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hint="default" w:ascii="宋体" w:hAnsi="宋体" w:eastAsia="宋体" w:cs="宋体"/>
          <w:b/>
          <w:sz w:val="30"/>
          <w:lang w:val="en-US" w:eastAsia="zh-CN"/>
        </w:rPr>
      </w:pPr>
      <w:r>
        <w:rPr>
          <w:rFonts w:hint="eastAsia" w:ascii="宋体" w:hAnsi="宋体" w:eastAsia="宋体" w:cs="宋体"/>
          <w:b/>
          <w:sz w:val="30"/>
        </w:rPr>
        <w:t>项目编号：</w:t>
      </w:r>
      <w:r>
        <w:rPr>
          <w:rFonts w:hint="eastAsia" w:ascii="宋体" w:hAnsi="宋体" w:eastAsia="宋体" w:cs="宋体"/>
          <w:b/>
          <w:sz w:val="30"/>
          <w:lang w:eastAsia="zh-CN"/>
        </w:rPr>
        <w:t>SXWZ2023ZB-CAYY-322A</w:t>
      </w:r>
    </w:p>
    <w:p>
      <w:pPr>
        <w:adjustRightInd w:val="0"/>
        <w:snapToGrid w:val="0"/>
        <w:spacing w:line="360" w:lineRule="auto"/>
        <w:rPr>
          <w:rFonts w:ascii="宋体" w:hAnsi="宋体" w:eastAsia="宋体" w:cs="宋体"/>
          <w:b/>
          <w:sz w:val="48"/>
          <w:szCs w:val="48"/>
        </w:rPr>
      </w:pPr>
    </w:p>
    <w:p>
      <w:pPr>
        <w:tabs>
          <w:tab w:val="left" w:pos="0"/>
        </w:tabs>
        <w:adjustRightInd w:val="0"/>
        <w:snapToGrid w:val="0"/>
        <w:spacing w:line="360" w:lineRule="auto"/>
        <w:jc w:val="center"/>
        <w:rPr>
          <w:rFonts w:ascii="宋体" w:hAnsi="宋体" w:eastAsia="宋体" w:cs="宋体"/>
          <w:b/>
          <w:sz w:val="72"/>
          <w:szCs w:val="72"/>
        </w:rPr>
      </w:pPr>
      <w:r>
        <w:rPr>
          <w:rFonts w:hint="eastAsia" w:asciiTheme="minorEastAsia" w:hAnsiTheme="minorEastAsia" w:cstheme="minorEastAsia"/>
          <w:b/>
          <w:sz w:val="48"/>
          <w:lang w:eastAsia="zh-CN"/>
        </w:rPr>
        <w:t>西安市长安区医院医疗设备采购项目（二次）</w:t>
      </w:r>
    </w:p>
    <w:p>
      <w:pPr>
        <w:tabs>
          <w:tab w:val="left" w:pos="0"/>
        </w:tabs>
        <w:adjustRightInd w:val="0"/>
        <w:snapToGrid w:val="0"/>
        <w:spacing w:line="360" w:lineRule="auto"/>
        <w:jc w:val="center"/>
        <w:rPr>
          <w:rFonts w:hint="eastAsia" w:ascii="宋体" w:hAnsi="宋体" w:eastAsia="宋体" w:cs="宋体"/>
          <w:b/>
          <w:sz w:val="72"/>
          <w:szCs w:val="72"/>
        </w:rPr>
      </w:pPr>
    </w:p>
    <w:p>
      <w:pPr>
        <w:tabs>
          <w:tab w:val="left" w:pos="0"/>
        </w:tabs>
        <w:adjustRightInd w:val="0"/>
        <w:snapToGrid w:val="0"/>
        <w:spacing w:line="360" w:lineRule="auto"/>
        <w:jc w:val="both"/>
        <w:rPr>
          <w:rFonts w:hint="eastAsia" w:ascii="宋体" w:hAnsi="宋体" w:eastAsia="宋体" w:cs="宋体"/>
          <w:b/>
          <w:sz w:val="72"/>
          <w:szCs w:val="72"/>
        </w:rPr>
      </w:pPr>
      <w:r>
        <w:rPr>
          <w:rFonts w:hint="eastAsia" w:ascii="宋体" w:hAnsi="宋体" w:eastAsia="宋体" w:cs="宋体"/>
          <w:b/>
          <w:i/>
          <w:sz w:val="48"/>
        </w:rPr>
        <w:drawing>
          <wp:anchor distT="0" distB="0" distL="114300" distR="114300" simplePos="0" relativeHeight="251659264" behindDoc="1" locked="0" layoutInCell="1" allowOverlap="1">
            <wp:simplePos x="0" y="0"/>
            <wp:positionH relativeFrom="column">
              <wp:posOffset>1409700</wp:posOffset>
            </wp:positionH>
            <wp:positionV relativeFrom="paragraph">
              <wp:posOffset>102235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13" cstate="print"/>
                    <a:stretch>
                      <a:fillRect/>
                    </a:stretch>
                  </pic:blipFill>
                  <pic:spPr>
                    <a:xfrm>
                      <a:off x="0" y="0"/>
                      <a:ext cx="2312670" cy="1447800"/>
                    </a:xfrm>
                    <a:prstGeom prst="rect">
                      <a:avLst/>
                    </a:prstGeom>
                    <a:noFill/>
                    <a:ln w="9525">
                      <a:noFill/>
                      <a:miter/>
                    </a:ln>
                    <a:effectLst/>
                  </pic:spPr>
                </pic:pic>
              </a:graphicData>
            </a:graphic>
          </wp:anchor>
        </w:drawing>
      </w:r>
    </w:p>
    <w:p>
      <w:pPr>
        <w:tabs>
          <w:tab w:val="left" w:pos="0"/>
        </w:tabs>
        <w:adjustRightInd w:val="0"/>
        <w:snapToGrid w:val="0"/>
        <w:spacing w:line="360" w:lineRule="auto"/>
        <w:jc w:val="center"/>
        <w:rPr>
          <w:rFonts w:hint="eastAsia" w:ascii="宋体" w:hAnsi="宋体" w:eastAsia="宋体" w:cs="宋体"/>
          <w:b/>
          <w:sz w:val="72"/>
          <w:szCs w:val="72"/>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rPr>
          <w:rFonts w:ascii="宋体" w:hAnsi="宋体" w:eastAsia="宋体" w:cs="宋体"/>
          <w:b/>
          <w:sz w:val="30"/>
        </w:rPr>
      </w:pPr>
    </w:p>
    <w:p/>
    <w:p/>
    <w:p>
      <w:pPr>
        <w:adjustRightInd w:val="0"/>
        <w:snapToGrid w:val="0"/>
        <w:spacing w:line="360" w:lineRule="auto"/>
        <w:ind w:firstLine="1968" w:firstLineChars="700"/>
        <w:jc w:val="both"/>
        <w:rPr>
          <w:rFonts w:hint="eastAsia" w:ascii="宋体" w:hAnsi="宋体" w:eastAsia="宋体" w:cs="宋体"/>
          <w:b/>
          <w:sz w:val="28"/>
          <w:szCs w:val="28"/>
          <w:lang w:eastAsia="zh-CN"/>
        </w:rPr>
      </w:pPr>
      <w:r>
        <w:rPr>
          <w:rFonts w:hint="eastAsia" w:ascii="宋体" w:hAnsi="宋体" w:eastAsia="宋体" w:cs="宋体"/>
          <w:b/>
          <w:sz w:val="28"/>
          <w:szCs w:val="28"/>
        </w:rPr>
        <w:t>采</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购</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人：西安市长安区医院</w:t>
      </w:r>
    </w:p>
    <w:p>
      <w:pPr>
        <w:adjustRightInd w:val="0"/>
        <w:snapToGrid w:val="0"/>
        <w:spacing w:line="360" w:lineRule="auto"/>
        <w:ind w:firstLine="1968" w:firstLineChars="700"/>
        <w:jc w:val="both"/>
        <w:rPr>
          <w:rFonts w:ascii="宋体" w:hAnsi="宋体" w:eastAsia="宋体" w:cs="宋体"/>
          <w:b/>
          <w:sz w:val="28"/>
          <w:szCs w:val="28"/>
        </w:rPr>
      </w:pPr>
      <w:r>
        <w:rPr>
          <w:rFonts w:hint="eastAsia" w:ascii="宋体" w:hAnsi="宋体" w:eastAsia="宋体" w:cs="宋体"/>
          <w:b/>
          <w:sz w:val="28"/>
          <w:szCs w:val="28"/>
        </w:rPr>
        <w:t>代理机构：陕西万泽招标有限公司</w:t>
      </w:r>
    </w:p>
    <w:p>
      <w:pPr>
        <w:adjustRightInd w:val="0"/>
        <w:snapToGrid w:val="0"/>
        <w:spacing w:line="360" w:lineRule="auto"/>
        <w:jc w:val="center"/>
        <w:rPr>
          <w:rFonts w:ascii="宋体" w:hAnsi="宋体" w:eastAsia="宋体" w:cs="宋体"/>
          <w:b/>
          <w:color w:val="FF0000"/>
          <w:sz w:val="28"/>
          <w:szCs w:val="28"/>
        </w:rPr>
      </w:pPr>
      <w:r>
        <w:rPr>
          <w:rFonts w:hint="eastAsia" w:ascii="宋体" w:hAnsi="宋体" w:eastAsia="宋体" w:cs="宋体"/>
          <w:b/>
          <w:sz w:val="28"/>
          <w:szCs w:val="28"/>
        </w:rPr>
        <w:t>二〇二</w:t>
      </w:r>
      <w:r>
        <w:rPr>
          <w:rFonts w:hint="eastAsia" w:ascii="宋体" w:hAnsi="宋体" w:eastAsia="宋体" w:cs="宋体"/>
          <w:b/>
          <w:sz w:val="28"/>
          <w:szCs w:val="28"/>
          <w:lang w:val="en-US" w:eastAsia="zh-CN"/>
        </w:rPr>
        <w:t>四</w:t>
      </w:r>
      <w:r>
        <w:rPr>
          <w:rFonts w:hint="eastAsia" w:ascii="宋体" w:hAnsi="宋体" w:eastAsia="宋体" w:cs="宋体"/>
          <w:b/>
          <w:sz w:val="28"/>
          <w:szCs w:val="28"/>
        </w:rPr>
        <w:t>年</w:t>
      </w:r>
      <w:r>
        <w:rPr>
          <w:rFonts w:hint="eastAsia" w:ascii="宋体" w:hAnsi="宋体" w:eastAsia="宋体" w:cs="宋体"/>
          <w:b/>
          <w:sz w:val="28"/>
          <w:szCs w:val="28"/>
          <w:lang w:val="en-US" w:eastAsia="zh-CN"/>
        </w:rPr>
        <w:t>一</w:t>
      </w:r>
      <w:r>
        <w:rPr>
          <w:rFonts w:hint="eastAsia" w:ascii="宋体" w:hAnsi="宋体" w:eastAsia="宋体" w:cs="宋体"/>
          <w:b/>
          <w:sz w:val="28"/>
          <w:szCs w:val="28"/>
        </w:rPr>
        <w:t>月</w:t>
      </w:r>
    </w:p>
    <w:p>
      <w:pPr>
        <w:adjustRightInd w:val="0"/>
        <w:snapToGrid w:val="0"/>
        <w:spacing w:line="600" w:lineRule="auto"/>
        <w:jc w:val="center"/>
        <w:rPr>
          <w:rFonts w:ascii="宋体" w:hAnsi="宋体" w:eastAsia="宋体" w:cs="宋体"/>
          <w:b/>
          <w:sz w:val="28"/>
          <w:szCs w:val="28"/>
        </w:rPr>
        <w:sectPr>
          <w:headerReference r:id="rId4" w:type="first"/>
          <w:headerReference r:id="rId3" w:type="default"/>
          <w:footerReference r:id="rId5" w:type="default"/>
          <w:pgSz w:w="11906" w:h="16838"/>
          <w:pgMar w:top="1440" w:right="1803" w:bottom="1440" w:left="1803" w:header="851" w:footer="992" w:gutter="0"/>
          <w:cols w:space="0" w:num="1"/>
          <w:docGrid w:type="lines" w:linePitch="317" w:charSpace="0"/>
        </w:sectPr>
      </w:pPr>
    </w:p>
    <w:p>
      <w:pPr>
        <w:pStyle w:val="17"/>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 录</w:t>
      </w:r>
    </w:p>
    <w:p>
      <w:pPr>
        <w:pStyle w:val="17"/>
        <w:tabs>
          <w:tab w:val="right" w:leader="dot" w:pos="8300"/>
        </w:tabs>
      </w:pPr>
      <w:r>
        <w:rPr>
          <w:rFonts w:hint="eastAsia" w:ascii="宋体" w:hAnsi="宋体" w:eastAsia="宋体" w:cs="宋体"/>
          <w:sz w:val="160"/>
          <w:szCs w:val="160"/>
        </w:rPr>
        <w:fldChar w:fldCharType="begin"/>
      </w:r>
      <w:r>
        <w:rPr>
          <w:rFonts w:hint="eastAsia" w:ascii="宋体" w:hAnsi="宋体" w:eastAsia="宋体" w:cs="宋体"/>
          <w:sz w:val="160"/>
          <w:szCs w:val="160"/>
        </w:rPr>
        <w:instrText xml:space="preserve">TOC \o "1-2" \h \u </w:instrText>
      </w:r>
      <w:r>
        <w:rPr>
          <w:rFonts w:hint="eastAsia" w:ascii="宋体" w:hAnsi="宋体" w:eastAsia="宋体" w:cs="宋体"/>
          <w:sz w:val="160"/>
          <w:szCs w:val="160"/>
        </w:rPr>
        <w:fldChar w:fldCharType="separate"/>
      </w:r>
      <w:r>
        <w:rPr>
          <w:rFonts w:hint="eastAsia" w:ascii="宋体" w:hAnsi="宋体" w:eastAsia="宋体" w:cs="宋体"/>
          <w:szCs w:val="160"/>
        </w:rPr>
        <w:fldChar w:fldCharType="begin"/>
      </w:r>
      <w:r>
        <w:rPr>
          <w:rFonts w:hint="eastAsia" w:ascii="宋体" w:hAnsi="宋体" w:eastAsia="宋体" w:cs="宋体"/>
          <w:szCs w:val="160"/>
        </w:rPr>
        <w:instrText xml:space="preserve"> HYPERLINK \l _Toc30311 </w:instrText>
      </w:r>
      <w:r>
        <w:rPr>
          <w:rFonts w:hint="eastAsia" w:ascii="宋体" w:hAnsi="宋体" w:eastAsia="宋体" w:cs="宋体"/>
          <w:szCs w:val="160"/>
        </w:rPr>
        <w:fldChar w:fldCharType="separate"/>
      </w:r>
      <w:r>
        <w:rPr>
          <w:rFonts w:hint="eastAsia" w:ascii="宋体" w:hAnsi="宋体" w:cs="宋体"/>
        </w:rPr>
        <w:t>第一部分 竞争性谈判公告</w:t>
      </w:r>
      <w:r>
        <w:tab/>
      </w:r>
      <w:r>
        <w:fldChar w:fldCharType="begin"/>
      </w:r>
      <w:r>
        <w:instrText xml:space="preserve"> PAGEREF _Toc30311 \h </w:instrText>
      </w:r>
      <w:r>
        <w:fldChar w:fldCharType="separate"/>
      </w:r>
      <w:r>
        <w:t>3</w:t>
      </w:r>
      <w:r>
        <w:fldChar w:fldCharType="end"/>
      </w:r>
      <w:r>
        <w:rPr>
          <w:rFonts w:hint="eastAsia" w:ascii="宋体" w:hAnsi="宋体" w:eastAsia="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_Toc29946 </w:instrText>
      </w:r>
      <w:r>
        <w:rPr>
          <w:rFonts w:hint="eastAsia" w:ascii="宋体" w:hAnsi="宋体" w:cs="宋体"/>
          <w:szCs w:val="160"/>
        </w:rPr>
        <w:fldChar w:fldCharType="separate"/>
      </w:r>
      <w:r>
        <w:rPr>
          <w:rFonts w:hint="eastAsia" w:ascii="宋体" w:hAnsi="宋体" w:cs="宋体"/>
        </w:rPr>
        <w:t>第二部分 供应商须知前附表</w:t>
      </w:r>
      <w:r>
        <w:tab/>
      </w:r>
      <w:r>
        <w:fldChar w:fldCharType="begin"/>
      </w:r>
      <w:r>
        <w:instrText xml:space="preserve"> PAGEREF _Toc29946 \h </w:instrText>
      </w:r>
      <w:r>
        <w:fldChar w:fldCharType="separate"/>
      </w:r>
      <w:r>
        <w:t>6</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_Toc13785 </w:instrText>
      </w:r>
      <w:r>
        <w:rPr>
          <w:rFonts w:hint="eastAsia" w:ascii="宋体" w:hAnsi="宋体" w:cs="宋体"/>
          <w:szCs w:val="160"/>
        </w:rPr>
        <w:fldChar w:fldCharType="separate"/>
      </w:r>
      <w:r>
        <w:rPr>
          <w:rFonts w:hint="eastAsia" w:ascii="宋体" w:hAnsi="宋体" w:cs="宋体"/>
        </w:rPr>
        <w:t>第三部分 供应商须知</w:t>
      </w:r>
      <w:r>
        <w:tab/>
      </w:r>
      <w:r>
        <w:fldChar w:fldCharType="begin"/>
      </w:r>
      <w:r>
        <w:instrText xml:space="preserve"> PAGEREF _Toc13785 \h </w:instrText>
      </w:r>
      <w:r>
        <w:fldChar w:fldCharType="separate"/>
      </w:r>
      <w:r>
        <w:t>9</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_Toc28262 </w:instrText>
      </w:r>
      <w:r>
        <w:rPr>
          <w:rFonts w:hint="eastAsia" w:ascii="宋体" w:hAnsi="宋体" w:cs="宋体"/>
          <w:szCs w:val="160"/>
        </w:rPr>
        <w:fldChar w:fldCharType="separate"/>
      </w:r>
      <w:r>
        <w:rPr>
          <w:rFonts w:hint="eastAsia" w:ascii="宋体" w:hAnsi="宋体" w:eastAsia="宋体" w:cs="宋体"/>
          <w:bCs/>
          <w:kern w:val="0"/>
          <w:szCs w:val="28"/>
        </w:rPr>
        <w:t>一、 总则</w:t>
      </w:r>
      <w:r>
        <w:tab/>
      </w:r>
      <w:r>
        <w:fldChar w:fldCharType="begin"/>
      </w:r>
      <w:r>
        <w:instrText xml:space="preserve"> PAGEREF _Toc28262 \h </w:instrText>
      </w:r>
      <w:r>
        <w:fldChar w:fldCharType="separate"/>
      </w:r>
      <w:r>
        <w:t>9</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_Toc114 </w:instrText>
      </w:r>
      <w:r>
        <w:rPr>
          <w:rFonts w:hint="eastAsia" w:ascii="宋体" w:hAnsi="宋体" w:cs="宋体"/>
          <w:szCs w:val="160"/>
        </w:rPr>
        <w:fldChar w:fldCharType="separate"/>
      </w:r>
      <w:r>
        <w:rPr>
          <w:rFonts w:hint="eastAsia" w:ascii="宋体" w:hAnsi="宋体" w:eastAsia="宋体" w:cs="宋体"/>
          <w:bCs/>
          <w:kern w:val="0"/>
          <w:szCs w:val="28"/>
        </w:rPr>
        <w:t>二、 竞争性谈判文件</w:t>
      </w:r>
      <w:r>
        <w:tab/>
      </w:r>
      <w:r>
        <w:fldChar w:fldCharType="begin"/>
      </w:r>
      <w:r>
        <w:instrText xml:space="preserve"> PAGEREF _Toc114 \h </w:instrText>
      </w:r>
      <w:r>
        <w:fldChar w:fldCharType="separate"/>
      </w:r>
      <w:r>
        <w:t>11</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_Toc26810 </w:instrText>
      </w:r>
      <w:r>
        <w:rPr>
          <w:rFonts w:hint="eastAsia" w:ascii="宋体" w:hAnsi="宋体" w:cs="宋体"/>
          <w:szCs w:val="160"/>
        </w:rPr>
        <w:fldChar w:fldCharType="separate"/>
      </w:r>
      <w:r>
        <w:rPr>
          <w:rFonts w:hint="eastAsia" w:ascii="宋体" w:hAnsi="宋体" w:eastAsia="宋体" w:cs="宋体"/>
          <w:bCs/>
          <w:kern w:val="0"/>
          <w:szCs w:val="28"/>
        </w:rPr>
        <w:t>三、 谈判响应文件</w:t>
      </w:r>
      <w:r>
        <w:tab/>
      </w:r>
      <w:r>
        <w:fldChar w:fldCharType="begin"/>
      </w:r>
      <w:r>
        <w:instrText xml:space="preserve"> PAGEREF _Toc26810 \h </w:instrText>
      </w:r>
      <w:r>
        <w:fldChar w:fldCharType="separate"/>
      </w:r>
      <w:r>
        <w:t>14</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_Toc17391 </w:instrText>
      </w:r>
      <w:r>
        <w:rPr>
          <w:rFonts w:hint="eastAsia" w:ascii="宋体" w:hAnsi="宋体" w:cs="宋体"/>
          <w:szCs w:val="160"/>
        </w:rPr>
        <w:fldChar w:fldCharType="separate"/>
      </w:r>
      <w:r>
        <w:rPr>
          <w:rFonts w:hint="eastAsia" w:ascii="宋体" w:hAnsi="宋体" w:eastAsia="宋体" w:cs="宋体"/>
          <w:bCs/>
          <w:kern w:val="0"/>
          <w:szCs w:val="28"/>
        </w:rPr>
        <w:t>四、 谈判响应文件的递交</w:t>
      </w:r>
      <w:r>
        <w:tab/>
      </w:r>
      <w:r>
        <w:fldChar w:fldCharType="begin"/>
      </w:r>
      <w:r>
        <w:instrText xml:space="preserve"> PAGEREF _Toc17391 \h </w:instrText>
      </w:r>
      <w:r>
        <w:fldChar w:fldCharType="separate"/>
      </w:r>
      <w:r>
        <w:t>17</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_Toc9776 </w:instrText>
      </w:r>
      <w:r>
        <w:rPr>
          <w:rFonts w:hint="eastAsia" w:ascii="宋体" w:hAnsi="宋体" w:cs="宋体"/>
          <w:szCs w:val="160"/>
        </w:rPr>
        <w:fldChar w:fldCharType="separate"/>
      </w:r>
      <w:r>
        <w:rPr>
          <w:rFonts w:hint="eastAsia" w:ascii="宋体" w:hAnsi="宋体" w:eastAsia="宋体" w:cs="宋体"/>
          <w:bCs/>
          <w:kern w:val="0"/>
          <w:szCs w:val="28"/>
        </w:rPr>
        <w:t>五、 谈判、评审、定标</w:t>
      </w:r>
      <w:r>
        <w:tab/>
      </w:r>
      <w:r>
        <w:fldChar w:fldCharType="begin"/>
      </w:r>
      <w:r>
        <w:instrText xml:space="preserve"> PAGEREF _Toc9776 \h </w:instrText>
      </w:r>
      <w:r>
        <w:fldChar w:fldCharType="separate"/>
      </w:r>
      <w:r>
        <w:t>17</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_Toc1858 </w:instrText>
      </w:r>
      <w:r>
        <w:rPr>
          <w:rFonts w:hint="eastAsia" w:ascii="宋体" w:hAnsi="宋体" w:cs="宋体"/>
          <w:szCs w:val="160"/>
        </w:rPr>
        <w:fldChar w:fldCharType="separate"/>
      </w:r>
      <w:r>
        <w:rPr>
          <w:rFonts w:hint="eastAsia" w:ascii="宋体" w:hAnsi="宋体" w:eastAsia="宋体" w:cs="宋体"/>
          <w:bCs/>
          <w:kern w:val="0"/>
          <w:szCs w:val="28"/>
        </w:rPr>
        <w:t>六、 签订合同</w:t>
      </w:r>
      <w:r>
        <w:tab/>
      </w:r>
      <w:r>
        <w:fldChar w:fldCharType="begin"/>
      </w:r>
      <w:r>
        <w:instrText xml:space="preserve"> PAGEREF _Toc1858 \h </w:instrText>
      </w:r>
      <w:r>
        <w:fldChar w:fldCharType="separate"/>
      </w:r>
      <w:r>
        <w:t>21</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_Toc21677 </w:instrText>
      </w:r>
      <w:r>
        <w:rPr>
          <w:rFonts w:hint="eastAsia" w:ascii="宋体" w:hAnsi="宋体" w:cs="宋体"/>
          <w:szCs w:val="160"/>
        </w:rPr>
        <w:fldChar w:fldCharType="separate"/>
      </w:r>
      <w:r>
        <w:rPr>
          <w:rFonts w:hint="eastAsia" w:ascii="宋体" w:hAnsi="宋体" w:eastAsia="宋体" w:cs="宋体"/>
          <w:bCs/>
          <w:kern w:val="0"/>
          <w:szCs w:val="28"/>
        </w:rPr>
        <w:t>七、 代理服务费</w:t>
      </w:r>
      <w:r>
        <w:tab/>
      </w:r>
      <w:r>
        <w:fldChar w:fldCharType="begin"/>
      </w:r>
      <w:r>
        <w:instrText xml:space="preserve"> PAGEREF _Toc21677 \h </w:instrText>
      </w:r>
      <w:r>
        <w:fldChar w:fldCharType="separate"/>
      </w:r>
      <w:r>
        <w:t>21</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_Toc7938 </w:instrText>
      </w:r>
      <w:r>
        <w:rPr>
          <w:rFonts w:hint="eastAsia" w:ascii="宋体" w:hAnsi="宋体" w:cs="宋体"/>
          <w:szCs w:val="160"/>
        </w:rPr>
        <w:fldChar w:fldCharType="separate"/>
      </w:r>
      <w:r>
        <w:rPr>
          <w:rFonts w:hint="eastAsia" w:ascii="宋体" w:cs="宋体"/>
          <w:bCs/>
          <w:kern w:val="0"/>
          <w:szCs w:val="32"/>
        </w:rPr>
        <w:t xml:space="preserve">八、 </w:t>
      </w:r>
      <w:r>
        <w:rPr>
          <w:rFonts w:hint="eastAsia" w:ascii="宋体" w:hAnsi="宋体" w:cs="宋体"/>
          <w:bCs/>
          <w:kern w:val="0"/>
          <w:szCs w:val="32"/>
        </w:rPr>
        <w:t>质疑和投诉</w:t>
      </w:r>
      <w:r>
        <w:tab/>
      </w:r>
      <w:r>
        <w:fldChar w:fldCharType="begin"/>
      </w:r>
      <w:r>
        <w:instrText xml:space="preserve"> PAGEREF _Toc7938 \h </w:instrText>
      </w:r>
      <w:r>
        <w:fldChar w:fldCharType="separate"/>
      </w:r>
      <w:r>
        <w:t>22</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_Toc7412 </w:instrText>
      </w:r>
      <w:r>
        <w:rPr>
          <w:rFonts w:hint="eastAsia" w:ascii="宋体" w:hAnsi="宋体" w:cs="宋体"/>
          <w:szCs w:val="160"/>
        </w:rPr>
        <w:fldChar w:fldCharType="separate"/>
      </w:r>
      <w:r>
        <w:rPr>
          <w:rFonts w:hint="eastAsia" w:ascii="宋体" w:hAnsi="宋体" w:cs="宋体"/>
        </w:rPr>
        <w:t>第四部分 评审标准</w:t>
      </w:r>
      <w:r>
        <w:tab/>
      </w:r>
      <w:r>
        <w:fldChar w:fldCharType="begin"/>
      </w:r>
      <w:r>
        <w:instrText xml:space="preserve"> PAGEREF _Toc7412 \h </w:instrText>
      </w:r>
      <w:r>
        <w:fldChar w:fldCharType="separate"/>
      </w:r>
      <w:r>
        <w:t>24</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_Toc28223 </w:instrText>
      </w:r>
      <w:r>
        <w:rPr>
          <w:rFonts w:hint="eastAsia" w:ascii="宋体" w:hAnsi="宋体" w:cs="宋体"/>
          <w:szCs w:val="160"/>
        </w:rPr>
        <w:fldChar w:fldCharType="separate"/>
      </w:r>
      <w:r>
        <w:rPr>
          <w:rFonts w:hint="eastAsia" w:ascii="宋体" w:hAnsi="宋体" w:cs="宋体"/>
        </w:rPr>
        <w:t>第五部分 采购要求</w:t>
      </w:r>
      <w:r>
        <w:tab/>
      </w:r>
      <w:r>
        <w:fldChar w:fldCharType="begin"/>
      </w:r>
      <w:r>
        <w:instrText xml:space="preserve"> PAGEREF _Toc28223 \h </w:instrText>
      </w:r>
      <w:r>
        <w:fldChar w:fldCharType="separate"/>
      </w:r>
      <w:r>
        <w:t>25</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_Toc13099 </w:instrText>
      </w:r>
      <w:r>
        <w:rPr>
          <w:rFonts w:hint="eastAsia" w:ascii="宋体" w:hAnsi="宋体" w:cs="宋体"/>
          <w:szCs w:val="160"/>
        </w:rPr>
        <w:fldChar w:fldCharType="separate"/>
      </w:r>
      <w:r>
        <w:rPr>
          <w:rFonts w:hint="eastAsia" w:asciiTheme="minorEastAsia" w:hAnsiTheme="minorEastAsia" w:eastAsiaTheme="minorEastAsia" w:cstheme="minorEastAsia"/>
          <w:szCs w:val="36"/>
        </w:rPr>
        <w:t>第六部分 合同条款</w:t>
      </w:r>
      <w:r>
        <w:tab/>
      </w:r>
      <w:r>
        <w:fldChar w:fldCharType="begin"/>
      </w:r>
      <w:r>
        <w:instrText xml:space="preserve"> PAGEREF _Toc13099 \h </w:instrText>
      </w:r>
      <w:r>
        <w:fldChar w:fldCharType="separate"/>
      </w:r>
      <w:r>
        <w:t>25</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_Toc2287 </w:instrText>
      </w:r>
      <w:r>
        <w:rPr>
          <w:rFonts w:hint="eastAsia" w:ascii="宋体" w:hAnsi="宋体" w:cs="宋体"/>
          <w:szCs w:val="160"/>
        </w:rPr>
        <w:fldChar w:fldCharType="separate"/>
      </w:r>
      <w:r>
        <w:rPr>
          <w:rFonts w:hint="eastAsia" w:ascii="宋体" w:hAnsi="宋体" w:cs="宋体"/>
        </w:rPr>
        <w:t>第七部分 谈判响应文件格式</w:t>
      </w:r>
      <w:r>
        <w:tab/>
      </w:r>
      <w:r>
        <w:fldChar w:fldCharType="begin"/>
      </w:r>
      <w:r>
        <w:instrText xml:space="preserve"> PAGEREF _Toc2287 \h </w:instrText>
      </w:r>
      <w:r>
        <w:fldChar w:fldCharType="separate"/>
      </w:r>
      <w:r>
        <w:t>25</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_Toc6059 </w:instrText>
      </w:r>
      <w:r>
        <w:rPr>
          <w:rFonts w:hint="eastAsia" w:ascii="宋体" w:hAnsi="宋体" w:cs="宋体"/>
          <w:szCs w:val="160"/>
        </w:rPr>
        <w:fldChar w:fldCharType="separate"/>
      </w:r>
      <w:r>
        <w:rPr>
          <w:rFonts w:hint="eastAsia" w:ascii="宋体" w:hAnsi="宋体" w:cs="宋体"/>
        </w:rPr>
        <w:t>第一</w:t>
      </w:r>
      <w:r>
        <w:rPr>
          <w:rFonts w:hint="eastAsia" w:ascii="宋体" w:hAnsi="宋体" w:cs="宋体"/>
          <w:lang w:eastAsia="zh-CN"/>
        </w:rPr>
        <w:t>章</w:t>
      </w:r>
      <w:r>
        <w:rPr>
          <w:rFonts w:hint="eastAsia" w:ascii="宋体" w:hAnsi="宋体" w:cs="宋体"/>
        </w:rPr>
        <w:t xml:space="preserve"> 响应函</w:t>
      </w:r>
      <w:r>
        <w:tab/>
      </w:r>
      <w:r>
        <w:fldChar w:fldCharType="begin"/>
      </w:r>
      <w:r>
        <w:instrText xml:space="preserve"> PAGEREF _Toc6059 \h </w:instrText>
      </w:r>
      <w:r>
        <w:fldChar w:fldCharType="separate"/>
      </w:r>
      <w:r>
        <w:t>35</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_Toc30334 </w:instrText>
      </w:r>
      <w:r>
        <w:rPr>
          <w:rFonts w:hint="eastAsia" w:ascii="宋体" w:hAnsi="宋体" w:cs="宋体"/>
          <w:szCs w:val="160"/>
        </w:rPr>
        <w:fldChar w:fldCharType="separate"/>
      </w:r>
      <w:r>
        <w:rPr>
          <w:rFonts w:hint="eastAsia" w:ascii="宋体" w:hAnsi="宋体" w:cs="宋体"/>
        </w:rPr>
        <w:t>第二</w:t>
      </w:r>
      <w:r>
        <w:rPr>
          <w:rFonts w:hint="eastAsia" w:ascii="宋体" w:hAnsi="宋体" w:cs="宋体"/>
          <w:lang w:eastAsia="zh-CN"/>
        </w:rPr>
        <w:t>章</w:t>
      </w:r>
      <w:r>
        <w:rPr>
          <w:rFonts w:hint="eastAsia" w:ascii="宋体" w:hAnsi="宋体" w:cs="宋体"/>
        </w:rPr>
        <w:t xml:space="preserve"> 响应一览表</w:t>
      </w:r>
      <w:r>
        <w:tab/>
      </w:r>
      <w:r>
        <w:fldChar w:fldCharType="begin"/>
      </w:r>
      <w:r>
        <w:instrText xml:space="preserve"> PAGEREF _Toc30334 \h </w:instrText>
      </w:r>
      <w:r>
        <w:fldChar w:fldCharType="separate"/>
      </w:r>
      <w:r>
        <w:t>36</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_Toc19366 </w:instrText>
      </w:r>
      <w:r>
        <w:rPr>
          <w:rFonts w:hint="eastAsia" w:ascii="宋体" w:hAnsi="宋体" w:cs="宋体"/>
          <w:szCs w:val="160"/>
        </w:rPr>
        <w:fldChar w:fldCharType="separate"/>
      </w:r>
      <w:r>
        <w:rPr>
          <w:rFonts w:hint="eastAsia"/>
          <w:lang w:eastAsia="zh-CN"/>
        </w:rPr>
        <w:t>第三章</w:t>
      </w:r>
      <w:r>
        <w:rPr>
          <w:rFonts w:hint="eastAsia"/>
          <w:lang w:val="en-US" w:eastAsia="zh-CN"/>
        </w:rPr>
        <w:t xml:space="preserve"> </w:t>
      </w:r>
      <w:r>
        <w:rPr>
          <w:rFonts w:hint="eastAsia"/>
        </w:rPr>
        <w:t>分项报价表</w:t>
      </w:r>
      <w:r>
        <w:tab/>
      </w:r>
      <w:r>
        <w:fldChar w:fldCharType="begin"/>
      </w:r>
      <w:r>
        <w:instrText xml:space="preserve"> PAGEREF _Toc19366 \h </w:instrText>
      </w:r>
      <w:r>
        <w:fldChar w:fldCharType="separate"/>
      </w:r>
      <w:r>
        <w:t>37</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_Toc32570 </w:instrText>
      </w:r>
      <w:r>
        <w:rPr>
          <w:rFonts w:hint="eastAsia" w:ascii="宋体" w:hAnsi="宋体" w:cs="宋体"/>
          <w:szCs w:val="160"/>
        </w:rPr>
        <w:fldChar w:fldCharType="separate"/>
      </w:r>
      <w:r>
        <w:rPr>
          <w:rFonts w:hint="eastAsia" w:ascii="宋体" w:hAnsi="宋体" w:cs="宋体"/>
        </w:rPr>
        <w:t>第</w:t>
      </w:r>
      <w:r>
        <w:rPr>
          <w:rFonts w:hint="eastAsia" w:ascii="宋体" w:hAnsi="宋体" w:cs="宋体"/>
          <w:lang w:eastAsia="zh-CN"/>
        </w:rPr>
        <w:t>四章</w:t>
      </w:r>
      <w:r>
        <w:rPr>
          <w:rFonts w:hint="eastAsia" w:ascii="宋体" w:hAnsi="宋体" w:cs="宋体"/>
        </w:rPr>
        <w:t xml:space="preserve"> 供应商资质要求</w:t>
      </w:r>
      <w:r>
        <w:tab/>
      </w:r>
      <w:r>
        <w:fldChar w:fldCharType="begin"/>
      </w:r>
      <w:r>
        <w:instrText xml:space="preserve"> PAGEREF _Toc32570 \h </w:instrText>
      </w:r>
      <w:r>
        <w:fldChar w:fldCharType="separate"/>
      </w:r>
      <w:r>
        <w:t>38</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_Toc29575 </w:instrText>
      </w:r>
      <w:r>
        <w:rPr>
          <w:rFonts w:hint="eastAsia" w:ascii="宋体" w:hAnsi="宋体" w:cs="宋体"/>
          <w:szCs w:val="160"/>
        </w:rPr>
        <w:fldChar w:fldCharType="separate"/>
      </w:r>
      <w:r>
        <w:rPr>
          <w:rFonts w:hint="eastAsia"/>
        </w:rPr>
        <w:t>第</w:t>
      </w:r>
      <w:r>
        <w:rPr>
          <w:rFonts w:hint="eastAsia"/>
          <w:lang w:eastAsia="zh-CN"/>
        </w:rPr>
        <w:t>六</w:t>
      </w:r>
      <w:r>
        <w:rPr>
          <w:rFonts w:hint="eastAsia"/>
        </w:rPr>
        <w:t>章 商务和技术响应偏离表</w:t>
      </w:r>
      <w:r>
        <w:tab/>
      </w:r>
      <w:r>
        <w:fldChar w:fldCharType="begin"/>
      </w:r>
      <w:r>
        <w:instrText xml:space="preserve"> PAGEREF _Toc29575 \h </w:instrText>
      </w:r>
      <w:r>
        <w:fldChar w:fldCharType="separate"/>
      </w:r>
      <w:r>
        <w:t>44</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_Toc12527 </w:instrText>
      </w:r>
      <w:r>
        <w:rPr>
          <w:rFonts w:hint="eastAsia" w:ascii="宋体" w:hAnsi="宋体" w:cs="宋体"/>
          <w:szCs w:val="160"/>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eastAsia="zh-CN"/>
        </w:rPr>
        <w:t>七</w:t>
      </w:r>
      <w:r>
        <w:rPr>
          <w:rFonts w:hint="eastAsia" w:asciiTheme="minorEastAsia" w:hAnsiTheme="minorEastAsia" w:eastAsiaTheme="minorEastAsia" w:cstheme="minorEastAsia"/>
          <w:szCs w:val="36"/>
        </w:rPr>
        <w:t>章</w:t>
      </w:r>
      <w:r>
        <w:rPr>
          <w:rFonts w:hint="eastAsia" w:asciiTheme="minorEastAsia" w:hAnsiTheme="minorEastAsia" w:eastAsiaTheme="minorEastAsia" w:cstheme="minorEastAsia"/>
          <w:szCs w:val="36"/>
          <w:lang w:val="en-US" w:eastAsia="zh-CN"/>
        </w:rPr>
        <w:t xml:space="preserve"> </w:t>
      </w:r>
      <w:r>
        <w:rPr>
          <w:rFonts w:hint="eastAsia" w:asciiTheme="minorEastAsia" w:hAnsiTheme="minorEastAsia" w:eastAsiaTheme="minorEastAsia" w:cstheme="minorEastAsia"/>
          <w:szCs w:val="36"/>
        </w:rPr>
        <w:t>技术支持资料</w:t>
      </w:r>
      <w:r>
        <w:tab/>
      </w:r>
      <w:r>
        <w:fldChar w:fldCharType="begin"/>
      </w:r>
      <w:r>
        <w:instrText xml:space="preserve"> PAGEREF _Toc12527 \h </w:instrText>
      </w:r>
      <w:r>
        <w:fldChar w:fldCharType="separate"/>
      </w:r>
      <w:r>
        <w:t>47</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_Toc4988 </w:instrText>
      </w:r>
      <w:r>
        <w:rPr>
          <w:rFonts w:hint="eastAsia" w:ascii="宋体" w:hAnsi="宋体" w:cs="宋体"/>
          <w:szCs w:val="160"/>
        </w:rPr>
        <w:fldChar w:fldCharType="separate"/>
      </w:r>
      <w:r>
        <w:rPr>
          <w:rFonts w:hint="eastAsia"/>
        </w:rPr>
        <w:t>第</w:t>
      </w:r>
      <w:r>
        <w:rPr>
          <w:rFonts w:hint="eastAsia"/>
          <w:lang w:eastAsia="zh-CN"/>
        </w:rPr>
        <w:t>八</w:t>
      </w:r>
      <w:r>
        <w:rPr>
          <w:rFonts w:hint="eastAsia"/>
        </w:rPr>
        <w:t>章 供应商业绩一览表</w:t>
      </w:r>
      <w:r>
        <w:tab/>
      </w:r>
      <w:r>
        <w:fldChar w:fldCharType="begin"/>
      </w:r>
      <w:r>
        <w:instrText xml:space="preserve"> PAGEREF _Toc4988 \h </w:instrText>
      </w:r>
      <w:r>
        <w:fldChar w:fldCharType="separate"/>
      </w:r>
      <w:r>
        <w:t>48</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_Toc7800 </w:instrText>
      </w:r>
      <w:r>
        <w:rPr>
          <w:rFonts w:hint="eastAsia" w:ascii="宋体" w:hAnsi="宋体" w:cs="宋体"/>
          <w:szCs w:val="160"/>
        </w:rPr>
        <w:fldChar w:fldCharType="separate"/>
      </w:r>
      <w:r>
        <w:rPr>
          <w:rFonts w:hint="eastAsia"/>
        </w:rPr>
        <w:t>第</w:t>
      </w:r>
      <w:r>
        <w:rPr>
          <w:rFonts w:hint="eastAsia"/>
          <w:lang w:eastAsia="zh-CN"/>
        </w:rPr>
        <w:t>九</w:t>
      </w:r>
      <w:r>
        <w:rPr>
          <w:rFonts w:hint="eastAsia"/>
        </w:rPr>
        <w:t>章</w:t>
      </w:r>
      <w:r>
        <w:rPr>
          <w:rFonts w:hint="eastAsia"/>
          <w:lang w:val="en-US" w:eastAsia="zh-CN"/>
        </w:rPr>
        <w:t xml:space="preserve"> </w:t>
      </w:r>
      <w:r>
        <w:rPr>
          <w:rFonts w:hint="eastAsia"/>
        </w:rPr>
        <w:t>供应商认为有必要说明的其他问题</w:t>
      </w:r>
      <w:r>
        <w:tab/>
      </w:r>
      <w:r>
        <w:fldChar w:fldCharType="begin"/>
      </w:r>
      <w:r>
        <w:instrText xml:space="preserve"> PAGEREF _Toc7800 \h </w:instrText>
      </w:r>
      <w:r>
        <w:fldChar w:fldCharType="separate"/>
      </w:r>
      <w:r>
        <w:t>49</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_Toc7368 </w:instrText>
      </w:r>
      <w:r>
        <w:rPr>
          <w:rFonts w:hint="eastAsia" w:ascii="宋体" w:hAnsi="宋体" w:cs="宋体"/>
          <w:szCs w:val="160"/>
        </w:rPr>
        <w:fldChar w:fldCharType="separate"/>
      </w:r>
      <w:r>
        <w:rPr>
          <w:rFonts w:hint="eastAsia" w:ascii="宋体" w:hAnsi="宋体" w:cs="宋体"/>
        </w:rPr>
        <w:t>第九</w:t>
      </w:r>
      <w:r>
        <w:rPr>
          <w:rFonts w:hint="eastAsia" w:ascii="宋体" w:hAnsi="宋体" w:cs="宋体"/>
          <w:lang w:eastAsia="zh-CN"/>
        </w:rPr>
        <w:t>章</w:t>
      </w:r>
      <w:r>
        <w:rPr>
          <w:rFonts w:hint="eastAsia" w:ascii="宋体" w:hAnsi="宋体" w:cs="宋体"/>
        </w:rPr>
        <w:t xml:space="preserve"> 供应商承诺书</w:t>
      </w:r>
      <w:r>
        <w:tab/>
      </w:r>
      <w:r>
        <w:fldChar w:fldCharType="begin"/>
      </w:r>
      <w:r>
        <w:instrText xml:space="preserve"> PAGEREF _Toc7368 \h </w:instrText>
      </w:r>
      <w:r>
        <w:fldChar w:fldCharType="separate"/>
      </w:r>
      <w:r>
        <w:t>50</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_Toc24188 </w:instrText>
      </w:r>
      <w:r>
        <w:rPr>
          <w:rFonts w:hint="eastAsia" w:ascii="宋体" w:hAnsi="宋体" w:cs="宋体"/>
          <w:szCs w:val="160"/>
        </w:rPr>
        <w:fldChar w:fldCharType="separate"/>
      </w:r>
      <w:r>
        <w:rPr>
          <w:rFonts w:hint="eastAsia" w:ascii="宋体" w:hAnsi="宋体" w:cs="宋体"/>
        </w:rPr>
        <w:t>附件一、封袋正面标识式样</w:t>
      </w:r>
      <w:r>
        <w:tab/>
      </w:r>
      <w:r>
        <w:fldChar w:fldCharType="begin"/>
      </w:r>
      <w:r>
        <w:instrText xml:space="preserve"> PAGEREF _Toc24188 \h </w:instrText>
      </w:r>
      <w:r>
        <w:fldChar w:fldCharType="separate"/>
      </w:r>
      <w:r>
        <w:t>53</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_Toc21539 </w:instrText>
      </w:r>
      <w:r>
        <w:rPr>
          <w:rFonts w:hint="eastAsia" w:ascii="宋体" w:hAnsi="宋体" w:cs="宋体"/>
          <w:szCs w:val="160"/>
        </w:rPr>
        <w:fldChar w:fldCharType="separate"/>
      </w:r>
      <w:r>
        <w:rPr>
          <w:rFonts w:hint="eastAsia" w:ascii="宋体" w:hAnsi="宋体" w:cs="宋体"/>
        </w:rPr>
        <w:t>附件二、中小企业申明</w:t>
      </w:r>
      <w:r>
        <w:tab/>
      </w:r>
      <w:r>
        <w:fldChar w:fldCharType="begin"/>
      </w:r>
      <w:r>
        <w:instrText xml:space="preserve"> PAGEREF _Toc21539 \h </w:instrText>
      </w:r>
      <w:r>
        <w:fldChar w:fldCharType="separate"/>
      </w:r>
      <w:r>
        <w:t>55</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_Toc12502 </w:instrText>
      </w:r>
      <w:r>
        <w:rPr>
          <w:rFonts w:hint="eastAsia" w:ascii="宋体" w:hAnsi="宋体" w:cs="宋体"/>
          <w:szCs w:val="160"/>
        </w:rPr>
        <w:fldChar w:fldCharType="separate"/>
      </w:r>
      <w:r>
        <w:rPr>
          <w:rFonts w:hint="eastAsia" w:ascii="宋体" w:hAnsi="宋体" w:cs="宋体"/>
        </w:rPr>
        <w:t>附件三、残疾人福利性单位声明</w:t>
      </w:r>
      <w:r>
        <w:tab/>
      </w:r>
      <w:r>
        <w:fldChar w:fldCharType="begin"/>
      </w:r>
      <w:r>
        <w:instrText xml:space="preserve"> PAGEREF _Toc12502 \h </w:instrText>
      </w:r>
      <w:r>
        <w:fldChar w:fldCharType="separate"/>
      </w:r>
      <w:r>
        <w:t>56</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_Toc22517 </w:instrText>
      </w:r>
      <w:r>
        <w:rPr>
          <w:rFonts w:hint="eastAsia" w:ascii="宋体" w:hAnsi="宋体" w:cs="宋体"/>
          <w:szCs w:val="160"/>
        </w:rPr>
        <w:fldChar w:fldCharType="separate"/>
      </w:r>
      <w:r>
        <w:rPr>
          <w:rFonts w:hint="eastAsia" w:ascii="宋体" w:hAnsi="宋体" w:cs="宋体"/>
        </w:rPr>
        <w:t>附件四、监狱企业证明文件</w:t>
      </w:r>
      <w:r>
        <w:tab/>
      </w:r>
      <w:r>
        <w:fldChar w:fldCharType="begin"/>
      </w:r>
      <w:r>
        <w:instrText xml:space="preserve"> PAGEREF _Toc22517 \h </w:instrText>
      </w:r>
      <w:r>
        <w:fldChar w:fldCharType="separate"/>
      </w:r>
      <w:r>
        <w:t>56</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_Toc2144 </w:instrText>
      </w:r>
      <w:r>
        <w:rPr>
          <w:rFonts w:hint="eastAsia" w:ascii="宋体" w:hAnsi="宋体" w:cs="宋体"/>
          <w:szCs w:val="160"/>
        </w:rPr>
        <w:fldChar w:fldCharType="separate"/>
      </w:r>
      <w:r>
        <w:rPr>
          <w:rFonts w:hint="eastAsia" w:ascii="宋体" w:hAnsi="宋体" w:cs="宋体"/>
        </w:rPr>
        <w:t>附件五、“节能产品”，“环境标志产品”证明材料</w:t>
      </w:r>
      <w:r>
        <w:tab/>
      </w:r>
      <w:r>
        <w:fldChar w:fldCharType="begin"/>
      </w:r>
      <w:r>
        <w:instrText xml:space="preserve"> PAGEREF _Toc2144 \h </w:instrText>
      </w:r>
      <w:r>
        <w:fldChar w:fldCharType="separate"/>
      </w:r>
      <w:r>
        <w:t>56</w:t>
      </w:r>
      <w:r>
        <w:fldChar w:fldCharType="end"/>
      </w:r>
      <w:r>
        <w:rPr>
          <w:rFonts w:hint="eastAsia" w:ascii="宋体" w:hAnsi="宋体" w:cs="宋体"/>
          <w:szCs w:val="160"/>
        </w:rPr>
        <w:fldChar w:fldCharType="end"/>
      </w:r>
    </w:p>
    <w:p>
      <w:pPr>
        <w:pStyle w:val="18"/>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_Toc11645 </w:instrText>
      </w:r>
      <w:r>
        <w:rPr>
          <w:rFonts w:hint="eastAsia" w:ascii="宋体" w:hAnsi="宋体" w:cs="宋体"/>
          <w:szCs w:val="160"/>
        </w:rPr>
        <w:fldChar w:fldCharType="separate"/>
      </w:r>
      <w:r>
        <w:rPr>
          <w:rFonts w:hint="eastAsia" w:ascii="宋体" w:hAnsi="宋体" w:cs="宋体"/>
        </w:rPr>
        <w:t>附件六、质疑函样本</w:t>
      </w:r>
      <w:r>
        <w:tab/>
      </w:r>
      <w:r>
        <w:fldChar w:fldCharType="begin"/>
      </w:r>
      <w:r>
        <w:instrText xml:space="preserve"> PAGEREF _Toc11645 \h </w:instrText>
      </w:r>
      <w:r>
        <w:fldChar w:fldCharType="separate"/>
      </w:r>
      <w:r>
        <w:t>57</w:t>
      </w:r>
      <w:r>
        <w:fldChar w:fldCharType="end"/>
      </w:r>
      <w:r>
        <w:rPr>
          <w:rFonts w:hint="eastAsia" w:ascii="宋体" w:hAnsi="宋体" w:cs="宋体"/>
          <w:szCs w:val="160"/>
        </w:rPr>
        <w:fldChar w:fldCharType="end"/>
      </w:r>
    </w:p>
    <w:p>
      <w:pPr>
        <w:pStyle w:val="2"/>
        <w:spacing w:line="312" w:lineRule="auto"/>
        <w:ind w:firstLine="643" w:firstLineChars="200"/>
        <w:rPr>
          <w:rFonts w:ascii="宋体" w:hAnsi="宋体" w:cs="宋体"/>
          <w:sz w:val="24"/>
          <w:szCs w:val="24"/>
        </w:rPr>
        <w:sectPr>
          <w:footerReference r:id="rId6" w:type="default"/>
          <w:pgSz w:w="11906" w:h="16838"/>
          <w:pgMar w:top="1440" w:right="1803" w:bottom="1440" w:left="1803" w:header="851" w:footer="992" w:gutter="0"/>
          <w:cols w:space="0" w:num="1"/>
          <w:docGrid w:type="lines" w:linePitch="317" w:charSpace="0"/>
        </w:sectPr>
      </w:pPr>
      <w:r>
        <w:rPr>
          <w:rFonts w:hint="eastAsia" w:ascii="宋体" w:hAnsi="宋体" w:cs="宋体"/>
          <w:szCs w:val="160"/>
        </w:rPr>
        <w:fldChar w:fldCharType="end"/>
      </w:r>
    </w:p>
    <w:p>
      <w:pPr>
        <w:pStyle w:val="2"/>
        <w:rPr>
          <w:rFonts w:ascii="宋体" w:hAnsi="宋体" w:cs="宋体"/>
        </w:rPr>
      </w:pPr>
      <w:bookmarkStart w:id="1" w:name="_Toc26575"/>
      <w:bookmarkStart w:id="2" w:name="_Toc30311"/>
      <w:r>
        <w:rPr>
          <w:rFonts w:hint="eastAsia" w:ascii="宋体" w:hAnsi="宋体" w:cs="宋体"/>
        </w:rPr>
        <w:t>第一部分 竞争性谈判公告</w:t>
      </w:r>
      <w:bookmarkEnd w:id="1"/>
      <w:bookmarkEnd w:id="2"/>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西安市长安区医院医疗设备采购项目（二次）</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西安市长安区医院医疗设备采购项目（二次）</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bookmarkStart w:id="3" w:name="OLE_LINK2"/>
      <w:r>
        <w:rPr>
          <w:rFonts w:hint="eastAsia" w:ascii="宋体" w:hAnsi="宋体" w:eastAsia="宋体" w:cs="宋体"/>
          <w:kern w:val="0"/>
          <w:sz w:val="24"/>
          <w:szCs w:val="24"/>
          <w:lang w:eastAsia="zh-CN"/>
        </w:rPr>
        <w:t>SXWZ2023ZB-CAYY-322A</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3"/>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21"/>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val="en-US" w:eastAsia="zh-CN"/>
              </w:rPr>
              <w:t>包</w:t>
            </w:r>
            <w:r>
              <w:rPr>
                <w:rFonts w:hint="eastAsia" w:ascii="宋体" w:hAnsi="宋体" w:cs="宋体"/>
                <w:kern w:val="0"/>
                <w:sz w:val="21"/>
                <w:szCs w:val="21"/>
                <w:highlight w:val="none"/>
                <w:lang w:eastAsia="zh-CN"/>
              </w:rPr>
              <w:t>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rPr>
              <w:t>采购预</w:t>
            </w:r>
            <w:r>
              <w:rPr>
                <w:rFonts w:hint="eastAsia" w:ascii="宋体" w:hAnsi="宋体" w:cs="宋体"/>
                <w:kern w:val="0"/>
                <w:sz w:val="21"/>
                <w:szCs w:val="21"/>
                <w:highlight w:val="none"/>
                <w:lang w:val="en-US" w:eastAsia="zh-CN"/>
              </w:rPr>
              <w:t>算</w:t>
            </w:r>
            <w:r>
              <w:rPr>
                <w:rFonts w:hint="eastAsia" w:ascii="宋体" w:hAnsi="宋体" w:cs="宋体"/>
                <w:kern w:val="0"/>
                <w:sz w:val="21"/>
                <w:szCs w:val="21"/>
                <w:highlight w:val="none"/>
              </w:rPr>
              <w:t>金额</w:t>
            </w:r>
            <w:r>
              <w:rPr>
                <w:rFonts w:hint="eastAsia" w:ascii="宋体" w:hAnsi="宋体" w:cs="宋体"/>
                <w:kern w:val="0"/>
                <w:sz w:val="21"/>
                <w:szCs w:val="21"/>
                <w:highlight w:val="none"/>
                <w:lang w:val="en-US" w:eastAsia="zh-CN"/>
              </w:rPr>
              <w:t>/最高限价</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床旁支气管镜</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300000.00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w:t>
      </w:r>
      <w:r>
        <w:rPr>
          <w:rFonts w:hint="eastAsia" w:ascii="宋体" w:hAnsi="宋体" w:cs="宋体"/>
          <w:bCs/>
          <w:kern w:val="0"/>
          <w:sz w:val="24"/>
          <w:szCs w:val="24"/>
          <w:lang w:val="en-US" w:eastAsia="zh-CN"/>
        </w:rPr>
        <w:t>1</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w:t>
      </w:r>
      <w:r>
        <w:rPr>
          <w:rFonts w:hint="eastAsia" w:ascii="宋体" w:hAnsi="宋体" w:cs="宋体"/>
          <w:bCs/>
          <w:kern w:val="0"/>
          <w:sz w:val="24"/>
          <w:szCs w:val="24"/>
          <w:lang w:val="en-US" w:eastAsia="zh-CN"/>
        </w:rPr>
        <w:t>1</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7、</w:t>
      </w:r>
      <w:r>
        <w:rPr>
          <w:rFonts w:hint="eastAsia" w:ascii="宋体" w:hAnsi="宋体" w:cs="宋体"/>
          <w:sz w:val="24"/>
          <w:szCs w:val="24"/>
          <w:highlight w:val="none"/>
          <w:lang w:val="en-US" w:eastAsia="zh-CN" w:bidi="ar-SA"/>
        </w:rPr>
        <w:t>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（1）《政府采购促进中小企业发展管理办法》财库〔2020〕46号；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（2）《关于进一步加大政府采购支持中小企业力度的通知》（财库〔2022〕19号）；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（3）《财政部司法部关于政府采购支持监狱企业发展有关问题的通知》财库[2014]68号；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（4）《三部门联合发布关于促进残疾人就业政府采购政策的通知》（财库[2017]141号）；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（5）《财政部发展改革委生态环境部市场监管总局关于调整优化节能产品、环境标志产品政府采购执行机制的通知》（财库〔2019〕9号）；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（6）《财政部国家发展改革委关于印发〈节能产品政府采购实施意见〉的通知》（财库[2004]185号）；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（7）《财政部环保总局关于环境标志产品政府采购实施的意见》财库[2006]90号；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（8）《陕西省中小企业政府采购信用融资办法》（陕财办采〔2018〕23号）；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（9）《国务院办公厅关于建立政府强制采购节能产品制度的通知》（国办发〔2007〕51号）；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（10）《财政部农业农村部国家乡村振兴局关于运用政府采购政策支持乡村产业振兴的通知》（财库〔2021〕19 号）；</w:t>
      </w:r>
    </w:p>
    <w:p>
      <w:pPr>
        <w:widowControl/>
        <w:numPr>
          <w:ilvl w:val="0"/>
          <w:numId w:val="0"/>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（11）《财政部住房城乡建设部工业和信息化部关于扩大政府采购绿色建材促进建筑品质提升政策实施范围的通知》（财库〔2022〕35号）；</w:t>
      </w:r>
    </w:p>
    <w:p>
      <w:pPr>
        <w:widowControl/>
        <w:numPr>
          <w:ilvl w:val="0"/>
          <w:numId w:val="0"/>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eastAsia="宋体" w:cs="宋体"/>
          <w:kern w:val="0"/>
          <w:sz w:val="24"/>
          <w:szCs w:val="24"/>
        </w:rPr>
        <w:t>（12）其他需要落实的政府采购政策；</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yellow"/>
        </w:rPr>
      </w:pPr>
      <w:r>
        <w:rPr>
          <w:rFonts w:hint="eastAsia" w:ascii="宋体" w:hAnsi="宋体" w:eastAsia="宋体" w:cs="宋体"/>
          <w:kern w:val="0"/>
          <w:sz w:val="24"/>
          <w:szCs w:val="24"/>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rPr>
        <w:t>时间</w:t>
      </w:r>
      <w:r>
        <w:rPr>
          <w:rFonts w:hint="eastAsia" w:ascii="宋体" w:hAnsi="宋体" w:eastAsia="宋体" w:cs="宋体"/>
          <w:sz w:val="24"/>
          <w:szCs w:val="24"/>
          <w:highlight w:val="none"/>
        </w:rPr>
        <w:t>：</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16日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yellow"/>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bookmarkStart w:id="238" w:name="_GoBack"/>
      <w:bookmarkEnd w:id="238"/>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许芳芳 刘嘉辉 陈晓航</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yellow"/>
        </w:rPr>
        <w:sectPr>
          <w:footerReference r:id="rId7"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w:t>
      </w:r>
      <w:r>
        <w:rPr>
          <w:rFonts w:hint="eastAsia" w:ascii="宋体" w:hAnsi="宋体" w:eastAsia="宋体" w:cs="宋体"/>
          <w:b/>
          <w:bCs/>
          <w:kern w:val="0"/>
          <w:sz w:val="24"/>
          <w:szCs w:val="24"/>
          <w:highlight w:val="none"/>
        </w:rPr>
        <w:t>20</w:t>
      </w:r>
      <w:r>
        <w:rPr>
          <w:rFonts w:hint="eastAsia" w:ascii="宋体" w:hAnsi="宋体" w:eastAsia="宋体" w:cs="宋体"/>
          <w:b/>
          <w:bCs/>
          <w:kern w:val="0"/>
          <w:sz w:val="24"/>
          <w:szCs w:val="24"/>
          <w:highlight w:val="none"/>
          <w:lang w:val="en-US" w:eastAsia="zh-CN"/>
        </w:rPr>
        <w:t>24</w:t>
      </w:r>
      <w:r>
        <w:rPr>
          <w:rFonts w:hint="eastAsia" w:ascii="宋体" w:hAnsi="宋体" w:eastAsia="宋体" w:cs="宋体"/>
          <w:b/>
          <w:bCs/>
          <w:kern w:val="0"/>
          <w:sz w:val="24"/>
          <w:szCs w:val="24"/>
          <w:highlight w:val="none"/>
        </w:rPr>
        <w:t>年</w:t>
      </w:r>
      <w:r>
        <w:rPr>
          <w:rFonts w:hint="eastAsia" w:ascii="宋体" w:hAnsi="宋体" w:eastAsia="宋体" w:cs="宋体"/>
          <w:b/>
          <w:bCs/>
          <w:kern w:val="0"/>
          <w:sz w:val="24"/>
          <w:szCs w:val="24"/>
          <w:highlight w:val="none"/>
          <w:lang w:val="en-US" w:eastAsia="zh-CN"/>
        </w:rPr>
        <w:t>01</w:t>
      </w:r>
      <w:r>
        <w:rPr>
          <w:rFonts w:hint="eastAsia" w:ascii="宋体" w:hAnsi="宋体" w:eastAsia="宋体" w:cs="宋体"/>
          <w:b/>
          <w:bCs/>
          <w:kern w:val="0"/>
          <w:sz w:val="24"/>
          <w:szCs w:val="24"/>
          <w:highlight w:val="none"/>
        </w:rPr>
        <w:t>月</w:t>
      </w:r>
      <w:r>
        <w:rPr>
          <w:rFonts w:hint="eastAsia" w:ascii="宋体" w:hAnsi="宋体" w:eastAsia="宋体" w:cs="宋体"/>
          <w:b/>
          <w:bCs/>
          <w:kern w:val="0"/>
          <w:sz w:val="24"/>
          <w:szCs w:val="24"/>
          <w:highlight w:val="none"/>
          <w:lang w:val="en-US" w:eastAsia="zh-CN"/>
        </w:rPr>
        <w:t>16</w:t>
      </w:r>
      <w:r>
        <w:rPr>
          <w:rFonts w:hint="eastAsia" w:ascii="宋体" w:hAnsi="宋体" w:eastAsia="宋体" w:cs="宋体"/>
          <w:b/>
          <w:bCs/>
          <w:kern w:val="0"/>
          <w:sz w:val="24"/>
          <w:szCs w:val="24"/>
          <w:highlight w:val="none"/>
        </w:rPr>
        <w:t>日</w:t>
      </w:r>
    </w:p>
    <w:p>
      <w:pPr>
        <w:pStyle w:val="2"/>
        <w:rPr>
          <w:rFonts w:ascii="宋体" w:hAnsi="宋体" w:cs="宋体"/>
        </w:rPr>
      </w:pPr>
      <w:bookmarkStart w:id="4" w:name="_Toc438048787"/>
      <w:bookmarkStart w:id="5" w:name="_Toc30089"/>
      <w:bookmarkStart w:id="6" w:name="_Toc29946"/>
      <w:r>
        <w:rPr>
          <w:rFonts w:hint="eastAsia" w:ascii="宋体" w:hAnsi="宋体" w:cs="宋体"/>
        </w:rPr>
        <w:t>第二部分 供应商须知前附表</w:t>
      </w:r>
      <w:bookmarkEnd w:id="4"/>
      <w:bookmarkEnd w:id="5"/>
      <w:bookmarkEnd w:id="6"/>
    </w:p>
    <w:tbl>
      <w:tblPr>
        <w:tblStyle w:val="20"/>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widowControl/>
              <w:numPr>
                <w:ilvl w:val="0"/>
                <w:numId w:val="0"/>
              </w:numPr>
              <w:wordWrap w:val="0"/>
              <w:snapToGrid w:val="0"/>
              <w:spacing w:line="312" w:lineRule="auto"/>
              <w:jc w:val="left"/>
              <w:rPr>
                <w:rFonts w:ascii="宋体" w:hAnsi="宋体" w:eastAsia="宋体" w:cs="宋体"/>
                <w:szCs w:val="21"/>
              </w:rPr>
            </w:pPr>
            <w:r>
              <w:rPr>
                <w:rFonts w:hint="eastAsia" w:ascii="宋体" w:hAnsi="宋体" w:eastAsia="宋体" w:cs="宋体"/>
                <w:kern w:val="0"/>
                <w:sz w:val="21"/>
                <w:szCs w:val="21"/>
                <w:lang w:eastAsia="zh-CN"/>
              </w:rPr>
              <w:t>西安市长安区医院医疗设备采购项目（二次）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5"/>
              <w:rPr>
                <w:rFonts w:hint="default" w:asciiTheme="minorEastAsia" w:hAnsiTheme="minorEastAsia" w:eastAsiaTheme="minorEastAsia" w:cstheme="minorEastAsia"/>
                <w:b w:val="0"/>
                <w:kern w:val="2"/>
                <w:sz w:val="21"/>
                <w:szCs w:val="21"/>
                <w:highlight w:val="none"/>
                <w:lang w:val="en-US" w:eastAsia="zh-CN" w:bidi="ar-SA"/>
              </w:rPr>
            </w:pPr>
            <w:r>
              <w:rPr>
                <w:rFonts w:hint="eastAsia" w:asciiTheme="minorEastAsia" w:hAnsiTheme="minorEastAsia" w:eastAsiaTheme="minorEastAsia" w:cstheme="minorEastAsia"/>
                <w:b w:val="0"/>
                <w:kern w:val="2"/>
                <w:sz w:val="21"/>
                <w:szCs w:val="21"/>
                <w:highlight w:val="none"/>
                <w:lang w:val="en-US" w:eastAsia="zh-CN" w:bidi="ar-SA"/>
              </w:rPr>
              <w:t>联  系  人：何老师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hint="default" w:ascii="宋体" w:hAnsi="宋体" w:eastAsia="宋体" w:cs="宋体"/>
                <w:szCs w:val="21"/>
                <w:lang w:val="en-US"/>
              </w:rPr>
            </w:pPr>
            <w:r>
              <w:rPr>
                <w:rFonts w:hint="eastAsia" w:ascii="宋体" w:hAnsi="宋体" w:eastAsia="宋体" w:cs="宋体"/>
                <w:szCs w:val="21"/>
              </w:rPr>
              <w:t xml:space="preserve">联   系   人：崔方明 </w:t>
            </w:r>
            <w:r>
              <w:rPr>
                <w:rFonts w:hint="eastAsia" w:ascii="宋体" w:hAnsi="宋体" w:eastAsia="宋体" w:cs="宋体"/>
                <w:szCs w:val="21"/>
                <w:lang w:val="en-US" w:eastAsia="zh-CN"/>
              </w:rPr>
              <w:t>许芳芳 陈晓航 刘嘉辉</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3</w:t>
            </w:r>
            <w:r>
              <w:rPr>
                <w:rFonts w:hint="eastAsia" w:ascii="宋体" w:hAnsi="宋体" w:cs="宋体"/>
                <w:bCs/>
                <w:kern w:val="0"/>
                <w:szCs w:val="21"/>
              </w:rPr>
              <w:t>年</w:t>
            </w:r>
            <w:r>
              <w:rPr>
                <w:rFonts w:hint="eastAsia" w:ascii="宋体" w:hAnsi="宋体" w:cs="宋体"/>
                <w:bCs/>
                <w:kern w:val="0"/>
                <w:szCs w:val="21"/>
                <w:lang w:val="en-US" w:eastAsia="zh-CN"/>
              </w:rPr>
              <w:t>1</w:t>
            </w:r>
            <w:r>
              <w:rPr>
                <w:rFonts w:hint="eastAsia" w:ascii="宋体" w:hAnsi="宋体" w:cs="宋体"/>
                <w:bCs/>
                <w:kern w:val="0"/>
                <w:szCs w:val="21"/>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3</w:t>
            </w:r>
            <w:r>
              <w:rPr>
                <w:rFonts w:hint="eastAsia" w:ascii="宋体" w:hAnsi="宋体" w:cs="宋体"/>
                <w:bCs/>
                <w:kern w:val="0"/>
                <w:szCs w:val="21"/>
              </w:rPr>
              <w:t>年</w:t>
            </w:r>
            <w:r>
              <w:rPr>
                <w:rFonts w:hint="eastAsia" w:ascii="宋体" w:hAnsi="宋体" w:cs="宋体"/>
                <w:bCs/>
                <w:kern w:val="0"/>
                <w:szCs w:val="21"/>
                <w:lang w:val="en-US" w:eastAsia="zh-CN"/>
              </w:rPr>
              <w:t>1</w:t>
            </w:r>
            <w:r>
              <w:rPr>
                <w:rFonts w:hint="eastAsia" w:ascii="宋体" w:hAnsi="宋体" w:cs="宋体"/>
                <w:bCs/>
                <w:kern w:val="0"/>
                <w:szCs w:val="21"/>
              </w:rPr>
              <w:t>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22</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cstheme="minorBidi"/>
                <w:b/>
                <w:bCs/>
                <w:szCs w:val="20"/>
              </w:rPr>
            </w:pPr>
            <w:r>
              <w:rPr>
                <w:rFonts w:hint="eastAsia" w:ascii="宋体" w:hAnsi="宋体" w:cs="宋体"/>
                <w:szCs w:val="21"/>
                <w:lang w:val="en-US" w:eastAsia="zh-CN"/>
              </w:rPr>
              <w:t>7</w:t>
            </w:r>
            <w:r>
              <w:rPr>
                <w:rFonts w:hint="eastAsia" w:ascii="宋体" w:hAnsi="宋体" w:cs="宋体"/>
                <w:szCs w:val="21"/>
              </w:rPr>
              <w:t>、供应商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8</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6"/>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cs="宋体" w:eastAsiaTheme="minorEastAsia"/>
                <w:szCs w:val="21"/>
                <w:lang w:eastAsia="zh-CN"/>
              </w:rPr>
            </w:pPr>
            <w:r>
              <w:rPr>
                <w:rFonts w:hint="eastAsia" w:asciiTheme="minorEastAsia" w:hAnsiTheme="minorEastAsia" w:cstheme="minorEastAsia"/>
                <w:szCs w:val="21"/>
              </w:rPr>
              <w:t>1</w:t>
            </w:r>
            <w:r>
              <w:rPr>
                <w:rFonts w:hint="eastAsia" w:asciiTheme="minorEastAsia" w:hAnsiTheme="minorEastAsia" w:cstheme="minorEastAsia"/>
                <w:szCs w:val="21"/>
                <w:lang w:val="en-US" w:eastAsia="zh-CN"/>
              </w:rPr>
              <w:t>3</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cs="宋体" w:eastAsiaTheme="minorEastAsia"/>
                <w:szCs w:val="21"/>
                <w:lang w:eastAsia="zh-CN"/>
              </w:rPr>
            </w:pPr>
            <w:r>
              <w:rPr>
                <w:rFonts w:hint="eastAsia" w:asciiTheme="minorEastAsia" w:hAnsiTheme="minorEastAsia" w:cstheme="minorEastAsia"/>
                <w:szCs w:val="21"/>
              </w:rPr>
              <w:t>1</w:t>
            </w:r>
            <w:r>
              <w:rPr>
                <w:rFonts w:hint="eastAsia" w:asciiTheme="minorEastAsia" w:hAnsiTheme="minorEastAsia" w:cstheme="minorEastAsia"/>
                <w:szCs w:val="21"/>
                <w:lang w:val="en-US" w:eastAsia="zh-CN"/>
              </w:rPr>
              <w:t>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hAnsi="宋体" w:cs="宋体"/>
                <w:szCs w:val="21"/>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pPr>
        <w:ind w:firstLine="240" w:firstLineChars="100"/>
        <w:rPr>
          <w:rFonts w:ascii="宋体" w:hAnsi="宋体" w:eastAsia="宋体" w:cs="宋体"/>
          <w:sz w:val="24"/>
          <w:szCs w:val="24"/>
        </w:rPr>
      </w:pPr>
    </w:p>
    <w:p>
      <w:pPr>
        <w:pStyle w:val="2"/>
        <w:keepLines w:val="0"/>
        <w:ind w:firstLine="643" w:firstLineChars="200"/>
        <w:rPr>
          <w:rFonts w:ascii="宋体" w:hAnsi="宋体" w:cs="宋体"/>
        </w:rPr>
        <w:sectPr>
          <w:footerReference r:id="rId8" w:type="default"/>
          <w:pgSz w:w="11906" w:h="16838"/>
          <w:pgMar w:top="1440" w:right="1803" w:bottom="1440" w:left="1803" w:header="851" w:footer="992" w:gutter="0"/>
          <w:cols w:space="0" w:num="1"/>
          <w:docGrid w:type="lines" w:linePitch="317" w:charSpace="0"/>
        </w:sectPr>
      </w:pPr>
    </w:p>
    <w:p>
      <w:pPr>
        <w:pStyle w:val="2"/>
        <w:keepLines w:val="0"/>
        <w:ind w:firstLine="643" w:firstLineChars="200"/>
        <w:rPr>
          <w:rFonts w:ascii="宋体" w:hAnsi="宋体" w:cs="宋体"/>
        </w:rPr>
      </w:pPr>
      <w:bookmarkStart w:id="7" w:name="_Toc19272"/>
      <w:bookmarkStart w:id="8" w:name="_Toc13785"/>
      <w:r>
        <w:rPr>
          <w:rFonts w:hint="eastAsia" w:ascii="宋体" w:hAnsi="宋体" w:cs="宋体"/>
        </w:rPr>
        <w:t>第三部分 供应商须知</w:t>
      </w:r>
      <w:bookmarkEnd w:id="7"/>
      <w:bookmarkEnd w:id="8"/>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9" w:name="_Toc28262"/>
      <w:bookmarkStart w:id="10" w:name="_Toc26739"/>
      <w:r>
        <w:rPr>
          <w:rFonts w:hint="eastAsia" w:ascii="宋体" w:hAnsi="宋体" w:eastAsia="宋体" w:cs="宋体"/>
          <w:b/>
          <w:bCs/>
          <w:kern w:val="0"/>
          <w:sz w:val="32"/>
          <w:szCs w:val="28"/>
        </w:rPr>
        <w:t>总则</w:t>
      </w:r>
      <w:bookmarkEnd w:id="9"/>
      <w:bookmarkEnd w:id="10"/>
    </w:p>
    <w:p>
      <w:pPr>
        <w:pStyle w:val="4"/>
        <w:numPr>
          <w:ilvl w:val="0"/>
          <w:numId w:val="4"/>
        </w:numPr>
        <w:spacing w:line="500" w:lineRule="exact"/>
        <w:ind w:firstLine="643" w:firstLineChars="200"/>
        <w:rPr>
          <w:rFonts w:ascii="宋体" w:hAnsi="宋体" w:eastAsia="宋体" w:cs="宋体"/>
          <w:szCs w:val="28"/>
        </w:rPr>
      </w:pPr>
      <w:bookmarkStart w:id="11" w:name="_Toc380336725"/>
      <w:bookmarkStart w:id="12" w:name="_Toc6742"/>
      <w:bookmarkStart w:id="13" w:name="_Toc358364319"/>
      <w:bookmarkStart w:id="14" w:name="_Toc9257"/>
      <w:r>
        <w:rPr>
          <w:rFonts w:hint="eastAsia" w:ascii="宋体" w:hAnsi="宋体" w:eastAsia="宋体" w:cs="宋体"/>
          <w:szCs w:val="28"/>
        </w:rPr>
        <w:t>适用范围</w:t>
      </w:r>
      <w:bookmarkEnd w:id="11"/>
      <w:bookmarkEnd w:id="12"/>
      <w:bookmarkEnd w:id="13"/>
      <w:bookmarkEnd w:id="14"/>
    </w:p>
    <w:p>
      <w:pPr>
        <w:widowControl/>
        <w:spacing w:line="500" w:lineRule="exact"/>
        <w:ind w:firstLine="420" w:firstLineChars="175"/>
        <w:rPr>
          <w:rFonts w:ascii="宋体" w:hAnsi="宋体" w:eastAsia="宋体" w:cs="宋体"/>
          <w:kern w:val="0"/>
          <w:sz w:val="24"/>
          <w:szCs w:val="24"/>
        </w:rPr>
      </w:pPr>
      <w:r>
        <w:rPr>
          <w:rFonts w:hint="eastAsia" w:ascii="宋体" w:hAnsi="宋体" w:eastAsia="宋体" w:cs="宋体"/>
          <w:kern w:val="0"/>
          <w:sz w:val="24"/>
          <w:szCs w:val="24"/>
        </w:rPr>
        <w:t>1.1 本谈判文件适用于本次采购活动的全过程。</w:t>
      </w:r>
    </w:p>
    <w:p>
      <w:pPr>
        <w:widowControl/>
        <w:spacing w:line="500" w:lineRule="exact"/>
        <w:ind w:firstLine="420" w:firstLineChars="175"/>
        <w:rPr>
          <w:rFonts w:ascii="宋体" w:hAnsi="宋体" w:eastAsia="宋体" w:cs="宋体"/>
          <w:kern w:val="0"/>
          <w:sz w:val="24"/>
          <w:szCs w:val="24"/>
        </w:rPr>
      </w:pPr>
      <w:r>
        <w:rPr>
          <w:rFonts w:hint="eastAsia" w:ascii="宋体" w:hAnsi="宋体" w:eastAsia="宋体" w:cs="宋体"/>
          <w:kern w:val="0"/>
          <w:sz w:val="24"/>
          <w:szCs w:val="24"/>
        </w:rPr>
        <w:t>1.2 本次采购属政府采购，采购人、采购代理机构、供应商、谈判小组的相关行为均受《中华人民共和国政府采购法》及实施条例、财政部规章及政府采购项目所在地有关法规</w:t>
      </w:r>
      <w:r>
        <w:rPr>
          <w:rFonts w:hint="eastAsia" w:ascii="宋体" w:hAnsi="宋体" w:eastAsia="宋体" w:cs="宋体"/>
          <w:color w:val="000000" w:themeColor="text1"/>
          <w:kern w:val="0"/>
          <w:sz w:val="24"/>
          <w:szCs w:val="24"/>
          <w14:textFill>
            <w14:solidFill>
              <w14:schemeClr w14:val="tx1"/>
            </w14:solidFill>
          </w14:textFill>
        </w:rPr>
        <w:t>、规章</w:t>
      </w:r>
      <w:r>
        <w:rPr>
          <w:rFonts w:hint="eastAsia" w:ascii="宋体" w:hAnsi="宋体" w:eastAsia="宋体" w:cs="宋体"/>
          <w:kern w:val="0"/>
          <w:sz w:val="24"/>
          <w:szCs w:val="24"/>
        </w:rPr>
        <w:t>的约束，其权利受到上述法律法规的保护。</w:t>
      </w:r>
    </w:p>
    <w:p>
      <w:pPr>
        <w:pStyle w:val="4"/>
        <w:numPr>
          <w:ilvl w:val="0"/>
          <w:numId w:val="4"/>
        </w:numPr>
        <w:spacing w:line="500" w:lineRule="exact"/>
        <w:ind w:firstLine="482" w:firstLineChars="200"/>
        <w:rPr>
          <w:rFonts w:ascii="宋体" w:hAnsi="宋体" w:eastAsia="宋体" w:cs="宋体"/>
          <w:sz w:val="24"/>
          <w:szCs w:val="24"/>
        </w:rPr>
      </w:pPr>
      <w:bookmarkStart w:id="15" w:name="_Toc380336726"/>
      <w:bookmarkStart w:id="16" w:name="_Toc11287"/>
      <w:bookmarkStart w:id="17" w:name="_Toc358364320"/>
      <w:bookmarkStart w:id="18" w:name="_Toc7922"/>
      <w:r>
        <w:rPr>
          <w:rFonts w:hint="eastAsia" w:ascii="宋体" w:hAnsi="宋体" w:eastAsia="宋体" w:cs="宋体"/>
          <w:sz w:val="24"/>
          <w:szCs w:val="24"/>
        </w:rPr>
        <w:t>定义</w:t>
      </w:r>
      <w:bookmarkEnd w:id="15"/>
      <w:bookmarkEnd w:id="16"/>
      <w:bookmarkEnd w:id="17"/>
      <w:bookmarkEnd w:id="18"/>
      <w:r>
        <w:rPr>
          <w:rFonts w:hint="eastAsia" w:ascii="宋体" w:hAnsi="宋体" w:eastAsia="宋体" w:cs="宋体"/>
          <w:sz w:val="24"/>
          <w:szCs w:val="24"/>
        </w:rPr>
        <w:t xml:space="preserve"> </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2.3 “供应商”是</w:t>
      </w:r>
      <w:r>
        <w:rPr>
          <w:rFonts w:hint="eastAsia" w:ascii="宋体" w:hAnsi="宋体" w:eastAsia="宋体" w:cs="宋体"/>
          <w:sz w:val="24"/>
          <w:szCs w:val="24"/>
        </w:rPr>
        <w:t>参与本项目谈判活动的</w:t>
      </w:r>
      <w:r>
        <w:rPr>
          <w:rFonts w:hint="eastAsia" w:ascii="宋体" w:hAnsi="宋体" w:eastAsia="宋体" w:cs="宋体"/>
          <w:color w:val="000000"/>
          <w:sz w:val="24"/>
          <w:szCs w:val="24"/>
        </w:rPr>
        <w:t>法人、其他组织或自然人</w:t>
      </w:r>
      <w:r>
        <w:rPr>
          <w:rFonts w:hint="eastAsia" w:ascii="宋体" w:hAnsi="宋体" w:eastAsia="宋体" w:cs="宋体"/>
          <w:kern w:val="0"/>
          <w:sz w:val="24"/>
          <w:szCs w:val="24"/>
        </w:rPr>
        <w:t>。</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2.4 “货物” 是指各种形态和种类的物品，包括原材料、燃料、设备、产品等。按照财政部《政府采购进口产品管理办法》（财库[2007]119号）的有关规定，本谈判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2.5 “服务”指除了货物和工程外的其他政府采购对象。包含除货物以外规定由供应商承担的与货物有关的辅助服务。</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widowControl/>
        <w:spacing w:line="500" w:lineRule="exact"/>
        <w:ind w:firstLine="480" w:firstLineChars="200"/>
        <w:rPr>
          <w:rFonts w:ascii="宋体" w:hAnsi="宋体" w:eastAsia="宋体" w:cs="宋体"/>
          <w:kern w:val="0"/>
          <w:sz w:val="24"/>
          <w:szCs w:val="24"/>
        </w:rPr>
      </w:pPr>
    </w:p>
    <w:p>
      <w:pPr>
        <w:pStyle w:val="4"/>
        <w:numPr>
          <w:ilvl w:val="0"/>
          <w:numId w:val="4"/>
        </w:numPr>
        <w:spacing w:line="500" w:lineRule="exact"/>
        <w:ind w:firstLine="643" w:firstLineChars="200"/>
        <w:rPr>
          <w:rFonts w:ascii="宋体" w:hAnsi="宋体" w:eastAsia="宋体" w:cs="宋体"/>
          <w:szCs w:val="28"/>
        </w:rPr>
      </w:pPr>
      <w:bookmarkStart w:id="19" w:name="_Toc358364321"/>
      <w:bookmarkStart w:id="20" w:name="_Toc23781"/>
      <w:bookmarkStart w:id="21" w:name="_Toc17676"/>
      <w:bookmarkStart w:id="22" w:name="_Toc380336727"/>
      <w:r>
        <w:rPr>
          <w:rFonts w:hint="eastAsia" w:ascii="宋体" w:hAnsi="宋体" w:eastAsia="宋体" w:cs="宋体"/>
          <w:szCs w:val="28"/>
        </w:rPr>
        <w:t>合格的</w:t>
      </w:r>
      <w:bookmarkEnd w:id="19"/>
      <w:bookmarkEnd w:id="20"/>
      <w:bookmarkEnd w:id="21"/>
      <w:bookmarkEnd w:id="22"/>
      <w:r>
        <w:rPr>
          <w:rFonts w:hint="eastAsia" w:ascii="宋体" w:hAnsi="宋体" w:eastAsia="宋体" w:cs="宋体"/>
          <w:szCs w:val="28"/>
        </w:rPr>
        <w:t>供应商</w:t>
      </w:r>
    </w:p>
    <w:p>
      <w:pPr>
        <w:numPr>
          <w:ilvl w:val="0"/>
          <w:numId w:val="5"/>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具有本项目生产、制造、加工、供应或实施能力，符合、承认并承诺履行本谈判文件各项规定的国内供应商。</w:t>
      </w:r>
    </w:p>
    <w:p>
      <w:pPr>
        <w:numPr>
          <w:ilvl w:val="0"/>
          <w:numId w:val="5"/>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供应商应遵守有关的国家法律、法规和条例，具备《中华人民共和国政府采购法》和本文件中规定的条件：</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具有独立承担民事责任的能力；</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具有良好的商业信誉和健全的财务会计制度；</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具有履行合同所必需的设备和专业技术能力；</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具有依法缴纳税收和社会保障资金的良好记录；</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参加此项采购活动前三年内，在经营活动中没有重大违法记录；</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法律、行政法规规定的其他条件。</w:t>
      </w:r>
    </w:p>
    <w:p>
      <w:pPr>
        <w:numPr>
          <w:ilvl w:val="0"/>
          <w:numId w:val="5"/>
        </w:numPr>
        <w:spacing w:line="500" w:lineRule="exact"/>
        <w:ind w:left="105" w:leftChars="50" w:firstLine="480" w:firstLineChars="200"/>
        <w:rPr>
          <w:rFonts w:ascii="宋体" w:hAnsi="宋体" w:eastAsia="宋体" w:cs="宋体"/>
          <w:sz w:val="24"/>
          <w:szCs w:val="24"/>
        </w:rPr>
      </w:pPr>
      <w:r>
        <w:rPr>
          <w:rFonts w:hint="eastAsia" w:ascii="宋体" w:hAnsi="宋体" w:eastAsia="宋体" w:cs="宋体"/>
          <w:sz w:val="24"/>
          <w:szCs w:val="24"/>
        </w:rPr>
        <w:t>供应商购买谈判文件时应登记备案，并提供有效联系方式。</w:t>
      </w:r>
    </w:p>
    <w:p>
      <w:pPr>
        <w:numPr>
          <w:ilvl w:val="0"/>
          <w:numId w:val="5"/>
        </w:numPr>
        <w:spacing w:line="500" w:lineRule="exact"/>
        <w:ind w:left="105" w:leftChars="50" w:firstLine="480" w:firstLineChars="200"/>
        <w:rPr>
          <w:rFonts w:ascii="宋体" w:hAnsi="宋体" w:eastAsia="宋体" w:cs="宋体"/>
          <w:sz w:val="24"/>
          <w:szCs w:val="24"/>
        </w:rPr>
      </w:pPr>
      <w:r>
        <w:rPr>
          <w:rFonts w:hint="eastAsia" w:ascii="宋体" w:hAnsi="宋体" w:eastAsia="宋体" w:cs="宋体"/>
          <w:sz w:val="24"/>
          <w:szCs w:val="24"/>
        </w:rPr>
        <w:t>如供应商代表不是法定代表人，须持有《法定代表人授权委托书》 (按谈判文件提供的格式填写)。</w:t>
      </w:r>
    </w:p>
    <w:p>
      <w:pPr>
        <w:numPr>
          <w:ilvl w:val="0"/>
          <w:numId w:val="5"/>
        </w:numPr>
        <w:spacing w:line="500" w:lineRule="exact"/>
        <w:ind w:left="105" w:leftChars="50" w:firstLine="480" w:firstLineChars="200"/>
        <w:rPr>
          <w:rFonts w:ascii="宋体" w:hAnsi="宋体" w:eastAsia="宋体" w:cs="宋体"/>
          <w:kern w:val="0"/>
          <w:sz w:val="24"/>
          <w:szCs w:val="24"/>
        </w:rPr>
      </w:pPr>
      <w:r>
        <w:rPr>
          <w:rFonts w:hint="eastAsia" w:ascii="宋体" w:hAnsi="宋体" w:eastAsia="宋体" w:cs="宋体"/>
          <w:sz w:val="24"/>
          <w:szCs w:val="24"/>
        </w:rPr>
        <w:t>供应商应独立于采购人，不得直接或间接地与采购人为本次采购的货物进行设计、编制技术规格和其它文件所委托的咨询公司或其附属机构有任何关联。</w:t>
      </w:r>
    </w:p>
    <w:p>
      <w:pPr>
        <w:numPr>
          <w:ilvl w:val="0"/>
          <w:numId w:val="5"/>
        </w:numPr>
        <w:spacing w:line="500" w:lineRule="exact"/>
        <w:ind w:left="105" w:leftChars="50" w:firstLine="480" w:firstLineChars="200"/>
        <w:rPr>
          <w:rFonts w:ascii="宋体" w:hAnsi="宋体" w:eastAsia="宋体" w:cs="宋体"/>
          <w:kern w:val="0"/>
          <w:sz w:val="24"/>
          <w:szCs w:val="24"/>
        </w:rPr>
      </w:pPr>
      <w:r>
        <w:rPr>
          <w:rFonts w:hint="eastAsia" w:ascii="宋体" w:hAnsi="宋体" w:eastAsia="宋体" w:cs="宋体"/>
          <w:kern w:val="0"/>
          <w:sz w:val="24"/>
          <w:szCs w:val="24"/>
        </w:rPr>
        <w:t>供应商不得存在下列情形之一：</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（1）与采购人采购代理机构存在隶属关系或者其他利害关系；</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（2）与其他供应商的法定代表人（或者负责人）为同一人，或者与其他供应商存在直接控股、管理关系；</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pStyle w:val="4"/>
        <w:numPr>
          <w:ilvl w:val="0"/>
          <w:numId w:val="4"/>
        </w:numPr>
        <w:spacing w:line="500" w:lineRule="exact"/>
        <w:ind w:firstLine="643" w:firstLineChars="200"/>
        <w:rPr>
          <w:rFonts w:ascii="宋体" w:hAnsi="宋体" w:eastAsia="宋体" w:cs="宋体"/>
          <w:szCs w:val="28"/>
        </w:rPr>
      </w:pPr>
      <w:bookmarkStart w:id="23" w:name="_Toc22444"/>
      <w:bookmarkStart w:id="24" w:name="_Toc358364322"/>
      <w:bookmarkStart w:id="25" w:name="_Toc380336728"/>
      <w:bookmarkStart w:id="26" w:name="_Toc540"/>
      <w:r>
        <w:rPr>
          <w:rFonts w:hint="eastAsia" w:ascii="宋体" w:hAnsi="宋体" w:eastAsia="宋体" w:cs="宋体"/>
          <w:szCs w:val="28"/>
        </w:rPr>
        <w:t>费用</w:t>
      </w:r>
      <w:bookmarkEnd w:id="23"/>
      <w:bookmarkEnd w:id="24"/>
      <w:bookmarkEnd w:id="25"/>
      <w:bookmarkEnd w:id="26"/>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sz w:val="24"/>
          <w:szCs w:val="24"/>
        </w:rPr>
        <w:t xml:space="preserve"> 供应商</w:t>
      </w:r>
      <w:r>
        <w:rPr>
          <w:rFonts w:hint="eastAsia" w:ascii="宋体" w:hAnsi="宋体" w:eastAsia="宋体" w:cs="宋体"/>
          <w:kern w:val="0"/>
          <w:sz w:val="24"/>
          <w:szCs w:val="24"/>
        </w:rPr>
        <w:t>应承担所有与准备和参加谈判有关的费用，采购代理机构（或采购人)在任何情况下均无义务和责任承担这些费用。</w:t>
      </w:r>
    </w:p>
    <w:p>
      <w:pPr>
        <w:pStyle w:val="4"/>
        <w:numPr>
          <w:ilvl w:val="0"/>
          <w:numId w:val="4"/>
        </w:numPr>
        <w:spacing w:line="500" w:lineRule="exact"/>
        <w:ind w:firstLine="643" w:firstLineChars="200"/>
        <w:rPr>
          <w:rFonts w:ascii="宋体" w:hAnsi="宋体" w:eastAsia="宋体" w:cs="宋体"/>
          <w:szCs w:val="28"/>
        </w:rPr>
      </w:pPr>
      <w:r>
        <w:rPr>
          <w:rFonts w:hint="eastAsia" w:ascii="宋体" w:hAnsi="宋体" w:eastAsia="宋体" w:cs="宋体"/>
          <w:szCs w:val="28"/>
        </w:rPr>
        <w:t>采购进口产品</w:t>
      </w:r>
    </w:p>
    <w:p>
      <w:pPr>
        <w:widowControl/>
        <w:wordWrap w:val="0"/>
        <w:snapToGrid w:val="0"/>
        <w:spacing w:line="360" w:lineRule="auto"/>
        <w:ind w:right="-92" w:rightChars="-44" w:firstLine="480" w:firstLineChars="200"/>
        <w:jc w:val="left"/>
        <w:rPr>
          <w:rFonts w:ascii="宋体" w:hAnsi="宋体" w:eastAsia="宋体" w:cs="宋体"/>
          <w:kern w:val="0"/>
          <w:sz w:val="28"/>
          <w:szCs w:val="28"/>
        </w:rPr>
      </w:pPr>
      <w:r>
        <w:rPr>
          <w:rFonts w:hint="eastAsia" w:ascii="宋体" w:hAnsi="宋体" w:eastAsia="宋体" w:cs="宋体"/>
          <w:kern w:val="0"/>
          <w:sz w:val="24"/>
          <w:szCs w:val="24"/>
        </w:rPr>
        <w:t xml:space="preserve"> 5.1 除供应商须知前附表另有规定外，本项目</w:t>
      </w:r>
      <w:r>
        <w:rPr>
          <w:rFonts w:hint="eastAsia" w:ascii="宋体" w:hAnsi="宋体" w:eastAsia="宋体" w:cs="宋体"/>
          <w:kern w:val="0"/>
          <w:sz w:val="24"/>
          <w:szCs w:val="24"/>
          <w:lang w:eastAsia="zh-CN"/>
        </w:rPr>
        <w:t>拒绝</w:t>
      </w:r>
      <w:r>
        <w:rPr>
          <w:rFonts w:hint="eastAsia" w:ascii="宋体" w:hAnsi="宋体" w:eastAsia="宋体" w:cs="宋体"/>
          <w:kern w:val="0"/>
          <w:sz w:val="24"/>
          <w:szCs w:val="24"/>
        </w:rPr>
        <w:t>进口产品参加采购活动。</w:t>
      </w:r>
    </w:p>
    <w:p>
      <w:pPr>
        <w:widowControl/>
        <w:wordWrap w:val="0"/>
        <w:snapToGrid w:val="0"/>
        <w:spacing w:line="360" w:lineRule="auto"/>
        <w:ind w:right="-92" w:rightChars="-44"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5.2 本项目第五部分采购要求中同意购买进口产品的，采购活动不限制满足谈判文件要求的国产产品参与本次采购。</w:t>
      </w:r>
    </w:p>
    <w:p>
      <w:pPr>
        <w:pStyle w:val="4"/>
        <w:numPr>
          <w:ilvl w:val="0"/>
          <w:numId w:val="4"/>
        </w:numPr>
        <w:spacing w:afterLines="100" w:line="500" w:lineRule="exact"/>
        <w:ind w:firstLine="643"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6.3 产品同时属于“非强制采购节能产品”、环境标志产品的，评审时只有其中一项能享受优先待遇（供应商自行选择，并在报价文件中填写相关信息及数据）。</w:t>
      </w:r>
    </w:p>
    <w:p>
      <w:pPr>
        <w:pStyle w:val="15"/>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27" w:name="_Toc114"/>
      <w:r>
        <w:rPr>
          <w:rFonts w:hint="eastAsia" w:ascii="宋体" w:hAnsi="宋体" w:eastAsia="宋体" w:cs="宋体"/>
          <w:b/>
          <w:bCs/>
          <w:kern w:val="0"/>
          <w:sz w:val="32"/>
          <w:szCs w:val="28"/>
        </w:rPr>
        <w:t>竞争性谈判文件</w:t>
      </w:r>
      <w:bookmarkEnd w:id="27"/>
    </w:p>
    <w:p>
      <w:pPr>
        <w:pStyle w:val="4"/>
        <w:numPr>
          <w:ilvl w:val="0"/>
          <w:numId w:val="7"/>
        </w:numPr>
        <w:rPr>
          <w:rFonts w:ascii="宋体" w:hAnsi="宋体" w:eastAsia="宋体" w:cs="宋体"/>
        </w:rPr>
      </w:pPr>
      <w:bookmarkStart w:id="28" w:name="_Toc5801"/>
      <w:r>
        <w:rPr>
          <w:rFonts w:hint="eastAsia" w:ascii="宋体" w:hAnsi="宋体" w:eastAsia="宋体" w:cs="宋体"/>
        </w:rPr>
        <w:t>竞争性谈判文件的构成</w:t>
      </w:r>
      <w:bookmarkEnd w:id="28"/>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谈判响应文件和参加谈判的依据，同时也是评审的重要依据，具有准法律文件性质。竞争性谈判文件用以阐明采购项目所需的资质、技术、服务及报价等要求、谈判程序、有关规定和注意事项以及合同主要条款等。本竞争性谈判文件包括以下内容：</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合同条款；</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谈判响应文件格式。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rPr>
        <w:t>供应商应认真阅读和充分理解竞争性谈判文件中所有的事项、格式条款和规范要求。供应商没有对竞争性谈判文件全面做出实质性响应是供应商的风险。没有按照竞争性谈判文件要求作出实质性响应的谈判响应文件将被拒绝。</w:t>
      </w:r>
    </w:p>
    <w:p>
      <w:pPr>
        <w:pStyle w:val="4"/>
        <w:numPr>
          <w:ilvl w:val="0"/>
          <w:numId w:val="7"/>
        </w:numPr>
        <w:rPr>
          <w:rFonts w:ascii="宋体" w:hAnsi="宋体" w:eastAsia="宋体" w:cs="宋体"/>
        </w:rPr>
      </w:pPr>
      <w:bookmarkStart w:id="29" w:name="_Toc19797"/>
      <w:r>
        <w:rPr>
          <w:rFonts w:hint="eastAsia" w:ascii="宋体" w:hAnsi="宋体" w:eastAsia="宋体" w:cs="宋体"/>
        </w:rPr>
        <w:t>竞争性谈判文件的澄清</w:t>
      </w:r>
      <w:bookmarkEnd w:id="29"/>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任何对竞争性谈判文件进行询问或要求进行澄清的供应商，均应在收到竞争性谈判文件后二日内按竞争性谈判文件中的通讯地址以书面形式递交代理机构，采购人或代理机构对收到的任何询问或澄清要求将在三个工作日内作出书面答复。</w:t>
      </w:r>
    </w:p>
    <w:p>
      <w:pPr>
        <w:pStyle w:val="4"/>
        <w:numPr>
          <w:ilvl w:val="0"/>
          <w:numId w:val="7"/>
        </w:numPr>
        <w:rPr>
          <w:rFonts w:ascii="宋体" w:hAnsi="宋体" w:eastAsia="宋体" w:cs="宋体"/>
        </w:rPr>
      </w:pPr>
      <w:bookmarkStart w:id="30" w:name="_Toc6390"/>
      <w:r>
        <w:rPr>
          <w:rFonts w:hint="eastAsia" w:ascii="宋体" w:hAnsi="宋体" w:eastAsia="宋体" w:cs="宋体"/>
        </w:rPr>
        <w:t>竞争性谈判文件的修改</w:t>
      </w:r>
      <w:bookmarkEnd w:id="30"/>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三日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谈判响应文件的截止期三日前，将变更时间书面通知所有购买竞争性谈判文件的供应商。</w:t>
      </w:r>
    </w:p>
    <w:p>
      <w:pPr>
        <w:pStyle w:val="4"/>
        <w:numPr>
          <w:ilvl w:val="0"/>
          <w:numId w:val="7"/>
        </w:numPr>
        <w:rPr>
          <w:rFonts w:ascii="宋体" w:hAnsi="宋体" w:eastAsia="宋体" w:cs="宋体"/>
        </w:rPr>
      </w:pPr>
      <w:bookmarkStart w:id="31" w:name="_Toc31188"/>
      <w:r>
        <w:rPr>
          <w:rFonts w:hint="eastAsia" w:ascii="宋体" w:hAnsi="宋体" w:eastAsia="宋体" w:cs="宋体"/>
        </w:rPr>
        <w:t>竞争性谈判文件的获取</w:t>
      </w:r>
      <w:bookmarkEnd w:id="31"/>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供应商必须从代理机构购买竞争性谈判文件，供应商自行转让或复制竞争性谈判文件视为无效。竞争性谈判文件一经售出，一律不退，仅作为本次竞争性谈判使用。</w:t>
      </w:r>
    </w:p>
    <w:p>
      <w:pPr>
        <w:pStyle w:val="4"/>
        <w:numPr>
          <w:ilvl w:val="0"/>
          <w:numId w:val="7"/>
        </w:numPr>
        <w:rPr>
          <w:rFonts w:ascii="宋体" w:hAnsi="宋体" w:eastAsia="宋体" w:cs="宋体"/>
        </w:rPr>
      </w:pPr>
      <w:bookmarkStart w:id="32" w:name="_Toc5095"/>
      <w:r>
        <w:rPr>
          <w:rFonts w:hint="eastAsia" w:ascii="宋体" w:hAnsi="宋体" w:eastAsia="宋体" w:cs="宋体"/>
        </w:rPr>
        <w:t>竞争性谈判文件的解释权归代理机构。</w:t>
      </w:r>
      <w:bookmarkEnd w:id="32"/>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sectPr>
          <w:pgSz w:w="11906" w:h="16838"/>
          <w:pgMar w:top="1440" w:right="1803" w:bottom="1440" w:left="1803" w:header="851" w:footer="992" w:gutter="0"/>
          <w:cols w:space="0" w:num="1"/>
          <w:docGrid w:type="lines" w:linePitch="317" w:charSpace="0"/>
        </w:sectPr>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33" w:name="_Toc26810"/>
      <w:r>
        <w:rPr>
          <w:rFonts w:hint="eastAsia" w:ascii="宋体" w:hAnsi="宋体" w:eastAsia="宋体" w:cs="宋体"/>
          <w:b/>
          <w:bCs/>
          <w:kern w:val="0"/>
          <w:sz w:val="32"/>
          <w:szCs w:val="28"/>
        </w:rPr>
        <w:t>谈判响应文件</w:t>
      </w:r>
      <w:bookmarkEnd w:id="33"/>
    </w:p>
    <w:p>
      <w:pPr>
        <w:pStyle w:val="4"/>
        <w:numPr>
          <w:ilvl w:val="0"/>
          <w:numId w:val="9"/>
        </w:numPr>
        <w:rPr>
          <w:rFonts w:ascii="宋体" w:hAnsi="宋体" w:eastAsia="宋体" w:cs="宋体"/>
        </w:rPr>
      </w:pPr>
      <w:bookmarkStart w:id="34" w:name="_Toc17549"/>
      <w:r>
        <w:rPr>
          <w:rFonts w:hint="eastAsia" w:ascii="宋体" w:hAnsi="宋体" w:eastAsia="宋体" w:cs="宋体"/>
        </w:rPr>
        <w:t>谈判响应文件的编制</w:t>
      </w:r>
      <w:bookmarkEnd w:id="34"/>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谈判响应文件必须根据代理机构发售的竞争性谈判文件格式和顺序认真编制。具体内容包括：</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rPr>
        <w:t>响应函；</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rPr>
        <w:t>响应一览表；</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分项报价表</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供应商资质要求</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商务和技术响应偏差表</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技术支持资料；</w:t>
      </w:r>
    </w:p>
    <w:p>
      <w:pPr>
        <w:numPr>
          <w:ilvl w:val="0"/>
          <w:numId w:val="10"/>
        </w:numPr>
        <w:tabs>
          <w:tab w:val="left" w:pos="0"/>
        </w:tabs>
        <w:adjustRightInd w:val="0"/>
        <w:snapToGrid w:val="0"/>
        <w:spacing w:line="440" w:lineRule="exact"/>
        <w:ind w:left="210" w:leftChars="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供应商业绩一览表；</w:t>
      </w:r>
    </w:p>
    <w:p>
      <w:pPr>
        <w:numPr>
          <w:ilvl w:val="0"/>
          <w:numId w:val="0"/>
        </w:numPr>
        <w:tabs>
          <w:tab w:val="left" w:pos="0"/>
        </w:tabs>
        <w:adjustRightInd w:val="0"/>
        <w:snapToGrid w:val="0"/>
        <w:spacing w:line="440" w:lineRule="exact"/>
        <w:ind w:left="420" w:leftChars="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）供应商认为有必要说明的其他问题；</w:t>
      </w:r>
    </w:p>
    <w:p>
      <w:pPr>
        <w:numPr>
          <w:ilvl w:val="0"/>
          <w:numId w:val="0"/>
        </w:numPr>
        <w:tabs>
          <w:tab w:val="left" w:pos="0"/>
        </w:tabs>
        <w:adjustRightInd w:val="0"/>
        <w:snapToGrid w:val="0"/>
        <w:spacing w:line="440" w:lineRule="exact"/>
        <w:ind w:left="420" w:leftChars="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）供应商承诺书</w:t>
      </w:r>
    </w:p>
    <w:p>
      <w:pPr>
        <w:pStyle w:val="4"/>
        <w:numPr>
          <w:ilvl w:val="0"/>
          <w:numId w:val="9"/>
        </w:numPr>
        <w:rPr>
          <w:rFonts w:ascii="宋体" w:hAnsi="宋体" w:eastAsia="宋体" w:cs="宋体"/>
        </w:rPr>
      </w:pPr>
      <w:bookmarkStart w:id="35" w:name="_Toc27646"/>
      <w:r>
        <w:rPr>
          <w:rFonts w:hint="eastAsia" w:ascii="宋体" w:hAnsi="宋体" w:eastAsia="宋体" w:cs="宋体"/>
        </w:rPr>
        <w:t>谈判报价</w:t>
      </w:r>
      <w:bookmarkEnd w:id="35"/>
    </w:p>
    <w:p>
      <w:pPr>
        <w:numPr>
          <w:ilvl w:val="0"/>
          <w:numId w:val="11"/>
        </w:numPr>
        <w:spacing w:line="360" w:lineRule="auto"/>
        <w:rPr>
          <w:rFonts w:ascii="宋体" w:hAnsi="宋体" w:eastAsia="宋体" w:cs="宋体"/>
          <w:sz w:val="24"/>
        </w:rPr>
      </w:pPr>
      <w:r>
        <w:rPr>
          <w:rFonts w:hint="eastAsia" w:ascii="宋体" w:hAnsi="宋体" w:eastAsia="宋体" w:cs="宋体"/>
          <w:sz w:val="24"/>
        </w:rPr>
        <w:t>供应商应在报价表中标明完成本次谈判所要求的货物、服务且验收合格的所有费用，包括</w:t>
      </w:r>
      <w:r>
        <w:rPr>
          <w:rFonts w:hint="eastAsia" w:ascii="宋体" w:hAnsi="宋体" w:eastAsia="宋体" w:cs="宋体"/>
          <w:sz w:val="24"/>
          <w:szCs w:val="24"/>
        </w:rPr>
        <w:t>包含产品价格、运杂费、人工服务费、产品发放、调换货过程中产生的一切相关费用</w:t>
      </w:r>
      <w:r>
        <w:rPr>
          <w:rFonts w:hint="eastAsia" w:ascii="宋体" w:hAnsi="宋体" w:eastAsia="宋体" w:cs="宋体"/>
          <w:sz w:val="24"/>
        </w:rPr>
        <w:t>等。报价表中标明本次货物、服务的总价，任何有选择的报价将不予接受，否则按无效谈判处理。</w:t>
      </w:r>
    </w:p>
    <w:p>
      <w:pPr>
        <w:numPr>
          <w:ilvl w:val="0"/>
          <w:numId w:val="11"/>
        </w:numPr>
        <w:spacing w:line="360" w:lineRule="auto"/>
        <w:rPr>
          <w:rFonts w:ascii="宋体" w:hAnsi="宋体" w:eastAsia="宋体" w:cs="宋体"/>
          <w:sz w:val="24"/>
        </w:rPr>
      </w:pPr>
      <w:r>
        <w:rPr>
          <w:rFonts w:hint="eastAsia" w:ascii="宋体" w:hAnsi="宋体" w:eastAsia="宋体" w:cs="宋体"/>
          <w:sz w:val="24"/>
          <w:szCs w:val="24"/>
        </w:rPr>
        <w:t>报价表成交的价格，在合同执行过程中，不得以任何理由变更</w:t>
      </w:r>
      <w:r>
        <w:rPr>
          <w:rFonts w:hint="eastAsia" w:ascii="宋体" w:hAnsi="宋体" w:eastAsia="宋体" w:cs="宋体"/>
          <w:sz w:val="24"/>
        </w:rPr>
        <w:t>。</w:t>
      </w:r>
    </w:p>
    <w:p>
      <w:pPr>
        <w:numPr>
          <w:ilvl w:val="0"/>
          <w:numId w:val="11"/>
        </w:numPr>
        <w:spacing w:line="360" w:lineRule="auto"/>
        <w:rPr>
          <w:rFonts w:eastAsia="宋体"/>
        </w:rPr>
      </w:pPr>
      <w:r>
        <w:rPr>
          <w:rFonts w:hint="eastAsia" w:ascii="宋体" w:hAnsi="宋体" w:eastAsia="宋体" w:cs="宋体"/>
          <w:sz w:val="24"/>
          <w:szCs w:val="24"/>
        </w:rPr>
        <w:t>供应商</w:t>
      </w:r>
      <w:r>
        <w:rPr>
          <w:rFonts w:hint="eastAsia" w:ascii="宋体" w:hAnsi="宋体" w:eastAsia="宋体" w:cs="宋体"/>
          <w:sz w:val="24"/>
        </w:rPr>
        <w:t>应在谈判响应文件中的响应一览表上，标明所投产品</w:t>
      </w:r>
      <w:r>
        <w:rPr>
          <w:rFonts w:hint="eastAsia" w:ascii="宋体" w:hAnsi="宋体" w:eastAsia="宋体" w:cs="宋体"/>
          <w:sz w:val="24"/>
          <w:lang w:eastAsia="zh-CN"/>
        </w:rPr>
        <w:t>总报价</w:t>
      </w:r>
      <w:r>
        <w:rPr>
          <w:rFonts w:hint="eastAsia" w:ascii="宋体" w:hAnsi="宋体" w:eastAsia="宋体" w:cs="宋体"/>
          <w:sz w:val="24"/>
        </w:rPr>
        <w:t>、</w:t>
      </w:r>
      <w:r>
        <w:rPr>
          <w:rFonts w:hint="eastAsia" w:ascii="宋体" w:hAnsi="宋体" w:eastAsia="宋体" w:cs="宋体"/>
          <w:sz w:val="24"/>
          <w:highlight w:val="none"/>
          <w:lang w:eastAsia="zh-CN"/>
        </w:rPr>
        <w:t>交货期</w:t>
      </w:r>
      <w:r>
        <w:rPr>
          <w:rFonts w:hint="eastAsia" w:ascii="宋体" w:hAnsi="宋体" w:eastAsia="宋体" w:cs="宋体"/>
          <w:sz w:val="24"/>
        </w:rPr>
        <w:t>、</w:t>
      </w:r>
      <w:r>
        <w:rPr>
          <w:rFonts w:hint="eastAsia" w:ascii="宋体" w:hAnsi="宋体" w:eastAsia="宋体" w:cs="宋体"/>
          <w:sz w:val="24"/>
          <w:lang w:val="en-US" w:eastAsia="zh-CN"/>
        </w:rPr>
        <w:t>质保期</w:t>
      </w:r>
      <w:r>
        <w:rPr>
          <w:rFonts w:hint="eastAsia" w:ascii="宋体" w:hAnsi="宋体" w:eastAsia="宋体" w:cs="宋体"/>
          <w:sz w:val="24"/>
        </w:rPr>
        <w:t>；任何有选择的报价不予接受。</w:t>
      </w:r>
    </w:p>
    <w:p>
      <w:pPr>
        <w:pStyle w:val="4"/>
        <w:numPr>
          <w:ilvl w:val="0"/>
          <w:numId w:val="9"/>
        </w:numPr>
        <w:rPr>
          <w:rFonts w:ascii="宋体" w:hAnsi="宋体" w:eastAsia="宋体" w:cs="宋体"/>
        </w:rPr>
      </w:pPr>
      <w:bookmarkStart w:id="36" w:name="_Toc29200"/>
      <w:r>
        <w:rPr>
          <w:rFonts w:hint="eastAsia" w:ascii="宋体" w:hAnsi="宋体" w:eastAsia="宋体" w:cs="宋体"/>
        </w:rPr>
        <w:t>谈判货币</w:t>
      </w:r>
      <w:bookmarkEnd w:id="36"/>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采购人只接受人民币作为唯一的谈判货币。</w:t>
      </w:r>
    </w:p>
    <w:p>
      <w:pPr>
        <w:pStyle w:val="4"/>
        <w:numPr>
          <w:ilvl w:val="0"/>
          <w:numId w:val="9"/>
        </w:numPr>
        <w:rPr>
          <w:rFonts w:ascii="宋体" w:hAnsi="宋体" w:eastAsia="宋体" w:cs="宋体"/>
        </w:rPr>
      </w:pPr>
      <w:bookmarkStart w:id="37" w:name="_Toc19668"/>
      <w:r>
        <w:rPr>
          <w:rFonts w:hint="eastAsia" w:ascii="宋体" w:hAnsi="宋体" w:eastAsia="宋体" w:cs="宋体"/>
        </w:rPr>
        <w:t>谈判有效期</w:t>
      </w:r>
      <w:bookmarkEnd w:id="37"/>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谈判有效期为递交谈判响应文件截止时间起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90</w:t>
      </w:r>
      <w:r>
        <w:rPr>
          <w:rFonts w:hint="eastAsia" w:ascii="宋体" w:hAnsi="宋体" w:eastAsia="宋体" w:cs="宋体"/>
          <w:sz w:val="24"/>
          <w:szCs w:val="24"/>
        </w:rPr>
        <w:t>个日历日，谈判有效期短于此规定期限的谈判响应文件，视为无效文件，其谈判将被拒绝。成交单位的谈判响应文件有效期延长至合同执行完毕。</w:t>
      </w:r>
    </w:p>
    <w:p>
      <w:pPr>
        <w:pStyle w:val="4"/>
        <w:numPr>
          <w:ilvl w:val="0"/>
          <w:numId w:val="9"/>
        </w:numPr>
        <w:rPr>
          <w:rFonts w:ascii="宋体" w:hAnsi="宋体" w:eastAsia="宋体" w:cs="宋体"/>
          <w:szCs w:val="32"/>
        </w:rPr>
      </w:pPr>
      <w:bookmarkStart w:id="38" w:name="_Toc24827"/>
      <w:r>
        <w:rPr>
          <w:rFonts w:hint="eastAsia" w:ascii="宋体" w:hAnsi="宋体" w:eastAsia="宋体" w:cs="宋体"/>
        </w:rPr>
        <w:t>谈判响应文件的格式、装订、密封和签署</w:t>
      </w:r>
      <w:bookmarkEnd w:id="38"/>
    </w:p>
    <w:p>
      <w:pPr>
        <w:numPr>
          <w:ilvl w:val="0"/>
          <w:numId w:val="12"/>
        </w:numPr>
        <w:tabs>
          <w:tab w:val="left" w:pos="0"/>
        </w:tabs>
        <w:spacing w:line="360" w:lineRule="auto"/>
        <w:ind w:right="-92" w:rightChars="-44"/>
        <w:rPr>
          <w:rFonts w:ascii="宋体" w:hAnsi="宋体" w:eastAsia="宋体" w:cs="宋体"/>
          <w:sz w:val="24"/>
          <w:szCs w:val="24"/>
        </w:rPr>
      </w:pPr>
      <w:r>
        <w:rPr>
          <w:rFonts w:hint="eastAsia" w:ascii="宋体" w:hAnsi="宋体" w:eastAsia="宋体" w:cs="宋体"/>
          <w:sz w:val="24"/>
          <w:szCs w:val="24"/>
        </w:rPr>
        <w:t>供应商须依据竞争性谈判文件内容和谈判响应文件格式的要求编制谈判响应文件；</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谈判响应文件的正本须打印或用不褪色蓝（黑）墨水（汁）书写，谈判响应文件的打印</w:t>
      </w:r>
      <w:r>
        <w:rPr>
          <w:rFonts w:hint="eastAsia" w:ascii="宋体" w:hAnsi="宋体" w:eastAsia="宋体" w:cs="宋体"/>
          <w:b/>
          <w:bCs/>
          <w:sz w:val="24"/>
          <w:szCs w:val="24"/>
        </w:rPr>
        <w:t>（推荐双面打印）</w:t>
      </w:r>
      <w:r>
        <w:rPr>
          <w:rFonts w:hint="eastAsia" w:ascii="宋体" w:hAnsi="宋体" w:eastAsia="宋体" w:cs="宋体"/>
          <w:sz w:val="24"/>
          <w:szCs w:val="24"/>
        </w:rPr>
        <w:t>和书写应清楚工整，任何行间插字、涂改和增删，必须由供应商的法定代表人或其授权代表签字或加盖个人印章，字迹潦草或表达不清或可能导致非唯一理解的谈判响应文件可能视为无效文件；所有的副本可以为正本的复印件。在每一页的正下方清楚标明页码；</w:t>
      </w:r>
    </w:p>
    <w:p>
      <w:pPr>
        <w:numPr>
          <w:ilvl w:val="0"/>
          <w:numId w:val="12"/>
        </w:num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谈判响应文件的装订</w:t>
      </w:r>
    </w:p>
    <w:p>
      <w:pPr>
        <w:tabs>
          <w:tab w:val="left" w:pos="0"/>
        </w:tabs>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谈判响应文件正本壹份、副本叁份，分别胶装装订成册，且封面须清楚地标明“正本”或“副本”；若正本和副本不符，以正本书面文件为准；同时提供与正本内容一致的</w:t>
      </w:r>
      <w:bookmarkStart w:id="39" w:name="OLE_LINK13"/>
      <w:r>
        <w:rPr>
          <w:rFonts w:hint="eastAsia" w:ascii="宋体" w:hAnsi="宋体" w:eastAsia="宋体" w:cs="宋体"/>
          <w:sz w:val="24"/>
          <w:szCs w:val="24"/>
        </w:rPr>
        <w:t>电子版</w:t>
      </w:r>
      <w:bookmarkEnd w:id="39"/>
      <w:r>
        <w:rPr>
          <w:rFonts w:hint="eastAsia" w:ascii="宋体" w:hAnsi="宋体" w:eastAsia="宋体" w:cs="宋体"/>
          <w:sz w:val="24"/>
          <w:szCs w:val="24"/>
        </w:rPr>
        <w:t>（U盘、</w:t>
      </w:r>
      <w:r>
        <w:rPr>
          <w:rFonts w:hint="eastAsia" w:ascii="宋体" w:hAnsi="宋体" w:eastAsia="宋体" w:cs="宋体"/>
          <w:b/>
          <w:bCs/>
          <w:sz w:val="24"/>
          <w:szCs w:val="24"/>
        </w:rPr>
        <w:t>电子文档应为PDF与WORD格式各一份）</w:t>
      </w:r>
      <w:r>
        <w:rPr>
          <w:rFonts w:hint="eastAsia" w:ascii="宋体" w:hAnsi="宋体" w:eastAsia="宋体" w:cs="宋体"/>
          <w:sz w:val="24"/>
          <w:szCs w:val="24"/>
        </w:rPr>
        <w:t>、响应一览表壹份</w:t>
      </w:r>
      <w:r>
        <w:rPr>
          <w:rFonts w:hint="eastAsia" w:ascii="宋体" w:hAnsi="宋体" w:eastAsia="宋体" w:cs="宋体"/>
          <w:b/>
          <w:bCs/>
          <w:sz w:val="24"/>
          <w:szCs w:val="24"/>
        </w:rPr>
        <w:t>（</w:t>
      </w:r>
      <w:r>
        <w:rPr>
          <w:rFonts w:hint="eastAsia" w:ascii="宋体" w:hAnsi="宋体" w:eastAsia="宋体" w:cs="宋体"/>
          <w:sz w:val="24"/>
          <w:szCs w:val="24"/>
        </w:rPr>
        <w:t>用于谈判单独提交的“响应一览表”应为原件</w:t>
      </w:r>
      <w:r>
        <w:rPr>
          <w:rFonts w:hint="eastAsia" w:ascii="宋体" w:hAnsi="宋体" w:eastAsia="宋体" w:cs="宋体"/>
          <w:b/>
          <w:bCs/>
          <w:sz w:val="24"/>
          <w:szCs w:val="24"/>
        </w:rPr>
        <w:t>）。</w:t>
      </w:r>
    </w:p>
    <w:p>
      <w:pPr>
        <w:numPr>
          <w:ilvl w:val="0"/>
          <w:numId w:val="12"/>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谈判响应文件的签署</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供应商在谈判响应文件中指定的页面的落款处，按竞争性谈判文件要求由供应商的法定代表人或其授权代表在规定的签章处签字</w:t>
      </w:r>
      <w:r>
        <w:rPr>
          <w:rFonts w:hint="eastAsia" w:ascii="宋体" w:hAnsi="宋体" w:eastAsia="宋体" w:cs="宋体"/>
          <w:sz w:val="24"/>
          <w:szCs w:val="24"/>
          <w:lang w:eastAsia="zh-CN"/>
        </w:rPr>
        <w:t>或</w:t>
      </w:r>
      <w:r>
        <w:rPr>
          <w:rFonts w:hint="eastAsia" w:ascii="宋体" w:hAnsi="宋体" w:eastAsia="宋体" w:cs="宋体"/>
          <w:sz w:val="24"/>
          <w:szCs w:val="24"/>
        </w:rPr>
        <w:t>盖章。</w:t>
      </w:r>
    </w:p>
    <w:p>
      <w:pPr>
        <w:numPr>
          <w:ilvl w:val="0"/>
          <w:numId w:val="12"/>
        </w:num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谈判响应文件的密封</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sz w:val="24"/>
          <w:szCs w:val="24"/>
        </w:rPr>
        <w:t>谈判响应文件正本、所有的副本、电子版、响应一览表需分开密封装在单独的封袋中（封袋不得有破损），且在封袋正面标明“正本”“副本”“电子版”“响应一览表”字样。封袋应加贴封条封袋正面要粘贴供应商全称、项目名称、编号等标识、且</w:t>
      </w:r>
      <w:r>
        <w:rPr>
          <w:rFonts w:hint="eastAsia" w:ascii="宋体" w:hAnsi="宋体" w:eastAsia="宋体" w:cs="宋体"/>
          <w:kern w:val="0"/>
          <w:sz w:val="24"/>
        </w:rPr>
        <w:t>谈判响应文件袋上应加盖供应商公章（</w:t>
      </w:r>
      <w:r>
        <w:rPr>
          <w:rFonts w:hint="eastAsia" w:ascii="宋体" w:hAnsi="宋体" w:eastAsia="宋体" w:cs="宋体"/>
          <w:sz w:val="24"/>
          <w:szCs w:val="24"/>
        </w:rPr>
        <w:t>封面标识见竞争性谈判文件</w:t>
      </w:r>
      <w:r>
        <w:rPr>
          <w:rFonts w:hint="eastAsia" w:ascii="宋体" w:hAnsi="宋体" w:eastAsia="宋体" w:cs="宋体"/>
          <w:b/>
          <w:bCs/>
          <w:sz w:val="24"/>
          <w:szCs w:val="24"/>
        </w:rPr>
        <w:t>附件一</w:t>
      </w:r>
      <w:r>
        <w:rPr>
          <w:rFonts w:hint="eastAsia" w:ascii="宋体" w:hAnsi="宋体" w:eastAsia="宋体" w:cs="宋体"/>
          <w:sz w:val="24"/>
          <w:szCs w:val="24"/>
        </w:rPr>
        <w:t>）</w:t>
      </w:r>
      <w:r>
        <w:rPr>
          <w:rFonts w:hint="eastAsia" w:ascii="宋体" w:hAnsi="宋体" w:eastAsia="宋体" w:cs="宋体"/>
          <w:kern w:val="0"/>
          <w:sz w:val="24"/>
        </w:rPr>
        <w:t>如果未按上述规定进行密封，供应商的谈判响应文件有权被拒绝</w:t>
      </w:r>
      <w:r>
        <w:rPr>
          <w:rFonts w:hint="eastAsia" w:ascii="宋体" w:hAnsi="宋体" w:eastAsia="宋体" w:cs="宋体"/>
          <w:sz w:val="24"/>
          <w:szCs w:val="24"/>
        </w:rPr>
        <w:t>。</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sz w:val="24"/>
          <w:szCs w:val="24"/>
        </w:rPr>
        <w:t>（5）如果供应商未按上述要求密封及加写标记，误投或过早启封的谈判响应文件，将自行承担其谈判响应文件被视为无效谈判响应文件的风险。</w:t>
      </w:r>
    </w:p>
    <w:p>
      <w:pPr>
        <w:spacing w:line="360" w:lineRule="auto"/>
        <w:ind w:left="420" w:leftChars="200"/>
        <w:rPr>
          <w:rFonts w:ascii="宋体" w:hAnsi="宋体" w:eastAsia="宋体" w:cs="宋体"/>
          <w:sz w:val="24"/>
          <w:szCs w:val="24"/>
        </w:rPr>
      </w:pPr>
      <w:r>
        <w:rPr>
          <w:rFonts w:hint="eastAsia" w:ascii="宋体" w:hAnsi="宋体" w:eastAsia="宋体" w:cs="宋体"/>
          <w:sz w:val="24"/>
          <w:szCs w:val="24"/>
        </w:rPr>
        <w:t>（6）本次谈判只接受简体中文文字的谈判响应文件；如谈判响应文件中出现外文资料，必须配以中文译文。否则，由此引发的一切责任由供应商自负。</w:t>
      </w:r>
    </w:p>
    <w:p>
      <w:pPr>
        <w:widowControl/>
        <w:spacing w:line="360" w:lineRule="auto"/>
        <w:ind w:left="420" w:leftChars="200"/>
        <w:rPr>
          <w:rFonts w:ascii="宋体" w:hAnsi="宋体" w:eastAsia="宋体" w:cs="宋体"/>
          <w:kern w:val="0"/>
          <w:sz w:val="24"/>
        </w:rPr>
      </w:pPr>
      <w:r>
        <w:rPr>
          <w:rFonts w:hint="eastAsia" w:ascii="宋体" w:hAnsi="宋体" w:eastAsia="宋体" w:cs="宋体"/>
          <w:kern w:val="0"/>
          <w:sz w:val="24"/>
        </w:rPr>
        <w:t>（7）拒绝接受以电话、传真、电子邮件形式的谈判。</w:t>
      </w:r>
    </w:p>
    <w:p>
      <w:pPr>
        <w:pStyle w:val="4"/>
        <w:numPr>
          <w:ilvl w:val="0"/>
          <w:numId w:val="9"/>
        </w:numPr>
        <w:rPr>
          <w:rFonts w:ascii="宋体" w:hAnsi="宋体" w:eastAsia="宋体" w:cs="宋体"/>
        </w:rPr>
      </w:pPr>
      <w:bookmarkStart w:id="40" w:name="_Toc22752"/>
      <w:r>
        <w:rPr>
          <w:rFonts w:hint="eastAsia" w:ascii="宋体" w:hAnsi="宋体" w:eastAsia="宋体" w:cs="宋体"/>
        </w:rPr>
        <w:t>知识产权</w:t>
      </w:r>
      <w:bookmarkEnd w:id="40"/>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采购人享有本项目在实施过程中产生的知识成果及知识产权。</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供应商如欲在项目实施过程中采用自有知识成果，需在谈判响应文件中声明，并提供相关知识产权证明文件。使用该知识成果后，供应商须提供开发接口和开发手册等技术文档，并承诺提供无限期技术支持，采购人享有永久使用权。</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如供应商所不拥有的知识产权，则在谈判报价中必须包括合法获取该知识产权的相关费用。</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sectPr>
          <w:pgSz w:w="11906" w:h="16838"/>
          <w:pgMar w:top="1440" w:right="1803" w:bottom="1440" w:left="1803" w:header="851" w:footer="992" w:gutter="0"/>
          <w:cols w:space="0" w:num="1"/>
          <w:docGrid w:type="lines" w:linePitch="317" w:charSpace="0"/>
        </w:sectPr>
      </w:pPr>
      <w:bookmarkStart w:id="41" w:name="_Toc3736"/>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42" w:name="_Toc3565"/>
      <w:bookmarkStart w:id="43" w:name="_Toc17391"/>
      <w:r>
        <w:rPr>
          <w:rFonts w:hint="eastAsia" w:ascii="宋体" w:hAnsi="宋体" w:eastAsia="宋体" w:cs="宋体"/>
          <w:b/>
          <w:bCs/>
          <w:kern w:val="0"/>
          <w:sz w:val="32"/>
          <w:szCs w:val="28"/>
        </w:rPr>
        <w:t>谈判响应文件的递交</w:t>
      </w:r>
      <w:bookmarkEnd w:id="42"/>
      <w:bookmarkEnd w:id="43"/>
    </w:p>
    <w:bookmarkEnd w:id="41"/>
    <w:p>
      <w:pPr>
        <w:pStyle w:val="4"/>
        <w:numPr>
          <w:ilvl w:val="0"/>
          <w:numId w:val="14"/>
        </w:numPr>
        <w:rPr>
          <w:rFonts w:ascii="宋体" w:hAnsi="宋体" w:eastAsia="宋体" w:cs="宋体"/>
        </w:rPr>
      </w:pPr>
      <w:bookmarkStart w:id="44" w:name="_Toc3685"/>
      <w:r>
        <w:rPr>
          <w:rFonts w:hint="eastAsia" w:ascii="宋体" w:hAnsi="宋体" w:eastAsia="宋体" w:cs="宋体"/>
        </w:rPr>
        <w:t>谈判响应文件递交</w:t>
      </w:r>
      <w:bookmarkEnd w:id="44"/>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供应商必须在竞争性谈判文件规定的谈判响应文件递交截止时间之前，将全部谈判响应文件递交至代理机构项目工作人员；代理机构项目承办人在竞争性谈判文件规定的谈判响应文件递交截止时间前，只负责谈判响应文件的接收、清点、造册登记工作，并请供应商代表签字确认，对其有效性不负任何责任。</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代理机构在宣布递交谈判响应文件时间截止之后，拒绝接收任何人送达、递交的谈判响应文件；</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代理机构不接受邮寄的谈判响应文件；</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无论供应商成交与否，其谈判响应文件恕不退还。</w:t>
      </w:r>
    </w:p>
    <w:p>
      <w:pPr>
        <w:pStyle w:val="4"/>
        <w:numPr>
          <w:ilvl w:val="0"/>
          <w:numId w:val="14"/>
        </w:numPr>
        <w:rPr>
          <w:rFonts w:ascii="宋体" w:hAnsi="宋体" w:eastAsia="宋体" w:cs="宋体"/>
        </w:rPr>
      </w:pPr>
      <w:bookmarkStart w:id="45" w:name="_Toc12741"/>
      <w:r>
        <w:rPr>
          <w:rFonts w:hint="eastAsia" w:ascii="宋体" w:hAnsi="宋体" w:eastAsia="宋体" w:cs="宋体"/>
        </w:rPr>
        <w:t>谈判响应文件的修改和撤回</w:t>
      </w:r>
      <w:bookmarkEnd w:id="45"/>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在谈判截止时间之后，供应商不得对其递交的谈判响应文件做任何修改或撤回。</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46" w:name="_Toc27066"/>
      <w:bookmarkStart w:id="47" w:name="_Toc9776"/>
      <w:bookmarkStart w:id="48" w:name="_Toc14415"/>
      <w:r>
        <w:rPr>
          <w:rFonts w:hint="eastAsia" w:ascii="宋体" w:hAnsi="宋体" w:eastAsia="宋体" w:cs="宋体"/>
          <w:b/>
          <w:bCs/>
          <w:kern w:val="0"/>
          <w:sz w:val="32"/>
          <w:szCs w:val="28"/>
        </w:rPr>
        <w:t>谈判、评审、定标</w:t>
      </w:r>
      <w:bookmarkEnd w:id="46"/>
      <w:bookmarkEnd w:id="47"/>
      <w:bookmarkEnd w:id="48"/>
    </w:p>
    <w:p>
      <w:pPr>
        <w:pStyle w:val="4"/>
        <w:numPr>
          <w:ilvl w:val="0"/>
          <w:numId w:val="16"/>
        </w:numPr>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1.3谈判时，谈判响应文件中出现下列情况，修正原则为：</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4"/>
        <w:numPr>
          <w:ilvl w:val="0"/>
          <w:numId w:val="16"/>
        </w:numPr>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谈判小组对各供应商的谈判响应文件进行审查、评估和比较，并推荐出成交候选人。</w:t>
      </w:r>
    </w:p>
    <w:p>
      <w:pPr>
        <w:pStyle w:val="4"/>
        <w:numPr>
          <w:ilvl w:val="0"/>
          <w:numId w:val="16"/>
        </w:numPr>
        <w:rPr>
          <w:rFonts w:ascii="宋体" w:hAnsi="宋体" w:eastAsia="宋体" w:cs="宋体"/>
        </w:rPr>
      </w:pPr>
      <w:bookmarkStart w:id="49" w:name="_Toc386129876"/>
      <w:bookmarkStart w:id="50" w:name="_Toc27940"/>
      <w:bookmarkStart w:id="51" w:name="_Toc28085"/>
      <w:bookmarkStart w:id="52" w:name="_Toc385958808"/>
      <w:r>
        <w:rPr>
          <w:rFonts w:hint="eastAsia" w:ascii="宋体" w:hAnsi="宋体" w:eastAsia="宋体" w:cs="宋体"/>
        </w:rPr>
        <w:t>谈判响应文件初审</w:t>
      </w:r>
      <w:bookmarkEnd w:id="49"/>
      <w:bookmarkEnd w:id="50"/>
      <w:bookmarkEnd w:id="51"/>
      <w:bookmarkEnd w:id="52"/>
    </w:p>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谈判响应文件的资格性审查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w:t>
      </w:r>
      <w:r>
        <w:rPr>
          <w:rFonts w:hint="eastAsia" w:ascii="宋体" w:hAnsi="宋体" w:eastAsia="宋体" w:cs="宋体"/>
          <w:kern w:val="0"/>
          <w:sz w:val="24"/>
          <w:lang w:val="en-US" w:eastAsia="zh-CN"/>
        </w:rPr>
        <w:t>由采购人或者采购代理机构</w:t>
      </w:r>
      <w:r>
        <w:rPr>
          <w:rFonts w:hint="eastAsia" w:ascii="宋体" w:hAnsi="宋体" w:eastAsia="宋体" w:cs="宋体"/>
          <w:kern w:val="0"/>
          <w:sz w:val="24"/>
        </w:rPr>
        <w:t>对谈判响应文件中的资格证明文件等进行审查，以确保供应商是否具备相应资格。</w:t>
      </w:r>
    </w:p>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谈判响应文件符合性审查</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依据竞争性谈判文件的规定，</w:t>
      </w:r>
      <w:r>
        <w:rPr>
          <w:rFonts w:hint="eastAsia" w:ascii="宋体" w:hAnsi="宋体" w:eastAsia="宋体" w:cs="宋体"/>
          <w:kern w:val="0"/>
          <w:sz w:val="24"/>
          <w:lang w:val="en-US" w:eastAsia="zh-CN"/>
        </w:rPr>
        <w:t>由谈判小组</w:t>
      </w:r>
      <w:r>
        <w:rPr>
          <w:rFonts w:hint="eastAsia" w:ascii="宋体" w:hAnsi="宋体" w:eastAsia="宋体" w:cs="宋体"/>
          <w:kern w:val="0"/>
          <w:sz w:val="24"/>
        </w:rPr>
        <w:t>从谈判响应文件的有效性、完整性和对竞争性谈判文件的响应程度进行审查，以确定是否对竞争性谈判文件的实质性内容作出响应。</w:t>
      </w:r>
    </w:p>
    <w:tbl>
      <w:tblPr>
        <w:tblStyle w:val="21"/>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7"/>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restart"/>
            <w:vAlign w:val="center"/>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符合性</w:t>
            </w:r>
          </w:p>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审查</w:t>
            </w: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1</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2</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3</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4</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lang w:val="en-US" w:eastAsia="zh-CN"/>
              </w:rPr>
              <w:t>谈判</w:t>
            </w:r>
            <w:r>
              <w:rPr>
                <w:rFonts w:hint="eastAsia" w:ascii="宋体" w:hAnsi="宋体" w:cs="宋体"/>
                <w:kern w:val="0"/>
                <w:szCs w:val="21"/>
              </w:rPr>
              <w:t>有效期</w:t>
            </w:r>
            <w:r>
              <w:rPr>
                <w:rFonts w:hint="eastAsia" w:ascii="宋体" w:hAnsi="宋体" w:cs="宋体"/>
                <w:kern w:val="0"/>
                <w:szCs w:val="21"/>
                <w:lang w:eastAsia="zh-CN"/>
              </w:rPr>
              <w:t>、</w:t>
            </w:r>
            <w:r>
              <w:rPr>
                <w:rFonts w:hint="eastAsia" w:ascii="宋体" w:hAnsi="宋体" w:cs="宋体"/>
                <w:kern w:val="0"/>
                <w:szCs w:val="21"/>
                <w:lang w:val="en-US" w:eastAsia="zh-CN"/>
              </w:rPr>
              <w:t>交货期、质保期</w:t>
            </w:r>
            <w:r>
              <w:rPr>
                <w:rFonts w:hint="eastAsia" w:ascii="宋体" w:hAnsi="宋体" w:cs="宋体"/>
                <w:kern w:val="0"/>
                <w:szCs w:val="21"/>
              </w:rPr>
              <w:t>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5</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szCs w:val="21"/>
                <w:highlight w:val="none"/>
                <w:lang w:eastAsia="zh-CN"/>
              </w:rPr>
              <w:t>无</w:t>
            </w:r>
            <w:r>
              <w:rPr>
                <w:rFonts w:hint="eastAsia" w:ascii="宋体" w:hAnsi="宋体" w:cs="宋体"/>
                <w:kern w:val="0"/>
                <w:szCs w:val="21"/>
                <w:lang w:val="en-US" w:eastAsia="zh-CN"/>
              </w:rPr>
              <w:t>谈判</w:t>
            </w:r>
            <w:r>
              <w:rPr>
                <w:rFonts w:hint="eastAsia" w:ascii="宋体" w:hAnsi="宋体" w:cs="宋体"/>
                <w:szCs w:val="21"/>
                <w:highlight w:val="none"/>
              </w:rPr>
              <w:t>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6</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是否符合法律法规和</w:t>
            </w:r>
            <w:r>
              <w:rPr>
                <w:rFonts w:hint="eastAsia" w:ascii="宋体" w:hAnsi="宋体" w:cs="宋体"/>
                <w:kern w:val="0"/>
                <w:szCs w:val="21"/>
                <w:lang w:val="en-US" w:eastAsia="zh-CN"/>
              </w:rPr>
              <w:t>谈判</w:t>
            </w:r>
            <w:r>
              <w:rPr>
                <w:rFonts w:hint="eastAsia" w:ascii="宋体" w:hAnsi="宋体" w:cs="宋体"/>
                <w:kern w:val="0"/>
                <w:szCs w:val="21"/>
              </w:rPr>
              <w:t>文件规定的其他实质性要求</w:t>
            </w:r>
          </w:p>
        </w:tc>
      </w:tr>
    </w:tbl>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经过对供应商及谈判响应文件审查，出现下列情况者（但不限于），按无效谈判处理。</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供应商的谈判报价超过采购预算或最高限价的；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供应商未经过正常渠道购买竞争性谈判文件，或供应商名称与购买竞争性谈判文件时登记的供应商名称不符的；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谈判响应文件的签署、盖章不符合竞争性谈判文件要求；无谈判有效期或有效期达不到竞争性谈判文件要求的；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供应商针对同一项目递交两份或多份内容不同的谈判响应文件，未书面声明哪一份是有效的或出现选择性报价的；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供应商未按竞争性谈判文件要求提供产品的技术参数及产品供货渠道不明确的；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szCs w:val="24"/>
        </w:rPr>
        <w:t>供应商的报价明显低于其他通过符合性审查供应商的报价，有可能影响货物质量或者不能诚信履约的，不能按照谈判小组要求在评审现场合理的时间内提供书面说明及相关证明材料且证明其报价合理性的</w:t>
      </w:r>
      <w:r>
        <w:rPr>
          <w:rFonts w:hint="eastAsia" w:ascii="宋体" w:hAnsi="宋体" w:eastAsia="宋体" w:cs="宋体"/>
          <w:sz w:val="24"/>
        </w:rPr>
        <w:t>；</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谈判报价出现漏项或货物数量与要求不符的；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谈判产品的技术参数、性能指标与竞争性谈判文件要求出现重大负偏差的；或者提供虚假证明（包括第三方的虚假证明），除按无效文件处理外，还将按照政府采购法的有关规定进行处罚；</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谈判响应文件在商务响应方面（付款方式、质保期、交货</w:t>
      </w:r>
      <w:r>
        <w:rPr>
          <w:rFonts w:hint="eastAsia" w:ascii="宋体" w:hAnsi="宋体" w:eastAsia="宋体" w:cs="宋体"/>
          <w:sz w:val="24"/>
          <w:lang w:val="en-US" w:eastAsia="zh-CN"/>
        </w:rPr>
        <w:t>期等</w:t>
      </w:r>
      <w:r>
        <w:rPr>
          <w:rFonts w:hint="eastAsia" w:ascii="宋体" w:hAnsi="宋体" w:eastAsia="宋体" w:cs="宋体"/>
          <w:sz w:val="24"/>
        </w:rPr>
        <w:t>）与竞争性谈判文件要求不一致或附加了采购单位难以接受的条件或条款的；</w:t>
      </w:r>
    </w:p>
    <w:p>
      <w:pPr>
        <w:numPr>
          <w:ilvl w:val="0"/>
          <w:numId w:val="19"/>
        </w:numPr>
        <w:spacing w:line="360" w:lineRule="auto"/>
        <w:ind w:left="0" w:firstLine="480" w:firstLineChars="200"/>
        <w:rPr>
          <w:rFonts w:ascii="宋体" w:hAnsi="宋体" w:eastAsia="宋体" w:cs="宋体"/>
          <w:kern w:val="0"/>
          <w:sz w:val="24"/>
        </w:rPr>
      </w:pPr>
      <w:r>
        <w:rPr>
          <w:rFonts w:hint="eastAsia" w:ascii="宋体" w:hAnsi="宋体" w:eastAsia="宋体" w:cs="宋体"/>
          <w:sz w:val="24"/>
        </w:rPr>
        <w:t>如澄清、说明的内容与谈判响应文件内容有重大相悖或矛盾，将被认定为无效谈判。</w:t>
      </w:r>
    </w:p>
    <w:p>
      <w:pPr>
        <w:pStyle w:val="4"/>
        <w:numPr>
          <w:ilvl w:val="0"/>
          <w:numId w:val="16"/>
        </w:numPr>
        <w:rPr>
          <w:rFonts w:ascii="宋体" w:hAnsi="宋体" w:eastAsia="宋体" w:cs="宋体"/>
        </w:rPr>
      </w:pPr>
      <w:bookmarkStart w:id="53" w:name="_Toc17705"/>
      <w:r>
        <w:rPr>
          <w:rFonts w:hint="eastAsia" w:ascii="宋体" w:hAnsi="宋体" w:eastAsia="宋体" w:cs="宋体"/>
        </w:rPr>
        <w:t>谈判响应文件澄清</w:t>
      </w:r>
      <w:bookmarkEnd w:id="53"/>
    </w:p>
    <w:p>
      <w:pPr>
        <w:overflowPunct w:val="0"/>
        <w:adjustRightInd w:val="0"/>
        <w:snapToGrid w:val="0"/>
        <w:spacing w:line="360" w:lineRule="auto"/>
        <w:ind w:firstLine="480" w:firstLineChars="200"/>
        <w:rPr>
          <w:rFonts w:ascii="宋体" w:hAnsi="宋体" w:eastAsia="宋体" w:cs="宋体"/>
          <w:sz w:val="24"/>
        </w:rPr>
      </w:pPr>
      <w:bookmarkStart w:id="54" w:name="_Toc8353"/>
      <w:r>
        <w:rPr>
          <w:rFonts w:hint="eastAsia" w:ascii="宋体" w:hAnsi="宋体" w:eastAsia="宋体" w:cs="宋体"/>
          <w:sz w:val="24"/>
        </w:rPr>
        <w:t>在评审期间,采购代理机构可根据谈判小组对其谈判响应文件有疑义不清楚的内容，要求供应商对其谈判响应文件进行澄清，有关澄清的要求和答复应以书面形式提交，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供应商应采用书面形式进行澄清或说明，但不得超出谈判响应文件的范围或改变谈判响应文件的实质性内容。</w:t>
      </w:r>
    </w:p>
    <w:p>
      <w:pPr>
        <w:pStyle w:val="4"/>
        <w:numPr>
          <w:ilvl w:val="0"/>
          <w:numId w:val="16"/>
        </w:numPr>
        <w:rPr>
          <w:rFonts w:ascii="宋体" w:hAnsi="宋体" w:eastAsia="宋体" w:cs="宋体"/>
        </w:rPr>
      </w:pPr>
      <w:r>
        <w:rPr>
          <w:rFonts w:hint="eastAsia" w:ascii="宋体" w:hAnsi="宋体" w:eastAsia="宋体" w:cs="宋体"/>
        </w:rPr>
        <w:t>评</w:t>
      </w:r>
      <w:bookmarkEnd w:id="54"/>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5.1、谈判小组有权对在谈判、评审过程中出现的一切问题，根据《中华人民共和国政府采购法》和《政府采购货物和服务招标谈判管理办法》的条款，本着公开、公平、公正的原则进行处理。</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5.2、依据《中华人民共和国政府采购法》和《中华人民共和国政府采购实施条例》的有关规定，落实政府采购“优先购买节能环保产品，扶持小微企业、监狱企业、福利企业”等相关政策，对小型、微型和监狱企业产品的价格给予</w:t>
      </w:r>
      <w:r>
        <w:rPr>
          <w:rFonts w:hint="eastAsia" w:ascii="宋体" w:hAnsi="宋体" w:eastAsia="宋体" w:cs="宋体"/>
          <w:sz w:val="24"/>
          <w:lang w:val="en-US" w:eastAsia="zh-CN"/>
        </w:rPr>
        <w:t>10</w:t>
      </w:r>
      <w:r>
        <w:rPr>
          <w:rFonts w:hint="eastAsia" w:ascii="宋体" w:hAnsi="宋体" w:eastAsia="宋体" w:cs="宋体"/>
          <w:sz w:val="24"/>
        </w:rPr>
        <w:t>%的扣除，用扣除后的价格参与评审。</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谈判小组对供应商作符合性审查，只有通过符合性审查的供应商，才能进入第二阶段的谈判，否则被淘汰。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w:t>
      </w:r>
      <w:r>
        <w:rPr>
          <w:rFonts w:hint="eastAsia" w:ascii="宋体" w:hAnsi="宋体" w:eastAsia="宋体" w:cs="宋体"/>
          <w:b/>
          <w:bCs/>
          <w:sz w:val="24"/>
        </w:rPr>
        <w:t>（谈判轮次为一轮）</w:t>
      </w:r>
      <w:r>
        <w:rPr>
          <w:rFonts w:hint="eastAsia" w:ascii="宋体" w:hAnsi="宋体" w:eastAsia="宋体" w:cs="宋体"/>
          <w:sz w:val="24"/>
        </w:rPr>
        <w:t>，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5.4、如果谈判小组一致认为最低报价或某些分项报价明显不合理，有降低质量、不能诚信履约的可能时，有权通知供应商进行谈判。</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w:t>
      </w:r>
    </w:p>
    <w:p>
      <w:pPr>
        <w:pStyle w:val="4"/>
        <w:numPr>
          <w:ilvl w:val="0"/>
          <w:numId w:val="16"/>
        </w:numPr>
        <w:rPr>
          <w:rFonts w:ascii="宋体" w:hAnsi="宋体" w:eastAsia="宋体" w:cs="宋体"/>
        </w:rPr>
      </w:pPr>
      <w:bookmarkStart w:id="55" w:name="_Toc12947"/>
      <w:r>
        <w:rPr>
          <w:rFonts w:hint="eastAsia" w:ascii="宋体" w:hAnsi="宋体" w:eastAsia="宋体" w:cs="宋体"/>
        </w:rPr>
        <w:t>定标</w:t>
      </w:r>
      <w:bookmarkEnd w:id="55"/>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w:t>
      </w:r>
      <w:r>
        <w:rPr>
          <w:rFonts w:hint="eastAsia" w:ascii="宋体" w:hAnsi="宋体" w:eastAsia="宋体" w:cs="宋体"/>
          <w:sz w:val="24"/>
          <w:lang w:val="en-US" w:eastAsia="zh-CN"/>
        </w:rPr>
        <w:t>成交</w:t>
      </w:r>
      <w:r>
        <w:rPr>
          <w:rFonts w:hint="eastAsia" w:ascii="宋体" w:hAnsi="宋体" w:eastAsia="宋体" w:cs="宋体"/>
          <w:sz w:val="24"/>
        </w:rPr>
        <w:t>复函”后</w:t>
      </w:r>
      <w:r>
        <w:rPr>
          <w:rFonts w:hint="eastAsia" w:ascii="宋体" w:hAnsi="宋体" w:eastAsia="宋体" w:cs="宋体"/>
          <w:sz w:val="24"/>
          <w:lang w:val="en-US" w:eastAsia="zh-CN"/>
        </w:rPr>
        <w:t>1个工作</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56" w:name="_Toc1858"/>
      <w:bookmarkStart w:id="57" w:name="_Toc25308"/>
      <w:bookmarkStart w:id="58" w:name="_Toc19972"/>
      <w:r>
        <w:rPr>
          <w:rFonts w:hint="eastAsia" w:ascii="宋体" w:hAnsi="宋体" w:eastAsia="宋体" w:cs="宋体"/>
          <w:b/>
          <w:bCs/>
          <w:kern w:val="0"/>
          <w:sz w:val="32"/>
          <w:szCs w:val="28"/>
        </w:rPr>
        <w:t>签订合同</w:t>
      </w:r>
      <w:bookmarkEnd w:id="56"/>
      <w:bookmarkEnd w:id="57"/>
      <w:bookmarkEnd w:id="5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成交后，成交供应商与采购人洽谈合同条款，并签订供货合同，同时送代理机构归档，竞争性谈判文件及成交供应商的谈判响应文件均作为合同的组成部分。</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根据需要，代理机构应协助采购人监督、协调和处理履约过程中出现的问题。</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lang w:val="en-US" w:eastAsia="zh-CN"/>
        </w:rPr>
        <w:t>财政部门</w:t>
      </w:r>
      <w:r>
        <w:rPr>
          <w:rFonts w:hint="eastAsia" w:ascii="宋体" w:hAnsi="宋体" w:eastAsia="宋体" w:cs="宋体"/>
          <w:sz w:val="24"/>
        </w:rPr>
        <w:t>在合同履行期间以及履行期后，可以随时检查项目的执行情况，对采购标准、采购内容进行调查核实，并对发现的问题进行处理。</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59" w:name="_Toc26132"/>
      <w:bookmarkStart w:id="60" w:name="_Toc21677"/>
      <w:bookmarkStart w:id="61" w:name="_Toc28110"/>
      <w:r>
        <w:rPr>
          <w:rFonts w:hint="eastAsia" w:ascii="宋体" w:hAnsi="宋体" w:eastAsia="宋体" w:cs="宋体"/>
          <w:b/>
          <w:bCs/>
          <w:kern w:val="0"/>
          <w:sz w:val="32"/>
          <w:szCs w:val="28"/>
        </w:rPr>
        <w:t>代理服务费</w:t>
      </w:r>
      <w:bookmarkEnd w:id="59"/>
      <w:bookmarkEnd w:id="60"/>
      <w:bookmarkEnd w:id="61"/>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1、以本采购项目中标价为基数，参照国家计委关于印发《招标代理服务收费管理暂行办法》的通知（计价格[2002]1980号）和发改办价格[2003]857号规定收取；</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widowControl/>
        <w:numPr>
          <w:ilvl w:val="0"/>
          <w:numId w:val="3"/>
        </w:numPr>
        <w:spacing w:before="159" w:beforeLines="50" w:after="159" w:afterLines="50" w:line="500" w:lineRule="exact"/>
        <w:ind w:firstLine="0"/>
        <w:jc w:val="center"/>
        <w:outlineLvl w:val="1"/>
        <w:rPr>
          <w:rFonts w:ascii="宋体" w:cs="宋体"/>
          <w:b/>
          <w:bCs/>
          <w:kern w:val="0"/>
          <w:sz w:val="32"/>
          <w:szCs w:val="32"/>
        </w:rPr>
      </w:pPr>
      <w:bookmarkStart w:id="62" w:name="_Toc7191"/>
      <w:bookmarkStart w:id="63" w:name="_Toc21950"/>
      <w:bookmarkStart w:id="64" w:name="_Toc7938"/>
      <w:bookmarkStart w:id="65" w:name="_Toc16019"/>
      <w:bookmarkStart w:id="66" w:name="_Toc27418"/>
      <w:bookmarkStart w:id="67" w:name="_Toc32056"/>
      <w:r>
        <w:rPr>
          <w:rFonts w:hint="eastAsia" w:ascii="宋体" w:hAnsi="宋体" w:cs="宋体"/>
          <w:b/>
          <w:bCs/>
          <w:kern w:val="0"/>
          <w:sz w:val="32"/>
          <w:szCs w:val="32"/>
        </w:rPr>
        <w:t>质疑和投诉</w:t>
      </w:r>
      <w:bookmarkEnd w:id="62"/>
      <w:bookmarkEnd w:id="63"/>
      <w:bookmarkEnd w:id="64"/>
      <w:bookmarkEnd w:id="65"/>
      <w:bookmarkEnd w:id="66"/>
      <w:bookmarkEnd w:id="67"/>
    </w:p>
    <w:p>
      <w:pPr>
        <w:spacing w:line="560" w:lineRule="exact"/>
        <w:ind w:firstLine="480" w:firstLineChars="200"/>
        <w:jc w:val="left"/>
        <w:rPr>
          <w:rFonts w:ascii="宋体" w:hAnsi="宋体" w:cs="宋体"/>
          <w:sz w:val="24"/>
          <w:szCs w:val="24"/>
        </w:rPr>
      </w:pPr>
      <w:bookmarkStart w:id="68"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 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8.4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8.6质疑函接收方式：由自然人本人或法定代表人或者其授权代表携带书面原件及身份证明原件到现场递交，否则不予受理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8.7 质疑受理部门：陕西万泽招标有限公司。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质疑受理电话：029-88319689。</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8.8 提交质疑函地点：西安市西关正街英达大厦1507室。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8.11 质疑函应当使用中文。质疑函范本详见财政部制定的范本即招标文件附件六。</w:t>
      </w:r>
    </w:p>
    <w:p>
      <w:pPr>
        <w:rPr>
          <w:rFonts w:ascii="宋体" w:hAnsi="宋体" w:cs="宋体"/>
          <w:sz w:val="24"/>
          <w:szCs w:val="24"/>
        </w:rPr>
      </w:pPr>
      <w:r>
        <w:rPr>
          <w:rFonts w:hint="eastAsia" w:ascii="宋体" w:hAnsi="宋体" w:cs="宋体"/>
          <w:sz w:val="24"/>
          <w:szCs w:val="24"/>
        </w:rPr>
        <w:br w:type="page"/>
      </w:r>
    </w:p>
    <w:p>
      <w:pPr>
        <w:pStyle w:val="2"/>
        <w:pageBreakBefore/>
        <w:rPr>
          <w:rFonts w:ascii="宋体" w:hAnsi="宋体" w:cs="宋体"/>
        </w:rPr>
      </w:pPr>
      <w:bookmarkStart w:id="69" w:name="_Toc7412"/>
      <w:r>
        <w:rPr>
          <w:rFonts w:hint="eastAsia" w:ascii="宋体" w:hAnsi="宋体" w:cs="宋体"/>
        </w:rPr>
        <w:t>第四部分 评审标准</w:t>
      </w:r>
      <w:bookmarkEnd w:id="68"/>
      <w:bookmarkEnd w:id="69"/>
    </w:p>
    <w:p>
      <w:pPr>
        <w:spacing w:line="360" w:lineRule="auto"/>
        <w:rPr>
          <w:rFonts w:asciiTheme="minorEastAsia" w:hAnsiTheme="minorEastAsia" w:cstheme="minorEastAsia"/>
          <w:b/>
          <w:bCs/>
          <w:sz w:val="24"/>
          <w:szCs w:val="28"/>
        </w:rPr>
      </w:pPr>
      <w:r>
        <w:rPr>
          <w:rFonts w:hint="eastAsia" w:asciiTheme="minorEastAsia" w:hAnsiTheme="minorEastAsia" w:cstheme="minorEastAsia"/>
          <w:b/>
          <w:bCs/>
          <w:sz w:val="24"/>
          <w:szCs w:val="28"/>
        </w:rPr>
        <w:t>一、根据</w:t>
      </w:r>
      <w:r>
        <w:rPr>
          <w:rFonts w:hint="eastAsia" w:asciiTheme="minorEastAsia" w:hAnsiTheme="minorEastAsia" w:cstheme="minorEastAsia"/>
          <w:b/>
          <w:bCs/>
          <w:sz w:val="24"/>
          <w:szCs w:val="28"/>
          <w:lang w:val="en-US" w:eastAsia="zh-CN"/>
        </w:rPr>
        <w:t>质量和服务均能满足采购文件要求</w:t>
      </w:r>
      <w:r>
        <w:rPr>
          <w:rFonts w:hint="eastAsia" w:asciiTheme="minorEastAsia" w:hAnsiTheme="minorEastAsia" w:cstheme="minorEastAsia"/>
          <w:b/>
          <w:bCs/>
          <w:sz w:val="24"/>
          <w:szCs w:val="28"/>
        </w:rPr>
        <w:t>且</w:t>
      </w:r>
      <w:r>
        <w:rPr>
          <w:rFonts w:hint="eastAsia" w:asciiTheme="minorEastAsia" w:hAnsiTheme="minorEastAsia" w:cstheme="minorEastAsia"/>
          <w:b/>
          <w:bCs/>
          <w:sz w:val="24"/>
          <w:szCs w:val="28"/>
          <w:lang w:val="en-US" w:eastAsia="zh-CN"/>
        </w:rPr>
        <w:t>最后</w:t>
      </w:r>
      <w:r>
        <w:rPr>
          <w:rFonts w:hint="eastAsia" w:asciiTheme="minorEastAsia" w:hAnsiTheme="minorEastAsia" w:cstheme="minorEastAsia"/>
          <w:b/>
          <w:bCs/>
          <w:sz w:val="24"/>
          <w:szCs w:val="28"/>
        </w:rPr>
        <w:t>报价最低</w:t>
      </w:r>
      <w:r>
        <w:rPr>
          <w:rFonts w:hint="eastAsia" w:asciiTheme="minorEastAsia" w:hAnsiTheme="minorEastAsia" w:cstheme="minorEastAsia"/>
          <w:b/>
          <w:bCs/>
          <w:sz w:val="24"/>
          <w:szCs w:val="28"/>
          <w:lang w:val="en-US" w:eastAsia="zh-CN"/>
        </w:rPr>
        <w:t>的</w:t>
      </w:r>
      <w:r>
        <w:rPr>
          <w:rFonts w:hint="eastAsia" w:asciiTheme="minorEastAsia" w:hAnsiTheme="minorEastAsia" w:cstheme="minorEastAsia"/>
          <w:b/>
          <w:bCs/>
          <w:sz w:val="24"/>
          <w:szCs w:val="28"/>
        </w:rPr>
        <w:t>原则确定成交供应商。</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二、详细评审标准</w:t>
      </w:r>
    </w:p>
    <w:p>
      <w:pPr>
        <w:spacing w:line="360" w:lineRule="auto"/>
        <w:rPr>
          <w:rFonts w:hint="default" w:asciiTheme="minorEastAsia" w:hAnsiTheme="minorEastAsia" w:cstheme="minorEastAsia"/>
          <w:sz w:val="24"/>
          <w:szCs w:val="28"/>
          <w:highlight w:val="yellow"/>
          <w:lang w:val="en-US"/>
        </w:rPr>
      </w:pPr>
      <w:r>
        <w:rPr>
          <w:rFonts w:hint="eastAsia" w:asciiTheme="minorEastAsia" w:hAnsiTheme="minorEastAsia" w:cstheme="minorEastAsia"/>
          <w:sz w:val="24"/>
          <w:szCs w:val="28"/>
          <w:highlight w:val="none"/>
        </w:rPr>
        <w:t>1.</w:t>
      </w:r>
      <w:r>
        <w:rPr>
          <w:rFonts w:hint="eastAsia" w:asciiTheme="minorEastAsia" w:hAnsiTheme="minorEastAsia" w:cstheme="minorEastAsia"/>
          <w:sz w:val="24"/>
          <w:szCs w:val="28"/>
          <w:highlight w:val="none"/>
          <w:lang w:eastAsia="zh-CN"/>
        </w:rPr>
        <w:t>供应商应</w:t>
      </w:r>
      <w:r>
        <w:rPr>
          <w:rFonts w:hint="eastAsia" w:asciiTheme="minorEastAsia" w:hAnsiTheme="minorEastAsia" w:cstheme="minorEastAsia"/>
          <w:sz w:val="24"/>
          <w:szCs w:val="28"/>
          <w:highlight w:val="none"/>
        </w:rPr>
        <w:t>满足</w:t>
      </w:r>
      <w:r>
        <w:rPr>
          <w:rFonts w:hint="eastAsia" w:asciiTheme="minorEastAsia" w:hAnsiTheme="minorEastAsia" w:cstheme="minorEastAsia"/>
          <w:sz w:val="24"/>
          <w:szCs w:val="28"/>
          <w:highlight w:val="none"/>
          <w:lang w:eastAsia="zh-CN"/>
        </w:rPr>
        <w:t>所有</w:t>
      </w:r>
      <w:r>
        <w:rPr>
          <w:rFonts w:hint="eastAsia" w:asciiTheme="minorEastAsia" w:hAnsiTheme="minorEastAsia" w:cstheme="minorEastAsia"/>
          <w:sz w:val="24"/>
          <w:szCs w:val="28"/>
          <w:highlight w:val="none"/>
        </w:rPr>
        <w:t>参数条款</w:t>
      </w:r>
      <w:r>
        <w:rPr>
          <w:rFonts w:hint="eastAsia" w:asciiTheme="minorEastAsia" w:hAnsiTheme="minorEastAsia" w:cstheme="minorEastAsia"/>
          <w:sz w:val="24"/>
          <w:szCs w:val="28"/>
          <w:highlight w:val="none"/>
          <w:lang w:eastAsia="zh-CN"/>
        </w:rPr>
        <w:t>，</w:t>
      </w:r>
      <w:r>
        <w:rPr>
          <w:rFonts w:hint="eastAsia" w:asciiTheme="minorEastAsia" w:hAnsiTheme="minorEastAsia" w:cstheme="minorEastAsia"/>
          <w:sz w:val="24"/>
          <w:szCs w:val="28"/>
          <w:highlight w:val="none"/>
          <w:lang w:val="en-US" w:eastAsia="zh-CN"/>
        </w:rPr>
        <w:t>一项</w:t>
      </w:r>
      <w:r>
        <w:rPr>
          <w:rFonts w:hint="eastAsia" w:asciiTheme="minorEastAsia" w:hAnsiTheme="minorEastAsia" w:cstheme="minorEastAsia"/>
          <w:sz w:val="24"/>
          <w:szCs w:val="28"/>
          <w:highlight w:val="none"/>
          <w:lang w:eastAsia="zh-CN"/>
        </w:rPr>
        <w:t>不满足则按无效谈判文件处理</w:t>
      </w:r>
      <w:r>
        <w:rPr>
          <w:rFonts w:hint="eastAsia" w:asciiTheme="minorEastAsia" w:hAnsiTheme="minorEastAsia" w:cstheme="minorEastAsia"/>
          <w:sz w:val="24"/>
          <w:szCs w:val="28"/>
          <w:highlight w:val="none"/>
          <w:lang w:val="en-US" w:eastAsia="zh-CN"/>
        </w:rPr>
        <w:t>。</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2.供应商应在“第</w:t>
      </w:r>
      <w:r>
        <w:rPr>
          <w:rFonts w:hint="eastAsia" w:asciiTheme="minorEastAsia" w:hAnsiTheme="minorEastAsia" w:cstheme="minorEastAsia"/>
          <w:sz w:val="24"/>
          <w:szCs w:val="28"/>
          <w:lang w:eastAsia="zh-CN"/>
        </w:rPr>
        <w:t>五</w:t>
      </w:r>
      <w:r>
        <w:rPr>
          <w:rFonts w:hint="eastAsia" w:asciiTheme="minorEastAsia" w:hAnsiTheme="minorEastAsia" w:cstheme="minorEastAsia"/>
          <w:sz w:val="24"/>
          <w:szCs w:val="28"/>
        </w:rPr>
        <w:t>章 商务和技术响应偏离表”中响应采购要求并注明其未响应的偏离。如响应的技术规格低于谈判文件要求为偏离；技术规格高于谈判文件要求的不考虑降低评标价格。</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3.响应文件未按谈判文件要求响应的，视同不满足采购条款要求。</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4.如发现供应商所响应实际技术参数与响应文件中描述的技术参数不相符合，将视该项技术响应为不接受。</w:t>
      </w:r>
    </w:p>
    <w:p>
      <w:pPr>
        <w:pStyle w:val="2"/>
        <w:pageBreakBefore/>
        <w:rPr>
          <w:rFonts w:ascii="宋体" w:hAnsi="宋体" w:cs="宋体"/>
        </w:rPr>
      </w:pPr>
      <w:bookmarkStart w:id="70" w:name="_Toc28223"/>
      <w:r>
        <w:rPr>
          <w:rFonts w:hint="eastAsia" w:ascii="宋体" w:hAnsi="宋体" w:cs="宋体"/>
        </w:rPr>
        <w:t>第五部分 采购要求</w:t>
      </w:r>
      <w:bookmarkEnd w:id="70"/>
    </w:p>
    <w:p>
      <w:pPr>
        <w:spacing w:line="360" w:lineRule="auto"/>
        <w:rPr>
          <w:rFonts w:ascii="宋体" w:hAnsi="宋体" w:cs="宋体"/>
          <w:b/>
          <w:sz w:val="24"/>
          <w:szCs w:val="24"/>
        </w:rPr>
      </w:pPr>
      <w:r>
        <w:rPr>
          <w:rFonts w:hint="eastAsia" w:ascii="宋体" w:hAnsi="宋体" w:cs="宋体"/>
          <w:b/>
          <w:sz w:val="24"/>
          <w:szCs w:val="24"/>
        </w:rPr>
        <w:t>一、商务要求</w:t>
      </w:r>
    </w:p>
    <w:p>
      <w:pPr>
        <w:spacing w:line="360" w:lineRule="auto"/>
        <w:ind w:right="57" w:rightChars="27" w:firstLine="480" w:firstLineChars="200"/>
        <w:rPr>
          <w:rFonts w:hint="eastAsia" w:asciiTheme="minorEastAsia" w:hAnsiTheme="minorEastAsia" w:cstheme="minorEastAsia"/>
          <w:bCs/>
          <w:sz w:val="24"/>
          <w:szCs w:val="24"/>
          <w:highlight w:val="none"/>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、项</w:t>
      </w:r>
      <w:r>
        <w:rPr>
          <w:rFonts w:hint="eastAsia" w:asciiTheme="minorEastAsia" w:hAnsiTheme="minorEastAsia" w:cstheme="minorEastAsia"/>
          <w:bCs/>
          <w:sz w:val="24"/>
          <w:szCs w:val="24"/>
          <w:highlight w:val="none"/>
          <w:lang w:eastAsia="zh-CN"/>
        </w:rPr>
        <w:t>目名称</w:t>
      </w:r>
      <w:r>
        <w:rPr>
          <w:rFonts w:hint="eastAsia" w:asciiTheme="minorEastAsia" w:hAnsiTheme="minorEastAsia" w:cstheme="minorEastAsia"/>
          <w:bCs/>
          <w:sz w:val="24"/>
          <w:szCs w:val="24"/>
          <w:highlight w:val="none"/>
        </w:rPr>
        <w:t>：</w:t>
      </w:r>
      <w:r>
        <w:rPr>
          <w:rFonts w:hint="eastAsia" w:ascii="宋体" w:hAnsi="宋体" w:eastAsia="宋体" w:cs="宋体"/>
          <w:kern w:val="0"/>
          <w:sz w:val="24"/>
          <w:szCs w:val="24"/>
          <w:lang w:eastAsia="zh-CN"/>
        </w:rPr>
        <w:t>西安市长安区医院医疗设备采购项目（二次）</w:t>
      </w:r>
      <w:r>
        <w:rPr>
          <w:rFonts w:hint="eastAsia" w:asciiTheme="minorEastAsia" w:hAnsiTheme="minorEastAsia" w:cstheme="minorEastAsia"/>
          <w:bCs/>
          <w:sz w:val="24"/>
          <w:szCs w:val="24"/>
          <w:highlight w:val="none"/>
        </w:rPr>
        <w:t xml:space="preserve">     </w:t>
      </w:r>
    </w:p>
    <w:p>
      <w:pPr>
        <w:tabs>
          <w:tab w:val="left" w:pos="420"/>
        </w:tabs>
        <w:spacing w:line="360" w:lineRule="auto"/>
        <w:ind w:firstLine="48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lang w:val="en-US" w:eastAsia="zh-CN"/>
        </w:rPr>
        <w:t>2、</w:t>
      </w:r>
      <w:r>
        <w:rPr>
          <w:rFonts w:hint="eastAsia" w:asciiTheme="minorEastAsia" w:hAnsiTheme="minorEastAsia" w:cstheme="minorEastAsia"/>
          <w:bCs/>
          <w:sz w:val="24"/>
          <w:szCs w:val="24"/>
          <w:highlight w:val="none"/>
        </w:rPr>
        <w:t>交货期</w:t>
      </w:r>
      <w:r>
        <w:rPr>
          <w:rFonts w:hint="eastAsia" w:asciiTheme="minorEastAsia" w:hAnsiTheme="minorEastAsia" w:cstheme="minorEastAsia"/>
          <w:bCs/>
          <w:sz w:val="24"/>
          <w:szCs w:val="24"/>
          <w:highlight w:val="none"/>
          <w:lang w:eastAsia="zh-CN"/>
        </w:rPr>
        <w:t>：自合同签订之日起</w:t>
      </w:r>
      <w:r>
        <w:rPr>
          <w:rFonts w:hint="eastAsia" w:asciiTheme="minorEastAsia" w:hAnsiTheme="minorEastAsia" w:cstheme="minorEastAsia"/>
          <w:bCs/>
          <w:sz w:val="24"/>
          <w:szCs w:val="24"/>
          <w:highlight w:val="none"/>
          <w:u w:val="single"/>
          <w:lang w:val="en-US" w:eastAsia="zh-CN"/>
        </w:rPr>
        <w:t xml:space="preserve"> 30</w:t>
      </w:r>
      <w:r>
        <w:rPr>
          <w:rFonts w:hint="eastAsia" w:asciiTheme="minorEastAsia" w:hAnsiTheme="minorEastAsia" w:cstheme="minorEastAsia"/>
          <w:bCs/>
          <w:sz w:val="24"/>
          <w:szCs w:val="24"/>
          <w:highlight w:val="none"/>
          <w:lang w:val="en-US" w:eastAsia="zh-CN"/>
        </w:rPr>
        <w:t>日历日</w:t>
      </w:r>
      <w:r>
        <w:rPr>
          <w:rFonts w:hint="eastAsia" w:asciiTheme="minorEastAsia" w:hAnsiTheme="minorEastAsia" w:cstheme="minorEastAsia"/>
          <w:bCs/>
          <w:sz w:val="24"/>
          <w:szCs w:val="24"/>
          <w:highlight w:val="none"/>
        </w:rPr>
        <w:t>。</w:t>
      </w:r>
    </w:p>
    <w:p>
      <w:pPr>
        <w:widowControl/>
        <w:spacing w:line="360" w:lineRule="auto"/>
        <w:ind w:right="57" w:rightChars="27" w:firstLine="480" w:firstLineChars="200"/>
        <w:jc w:val="left"/>
        <w:rPr>
          <w:rFonts w:hint="eastAsia" w:ascii="宋体" w:hAnsi="宋体" w:eastAsia="宋体" w:cs="宋体"/>
          <w:b w:val="0"/>
          <w:bCs w:val="0"/>
          <w:sz w:val="24"/>
          <w:szCs w:val="24"/>
          <w:highlight w:val="yellow"/>
        </w:rPr>
      </w:pPr>
      <w:r>
        <w:rPr>
          <w:rFonts w:hint="eastAsia" w:asciiTheme="minorEastAsia" w:hAnsiTheme="minorEastAsia" w:cstheme="minorEastAsia"/>
          <w:bCs/>
          <w:sz w:val="24"/>
          <w:szCs w:val="24"/>
          <w:highlight w:val="none"/>
        </w:rPr>
        <w:t>3、</w:t>
      </w:r>
      <w:r>
        <w:rPr>
          <w:rFonts w:hint="eastAsia" w:ascii="宋体" w:hAnsi="宋体"/>
          <w:sz w:val="24"/>
          <w:szCs w:val="24"/>
          <w:highlight w:val="none"/>
        </w:rPr>
        <w:t>质保期</w:t>
      </w:r>
      <w:r>
        <w:rPr>
          <w:rFonts w:hint="eastAsia" w:ascii="宋体" w:hAnsi="宋体"/>
          <w:sz w:val="24"/>
          <w:szCs w:val="24"/>
          <w:highlight w:val="none"/>
          <w:lang w:eastAsia="zh-CN"/>
        </w:rPr>
        <w:t>：</w:t>
      </w:r>
      <w:r>
        <w:rPr>
          <w:rFonts w:hint="eastAsia" w:ascii="宋体" w:hAnsi="宋体" w:eastAsia="宋体" w:cs="宋体"/>
          <w:b w:val="0"/>
          <w:bCs w:val="0"/>
          <w:kern w:val="0"/>
          <w:sz w:val="24"/>
          <w:szCs w:val="24"/>
          <w:highlight w:val="none"/>
          <w:lang w:eastAsia="zh-CN"/>
        </w:rPr>
        <w:t>自验收合格后整机质保≥</w:t>
      </w:r>
      <w:r>
        <w:rPr>
          <w:rFonts w:hint="eastAsia" w:ascii="宋体" w:hAnsi="宋体" w:eastAsia="宋体" w:cs="宋体"/>
          <w:b w:val="0"/>
          <w:bCs w:val="0"/>
          <w:kern w:val="0"/>
          <w:sz w:val="24"/>
          <w:szCs w:val="24"/>
          <w:highlight w:val="none"/>
          <w:lang w:val="en-US" w:eastAsia="zh-CN"/>
        </w:rPr>
        <w:t>3年。</w:t>
      </w:r>
    </w:p>
    <w:p>
      <w:pPr>
        <w:widowControl/>
        <w:spacing w:line="360" w:lineRule="auto"/>
        <w:ind w:right="57" w:rightChars="27" w:firstLine="480" w:firstLineChars="200"/>
        <w:jc w:val="left"/>
        <w:rPr>
          <w:rFonts w:asciiTheme="minorEastAsia" w:hAnsiTheme="minorEastAsia" w:cstheme="minorEastAsia"/>
          <w:bCs/>
          <w:sz w:val="24"/>
          <w:szCs w:val="24"/>
        </w:rPr>
      </w:pPr>
      <w:r>
        <w:rPr>
          <w:rFonts w:hint="eastAsia" w:ascii="宋体" w:hAnsi="宋体"/>
          <w:sz w:val="24"/>
          <w:szCs w:val="24"/>
          <w:lang w:val="en-US" w:eastAsia="zh-CN"/>
        </w:rPr>
        <w:t>4</w:t>
      </w:r>
      <w:r>
        <w:rPr>
          <w:rFonts w:hint="eastAsia" w:ascii="宋体" w:hAnsi="宋体"/>
          <w:sz w:val="24"/>
          <w:szCs w:val="24"/>
        </w:rPr>
        <w:t>、</w:t>
      </w:r>
      <w:r>
        <w:rPr>
          <w:rFonts w:hint="eastAsia" w:asciiTheme="minorEastAsia" w:hAnsiTheme="minorEastAsia" w:cstheme="minorEastAsia"/>
          <w:bCs/>
          <w:sz w:val="24"/>
          <w:szCs w:val="24"/>
        </w:rPr>
        <w:t>交货地点：</w:t>
      </w:r>
      <w:r>
        <w:rPr>
          <w:rFonts w:hint="eastAsia" w:asciiTheme="minorEastAsia" w:hAnsiTheme="minorEastAsia" w:cstheme="minorEastAsia"/>
          <w:bCs/>
          <w:sz w:val="24"/>
          <w:szCs w:val="24"/>
          <w:lang w:eastAsia="zh-CN"/>
        </w:rPr>
        <w:t>西安市长安区医院</w:t>
      </w:r>
      <w:r>
        <w:rPr>
          <w:rFonts w:hint="eastAsia" w:asciiTheme="minorEastAsia" w:hAnsiTheme="minorEastAsia" w:cstheme="minorEastAsia"/>
          <w:bCs/>
          <w:sz w:val="24"/>
          <w:szCs w:val="24"/>
        </w:rPr>
        <w:t>指定地点；</w:t>
      </w:r>
    </w:p>
    <w:p>
      <w:pPr>
        <w:tabs>
          <w:tab w:val="left" w:pos="420"/>
        </w:tabs>
        <w:spacing w:line="360" w:lineRule="auto"/>
        <w:ind w:firstLine="480" w:firstLineChars="200"/>
        <w:rPr>
          <w:rFonts w:hint="default"/>
          <w:lang w:val="en-US" w:eastAsia="zh-CN"/>
        </w:rPr>
      </w:pPr>
      <w:r>
        <w:rPr>
          <w:rFonts w:hint="eastAsia" w:ascii="宋体" w:hAnsi="宋体" w:cs="宋体"/>
          <w:sz w:val="24"/>
          <w:szCs w:val="24"/>
          <w:lang w:val="en-US" w:eastAsia="zh-CN"/>
        </w:rPr>
        <w:t>5</w:t>
      </w:r>
      <w:r>
        <w:rPr>
          <w:rFonts w:hint="eastAsia" w:ascii="宋体" w:hAnsi="宋体" w:cs="宋体"/>
          <w:sz w:val="24"/>
          <w:szCs w:val="24"/>
        </w:rPr>
        <w:t>、其他商务要求：详见第六部分合同条款</w:t>
      </w:r>
      <w:r>
        <w:rPr>
          <w:rFonts w:hint="eastAsia" w:ascii="宋体" w:hAnsi="宋体" w:cs="宋体"/>
          <w:sz w:val="24"/>
          <w:szCs w:val="24"/>
          <w:lang w:eastAsia="zh-CN"/>
        </w:rPr>
        <w:t>；</w:t>
      </w:r>
    </w:p>
    <w:p>
      <w:pPr>
        <w:spacing w:line="360" w:lineRule="auto"/>
        <w:ind w:right="57" w:rightChars="27"/>
        <w:rPr>
          <w:rFonts w:hint="eastAsia" w:asciiTheme="minorEastAsia" w:hAnsiTheme="minorEastAsia" w:cstheme="minorEastAsia"/>
          <w:b/>
          <w:sz w:val="24"/>
          <w:szCs w:val="24"/>
        </w:rPr>
      </w:pPr>
      <w:bookmarkStart w:id="71" w:name="_Toc13099"/>
      <w:bookmarkStart w:id="72" w:name="_Toc2234"/>
      <w:r>
        <w:rPr>
          <w:rFonts w:hint="eastAsia" w:asciiTheme="minorEastAsia" w:hAnsiTheme="minorEastAsia" w:cstheme="minorEastAsia"/>
          <w:b/>
          <w:sz w:val="24"/>
          <w:szCs w:val="24"/>
        </w:rPr>
        <w:t>二、采购内容及数量</w:t>
      </w:r>
    </w:p>
    <w:tbl>
      <w:tblPr>
        <w:tblStyle w:val="21"/>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val="en-US" w:eastAsia="zh-CN"/>
              </w:rPr>
              <w:t>包</w:t>
            </w:r>
            <w:r>
              <w:rPr>
                <w:rFonts w:hint="eastAsia" w:ascii="宋体" w:hAnsi="宋体" w:cs="宋体"/>
                <w:kern w:val="0"/>
                <w:sz w:val="21"/>
                <w:szCs w:val="21"/>
                <w:highlight w:val="none"/>
                <w:lang w:eastAsia="zh-CN"/>
              </w:rPr>
              <w:t>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rPr>
              <w:t>采购预</w:t>
            </w:r>
            <w:r>
              <w:rPr>
                <w:rFonts w:hint="eastAsia" w:ascii="宋体" w:hAnsi="宋体" w:cs="宋体"/>
                <w:kern w:val="0"/>
                <w:sz w:val="21"/>
                <w:szCs w:val="21"/>
                <w:highlight w:val="none"/>
                <w:lang w:val="en-US" w:eastAsia="zh-CN"/>
              </w:rPr>
              <w:t>算</w:t>
            </w:r>
            <w:r>
              <w:rPr>
                <w:rFonts w:hint="eastAsia" w:ascii="宋体" w:hAnsi="宋体" w:cs="宋体"/>
                <w:kern w:val="0"/>
                <w:sz w:val="21"/>
                <w:szCs w:val="21"/>
                <w:highlight w:val="none"/>
              </w:rPr>
              <w:t>金额</w:t>
            </w:r>
            <w:r>
              <w:rPr>
                <w:rFonts w:hint="eastAsia" w:ascii="宋体" w:hAnsi="宋体" w:cs="宋体"/>
                <w:kern w:val="0"/>
                <w:sz w:val="21"/>
                <w:szCs w:val="21"/>
                <w:highlight w:val="none"/>
                <w:lang w:val="en-US" w:eastAsia="zh-CN"/>
              </w:rPr>
              <w:t>/最高限价</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床旁支气管镜</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300000.00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bl>
    <w:p>
      <w:pPr>
        <w:numPr>
          <w:ilvl w:val="0"/>
          <w:numId w:val="20"/>
        </w:numPr>
        <w:tabs>
          <w:tab w:val="left" w:pos="1470"/>
        </w:tabs>
        <w:spacing w:line="360" w:lineRule="auto"/>
        <w:ind w:right="57" w:rightChars="27"/>
        <w:rPr>
          <w:rFonts w:hint="eastAsia" w:asciiTheme="minorEastAsia" w:hAnsiTheme="minorEastAsia" w:cstheme="minorEastAsia"/>
          <w:b/>
          <w:sz w:val="24"/>
          <w:szCs w:val="24"/>
        </w:rPr>
      </w:pPr>
      <w:r>
        <w:rPr>
          <w:rFonts w:hint="eastAsia" w:asciiTheme="minorEastAsia" w:hAnsiTheme="minorEastAsia" w:cstheme="minorEastAsia"/>
          <w:b/>
          <w:sz w:val="24"/>
          <w:szCs w:val="24"/>
        </w:rPr>
        <w:t xml:space="preserve">技术要求 </w:t>
      </w:r>
    </w:p>
    <w:bookmarkEnd w:id="71"/>
    <w:p>
      <w:pPr>
        <w:numPr>
          <w:ilvl w:val="0"/>
          <w:numId w:val="21"/>
        </w:numPr>
        <w:spacing w:line="360" w:lineRule="auto"/>
        <w:rPr>
          <w:rFonts w:ascii="宋体" w:hAnsi="宋体" w:eastAsia="宋体" w:cs="宋体"/>
          <w:b/>
          <w:bCs/>
        </w:rPr>
      </w:pPr>
      <w:bookmarkStart w:id="73" w:name="_Toc2287"/>
      <w:r>
        <w:rPr>
          <w:rFonts w:hint="eastAsia" w:ascii="宋体" w:hAnsi="宋体" w:eastAsia="宋体" w:cs="宋体"/>
          <w:b/>
          <w:bCs/>
        </w:rPr>
        <w:t>操作手柄（含插入管）：</w:t>
      </w:r>
    </w:p>
    <w:p>
      <w:pPr>
        <w:spacing w:line="360" w:lineRule="auto"/>
        <w:rPr>
          <w:rFonts w:ascii="宋体" w:hAnsi="宋体" w:eastAsia="宋体" w:cs="宋体"/>
          <w:highlight w:val="none"/>
        </w:rPr>
      </w:pPr>
      <w:r>
        <w:rPr>
          <w:rFonts w:hint="eastAsia" w:ascii="宋体" w:hAnsi="宋体" w:eastAsia="宋体" w:cs="宋体"/>
        </w:rPr>
        <w:t>1.1适用范围：适用</w:t>
      </w:r>
      <w:r>
        <w:rPr>
          <w:rFonts w:hint="eastAsia" w:ascii="宋体" w:hAnsi="宋体" w:eastAsia="宋体" w:cs="宋体"/>
          <w:highlight w:val="none"/>
        </w:rPr>
        <w:t>于气管、支气管及肺的观察、诊断、摄影或辅助治疗。</w:t>
      </w:r>
    </w:p>
    <w:p>
      <w:pPr>
        <w:spacing w:line="360" w:lineRule="auto"/>
        <w:rPr>
          <w:rFonts w:ascii="宋体" w:hAnsi="宋体" w:eastAsia="宋体" w:cs="宋体"/>
          <w:highlight w:val="yellow"/>
        </w:rPr>
      </w:pPr>
      <w:r>
        <w:rPr>
          <w:rFonts w:hint="eastAsia" w:ascii="宋体" w:hAnsi="宋体" w:eastAsia="宋体" w:cs="宋体"/>
          <w:highlight w:val="none"/>
        </w:rPr>
        <w:t>1.2成像原理：电子成像技术，工作软管不含导像、导光纤维</w:t>
      </w:r>
      <w:r>
        <w:rPr>
          <w:rFonts w:hint="eastAsia" w:ascii="宋体" w:hAnsi="宋体" w:eastAsia="宋体" w:cs="宋体"/>
          <w:highlight w:val="none"/>
          <w:lang w:eastAsia="zh-CN"/>
        </w:rPr>
        <w:t>，镜头分辨率</w:t>
      </w:r>
      <w:r>
        <w:rPr>
          <w:rFonts w:hint="eastAsia" w:ascii="宋体" w:hAnsi="宋体" w:eastAsia="宋体" w:cs="宋体"/>
          <w:highlight w:val="none"/>
        </w:rPr>
        <w:t>≥1280×800</w:t>
      </w:r>
      <w:r>
        <w:rPr>
          <w:rFonts w:hint="eastAsia" w:ascii="宋体" w:hAnsi="宋体" w:eastAsia="宋体" w:cs="宋体"/>
          <w:highlight w:val="none"/>
          <w:lang w:val="en-US" w:eastAsia="zh-CN"/>
        </w:rPr>
        <w:t>，需提供证明材料</w:t>
      </w:r>
      <w:r>
        <w:rPr>
          <w:rFonts w:hint="eastAsia" w:ascii="宋体" w:hAnsi="宋体" w:eastAsia="宋体" w:cs="宋体"/>
          <w:highlight w:val="none"/>
        </w:rPr>
        <w:t>。</w:t>
      </w:r>
    </w:p>
    <w:p>
      <w:pPr>
        <w:spacing w:line="360" w:lineRule="auto"/>
        <w:rPr>
          <w:rFonts w:ascii="宋体" w:hAnsi="宋体" w:eastAsia="宋体" w:cs="宋体"/>
          <w:highlight w:val="none"/>
        </w:rPr>
      </w:pPr>
      <w:r>
        <w:rPr>
          <w:rFonts w:hint="eastAsia" w:ascii="宋体" w:hAnsi="宋体" w:eastAsia="宋体" w:cs="宋体"/>
          <w:highlight w:val="none"/>
        </w:rPr>
        <w:t>1.3 软镜插入管外径≥4.</w:t>
      </w:r>
      <w:r>
        <w:rPr>
          <w:rFonts w:hint="eastAsia" w:ascii="宋体" w:hAnsi="宋体" w:eastAsia="宋体" w:cs="宋体"/>
          <w:highlight w:val="none"/>
          <w:lang w:val="en-US" w:eastAsia="zh-CN"/>
        </w:rPr>
        <w:t>2</w:t>
      </w:r>
      <w:r>
        <w:rPr>
          <w:rFonts w:hint="eastAsia" w:ascii="宋体" w:hAnsi="宋体" w:eastAsia="宋体" w:cs="宋体"/>
          <w:highlight w:val="none"/>
        </w:rPr>
        <w:t>mm，工作管道内径≥2.0mm。</w:t>
      </w:r>
    </w:p>
    <w:p>
      <w:pPr>
        <w:spacing w:line="360" w:lineRule="auto"/>
        <w:rPr>
          <w:rFonts w:ascii="宋体" w:hAnsi="宋体" w:eastAsia="宋体" w:cs="宋体"/>
          <w:highlight w:val="none"/>
        </w:rPr>
      </w:pPr>
      <w:r>
        <w:rPr>
          <w:rFonts w:hint="eastAsia" w:ascii="宋体" w:hAnsi="宋体" w:eastAsia="宋体" w:cs="宋体"/>
          <w:highlight w:val="none"/>
        </w:rPr>
        <w:t>1.4插入部有效长度≥610mm,自带有360°刻度标识。</w:t>
      </w:r>
    </w:p>
    <w:p>
      <w:pPr>
        <w:spacing w:line="360" w:lineRule="auto"/>
        <w:rPr>
          <w:rFonts w:ascii="宋体" w:hAnsi="宋体" w:eastAsia="宋体" w:cs="宋体"/>
          <w:highlight w:val="none"/>
        </w:rPr>
      </w:pPr>
      <w:r>
        <w:rPr>
          <w:rFonts w:hint="eastAsia" w:ascii="宋体" w:hAnsi="宋体" w:eastAsia="宋体" w:cs="宋体"/>
          <w:highlight w:val="none"/>
        </w:rPr>
        <w:t>1.5 视场角≥120°。</w:t>
      </w:r>
    </w:p>
    <w:p>
      <w:pPr>
        <w:spacing w:line="360" w:lineRule="auto"/>
        <w:rPr>
          <w:rFonts w:ascii="宋体" w:hAnsi="宋体" w:eastAsia="宋体" w:cs="宋体"/>
          <w:highlight w:val="none"/>
        </w:rPr>
      </w:pPr>
      <w:r>
        <w:rPr>
          <w:rFonts w:hint="eastAsia" w:ascii="宋体" w:hAnsi="宋体" w:eastAsia="宋体" w:cs="宋体"/>
          <w:highlight w:val="none"/>
        </w:rPr>
        <w:t>1.6景深：</w:t>
      </w:r>
      <w:r>
        <w:rPr>
          <w:rFonts w:hint="eastAsia" w:ascii="宋体" w:hAnsi="宋体" w:eastAsia="宋体" w:cs="宋体"/>
          <w:highlight w:val="none"/>
          <w:lang w:val="en-US" w:eastAsia="zh-CN"/>
        </w:rPr>
        <w:t>≥</w:t>
      </w:r>
      <w:r>
        <w:rPr>
          <w:rFonts w:hint="eastAsia" w:ascii="宋体" w:hAnsi="宋体" w:eastAsia="宋体" w:cs="宋体"/>
          <w:highlight w:val="none"/>
        </w:rPr>
        <w:t>3-100mm。</w:t>
      </w:r>
    </w:p>
    <w:p>
      <w:pPr>
        <w:spacing w:line="360" w:lineRule="auto"/>
        <w:rPr>
          <w:rFonts w:ascii="宋体" w:hAnsi="宋体" w:eastAsia="宋体" w:cs="宋体"/>
          <w:highlight w:val="none"/>
        </w:rPr>
      </w:pPr>
      <w:r>
        <w:rPr>
          <w:rFonts w:hint="eastAsia" w:ascii="宋体" w:hAnsi="宋体" w:eastAsia="宋体" w:cs="宋体"/>
          <w:highlight w:val="none"/>
        </w:rPr>
        <w:t>1.7 插入管软管前端弯曲角度：向上弯曲</w:t>
      </w:r>
      <w:r>
        <w:rPr>
          <w:rFonts w:hint="eastAsia" w:ascii="宋体" w:hAnsi="宋体" w:eastAsia="宋体" w:cs="宋体"/>
          <w:highlight w:val="none"/>
          <w:lang w:val="en-US" w:eastAsia="zh-CN"/>
        </w:rPr>
        <w:t>≥180</w:t>
      </w:r>
      <w:r>
        <w:rPr>
          <w:rFonts w:hint="eastAsia" w:ascii="宋体" w:hAnsi="宋体" w:eastAsia="宋体" w:cs="宋体"/>
          <w:highlight w:val="none"/>
        </w:rPr>
        <w:t>°，向下弯曲</w:t>
      </w:r>
      <w:r>
        <w:rPr>
          <w:rFonts w:hint="eastAsia" w:ascii="宋体" w:hAnsi="宋体" w:eastAsia="宋体" w:cs="宋体"/>
          <w:highlight w:val="none"/>
          <w:lang w:val="en-US" w:eastAsia="zh-CN"/>
        </w:rPr>
        <w:t>≥</w:t>
      </w:r>
      <w:r>
        <w:rPr>
          <w:rFonts w:hint="eastAsia" w:ascii="宋体" w:hAnsi="宋体" w:eastAsia="宋体" w:cs="宋体"/>
          <w:highlight w:val="none"/>
        </w:rPr>
        <w:t>130°。</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8</w:t>
      </w:r>
      <w:r>
        <w:rPr>
          <w:rFonts w:hint="eastAsia" w:ascii="宋体" w:hAnsi="宋体" w:eastAsia="宋体" w:cs="宋体"/>
          <w:highlight w:val="none"/>
        </w:rPr>
        <w:t>操作手柄具备左右旋转关节和转轴定位点，可带动插入软管部先端左右旋转，向左120°，向右120°。</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9</w:t>
      </w:r>
      <w:r>
        <w:rPr>
          <w:rFonts w:hint="eastAsia" w:ascii="宋体" w:hAnsi="宋体" w:eastAsia="宋体" w:cs="宋体"/>
          <w:highlight w:val="none"/>
        </w:rPr>
        <w:t xml:space="preserve"> 插入管具有被动弯曲功能，可以保证插入管顺畅插入进行诊治，减少粘膜损伤。</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10</w:t>
      </w:r>
      <w:r>
        <w:rPr>
          <w:rFonts w:hint="eastAsia" w:ascii="宋体" w:hAnsi="宋体" w:eastAsia="宋体" w:cs="宋体"/>
          <w:highlight w:val="none"/>
        </w:rPr>
        <w:t>吸引阀座一体式防脱设计，无需专机专用耗材。</w:t>
      </w:r>
    </w:p>
    <w:p>
      <w:pPr>
        <w:spacing w:line="360" w:lineRule="auto"/>
        <w:rPr>
          <w:rFonts w:hint="eastAsia" w:ascii="宋体" w:hAnsi="宋体" w:eastAsia="宋体" w:cs="宋体"/>
          <w:highlight w:val="none"/>
          <w:lang w:eastAsia="zh-CN"/>
        </w:rPr>
      </w:pPr>
      <w:r>
        <w:rPr>
          <w:rFonts w:hint="eastAsia" w:ascii="宋体" w:hAnsi="宋体" w:eastAsia="宋体" w:cs="宋体"/>
          <w:highlight w:val="none"/>
        </w:rPr>
        <w:t>1.</w:t>
      </w:r>
      <w:r>
        <w:rPr>
          <w:rFonts w:hint="eastAsia" w:ascii="宋体" w:hAnsi="宋体" w:eastAsia="宋体" w:cs="宋体"/>
          <w:highlight w:val="none"/>
          <w:lang w:val="en-US" w:eastAsia="zh-CN"/>
        </w:rPr>
        <w:t>11</w:t>
      </w:r>
      <w:r>
        <w:rPr>
          <w:rFonts w:hint="eastAsia" w:ascii="宋体" w:hAnsi="宋体" w:eastAsia="宋体" w:cs="宋体"/>
          <w:highlight w:val="none"/>
        </w:rPr>
        <w:t xml:space="preserve"> 连接方式：</w:t>
      </w:r>
      <w:r>
        <w:rPr>
          <w:rFonts w:hint="eastAsia" w:ascii="宋体" w:hAnsi="宋体" w:eastAsia="宋体" w:cs="宋体"/>
          <w:b/>
          <w:bCs/>
          <w:highlight w:val="none"/>
        </w:rPr>
        <w:t>视频转接线与操作手柄无需连接安装</w:t>
      </w:r>
      <w:r>
        <w:rPr>
          <w:rFonts w:hint="eastAsia" w:ascii="宋体" w:hAnsi="宋体" w:eastAsia="宋体" w:cs="宋体"/>
          <w:highlight w:val="none"/>
        </w:rPr>
        <w:t>，</w:t>
      </w:r>
      <w:r>
        <w:rPr>
          <w:rFonts w:hint="eastAsia" w:ascii="宋体" w:hAnsi="宋体" w:eastAsia="宋体" w:cs="宋体"/>
          <w:b/>
          <w:bCs/>
          <w:highlight w:val="none"/>
        </w:rPr>
        <w:t>一体式设计</w:t>
      </w:r>
      <w:r>
        <w:rPr>
          <w:rFonts w:hint="eastAsia" w:ascii="宋体" w:hAnsi="宋体" w:eastAsia="宋体" w:cs="宋体"/>
          <w:highlight w:val="none"/>
        </w:rPr>
        <w:t>，转接线可耐受浸泡消毒。</w:t>
      </w:r>
      <w:r>
        <w:rPr>
          <w:rFonts w:hint="eastAsia" w:ascii="宋体" w:hAnsi="宋体" w:eastAsia="宋体" w:cs="宋体"/>
          <w:highlight w:val="none"/>
          <w:lang w:val="en-US" w:eastAsia="zh-CN"/>
        </w:rPr>
        <w:t>与显示屏连接</w:t>
      </w:r>
      <w:r>
        <w:rPr>
          <w:rFonts w:hint="eastAsia" w:ascii="宋体" w:hAnsi="宋体" w:eastAsia="宋体" w:cs="宋体"/>
          <w:highlight w:val="none"/>
        </w:rPr>
        <w:t>与同类进口产品相同的立体式航空插座技术 连接，有效避免传统点触式连接长时间使用后接触不良造成死机、卡屏</w:t>
      </w:r>
      <w:r>
        <w:rPr>
          <w:rFonts w:hint="eastAsia" w:ascii="宋体" w:hAnsi="宋体" w:eastAsia="宋体" w:cs="宋体"/>
          <w:highlight w:val="none"/>
          <w:lang w:eastAsia="zh-CN"/>
        </w:rPr>
        <w:t>。</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12</w:t>
      </w:r>
      <w:r>
        <w:rPr>
          <w:rFonts w:hint="eastAsia" w:ascii="宋体" w:hAnsi="宋体" w:eastAsia="宋体" w:cs="宋体"/>
          <w:highlight w:val="none"/>
        </w:rPr>
        <w:t>操作手柄具有≥</w:t>
      </w:r>
      <w:r>
        <w:rPr>
          <w:rFonts w:hint="eastAsia" w:ascii="宋体" w:hAnsi="宋体" w:eastAsia="宋体" w:cs="宋体"/>
          <w:highlight w:val="none"/>
          <w:lang w:val="en-US" w:eastAsia="zh-CN"/>
        </w:rPr>
        <w:t>2</w:t>
      </w:r>
      <w:r>
        <w:rPr>
          <w:rFonts w:hint="eastAsia" w:ascii="宋体" w:hAnsi="宋体" w:eastAsia="宋体" w:cs="宋体"/>
          <w:highlight w:val="none"/>
        </w:rPr>
        <w:t>个具备独立电子功能的按键。</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12</w:t>
      </w:r>
      <w:r>
        <w:rPr>
          <w:rFonts w:hint="eastAsia" w:ascii="宋体" w:hAnsi="宋体" w:eastAsia="宋体" w:cs="宋体"/>
          <w:highlight w:val="none"/>
        </w:rPr>
        <w:t>.1 操作手柄上按键可控制大小屏切换功能；</w:t>
      </w:r>
    </w:p>
    <w:p>
      <w:pPr>
        <w:spacing w:line="360" w:lineRule="auto"/>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12</w:t>
      </w:r>
      <w:r>
        <w:rPr>
          <w:rFonts w:hint="eastAsia" w:ascii="宋体" w:hAnsi="宋体" w:eastAsia="宋体" w:cs="宋体"/>
          <w:highlight w:val="none"/>
        </w:rPr>
        <w:t>.2</w:t>
      </w:r>
      <w:r>
        <w:rPr>
          <w:rFonts w:hint="eastAsia" w:ascii="宋体" w:hAnsi="宋体" w:eastAsia="宋体" w:cs="宋体"/>
          <w:b/>
          <w:bCs/>
          <w:highlight w:val="none"/>
        </w:rPr>
        <w:t xml:space="preserve"> 通过操作部 </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b/>
          <w:bCs/>
          <w:highlight w:val="none"/>
        </w:rPr>
        <w:t>个独立功能按键即可实现</w:t>
      </w:r>
      <w:r>
        <w:rPr>
          <w:rFonts w:hint="eastAsia" w:ascii="宋体" w:hAnsi="宋体" w:eastAsia="宋体" w:cs="宋体"/>
          <w:highlight w:val="none"/>
        </w:rPr>
        <w:t>：①图像放大</w:t>
      </w:r>
      <w:r>
        <w:rPr>
          <w:rFonts w:hint="eastAsia" w:ascii="宋体" w:hAnsi="宋体" w:eastAsia="宋体" w:cs="宋体"/>
          <w:highlight w:val="none"/>
          <w:lang w:eastAsia="zh-CN"/>
        </w:rPr>
        <w:t>、</w:t>
      </w:r>
      <w:r>
        <w:rPr>
          <w:rFonts w:hint="eastAsia" w:ascii="宋体" w:hAnsi="宋体" w:eastAsia="宋体" w:cs="宋体"/>
          <w:highlight w:val="none"/>
        </w:rPr>
        <w:t>缩小，②拍照</w:t>
      </w:r>
      <w:r>
        <w:rPr>
          <w:rFonts w:hint="eastAsia" w:ascii="宋体" w:hAnsi="宋体" w:eastAsia="宋体" w:cs="宋体"/>
          <w:highlight w:val="none"/>
          <w:lang w:val="en-US" w:eastAsia="zh-CN"/>
        </w:rPr>
        <w:t>、</w:t>
      </w:r>
      <w:r>
        <w:rPr>
          <w:rFonts w:hint="eastAsia" w:ascii="宋体" w:hAnsi="宋体" w:eastAsia="宋体" w:cs="宋体"/>
          <w:highlight w:val="none"/>
        </w:rPr>
        <w:t>录像功能，③图像冻结（</w:t>
      </w:r>
      <w:r>
        <w:rPr>
          <w:rFonts w:hint="eastAsia" w:ascii="宋体" w:hAnsi="宋体" w:eastAsia="宋体" w:cs="宋体"/>
          <w:b/>
          <w:bCs/>
          <w:highlight w:val="none"/>
        </w:rPr>
        <w:t>无需触摸</w:t>
      </w:r>
      <w:r>
        <w:rPr>
          <w:rFonts w:hint="eastAsia" w:ascii="宋体" w:hAnsi="宋体" w:eastAsia="宋体" w:cs="宋体"/>
          <w:b/>
          <w:bCs/>
          <w:highlight w:val="none"/>
          <w:lang w:val="en-US" w:eastAsia="zh-CN"/>
        </w:rPr>
        <w:t>显示</w:t>
      </w:r>
      <w:r>
        <w:rPr>
          <w:rFonts w:hint="eastAsia" w:ascii="宋体" w:hAnsi="宋体" w:eastAsia="宋体" w:cs="宋体"/>
          <w:b/>
          <w:bCs/>
          <w:highlight w:val="none"/>
        </w:rPr>
        <w:t>屏幕，避免术后消毒问题</w:t>
      </w:r>
      <w:r>
        <w:rPr>
          <w:rFonts w:hint="eastAsia" w:ascii="宋体" w:hAnsi="宋体" w:eastAsia="宋体" w:cs="宋体"/>
          <w:highlight w:val="none"/>
        </w:rPr>
        <w:t>）；</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13</w:t>
      </w:r>
      <w:r>
        <w:rPr>
          <w:rFonts w:hint="eastAsia" w:ascii="宋体" w:hAnsi="宋体" w:eastAsia="宋体" w:cs="宋体"/>
          <w:highlight w:val="none"/>
        </w:rPr>
        <w:t>照明光源和观察视场的重合性：在工作距离处照明光斑应充满视场，无明显的亮暗分界线。</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14</w:t>
      </w:r>
      <w:r>
        <w:rPr>
          <w:rFonts w:hint="eastAsia" w:ascii="宋体" w:hAnsi="宋体" w:eastAsia="宋体" w:cs="宋体"/>
          <w:highlight w:val="none"/>
        </w:rPr>
        <w:t xml:space="preserve"> 内置LED冷光源，内镜镜头具备防雾功能，无需预热即可观察。</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15</w:t>
      </w:r>
      <w:r>
        <w:rPr>
          <w:rFonts w:hint="eastAsia" w:ascii="宋体" w:hAnsi="宋体" w:eastAsia="宋体" w:cs="宋体"/>
          <w:highlight w:val="none"/>
        </w:rPr>
        <w:t>操作部防水等级：IPX7</w:t>
      </w:r>
      <w:r>
        <w:rPr>
          <w:rFonts w:hint="eastAsia" w:ascii="宋体" w:hAnsi="宋体" w:eastAsia="宋体" w:cs="宋体"/>
          <w:highlight w:val="none"/>
          <w:lang w:val="en-US" w:eastAsia="zh-CN"/>
        </w:rPr>
        <w:t>以上，</w:t>
      </w:r>
      <w:r>
        <w:rPr>
          <w:rFonts w:hint="eastAsia" w:ascii="宋体" w:hAnsi="宋体" w:eastAsia="宋体" w:cs="宋体"/>
          <w:highlight w:val="none"/>
        </w:rPr>
        <w:t>配备防水盖，可进行全浸泡消毒。</w:t>
      </w:r>
    </w:p>
    <w:p>
      <w:pPr>
        <w:spacing w:line="360" w:lineRule="auto"/>
        <w:rPr>
          <w:rFonts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16</w:t>
      </w:r>
      <w:r>
        <w:rPr>
          <w:rFonts w:hint="eastAsia" w:ascii="宋体" w:hAnsi="宋体" w:eastAsia="宋体" w:cs="宋体"/>
          <w:highlight w:val="none"/>
        </w:rPr>
        <w:t xml:space="preserve"> 消毒灭菌无需ETO帽、NT阀，无需更换配件。</w:t>
      </w:r>
    </w:p>
    <w:p>
      <w:pPr>
        <w:spacing w:line="360" w:lineRule="auto"/>
        <w:rPr>
          <w:rFonts w:ascii="宋体" w:hAnsi="宋体" w:eastAsia="宋体" w:cs="宋体"/>
          <w:b/>
          <w:bCs/>
          <w:highlight w:val="none"/>
        </w:rPr>
      </w:pPr>
      <w:r>
        <w:rPr>
          <w:rFonts w:hint="eastAsia" w:ascii="宋体" w:hAnsi="宋体" w:eastAsia="宋体" w:cs="宋体"/>
          <w:b/>
          <w:bCs/>
          <w:highlight w:val="none"/>
        </w:rPr>
        <w:t>2</w:t>
      </w:r>
      <w:r>
        <w:rPr>
          <w:rFonts w:ascii="宋体" w:hAnsi="宋体" w:eastAsia="宋体" w:cs="宋体"/>
          <w:b/>
          <w:bCs/>
          <w:highlight w:val="none"/>
        </w:rPr>
        <w:t>.</w:t>
      </w:r>
      <w:r>
        <w:rPr>
          <w:rFonts w:hint="eastAsia" w:ascii="宋体" w:hAnsi="宋体" w:eastAsia="宋体" w:cs="宋体"/>
          <w:b/>
          <w:bCs/>
          <w:highlight w:val="none"/>
        </w:rPr>
        <w:t>电子内窥镜图像处理器：</w:t>
      </w:r>
    </w:p>
    <w:p>
      <w:pPr>
        <w:spacing w:line="360" w:lineRule="auto"/>
        <w:rPr>
          <w:rFonts w:ascii="宋体" w:hAnsi="宋体" w:eastAsia="宋体" w:cs="宋体"/>
          <w:highlight w:val="none"/>
        </w:rPr>
      </w:pPr>
      <w:r>
        <w:rPr>
          <w:rFonts w:ascii="宋体" w:hAnsi="宋体" w:eastAsia="宋体" w:cs="宋体"/>
          <w:highlight w:val="none"/>
        </w:rPr>
        <w:t>2.1</w:t>
      </w:r>
      <w:r>
        <w:rPr>
          <w:rFonts w:hint="eastAsia" w:ascii="宋体" w:hAnsi="宋体" w:eastAsia="宋体" w:cs="宋体"/>
          <w:highlight w:val="none"/>
        </w:rPr>
        <w:t>配备</w:t>
      </w:r>
      <w:r>
        <w:rPr>
          <w:rFonts w:hint="eastAsia" w:ascii="宋体" w:hAnsi="宋体" w:eastAsia="宋体" w:cs="宋体"/>
          <w:highlight w:val="none"/>
          <w:lang w:val="en-US" w:eastAsia="zh-CN"/>
        </w:rPr>
        <w:t>≥</w:t>
      </w:r>
      <w:r>
        <w:rPr>
          <w:rFonts w:hint="eastAsia" w:ascii="宋体" w:hAnsi="宋体" w:eastAsia="宋体" w:cs="宋体"/>
          <w:highlight w:val="none"/>
        </w:rPr>
        <w:t>10英寸</w:t>
      </w:r>
      <w:r>
        <w:rPr>
          <w:rFonts w:hint="eastAsia" w:ascii="宋体" w:hAnsi="宋体" w:eastAsia="宋体" w:cs="宋体"/>
          <w:highlight w:val="none"/>
          <w:lang w:eastAsia="zh-CN"/>
        </w:rPr>
        <w:t>以上</w:t>
      </w:r>
      <w:r>
        <w:rPr>
          <w:rFonts w:hint="eastAsia" w:ascii="宋体" w:hAnsi="宋体" w:eastAsia="宋体" w:cs="宋体"/>
          <w:highlight w:val="none"/>
        </w:rPr>
        <w:t>电容式触摸显示屏</w:t>
      </w:r>
      <w:r>
        <w:rPr>
          <w:rFonts w:hint="eastAsia" w:ascii="宋体" w:hAnsi="宋体" w:eastAsia="宋体" w:cs="宋体"/>
          <w:highlight w:val="none"/>
          <w:lang w:eastAsia="zh-CN"/>
        </w:rPr>
        <w:t>，及台式推车及工作站能独立出报告并接入我院影像系统</w:t>
      </w:r>
      <w:r>
        <w:rPr>
          <w:rFonts w:hint="eastAsia" w:ascii="宋体" w:hAnsi="宋体" w:eastAsia="宋体" w:cs="宋体"/>
          <w:highlight w:val="none"/>
        </w:rPr>
        <w:t>。</w:t>
      </w:r>
    </w:p>
    <w:p>
      <w:pPr>
        <w:spacing w:line="360" w:lineRule="auto"/>
        <w:rPr>
          <w:rFonts w:ascii="宋体" w:hAnsi="宋体" w:cs="宋体"/>
          <w:highlight w:val="none"/>
        </w:rPr>
      </w:pPr>
      <w:r>
        <w:rPr>
          <w:rFonts w:ascii="宋体" w:hAnsi="宋体" w:eastAsia="宋体" w:cs="宋体"/>
          <w:highlight w:val="none"/>
        </w:rPr>
        <w:t>2.2</w:t>
      </w:r>
      <w:r>
        <w:rPr>
          <w:rFonts w:hint="eastAsia" w:ascii="宋体" w:hAnsi="宋体" w:eastAsia="宋体" w:cs="宋体"/>
          <w:highlight w:val="none"/>
        </w:rPr>
        <w:t>显示屏：液晶玻璃</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可插储存卡</w:t>
      </w:r>
      <w:r>
        <w:rPr>
          <w:rFonts w:hint="eastAsia" w:ascii="宋体" w:hAnsi="宋体" w:eastAsia="宋体" w:cs="宋体"/>
          <w:highlight w:val="none"/>
        </w:rPr>
        <w:t>。</w:t>
      </w:r>
    </w:p>
    <w:p>
      <w:pPr>
        <w:spacing w:line="360" w:lineRule="auto"/>
        <w:rPr>
          <w:rFonts w:ascii="宋体" w:hAnsi="宋体" w:cs="宋体"/>
          <w:highlight w:val="none"/>
        </w:rPr>
      </w:pPr>
      <w:r>
        <w:rPr>
          <w:rFonts w:ascii="宋体" w:hAnsi="宋体" w:eastAsia="宋体" w:cs="宋体"/>
          <w:highlight w:val="none"/>
        </w:rPr>
        <w:t>2.</w:t>
      </w:r>
      <w:r>
        <w:rPr>
          <w:rFonts w:hint="eastAsia" w:ascii="宋体" w:hAnsi="宋体" w:eastAsia="宋体" w:cs="宋体"/>
          <w:highlight w:val="none"/>
          <w:lang w:val="en-US" w:eastAsia="zh-CN"/>
        </w:rPr>
        <w:t>3</w:t>
      </w:r>
      <w:r>
        <w:rPr>
          <w:rFonts w:hint="eastAsia" w:ascii="宋体" w:hAnsi="宋体" w:eastAsia="宋体" w:cs="宋体"/>
          <w:highlight w:val="none"/>
        </w:rPr>
        <w:t>高清视频信号输出分辨率≥1280×800。</w:t>
      </w:r>
    </w:p>
    <w:p>
      <w:pPr>
        <w:spacing w:line="360" w:lineRule="auto"/>
        <w:rPr>
          <w:rFonts w:ascii="宋体" w:hAnsi="宋体" w:cs="宋体"/>
          <w:highlight w:val="none"/>
        </w:rPr>
      </w:pPr>
      <w:r>
        <w:rPr>
          <w:rFonts w:ascii="宋体" w:hAnsi="宋体" w:eastAsia="宋体" w:cs="宋体"/>
          <w:highlight w:val="none"/>
        </w:rPr>
        <w:t>2.</w:t>
      </w:r>
      <w:r>
        <w:rPr>
          <w:rFonts w:hint="eastAsia" w:ascii="宋体" w:hAnsi="宋体" w:eastAsia="宋体" w:cs="宋体"/>
          <w:highlight w:val="none"/>
          <w:lang w:val="en-US" w:eastAsia="zh-CN"/>
        </w:rPr>
        <w:t>4</w:t>
      </w:r>
      <w:r>
        <w:rPr>
          <w:rFonts w:hint="eastAsia" w:ascii="宋体" w:hAnsi="宋体" w:eastAsia="宋体" w:cs="宋体"/>
          <w:highlight w:val="none"/>
        </w:rPr>
        <w:t>开机时间≤5秒，一键开机即能使用。</w:t>
      </w:r>
    </w:p>
    <w:p>
      <w:pPr>
        <w:spacing w:line="360" w:lineRule="auto"/>
        <w:rPr>
          <w:rFonts w:ascii="宋体" w:hAnsi="宋体" w:cs="宋体"/>
          <w:highlight w:val="none"/>
        </w:rPr>
      </w:pPr>
      <w:r>
        <w:rPr>
          <w:rFonts w:ascii="宋体" w:hAnsi="宋体" w:eastAsia="宋体" w:cs="宋体"/>
          <w:highlight w:val="none"/>
        </w:rPr>
        <w:t>2.</w:t>
      </w:r>
      <w:r>
        <w:rPr>
          <w:rFonts w:hint="eastAsia" w:ascii="宋体" w:hAnsi="宋体" w:eastAsia="宋体" w:cs="宋体"/>
          <w:highlight w:val="none"/>
          <w:lang w:val="en-US" w:eastAsia="zh-CN"/>
        </w:rPr>
        <w:t>5</w:t>
      </w:r>
      <w:r>
        <w:rPr>
          <w:rFonts w:hint="eastAsia" w:ascii="宋体" w:hAnsi="宋体" w:eastAsia="宋体" w:cs="宋体"/>
          <w:highlight w:val="none"/>
        </w:rPr>
        <w:t>配备有外置存储卡，可以存储图片及视频,内存≥64G,可兼容≥128G。</w:t>
      </w:r>
    </w:p>
    <w:p>
      <w:pPr>
        <w:spacing w:line="360" w:lineRule="auto"/>
        <w:rPr>
          <w:rFonts w:ascii="宋体" w:hAnsi="宋体" w:cs="宋体"/>
          <w:highlight w:val="none"/>
        </w:rPr>
      </w:pPr>
      <w:r>
        <w:rPr>
          <w:rFonts w:ascii="宋体" w:hAnsi="宋体" w:eastAsia="宋体" w:cs="宋体"/>
          <w:highlight w:val="none"/>
        </w:rPr>
        <w:t>2.</w:t>
      </w:r>
      <w:r>
        <w:rPr>
          <w:rFonts w:hint="eastAsia" w:ascii="宋体" w:hAnsi="宋体" w:eastAsia="宋体" w:cs="宋体"/>
          <w:highlight w:val="none"/>
          <w:lang w:val="en-US" w:eastAsia="zh-CN"/>
        </w:rPr>
        <w:t>6</w:t>
      </w:r>
      <w:r>
        <w:rPr>
          <w:rFonts w:hint="eastAsia" w:ascii="宋体" w:hAnsi="宋体" w:eastAsia="宋体" w:cs="宋体"/>
          <w:highlight w:val="none"/>
        </w:rPr>
        <w:t>具有白平衡功能，可一键恢复白平衡出厂值。</w:t>
      </w:r>
    </w:p>
    <w:p>
      <w:pPr>
        <w:spacing w:line="360" w:lineRule="auto"/>
        <w:rPr>
          <w:rFonts w:ascii="宋体" w:hAnsi="宋体" w:cs="宋体"/>
        </w:rPr>
      </w:pPr>
      <w:r>
        <w:rPr>
          <w:rFonts w:ascii="宋体" w:hAnsi="宋体" w:eastAsia="宋体" w:cs="宋体"/>
          <w:highlight w:val="none"/>
        </w:rPr>
        <w:t>2.</w:t>
      </w:r>
      <w:r>
        <w:rPr>
          <w:rFonts w:hint="eastAsia" w:ascii="宋体" w:hAnsi="宋体" w:eastAsia="宋体" w:cs="宋体"/>
          <w:highlight w:val="none"/>
          <w:lang w:val="en-US" w:eastAsia="zh-CN"/>
        </w:rPr>
        <w:t>7</w:t>
      </w:r>
      <w:r>
        <w:rPr>
          <w:rFonts w:hint="eastAsia" w:ascii="宋体" w:hAnsi="宋体" w:eastAsia="宋体" w:cs="宋体"/>
          <w:highlight w:val="none"/>
        </w:rPr>
        <w:t>具有可实时观察与记录功能，且可一键隐藏所有按键功能。有利</w:t>
      </w:r>
      <w:r>
        <w:rPr>
          <w:rFonts w:hint="eastAsia" w:ascii="宋体" w:hAnsi="宋体" w:eastAsia="宋体" w:cs="宋体"/>
        </w:rPr>
        <w:t>于临床操作使用。</w:t>
      </w:r>
    </w:p>
    <w:p>
      <w:pPr>
        <w:spacing w:line="360" w:lineRule="auto"/>
        <w:rPr>
          <w:rFonts w:ascii="宋体" w:hAnsi="宋体" w:cs="宋体"/>
        </w:rPr>
      </w:pPr>
      <w:r>
        <w:rPr>
          <w:rFonts w:ascii="宋体" w:hAnsi="宋体" w:eastAsia="宋体" w:cs="宋体"/>
        </w:rPr>
        <w:t>2.</w:t>
      </w:r>
      <w:r>
        <w:rPr>
          <w:rFonts w:hint="eastAsia" w:ascii="宋体" w:hAnsi="宋体" w:eastAsia="宋体" w:cs="宋体"/>
          <w:lang w:val="en-US" w:eastAsia="zh-CN"/>
        </w:rPr>
        <w:t>8</w:t>
      </w:r>
      <w:r>
        <w:rPr>
          <w:rFonts w:hint="eastAsia" w:ascii="宋体" w:hAnsi="宋体" w:eastAsia="宋体" w:cs="宋体"/>
        </w:rPr>
        <w:t>具有≥3种输出图像形状可选。</w:t>
      </w:r>
    </w:p>
    <w:p>
      <w:pPr>
        <w:pStyle w:val="12"/>
        <w:spacing w:before="0" w:beforeAutospacing="0" w:after="0" w:afterAutospacing="0" w:line="420" w:lineRule="exact"/>
        <w:jc w:val="both"/>
        <w:rPr>
          <w:sz w:val="21"/>
        </w:rPr>
      </w:pPr>
      <w:r>
        <w:rPr>
          <w:sz w:val="21"/>
        </w:rPr>
        <w:t>2.</w:t>
      </w:r>
      <w:r>
        <w:rPr>
          <w:rFonts w:hint="eastAsia"/>
          <w:sz w:val="21"/>
          <w:lang w:val="en-US" w:eastAsia="zh-CN"/>
        </w:rPr>
        <w:t>9</w:t>
      </w:r>
      <w:r>
        <w:rPr>
          <w:rFonts w:hint="eastAsia"/>
          <w:sz w:val="21"/>
        </w:rPr>
        <w:t>亮度调节：3级亮度调节，可调节配套使用的电子内窥镜上的LED灯的亮度（非仅调节显示屏幕亮度）</w:t>
      </w:r>
      <w:r>
        <w:rPr>
          <w:rFonts w:hint="eastAsia"/>
          <w:sz w:val="21"/>
          <w:szCs w:val="21"/>
        </w:rPr>
        <w:t>。</w:t>
      </w:r>
    </w:p>
    <w:p>
      <w:pPr>
        <w:spacing w:line="360" w:lineRule="auto"/>
        <w:rPr>
          <w:rFonts w:ascii="宋体" w:hAnsi="宋体" w:cs="宋体"/>
        </w:rPr>
      </w:pPr>
      <w:r>
        <w:rPr>
          <w:rFonts w:ascii="宋体" w:hAnsi="宋体" w:eastAsia="宋体" w:cs="宋体"/>
        </w:rPr>
        <w:t>2.</w:t>
      </w:r>
      <w:r>
        <w:rPr>
          <w:rFonts w:hint="eastAsia" w:ascii="宋体" w:hAnsi="宋体" w:eastAsia="宋体" w:cs="宋体"/>
          <w:lang w:val="en-US" w:eastAsia="zh-CN"/>
        </w:rPr>
        <w:t>10</w:t>
      </w:r>
      <w:r>
        <w:rPr>
          <w:rFonts w:hint="eastAsia" w:ascii="宋体" w:hAnsi="宋体" w:eastAsia="宋体" w:cs="宋体"/>
        </w:rPr>
        <w:t>色彩还原性≥4级。</w:t>
      </w:r>
    </w:p>
    <w:p>
      <w:pPr>
        <w:spacing w:line="360" w:lineRule="auto"/>
        <w:rPr>
          <w:rFonts w:hint="default" w:ascii="宋体" w:hAnsi="宋体" w:eastAsia="宋体" w:cs="宋体"/>
          <w:lang w:val="en-US" w:eastAsia="zh-CN"/>
        </w:rPr>
      </w:pPr>
      <w:r>
        <w:rPr>
          <w:rFonts w:ascii="宋体" w:hAnsi="宋体" w:eastAsia="宋体" w:cs="宋体"/>
        </w:rPr>
        <w:t>2.</w:t>
      </w:r>
      <w:r>
        <w:rPr>
          <w:rFonts w:hint="eastAsia" w:ascii="宋体" w:hAnsi="宋体" w:eastAsia="宋体" w:cs="宋体"/>
          <w:lang w:val="en-US" w:eastAsia="zh-CN"/>
        </w:rPr>
        <w:t>11视频信号环通输出接口类型，标准配置。</w:t>
      </w:r>
    </w:p>
    <w:p>
      <w:pPr>
        <w:pStyle w:val="12"/>
        <w:spacing w:before="0" w:beforeAutospacing="0" w:after="0" w:afterAutospacing="0" w:line="420" w:lineRule="exact"/>
        <w:jc w:val="both"/>
        <w:rPr>
          <w:rFonts w:hint="eastAsia"/>
          <w:sz w:val="21"/>
        </w:rPr>
      </w:pPr>
    </w:p>
    <w:p>
      <w:pPr>
        <w:spacing w:line="360" w:lineRule="auto"/>
        <w:rPr>
          <w:rFonts w:hint="eastAsia" w:ascii="宋体" w:hAnsi="宋体" w:eastAsia="宋体" w:cs="宋体"/>
        </w:rPr>
      </w:pPr>
    </w:p>
    <w:p>
      <w:pPr>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br w:type="page"/>
      </w:r>
    </w:p>
    <w:p>
      <w:pPr>
        <w:pStyle w:val="2"/>
        <w:pageBreakBefore/>
        <w:numPr>
          <w:ilvl w:val="0"/>
          <w:numId w:val="22"/>
        </w:numPr>
        <w:spacing w:before="319" w:beforeLines="100" w:after="478" w:afterLines="150" w:line="50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lang w:val="en-US" w:eastAsia="zh-CN"/>
        </w:rPr>
        <w:t xml:space="preserve">  合同条款</w:t>
      </w:r>
      <w:r>
        <w:rPr>
          <w:rFonts w:hint="eastAsia" w:asciiTheme="minorEastAsia" w:hAnsiTheme="minorEastAsia" w:eastAsiaTheme="minorEastAsia" w:cstheme="minorEastAsia"/>
          <w:sz w:val="36"/>
          <w:szCs w:val="36"/>
          <w:lang w:eastAsia="zh-CN"/>
        </w:rPr>
        <w:t>（</w:t>
      </w:r>
      <w:r>
        <w:rPr>
          <w:rFonts w:hint="eastAsia" w:asciiTheme="minorEastAsia" w:hAnsiTheme="minorEastAsia" w:eastAsiaTheme="minorEastAsia" w:cstheme="minorEastAsia"/>
          <w:sz w:val="36"/>
          <w:szCs w:val="36"/>
          <w:lang w:val="en-US" w:eastAsia="zh-CN"/>
        </w:rPr>
        <w:t>参考合同</w:t>
      </w:r>
      <w:r>
        <w:rPr>
          <w:rFonts w:hint="eastAsia" w:asciiTheme="minorEastAsia" w:hAnsiTheme="minorEastAsia" w:eastAsiaTheme="minorEastAsia" w:cstheme="minorEastAsia"/>
          <w:sz w:val="36"/>
          <w:szCs w:val="36"/>
          <w:lang w:eastAsia="zh-CN"/>
        </w:rPr>
        <w:t>）</w:t>
      </w:r>
    </w:p>
    <w:p>
      <w:pPr>
        <w:rPr>
          <w:rFonts w:hint="eastAsia" w:ascii="黑体" w:eastAsia="黑体"/>
          <w:b/>
          <w:sz w:val="32"/>
          <w:szCs w:val="32"/>
        </w:rPr>
      </w:pPr>
    </w:p>
    <w:p>
      <w:pPr>
        <w:rPr>
          <w:rFonts w:hint="eastAsia" w:ascii="黑体" w:eastAsia="黑体"/>
          <w:b/>
          <w:sz w:val="32"/>
          <w:szCs w:val="32"/>
        </w:rPr>
      </w:pPr>
      <w:r>
        <w:rPr>
          <w:rFonts w:hint="eastAsia" w:ascii="黑体" w:eastAsia="黑体"/>
          <w:b/>
          <w:sz w:val="32"/>
          <w:szCs w:val="32"/>
        </w:rPr>
        <w:t xml:space="preserve">合同编号： </w:t>
      </w:r>
    </w:p>
    <w:p>
      <w:pPr>
        <w:jc w:val="center"/>
        <w:rPr>
          <w:rFonts w:hint="eastAsia" w:ascii="黑体" w:eastAsia="黑体"/>
          <w:sz w:val="52"/>
          <w:szCs w:val="52"/>
        </w:rPr>
      </w:pPr>
      <w:r>
        <w:rPr>
          <w:rFonts w:hint="eastAsia" w:ascii="黑体" w:eastAsia="黑体"/>
          <w:sz w:val="52"/>
          <w:szCs w:val="52"/>
        </w:rPr>
        <w:t xml:space="preserve">         </w:t>
      </w:r>
    </w:p>
    <w:p>
      <w:pPr>
        <w:ind w:firstLine="2405" w:firstLineChars="499"/>
        <w:rPr>
          <w:rFonts w:hint="eastAsia" w:ascii="宋体" w:hAnsi="宋体" w:eastAsiaTheme="minorEastAsia"/>
          <w:b/>
          <w:snapToGrid w:val="0"/>
          <w:sz w:val="48"/>
          <w:szCs w:val="48"/>
          <w:lang w:eastAsia="zh-CN"/>
        </w:rPr>
      </w:pPr>
      <w:r>
        <w:rPr>
          <w:rFonts w:hint="eastAsia" w:ascii="宋体" w:hAnsi="宋体"/>
          <w:b/>
          <w:snapToGrid w:val="0"/>
          <w:sz w:val="48"/>
          <w:szCs w:val="48"/>
          <w:lang w:eastAsia="zh-CN"/>
        </w:rPr>
        <w:t>西安市长安区医院</w:t>
      </w:r>
    </w:p>
    <w:p>
      <w:pPr>
        <w:rPr>
          <w:rFonts w:hint="eastAsia" w:ascii="宋体" w:hAnsi="宋体"/>
          <w:b/>
          <w:snapToGrid w:val="0"/>
          <w:sz w:val="40"/>
          <w:szCs w:val="48"/>
        </w:rPr>
      </w:pPr>
    </w:p>
    <w:p>
      <w:pPr>
        <w:jc w:val="center"/>
        <w:rPr>
          <w:rFonts w:hint="eastAsia" w:ascii="宋体" w:hAnsi="宋体"/>
          <w:b/>
          <w:snapToGrid w:val="0"/>
          <w:sz w:val="40"/>
          <w:szCs w:val="48"/>
        </w:rPr>
      </w:pPr>
      <w:r>
        <w:rPr>
          <w:rFonts w:hint="eastAsia" w:ascii="宋体" w:hAnsi="宋体"/>
          <w:b/>
          <w:snapToGrid w:val="0"/>
          <w:sz w:val="40"/>
          <w:szCs w:val="48"/>
        </w:rPr>
        <w:t xml:space="preserve"> （项目名称: ）</w:t>
      </w:r>
    </w:p>
    <w:p>
      <w:pPr>
        <w:pStyle w:val="42"/>
        <w:rPr>
          <w:rFonts w:hint="eastAsia" w:ascii="宋体" w:hAnsi="宋体"/>
          <w:b/>
          <w:snapToGrid w:val="0"/>
          <w:sz w:val="48"/>
          <w:szCs w:val="48"/>
        </w:rPr>
      </w:pPr>
    </w:p>
    <w:p>
      <w:pPr>
        <w:pStyle w:val="42"/>
        <w:rPr>
          <w:rFonts w:hint="eastAsia" w:ascii="宋体" w:hAnsi="宋体"/>
          <w:b/>
          <w:snapToGrid w:val="0"/>
          <w:sz w:val="48"/>
          <w:szCs w:val="48"/>
        </w:rPr>
      </w:pPr>
    </w:p>
    <w:p>
      <w:pPr>
        <w:jc w:val="center"/>
        <w:rPr>
          <w:rFonts w:hint="eastAsia"/>
          <w:sz w:val="40"/>
          <w:szCs w:val="40"/>
        </w:rPr>
      </w:pPr>
      <w:r>
        <w:rPr>
          <w:rFonts w:hint="eastAsia" w:ascii="黑体" w:eastAsia="黑体"/>
          <w:b/>
          <w:sz w:val="72"/>
          <w:szCs w:val="72"/>
        </w:rPr>
        <w:t>供 货 合 同</w:t>
      </w:r>
    </w:p>
    <w:p>
      <w:pPr>
        <w:jc w:val="center"/>
        <w:rPr>
          <w:rFonts w:hint="eastAsia" w:ascii="宋体" w:hAnsi="宋体"/>
          <w:b/>
          <w:snapToGrid w:val="0"/>
          <w:sz w:val="40"/>
          <w:szCs w:val="48"/>
        </w:rPr>
      </w:pPr>
      <w:r>
        <w:rPr>
          <w:rFonts w:hint="eastAsia" w:ascii="宋体" w:hAnsi="宋体"/>
          <w:b/>
          <w:snapToGrid w:val="0"/>
          <w:sz w:val="40"/>
          <w:szCs w:val="48"/>
        </w:rPr>
        <w:t>（项目编号: ）</w:t>
      </w:r>
    </w:p>
    <w:p>
      <w:pPr>
        <w:jc w:val="both"/>
        <w:rPr>
          <w:rFonts w:hint="eastAsia" w:ascii="黑体" w:eastAsia="黑体"/>
          <w:sz w:val="30"/>
          <w:szCs w:val="30"/>
        </w:rPr>
      </w:pPr>
    </w:p>
    <w:p>
      <w:pPr>
        <w:jc w:val="center"/>
        <w:rPr>
          <w:rFonts w:hint="eastAsia" w:ascii="黑体" w:eastAsia="黑体"/>
          <w:sz w:val="30"/>
          <w:szCs w:val="30"/>
        </w:rPr>
      </w:pPr>
    </w:p>
    <w:p>
      <w:pPr>
        <w:ind w:firstLine="2080" w:firstLineChars="650"/>
        <w:rPr>
          <w:rFonts w:hint="eastAsia" w:ascii="黑体" w:eastAsia="黑体"/>
          <w:sz w:val="32"/>
          <w:szCs w:val="32"/>
        </w:rPr>
      </w:pPr>
      <w:r>
        <w:rPr>
          <w:rFonts w:hint="eastAsia" w:ascii="黑体" w:eastAsia="黑体"/>
          <w:sz w:val="32"/>
          <w:szCs w:val="32"/>
        </w:rPr>
        <w:t xml:space="preserve">甲  方： </w:t>
      </w:r>
      <w:r>
        <w:rPr>
          <w:rFonts w:hint="eastAsia" w:ascii="黑体" w:eastAsia="黑体"/>
          <w:sz w:val="32"/>
          <w:szCs w:val="32"/>
          <w:lang w:eastAsia="zh-CN"/>
        </w:rPr>
        <w:t>西安市长安区医院</w:t>
      </w:r>
    </w:p>
    <w:p>
      <w:pPr>
        <w:tabs>
          <w:tab w:val="left" w:pos="480"/>
        </w:tabs>
        <w:ind w:firstLine="640" w:firstLineChars="200"/>
        <w:rPr>
          <w:rFonts w:hint="eastAsia" w:ascii="黑体" w:hAnsi="黑体" w:eastAsia="黑体"/>
          <w:sz w:val="32"/>
          <w:szCs w:val="32"/>
        </w:rPr>
      </w:pPr>
      <w:r>
        <w:rPr>
          <w:rFonts w:hint="eastAsia" w:ascii="黑体" w:eastAsia="黑体"/>
          <w:sz w:val="32"/>
          <w:szCs w:val="32"/>
        </w:rPr>
        <w:t xml:space="preserve">         </w:t>
      </w:r>
      <w:r>
        <w:rPr>
          <w:rFonts w:hint="eastAsia" w:ascii="黑体" w:hAnsi="黑体" w:eastAsia="黑体"/>
          <w:sz w:val="32"/>
          <w:szCs w:val="32"/>
        </w:rPr>
        <w:t xml:space="preserve">乙  方： </w:t>
      </w:r>
    </w:p>
    <w:p>
      <w:pPr>
        <w:rPr>
          <w:rFonts w:hint="eastAsia" w:ascii="黑体" w:eastAsia="黑体"/>
          <w:sz w:val="32"/>
          <w:szCs w:val="32"/>
        </w:rPr>
      </w:pPr>
      <w:r>
        <w:rPr>
          <w:rFonts w:hint="eastAsia" w:ascii="黑体" w:eastAsia="黑体"/>
          <w:sz w:val="32"/>
          <w:szCs w:val="32"/>
        </w:rPr>
        <w:t xml:space="preserve">             鉴证方：</w:t>
      </w:r>
    </w:p>
    <w:p>
      <w:pPr>
        <w:jc w:val="center"/>
        <w:rPr>
          <w:rFonts w:hint="eastAsia" w:ascii="黑体" w:eastAsia="黑体"/>
          <w:sz w:val="30"/>
          <w:szCs w:val="30"/>
        </w:rPr>
      </w:pPr>
    </w:p>
    <w:p>
      <w:pPr>
        <w:jc w:val="center"/>
        <w:rPr>
          <w:rFonts w:hint="eastAsia" w:ascii="黑体" w:eastAsia="黑体"/>
          <w:sz w:val="32"/>
          <w:szCs w:val="32"/>
        </w:rPr>
      </w:pPr>
      <w:r>
        <w:rPr>
          <w:rFonts w:hint="eastAsia" w:ascii="黑体" w:eastAsia="黑体"/>
          <w:sz w:val="32"/>
          <w:szCs w:val="32"/>
        </w:rPr>
        <w:t xml:space="preserve"> 年 月</w:t>
      </w:r>
    </w:p>
    <w:p>
      <w:pPr>
        <w:jc w:val="center"/>
        <w:rPr>
          <w:rFonts w:hint="eastAsia" w:ascii="黑体" w:eastAsia="黑体"/>
          <w:sz w:val="32"/>
          <w:szCs w:val="32"/>
        </w:rPr>
      </w:pPr>
      <w:r>
        <w:rPr>
          <w:rFonts w:hint="eastAsia" w:ascii="黑体" w:eastAsia="黑体"/>
          <w:sz w:val="32"/>
          <w:szCs w:val="32"/>
        </w:rPr>
        <w:t>中国  西安</w:t>
      </w:r>
    </w:p>
    <w:p>
      <w:pPr>
        <w:pStyle w:val="15"/>
        <w:tabs>
          <w:tab w:val="left" w:pos="510"/>
          <w:tab w:val="clear" w:pos="4153"/>
          <w:tab w:val="clear" w:pos="8306"/>
        </w:tabs>
        <w:rPr>
          <w:rFonts w:hint="eastAsia" w:ascii="宋体" w:hAnsi="宋体"/>
          <w:szCs w:val="21"/>
        </w:rPr>
      </w:pPr>
      <w:r>
        <w:tab/>
      </w:r>
    </w:p>
    <w:p>
      <w:pPr>
        <w:spacing w:line="360" w:lineRule="auto"/>
        <w:ind w:firstLine="420" w:firstLineChars="200"/>
        <w:rPr>
          <w:rFonts w:hint="eastAsia" w:ascii="宋体" w:hAnsi="宋体" w:eastAsiaTheme="minorEastAsia"/>
          <w:szCs w:val="21"/>
          <w:lang w:eastAsia="zh-CN"/>
        </w:rPr>
      </w:pPr>
      <w:r>
        <w:rPr>
          <w:rFonts w:hint="eastAsia" w:ascii="宋体" w:hAnsi="宋体"/>
          <w:szCs w:val="21"/>
        </w:rPr>
        <w:t>甲方：</w:t>
      </w:r>
      <w:r>
        <w:rPr>
          <w:rFonts w:ascii="宋体" w:hAnsi="宋体"/>
          <w:szCs w:val="21"/>
        </w:rPr>
        <w:t xml:space="preserve"> </w:t>
      </w:r>
      <w:r>
        <w:rPr>
          <w:rFonts w:hint="eastAsia" w:ascii="宋体" w:hAnsi="宋体"/>
          <w:szCs w:val="21"/>
          <w:lang w:eastAsia="zh-CN"/>
        </w:rPr>
        <w:t>西安市长安区医院</w:t>
      </w:r>
    </w:p>
    <w:p>
      <w:pPr>
        <w:spacing w:line="360" w:lineRule="auto"/>
        <w:ind w:firstLine="420" w:firstLineChars="200"/>
        <w:rPr>
          <w:rFonts w:hint="eastAsia" w:ascii="宋体" w:hAnsi="宋体"/>
          <w:szCs w:val="21"/>
        </w:rPr>
      </w:pPr>
      <w:r>
        <w:rPr>
          <w:rFonts w:hint="eastAsia" w:ascii="宋体" w:hAnsi="宋体"/>
          <w:szCs w:val="21"/>
        </w:rPr>
        <w:t>乙方：</w:t>
      </w:r>
    </w:p>
    <w:p>
      <w:pPr>
        <w:spacing w:line="360" w:lineRule="auto"/>
        <w:ind w:firstLine="420" w:firstLineChars="200"/>
        <w:rPr>
          <w:rFonts w:hint="eastAsia" w:ascii="宋体" w:hAnsi="宋体"/>
          <w:szCs w:val="21"/>
        </w:rPr>
      </w:pPr>
      <w:r>
        <w:rPr>
          <w:rFonts w:hint="eastAsia" w:ascii="宋体" w:hAnsi="宋体"/>
          <w:szCs w:val="21"/>
        </w:rPr>
        <w:t>鉴证方：</w:t>
      </w:r>
    </w:p>
    <w:p>
      <w:pPr>
        <w:spacing w:line="360" w:lineRule="auto"/>
        <w:ind w:firstLine="420" w:firstLineChars="200"/>
        <w:rPr>
          <w:rFonts w:ascii="宋体" w:cs="宋体"/>
          <w:szCs w:val="21"/>
        </w:rPr>
      </w:pPr>
      <w:r>
        <w:rPr>
          <w:rFonts w:hint="eastAsia" w:ascii="宋体" w:hAnsi="宋体" w:cs="宋体"/>
          <w:szCs w:val="21"/>
        </w:rPr>
        <w:t>鉴</w:t>
      </w:r>
      <w:r>
        <w:rPr>
          <w:rFonts w:hint="eastAsia" w:ascii="宋体" w:hAnsi="宋体" w:cs="宋体"/>
          <w:color w:val="auto"/>
          <w:szCs w:val="21"/>
        </w:rPr>
        <w:t>证</w:t>
      </w:r>
      <w:r>
        <w:rPr>
          <w:rFonts w:hint="eastAsia" w:ascii="宋体" w:hAnsi="宋体" w:cs="宋体"/>
          <w:szCs w:val="21"/>
        </w:rPr>
        <w:t>方就甲方所需货物，在</w:t>
      </w:r>
      <w:r>
        <w:rPr>
          <w:rFonts w:hint="eastAsia" w:ascii="宋体" w:hAnsi="宋体" w:cs="宋体"/>
          <w:szCs w:val="21"/>
          <w:lang w:val="en-US" w:eastAsia="zh-CN"/>
        </w:rPr>
        <w:t>财政部门</w:t>
      </w:r>
      <w:r>
        <w:rPr>
          <w:rFonts w:hint="eastAsia" w:ascii="宋体" w:hAnsi="宋体" w:cs="宋体"/>
          <w:szCs w:val="21"/>
        </w:rPr>
        <w:t>的监督管理下，按照政府采购程序组织</w:t>
      </w:r>
      <w:r>
        <w:rPr>
          <w:rFonts w:hint="eastAsia" w:ascii="宋体" w:hAnsi="宋体" w:cs="宋体"/>
          <w:szCs w:val="21"/>
          <w:lang w:val="en-US" w:eastAsia="zh-CN"/>
        </w:rPr>
        <w:t>竞争性谈判</w:t>
      </w:r>
      <w:r>
        <w:rPr>
          <w:rFonts w:hint="eastAsia" w:ascii="宋体" w:hAnsi="宋体" w:cs="宋体"/>
          <w:szCs w:val="21"/>
        </w:rPr>
        <w:t>，确定乙方为中标供应商。依据《中华人民共和国政府采购法》、《中华人民共和国招标投标法》、《中华人民共和国</w:t>
      </w:r>
      <w:r>
        <w:rPr>
          <w:rFonts w:hint="eastAsia" w:ascii="宋体" w:hAnsi="宋体" w:cs="宋体"/>
          <w:color w:val="000000"/>
          <w:szCs w:val="21"/>
        </w:rPr>
        <w:t>民法典</w:t>
      </w:r>
      <w:r>
        <w:rPr>
          <w:rFonts w:hint="eastAsia" w:ascii="宋体" w:hAnsi="宋体" w:cs="宋体"/>
          <w:szCs w:val="21"/>
        </w:rPr>
        <w:t>》以及</w:t>
      </w:r>
      <w:r>
        <w:rPr>
          <w:rFonts w:hint="eastAsia" w:ascii="宋体" w:hAnsi="宋体" w:cs="宋体"/>
          <w:szCs w:val="21"/>
          <w:lang w:val="en-US" w:eastAsia="zh-CN"/>
        </w:rPr>
        <w:t>采购</w:t>
      </w:r>
      <w:r>
        <w:rPr>
          <w:rFonts w:hint="eastAsia" w:ascii="宋体" w:hAnsi="宋体" w:cs="宋体"/>
          <w:szCs w:val="21"/>
        </w:rPr>
        <w:t>文件、</w:t>
      </w:r>
      <w:r>
        <w:rPr>
          <w:rFonts w:hint="eastAsia" w:ascii="宋体" w:hAnsi="宋体" w:cs="宋体"/>
          <w:szCs w:val="21"/>
          <w:lang w:val="en-US" w:eastAsia="zh-CN"/>
        </w:rPr>
        <w:t>成交</w:t>
      </w:r>
      <w:r>
        <w:rPr>
          <w:rFonts w:hint="eastAsia" w:ascii="宋体" w:hAnsi="宋体" w:cs="宋体"/>
          <w:szCs w:val="21"/>
        </w:rPr>
        <w:t>供应商</w:t>
      </w:r>
      <w:r>
        <w:rPr>
          <w:rFonts w:hint="eastAsia" w:ascii="宋体" w:hAnsi="宋体" w:cs="宋体"/>
          <w:szCs w:val="21"/>
          <w:lang w:val="en-US" w:eastAsia="zh-CN"/>
        </w:rPr>
        <w:t>响应</w:t>
      </w:r>
      <w:r>
        <w:rPr>
          <w:rFonts w:hint="eastAsia" w:ascii="宋体" w:hAnsi="宋体" w:cs="宋体"/>
          <w:szCs w:val="21"/>
        </w:rPr>
        <w:t>文件、</w:t>
      </w:r>
      <w:r>
        <w:rPr>
          <w:rFonts w:hint="eastAsia" w:ascii="宋体" w:hAnsi="宋体" w:cs="宋体"/>
          <w:szCs w:val="21"/>
          <w:lang w:val="en-US" w:eastAsia="zh-CN"/>
        </w:rPr>
        <w:t>成交</w:t>
      </w:r>
      <w:r>
        <w:rPr>
          <w:rFonts w:hint="eastAsia" w:ascii="宋体" w:hAnsi="宋体" w:cs="宋体"/>
          <w:szCs w:val="21"/>
        </w:rPr>
        <w:t>通知书，经甲、乙双方协商，鉴</w:t>
      </w:r>
      <w:r>
        <w:rPr>
          <w:rFonts w:hint="eastAsia" w:ascii="宋体" w:hAnsi="宋体" w:cs="宋体"/>
          <w:color w:val="000000"/>
          <w:szCs w:val="21"/>
        </w:rPr>
        <w:t>证</w:t>
      </w:r>
      <w:r>
        <w:rPr>
          <w:rFonts w:hint="eastAsia" w:ascii="宋体" w:hAnsi="宋体" w:cs="宋体"/>
          <w:szCs w:val="21"/>
        </w:rPr>
        <w:t>方确认，达成如下条款。</w:t>
      </w:r>
    </w:p>
    <w:p>
      <w:pPr>
        <w:tabs>
          <w:tab w:val="left" w:pos="480"/>
        </w:tabs>
        <w:spacing w:line="360" w:lineRule="auto"/>
        <w:ind w:firstLine="422" w:firstLineChars="200"/>
        <w:rPr>
          <w:rFonts w:ascii="宋体" w:cs="宋体"/>
          <w:b/>
          <w:szCs w:val="21"/>
        </w:rPr>
      </w:pPr>
      <w:r>
        <w:rPr>
          <w:rFonts w:hint="eastAsia" w:ascii="宋体" w:hAnsi="宋体" w:cs="宋体"/>
          <w:b/>
          <w:szCs w:val="21"/>
        </w:rPr>
        <w:t>一、合同标的物内容及数量</w:t>
      </w:r>
    </w:p>
    <w:tbl>
      <w:tblPr>
        <w:tblStyle w:val="20"/>
        <w:tblW w:w="9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779"/>
        <w:gridCol w:w="1559"/>
        <w:gridCol w:w="1559"/>
        <w:gridCol w:w="851"/>
        <w:gridCol w:w="992"/>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59"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序号</w:t>
            </w:r>
          </w:p>
        </w:tc>
        <w:tc>
          <w:tcPr>
            <w:tcW w:w="2779"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货物名称</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原产地及厂商名称（品牌）</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规格型号</w:t>
            </w:r>
          </w:p>
        </w:tc>
        <w:tc>
          <w:tcPr>
            <w:tcW w:w="851"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单位</w:t>
            </w:r>
          </w:p>
        </w:tc>
        <w:tc>
          <w:tcPr>
            <w:tcW w:w="992"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单价</w:t>
            </w:r>
          </w:p>
        </w:tc>
        <w:tc>
          <w:tcPr>
            <w:tcW w:w="825"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59" w:type="dxa"/>
            <w:tcBorders>
              <w:top w:val="single" w:color="auto" w:sz="4" w:space="0"/>
              <w:left w:val="single" w:color="auto" w:sz="12"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1</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2</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3</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szCs w:val="21"/>
              </w:rPr>
            </w:pPr>
          </w:p>
        </w:tc>
      </w:tr>
    </w:tbl>
    <w:p>
      <w:pPr>
        <w:tabs>
          <w:tab w:val="left" w:pos="480"/>
        </w:tabs>
        <w:spacing w:line="360" w:lineRule="auto"/>
        <w:ind w:firstLine="413" w:firstLineChars="196"/>
        <w:rPr>
          <w:rFonts w:ascii="宋体" w:cs="宋体"/>
          <w:b/>
          <w:szCs w:val="21"/>
        </w:rPr>
      </w:pPr>
      <w:r>
        <w:rPr>
          <w:rFonts w:hint="eastAsia" w:ascii="宋体" w:hAnsi="宋体" w:cs="宋体"/>
          <w:b/>
          <w:szCs w:val="21"/>
        </w:rPr>
        <w:t>二、合同价款</w:t>
      </w:r>
    </w:p>
    <w:p>
      <w:pPr>
        <w:tabs>
          <w:tab w:val="left" w:pos="480"/>
        </w:tabs>
        <w:spacing w:line="360" w:lineRule="auto"/>
        <w:ind w:firstLine="420" w:firstLineChars="200"/>
        <w:rPr>
          <w:rFonts w:ascii="宋体" w:cs="宋体"/>
          <w:szCs w:val="21"/>
        </w:rPr>
      </w:pPr>
      <w:r>
        <w:rPr>
          <w:rFonts w:hint="eastAsia" w:ascii="宋体" w:hAnsi="宋体" w:cs="宋体"/>
          <w:szCs w:val="21"/>
        </w:rPr>
        <w:t>（一）合同总价款为人民币（大写）（小写）。</w:t>
      </w:r>
    </w:p>
    <w:p>
      <w:pPr>
        <w:tabs>
          <w:tab w:val="left" w:pos="480"/>
        </w:tabs>
        <w:spacing w:line="360" w:lineRule="auto"/>
        <w:ind w:firstLine="420" w:firstLineChars="200"/>
        <w:rPr>
          <w:rFonts w:ascii="宋体" w:cs="宋体"/>
          <w:szCs w:val="21"/>
        </w:rPr>
      </w:pPr>
      <w:r>
        <w:rPr>
          <w:rFonts w:hint="eastAsia" w:ascii="宋体" w:hAnsi="宋体" w:cs="宋体"/>
          <w:szCs w:val="21"/>
        </w:rPr>
        <w:t>（二）货物单价不受市场上涨因素的影响。</w:t>
      </w:r>
    </w:p>
    <w:p>
      <w:pPr>
        <w:spacing w:line="360" w:lineRule="auto"/>
        <w:ind w:firstLine="422" w:firstLineChars="200"/>
        <w:rPr>
          <w:rFonts w:ascii="宋体" w:hAnsi="宋体" w:cs="仿宋"/>
          <w:b/>
          <w:bCs/>
          <w:szCs w:val="21"/>
        </w:rPr>
      </w:pPr>
      <w:r>
        <w:rPr>
          <w:rFonts w:ascii="宋体" w:hAnsi="宋体" w:cs="宋体"/>
          <w:b/>
          <w:szCs w:val="21"/>
        </w:rPr>
        <w:t>三、</w:t>
      </w:r>
      <w:r>
        <w:rPr>
          <w:rFonts w:hint="eastAsia" w:ascii="宋体" w:hAnsi="宋体" w:cs="仿宋"/>
          <w:b/>
          <w:bCs/>
          <w:szCs w:val="21"/>
        </w:rPr>
        <w:t>付款方式和结算条件</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（一）</w:t>
      </w:r>
      <w:r>
        <w:rPr>
          <w:rFonts w:ascii="宋体" w:hAnsi="宋体" w:cs="宋体"/>
          <w:szCs w:val="21"/>
        </w:rPr>
        <w:t>付款方式</w:t>
      </w:r>
    </w:p>
    <w:p>
      <w:pPr>
        <w:spacing w:line="360" w:lineRule="auto"/>
        <w:ind w:firstLine="840" w:firstLineChars="400"/>
        <w:rPr>
          <w:rFonts w:ascii="宋体" w:hAnsi="宋体" w:cs="仿宋"/>
          <w:szCs w:val="21"/>
        </w:rPr>
      </w:pPr>
      <w:r>
        <w:rPr>
          <w:rFonts w:hint="eastAsia" w:ascii="宋体" w:hAnsi="宋体" w:cs="仿宋"/>
          <w:szCs w:val="21"/>
        </w:rPr>
        <w:t>通过银行转账方式将款项转入乙方银行账户。乙方银行账户信息如下：</w:t>
      </w:r>
    </w:p>
    <w:p>
      <w:pPr>
        <w:spacing w:beforeLines="0" w:afterLines="0" w:line="360" w:lineRule="auto"/>
        <w:ind w:firstLine="840" w:firstLineChars="400"/>
        <w:rPr>
          <w:rFonts w:hint="eastAsia" w:ascii="宋体" w:hAnsi="宋体" w:cs="仿宋"/>
          <w:sz w:val="21"/>
          <w:szCs w:val="21"/>
          <w:u w:val="thick"/>
        </w:rPr>
      </w:pPr>
      <w:r>
        <w:rPr>
          <w:rFonts w:hint="eastAsia" w:ascii="宋体" w:hAnsi="宋体" w:cs="仿宋"/>
          <w:sz w:val="21"/>
          <w:szCs w:val="21"/>
          <w:u w:val="none"/>
        </w:rPr>
        <w:t>账户全称：</w:t>
      </w:r>
      <w:r>
        <w:rPr>
          <w:rFonts w:hint="eastAsia" w:ascii="宋体" w:hAnsi="宋体" w:cs="仿宋"/>
          <w:sz w:val="21"/>
          <w:szCs w:val="21"/>
          <w:u w:val="thick"/>
        </w:rPr>
        <w:t xml:space="preserve">                                   </w:t>
      </w:r>
    </w:p>
    <w:p>
      <w:pPr>
        <w:spacing w:beforeLines="0" w:afterLines="0" w:line="360" w:lineRule="auto"/>
        <w:ind w:firstLine="840" w:firstLineChars="400"/>
        <w:rPr>
          <w:rFonts w:hint="eastAsia" w:ascii="宋体" w:hAnsi="宋体" w:cs="仿宋"/>
          <w:sz w:val="21"/>
          <w:szCs w:val="21"/>
          <w:u w:val="none"/>
        </w:rPr>
      </w:pPr>
      <w:r>
        <w:rPr>
          <w:rFonts w:hint="eastAsia" w:ascii="宋体" w:hAnsi="宋体" w:cs="仿宋"/>
          <w:sz w:val="21"/>
          <w:szCs w:val="21"/>
          <w:u w:val="none"/>
        </w:rPr>
        <w:t xml:space="preserve">账    号：                                   </w:t>
      </w:r>
    </w:p>
    <w:p>
      <w:pPr>
        <w:spacing w:line="360" w:lineRule="auto"/>
        <w:ind w:firstLine="840" w:firstLineChars="400"/>
        <w:rPr>
          <w:rFonts w:ascii="宋体" w:hAnsi="宋体" w:cs="仿宋"/>
          <w:szCs w:val="21"/>
          <w:u w:val="single"/>
        </w:rPr>
      </w:pPr>
      <w:r>
        <w:rPr>
          <w:rFonts w:hint="eastAsia" w:ascii="宋体" w:hAnsi="宋体" w:cs="仿宋"/>
          <w:sz w:val="21"/>
          <w:szCs w:val="21"/>
          <w:u w:val="none"/>
        </w:rPr>
        <w:t>开 户 行：</w:t>
      </w:r>
      <w:r>
        <w:rPr>
          <w:rFonts w:hint="eastAsia" w:ascii="宋体" w:hAnsi="宋体" w:eastAsia="宋体" w:cs="仿宋"/>
          <w:szCs w:val="21"/>
          <w:u w:val="single"/>
        </w:rPr>
        <w:t xml:space="preserve">          </w:t>
      </w:r>
      <w:r>
        <w:rPr>
          <w:rFonts w:hint="eastAsia" w:ascii="宋体" w:hAnsi="宋体" w:cs="仿宋"/>
          <w:szCs w:val="21"/>
          <w:u w:val="single"/>
        </w:rPr>
        <w:t xml:space="preserve">                          </w:t>
      </w:r>
    </w:p>
    <w:p>
      <w:pPr>
        <w:spacing w:line="360" w:lineRule="auto"/>
        <w:ind w:firstLine="630" w:firstLineChars="300"/>
        <w:rPr>
          <w:rFonts w:hint="eastAsia" w:ascii="宋体" w:hAnsi="宋体" w:cs="仿宋"/>
          <w:szCs w:val="21"/>
        </w:rPr>
      </w:pPr>
      <w:r>
        <w:rPr>
          <w:rFonts w:hint="eastAsia" w:ascii="宋体" w:hAnsi="宋体" w:cs="仿宋"/>
          <w:szCs w:val="21"/>
        </w:rPr>
        <w:t>甲方仅认可上述指定账户并向该账户付款，甲方有权拒绝向指定账户之外的任何账户付款，并且由此导致的付款延迟责任由乙方承担。</w:t>
      </w:r>
    </w:p>
    <w:p>
      <w:pPr>
        <w:spacing w:line="360" w:lineRule="auto"/>
        <w:ind w:firstLine="630" w:firstLineChars="300"/>
        <w:rPr>
          <w:rFonts w:hint="eastAsia" w:ascii="宋体" w:hAnsi="宋体" w:cs="仿宋"/>
          <w:color w:val="000000"/>
          <w:szCs w:val="21"/>
        </w:rPr>
      </w:pPr>
      <w:r>
        <w:rPr>
          <w:rFonts w:hint="eastAsia" w:ascii="宋体" w:hAnsi="宋体"/>
          <w:color w:val="000000"/>
          <w:szCs w:val="21"/>
        </w:rPr>
        <w:t>乙方要如实开具发票，不得变更开票内容，乙方开具发票出现税务争议时，乙方需承担税款、滞纳金、罚款等赔偿责任以及其他相关责任。</w:t>
      </w:r>
    </w:p>
    <w:p>
      <w:pPr>
        <w:pStyle w:val="43"/>
        <w:spacing w:line="360" w:lineRule="auto"/>
        <w:ind w:firstLine="420" w:firstLineChars="200"/>
        <w:rPr>
          <w:rFonts w:hint="eastAsia" w:ascii="宋体" w:hAnsi="宋体" w:cs="宋体"/>
          <w:sz w:val="21"/>
          <w:szCs w:val="21"/>
        </w:rPr>
      </w:pPr>
      <w:r>
        <w:rPr>
          <w:rFonts w:hint="eastAsia" w:ascii="宋体" w:hAnsi="宋体"/>
          <w:sz w:val="21"/>
          <w:szCs w:val="21"/>
        </w:rPr>
        <w:t>（二）</w:t>
      </w:r>
      <w:r>
        <w:rPr>
          <w:rFonts w:hint="eastAsia" w:ascii="宋体" w:hAnsi="宋体" w:cs="仿宋"/>
          <w:bCs/>
          <w:sz w:val="21"/>
          <w:szCs w:val="21"/>
        </w:rPr>
        <w:t>结算条件</w:t>
      </w:r>
    </w:p>
    <w:p>
      <w:pPr>
        <w:pStyle w:val="43"/>
        <w:spacing w:line="360" w:lineRule="auto"/>
        <w:ind w:left="315" w:leftChars="150" w:firstLine="630" w:firstLineChars="300"/>
        <w:rPr>
          <w:rFonts w:ascii="宋体" w:hAnsi="宋体"/>
          <w:sz w:val="21"/>
          <w:szCs w:val="21"/>
          <w:highlight w:val="yellow"/>
        </w:rPr>
      </w:pPr>
      <w:r>
        <w:rPr>
          <w:rFonts w:hint="eastAsia" w:ascii="宋体" w:hAnsi="宋体" w:cs="宋体"/>
          <w:sz w:val="21"/>
          <w:szCs w:val="21"/>
          <w:highlight w:val="none"/>
        </w:rPr>
        <w:t>支付方式为</w:t>
      </w:r>
      <w:r>
        <w:rPr>
          <w:rFonts w:hint="eastAsia" w:ascii="宋体" w:hAnsi="宋体" w:cs="宋体"/>
          <w:sz w:val="21"/>
          <w:szCs w:val="21"/>
          <w:highlight w:val="none"/>
          <w:lang w:eastAsia="zh-CN"/>
        </w:rPr>
        <w:t>：合同签订货到后支付总价的30%，验收合格后无质量问题支付合同总价的70%。</w:t>
      </w:r>
    </w:p>
    <w:p>
      <w:pPr>
        <w:numPr>
          <w:ilvl w:val="0"/>
          <w:numId w:val="23"/>
        </w:numPr>
        <w:tabs>
          <w:tab w:val="left" w:pos="480"/>
        </w:tabs>
        <w:spacing w:line="360" w:lineRule="auto"/>
        <w:ind w:firstLine="420" w:firstLineChars="200"/>
        <w:rPr>
          <w:rFonts w:hint="eastAsia" w:ascii="宋体" w:hAnsi="宋体" w:cs="宋体"/>
          <w:bCs/>
          <w:szCs w:val="21"/>
        </w:rPr>
      </w:pPr>
      <w:r>
        <w:rPr>
          <w:rFonts w:hint="eastAsia" w:ascii="宋体" w:hAnsi="宋体" w:cs="宋体"/>
          <w:bCs/>
          <w:szCs w:val="21"/>
        </w:rPr>
        <w:t>双方的权利和义务</w:t>
      </w:r>
    </w:p>
    <w:p>
      <w:pPr>
        <w:tabs>
          <w:tab w:val="left" w:pos="480"/>
        </w:tabs>
        <w:spacing w:line="360" w:lineRule="auto"/>
        <w:ind w:firstLine="420" w:firstLineChars="200"/>
        <w:rPr>
          <w:rFonts w:ascii="宋体" w:cs="宋体"/>
          <w:bCs/>
          <w:szCs w:val="21"/>
        </w:rPr>
      </w:pPr>
      <w:r>
        <w:rPr>
          <w:rFonts w:hint="eastAsia" w:ascii="宋体" w:hAnsi="宋体" w:cs="宋体"/>
          <w:bCs/>
          <w:szCs w:val="21"/>
        </w:rPr>
        <w:t>（一）甲方的权利和义务</w:t>
      </w:r>
    </w:p>
    <w:p>
      <w:pPr>
        <w:tabs>
          <w:tab w:val="left" w:pos="480"/>
        </w:tabs>
        <w:spacing w:line="360" w:lineRule="auto"/>
        <w:ind w:firstLine="420" w:firstLineChars="200"/>
        <w:rPr>
          <w:rFonts w:ascii="宋体" w:cs="宋体"/>
          <w:bCs/>
          <w:szCs w:val="21"/>
        </w:rPr>
      </w:pPr>
      <w:r>
        <w:rPr>
          <w:rFonts w:ascii="宋体" w:hAnsi="宋体" w:cs="宋体"/>
          <w:bCs/>
          <w:szCs w:val="21"/>
        </w:rPr>
        <w:t xml:space="preserve">    </w:t>
      </w:r>
      <w:r>
        <w:rPr>
          <w:rFonts w:hint="eastAsia" w:ascii="宋体" w:hAnsi="宋体" w:cs="宋体"/>
          <w:bCs/>
          <w:szCs w:val="21"/>
        </w:rPr>
        <w:t>甲方权利：组织使用单位严格按照招标文件及投标文件要求和标准验收货物。</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甲方义务：积极配合乙方交付,及时验收。</w:t>
      </w:r>
    </w:p>
    <w:p>
      <w:pPr>
        <w:spacing w:line="360" w:lineRule="auto"/>
        <w:ind w:firstLine="420" w:firstLineChars="200"/>
        <w:rPr>
          <w:rFonts w:ascii="宋体" w:cs="宋体"/>
          <w:szCs w:val="21"/>
        </w:rPr>
      </w:pPr>
      <w:r>
        <w:rPr>
          <w:rFonts w:hint="eastAsia" w:ascii="宋体" w:hAnsi="宋体" w:cs="宋体"/>
          <w:szCs w:val="21"/>
        </w:rPr>
        <w:t>（二）乙方的权利和义务</w:t>
      </w:r>
    </w:p>
    <w:p>
      <w:pPr>
        <w:spacing w:line="360" w:lineRule="auto"/>
        <w:ind w:firstLine="210" w:firstLineChars="100"/>
        <w:rPr>
          <w:rFonts w:ascii="宋体" w:cs="宋体"/>
          <w:szCs w:val="21"/>
        </w:rPr>
      </w:pPr>
      <w:r>
        <w:rPr>
          <w:rFonts w:ascii="宋体" w:hAnsi="宋体" w:cs="宋体"/>
          <w:szCs w:val="21"/>
        </w:rPr>
        <w:t xml:space="preserve">      </w:t>
      </w:r>
      <w:r>
        <w:rPr>
          <w:rFonts w:hint="eastAsia" w:ascii="宋体" w:hAnsi="宋体" w:cs="宋体"/>
          <w:szCs w:val="21"/>
        </w:rPr>
        <w:t>乙方权利：按照合同约定要求甲方及时付款。</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乙方义务：按照合同约定时间，按甲方指定地点提供货物，配合验收工作；</w:t>
      </w:r>
    </w:p>
    <w:p>
      <w:pPr>
        <w:tabs>
          <w:tab w:val="left" w:pos="480"/>
        </w:tabs>
        <w:spacing w:line="360" w:lineRule="auto"/>
        <w:ind w:firstLine="624" w:firstLineChars="296"/>
        <w:rPr>
          <w:rFonts w:ascii="宋体" w:cs="宋体"/>
          <w:szCs w:val="21"/>
        </w:rPr>
      </w:pPr>
      <w:r>
        <w:rPr>
          <w:rFonts w:hint="eastAsia" w:ascii="宋体" w:hAnsi="宋体" w:cs="宋体"/>
          <w:b/>
          <w:szCs w:val="21"/>
        </w:rPr>
        <w:t>五、交货条件：</w:t>
      </w:r>
    </w:p>
    <w:p>
      <w:pPr>
        <w:tabs>
          <w:tab w:val="left" w:pos="480"/>
        </w:tabs>
        <w:spacing w:line="360" w:lineRule="auto"/>
        <w:ind w:firstLine="420" w:firstLineChars="200"/>
        <w:rPr>
          <w:rFonts w:ascii="宋体" w:cs="宋体"/>
          <w:szCs w:val="21"/>
        </w:rPr>
      </w:pPr>
      <w:r>
        <w:rPr>
          <w:rFonts w:hint="eastAsia" w:ascii="宋体" w:hAnsi="宋体" w:cs="宋体"/>
          <w:szCs w:val="21"/>
        </w:rPr>
        <w:t>（一）交货地点：甲方指定地点。</w:t>
      </w:r>
    </w:p>
    <w:p>
      <w:pPr>
        <w:tabs>
          <w:tab w:val="left" w:pos="480"/>
        </w:tabs>
        <w:spacing w:line="360" w:lineRule="auto"/>
        <w:ind w:firstLine="420" w:firstLineChars="200"/>
        <w:rPr>
          <w:rFonts w:ascii="宋体" w:cs="宋体"/>
          <w:szCs w:val="21"/>
        </w:rPr>
      </w:pPr>
      <w:r>
        <w:rPr>
          <w:rFonts w:hint="eastAsia" w:ascii="宋体" w:hAnsi="宋体" w:cs="宋体"/>
          <w:szCs w:val="21"/>
        </w:rPr>
        <w:t>（二）交货期</w:t>
      </w:r>
      <w:r>
        <w:rPr>
          <w:rFonts w:hint="eastAsia" w:ascii="宋体" w:hAnsi="宋体" w:cs="宋体"/>
          <w:szCs w:val="21"/>
          <w:lang w:eastAsia="zh-CN"/>
        </w:rPr>
        <w:t>：自合同签订之日起</w:t>
      </w:r>
      <w:r>
        <w:rPr>
          <w:rFonts w:hint="eastAsia" w:ascii="宋体" w:hAnsi="宋体" w:cs="宋体"/>
          <w:szCs w:val="21"/>
          <w:u w:val="single"/>
          <w:lang w:eastAsia="zh-CN"/>
        </w:rPr>
        <w:t xml:space="preserve">      </w:t>
      </w:r>
      <w:r>
        <w:rPr>
          <w:rFonts w:hint="eastAsia" w:ascii="宋体" w:hAnsi="宋体" w:cs="宋体"/>
          <w:szCs w:val="21"/>
          <w:lang w:eastAsia="zh-CN"/>
        </w:rPr>
        <w:t>日历日安装调试</w:t>
      </w:r>
      <w:r>
        <w:rPr>
          <w:rFonts w:hint="eastAsia" w:ascii="宋体" w:hAnsi="宋体"/>
          <w:szCs w:val="21"/>
        </w:rPr>
        <w:t>。</w:t>
      </w:r>
    </w:p>
    <w:p>
      <w:pPr>
        <w:pStyle w:val="15"/>
        <w:spacing w:line="360" w:lineRule="auto"/>
        <w:ind w:firstLine="632" w:firstLineChars="300"/>
        <w:rPr>
          <w:rFonts w:hint="eastAsia"/>
          <w:b/>
          <w:bCs/>
          <w:sz w:val="21"/>
          <w:szCs w:val="21"/>
        </w:rPr>
      </w:pPr>
      <w:r>
        <w:rPr>
          <w:rFonts w:hint="eastAsia"/>
          <w:b/>
          <w:bCs/>
          <w:sz w:val="21"/>
          <w:szCs w:val="21"/>
        </w:rPr>
        <w:t>六、运输</w:t>
      </w:r>
    </w:p>
    <w:p>
      <w:pPr>
        <w:pStyle w:val="15"/>
        <w:spacing w:line="360" w:lineRule="auto"/>
        <w:ind w:firstLine="420" w:firstLineChars="200"/>
        <w:rPr>
          <w:rFonts w:hint="eastAsia"/>
          <w:sz w:val="21"/>
          <w:szCs w:val="21"/>
        </w:rPr>
      </w:pPr>
      <w:r>
        <w:rPr>
          <w:rFonts w:hint="eastAsia"/>
          <w:sz w:val="21"/>
          <w:szCs w:val="21"/>
        </w:rPr>
        <w:t>（一）运输由乙方负责，运杂费已包含在合同总价内，包括从货物供应地点所含的运输费、装卸费、仓储费、保险费等。</w:t>
      </w:r>
    </w:p>
    <w:p>
      <w:pPr>
        <w:pStyle w:val="15"/>
        <w:spacing w:line="360" w:lineRule="auto"/>
        <w:ind w:firstLine="420" w:firstLineChars="200"/>
        <w:rPr>
          <w:rFonts w:hint="eastAsia"/>
          <w:sz w:val="21"/>
          <w:szCs w:val="21"/>
        </w:rPr>
      </w:pPr>
      <w:r>
        <w:rPr>
          <w:rFonts w:hint="eastAsia"/>
          <w:sz w:val="21"/>
          <w:szCs w:val="21"/>
        </w:rPr>
        <w:t>（二）运输方式由乙方自行选择，但必须保证按期交货。</w:t>
      </w:r>
    </w:p>
    <w:p>
      <w:pPr>
        <w:pStyle w:val="15"/>
        <w:spacing w:line="360" w:lineRule="auto"/>
        <w:ind w:firstLine="420" w:firstLineChars="200"/>
        <w:rPr>
          <w:rFonts w:hint="eastAsia"/>
          <w:sz w:val="21"/>
          <w:szCs w:val="21"/>
        </w:rPr>
      </w:pPr>
      <w:r>
        <w:rPr>
          <w:rFonts w:hint="eastAsia"/>
          <w:sz w:val="21"/>
          <w:szCs w:val="21"/>
        </w:rPr>
        <w:t>（三）因运输产生的一切风险及质量问题均由乙方承担。</w:t>
      </w:r>
    </w:p>
    <w:p>
      <w:pPr>
        <w:pStyle w:val="15"/>
        <w:spacing w:line="360" w:lineRule="auto"/>
        <w:ind w:firstLine="632" w:firstLineChars="300"/>
        <w:rPr>
          <w:rFonts w:hint="eastAsia"/>
          <w:b/>
          <w:bCs/>
          <w:sz w:val="21"/>
          <w:szCs w:val="21"/>
        </w:rPr>
      </w:pPr>
      <w:r>
        <w:rPr>
          <w:rFonts w:hint="eastAsia"/>
          <w:b/>
          <w:bCs/>
          <w:sz w:val="21"/>
          <w:szCs w:val="21"/>
        </w:rPr>
        <w:t>七、质量保证</w:t>
      </w:r>
    </w:p>
    <w:p>
      <w:pPr>
        <w:pStyle w:val="15"/>
        <w:spacing w:line="360" w:lineRule="auto"/>
        <w:rPr>
          <w:rFonts w:hint="eastAsia"/>
          <w:sz w:val="21"/>
          <w:szCs w:val="21"/>
        </w:rPr>
      </w:pPr>
      <w:r>
        <w:rPr>
          <w:rFonts w:hint="eastAsia"/>
          <w:sz w:val="21"/>
          <w:szCs w:val="21"/>
        </w:rPr>
        <w:t>乙方所供货物必须执行下列条款：</w:t>
      </w:r>
    </w:p>
    <w:p>
      <w:pPr>
        <w:pStyle w:val="15"/>
        <w:spacing w:line="360" w:lineRule="auto"/>
        <w:ind w:firstLine="420" w:firstLineChars="200"/>
        <w:rPr>
          <w:rFonts w:hint="eastAsia"/>
          <w:sz w:val="21"/>
          <w:szCs w:val="21"/>
        </w:rPr>
      </w:pPr>
      <w:r>
        <w:rPr>
          <w:rFonts w:hint="eastAsia"/>
          <w:sz w:val="21"/>
          <w:szCs w:val="21"/>
        </w:rPr>
        <w:t>（一）保证技术指标先进、质量性能可靠、进货渠道正常，配置合理，全面满足谈判要求。</w:t>
      </w:r>
    </w:p>
    <w:p>
      <w:pPr>
        <w:pStyle w:val="15"/>
        <w:spacing w:line="360" w:lineRule="auto"/>
        <w:ind w:firstLine="420" w:firstLineChars="200"/>
        <w:rPr>
          <w:rFonts w:hint="eastAsia"/>
          <w:sz w:val="21"/>
          <w:szCs w:val="21"/>
        </w:rPr>
      </w:pPr>
      <w:r>
        <w:rPr>
          <w:rFonts w:hint="eastAsia"/>
          <w:sz w:val="21"/>
          <w:szCs w:val="21"/>
        </w:rPr>
        <w:t>（二）符合国家有关规范要求，确保达到最佳运行状态。</w:t>
      </w:r>
    </w:p>
    <w:p>
      <w:pPr>
        <w:pStyle w:val="15"/>
        <w:spacing w:line="360" w:lineRule="auto"/>
        <w:ind w:firstLine="420" w:firstLineChars="200"/>
        <w:rPr>
          <w:rFonts w:hint="eastAsia"/>
          <w:sz w:val="21"/>
          <w:szCs w:val="21"/>
        </w:rPr>
      </w:pPr>
      <w:r>
        <w:rPr>
          <w:rFonts w:hint="eastAsia"/>
          <w:sz w:val="21"/>
          <w:szCs w:val="21"/>
        </w:rPr>
        <w:t>（三）具有良好的外观，适合安装场所的使用。</w:t>
      </w:r>
    </w:p>
    <w:p>
      <w:pPr>
        <w:pStyle w:val="15"/>
        <w:spacing w:line="360" w:lineRule="auto"/>
        <w:ind w:firstLine="420" w:firstLineChars="200"/>
        <w:rPr>
          <w:rFonts w:hint="eastAsia"/>
          <w:sz w:val="21"/>
          <w:szCs w:val="21"/>
        </w:rPr>
      </w:pPr>
      <w:r>
        <w:rPr>
          <w:rFonts w:hint="eastAsia"/>
          <w:sz w:val="21"/>
          <w:szCs w:val="21"/>
        </w:rPr>
        <w:t>（四）自安装、调试正常运行并验收合格之日起：</w:t>
      </w:r>
    </w:p>
    <w:p>
      <w:pPr>
        <w:pStyle w:val="15"/>
        <w:spacing w:line="360" w:lineRule="auto"/>
        <w:ind w:firstLine="420" w:firstLineChars="200"/>
        <w:rPr>
          <w:rFonts w:hint="eastAsia"/>
          <w:sz w:val="21"/>
          <w:szCs w:val="21"/>
        </w:rPr>
      </w:pPr>
      <w:r>
        <w:rPr>
          <w:rFonts w:hint="eastAsia"/>
          <w:sz w:val="21"/>
          <w:szCs w:val="21"/>
        </w:rPr>
        <w:t>1、整机</w:t>
      </w:r>
      <w:r>
        <w:rPr>
          <w:rFonts w:hint="eastAsia"/>
          <w:sz w:val="21"/>
          <w:szCs w:val="21"/>
          <w:lang w:val="en-US" w:eastAsia="zh-CN"/>
        </w:rPr>
        <w:t>质保</w:t>
      </w:r>
      <w:r>
        <w:rPr>
          <w:rFonts w:hint="eastAsia"/>
          <w:sz w:val="21"/>
          <w:szCs w:val="21"/>
          <w:u w:val="single"/>
          <w:lang w:val="en-US" w:eastAsia="zh-CN"/>
        </w:rPr>
        <w:t xml:space="preserve">  </w:t>
      </w:r>
      <w:r>
        <w:rPr>
          <w:rFonts w:hint="eastAsia"/>
          <w:sz w:val="21"/>
          <w:szCs w:val="21"/>
        </w:rPr>
        <w:t>年，终身维护，</w:t>
      </w:r>
      <w:r>
        <w:rPr>
          <w:rFonts w:hint="eastAsia"/>
          <w:sz w:val="21"/>
          <w:szCs w:val="21"/>
          <w:lang w:val="en-US" w:eastAsia="zh-CN"/>
        </w:rPr>
        <w:t>质保期内</w:t>
      </w:r>
      <w:r>
        <w:rPr>
          <w:rFonts w:hint="eastAsia"/>
          <w:sz w:val="21"/>
          <w:szCs w:val="21"/>
        </w:rPr>
        <w:t>，同一主要部件出现质量问题经过两次维修后仍无法正常使用，</w:t>
      </w:r>
      <w:r>
        <w:rPr>
          <w:rFonts w:hint="eastAsia"/>
          <w:sz w:val="21"/>
          <w:szCs w:val="21"/>
          <w:lang w:val="en-US" w:eastAsia="zh-CN"/>
        </w:rPr>
        <w:t>必须</w:t>
      </w:r>
      <w:r>
        <w:rPr>
          <w:rFonts w:hint="eastAsia"/>
          <w:sz w:val="21"/>
          <w:szCs w:val="21"/>
        </w:rPr>
        <w:t>更换同型号、同规格的全新产品</w:t>
      </w:r>
      <w:r>
        <w:rPr>
          <w:rFonts w:hint="eastAsia"/>
          <w:sz w:val="21"/>
          <w:szCs w:val="21"/>
          <w:lang w:eastAsia="zh-CN"/>
        </w:rPr>
        <w:t>。</w:t>
      </w:r>
      <w:r>
        <w:rPr>
          <w:rFonts w:hint="eastAsia"/>
          <w:sz w:val="21"/>
          <w:szCs w:val="21"/>
          <w:lang w:val="en-US" w:eastAsia="zh-CN"/>
        </w:rPr>
        <w:t>2</w:t>
      </w:r>
      <w:r>
        <w:rPr>
          <w:rFonts w:hint="eastAsia"/>
          <w:sz w:val="21"/>
          <w:szCs w:val="21"/>
        </w:rPr>
        <w:t>小时内做出</w:t>
      </w:r>
      <w:r>
        <w:rPr>
          <w:rFonts w:hint="eastAsia"/>
          <w:sz w:val="21"/>
          <w:szCs w:val="21"/>
          <w:lang w:val="en-US" w:eastAsia="zh-CN"/>
        </w:rPr>
        <w:t>维修</w:t>
      </w:r>
      <w:r>
        <w:rPr>
          <w:rFonts w:hint="eastAsia"/>
          <w:sz w:val="21"/>
          <w:szCs w:val="21"/>
        </w:rPr>
        <w:t>响应，</w:t>
      </w:r>
      <w:r>
        <w:rPr>
          <w:rFonts w:hint="eastAsia"/>
          <w:sz w:val="21"/>
          <w:szCs w:val="21"/>
          <w:lang w:val="en-US" w:eastAsia="zh-CN"/>
        </w:rPr>
        <w:t>24小时内到达现场，</w:t>
      </w:r>
      <w:r>
        <w:rPr>
          <w:rFonts w:hint="eastAsia"/>
          <w:sz w:val="21"/>
          <w:szCs w:val="21"/>
        </w:rPr>
        <w:t>在</w:t>
      </w:r>
      <w:r>
        <w:rPr>
          <w:rFonts w:hint="eastAsia"/>
          <w:sz w:val="21"/>
          <w:szCs w:val="21"/>
          <w:lang w:val="en-US" w:eastAsia="zh-CN"/>
        </w:rPr>
        <w:t>2</w:t>
      </w:r>
      <w:r>
        <w:rPr>
          <w:rFonts w:hint="eastAsia"/>
          <w:sz w:val="21"/>
          <w:szCs w:val="21"/>
        </w:rPr>
        <w:t>个工作日内解决</w:t>
      </w:r>
      <w:r>
        <w:rPr>
          <w:rFonts w:hint="eastAsia"/>
          <w:sz w:val="21"/>
          <w:szCs w:val="21"/>
          <w:lang w:val="en-US" w:eastAsia="zh-CN"/>
        </w:rPr>
        <w:t>。</w:t>
      </w:r>
    </w:p>
    <w:p>
      <w:pPr>
        <w:pStyle w:val="15"/>
        <w:spacing w:line="360" w:lineRule="auto"/>
        <w:ind w:firstLine="420" w:firstLineChars="200"/>
        <w:rPr>
          <w:rFonts w:hint="eastAsia"/>
          <w:sz w:val="21"/>
          <w:szCs w:val="21"/>
        </w:rPr>
      </w:pPr>
      <w:r>
        <w:rPr>
          <w:rFonts w:hint="eastAsia"/>
          <w:sz w:val="21"/>
          <w:szCs w:val="21"/>
        </w:rPr>
        <w:t>2、30天内，如出现质量问题，可以选择换货或退货；</w:t>
      </w:r>
    </w:p>
    <w:p>
      <w:pPr>
        <w:pStyle w:val="15"/>
        <w:spacing w:line="360" w:lineRule="auto"/>
        <w:ind w:firstLine="420" w:firstLineChars="200"/>
        <w:rPr>
          <w:rFonts w:hint="eastAsia"/>
          <w:sz w:val="21"/>
          <w:szCs w:val="21"/>
        </w:rPr>
      </w:pPr>
      <w:r>
        <w:rPr>
          <w:rFonts w:hint="eastAsia"/>
          <w:sz w:val="21"/>
          <w:szCs w:val="21"/>
        </w:rPr>
        <w:t>3、30至60天内，如出现质量问题，可选择换货。</w:t>
      </w:r>
    </w:p>
    <w:p>
      <w:pPr>
        <w:pStyle w:val="15"/>
        <w:spacing w:line="360" w:lineRule="auto"/>
        <w:ind w:firstLine="420" w:firstLineChars="200"/>
        <w:rPr>
          <w:rFonts w:hint="eastAsia"/>
          <w:sz w:val="21"/>
          <w:szCs w:val="21"/>
        </w:rPr>
      </w:pPr>
      <w:r>
        <w:rPr>
          <w:rFonts w:hint="eastAsia"/>
          <w:sz w:val="21"/>
          <w:szCs w:val="21"/>
        </w:rPr>
        <w:t>（五）设备保修期内因产品质量或设计缺陷等问题，而发生的医疗差错或医疗纠纷由乙方及生产厂商负全部责任。由此给甲方造成损失的，乙方应负责全额赔偿。</w:t>
      </w:r>
    </w:p>
    <w:p>
      <w:pPr>
        <w:pStyle w:val="15"/>
        <w:spacing w:line="360" w:lineRule="auto"/>
        <w:ind w:firstLine="210" w:firstLineChars="100"/>
        <w:rPr>
          <w:rFonts w:hint="eastAsia"/>
          <w:sz w:val="21"/>
          <w:szCs w:val="21"/>
        </w:rPr>
      </w:pPr>
      <w:r>
        <w:rPr>
          <w:rFonts w:hint="eastAsia"/>
          <w:sz w:val="21"/>
          <w:szCs w:val="21"/>
        </w:rPr>
        <w:t>（六）保证设备后期可与甲方各类信息化网络系统免费无缝链接。</w:t>
      </w:r>
    </w:p>
    <w:p>
      <w:pPr>
        <w:pStyle w:val="15"/>
        <w:spacing w:line="360" w:lineRule="auto"/>
        <w:ind w:firstLine="632" w:firstLineChars="300"/>
        <w:rPr>
          <w:rFonts w:hint="eastAsia"/>
          <w:b/>
          <w:bCs/>
          <w:sz w:val="21"/>
          <w:szCs w:val="21"/>
        </w:rPr>
      </w:pPr>
      <w:r>
        <w:rPr>
          <w:rFonts w:hint="eastAsia"/>
          <w:b/>
          <w:bCs/>
          <w:sz w:val="21"/>
          <w:szCs w:val="21"/>
        </w:rPr>
        <w:t>八、售后服务</w:t>
      </w:r>
    </w:p>
    <w:p>
      <w:pPr>
        <w:pStyle w:val="15"/>
        <w:spacing w:line="360" w:lineRule="auto"/>
        <w:ind w:firstLine="210" w:firstLineChars="100"/>
        <w:rPr>
          <w:rFonts w:hint="eastAsia"/>
          <w:sz w:val="21"/>
          <w:szCs w:val="21"/>
        </w:rPr>
      </w:pPr>
      <w:r>
        <w:rPr>
          <w:rFonts w:hint="eastAsia"/>
          <w:sz w:val="21"/>
          <w:szCs w:val="21"/>
        </w:rPr>
        <w:t>乙方所供货物提供以下售后服务：</w:t>
      </w:r>
    </w:p>
    <w:p>
      <w:pPr>
        <w:pStyle w:val="15"/>
        <w:spacing w:line="360" w:lineRule="auto"/>
        <w:ind w:firstLine="420" w:firstLineChars="200"/>
        <w:rPr>
          <w:rFonts w:hint="eastAsia"/>
          <w:sz w:val="21"/>
          <w:szCs w:val="21"/>
        </w:rPr>
      </w:pPr>
      <w:r>
        <w:rPr>
          <w:rFonts w:hint="eastAsia"/>
          <w:sz w:val="21"/>
          <w:szCs w:val="21"/>
        </w:rPr>
        <w:t>（一）质保期内：</w:t>
      </w:r>
    </w:p>
    <w:p>
      <w:pPr>
        <w:pStyle w:val="15"/>
        <w:spacing w:line="360" w:lineRule="auto"/>
        <w:ind w:firstLine="210" w:firstLineChars="100"/>
        <w:rPr>
          <w:rFonts w:hint="eastAsia"/>
          <w:sz w:val="21"/>
          <w:szCs w:val="21"/>
        </w:rPr>
      </w:pPr>
      <w:r>
        <w:rPr>
          <w:rFonts w:hint="eastAsia"/>
          <w:sz w:val="21"/>
          <w:szCs w:val="21"/>
        </w:rPr>
        <w:t>1、发生质量问题，接到甲方通知后，应于2小时内派出专业的维修人员到现场进行检测维修，发生的全部费用由乙方承担，若需送回生产厂，乙方承担往返费用；</w:t>
      </w:r>
    </w:p>
    <w:p>
      <w:pPr>
        <w:pStyle w:val="15"/>
        <w:spacing w:line="360" w:lineRule="auto"/>
        <w:ind w:firstLine="210" w:firstLineChars="100"/>
        <w:rPr>
          <w:rFonts w:hint="eastAsia"/>
          <w:sz w:val="21"/>
          <w:szCs w:val="21"/>
        </w:rPr>
      </w:pPr>
      <w:r>
        <w:rPr>
          <w:rFonts w:hint="eastAsia"/>
          <w:sz w:val="21"/>
          <w:szCs w:val="21"/>
        </w:rPr>
        <w:t>2、定期派技术人员到现场走访，给予检查维护；</w:t>
      </w:r>
    </w:p>
    <w:p>
      <w:pPr>
        <w:pStyle w:val="15"/>
        <w:spacing w:line="360" w:lineRule="auto"/>
        <w:ind w:firstLine="210" w:firstLineChars="100"/>
        <w:rPr>
          <w:rFonts w:hint="eastAsia"/>
          <w:sz w:val="21"/>
          <w:szCs w:val="21"/>
        </w:rPr>
      </w:pPr>
      <w:r>
        <w:rPr>
          <w:rFonts w:hint="eastAsia"/>
          <w:sz w:val="21"/>
          <w:szCs w:val="21"/>
        </w:rPr>
        <w:t>3、排除故障的期限不得超过24小时。否则甲方有权指定第三方维修，维修费用由乙方承担。</w:t>
      </w:r>
    </w:p>
    <w:p>
      <w:pPr>
        <w:pStyle w:val="15"/>
        <w:spacing w:line="360" w:lineRule="auto"/>
        <w:ind w:firstLine="210" w:firstLineChars="100"/>
        <w:rPr>
          <w:rFonts w:hint="eastAsia"/>
          <w:sz w:val="21"/>
          <w:szCs w:val="21"/>
        </w:rPr>
      </w:pPr>
      <w:r>
        <w:rPr>
          <w:rFonts w:hint="eastAsia"/>
          <w:sz w:val="21"/>
          <w:szCs w:val="21"/>
        </w:rPr>
        <w:t>（二）质保期结束前，进行系统测试，全面保养维护，确保正常运行。</w:t>
      </w:r>
    </w:p>
    <w:p>
      <w:pPr>
        <w:pStyle w:val="15"/>
        <w:spacing w:line="360" w:lineRule="auto"/>
        <w:ind w:firstLine="210" w:firstLineChars="100"/>
        <w:rPr>
          <w:rFonts w:hint="eastAsia"/>
          <w:sz w:val="21"/>
          <w:szCs w:val="21"/>
        </w:rPr>
      </w:pPr>
      <w:r>
        <w:rPr>
          <w:rFonts w:hint="eastAsia"/>
          <w:sz w:val="21"/>
          <w:szCs w:val="21"/>
        </w:rPr>
        <w:t>（三）根据《医疗器械使用质量监督管理办法》（18号令）规定，甲方有权委托维修服务机构或者自行对在用医疗器械进行维护维修，乙方应终身免费提供维护手册、维修手册、软件备份、故障代码表、备件清单、零部件、维修密码等维护维修必须的材料和信息。</w:t>
      </w:r>
    </w:p>
    <w:p>
      <w:pPr>
        <w:pStyle w:val="15"/>
        <w:spacing w:line="360" w:lineRule="auto"/>
        <w:ind w:firstLine="210" w:firstLineChars="100"/>
        <w:rPr>
          <w:rFonts w:hint="eastAsia"/>
          <w:sz w:val="21"/>
          <w:szCs w:val="21"/>
          <w:lang w:val="en-US" w:eastAsia="zh-CN"/>
        </w:rPr>
      </w:pPr>
      <w:r>
        <w:rPr>
          <w:rFonts w:hint="eastAsia"/>
          <w:sz w:val="21"/>
          <w:szCs w:val="21"/>
          <w:lang w:val="en-US" w:eastAsia="zh-CN"/>
        </w:rPr>
        <w:t>（四）设备安装调试：安装前提前测量安装场地、检查辅助设备是否到位，到货后15个工作日内完成安装、调试、培训并验收。</w:t>
      </w:r>
    </w:p>
    <w:p>
      <w:pPr>
        <w:pStyle w:val="15"/>
        <w:spacing w:line="360" w:lineRule="auto"/>
        <w:ind w:firstLine="422" w:firstLineChars="200"/>
        <w:rPr>
          <w:rFonts w:hint="eastAsia"/>
          <w:b/>
          <w:bCs/>
          <w:sz w:val="21"/>
          <w:szCs w:val="21"/>
        </w:rPr>
      </w:pPr>
      <w:r>
        <w:rPr>
          <w:rFonts w:hint="eastAsia"/>
          <w:b/>
          <w:bCs/>
          <w:sz w:val="21"/>
          <w:szCs w:val="21"/>
        </w:rPr>
        <w:t>九、技术与服务</w:t>
      </w:r>
    </w:p>
    <w:p>
      <w:pPr>
        <w:pStyle w:val="15"/>
        <w:spacing w:line="360" w:lineRule="auto"/>
        <w:ind w:firstLine="210" w:firstLineChars="100"/>
        <w:rPr>
          <w:rFonts w:hint="eastAsia"/>
          <w:sz w:val="21"/>
          <w:szCs w:val="21"/>
        </w:rPr>
      </w:pPr>
      <w:r>
        <w:rPr>
          <w:rFonts w:hint="eastAsia"/>
          <w:sz w:val="21"/>
          <w:szCs w:val="21"/>
        </w:rPr>
        <w:t>（一）技术资料：</w:t>
      </w:r>
    </w:p>
    <w:p>
      <w:pPr>
        <w:pStyle w:val="15"/>
        <w:spacing w:line="360" w:lineRule="auto"/>
        <w:ind w:firstLine="210" w:firstLineChars="100"/>
        <w:rPr>
          <w:rFonts w:hint="eastAsia"/>
          <w:sz w:val="21"/>
          <w:szCs w:val="21"/>
        </w:rPr>
      </w:pPr>
      <w:r>
        <w:rPr>
          <w:rFonts w:hint="eastAsia"/>
          <w:sz w:val="21"/>
          <w:szCs w:val="21"/>
        </w:rPr>
        <w:t>1、货物合格证；</w:t>
      </w:r>
    </w:p>
    <w:p>
      <w:pPr>
        <w:pStyle w:val="15"/>
        <w:spacing w:line="360" w:lineRule="auto"/>
        <w:ind w:firstLine="210" w:firstLineChars="100"/>
        <w:rPr>
          <w:rFonts w:hint="eastAsia"/>
          <w:sz w:val="21"/>
          <w:szCs w:val="21"/>
        </w:rPr>
      </w:pPr>
      <w:r>
        <w:rPr>
          <w:rFonts w:hint="eastAsia"/>
          <w:sz w:val="21"/>
          <w:szCs w:val="21"/>
        </w:rPr>
        <w:t>2、货物使用说明书（中文）；</w:t>
      </w:r>
    </w:p>
    <w:p>
      <w:pPr>
        <w:pStyle w:val="15"/>
        <w:spacing w:line="360" w:lineRule="auto"/>
        <w:ind w:firstLine="210" w:firstLineChars="100"/>
        <w:rPr>
          <w:rFonts w:hint="eastAsia"/>
          <w:sz w:val="21"/>
          <w:szCs w:val="21"/>
        </w:rPr>
      </w:pPr>
      <w:r>
        <w:rPr>
          <w:rFonts w:hint="eastAsia"/>
          <w:sz w:val="21"/>
          <w:szCs w:val="21"/>
        </w:rPr>
        <w:t>3、项目峻工资料、检验测试报告；</w:t>
      </w:r>
    </w:p>
    <w:p>
      <w:pPr>
        <w:pStyle w:val="15"/>
        <w:spacing w:line="360" w:lineRule="auto"/>
        <w:ind w:firstLine="210" w:firstLineChars="100"/>
        <w:rPr>
          <w:rFonts w:hint="eastAsia"/>
          <w:sz w:val="21"/>
          <w:szCs w:val="21"/>
        </w:rPr>
      </w:pPr>
      <w:r>
        <w:rPr>
          <w:rFonts w:hint="eastAsia"/>
          <w:sz w:val="21"/>
          <w:szCs w:val="21"/>
        </w:rPr>
        <w:t>4、进口医疗设备报关单与商检证明；</w:t>
      </w:r>
    </w:p>
    <w:p>
      <w:pPr>
        <w:pStyle w:val="15"/>
        <w:spacing w:line="360" w:lineRule="auto"/>
        <w:ind w:firstLine="210" w:firstLineChars="100"/>
        <w:rPr>
          <w:rFonts w:hint="eastAsia"/>
          <w:sz w:val="21"/>
          <w:szCs w:val="21"/>
        </w:rPr>
      </w:pPr>
      <w:r>
        <w:rPr>
          <w:rFonts w:hint="eastAsia"/>
          <w:sz w:val="21"/>
          <w:szCs w:val="21"/>
        </w:rPr>
        <w:t>5、其它资料。</w:t>
      </w:r>
    </w:p>
    <w:p>
      <w:pPr>
        <w:pStyle w:val="15"/>
        <w:spacing w:line="360" w:lineRule="auto"/>
        <w:ind w:firstLine="210" w:firstLineChars="100"/>
        <w:rPr>
          <w:rFonts w:hint="eastAsia"/>
          <w:sz w:val="21"/>
          <w:szCs w:val="21"/>
        </w:rPr>
      </w:pPr>
      <w:r>
        <w:rPr>
          <w:rFonts w:hint="eastAsia"/>
          <w:sz w:val="21"/>
          <w:szCs w:val="21"/>
        </w:rPr>
        <w:t>（二）服务承诺：以投标文件、澄清表（函）、合同和随货物的相关文件为准。</w:t>
      </w:r>
    </w:p>
    <w:p>
      <w:pPr>
        <w:pStyle w:val="15"/>
        <w:spacing w:line="360" w:lineRule="auto"/>
        <w:ind w:firstLine="210" w:firstLineChars="100"/>
        <w:rPr>
          <w:rFonts w:hint="eastAsia"/>
          <w:sz w:val="21"/>
          <w:szCs w:val="21"/>
        </w:rPr>
      </w:pPr>
      <w:r>
        <w:rPr>
          <w:rFonts w:hint="eastAsia"/>
          <w:sz w:val="21"/>
          <w:szCs w:val="21"/>
        </w:rPr>
        <w:t>（三）培训：乙方须在设备安装调试完成后对甲方操作人员进行完整使用、保养等培训，是否完成培训视为货物验收必备条件之一。</w:t>
      </w:r>
    </w:p>
    <w:p>
      <w:pPr>
        <w:pStyle w:val="15"/>
        <w:spacing w:line="360" w:lineRule="auto"/>
        <w:ind w:firstLine="422" w:firstLineChars="200"/>
        <w:rPr>
          <w:rFonts w:hint="eastAsia"/>
          <w:b/>
          <w:bCs/>
          <w:sz w:val="21"/>
          <w:szCs w:val="21"/>
        </w:rPr>
      </w:pPr>
      <w:r>
        <w:rPr>
          <w:rFonts w:hint="eastAsia"/>
          <w:b/>
          <w:bCs/>
          <w:sz w:val="21"/>
          <w:szCs w:val="21"/>
        </w:rPr>
        <w:t>十、验收</w:t>
      </w:r>
    </w:p>
    <w:p>
      <w:pPr>
        <w:pStyle w:val="15"/>
        <w:spacing w:line="360" w:lineRule="auto"/>
        <w:rPr>
          <w:rFonts w:hint="eastAsia"/>
          <w:sz w:val="21"/>
          <w:szCs w:val="21"/>
        </w:rPr>
      </w:pPr>
      <w:r>
        <w:rPr>
          <w:rFonts w:hint="eastAsia"/>
          <w:sz w:val="21"/>
          <w:szCs w:val="21"/>
        </w:rPr>
        <w:t>验收由甲方组织，乙方配合进行：</w:t>
      </w:r>
    </w:p>
    <w:p>
      <w:pPr>
        <w:pStyle w:val="15"/>
        <w:spacing w:line="360" w:lineRule="auto"/>
        <w:ind w:firstLine="210" w:firstLineChars="100"/>
        <w:rPr>
          <w:rFonts w:hint="eastAsia"/>
          <w:sz w:val="21"/>
          <w:szCs w:val="21"/>
        </w:rPr>
      </w:pPr>
      <w:r>
        <w:rPr>
          <w:rFonts w:hint="eastAsia"/>
          <w:sz w:val="21"/>
          <w:szCs w:val="21"/>
        </w:rPr>
        <w:t>（一）货物到达甲方指定地点后，甲方根据合同约定的质量和技术要求，进行外观验收，确认产地、规格、型号和数量。</w:t>
      </w:r>
    </w:p>
    <w:p>
      <w:pPr>
        <w:pStyle w:val="15"/>
        <w:spacing w:line="360" w:lineRule="auto"/>
        <w:ind w:firstLine="210" w:firstLineChars="100"/>
        <w:rPr>
          <w:rFonts w:hint="eastAsia"/>
          <w:sz w:val="21"/>
          <w:szCs w:val="21"/>
          <w:lang w:eastAsia="zh-CN"/>
        </w:rPr>
      </w:pPr>
      <w:r>
        <w:rPr>
          <w:rFonts w:hint="eastAsia"/>
          <w:sz w:val="21"/>
          <w:szCs w:val="21"/>
          <w:lang w:eastAsia="zh-CN"/>
        </w:rPr>
        <w:t>（二）货物原产地证明和出厂质量检验合格证书以及质量保修证书等和产品相关的证书。</w:t>
      </w:r>
    </w:p>
    <w:p>
      <w:pPr>
        <w:pStyle w:val="15"/>
        <w:spacing w:line="360" w:lineRule="auto"/>
        <w:ind w:firstLine="210" w:firstLineChars="100"/>
        <w:rPr>
          <w:rFonts w:hint="eastAsia"/>
          <w:sz w:val="21"/>
          <w:szCs w:val="21"/>
        </w:rPr>
      </w:pPr>
      <w:r>
        <w:rPr>
          <w:rFonts w:hint="eastAsia"/>
          <w:sz w:val="21"/>
          <w:szCs w:val="21"/>
        </w:rPr>
        <w:t>（</w:t>
      </w:r>
      <w:r>
        <w:rPr>
          <w:rFonts w:hint="eastAsia"/>
          <w:sz w:val="21"/>
          <w:szCs w:val="21"/>
          <w:lang w:eastAsia="zh-CN"/>
        </w:rPr>
        <w:t>三</w:t>
      </w:r>
      <w:r>
        <w:rPr>
          <w:rFonts w:hint="eastAsia"/>
          <w:sz w:val="21"/>
          <w:szCs w:val="21"/>
        </w:rPr>
        <w:t>）货物安装、调试并正常运行后，由乙方进行自检，合格后，准备验收文件，并书面通知甲方。</w:t>
      </w:r>
    </w:p>
    <w:p>
      <w:pPr>
        <w:pStyle w:val="15"/>
        <w:spacing w:line="360" w:lineRule="auto"/>
        <w:rPr>
          <w:rFonts w:hint="eastAsia"/>
          <w:sz w:val="21"/>
          <w:szCs w:val="21"/>
          <w:lang w:val="en-US" w:eastAsia="zh-CN"/>
        </w:rPr>
      </w:pPr>
      <w:r>
        <w:rPr>
          <w:rFonts w:hint="eastAsia"/>
          <w:sz w:val="21"/>
          <w:szCs w:val="21"/>
          <w:lang w:val="en-US" w:eastAsia="zh-CN"/>
        </w:rPr>
        <w:t xml:space="preserve">  （四）乙方应向甲方提供设备性能的测试程序、测试手段和测试标准。</w:t>
      </w:r>
    </w:p>
    <w:p>
      <w:pPr>
        <w:pStyle w:val="15"/>
        <w:spacing w:line="360" w:lineRule="auto"/>
        <w:ind w:firstLine="210" w:firstLineChars="100"/>
        <w:rPr>
          <w:rFonts w:hint="eastAsia"/>
          <w:sz w:val="21"/>
          <w:szCs w:val="21"/>
        </w:rPr>
      </w:pPr>
      <w:r>
        <w:rPr>
          <w:rFonts w:hint="eastAsia"/>
          <w:sz w:val="21"/>
          <w:szCs w:val="21"/>
        </w:rPr>
        <w:t>（</w:t>
      </w:r>
      <w:r>
        <w:rPr>
          <w:rFonts w:hint="eastAsia"/>
          <w:sz w:val="21"/>
          <w:szCs w:val="21"/>
          <w:lang w:eastAsia="zh-CN"/>
        </w:rPr>
        <w:t>五</w:t>
      </w:r>
      <w:r>
        <w:rPr>
          <w:rFonts w:hint="eastAsia"/>
          <w:sz w:val="21"/>
          <w:szCs w:val="21"/>
        </w:rPr>
        <w:t>）甲方确认乙方的自检内容后，组织乙方（必要时请有关专家）进行系统验收，验收合格后，填写政府采购项目验收单（一式叁份）作为对货物的最终认可。</w:t>
      </w:r>
    </w:p>
    <w:p>
      <w:pPr>
        <w:pStyle w:val="15"/>
        <w:spacing w:line="360" w:lineRule="auto"/>
        <w:ind w:firstLine="210" w:firstLineChars="100"/>
        <w:rPr>
          <w:rFonts w:hint="eastAsia"/>
          <w:sz w:val="21"/>
          <w:szCs w:val="21"/>
        </w:rPr>
      </w:pPr>
      <w:r>
        <w:rPr>
          <w:rFonts w:hint="eastAsia"/>
          <w:sz w:val="21"/>
          <w:szCs w:val="21"/>
        </w:rPr>
        <w:t>（</w:t>
      </w:r>
      <w:r>
        <w:rPr>
          <w:rFonts w:hint="eastAsia"/>
          <w:sz w:val="21"/>
          <w:szCs w:val="21"/>
          <w:lang w:eastAsia="zh-CN"/>
        </w:rPr>
        <w:t>六</w:t>
      </w:r>
      <w:r>
        <w:rPr>
          <w:rFonts w:hint="eastAsia"/>
          <w:sz w:val="21"/>
          <w:szCs w:val="21"/>
        </w:rPr>
        <w:t>）乙方在验收中应向甲方提交货物安装，调试过程中的所有资料包括本合同第九条（一）项要求的资料，以便甲方日后管理和维护。</w:t>
      </w:r>
    </w:p>
    <w:p>
      <w:pPr>
        <w:pStyle w:val="15"/>
        <w:spacing w:line="360" w:lineRule="auto"/>
        <w:ind w:firstLine="210" w:firstLineChars="100"/>
        <w:rPr>
          <w:rFonts w:hint="eastAsia"/>
          <w:sz w:val="21"/>
          <w:szCs w:val="21"/>
        </w:rPr>
      </w:pPr>
      <w:r>
        <w:rPr>
          <w:rFonts w:hint="eastAsia"/>
          <w:sz w:val="21"/>
          <w:szCs w:val="21"/>
          <w:lang w:eastAsia="zh-CN"/>
        </w:rPr>
        <w:t>（七）</w:t>
      </w:r>
      <w:r>
        <w:rPr>
          <w:rFonts w:hint="eastAsia"/>
          <w:sz w:val="21"/>
          <w:szCs w:val="21"/>
        </w:rPr>
        <w:t xml:space="preserve"> 安装调试、技术培训完成后，填写货物验收单。</w:t>
      </w:r>
    </w:p>
    <w:p>
      <w:pPr>
        <w:pStyle w:val="15"/>
        <w:spacing w:line="360" w:lineRule="auto"/>
        <w:ind w:firstLine="210" w:firstLineChars="100"/>
        <w:rPr>
          <w:rFonts w:hint="eastAsia"/>
          <w:sz w:val="21"/>
          <w:szCs w:val="21"/>
        </w:rPr>
      </w:pPr>
      <w:r>
        <w:rPr>
          <w:rFonts w:hint="eastAsia"/>
          <w:sz w:val="21"/>
          <w:szCs w:val="21"/>
        </w:rPr>
        <w:t>（</w:t>
      </w:r>
      <w:r>
        <w:rPr>
          <w:rFonts w:hint="eastAsia"/>
          <w:sz w:val="21"/>
          <w:szCs w:val="21"/>
          <w:lang w:eastAsia="zh-CN"/>
        </w:rPr>
        <w:t>八</w:t>
      </w:r>
      <w:r>
        <w:rPr>
          <w:rFonts w:hint="eastAsia"/>
          <w:sz w:val="21"/>
          <w:szCs w:val="21"/>
        </w:rPr>
        <w:t>）验收依据：</w:t>
      </w:r>
    </w:p>
    <w:p>
      <w:pPr>
        <w:pStyle w:val="15"/>
        <w:spacing w:line="360" w:lineRule="auto"/>
        <w:ind w:firstLine="210" w:firstLineChars="100"/>
        <w:rPr>
          <w:rFonts w:hint="eastAsia"/>
          <w:sz w:val="21"/>
          <w:szCs w:val="21"/>
        </w:rPr>
      </w:pPr>
      <w:r>
        <w:rPr>
          <w:rFonts w:hint="eastAsia"/>
          <w:sz w:val="21"/>
          <w:szCs w:val="21"/>
        </w:rPr>
        <w:t>1、</w:t>
      </w:r>
      <w:r>
        <w:rPr>
          <w:rFonts w:hint="eastAsia"/>
          <w:sz w:val="21"/>
          <w:szCs w:val="21"/>
          <w:lang w:val="en-US" w:eastAsia="zh-CN"/>
        </w:rPr>
        <w:t>采购</w:t>
      </w:r>
      <w:r>
        <w:rPr>
          <w:rFonts w:hint="eastAsia"/>
          <w:sz w:val="21"/>
          <w:szCs w:val="21"/>
        </w:rPr>
        <w:t>文件、</w:t>
      </w:r>
      <w:r>
        <w:rPr>
          <w:rFonts w:hint="eastAsia"/>
          <w:sz w:val="21"/>
          <w:szCs w:val="21"/>
          <w:lang w:val="en-US" w:eastAsia="zh-CN"/>
        </w:rPr>
        <w:t>响应</w:t>
      </w:r>
      <w:r>
        <w:rPr>
          <w:rFonts w:hint="eastAsia"/>
          <w:sz w:val="21"/>
          <w:szCs w:val="21"/>
        </w:rPr>
        <w:t>文件、澄清表（函）；</w:t>
      </w:r>
    </w:p>
    <w:p>
      <w:pPr>
        <w:pStyle w:val="15"/>
        <w:spacing w:line="360" w:lineRule="auto"/>
        <w:ind w:firstLine="210" w:firstLineChars="100"/>
        <w:rPr>
          <w:rFonts w:hint="eastAsia"/>
          <w:sz w:val="21"/>
          <w:szCs w:val="21"/>
        </w:rPr>
      </w:pPr>
      <w:r>
        <w:rPr>
          <w:rFonts w:hint="eastAsia"/>
          <w:sz w:val="21"/>
          <w:szCs w:val="21"/>
        </w:rPr>
        <w:t>2、本合同及附件文本；</w:t>
      </w:r>
    </w:p>
    <w:p>
      <w:pPr>
        <w:pStyle w:val="15"/>
        <w:spacing w:line="360" w:lineRule="auto"/>
        <w:ind w:firstLine="210" w:firstLineChars="100"/>
        <w:rPr>
          <w:rFonts w:hint="eastAsia"/>
          <w:sz w:val="21"/>
          <w:szCs w:val="21"/>
        </w:rPr>
      </w:pPr>
      <w:r>
        <w:rPr>
          <w:rFonts w:hint="eastAsia"/>
          <w:sz w:val="21"/>
          <w:szCs w:val="21"/>
        </w:rPr>
        <w:t>3、国家相应的标准、规范。</w:t>
      </w:r>
    </w:p>
    <w:p>
      <w:pPr>
        <w:pStyle w:val="15"/>
        <w:spacing w:line="360" w:lineRule="auto"/>
        <w:ind w:firstLine="211" w:firstLineChars="100"/>
        <w:rPr>
          <w:rFonts w:hint="eastAsia"/>
          <w:b/>
          <w:bCs/>
          <w:sz w:val="21"/>
          <w:szCs w:val="21"/>
        </w:rPr>
      </w:pPr>
      <w:r>
        <w:rPr>
          <w:rFonts w:hint="eastAsia"/>
          <w:b/>
          <w:bCs/>
          <w:sz w:val="21"/>
          <w:szCs w:val="21"/>
        </w:rPr>
        <w:t>十一、违约责任</w:t>
      </w:r>
    </w:p>
    <w:p>
      <w:pPr>
        <w:pStyle w:val="15"/>
        <w:spacing w:line="360" w:lineRule="auto"/>
        <w:ind w:firstLine="210" w:firstLineChars="100"/>
        <w:rPr>
          <w:rFonts w:hint="eastAsia"/>
          <w:sz w:val="21"/>
          <w:szCs w:val="21"/>
        </w:rPr>
      </w:pPr>
      <w:r>
        <w:rPr>
          <w:rFonts w:hint="eastAsia"/>
          <w:sz w:val="21"/>
          <w:szCs w:val="21"/>
        </w:rPr>
        <w:t>（一）双方按《政府采购法》、《</w:t>
      </w:r>
      <w:r>
        <w:rPr>
          <w:rFonts w:hint="eastAsia"/>
          <w:sz w:val="21"/>
          <w:szCs w:val="21"/>
          <w:lang w:eastAsia="zh-CN"/>
        </w:rPr>
        <w:t>中华人民共和国民法典</w:t>
      </w:r>
      <w:r>
        <w:rPr>
          <w:rFonts w:hint="eastAsia"/>
          <w:sz w:val="21"/>
          <w:szCs w:val="21"/>
        </w:rPr>
        <w:t>》中的相关条款执行。</w:t>
      </w:r>
    </w:p>
    <w:p>
      <w:pPr>
        <w:pStyle w:val="15"/>
        <w:spacing w:line="360" w:lineRule="auto"/>
        <w:ind w:firstLine="210" w:firstLineChars="100"/>
        <w:rPr>
          <w:rFonts w:hint="eastAsia"/>
          <w:sz w:val="21"/>
          <w:szCs w:val="21"/>
        </w:rPr>
      </w:pPr>
      <w:r>
        <w:rPr>
          <w:rFonts w:hint="eastAsia"/>
          <w:sz w:val="21"/>
          <w:szCs w:val="21"/>
        </w:rPr>
        <w:t>（二）未按合同要求提供货物或质量不能满足谈判技术要求，乙方必须无条件更换，提高技术，完善质量，否则，甲方有权</w:t>
      </w:r>
      <w:r>
        <w:rPr>
          <w:rFonts w:hint="eastAsia"/>
          <w:sz w:val="21"/>
          <w:szCs w:val="21"/>
          <w:lang w:val="en-US" w:eastAsia="zh-CN"/>
        </w:rPr>
        <w:t>解除</w:t>
      </w:r>
      <w:r>
        <w:rPr>
          <w:rFonts w:hint="eastAsia"/>
          <w:sz w:val="21"/>
          <w:szCs w:val="21"/>
        </w:rPr>
        <w:t>合同，合同自书面解除通知到达乙方之日起解除，甲方有权按照以下两种方式同时追究乙方违约责任：1、乙方赔偿甲方解除合同的全部损失（包括但不限于重新采购产生的费用、合同未履行导致设备不能按规划交付使用可能产生的租赁费用及其他由此造成的甲方对第三方的违约损失）；2、乙方支付甲方违约金，违约金计算方法：以合同总价为基数，支付甲方合同总额的30%违约金。同时甲方有权对乙方的违约行为报监管机构进行相应的处罚。</w:t>
      </w:r>
    </w:p>
    <w:p>
      <w:pPr>
        <w:pStyle w:val="15"/>
        <w:spacing w:line="360" w:lineRule="auto"/>
        <w:ind w:firstLine="210" w:firstLineChars="100"/>
        <w:rPr>
          <w:rFonts w:hint="eastAsia"/>
          <w:sz w:val="21"/>
          <w:szCs w:val="21"/>
        </w:rPr>
      </w:pPr>
      <w:r>
        <w:rPr>
          <w:rFonts w:hint="eastAsia"/>
          <w:sz w:val="21"/>
          <w:szCs w:val="21"/>
        </w:rPr>
        <w:t>（三）乙方交付的货物质量不符合合同约定的，乙方应向甲方支付合同总价的</w:t>
      </w:r>
      <w:r>
        <w:rPr>
          <w:rFonts w:hint="eastAsia"/>
          <w:sz w:val="21"/>
          <w:szCs w:val="21"/>
          <w:lang w:val="en-US" w:eastAsia="zh-CN"/>
        </w:rPr>
        <w:t>3</w:t>
      </w:r>
      <w:r>
        <w:rPr>
          <w:rFonts w:hint="eastAsia"/>
          <w:sz w:val="21"/>
          <w:szCs w:val="21"/>
        </w:rPr>
        <w:t>0%的违约金，同时须在合同约定的交货时间内更换合格的货物给甲方，否则，视作乙方不能交付货物而违约，按本条本款第“（二）”款约定由乙方承担违约责任。</w:t>
      </w:r>
    </w:p>
    <w:p>
      <w:pPr>
        <w:pStyle w:val="15"/>
        <w:spacing w:line="360" w:lineRule="auto"/>
        <w:ind w:firstLine="210" w:firstLineChars="100"/>
        <w:rPr>
          <w:rFonts w:hint="eastAsia"/>
          <w:sz w:val="21"/>
          <w:szCs w:val="21"/>
        </w:rPr>
      </w:pPr>
      <w:r>
        <w:rPr>
          <w:rFonts w:hint="eastAsia"/>
          <w:sz w:val="21"/>
          <w:szCs w:val="21"/>
        </w:rPr>
        <w:t>（四）乙方不能交付货物或逾期交付货物而违约的，除应及时交足货物外，同时向甲方偿付逾期交货部分货款总额的千分之二/天的违约金；逾期交货超过10天，甲方有权解除合同，合同自书面解除通知到达乙方之日起解除，乙方赔偿甲方解除合同的全部损失（包括但不限于重新采购产生的费用、合同未履行导致设备不能按规划交付使用可能产生的租赁费用及其他由此造成的甲方对第三方的违约损失），乙方则应按合同总价的30%向甲方支付违约金，并须全额退还甲方已经付给乙方的货款及其利息，同时甲方有权将乙方违约事宜上报至财政监督管理部门备案。</w:t>
      </w:r>
    </w:p>
    <w:p>
      <w:pPr>
        <w:pStyle w:val="15"/>
        <w:spacing w:line="360" w:lineRule="auto"/>
        <w:ind w:firstLine="211" w:firstLineChars="100"/>
        <w:rPr>
          <w:rFonts w:hint="eastAsia"/>
          <w:b/>
          <w:bCs/>
          <w:sz w:val="21"/>
          <w:szCs w:val="21"/>
        </w:rPr>
      </w:pPr>
      <w:r>
        <w:rPr>
          <w:rFonts w:hint="eastAsia"/>
          <w:b/>
          <w:bCs/>
          <w:sz w:val="21"/>
          <w:szCs w:val="21"/>
        </w:rPr>
        <w:t>十二、合同争议解决的方式</w:t>
      </w:r>
    </w:p>
    <w:p>
      <w:pPr>
        <w:pStyle w:val="15"/>
        <w:spacing w:line="360" w:lineRule="auto"/>
        <w:rPr>
          <w:rFonts w:hint="eastAsia"/>
          <w:sz w:val="21"/>
          <w:szCs w:val="21"/>
        </w:rPr>
      </w:pPr>
      <w:r>
        <w:rPr>
          <w:rFonts w:hint="eastAsia"/>
          <w:sz w:val="21"/>
          <w:szCs w:val="21"/>
        </w:rPr>
        <w:t>本合同在履行过程中发生的争议，由甲、乙双方当事人协商解决，协商不成的依法向甲方所在地人民法院起诉。</w:t>
      </w:r>
    </w:p>
    <w:p>
      <w:pPr>
        <w:pStyle w:val="15"/>
        <w:spacing w:line="360" w:lineRule="auto"/>
        <w:ind w:firstLine="211" w:firstLineChars="100"/>
        <w:rPr>
          <w:rFonts w:hint="eastAsia"/>
          <w:b/>
          <w:bCs/>
          <w:sz w:val="21"/>
          <w:szCs w:val="21"/>
        </w:rPr>
      </w:pPr>
      <w:r>
        <w:rPr>
          <w:rFonts w:hint="eastAsia"/>
          <w:b/>
          <w:bCs/>
          <w:sz w:val="21"/>
          <w:szCs w:val="21"/>
        </w:rPr>
        <w:t>十三、合同生效</w:t>
      </w:r>
    </w:p>
    <w:p>
      <w:pPr>
        <w:pStyle w:val="15"/>
        <w:spacing w:line="360" w:lineRule="auto"/>
        <w:rPr>
          <w:rFonts w:hint="eastAsia"/>
          <w:sz w:val="21"/>
          <w:szCs w:val="21"/>
        </w:rPr>
      </w:pPr>
      <w:r>
        <w:rPr>
          <w:rFonts w:hint="eastAsia"/>
          <w:sz w:val="21"/>
          <w:szCs w:val="21"/>
        </w:rPr>
        <w:t>本合同一式捌份，甲方执肆份，乙方、鉴证方各执壹份，西安市财政局政府采购管理处备案贰份，均具有同等法律效力。本合同经甲、乙、鉴证方各方签字盖章后生效，合同执行完毕后，自动失效（合同的服务承诺则长期有效）。</w:t>
      </w:r>
    </w:p>
    <w:p>
      <w:pPr>
        <w:pStyle w:val="15"/>
        <w:spacing w:line="360" w:lineRule="auto"/>
        <w:ind w:firstLine="211" w:firstLineChars="100"/>
        <w:rPr>
          <w:rFonts w:hint="eastAsia"/>
          <w:b/>
          <w:bCs/>
          <w:sz w:val="21"/>
          <w:szCs w:val="21"/>
        </w:rPr>
      </w:pPr>
      <w:r>
        <w:rPr>
          <w:rFonts w:hint="eastAsia"/>
          <w:b/>
          <w:bCs/>
          <w:sz w:val="21"/>
          <w:szCs w:val="21"/>
        </w:rPr>
        <w:t>十四、其他事项</w:t>
      </w:r>
    </w:p>
    <w:p>
      <w:pPr>
        <w:pStyle w:val="15"/>
        <w:spacing w:line="360" w:lineRule="auto"/>
        <w:ind w:firstLine="210" w:firstLineChars="100"/>
        <w:rPr>
          <w:rFonts w:hint="eastAsia"/>
          <w:sz w:val="21"/>
          <w:szCs w:val="21"/>
        </w:rPr>
      </w:pPr>
      <w:r>
        <w:rPr>
          <w:rFonts w:hint="eastAsia"/>
          <w:sz w:val="21"/>
          <w:szCs w:val="21"/>
        </w:rPr>
        <w:t>（一）鉴证方作为政府集中采购代理机构对合同进行确认。</w:t>
      </w:r>
    </w:p>
    <w:p>
      <w:pPr>
        <w:pStyle w:val="15"/>
        <w:spacing w:line="360" w:lineRule="auto"/>
        <w:ind w:firstLine="210" w:firstLineChars="100"/>
        <w:rPr>
          <w:rFonts w:hint="eastAsia"/>
          <w:sz w:val="21"/>
          <w:szCs w:val="21"/>
        </w:rPr>
      </w:pPr>
      <w:r>
        <w:rPr>
          <w:rFonts w:hint="eastAsia"/>
          <w:sz w:val="21"/>
          <w:szCs w:val="21"/>
        </w:rPr>
        <w:t>（二）</w:t>
      </w:r>
      <w:r>
        <w:rPr>
          <w:rFonts w:hint="eastAsia"/>
          <w:sz w:val="21"/>
          <w:szCs w:val="21"/>
          <w:lang w:val="en-US" w:eastAsia="zh-CN"/>
        </w:rPr>
        <w:t>财政部门</w:t>
      </w:r>
      <w:r>
        <w:rPr>
          <w:rFonts w:hint="eastAsia"/>
          <w:sz w:val="21"/>
          <w:szCs w:val="21"/>
        </w:rPr>
        <w:t>在合同的履行期间以及履行期后，可以随时检查项目的执行情况，对采购内容、标准进行调查核实，并对发现的问题进行处理。</w:t>
      </w:r>
    </w:p>
    <w:p>
      <w:pPr>
        <w:pStyle w:val="15"/>
        <w:spacing w:line="360" w:lineRule="auto"/>
        <w:ind w:firstLine="210" w:firstLineChars="100"/>
        <w:rPr>
          <w:rFonts w:hint="eastAsia"/>
          <w:sz w:val="21"/>
          <w:szCs w:val="21"/>
        </w:rPr>
      </w:pPr>
      <w:r>
        <w:rPr>
          <w:rFonts w:hint="eastAsia"/>
          <w:sz w:val="21"/>
          <w:szCs w:val="21"/>
        </w:rPr>
        <w:t>（三）</w:t>
      </w:r>
      <w:r>
        <w:rPr>
          <w:rFonts w:hint="eastAsia"/>
          <w:sz w:val="21"/>
          <w:szCs w:val="21"/>
          <w:lang w:val="en-US" w:eastAsia="zh-CN"/>
        </w:rPr>
        <w:t>采购</w:t>
      </w:r>
      <w:r>
        <w:rPr>
          <w:rFonts w:hint="eastAsia"/>
          <w:sz w:val="21"/>
          <w:szCs w:val="21"/>
        </w:rPr>
        <w:t>文件、</w:t>
      </w:r>
      <w:r>
        <w:rPr>
          <w:rFonts w:hint="eastAsia"/>
          <w:sz w:val="21"/>
          <w:szCs w:val="21"/>
          <w:lang w:val="en-US" w:eastAsia="zh-CN"/>
        </w:rPr>
        <w:t>响应</w:t>
      </w:r>
      <w:r>
        <w:rPr>
          <w:rFonts w:hint="eastAsia"/>
          <w:sz w:val="21"/>
          <w:szCs w:val="21"/>
        </w:rPr>
        <w:t>文件、澄清表（函）、</w:t>
      </w:r>
      <w:r>
        <w:rPr>
          <w:rFonts w:hint="eastAsia"/>
          <w:sz w:val="21"/>
          <w:szCs w:val="21"/>
          <w:lang w:val="en-US" w:eastAsia="zh-CN"/>
        </w:rPr>
        <w:t>成交</w:t>
      </w:r>
      <w:r>
        <w:rPr>
          <w:rFonts w:hint="eastAsia"/>
          <w:sz w:val="21"/>
          <w:szCs w:val="21"/>
        </w:rPr>
        <w:t>通知书、合同附件均成为合同不可分割的部分，与本合同具有同等法律效力。</w:t>
      </w:r>
    </w:p>
    <w:p>
      <w:pPr>
        <w:pStyle w:val="15"/>
        <w:spacing w:line="360" w:lineRule="auto"/>
        <w:ind w:firstLine="210" w:firstLineChars="100"/>
        <w:rPr>
          <w:rFonts w:hint="eastAsia"/>
          <w:sz w:val="21"/>
          <w:szCs w:val="21"/>
        </w:rPr>
      </w:pPr>
      <w:r>
        <w:rPr>
          <w:rFonts w:hint="eastAsia"/>
          <w:sz w:val="21"/>
          <w:szCs w:val="21"/>
        </w:rPr>
        <w:t>（四）合同未尽事宜，由甲、乙双方协商，经鉴证方确认后签订补充协议，作为合同补充，补充协议与原合同具有同等法律效力。补充协议与原合同约定不一致的，以补充协议为准。</w:t>
      </w:r>
    </w:p>
    <w:p>
      <w:pPr>
        <w:pStyle w:val="15"/>
        <w:spacing w:line="360" w:lineRule="auto"/>
        <w:ind w:firstLine="210" w:firstLineChars="100"/>
        <w:rPr>
          <w:rFonts w:hint="eastAsia"/>
          <w:sz w:val="21"/>
          <w:szCs w:val="21"/>
        </w:rPr>
      </w:pPr>
      <w:r>
        <w:rPr>
          <w:rFonts w:hint="eastAsia"/>
          <w:sz w:val="21"/>
          <w:szCs w:val="21"/>
        </w:rPr>
        <w:t>（五）合同一经签订，不得擅自变更、解除或终止合同。对确需变更、解除、终止合同的，应按规定履行相应的手续。</w:t>
      </w:r>
    </w:p>
    <w:p>
      <w:pPr>
        <w:pStyle w:val="15"/>
        <w:spacing w:line="360" w:lineRule="auto"/>
        <w:ind w:firstLine="210" w:firstLineChars="100"/>
        <w:rPr>
          <w:rFonts w:hint="eastAsia"/>
          <w:sz w:val="21"/>
          <w:szCs w:val="21"/>
        </w:rPr>
      </w:pPr>
      <w:r>
        <w:rPr>
          <w:rFonts w:hint="eastAsia"/>
          <w:sz w:val="21"/>
          <w:szCs w:val="21"/>
        </w:rPr>
        <w:t>（六）本合同按照中华人民共和国的现行法律进行解释。</w:t>
      </w:r>
    </w:p>
    <w:p>
      <w:pPr>
        <w:pStyle w:val="15"/>
        <w:spacing w:line="360" w:lineRule="auto"/>
        <w:rPr>
          <w:rFonts w:hint="eastAsia"/>
          <w:sz w:val="21"/>
          <w:szCs w:val="21"/>
        </w:rPr>
      </w:pPr>
      <w:r>
        <w:rPr>
          <w:rFonts w:hint="eastAsia"/>
          <w:sz w:val="21"/>
          <w:szCs w:val="21"/>
        </w:rPr>
        <w:t>（以下无正文）</w:t>
      </w:r>
    </w:p>
    <w:p>
      <w:pPr>
        <w:pStyle w:val="15"/>
        <w:spacing w:line="360" w:lineRule="auto"/>
        <w:rPr>
          <w:rFonts w:hint="eastAsia"/>
        </w:rPr>
      </w:pPr>
    </w:p>
    <w:p>
      <w:pPr>
        <w:tabs>
          <w:tab w:val="left" w:pos="480"/>
        </w:tabs>
        <w:spacing w:line="360" w:lineRule="auto"/>
        <w:ind w:firstLine="420" w:firstLineChars="200"/>
        <w:rPr>
          <w:rFonts w:ascii="宋体"/>
          <w:b w:val="0"/>
          <w:bCs w:val="0"/>
          <w:szCs w:val="21"/>
        </w:rPr>
      </w:pPr>
      <w:r>
        <w:rPr>
          <w:rFonts w:hint="eastAsia" w:ascii="宋体" w:hAnsi="宋体"/>
          <w:b w:val="0"/>
          <w:bCs w:val="0"/>
          <w:szCs w:val="21"/>
        </w:rPr>
        <w:t>甲</w:t>
      </w:r>
      <w:r>
        <w:rPr>
          <w:rFonts w:ascii="宋体" w:hAnsi="宋体"/>
          <w:b w:val="0"/>
          <w:bCs w:val="0"/>
          <w:szCs w:val="21"/>
        </w:rPr>
        <w:t xml:space="preserve">  </w:t>
      </w:r>
      <w:r>
        <w:rPr>
          <w:rFonts w:hint="eastAsia" w:ascii="宋体" w:hAnsi="宋体"/>
          <w:b w:val="0"/>
          <w:bCs w:val="0"/>
          <w:szCs w:val="21"/>
        </w:rPr>
        <w:t>方（法人公章）</w:t>
      </w:r>
      <w:r>
        <w:rPr>
          <w:rFonts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乙</w:t>
      </w:r>
      <w:r>
        <w:rPr>
          <w:rFonts w:ascii="宋体" w:hAnsi="宋体"/>
          <w:b w:val="0"/>
          <w:bCs w:val="0"/>
          <w:szCs w:val="21"/>
        </w:rPr>
        <w:t xml:space="preserve">  </w:t>
      </w:r>
      <w:r>
        <w:rPr>
          <w:rFonts w:hint="eastAsia" w:ascii="宋体" w:hAnsi="宋体"/>
          <w:b w:val="0"/>
          <w:bCs w:val="0"/>
          <w:szCs w:val="21"/>
        </w:rPr>
        <w:t>方（法人公章）</w:t>
      </w:r>
    </w:p>
    <w:p>
      <w:pPr>
        <w:tabs>
          <w:tab w:val="left" w:pos="480"/>
        </w:tabs>
        <w:spacing w:line="360" w:lineRule="auto"/>
        <w:ind w:firstLine="420" w:firstLineChars="200"/>
        <w:rPr>
          <w:rFonts w:ascii="宋体"/>
          <w:b w:val="0"/>
          <w:bCs w:val="0"/>
          <w:szCs w:val="21"/>
        </w:rPr>
      </w:pPr>
    </w:p>
    <w:p>
      <w:pPr>
        <w:tabs>
          <w:tab w:val="left" w:pos="480"/>
        </w:tabs>
        <w:spacing w:line="360" w:lineRule="auto"/>
        <w:ind w:firstLine="420" w:firstLineChars="200"/>
        <w:rPr>
          <w:rFonts w:ascii="宋体"/>
          <w:b w:val="0"/>
          <w:bCs w:val="0"/>
          <w:szCs w:val="21"/>
        </w:rPr>
      </w:pPr>
      <w:r>
        <w:rPr>
          <w:rFonts w:hint="eastAsia" w:ascii="宋体" w:hAnsi="宋体"/>
          <w:b w:val="0"/>
          <w:bCs w:val="0"/>
          <w:szCs w:val="21"/>
        </w:rPr>
        <w:t>单位名称：</w:t>
      </w:r>
      <w:r>
        <w:rPr>
          <w:rFonts w:hint="eastAsia" w:ascii="宋体" w:hAnsi="宋体"/>
          <w:b w:val="0"/>
          <w:bCs w:val="0"/>
          <w:szCs w:val="21"/>
          <w:lang w:eastAsia="zh-CN"/>
        </w:rPr>
        <w:t>西安市长安区医院</w:t>
      </w:r>
      <w:r>
        <w:rPr>
          <w:rFonts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单位名称：</w:t>
      </w:r>
    </w:p>
    <w:p>
      <w:pPr>
        <w:tabs>
          <w:tab w:val="left" w:pos="480"/>
        </w:tabs>
        <w:spacing w:line="360" w:lineRule="auto"/>
        <w:ind w:left="5880" w:leftChars="200" w:hanging="5460" w:hangingChars="2600"/>
        <w:rPr>
          <w:rFonts w:ascii="宋体"/>
          <w:b w:val="0"/>
          <w:bCs w:val="0"/>
          <w:szCs w:val="21"/>
        </w:rPr>
      </w:pPr>
      <w:r>
        <w:rPr>
          <w:rFonts w:hint="eastAsia" w:ascii="宋体" w:hAnsi="宋体"/>
          <w:b w:val="0"/>
          <w:bCs w:val="0"/>
          <w:sz w:val="21"/>
          <w:szCs w:val="21"/>
        </w:rPr>
        <w:t>地</w:t>
      </w:r>
      <w:r>
        <w:rPr>
          <w:rFonts w:ascii="宋体" w:hAnsi="宋体"/>
          <w:b w:val="0"/>
          <w:bCs w:val="0"/>
          <w:sz w:val="21"/>
          <w:szCs w:val="21"/>
        </w:rPr>
        <w:t xml:space="preserve">  </w:t>
      </w:r>
      <w:r>
        <w:rPr>
          <w:rFonts w:hint="eastAsia" w:ascii="宋体" w:hAnsi="宋体"/>
          <w:b w:val="0"/>
          <w:bCs w:val="0"/>
          <w:sz w:val="21"/>
          <w:szCs w:val="21"/>
        </w:rPr>
        <w:t>址：</w:t>
      </w:r>
      <w:r>
        <w:rPr>
          <w:rFonts w:hint="eastAsia" w:ascii="宋体" w:hAnsi="宋体" w:cs="宋体"/>
          <w:kern w:val="0"/>
          <w:sz w:val="21"/>
          <w:szCs w:val="21"/>
          <w:lang w:eastAsia="zh-CN"/>
        </w:rPr>
        <w:t>西安市长安区郭杜街道文苑中路120号</w:t>
      </w:r>
      <w:r>
        <w:rPr>
          <w:rFonts w:ascii="宋体" w:hAnsi="宋体"/>
          <w:b w:val="0"/>
          <w:bCs w:val="0"/>
          <w:sz w:val="21"/>
          <w:szCs w:val="21"/>
        </w:rPr>
        <w:t xml:space="preserve">    </w:t>
      </w:r>
      <w:r>
        <w:rPr>
          <w:rFonts w:ascii="宋体" w:hAnsi="宋体"/>
          <w:b w:val="0"/>
          <w:bCs w:val="0"/>
          <w:szCs w:val="21"/>
        </w:rPr>
        <w:t xml:space="preserve"> </w:t>
      </w:r>
      <w:r>
        <w:rPr>
          <w:rFonts w:hint="eastAsia" w:ascii="宋体" w:hAnsi="宋体"/>
          <w:b w:val="0"/>
          <w:bCs w:val="0"/>
          <w:szCs w:val="21"/>
        </w:rPr>
        <w:t>地</w:t>
      </w:r>
      <w:r>
        <w:rPr>
          <w:rFonts w:ascii="宋体" w:hAnsi="宋体"/>
          <w:b w:val="0"/>
          <w:bCs w:val="0"/>
          <w:szCs w:val="21"/>
        </w:rPr>
        <w:t xml:space="preserve">  </w:t>
      </w:r>
      <w:r>
        <w:rPr>
          <w:rFonts w:hint="eastAsia" w:ascii="宋体" w:hAnsi="宋体"/>
          <w:b w:val="0"/>
          <w:bCs w:val="0"/>
          <w:szCs w:val="21"/>
        </w:rPr>
        <w:t>址：</w:t>
      </w:r>
    </w:p>
    <w:p>
      <w:pPr>
        <w:tabs>
          <w:tab w:val="left" w:pos="480"/>
        </w:tabs>
        <w:spacing w:line="360" w:lineRule="auto"/>
        <w:ind w:firstLine="420" w:firstLineChars="200"/>
        <w:rPr>
          <w:rFonts w:ascii="宋体"/>
          <w:b w:val="0"/>
          <w:bCs w:val="0"/>
          <w:szCs w:val="21"/>
        </w:rPr>
      </w:pPr>
      <w:r>
        <w:rPr>
          <w:rFonts w:hint="eastAsia" w:ascii="宋体" w:hAnsi="宋体"/>
          <w:b w:val="0"/>
          <w:bCs w:val="0"/>
          <w:szCs w:val="21"/>
        </w:rPr>
        <w:t xml:space="preserve">经办人：  </w:t>
      </w:r>
      <w:r>
        <w:rPr>
          <w:rFonts w:ascii="宋体" w:hAnsi="宋体"/>
          <w:b w:val="0"/>
          <w:bCs w:val="0"/>
          <w:szCs w:val="21"/>
        </w:rPr>
        <w:t xml:space="preserve">                             </w:t>
      </w:r>
      <w:r>
        <w:rPr>
          <w:rFonts w:hint="eastAsia"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经办人：</w:t>
      </w:r>
    </w:p>
    <w:p>
      <w:pPr>
        <w:tabs>
          <w:tab w:val="left" w:pos="480"/>
        </w:tabs>
        <w:spacing w:line="360" w:lineRule="auto"/>
        <w:ind w:firstLine="420" w:firstLineChars="200"/>
        <w:rPr>
          <w:rFonts w:hint="eastAsia" w:ascii="宋体"/>
          <w:b w:val="0"/>
          <w:bCs w:val="0"/>
          <w:szCs w:val="21"/>
        </w:rPr>
      </w:pPr>
      <w:r>
        <w:rPr>
          <w:rFonts w:ascii="宋体" w:hAnsi="宋体"/>
          <w:b w:val="0"/>
          <w:bCs w:val="0"/>
          <w:szCs w:val="21"/>
        </w:rPr>
        <w:t xml:space="preserve"> </w:t>
      </w:r>
      <w:r>
        <w:rPr>
          <w:rFonts w:hint="eastAsia" w:ascii="宋体" w:hAnsi="宋体"/>
          <w:b w:val="0"/>
          <w:bCs w:val="0"/>
          <w:szCs w:val="21"/>
        </w:rPr>
        <w:t xml:space="preserve"> </w:t>
      </w:r>
    </w:p>
    <w:p>
      <w:pPr>
        <w:tabs>
          <w:tab w:val="left" w:pos="480"/>
        </w:tabs>
        <w:spacing w:line="360" w:lineRule="auto"/>
        <w:ind w:firstLine="420" w:firstLineChars="200"/>
        <w:rPr>
          <w:rFonts w:hint="eastAsia" w:ascii="宋体" w:hAnsi="宋体"/>
          <w:b w:val="0"/>
          <w:bCs w:val="0"/>
          <w:szCs w:val="21"/>
        </w:rPr>
      </w:pPr>
      <w:r>
        <w:rPr>
          <w:rFonts w:hint="eastAsia" w:ascii="宋体" w:hAnsi="宋体"/>
          <w:b w:val="0"/>
          <w:bCs w:val="0"/>
          <w:szCs w:val="21"/>
        </w:rPr>
        <w:t>主管院长：</w:t>
      </w:r>
      <w:r>
        <w:rPr>
          <w:rFonts w:ascii="宋体" w:hAnsi="宋体"/>
          <w:b w:val="0"/>
          <w:bCs w:val="0"/>
          <w:szCs w:val="21"/>
        </w:rPr>
        <w:t xml:space="preserve">                               </w:t>
      </w:r>
    </w:p>
    <w:p>
      <w:pPr>
        <w:tabs>
          <w:tab w:val="left" w:pos="480"/>
        </w:tabs>
        <w:spacing w:line="360" w:lineRule="auto"/>
        <w:ind w:firstLine="420" w:firstLineChars="200"/>
        <w:rPr>
          <w:rFonts w:hint="eastAsia" w:ascii="宋体" w:hAnsi="宋体"/>
          <w:b w:val="0"/>
          <w:bCs w:val="0"/>
          <w:szCs w:val="21"/>
        </w:rPr>
      </w:pPr>
    </w:p>
    <w:p>
      <w:pPr>
        <w:tabs>
          <w:tab w:val="left" w:pos="480"/>
          <w:tab w:val="center" w:pos="4746"/>
        </w:tabs>
        <w:spacing w:line="360" w:lineRule="auto"/>
        <w:ind w:firstLine="420" w:firstLineChars="200"/>
        <w:rPr>
          <w:rFonts w:ascii="宋体"/>
          <w:b w:val="0"/>
          <w:bCs w:val="0"/>
          <w:szCs w:val="21"/>
        </w:rPr>
      </w:pPr>
      <w:r>
        <w:rPr>
          <w:rFonts w:hint="eastAsia" w:ascii="宋体" w:hAnsi="宋体"/>
          <w:b w:val="0"/>
          <w:bCs w:val="0"/>
          <w:szCs w:val="21"/>
        </w:rPr>
        <w:t>法定代表人（签字或盖章）：</w:t>
      </w:r>
      <w:r>
        <w:rPr>
          <w:rFonts w:ascii="宋体" w:hAnsi="宋体"/>
          <w:b w:val="0"/>
          <w:bCs w:val="0"/>
          <w:szCs w:val="21"/>
        </w:rPr>
        <w:tab/>
      </w:r>
      <w:r>
        <w:rPr>
          <w:rFonts w:hint="eastAsia" w:ascii="宋体" w:hAnsi="宋体"/>
          <w:b w:val="0"/>
          <w:bCs w:val="0"/>
          <w:szCs w:val="21"/>
        </w:rPr>
        <w:t xml:space="preserve">                 法定代表人（签字或盖章）：</w:t>
      </w:r>
      <w:r>
        <w:rPr>
          <w:rFonts w:ascii="宋体" w:hAnsi="宋体"/>
          <w:b w:val="0"/>
          <w:bCs w:val="0"/>
          <w:szCs w:val="21"/>
        </w:rPr>
        <w:t xml:space="preserve">  </w:t>
      </w:r>
    </w:p>
    <w:p>
      <w:pPr>
        <w:tabs>
          <w:tab w:val="left" w:pos="480"/>
        </w:tabs>
        <w:spacing w:line="360" w:lineRule="auto"/>
        <w:ind w:left="5946" w:leftChars="195" w:hanging="5537" w:hangingChars="2637"/>
        <w:rPr>
          <w:rFonts w:ascii="宋体"/>
          <w:b w:val="0"/>
          <w:bCs w:val="0"/>
          <w:szCs w:val="21"/>
        </w:rPr>
      </w:pPr>
      <w:r>
        <w:rPr>
          <w:rFonts w:ascii="宋体" w:hAnsi="宋体"/>
          <w:b w:val="0"/>
          <w:bCs w:val="0"/>
          <w:szCs w:val="21"/>
        </w:rPr>
        <w:t xml:space="preserve">             </w:t>
      </w:r>
      <w:r>
        <w:rPr>
          <w:rFonts w:hint="eastAsia" w:ascii="宋体" w:hAnsi="宋体"/>
          <w:b w:val="0"/>
          <w:bCs w:val="0"/>
          <w:szCs w:val="21"/>
        </w:rPr>
        <w:t xml:space="preserve">                               开户银行：</w:t>
      </w:r>
    </w:p>
    <w:p>
      <w:pPr>
        <w:tabs>
          <w:tab w:val="left" w:pos="480"/>
        </w:tabs>
        <w:spacing w:line="360" w:lineRule="auto"/>
        <w:ind w:firstLine="5040" w:firstLineChars="2400"/>
        <w:rPr>
          <w:rFonts w:ascii="宋体"/>
          <w:b w:val="0"/>
          <w:bCs w:val="0"/>
          <w:szCs w:val="21"/>
        </w:rPr>
      </w:pPr>
      <w:r>
        <w:rPr>
          <w:rFonts w:hint="eastAsia" w:ascii="宋体" w:hAnsi="宋体"/>
          <w:b w:val="0"/>
          <w:bCs w:val="0"/>
          <w:szCs w:val="21"/>
        </w:rPr>
        <w:t>帐</w:t>
      </w:r>
      <w:r>
        <w:rPr>
          <w:rFonts w:ascii="宋体" w:hAnsi="宋体"/>
          <w:b w:val="0"/>
          <w:bCs w:val="0"/>
          <w:szCs w:val="21"/>
        </w:rPr>
        <w:t xml:space="preserve">  </w:t>
      </w:r>
      <w:r>
        <w:rPr>
          <w:rFonts w:hint="eastAsia" w:ascii="宋体" w:hAnsi="宋体"/>
          <w:b w:val="0"/>
          <w:bCs w:val="0"/>
          <w:szCs w:val="21"/>
        </w:rPr>
        <w:t>号：</w:t>
      </w:r>
      <w:r>
        <w:rPr>
          <w:rFonts w:ascii="宋体" w:hAnsi="宋体"/>
          <w:b w:val="0"/>
          <w:bCs w:val="0"/>
          <w:szCs w:val="21"/>
        </w:rPr>
        <w:t xml:space="preserve">  </w:t>
      </w:r>
    </w:p>
    <w:p>
      <w:pPr>
        <w:tabs>
          <w:tab w:val="left" w:pos="480"/>
        </w:tabs>
        <w:spacing w:line="360" w:lineRule="auto"/>
        <w:ind w:firstLine="420" w:firstLineChars="200"/>
        <w:rPr>
          <w:rFonts w:ascii="宋体"/>
          <w:b w:val="0"/>
          <w:bCs w:val="0"/>
          <w:szCs w:val="21"/>
        </w:rPr>
      </w:pPr>
      <w:r>
        <w:rPr>
          <w:rFonts w:hint="eastAsia" w:ascii="宋体" w:hAnsi="宋体"/>
          <w:b w:val="0"/>
          <w:bCs w:val="0"/>
          <w:szCs w:val="21"/>
        </w:rPr>
        <w:t>联系电话：029-85910601</w:t>
      </w:r>
      <w:r>
        <w:rPr>
          <w:rFonts w:ascii="宋体" w:hAnsi="宋体"/>
          <w:b w:val="0"/>
          <w:bCs w:val="0"/>
          <w:szCs w:val="21"/>
        </w:rPr>
        <w:t xml:space="preserve">                      </w:t>
      </w:r>
      <w:r>
        <w:rPr>
          <w:rFonts w:hint="eastAsia" w:ascii="宋体" w:hAnsi="宋体"/>
          <w:b w:val="0"/>
          <w:bCs w:val="0"/>
          <w:szCs w:val="21"/>
        </w:rPr>
        <w:t>联系电话：</w:t>
      </w:r>
    </w:p>
    <w:p>
      <w:pPr>
        <w:tabs>
          <w:tab w:val="left" w:pos="480"/>
        </w:tabs>
        <w:spacing w:line="360" w:lineRule="auto"/>
        <w:ind w:firstLine="420" w:firstLineChars="200"/>
        <w:rPr>
          <w:rFonts w:ascii="宋体"/>
          <w:b w:val="0"/>
          <w:bCs w:val="0"/>
          <w:szCs w:val="21"/>
        </w:rPr>
      </w:pPr>
      <w:r>
        <w:rPr>
          <w:rFonts w:hint="eastAsia" w:ascii="宋体" w:hAnsi="宋体"/>
          <w:b w:val="0"/>
          <w:bCs w:val="0"/>
          <w:szCs w:val="21"/>
        </w:rPr>
        <w:t>签订日期：</w:t>
      </w:r>
      <w:r>
        <w:rPr>
          <w:rFonts w:ascii="宋体" w:hAnsi="宋体"/>
          <w:b w:val="0"/>
          <w:bCs w:val="0"/>
          <w:szCs w:val="21"/>
        </w:rPr>
        <w:t>202</w:t>
      </w:r>
      <w:r>
        <w:rPr>
          <w:rFonts w:hint="eastAsia" w:ascii="宋体" w:hAnsi="宋体"/>
          <w:b w:val="0"/>
          <w:bCs w:val="0"/>
          <w:szCs w:val="21"/>
          <w:lang w:val="en-US" w:eastAsia="zh-CN"/>
        </w:rPr>
        <w:t>4</w:t>
      </w:r>
      <w:r>
        <w:rPr>
          <w:rFonts w:hint="eastAsia" w:ascii="宋体" w:hAnsi="宋体"/>
          <w:b w:val="0"/>
          <w:bCs w:val="0"/>
          <w:szCs w:val="21"/>
        </w:rPr>
        <w:t>年</w:t>
      </w:r>
      <w:r>
        <w:rPr>
          <w:rFonts w:ascii="宋体" w:hAnsi="宋体"/>
          <w:b w:val="0"/>
          <w:bCs w:val="0"/>
          <w:szCs w:val="21"/>
        </w:rPr>
        <w:t xml:space="preserve">    </w:t>
      </w:r>
      <w:r>
        <w:rPr>
          <w:rFonts w:hint="eastAsia" w:ascii="宋体" w:hAnsi="宋体"/>
          <w:b w:val="0"/>
          <w:bCs w:val="0"/>
          <w:szCs w:val="21"/>
        </w:rPr>
        <w:t>月</w:t>
      </w:r>
      <w:r>
        <w:rPr>
          <w:rFonts w:ascii="宋体" w:hAnsi="宋体"/>
          <w:b w:val="0"/>
          <w:bCs w:val="0"/>
          <w:szCs w:val="21"/>
        </w:rPr>
        <w:t xml:space="preserve">      </w:t>
      </w:r>
      <w:r>
        <w:rPr>
          <w:rFonts w:hint="eastAsia" w:ascii="宋体" w:hAnsi="宋体"/>
          <w:b w:val="0"/>
          <w:bCs w:val="0"/>
          <w:szCs w:val="21"/>
        </w:rPr>
        <w:t>日</w:t>
      </w:r>
      <w:r>
        <w:rPr>
          <w:rFonts w:ascii="宋体" w:hAnsi="宋体"/>
          <w:b w:val="0"/>
          <w:bCs w:val="0"/>
          <w:szCs w:val="21"/>
        </w:rPr>
        <w:t xml:space="preserve">             </w:t>
      </w:r>
      <w:r>
        <w:rPr>
          <w:rFonts w:hint="eastAsia" w:ascii="宋体" w:hAnsi="宋体"/>
          <w:b w:val="0"/>
          <w:bCs w:val="0"/>
          <w:szCs w:val="21"/>
        </w:rPr>
        <w:t>签订日期：</w:t>
      </w:r>
      <w:r>
        <w:rPr>
          <w:rFonts w:ascii="宋体" w:hAnsi="宋体"/>
          <w:b w:val="0"/>
          <w:bCs w:val="0"/>
          <w:szCs w:val="21"/>
        </w:rPr>
        <w:t>202</w:t>
      </w:r>
      <w:r>
        <w:rPr>
          <w:rFonts w:hint="eastAsia" w:ascii="宋体" w:hAnsi="宋体"/>
          <w:b w:val="0"/>
          <w:bCs w:val="0"/>
          <w:szCs w:val="21"/>
          <w:lang w:val="en-US" w:eastAsia="zh-CN"/>
        </w:rPr>
        <w:t>4</w:t>
      </w:r>
      <w:r>
        <w:rPr>
          <w:rFonts w:hint="eastAsia" w:ascii="宋体" w:hAnsi="宋体"/>
          <w:b w:val="0"/>
          <w:bCs w:val="0"/>
          <w:szCs w:val="21"/>
        </w:rPr>
        <w:t>年</w:t>
      </w:r>
      <w:r>
        <w:rPr>
          <w:rFonts w:ascii="宋体" w:hAnsi="宋体"/>
          <w:b w:val="0"/>
          <w:bCs w:val="0"/>
          <w:szCs w:val="21"/>
        </w:rPr>
        <w:t xml:space="preserve">  </w:t>
      </w:r>
      <w:r>
        <w:rPr>
          <w:rFonts w:hint="eastAsia" w:ascii="宋体" w:hAnsi="宋体"/>
          <w:b w:val="0"/>
          <w:bCs w:val="0"/>
          <w:szCs w:val="21"/>
        </w:rPr>
        <w:t>月</w:t>
      </w:r>
      <w:r>
        <w:rPr>
          <w:rFonts w:ascii="宋体" w:hAnsi="宋体"/>
          <w:b w:val="0"/>
          <w:bCs w:val="0"/>
          <w:szCs w:val="21"/>
        </w:rPr>
        <w:t xml:space="preserve">   </w:t>
      </w:r>
      <w:r>
        <w:rPr>
          <w:rFonts w:hint="eastAsia" w:ascii="宋体" w:hAnsi="宋体"/>
          <w:b w:val="0"/>
          <w:bCs w:val="0"/>
          <w:szCs w:val="21"/>
        </w:rPr>
        <w:t>日</w:t>
      </w:r>
    </w:p>
    <w:p>
      <w:pPr>
        <w:tabs>
          <w:tab w:val="left" w:pos="480"/>
        </w:tabs>
        <w:spacing w:line="360" w:lineRule="auto"/>
        <w:rPr>
          <w:rFonts w:ascii="宋体"/>
          <w:b w:val="0"/>
          <w:bCs w:val="0"/>
          <w:szCs w:val="21"/>
        </w:rPr>
      </w:pPr>
    </w:p>
    <w:p>
      <w:pPr>
        <w:tabs>
          <w:tab w:val="left" w:pos="480"/>
        </w:tabs>
        <w:spacing w:line="360" w:lineRule="auto"/>
        <w:ind w:firstLine="420" w:firstLineChars="200"/>
        <w:rPr>
          <w:rFonts w:ascii="宋体" w:cs="宋体"/>
          <w:b w:val="0"/>
          <w:bCs w:val="0"/>
          <w:szCs w:val="21"/>
        </w:rPr>
      </w:pPr>
      <w:r>
        <w:rPr>
          <w:rFonts w:hint="eastAsia" w:ascii="宋体" w:hAnsi="宋体" w:cs="宋体"/>
          <w:b w:val="0"/>
          <w:bCs w:val="0"/>
          <w:szCs w:val="21"/>
        </w:rPr>
        <w:t>鉴证方（业务专用章）</w:t>
      </w:r>
    </w:p>
    <w:p>
      <w:pPr>
        <w:tabs>
          <w:tab w:val="left" w:pos="480"/>
        </w:tabs>
        <w:spacing w:line="360" w:lineRule="auto"/>
        <w:ind w:firstLine="420" w:firstLineChars="200"/>
        <w:rPr>
          <w:rFonts w:hint="eastAsia" w:ascii="宋体" w:hAnsi="宋体"/>
          <w:b w:val="0"/>
          <w:bCs w:val="0"/>
          <w:szCs w:val="21"/>
        </w:rPr>
      </w:pPr>
      <w:r>
        <w:rPr>
          <w:rFonts w:hint="eastAsia" w:ascii="宋体" w:hAnsi="宋体" w:cs="宋体"/>
          <w:b w:val="0"/>
          <w:bCs w:val="0"/>
          <w:szCs w:val="21"/>
        </w:rPr>
        <w:t>单位名称：</w:t>
      </w:r>
    </w:p>
    <w:p>
      <w:pPr>
        <w:tabs>
          <w:tab w:val="left" w:pos="480"/>
        </w:tabs>
        <w:spacing w:line="360" w:lineRule="auto"/>
        <w:ind w:firstLine="420" w:firstLineChars="200"/>
        <w:rPr>
          <w:rFonts w:hint="eastAsia" w:ascii="宋体" w:hAnsi="宋体" w:cs="宋体"/>
          <w:b w:val="0"/>
          <w:bCs w:val="0"/>
          <w:szCs w:val="21"/>
        </w:rPr>
      </w:pPr>
      <w:r>
        <w:rPr>
          <w:rFonts w:hint="eastAsia" w:ascii="宋体" w:hAnsi="宋体" w:cs="宋体"/>
          <w:b w:val="0"/>
          <w:bCs w:val="0"/>
          <w:szCs w:val="21"/>
        </w:rPr>
        <w:t>地</w:t>
      </w:r>
      <w:r>
        <w:rPr>
          <w:rFonts w:ascii="宋体" w:hAnsi="宋体" w:cs="宋体"/>
          <w:b w:val="0"/>
          <w:bCs w:val="0"/>
          <w:szCs w:val="21"/>
        </w:rPr>
        <w:t xml:space="preserve">  </w:t>
      </w:r>
      <w:r>
        <w:rPr>
          <w:rFonts w:hint="eastAsia" w:ascii="宋体" w:hAnsi="宋体" w:cs="宋体"/>
          <w:b w:val="0"/>
          <w:bCs w:val="0"/>
          <w:szCs w:val="21"/>
        </w:rPr>
        <w:t>址：</w:t>
      </w:r>
    </w:p>
    <w:p>
      <w:pPr>
        <w:tabs>
          <w:tab w:val="left" w:pos="480"/>
        </w:tabs>
        <w:spacing w:line="360" w:lineRule="auto"/>
        <w:ind w:firstLine="420" w:firstLineChars="200"/>
        <w:rPr>
          <w:rFonts w:ascii="宋体" w:cs="宋体"/>
          <w:b w:val="0"/>
          <w:bCs w:val="0"/>
          <w:szCs w:val="21"/>
        </w:rPr>
      </w:pPr>
      <w:r>
        <w:rPr>
          <w:rFonts w:hint="eastAsia" w:ascii="宋体" w:hAnsi="宋体" w:cs="宋体"/>
          <w:b w:val="0"/>
          <w:bCs w:val="0"/>
          <w:szCs w:val="21"/>
        </w:rPr>
        <w:t>代理人：</w:t>
      </w:r>
    </w:p>
    <w:p>
      <w:pPr>
        <w:tabs>
          <w:tab w:val="left" w:pos="480"/>
        </w:tabs>
        <w:spacing w:line="360" w:lineRule="auto"/>
        <w:ind w:firstLine="420" w:firstLineChars="200"/>
        <w:rPr>
          <w:rFonts w:hint="eastAsia" w:ascii="宋体" w:hAnsi="宋体" w:cs="宋体"/>
          <w:b w:val="0"/>
          <w:bCs w:val="0"/>
          <w:szCs w:val="21"/>
        </w:rPr>
      </w:pPr>
      <w:r>
        <w:rPr>
          <w:rFonts w:hint="eastAsia" w:ascii="宋体" w:hAnsi="宋体" w:cs="宋体"/>
          <w:b w:val="0"/>
          <w:bCs w:val="0"/>
          <w:szCs w:val="21"/>
        </w:rPr>
        <w:t>联系电话：</w:t>
      </w:r>
    </w:p>
    <w:p>
      <w:pPr>
        <w:tabs>
          <w:tab w:val="left" w:pos="480"/>
        </w:tabs>
        <w:spacing w:line="360" w:lineRule="auto"/>
        <w:ind w:firstLine="420" w:firstLineChars="200"/>
        <w:rPr>
          <w:rFonts w:hint="eastAsia" w:ascii="宋体" w:hAnsi="宋体" w:cs="宋体"/>
          <w:b w:val="0"/>
          <w:bCs w:val="0"/>
          <w:szCs w:val="21"/>
        </w:rPr>
      </w:pPr>
      <w:r>
        <w:rPr>
          <w:rFonts w:hint="eastAsia" w:ascii="宋体" w:hAnsi="宋体" w:cs="宋体"/>
          <w:b w:val="0"/>
          <w:bCs w:val="0"/>
          <w:szCs w:val="21"/>
        </w:rPr>
        <w:t>签订日期：202</w:t>
      </w:r>
      <w:r>
        <w:rPr>
          <w:rFonts w:hint="eastAsia" w:ascii="宋体" w:hAnsi="宋体" w:cs="宋体"/>
          <w:b w:val="0"/>
          <w:bCs w:val="0"/>
          <w:szCs w:val="21"/>
          <w:lang w:val="en-US" w:eastAsia="zh-CN"/>
        </w:rPr>
        <w:t>4</w:t>
      </w:r>
      <w:r>
        <w:rPr>
          <w:rFonts w:hint="eastAsia" w:ascii="宋体" w:hAnsi="宋体" w:cs="宋体"/>
          <w:b w:val="0"/>
          <w:bCs w:val="0"/>
          <w:szCs w:val="21"/>
        </w:rPr>
        <w:t>年</w:t>
      </w:r>
      <w:r>
        <w:rPr>
          <w:rFonts w:ascii="宋体" w:hAnsi="宋体" w:cs="宋体"/>
          <w:b w:val="0"/>
          <w:bCs w:val="0"/>
          <w:szCs w:val="21"/>
        </w:rPr>
        <w:t xml:space="preserve">    </w:t>
      </w:r>
      <w:r>
        <w:rPr>
          <w:rFonts w:hint="eastAsia" w:ascii="宋体" w:hAnsi="宋体" w:cs="宋体"/>
          <w:b w:val="0"/>
          <w:bCs w:val="0"/>
          <w:szCs w:val="21"/>
        </w:rPr>
        <w:t>月</w:t>
      </w:r>
      <w:r>
        <w:rPr>
          <w:rFonts w:ascii="宋体" w:hAnsi="宋体" w:cs="宋体"/>
          <w:b w:val="0"/>
          <w:bCs w:val="0"/>
          <w:szCs w:val="21"/>
        </w:rPr>
        <w:t xml:space="preserve">   </w:t>
      </w:r>
      <w:r>
        <w:rPr>
          <w:rFonts w:hint="eastAsia" w:ascii="宋体" w:hAnsi="宋体" w:cs="宋体"/>
          <w:b w:val="0"/>
          <w:bCs w:val="0"/>
          <w:szCs w:val="21"/>
        </w:rPr>
        <w:t>日</w:t>
      </w:r>
    </w:p>
    <w:p>
      <w:pPr>
        <w:pStyle w:val="2"/>
        <w:keepNext w:val="0"/>
        <w:pageBreakBefore/>
        <w:rPr>
          <w:rFonts w:ascii="宋体" w:hAnsi="宋体" w:cs="宋体"/>
        </w:rPr>
      </w:pPr>
      <w:r>
        <w:rPr>
          <w:rFonts w:hint="eastAsia" w:ascii="宋体" w:hAnsi="宋体" w:cs="宋体"/>
        </w:rPr>
        <w:t>第七部分 谈判响应文件格式</w:t>
      </w:r>
      <w:bookmarkEnd w:id="72"/>
      <w:bookmarkEnd w:id="73"/>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SXWZ2023ZB-CAYY-322A</w:t>
      </w:r>
      <w:r>
        <w:rPr>
          <w:rFonts w:hint="eastAsia" w:ascii="宋体" w:hAnsi="宋体" w:eastAsia="宋体" w:cs="宋体"/>
          <w:b/>
          <w:w w:val="120"/>
          <w:sz w:val="28"/>
          <w:szCs w:val="28"/>
        </w:rPr>
        <w:t xml:space="preserve">    （正本或副本）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480" w:lineRule="auto"/>
        <w:jc w:val="center"/>
        <w:rPr>
          <w:rFonts w:hint="eastAsia" w:ascii="宋体" w:hAnsi="宋体" w:eastAsia="宋体" w:cs="宋体"/>
          <w:b/>
          <w:sz w:val="44"/>
          <w:szCs w:val="44"/>
          <w:lang w:eastAsia="zh-CN"/>
        </w:rPr>
      </w:pPr>
      <w:r>
        <w:rPr>
          <w:rFonts w:hint="eastAsia" w:ascii="宋体" w:hAnsi="宋体" w:eastAsia="宋体" w:cs="宋体"/>
          <w:b/>
          <w:sz w:val="44"/>
          <w:szCs w:val="44"/>
          <w:lang w:eastAsia="zh-CN"/>
        </w:rPr>
        <w:t>西安市长安区</w:t>
      </w:r>
      <w:r>
        <w:rPr>
          <w:rFonts w:hint="eastAsia" w:ascii="宋体" w:hAnsi="宋体" w:eastAsia="宋体" w:cs="宋体"/>
          <w:b/>
          <w:sz w:val="44"/>
          <w:szCs w:val="44"/>
          <w:lang w:val="en-US" w:eastAsia="zh-CN"/>
        </w:rPr>
        <w:t>医疗设备</w:t>
      </w:r>
      <w:r>
        <w:rPr>
          <w:rFonts w:hint="eastAsia" w:ascii="宋体" w:hAnsi="宋体" w:eastAsia="宋体" w:cs="宋体"/>
          <w:b/>
          <w:sz w:val="44"/>
          <w:szCs w:val="44"/>
          <w:lang w:eastAsia="zh-CN"/>
        </w:rPr>
        <w:t>采购项目（</w:t>
      </w:r>
      <w:r>
        <w:rPr>
          <w:rFonts w:hint="eastAsia" w:ascii="宋体" w:hAnsi="宋体" w:eastAsia="宋体" w:cs="宋体"/>
          <w:b/>
          <w:sz w:val="44"/>
          <w:szCs w:val="44"/>
          <w:lang w:val="en-US" w:eastAsia="zh-CN"/>
        </w:rPr>
        <w:t>二次</w:t>
      </w:r>
      <w:r>
        <w:rPr>
          <w:rFonts w:hint="eastAsia" w:ascii="宋体" w:hAnsi="宋体" w:eastAsia="宋体" w:cs="宋体"/>
          <w:b/>
          <w:sz w:val="44"/>
          <w:szCs w:val="44"/>
          <w:lang w:eastAsia="zh-CN"/>
        </w:rPr>
        <w:t>）</w:t>
      </w:r>
    </w:p>
    <w:p>
      <w:pPr>
        <w:adjustRightInd w:val="0"/>
        <w:snapToGrid w:val="0"/>
        <w:spacing w:line="480" w:lineRule="auto"/>
        <w:jc w:val="center"/>
        <w:rPr>
          <w:rFonts w:ascii="宋体" w:hAnsi="宋体" w:eastAsia="宋体" w:cs="宋体"/>
          <w:b/>
          <w:sz w:val="52"/>
          <w:szCs w:val="52"/>
        </w:rPr>
      </w:pPr>
      <w:r>
        <w:rPr>
          <w:rFonts w:hint="eastAsia" w:ascii="宋体" w:hAnsi="宋体" w:eastAsia="宋体" w:cs="宋体"/>
          <w:b/>
          <w:sz w:val="52"/>
          <w:szCs w:val="52"/>
        </w:rPr>
        <w:t>响</w:t>
      </w:r>
    </w:p>
    <w:p>
      <w:pPr>
        <w:adjustRightInd w:val="0"/>
        <w:snapToGrid w:val="0"/>
        <w:spacing w:line="480" w:lineRule="auto"/>
        <w:jc w:val="center"/>
        <w:rPr>
          <w:rFonts w:ascii="宋体" w:hAnsi="宋体" w:eastAsia="宋体" w:cs="宋体"/>
          <w:b/>
          <w:sz w:val="52"/>
          <w:szCs w:val="52"/>
        </w:rPr>
      </w:pPr>
      <w:r>
        <w:rPr>
          <w:rFonts w:hint="eastAsia" w:ascii="宋体" w:hAnsi="宋体" w:eastAsia="宋体" w:cs="宋体"/>
          <w:b/>
          <w:sz w:val="52"/>
          <w:szCs w:val="52"/>
        </w:rPr>
        <w:t>应</w:t>
      </w:r>
    </w:p>
    <w:p>
      <w:pPr>
        <w:adjustRightInd w:val="0"/>
        <w:snapToGrid w:val="0"/>
        <w:spacing w:line="480" w:lineRule="auto"/>
        <w:jc w:val="center"/>
        <w:rPr>
          <w:rFonts w:ascii="宋体" w:hAnsi="宋体" w:eastAsia="宋体" w:cs="宋体"/>
          <w:b/>
          <w:sz w:val="52"/>
          <w:szCs w:val="52"/>
        </w:rPr>
      </w:pPr>
      <w:r>
        <w:rPr>
          <w:rFonts w:hint="eastAsia" w:ascii="宋体" w:hAnsi="宋体" w:eastAsia="宋体" w:cs="宋体"/>
          <w:b/>
          <w:sz w:val="52"/>
          <w:szCs w:val="52"/>
        </w:rPr>
        <w:t>文</w:t>
      </w:r>
    </w:p>
    <w:p>
      <w:pPr>
        <w:adjustRightInd w:val="0"/>
        <w:snapToGrid w:val="0"/>
        <w:spacing w:line="480" w:lineRule="auto"/>
        <w:jc w:val="center"/>
        <w:rPr>
          <w:rFonts w:ascii="宋体" w:hAnsi="宋体" w:eastAsia="宋体" w:cs="宋体"/>
          <w:b/>
          <w:sz w:val="52"/>
          <w:szCs w:val="52"/>
        </w:rPr>
      </w:pPr>
      <w:r>
        <w:rPr>
          <w:rFonts w:hint="eastAsia" w:ascii="宋体" w:hAnsi="宋体" w:eastAsia="宋体" w:cs="宋体"/>
          <w:b/>
          <w:sz w:val="52"/>
          <w:szCs w:val="52"/>
        </w:rPr>
        <w:t>件</w:t>
      </w:r>
    </w:p>
    <w:p>
      <w:pPr>
        <w:snapToGrid w:val="0"/>
        <w:spacing w:line="480" w:lineRule="auto"/>
        <w:ind w:firstLine="640" w:firstLineChars="200"/>
        <w:jc w:val="left"/>
        <w:rPr>
          <w:rFonts w:ascii="宋体" w:hAnsi="宋体" w:eastAsia="宋体" w:cs="宋体"/>
          <w:sz w:val="32"/>
          <w:szCs w:val="32"/>
          <w:u w:val="single"/>
        </w:rPr>
      </w:pPr>
      <w:r>
        <w:rPr>
          <w:rFonts w:hint="eastAsia" w:ascii="宋体" w:hAnsi="宋体" w:eastAsia="宋体" w:cs="宋体"/>
          <w:sz w:val="32"/>
          <w:szCs w:val="32"/>
          <w:lang w:val="zh-CN"/>
        </w:rPr>
        <w:t>供应商：</w:t>
      </w:r>
      <w:r>
        <w:rPr>
          <w:rFonts w:hint="eastAsia" w:ascii="宋体" w:hAnsi="宋体" w:eastAsia="宋体" w:cs="宋体"/>
          <w:sz w:val="32"/>
          <w:szCs w:val="32"/>
          <w:u w:val="single"/>
          <w:lang w:val="zh-CN"/>
        </w:rPr>
        <w:t>（单位名称及公章）</w:t>
      </w:r>
      <w:r>
        <w:rPr>
          <w:rFonts w:hint="eastAsia" w:ascii="宋体" w:hAnsi="宋体" w:eastAsia="宋体" w:cs="宋体"/>
          <w:sz w:val="32"/>
          <w:szCs w:val="32"/>
          <w:lang w:val="zh-CN"/>
        </w:rPr>
        <w:t>____________</w:t>
      </w:r>
    </w:p>
    <w:p>
      <w:pPr>
        <w:snapToGrid w:val="0"/>
        <w:spacing w:line="480" w:lineRule="auto"/>
        <w:ind w:firstLine="640" w:firstLineChars="200"/>
        <w:jc w:val="left"/>
        <w:rPr>
          <w:rFonts w:ascii="宋体" w:hAnsi="宋体" w:eastAsia="宋体" w:cs="宋体"/>
          <w:sz w:val="32"/>
          <w:szCs w:val="32"/>
          <w:lang w:val="zh-CN"/>
        </w:rPr>
      </w:pPr>
      <w:r>
        <w:rPr>
          <w:rFonts w:hint="eastAsia" w:ascii="宋体" w:hAnsi="宋体" w:eastAsia="宋体" w:cs="宋体"/>
          <w:sz w:val="32"/>
          <w:szCs w:val="32"/>
          <w:lang w:val="zh-CN"/>
        </w:rPr>
        <w:t>法定代表人/被授权人（签字）：______________</w:t>
      </w:r>
    </w:p>
    <w:p>
      <w:pPr>
        <w:snapToGrid w:val="0"/>
        <w:spacing w:line="480" w:lineRule="auto"/>
        <w:ind w:firstLine="640" w:firstLineChars="200"/>
        <w:jc w:val="left"/>
        <w:rPr>
          <w:rFonts w:ascii="宋体" w:hAnsi="宋体" w:eastAsia="宋体" w:cs="宋体"/>
          <w:sz w:val="36"/>
          <w:szCs w:val="36"/>
          <w:u w:val="single"/>
        </w:rPr>
      </w:pPr>
      <w:r>
        <w:rPr>
          <w:rFonts w:hint="eastAsia" w:ascii="宋体" w:hAnsi="宋体" w:eastAsia="宋体" w:cs="宋体"/>
          <w:sz w:val="32"/>
          <w:szCs w:val="32"/>
        </w:rPr>
        <w:t>日  期</w:t>
      </w:r>
      <w:r>
        <w:rPr>
          <w:rFonts w:hint="eastAsia" w:ascii="宋体" w:hAnsi="宋体" w:eastAsia="宋体" w:cs="宋体"/>
          <w:sz w:val="32"/>
          <w:szCs w:val="32"/>
          <w:lang w:val="zh-CN"/>
        </w:rPr>
        <w:t>：____________________________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12"/>
        <w:snapToGrid w:val="0"/>
        <w:spacing w:line="480" w:lineRule="auto"/>
        <w:ind w:firstLine="562" w:firstLineChars="200"/>
        <w:jc w:val="left"/>
        <w:rPr>
          <w:rFonts w:hAnsi="宋体" w:eastAsia="宋体" w:cs="宋体"/>
          <w:b/>
          <w:bCs/>
          <w:sz w:val="28"/>
          <w:szCs w:val="28"/>
        </w:rPr>
      </w:pPr>
      <w:r>
        <w:rPr>
          <w:rFonts w:hint="eastAsia" w:hAnsi="宋体" w:eastAsia="宋体" w:cs="宋体"/>
          <w:b/>
          <w:bCs/>
          <w:sz w:val="28"/>
          <w:szCs w:val="28"/>
        </w:rPr>
        <w:t>第一</w:t>
      </w:r>
      <w:r>
        <w:rPr>
          <w:rFonts w:hint="eastAsia" w:hAnsi="宋体" w:eastAsia="宋体" w:cs="宋体"/>
          <w:b/>
          <w:bCs/>
          <w:sz w:val="28"/>
          <w:szCs w:val="28"/>
          <w:lang w:eastAsia="zh-CN"/>
        </w:rPr>
        <w:t>章</w:t>
      </w:r>
      <w:r>
        <w:rPr>
          <w:rFonts w:hint="eastAsia" w:hAnsi="宋体" w:eastAsia="宋体" w:cs="宋体"/>
          <w:b/>
          <w:bCs/>
          <w:sz w:val="28"/>
          <w:szCs w:val="28"/>
        </w:rPr>
        <w:t xml:space="preserve">   响应函</w:t>
      </w:r>
    </w:p>
    <w:p>
      <w:pPr>
        <w:snapToGrid w:val="0"/>
        <w:spacing w:line="480" w:lineRule="auto"/>
        <w:ind w:firstLine="562" w:firstLineChars="200"/>
        <w:jc w:val="left"/>
        <w:rPr>
          <w:rFonts w:ascii="宋体" w:hAnsi="宋体" w:eastAsia="宋体" w:cs="宋体"/>
          <w:b/>
          <w:sz w:val="28"/>
          <w:szCs w:val="28"/>
        </w:rPr>
      </w:pPr>
      <w:r>
        <w:rPr>
          <w:rFonts w:hint="eastAsia" w:ascii="宋体" w:hAnsi="宋体" w:eastAsia="宋体" w:cs="宋体"/>
          <w:b/>
          <w:sz w:val="28"/>
          <w:szCs w:val="28"/>
        </w:rPr>
        <w:t>第二</w:t>
      </w:r>
      <w:r>
        <w:rPr>
          <w:rFonts w:hint="eastAsia" w:ascii="宋体" w:hAnsi="宋体" w:eastAsia="宋体" w:cs="宋体"/>
          <w:b/>
          <w:sz w:val="28"/>
          <w:szCs w:val="28"/>
          <w:lang w:eastAsia="zh-CN"/>
        </w:rPr>
        <w:t>章</w:t>
      </w:r>
      <w:r>
        <w:rPr>
          <w:rFonts w:hint="eastAsia" w:ascii="宋体" w:hAnsi="宋体" w:eastAsia="宋体" w:cs="宋体"/>
          <w:b/>
          <w:sz w:val="28"/>
          <w:szCs w:val="28"/>
        </w:rPr>
        <w:t xml:space="preserve">   响应一览表 </w:t>
      </w:r>
    </w:p>
    <w:p>
      <w:pPr>
        <w:pStyle w:val="12"/>
        <w:snapToGrid w:val="0"/>
        <w:spacing w:line="480" w:lineRule="auto"/>
        <w:ind w:firstLine="562" w:firstLineChars="200"/>
        <w:jc w:val="left"/>
        <w:rPr>
          <w:rFonts w:hint="eastAsia" w:hAnsi="宋体" w:eastAsia="宋体" w:cs="宋体"/>
          <w:b/>
          <w:bCs/>
          <w:sz w:val="28"/>
          <w:szCs w:val="28"/>
          <w:lang w:eastAsia="zh-CN"/>
        </w:rPr>
      </w:pPr>
      <w:r>
        <w:rPr>
          <w:rFonts w:hint="eastAsia" w:hAnsi="宋体" w:eastAsia="宋体" w:cs="宋体"/>
          <w:b/>
          <w:sz w:val="28"/>
          <w:szCs w:val="28"/>
          <w:lang w:eastAsia="zh-CN"/>
        </w:rPr>
        <w:t>第三章</w:t>
      </w:r>
      <w:r>
        <w:rPr>
          <w:rFonts w:hint="eastAsia" w:hAnsi="宋体" w:eastAsia="宋体" w:cs="宋体"/>
          <w:b/>
          <w:sz w:val="28"/>
          <w:szCs w:val="28"/>
          <w:lang w:val="en-US" w:eastAsia="zh-CN"/>
        </w:rPr>
        <w:t xml:space="preserve">   </w:t>
      </w:r>
      <w:r>
        <w:rPr>
          <w:rFonts w:hint="eastAsia" w:hAnsi="宋体" w:eastAsia="宋体" w:cs="宋体"/>
          <w:b/>
          <w:sz w:val="28"/>
          <w:szCs w:val="28"/>
        </w:rPr>
        <w:t>分项报价表</w:t>
      </w:r>
    </w:p>
    <w:p>
      <w:pPr>
        <w:pStyle w:val="12"/>
        <w:snapToGrid w:val="0"/>
        <w:spacing w:line="480" w:lineRule="auto"/>
        <w:ind w:firstLine="562" w:firstLineChars="200"/>
        <w:jc w:val="left"/>
        <w:rPr>
          <w:rFonts w:hAnsi="宋体" w:eastAsia="宋体" w:cs="宋体"/>
          <w:b/>
          <w:kern w:val="0"/>
          <w:sz w:val="28"/>
          <w:szCs w:val="28"/>
        </w:rPr>
      </w:pPr>
      <w:r>
        <w:rPr>
          <w:rFonts w:hint="eastAsia" w:hAnsi="宋体" w:eastAsia="宋体" w:cs="宋体"/>
          <w:b/>
          <w:bCs/>
          <w:sz w:val="28"/>
          <w:szCs w:val="28"/>
        </w:rPr>
        <w:t>第</w:t>
      </w:r>
      <w:r>
        <w:rPr>
          <w:rFonts w:hint="eastAsia" w:hAnsi="宋体" w:eastAsia="宋体" w:cs="宋体"/>
          <w:b/>
          <w:bCs/>
          <w:sz w:val="28"/>
          <w:szCs w:val="28"/>
          <w:lang w:eastAsia="zh-CN"/>
        </w:rPr>
        <w:t>四章</w:t>
      </w:r>
      <w:r>
        <w:rPr>
          <w:rFonts w:hint="eastAsia" w:hAnsi="宋体" w:eastAsia="宋体" w:cs="宋体"/>
          <w:b/>
          <w:bCs/>
          <w:sz w:val="28"/>
          <w:szCs w:val="28"/>
          <w:lang w:val="en-US" w:eastAsia="zh-CN"/>
        </w:rPr>
        <w:t xml:space="preserve">   </w:t>
      </w:r>
      <w:r>
        <w:rPr>
          <w:rFonts w:hint="eastAsia" w:hAnsi="宋体" w:eastAsia="宋体" w:cs="宋体"/>
          <w:b/>
          <w:kern w:val="0"/>
          <w:sz w:val="28"/>
          <w:szCs w:val="28"/>
          <w:lang w:eastAsia="zh-CN"/>
        </w:rPr>
        <w:t>供应商资格要求</w:t>
      </w:r>
    </w:p>
    <w:p>
      <w:pPr>
        <w:pStyle w:val="12"/>
        <w:snapToGrid w:val="0"/>
        <w:spacing w:line="480" w:lineRule="auto"/>
        <w:ind w:firstLine="562" w:firstLineChars="200"/>
        <w:jc w:val="left"/>
        <w:rPr>
          <w:rFonts w:hint="eastAsia" w:hAnsi="宋体" w:eastAsia="宋体" w:cs="宋体"/>
          <w:b/>
          <w:bCs/>
          <w:sz w:val="28"/>
          <w:szCs w:val="28"/>
          <w:lang w:eastAsia="zh-CN"/>
        </w:rPr>
      </w:pPr>
      <w:r>
        <w:rPr>
          <w:rFonts w:hint="eastAsia" w:hAnsi="宋体" w:eastAsia="宋体" w:cs="宋体"/>
          <w:b/>
          <w:bCs/>
          <w:sz w:val="28"/>
          <w:szCs w:val="28"/>
        </w:rPr>
        <w:t>第</w:t>
      </w:r>
      <w:r>
        <w:rPr>
          <w:rFonts w:hint="eastAsia" w:hAnsi="宋体" w:eastAsia="宋体" w:cs="宋体"/>
          <w:b/>
          <w:bCs/>
          <w:sz w:val="28"/>
          <w:szCs w:val="28"/>
          <w:lang w:eastAsia="zh-CN"/>
        </w:rPr>
        <w:t>五章</w:t>
      </w:r>
      <w:r>
        <w:rPr>
          <w:rFonts w:hint="eastAsia" w:hAnsi="宋体" w:eastAsia="宋体" w:cs="宋体"/>
          <w:b/>
          <w:bCs/>
          <w:sz w:val="28"/>
          <w:szCs w:val="28"/>
        </w:rPr>
        <w:t xml:space="preserve">   </w:t>
      </w:r>
      <w:r>
        <w:rPr>
          <w:rFonts w:hint="eastAsia" w:hAnsi="宋体" w:eastAsia="宋体" w:cs="宋体"/>
          <w:b/>
          <w:bCs/>
          <w:sz w:val="28"/>
          <w:szCs w:val="28"/>
          <w:lang w:eastAsia="zh-CN"/>
        </w:rPr>
        <w:t>商务和技术响应偏差表</w:t>
      </w:r>
    </w:p>
    <w:p>
      <w:pPr>
        <w:pStyle w:val="12"/>
        <w:snapToGrid w:val="0"/>
        <w:spacing w:line="480" w:lineRule="auto"/>
        <w:ind w:firstLine="562" w:firstLineChars="200"/>
        <w:jc w:val="left"/>
        <w:rPr>
          <w:rFonts w:hint="eastAsia" w:hAnsi="宋体" w:eastAsia="宋体" w:cs="宋体"/>
          <w:b/>
          <w:sz w:val="28"/>
          <w:szCs w:val="28"/>
          <w:lang w:eastAsia="zh-CN"/>
        </w:rPr>
      </w:pPr>
      <w:r>
        <w:rPr>
          <w:rFonts w:hint="eastAsia" w:hAnsi="宋体" w:eastAsia="宋体" w:cs="宋体"/>
          <w:b/>
          <w:sz w:val="28"/>
          <w:szCs w:val="28"/>
        </w:rPr>
        <w:t>第</w:t>
      </w:r>
      <w:r>
        <w:rPr>
          <w:rFonts w:hint="eastAsia" w:hAnsi="宋体" w:eastAsia="宋体" w:cs="宋体"/>
          <w:b/>
          <w:sz w:val="28"/>
          <w:szCs w:val="28"/>
          <w:lang w:eastAsia="zh-CN"/>
        </w:rPr>
        <w:t>六章</w:t>
      </w:r>
      <w:r>
        <w:rPr>
          <w:rFonts w:hint="eastAsia" w:hAnsi="宋体" w:eastAsia="宋体" w:cs="宋体"/>
          <w:b/>
          <w:sz w:val="28"/>
          <w:szCs w:val="28"/>
        </w:rPr>
        <w:t xml:space="preserve">   </w:t>
      </w:r>
      <w:r>
        <w:rPr>
          <w:rFonts w:hint="eastAsia" w:hAnsi="宋体" w:eastAsia="宋体" w:cs="宋体"/>
          <w:b/>
          <w:sz w:val="28"/>
          <w:szCs w:val="28"/>
          <w:lang w:eastAsia="zh-CN"/>
        </w:rPr>
        <w:t>技术支持资料</w:t>
      </w:r>
    </w:p>
    <w:p>
      <w:pPr>
        <w:snapToGrid w:val="0"/>
        <w:spacing w:line="480" w:lineRule="auto"/>
        <w:ind w:firstLine="562" w:firstLineChars="200"/>
        <w:jc w:val="left"/>
        <w:rPr>
          <w:rFonts w:hint="eastAsia" w:ascii="宋体" w:hAnsi="宋体" w:eastAsia="宋体" w:cs="宋体"/>
          <w:b/>
          <w:bCs/>
          <w:sz w:val="28"/>
          <w:szCs w:val="28"/>
          <w:lang w:eastAsia="zh-CN"/>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七章</w:t>
      </w:r>
      <w:r>
        <w:rPr>
          <w:rFonts w:hint="eastAsia" w:ascii="宋体" w:hAnsi="宋体" w:eastAsia="宋体" w:cs="宋体"/>
          <w:b/>
          <w:bCs/>
          <w:sz w:val="28"/>
          <w:szCs w:val="28"/>
        </w:rPr>
        <w:t xml:space="preserve">   </w:t>
      </w:r>
      <w:r>
        <w:rPr>
          <w:rFonts w:hint="eastAsia" w:ascii="宋体" w:hAnsi="宋体" w:eastAsia="宋体" w:cs="宋体"/>
          <w:b/>
          <w:bCs/>
          <w:sz w:val="28"/>
          <w:szCs w:val="28"/>
          <w:lang w:eastAsia="zh-CN"/>
        </w:rPr>
        <w:t>供应商业绩一览表</w:t>
      </w:r>
    </w:p>
    <w:p>
      <w:pPr>
        <w:snapToGrid w:val="0"/>
        <w:spacing w:line="48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八章</w:t>
      </w:r>
      <w:r>
        <w:rPr>
          <w:rFonts w:hint="eastAsia" w:ascii="宋体" w:hAnsi="宋体" w:eastAsia="宋体" w:cs="宋体"/>
          <w:b/>
          <w:bCs/>
          <w:sz w:val="28"/>
          <w:szCs w:val="28"/>
        </w:rPr>
        <w:t xml:space="preserve">   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九章</w:t>
      </w:r>
      <w:r>
        <w:rPr>
          <w:rFonts w:hint="eastAsia" w:ascii="宋体" w:hAnsi="宋体" w:eastAsia="宋体" w:cs="宋体"/>
          <w:b/>
          <w:bCs/>
          <w:sz w:val="28"/>
          <w:szCs w:val="28"/>
        </w:rPr>
        <w:t xml:space="preserve">   供应商承诺书</w:t>
      </w:r>
    </w:p>
    <w:p>
      <w:pPr>
        <w:pStyle w:val="3"/>
        <w:pageBreakBefore/>
        <w:rPr>
          <w:rFonts w:ascii="宋体" w:hAnsi="宋体" w:cs="宋体"/>
        </w:rPr>
      </w:pPr>
      <w:bookmarkStart w:id="74" w:name="_Toc2536"/>
      <w:bookmarkStart w:id="75" w:name="_Toc6059"/>
      <w:r>
        <w:rPr>
          <w:rFonts w:hint="eastAsia" w:ascii="宋体" w:hAnsi="宋体" w:cs="宋体"/>
        </w:rPr>
        <w:t>第一</w:t>
      </w:r>
      <w:r>
        <w:rPr>
          <w:rFonts w:hint="eastAsia" w:ascii="宋体" w:hAnsi="宋体" w:cs="宋体"/>
          <w:lang w:eastAsia="zh-CN"/>
        </w:rPr>
        <w:t>章</w:t>
      </w:r>
      <w:r>
        <w:rPr>
          <w:rFonts w:hint="eastAsia" w:ascii="宋体" w:hAnsi="宋体" w:cs="宋体"/>
        </w:rPr>
        <w:t xml:space="preserve"> 响应函</w:t>
      </w:r>
      <w:bookmarkEnd w:id="74"/>
      <w:bookmarkEnd w:id="75"/>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陕西万泽招标有限公司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SXWZ2023ZB-CAYY-322A</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2、按照竞争性谈判文件的规定，完成总体供货和服务</w:t>
      </w:r>
      <w:r>
        <w:rPr>
          <w:rFonts w:hint="eastAsia" w:asciiTheme="minorEastAsia" w:hAnsiTheme="minorEastAsia" w:cstheme="minorEastAsia"/>
          <w:sz w:val="24"/>
          <w:szCs w:val="24"/>
        </w:rPr>
        <w:t>总报价</w:t>
      </w:r>
      <w:r>
        <w:rPr>
          <w:rFonts w:hint="eastAsia" w:asciiTheme="minorEastAsia" w:hAnsiTheme="minorEastAsia" w:cstheme="minorEastAsia"/>
          <w:sz w:val="24"/>
          <w:szCs w:val="24"/>
          <w:lang w:eastAsia="zh-CN"/>
        </w:rPr>
        <w:t>为</w:t>
      </w:r>
      <w:r>
        <w:rPr>
          <w:rFonts w:hint="eastAsia" w:ascii="宋体" w:hAnsi="宋体" w:eastAsia="宋体" w:cs="宋体"/>
          <w:sz w:val="24"/>
        </w:rPr>
        <w:t>：</w:t>
      </w:r>
    </w:p>
    <w:p>
      <w:pPr>
        <w:adjustRightInd w:val="0"/>
        <w:snapToGrid w:val="0"/>
        <w:spacing w:line="360" w:lineRule="auto"/>
        <w:ind w:left="210" w:leftChars="100" w:firstLine="240" w:firstLineChars="100"/>
        <w:rPr>
          <w:rFonts w:ascii="宋体" w:hAnsi="宋体" w:eastAsia="宋体" w:cs="宋体"/>
          <w:sz w:val="24"/>
        </w:rPr>
      </w:pPr>
      <w:r>
        <w:rPr>
          <w:rFonts w:hint="eastAsia" w:ascii="宋体" w:hAnsi="宋体" w:eastAsia="宋体" w:cs="宋体"/>
          <w:sz w:val="24"/>
        </w:rPr>
        <w:t>人民币（大写）：__________；（小写）￥：__________元。</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3、我方提交的谈判响应文件正本壹份、副本叁份，电子文档壹份、</w:t>
      </w:r>
      <w:r>
        <w:rPr>
          <w:rFonts w:hint="eastAsia" w:ascii="宋体" w:hAnsi="宋体" w:eastAsia="宋体" w:cs="宋体"/>
          <w:sz w:val="24"/>
          <w:szCs w:val="24"/>
        </w:rPr>
        <w:t>响应一览表壹份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、我方承诺谈判有效期为谈判之日起</w:t>
      </w:r>
      <w:r>
        <w:rPr>
          <w:rFonts w:hint="eastAsia" w:ascii="宋体" w:hAnsi="宋体" w:eastAsia="宋体" w:cs="宋体"/>
        </w:rPr>
        <w:t>_</w:t>
      </w:r>
      <w:r>
        <w:rPr>
          <w:rFonts w:hint="eastAsia" w:ascii="宋体" w:hAnsi="宋体" w:eastAsia="宋体" w:cs="宋体"/>
          <w:u w:val="single"/>
          <w:lang w:val="en-US" w:eastAsia="zh-CN"/>
        </w:rPr>
        <w:t>90</w:t>
      </w:r>
      <w:r>
        <w:rPr>
          <w:rFonts w:hint="eastAsia" w:ascii="宋体" w:hAnsi="宋体" w:eastAsia="宋体" w:cs="宋体"/>
        </w:rPr>
        <w:t>_</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法定代表人/被授权人（签字）：______________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rPr>
          <w:rFonts w:hint="eastAsia" w:ascii="宋体" w:hAnsi="宋体" w:cs="宋体"/>
        </w:rPr>
      </w:pPr>
      <w:bookmarkStart w:id="76" w:name="_Toc28494"/>
      <w:r>
        <w:rPr>
          <w:rFonts w:hint="eastAsia" w:ascii="宋体" w:hAnsi="宋体" w:cs="宋体"/>
        </w:rPr>
        <w:br w:type="page"/>
      </w:r>
    </w:p>
    <w:p>
      <w:pPr>
        <w:pStyle w:val="3"/>
        <w:rPr>
          <w:rFonts w:ascii="宋体" w:hAnsi="宋体" w:cs="宋体"/>
        </w:rPr>
      </w:pPr>
      <w:bookmarkStart w:id="77" w:name="_Toc30334"/>
      <w:r>
        <w:rPr>
          <w:rFonts w:hint="eastAsia" w:ascii="宋体" w:hAnsi="宋体" w:cs="宋体"/>
        </w:rPr>
        <w:t>第二</w:t>
      </w:r>
      <w:bookmarkEnd w:id="76"/>
      <w:r>
        <w:rPr>
          <w:rFonts w:hint="eastAsia" w:ascii="宋体" w:hAnsi="宋体" w:cs="宋体"/>
          <w:lang w:eastAsia="zh-CN"/>
        </w:rPr>
        <w:t>章</w:t>
      </w:r>
      <w:r>
        <w:rPr>
          <w:rFonts w:hint="eastAsia" w:ascii="宋体" w:hAnsi="宋体" w:cs="宋体"/>
        </w:rPr>
        <w:t xml:space="preserve"> 响应一览表</w:t>
      </w:r>
      <w:bookmarkEnd w:id="77"/>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西安市长安区医院医疗设备采购项目（二次）</w:t>
      </w:r>
    </w:p>
    <w:p>
      <w:pPr>
        <w:bidi w:val="0"/>
        <w:spacing w:line="360" w:lineRule="auto"/>
        <w:rPr>
          <w:rFonts w:hint="eastAsia"/>
          <w:sz w:val="24"/>
          <w:szCs w:val="24"/>
          <w:lang w:eastAsia="zh-CN"/>
        </w:rPr>
      </w:pPr>
      <w:r>
        <w:rPr>
          <w:rFonts w:hint="eastAsia"/>
          <w:sz w:val="24"/>
          <w:szCs w:val="24"/>
          <w:lang w:eastAsia="zh-CN"/>
        </w:rPr>
        <w:t>项目编号：</w:t>
      </w:r>
    </w:p>
    <w:p>
      <w:pPr>
        <w:kinsoku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0"/>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34"/>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326" w:type="dxa"/>
            <w:tcBorders>
              <w:tl2br w:val="single" w:color="auto" w:sz="4" w:space="0"/>
            </w:tcBorders>
          </w:tcPr>
          <w:p>
            <w:pPr>
              <w:kinsoku w:val="0"/>
              <w:spacing w:line="480" w:lineRule="auto"/>
              <w:ind w:firstLine="1050" w:firstLineChars="5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报价内容</w:t>
            </w:r>
          </w:p>
          <w:p>
            <w:pPr>
              <w:kinsoku w:val="0"/>
              <w:spacing w:line="480" w:lineRule="auto"/>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响应内容</w:t>
            </w:r>
          </w:p>
        </w:tc>
        <w:tc>
          <w:tcPr>
            <w:tcW w:w="2334" w:type="dxa"/>
            <w:vAlign w:val="center"/>
          </w:tcPr>
          <w:p>
            <w:pPr>
              <w:kinsoku w:val="0"/>
              <w:spacing w:line="480" w:lineRule="auto"/>
              <w:jc w:val="center"/>
              <w:rPr>
                <w:rFonts w:hint="eastAsia" w:ascii="宋体" w:eastAsia="宋体" w:cs="宋体"/>
                <w:color w:val="000000" w:themeColor="text1"/>
                <w:szCs w:val="21"/>
                <w:lang w:eastAsia="zh-CN"/>
                <w14:textFill>
                  <w14:solidFill>
                    <w14:schemeClr w14:val="tx1"/>
                  </w14:solidFill>
                </w14:textFill>
              </w:rPr>
            </w:pPr>
            <w:r>
              <w:rPr>
                <w:rFonts w:hint="eastAsia" w:ascii="宋体" w:hAnsi="宋体" w:cs="宋体"/>
                <w:szCs w:val="21"/>
                <w:lang w:eastAsia="zh-CN"/>
              </w:rPr>
              <w:t>总报价</w:t>
            </w:r>
            <w:r>
              <w:rPr>
                <w:rFonts w:hint="eastAsia" w:ascii="宋体" w:hAnsi="宋体" w:cs="宋体"/>
                <w:szCs w:val="21"/>
              </w:rPr>
              <w:t>（元）</w:t>
            </w:r>
          </w:p>
        </w:tc>
        <w:tc>
          <w:tcPr>
            <w:tcW w:w="1919" w:type="dxa"/>
            <w:vAlign w:val="center"/>
          </w:tcPr>
          <w:p>
            <w:pPr>
              <w:kinsoku w:val="0"/>
              <w:spacing w:line="480" w:lineRule="auto"/>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szCs w:val="21"/>
              </w:rPr>
              <w:t>交货期</w:t>
            </w:r>
          </w:p>
        </w:tc>
        <w:tc>
          <w:tcPr>
            <w:tcW w:w="1919" w:type="dxa"/>
            <w:vAlign w:val="center"/>
          </w:tcPr>
          <w:p>
            <w:pPr>
              <w:kinsoku w:val="0"/>
              <w:spacing w:line="480" w:lineRule="auto"/>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szCs w:val="21"/>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2326" w:type="dxa"/>
            <w:vAlign w:val="center"/>
          </w:tcPr>
          <w:p>
            <w:pPr>
              <w:pStyle w:val="6"/>
              <w:ind w:firstLine="0"/>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西安市长安区医院医疗设备采购项目（二次）</w:t>
            </w:r>
          </w:p>
        </w:tc>
        <w:tc>
          <w:tcPr>
            <w:tcW w:w="2334" w:type="dxa"/>
            <w:vAlign w:val="center"/>
          </w:tcPr>
          <w:p>
            <w:pPr>
              <w:kinsoku w:val="0"/>
              <w:spacing w:line="480" w:lineRule="auto"/>
              <w:jc w:val="left"/>
              <w:rPr>
                <w:rFonts w:hint="eastAsia" w:ascii="宋体" w:cs="宋体" w:eastAsiaTheme="minorEastAsia"/>
                <w:color w:val="000000" w:themeColor="text1"/>
                <w:szCs w:val="21"/>
                <w:lang w:eastAsia="zh-CN"/>
                <w14:textFill>
                  <w14:solidFill>
                    <w14:schemeClr w14:val="tx1"/>
                  </w14:solidFill>
                </w14:textFill>
              </w:rPr>
            </w:pPr>
          </w:p>
        </w:tc>
        <w:tc>
          <w:tcPr>
            <w:tcW w:w="1919" w:type="dxa"/>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p>
        </w:tc>
        <w:tc>
          <w:tcPr>
            <w:tcW w:w="1919" w:type="dxa"/>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98" w:type="dxa"/>
            <w:gridSpan w:val="4"/>
            <w:vAlign w:val="center"/>
          </w:tcPr>
          <w:p>
            <w:pPr>
              <w:kinsoku w:val="0"/>
              <w:spacing w:line="48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总报价：人民币（大写）</w:t>
            </w:r>
            <w:r>
              <w:rPr>
                <w:rFonts w:hint="eastAsia" w:cstheme="minorBidi"/>
                <w:color w:val="000000" w:themeColor="text1"/>
                <w:kern w:val="2"/>
                <w:sz w:val="21"/>
                <w:szCs w:val="22"/>
                <w:lang w:val="en-US" w:eastAsia="zh-CN" w:bidi="ar-SA"/>
                <w14:textFill>
                  <w14:solidFill>
                    <w14:schemeClr w14:val="tx1"/>
                  </w14:solidFill>
                </w14:textFill>
              </w:rPr>
              <w:t xml:space="preserve">     ，</w:t>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 xml:space="preserve">（小写）￥ </w:t>
            </w:r>
            <w:r>
              <w:rPr>
                <w:rFonts w:hint="eastAsia" w:cstheme="minorBidi"/>
                <w:color w:val="000000" w:themeColor="text1"/>
                <w:kern w:val="2"/>
                <w:sz w:val="21"/>
                <w:szCs w:val="22"/>
                <w:lang w:val="en-US" w:eastAsia="zh-CN" w:bidi="ar-SA"/>
                <w14:textFill>
                  <w14:solidFill>
                    <w14:schemeClr w14:val="tx1"/>
                  </w14:solidFill>
                </w14:textFill>
              </w:rPr>
              <w:t xml:space="preserve"> </w:t>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498" w:type="dxa"/>
            <w:gridSpan w:val="4"/>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表内报价内容以元为单位，精确到小数点后两位；</w:t>
            </w:r>
          </w:p>
          <w:p>
            <w:pPr>
              <w:kinsoku w:val="0"/>
              <w:spacing w:line="480" w:lineRule="auto"/>
              <w:ind w:firstLine="1050" w:firstLineChars="5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szCs w:val="21"/>
              </w:rPr>
              <w:t>交货期</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eastAsia="zh-CN"/>
                <w14:textFill>
                  <w14:solidFill>
                    <w14:schemeClr w14:val="tx1"/>
                  </w14:solidFill>
                </w14:textFill>
              </w:rPr>
              <w:t>质保期</w:t>
            </w:r>
            <w:r>
              <w:rPr>
                <w:rFonts w:hint="eastAsia" w:ascii="宋体" w:hAnsi="宋体" w:cs="宋体"/>
                <w:color w:val="000000" w:themeColor="text1"/>
                <w:szCs w:val="21"/>
                <w14:textFill>
                  <w14:solidFill>
                    <w14:schemeClr w14:val="tx1"/>
                  </w14:solidFill>
                </w14:textFill>
              </w:rPr>
              <w:t>见第五部分采购要求。</w:t>
            </w:r>
          </w:p>
        </w:tc>
      </w:tr>
    </w:tbl>
    <w:p>
      <w:pPr>
        <w:widowControl/>
        <w:tabs>
          <w:tab w:val="left" w:pos="4000"/>
        </w:tabs>
        <w:snapToGrid w:val="0"/>
        <w:spacing w:line="300" w:lineRule="auto"/>
        <w:jc w:val="left"/>
        <w:rPr>
          <w:rFonts w:hint="eastAsia"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法定代表人/被授权人（签字）：______________________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pStyle w:val="12"/>
        <w:spacing w:line="480" w:lineRule="auto"/>
        <w:ind w:firstLine="643" w:firstLineChars="200"/>
        <w:jc w:val="center"/>
        <w:rPr>
          <w:rFonts w:hAnsi="宋体" w:eastAsia="宋体" w:cs="宋体"/>
          <w:b/>
          <w:sz w:val="32"/>
        </w:rPr>
      </w:pPr>
      <w:r>
        <w:rPr>
          <w:rFonts w:hint="eastAsia" w:hAnsi="宋体" w:eastAsia="宋体" w:cs="宋体"/>
          <w:b/>
          <w:sz w:val="32"/>
        </w:rPr>
        <w:br w:type="page"/>
      </w:r>
    </w:p>
    <w:p>
      <w:pPr>
        <w:pStyle w:val="3"/>
        <w:bidi w:val="0"/>
      </w:pPr>
      <w:bookmarkStart w:id="78" w:name="_Toc19366"/>
      <w:r>
        <w:rPr>
          <w:rFonts w:hint="eastAsia"/>
          <w:lang w:eastAsia="zh-CN"/>
        </w:rPr>
        <w:t>第三章</w:t>
      </w:r>
      <w:r>
        <w:rPr>
          <w:rFonts w:hint="eastAsia"/>
          <w:lang w:val="en-US" w:eastAsia="zh-CN"/>
        </w:rPr>
        <w:t xml:space="preserve"> </w:t>
      </w:r>
      <w:r>
        <w:rPr>
          <w:rFonts w:hint="eastAsia"/>
        </w:rPr>
        <w:t>分项报价表</w:t>
      </w:r>
      <w:bookmarkEnd w:id="78"/>
    </w:p>
    <w:p>
      <w:pPr>
        <w:widowControl/>
        <w:wordWrap w:val="0"/>
        <w:spacing w:line="360" w:lineRule="auto"/>
        <w:jc w:val="left"/>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西安市长安区医院医疗设备采购项目（二次）</w:t>
      </w:r>
    </w:p>
    <w:p>
      <w:pPr>
        <w:bidi w:val="0"/>
        <w:spacing w:line="360" w:lineRule="auto"/>
        <w:rPr>
          <w:rFonts w:hint="eastAsia" w:asci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lang w:eastAsia="zh-CN"/>
          <w14:textFill>
            <w14:solidFill>
              <w14:schemeClr w14:val="tx1"/>
            </w14:solidFill>
          </w14:textFill>
        </w:rPr>
        <w:t>SXWZ2023ZB-CAYY-322A</w:t>
      </w:r>
    </w:p>
    <w:p>
      <w:pPr>
        <w:widowControl/>
        <w:wordWrap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共</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页，第</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bl>
      <w:tblPr>
        <w:tblStyle w:val="20"/>
        <w:tblpPr w:leftFromText="180" w:rightFromText="180" w:vertAnchor="text" w:horzAnchor="page" w:tblpX="1453" w:tblpY="19"/>
        <w:tblOverlap w:val="never"/>
        <w:tblW w:w="9336" w:type="dxa"/>
        <w:tblInd w:w="0" w:type="dxa"/>
        <w:tblLayout w:type="fixed"/>
        <w:tblCellMar>
          <w:top w:w="0" w:type="dxa"/>
          <w:left w:w="28" w:type="dxa"/>
          <w:bottom w:w="0" w:type="dxa"/>
          <w:right w:w="28" w:type="dxa"/>
        </w:tblCellMar>
      </w:tblPr>
      <w:tblGrid>
        <w:gridCol w:w="1093"/>
        <w:gridCol w:w="504"/>
        <w:gridCol w:w="752"/>
        <w:gridCol w:w="560"/>
        <w:gridCol w:w="1344"/>
        <w:gridCol w:w="1615"/>
        <w:gridCol w:w="966"/>
        <w:gridCol w:w="1251"/>
        <w:gridCol w:w="1251"/>
      </w:tblGrid>
      <w:tr>
        <w:tblPrEx>
          <w:tblCellMar>
            <w:top w:w="0" w:type="dxa"/>
            <w:left w:w="28" w:type="dxa"/>
            <w:bottom w:w="0" w:type="dxa"/>
            <w:right w:w="28" w:type="dxa"/>
          </w:tblCellMar>
        </w:tblPrEx>
        <w:trPr>
          <w:trHeight w:val="1053" w:hRule="atLeast"/>
        </w:trPr>
        <w:tc>
          <w:tcPr>
            <w:tcW w:w="1093" w:type="dxa"/>
            <w:vMerge w:val="restart"/>
            <w:tcBorders>
              <w:top w:val="single" w:color="auto" w:sz="6" w:space="0"/>
              <w:left w:val="single" w:color="auto" w:sz="6" w:space="0"/>
              <w:right w:val="single" w:color="auto" w:sz="4" w:space="0"/>
            </w:tcBorders>
            <w:vAlign w:val="center"/>
          </w:tcPr>
          <w:p>
            <w:pPr>
              <w:jc w:val="left"/>
              <w:rPr>
                <w:rFonts w:ascii="宋体" w:cs="宋体"/>
                <w:sz w:val="24"/>
                <w:szCs w:val="24"/>
              </w:rPr>
            </w:pPr>
            <w:r>
              <w:rPr>
                <w:rFonts w:hint="eastAsia" w:ascii="宋体" w:hAnsi="宋体" w:cs="宋体"/>
                <w:sz w:val="24"/>
                <w:szCs w:val="24"/>
              </w:rPr>
              <w:t>货物费用</w:t>
            </w:r>
          </w:p>
        </w:tc>
        <w:tc>
          <w:tcPr>
            <w:tcW w:w="504" w:type="dxa"/>
            <w:tcBorders>
              <w:top w:val="single" w:color="auto" w:sz="6" w:space="0"/>
              <w:left w:val="single" w:color="auto" w:sz="4" w:space="0"/>
              <w:bottom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序号</w:t>
            </w:r>
          </w:p>
        </w:tc>
        <w:tc>
          <w:tcPr>
            <w:tcW w:w="75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名称</w:t>
            </w:r>
          </w:p>
        </w:tc>
        <w:tc>
          <w:tcPr>
            <w:tcW w:w="560"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4"/>
                <w:szCs w:val="24"/>
              </w:rPr>
            </w:pPr>
            <w:r>
              <w:rPr>
                <w:rFonts w:hint="eastAsia" w:ascii="宋体" w:hAnsi="宋体" w:cs="宋体"/>
                <w:sz w:val="24"/>
                <w:szCs w:val="24"/>
              </w:rPr>
              <w:t>品牌</w:t>
            </w:r>
          </w:p>
        </w:tc>
        <w:tc>
          <w:tcPr>
            <w:tcW w:w="1344"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型号和规格</w:t>
            </w:r>
          </w:p>
        </w:tc>
        <w:tc>
          <w:tcPr>
            <w:tcW w:w="1615"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cs="宋体"/>
                <w:sz w:val="24"/>
                <w:szCs w:val="24"/>
              </w:rPr>
            </w:pPr>
            <w:r>
              <w:rPr>
                <w:rFonts w:hint="eastAsia" w:ascii="宋体" w:hAnsi="宋体" w:cs="宋体"/>
                <w:sz w:val="24"/>
                <w:szCs w:val="24"/>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数量</w:t>
            </w:r>
          </w:p>
        </w:tc>
        <w:tc>
          <w:tcPr>
            <w:tcW w:w="1251" w:type="dxa"/>
            <w:tcBorders>
              <w:top w:val="single" w:color="auto" w:sz="6" w:space="0"/>
              <w:left w:val="single" w:color="auto" w:sz="6" w:space="0"/>
              <w:bottom w:val="single" w:color="auto" w:sz="6" w:space="0"/>
              <w:right w:val="single" w:color="auto" w:sz="6" w:space="0"/>
            </w:tcBorders>
            <w:vAlign w:val="center"/>
          </w:tcPr>
          <w:p>
            <w:pPr>
              <w:spacing w:after="120"/>
              <w:rPr>
                <w:rFonts w:ascii="宋体" w:cs="宋体"/>
                <w:bCs/>
                <w:sz w:val="24"/>
                <w:szCs w:val="24"/>
              </w:rPr>
            </w:pPr>
            <w:r>
              <w:rPr>
                <w:rFonts w:hint="eastAsia" w:ascii="宋体" w:hAnsi="宋体" w:cs="宋体"/>
                <w:sz w:val="24"/>
                <w:szCs w:val="24"/>
              </w:rPr>
              <w:t>单价（元）</w:t>
            </w:r>
          </w:p>
        </w:tc>
        <w:tc>
          <w:tcPr>
            <w:tcW w:w="1251" w:type="dxa"/>
            <w:tcBorders>
              <w:top w:val="single" w:color="auto" w:sz="6" w:space="0"/>
              <w:left w:val="single" w:color="auto" w:sz="6" w:space="0"/>
              <w:bottom w:val="single" w:color="auto" w:sz="6" w:space="0"/>
              <w:right w:val="single" w:color="auto" w:sz="6" w:space="0"/>
            </w:tcBorders>
            <w:vAlign w:val="center"/>
          </w:tcPr>
          <w:p>
            <w:pPr>
              <w:spacing w:after="120"/>
              <w:rPr>
                <w:rFonts w:ascii="宋体" w:hAnsi="宋体" w:cs="宋体"/>
                <w:sz w:val="24"/>
                <w:szCs w:val="24"/>
              </w:rPr>
            </w:pPr>
            <w:r>
              <w:rPr>
                <w:rFonts w:hint="eastAsia" w:ascii="宋体" w:hAnsi="宋体" w:cs="宋体"/>
                <w:sz w:val="24"/>
                <w:szCs w:val="24"/>
              </w:rPr>
              <w:t>总价（元）</w:t>
            </w:r>
          </w:p>
        </w:tc>
      </w:tr>
      <w:tr>
        <w:tblPrEx>
          <w:tblCellMar>
            <w:top w:w="0" w:type="dxa"/>
            <w:left w:w="28" w:type="dxa"/>
            <w:bottom w:w="0" w:type="dxa"/>
            <w:right w:w="28" w:type="dxa"/>
          </w:tblCellMar>
        </w:tblPrEx>
        <w:trPr>
          <w:trHeight w:val="742"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6" w:space="0"/>
              <w:left w:val="single" w:color="auto" w:sz="4" w:space="0"/>
              <w:bottom w:val="single" w:color="auto" w:sz="4" w:space="0"/>
            </w:tcBorders>
            <w:vAlign w:val="center"/>
          </w:tcPr>
          <w:p>
            <w:pPr>
              <w:spacing w:beforeLines="100"/>
              <w:jc w:val="center"/>
              <w:rPr>
                <w:rFonts w:ascii="宋体" w:hAnsi="宋体" w:cs="宋体"/>
                <w:sz w:val="24"/>
                <w:szCs w:val="24"/>
              </w:rPr>
            </w:pPr>
            <w:r>
              <w:rPr>
                <w:rFonts w:ascii="宋体" w:hAnsi="宋体" w:cs="宋体"/>
                <w:sz w:val="24"/>
                <w:szCs w:val="24"/>
              </w:rPr>
              <w:t>1</w:t>
            </w:r>
          </w:p>
        </w:tc>
        <w:tc>
          <w:tcPr>
            <w:tcW w:w="75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731"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ascii="宋体" w:hAnsi="宋体" w:cs="宋体"/>
                <w:sz w:val="24"/>
                <w:szCs w:val="24"/>
              </w:rPr>
              <w:t>2</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742"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ascii="宋体" w:hAnsi="宋体" w:cs="宋体"/>
                <w:sz w:val="24"/>
                <w:szCs w:val="24"/>
              </w:rPr>
              <w:t>3</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1083"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cs="宋体"/>
                <w:sz w:val="24"/>
                <w:szCs w:val="24"/>
              </w:rPr>
            </w:pPr>
            <w:r>
              <w:rPr>
                <w:rFonts w:hint="eastAsia" w:ascii="宋体" w:hAnsi="宋体" w:cs="宋体"/>
                <w:sz w:val="24"/>
                <w:szCs w:val="24"/>
              </w:rPr>
              <w:t>……</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1083" w:hRule="atLeast"/>
        </w:trPr>
        <w:tc>
          <w:tcPr>
            <w:tcW w:w="109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cs="宋体"/>
                <w:b/>
                <w:sz w:val="24"/>
                <w:szCs w:val="24"/>
              </w:rPr>
            </w:pPr>
            <w:r>
              <w:rPr>
                <w:rFonts w:hint="eastAsia" w:ascii="宋体" w:hAnsi="宋体" w:cs="宋体"/>
                <w:sz w:val="24"/>
                <w:szCs w:val="24"/>
              </w:rPr>
              <w:t>……</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699" w:hRule="atLeast"/>
        </w:trPr>
        <w:tc>
          <w:tcPr>
            <w:tcW w:w="234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其他费用</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1251"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r>
      <w:tr>
        <w:tblPrEx>
          <w:tblCellMar>
            <w:top w:w="0" w:type="dxa"/>
            <w:left w:w="28" w:type="dxa"/>
            <w:bottom w:w="0" w:type="dxa"/>
            <w:right w:w="28" w:type="dxa"/>
          </w:tblCellMar>
        </w:tblPrEx>
        <w:trPr>
          <w:trHeight w:val="699" w:hRule="atLeast"/>
        </w:trPr>
        <w:tc>
          <w:tcPr>
            <w:tcW w:w="234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1251"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r>
      <w:tr>
        <w:tblPrEx>
          <w:tblCellMar>
            <w:top w:w="0" w:type="dxa"/>
            <w:left w:w="28" w:type="dxa"/>
            <w:bottom w:w="0" w:type="dxa"/>
            <w:right w:w="28" w:type="dxa"/>
          </w:tblCellMar>
        </w:tblPrEx>
        <w:trPr>
          <w:trHeight w:val="732" w:hRule="atLeast"/>
        </w:trPr>
        <w:tc>
          <w:tcPr>
            <w:tcW w:w="2349" w:type="dxa"/>
            <w:gridSpan w:val="3"/>
            <w:tcBorders>
              <w:top w:val="single" w:color="auto" w:sz="4" w:space="0"/>
              <w:left w:val="single" w:color="auto" w:sz="6" w:space="0"/>
              <w:bottom w:val="single" w:color="auto" w:sz="6" w:space="0"/>
            </w:tcBorders>
            <w:vAlign w:val="center"/>
          </w:tcPr>
          <w:p>
            <w:pPr>
              <w:jc w:val="center"/>
              <w:rPr>
                <w:rFonts w:ascii="宋体" w:cs="宋体"/>
                <w:sz w:val="24"/>
                <w:szCs w:val="24"/>
              </w:rPr>
            </w:pPr>
            <w:r>
              <w:rPr>
                <w:rFonts w:hint="eastAsia" w:ascii="宋体" w:hAnsi="宋体" w:cs="宋体"/>
                <w:sz w:val="24"/>
                <w:szCs w:val="24"/>
              </w:rPr>
              <w:t>备注</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r>
              <w:rPr>
                <w:rFonts w:hint="eastAsia" w:ascii="宋体" w:hAnsi="宋体" w:cs="宋体"/>
                <w:spacing w:val="-6"/>
                <w:sz w:val="24"/>
                <w:szCs w:val="24"/>
              </w:rPr>
              <w:t>保留小数点后两位。</w:t>
            </w: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pacing w:val="-6"/>
                <w:sz w:val="24"/>
                <w:szCs w:val="24"/>
              </w:rPr>
            </w:pPr>
          </w:p>
        </w:tc>
      </w:tr>
    </w:tbl>
    <w:p>
      <w:pPr>
        <w:widowControl/>
        <w:wordWrap w:val="0"/>
        <w:spacing w:line="360" w:lineRule="auto"/>
        <w:jc w:val="left"/>
        <w:rPr>
          <w:rFonts w:ascii="宋体" w:cs="宋体"/>
          <w:b/>
          <w:color w:val="000000" w:themeColor="text1"/>
          <w:sz w:val="36"/>
          <w:szCs w:val="36"/>
          <w14:textFill>
            <w14:solidFill>
              <w14:schemeClr w14:val="tx1"/>
            </w14:solidFill>
          </w14:textFill>
        </w:rPr>
      </w:pPr>
    </w:p>
    <w:p>
      <w:pPr>
        <w:bidi w:val="0"/>
      </w:pP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（单位名称及公章）：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被授权人（签字或盖章）：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日期：年</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p>
    <w:p>
      <w:pPr>
        <w:rPr>
          <w:rFonts w:hint="eastAsia" w:ascii="宋体" w:hAnsi="宋体" w:cs="宋体"/>
        </w:rPr>
      </w:pPr>
      <w:bookmarkStart w:id="79" w:name="OLE_LINK1"/>
      <w:bookmarkStart w:id="80" w:name="_Toc11309"/>
      <w:r>
        <w:rPr>
          <w:rFonts w:hint="eastAsia" w:ascii="宋体" w:hAnsi="宋体" w:cs="宋体"/>
        </w:rPr>
        <w:br w:type="page"/>
      </w:r>
    </w:p>
    <w:p>
      <w:pPr>
        <w:pStyle w:val="3"/>
        <w:rPr>
          <w:rFonts w:ascii="宋体" w:hAnsi="宋体" w:cs="宋体"/>
        </w:rPr>
      </w:pPr>
      <w:bookmarkStart w:id="81" w:name="_Toc32570"/>
      <w:r>
        <w:rPr>
          <w:rFonts w:hint="eastAsia" w:ascii="宋体" w:hAnsi="宋体" w:cs="宋体"/>
        </w:rPr>
        <w:t>第</w:t>
      </w:r>
      <w:bookmarkEnd w:id="79"/>
      <w:bookmarkEnd w:id="80"/>
      <w:r>
        <w:rPr>
          <w:rFonts w:hint="eastAsia" w:ascii="宋体" w:hAnsi="宋体" w:cs="宋体"/>
          <w:lang w:eastAsia="zh-CN"/>
        </w:rPr>
        <w:t>四章</w:t>
      </w:r>
      <w:r>
        <w:rPr>
          <w:rFonts w:hint="eastAsia" w:ascii="宋体" w:hAnsi="宋体" w:cs="宋体"/>
        </w:rPr>
        <w:t xml:space="preserve"> 供应商资质要求</w:t>
      </w:r>
      <w:bookmarkEnd w:id="81"/>
    </w:p>
    <w:p>
      <w:pPr>
        <w:pStyle w:val="6"/>
        <w:ind w:firstLine="0"/>
        <w:rPr>
          <w:rFonts w:hint="eastAsia" w:ascii="宋体" w:hAnsi="宋体" w:cs="宋体"/>
          <w:b/>
          <w:bCs/>
          <w:color w:val="000000" w:themeColor="text1"/>
          <w:sz w:val="28"/>
          <w:szCs w:val="24"/>
          <w14:textFill>
            <w14:solidFill>
              <w14:schemeClr w14:val="tx1"/>
            </w14:solidFill>
          </w14:textFill>
        </w:rPr>
      </w:pPr>
    </w:p>
    <w:p>
      <w:pPr>
        <w:pStyle w:val="6"/>
        <w:ind w:firstLine="0"/>
        <w:rPr>
          <w:rFonts w:hint="eastAsia" w:ascii="宋体" w:hAnsi="宋体" w:cs="宋体"/>
          <w:b/>
          <w:bCs/>
          <w:color w:val="000000" w:themeColor="text1"/>
          <w:sz w:val="28"/>
          <w:szCs w:val="24"/>
          <w14:textFill>
            <w14:solidFill>
              <w14:schemeClr w14:val="tx1"/>
            </w14:solidFill>
          </w14:textFill>
        </w:rPr>
      </w:pPr>
    </w:p>
    <w:p>
      <w:pPr>
        <w:pStyle w:val="6"/>
        <w:ind w:firstLine="562" w:firstLineChars="200"/>
        <w:rPr>
          <w:rFonts w:hint="eastAsia" w:ascii="宋体" w:hAns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供应商需在此页附</w:t>
      </w:r>
      <w:r>
        <w:rPr>
          <w:rFonts w:hint="eastAsia" w:ascii="宋体" w:hAnsi="宋体" w:cs="宋体"/>
          <w:b/>
          <w:bCs/>
          <w:color w:val="000000" w:themeColor="text1"/>
          <w:sz w:val="28"/>
          <w:szCs w:val="24"/>
          <w:lang w:eastAsia="zh-CN"/>
          <w14:textFill>
            <w14:solidFill>
              <w14:schemeClr w14:val="tx1"/>
            </w14:solidFill>
          </w14:textFill>
        </w:rPr>
        <w:t>谈判</w:t>
      </w:r>
      <w:r>
        <w:rPr>
          <w:rFonts w:hint="eastAsia" w:ascii="宋体" w:hAnsi="宋体" w:cs="宋体"/>
          <w:b/>
          <w:bCs/>
          <w:color w:val="000000" w:themeColor="text1"/>
          <w:sz w:val="28"/>
          <w:szCs w:val="24"/>
          <w14:textFill>
            <w14:solidFill>
              <w14:schemeClr w14:val="tx1"/>
            </w14:solidFill>
          </w14:textFill>
        </w:rPr>
        <w:t>公告或</w:t>
      </w:r>
      <w:r>
        <w:rPr>
          <w:rFonts w:hint="eastAsia" w:ascii="宋体" w:hAnsi="宋体" w:cs="宋体"/>
          <w:b/>
          <w:bCs/>
          <w:color w:val="000000" w:themeColor="text1"/>
          <w:sz w:val="28"/>
          <w:szCs w:val="24"/>
          <w:lang w:eastAsia="zh-CN"/>
          <w14:textFill>
            <w14:solidFill>
              <w14:schemeClr w14:val="tx1"/>
            </w14:solidFill>
          </w14:textFill>
        </w:rPr>
        <w:t>谈判</w:t>
      </w:r>
      <w:r>
        <w:rPr>
          <w:rFonts w:hint="eastAsia" w:ascii="宋体" w:hAnsi="宋体" w:cs="宋体"/>
          <w:b/>
          <w:bCs/>
          <w:color w:val="000000" w:themeColor="text1"/>
          <w:sz w:val="28"/>
          <w:szCs w:val="24"/>
          <w14:textFill>
            <w14:solidFill>
              <w14:schemeClr w14:val="tx1"/>
            </w14:solidFill>
          </w14:textFill>
        </w:rPr>
        <w:t>文件中要求的资质证明文件，响应文件附资质复印件或扫描件加盖供应商公章。格式参考见下页。</w:t>
      </w:r>
    </w:p>
    <w:p>
      <w:pPr>
        <w:rPr>
          <w:rFonts w:hint="eastAsia"/>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br w:type="page"/>
      </w:r>
    </w:p>
    <w:p>
      <w:pPr>
        <w:pStyle w:val="6"/>
        <w:ind w:firstLine="643" w:firstLineChars="20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1、供应商符合《政府采购法》第二十二条规定条件的承诺函</w:t>
      </w:r>
    </w:p>
    <w:p>
      <w:pPr>
        <w:pStyle w:val="11"/>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参加的投标活动，现承诺：</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我公司满足政府采购法第二十二条关于供应商的资格要求：</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（五）参加政府采购活动前三年内，在经营活动中没有重大违法记录；</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11"/>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pStyle w:val="6"/>
        <w:ind w:firstLine="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20"/>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bookmarkStart w:id="82" w:name="_Toc5452"/>
            <w:bookmarkStart w:id="83" w:name="_Toc29518"/>
            <w:bookmarkStart w:id="84" w:name="_Toc15823"/>
            <w:bookmarkStart w:id="85" w:name="_Toc18556"/>
            <w:r>
              <w:rPr>
                <w:rFonts w:hint="eastAsia"/>
                <w:color w:val="000000" w:themeColor="text1"/>
                <w:lang w:eastAsia="zh-CN"/>
                <w14:textFill>
                  <w14:solidFill>
                    <w14:schemeClr w14:val="tx1"/>
                  </w14:solidFill>
                </w14:textFill>
              </w:rPr>
              <w:t>供应商</w:t>
            </w:r>
            <w:r>
              <w:rPr>
                <w:rFonts w:hint="eastAsia"/>
                <w:color w:val="000000" w:themeColor="text1"/>
                <w14:textFill>
                  <w14:solidFill>
                    <w14:schemeClr w14:val="tx1"/>
                  </w14:solidFill>
                </w14:textFill>
              </w:rPr>
              <w:t>名称</w:t>
            </w:r>
            <w:bookmarkEnd w:id="82"/>
            <w:bookmarkEnd w:id="83"/>
            <w:bookmarkEnd w:id="84"/>
            <w:bookmarkEnd w:id="85"/>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bookmarkStart w:id="86" w:name="_Toc26127"/>
            <w:bookmarkStart w:id="87" w:name="_Toc32432"/>
            <w:bookmarkStart w:id="88" w:name="_Toc15986"/>
            <w:r>
              <w:rPr>
                <w:rFonts w:hint="eastAsia"/>
                <w:color w:val="000000" w:themeColor="text1"/>
                <w14:textFill>
                  <w14:solidFill>
                    <w14:schemeClr w14:val="tx1"/>
                  </w14:solidFill>
                </w14:textFill>
              </w:rPr>
              <w:t>注册地址</w:t>
            </w:r>
            <w:bookmarkEnd w:id="86"/>
            <w:bookmarkEnd w:id="87"/>
            <w:bookmarkEnd w:id="88"/>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89" w:name="_Toc13370"/>
            <w:bookmarkStart w:id="90" w:name="_Toc5829"/>
            <w:bookmarkStart w:id="91" w:name="_Toc2965"/>
            <w:bookmarkStart w:id="92" w:name="_Toc20217"/>
            <w:r>
              <w:rPr>
                <w:rFonts w:hint="eastAsia"/>
                <w:color w:val="000000" w:themeColor="text1"/>
                <w14:textFill>
                  <w14:solidFill>
                    <w14:schemeClr w14:val="tx1"/>
                  </w14:solidFill>
                </w14:textFill>
              </w:rPr>
              <w:t>邮政编码</w:t>
            </w:r>
            <w:bookmarkEnd w:id="89"/>
            <w:bookmarkEnd w:id="90"/>
            <w:bookmarkEnd w:id="91"/>
            <w:bookmarkEnd w:id="92"/>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93" w:name="_Toc5933"/>
            <w:bookmarkStart w:id="94" w:name="_Toc24152"/>
            <w:bookmarkStart w:id="95" w:name="_Toc29861"/>
            <w:bookmarkStart w:id="96" w:name="_Toc14242"/>
            <w:r>
              <w:rPr>
                <w:rFonts w:hint="eastAsia"/>
                <w:color w:val="000000" w:themeColor="text1"/>
                <w14:textFill>
                  <w14:solidFill>
                    <w14:schemeClr w14:val="tx1"/>
                  </w14:solidFill>
                </w14:textFill>
              </w:rPr>
              <w:t>联系方式</w:t>
            </w:r>
            <w:bookmarkEnd w:id="93"/>
            <w:bookmarkEnd w:id="94"/>
            <w:bookmarkEnd w:id="95"/>
            <w:bookmarkEnd w:id="96"/>
          </w:p>
        </w:tc>
        <w:tc>
          <w:tcPr>
            <w:tcW w:w="1016" w:type="dxa"/>
            <w:vAlign w:val="center"/>
          </w:tcPr>
          <w:p>
            <w:pPr>
              <w:rPr>
                <w:color w:val="000000" w:themeColor="text1"/>
                <w14:textFill>
                  <w14:solidFill>
                    <w14:schemeClr w14:val="tx1"/>
                  </w14:solidFill>
                </w14:textFill>
              </w:rPr>
            </w:pPr>
            <w:bookmarkStart w:id="97" w:name="_Toc11708"/>
            <w:bookmarkStart w:id="98" w:name="_Toc22630"/>
            <w:bookmarkStart w:id="99" w:name="_Toc23469"/>
            <w:bookmarkStart w:id="100" w:name="_Toc32228"/>
            <w:r>
              <w:rPr>
                <w:rFonts w:hint="eastAsia"/>
                <w:color w:val="000000" w:themeColor="text1"/>
                <w14:textFill>
                  <w14:solidFill>
                    <w14:schemeClr w14:val="tx1"/>
                  </w14:solidFill>
                </w14:textFill>
              </w:rPr>
              <w:t>联系人</w:t>
            </w:r>
            <w:bookmarkEnd w:id="97"/>
            <w:bookmarkEnd w:id="98"/>
            <w:bookmarkEnd w:id="99"/>
            <w:bookmarkEnd w:id="100"/>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101" w:name="_Toc31524"/>
            <w:bookmarkStart w:id="102" w:name="_Toc22121"/>
            <w:bookmarkStart w:id="103" w:name="_Toc29495"/>
            <w:bookmarkStart w:id="104" w:name="_Toc28825"/>
            <w:r>
              <w:rPr>
                <w:rFonts w:hint="eastAsia"/>
                <w:color w:val="000000" w:themeColor="text1"/>
                <w14:textFill>
                  <w14:solidFill>
                    <w14:schemeClr w14:val="tx1"/>
                  </w14:solidFill>
                </w14:textFill>
              </w:rPr>
              <w:t>电话</w:t>
            </w:r>
            <w:bookmarkEnd w:id="101"/>
            <w:bookmarkEnd w:id="102"/>
            <w:bookmarkEnd w:id="103"/>
            <w:bookmarkEnd w:id="104"/>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05" w:name="_Toc27355"/>
            <w:bookmarkStart w:id="106" w:name="_Toc12754"/>
            <w:bookmarkStart w:id="107" w:name="_Toc21326"/>
            <w:bookmarkStart w:id="108" w:name="_Toc8331"/>
            <w:r>
              <w:rPr>
                <w:rFonts w:hint="eastAsia"/>
                <w:color w:val="000000" w:themeColor="text1"/>
                <w14:textFill>
                  <w14:solidFill>
                    <w14:schemeClr w14:val="tx1"/>
                  </w14:solidFill>
                </w14:textFill>
              </w:rPr>
              <w:t>组织结构</w:t>
            </w:r>
            <w:bookmarkEnd w:id="105"/>
            <w:bookmarkEnd w:id="106"/>
            <w:bookmarkEnd w:id="107"/>
            <w:bookmarkEnd w:id="108"/>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bookmarkStart w:id="109" w:name="_Toc22082"/>
            <w:bookmarkStart w:id="110" w:name="_Toc28736"/>
            <w:bookmarkStart w:id="111" w:name="_Toc5018"/>
            <w:bookmarkStart w:id="112" w:name="_Toc29110"/>
            <w:r>
              <w:rPr>
                <w:rFonts w:hint="eastAsia"/>
                <w:color w:val="000000" w:themeColor="text1"/>
                <w14:textFill>
                  <w14:solidFill>
                    <w14:schemeClr w14:val="tx1"/>
                  </w14:solidFill>
                </w14:textFill>
              </w:rPr>
              <w:t>法定代表人</w:t>
            </w:r>
            <w:bookmarkEnd w:id="109"/>
            <w:bookmarkEnd w:id="110"/>
            <w:bookmarkEnd w:id="111"/>
            <w:bookmarkEnd w:id="112"/>
          </w:p>
        </w:tc>
        <w:tc>
          <w:tcPr>
            <w:tcW w:w="1016" w:type="dxa"/>
            <w:vAlign w:val="center"/>
          </w:tcPr>
          <w:p>
            <w:pPr>
              <w:rPr>
                <w:color w:val="000000" w:themeColor="text1"/>
                <w14:textFill>
                  <w14:solidFill>
                    <w14:schemeClr w14:val="tx1"/>
                  </w14:solidFill>
                </w14:textFill>
              </w:rPr>
            </w:pPr>
            <w:bookmarkStart w:id="113" w:name="_Toc8313"/>
            <w:bookmarkStart w:id="114" w:name="_Toc3509"/>
            <w:bookmarkStart w:id="115" w:name="_Toc24566"/>
            <w:bookmarkStart w:id="116" w:name="_Toc429"/>
            <w:r>
              <w:rPr>
                <w:rFonts w:hint="eastAsia"/>
                <w:color w:val="000000" w:themeColor="text1"/>
                <w14:textFill>
                  <w14:solidFill>
                    <w14:schemeClr w14:val="tx1"/>
                  </w14:solidFill>
                </w14:textFill>
              </w:rPr>
              <w:t>姓名</w:t>
            </w:r>
            <w:bookmarkEnd w:id="113"/>
            <w:bookmarkEnd w:id="114"/>
            <w:bookmarkEnd w:id="115"/>
            <w:bookmarkEnd w:id="116"/>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17" w:name="_Toc5089"/>
            <w:bookmarkStart w:id="118" w:name="_Toc2791"/>
            <w:bookmarkStart w:id="119" w:name="_Toc11392"/>
            <w:bookmarkStart w:id="120" w:name="_Toc552"/>
            <w:r>
              <w:rPr>
                <w:rFonts w:hint="eastAsia"/>
                <w:color w:val="000000" w:themeColor="text1"/>
                <w14:textFill>
                  <w14:solidFill>
                    <w14:schemeClr w14:val="tx1"/>
                  </w14:solidFill>
                </w14:textFill>
              </w:rPr>
              <w:t>技术职称</w:t>
            </w:r>
            <w:bookmarkEnd w:id="117"/>
            <w:bookmarkEnd w:id="118"/>
            <w:bookmarkEnd w:id="119"/>
            <w:bookmarkEnd w:id="120"/>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121" w:name="_Toc15179"/>
            <w:bookmarkStart w:id="122" w:name="_Toc18413"/>
            <w:bookmarkStart w:id="123" w:name="_Toc21732"/>
            <w:bookmarkStart w:id="124" w:name="_Toc24036"/>
            <w:r>
              <w:rPr>
                <w:rFonts w:hint="eastAsia"/>
                <w:color w:val="000000" w:themeColor="text1"/>
                <w14:textFill>
                  <w14:solidFill>
                    <w14:schemeClr w14:val="tx1"/>
                  </w14:solidFill>
                </w14:textFill>
              </w:rPr>
              <w:t>电话</w:t>
            </w:r>
            <w:bookmarkEnd w:id="121"/>
            <w:bookmarkEnd w:id="122"/>
            <w:bookmarkEnd w:id="123"/>
            <w:bookmarkEnd w:id="124"/>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bookmarkStart w:id="125" w:name="_Toc30758"/>
            <w:bookmarkStart w:id="126" w:name="_Toc18654"/>
            <w:bookmarkStart w:id="127" w:name="_Toc6397"/>
            <w:bookmarkStart w:id="128" w:name="_Toc832"/>
            <w:r>
              <w:rPr>
                <w:rFonts w:hint="eastAsia"/>
                <w:color w:val="000000" w:themeColor="text1"/>
                <w14:textFill>
                  <w14:solidFill>
                    <w14:schemeClr w14:val="tx1"/>
                  </w14:solidFill>
                </w14:textFill>
              </w:rPr>
              <w:t>技术负责人</w:t>
            </w:r>
            <w:bookmarkEnd w:id="125"/>
            <w:bookmarkEnd w:id="126"/>
            <w:bookmarkEnd w:id="127"/>
            <w:bookmarkEnd w:id="128"/>
          </w:p>
        </w:tc>
        <w:tc>
          <w:tcPr>
            <w:tcW w:w="1016" w:type="dxa"/>
            <w:vAlign w:val="center"/>
          </w:tcPr>
          <w:p>
            <w:pPr>
              <w:rPr>
                <w:color w:val="000000" w:themeColor="text1"/>
                <w14:textFill>
                  <w14:solidFill>
                    <w14:schemeClr w14:val="tx1"/>
                  </w14:solidFill>
                </w14:textFill>
              </w:rPr>
            </w:pPr>
            <w:bookmarkStart w:id="129" w:name="_Toc17841"/>
            <w:bookmarkStart w:id="130" w:name="_Toc6829"/>
            <w:bookmarkStart w:id="131" w:name="_Toc5794"/>
            <w:bookmarkStart w:id="132" w:name="_Toc32237"/>
            <w:r>
              <w:rPr>
                <w:rFonts w:hint="eastAsia"/>
                <w:color w:val="000000" w:themeColor="text1"/>
                <w14:textFill>
                  <w14:solidFill>
                    <w14:schemeClr w14:val="tx1"/>
                  </w14:solidFill>
                </w14:textFill>
              </w:rPr>
              <w:t>姓名</w:t>
            </w:r>
            <w:bookmarkEnd w:id="129"/>
            <w:bookmarkEnd w:id="130"/>
            <w:bookmarkEnd w:id="131"/>
            <w:bookmarkEnd w:id="132"/>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33" w:name="_Toc25207"/>
            <w:bookmarkStart w:id="134" w:name="_Toc25059"/>
            <w:bookmarkStart w:id="135" w:name="_Toc27222"/>
            <w:bookmarkStart w:id="136" w:name="_Toc17957"/>
            <w:r>
              <w:rPr>
                <w:rFonts w:hint="eastAsia"/>
                <w:color w:val="000000" w:themeColor="text1"/>
                <w14:textFill>
                  <w14:solidFill>
                    <w14:schemeClr w14:val="tx1"/>
                  </w14:solidFill>
                </w14:textFill>
              </w:rPr>
              <w:t>技术职称</w:t>
            </w:r>
            <w:bookmarkEnd w:id="133"/>
            <w:bookmarkEnd w:id="134"/>
            <w:bookmarkEnd w:id="135"/>
            <w:bookmarkEnd w:id="136"/>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137" w:name="_Toc26943"/>
            <w:bookmarkStart w:id="138" w:name="_Toc12165"/>
            <w:bookmarkStart w:id="139" w:name="_Toc14501"/>
            <w:bookmarkStart w:id="140" w:name="_Toc321"/>
            <w:r>
              <w:rPr>
                <w:rFonts w:hint="eastAsia"/>
                <w:color w:val="000000" w:themeColor="text1"/>
                <w14:textFill>
                  <w14:solidFill>
                    <w14:schemeClr w14:val="tx1"/>
                  </w14:solidFill>
                </w14:textFill>
              </w:rPr>
              <w:t>电话</w:t>
            </w:r>
            <w:bookmarkEnd w:id="137"/>
            <w:bookmarkEnd w:id="138"/>
            <w:bookmarkEnd w:id="139"/>
            <w:bookmarkEnd w:id="140"/>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41" w:name="_Toc1183"/>
            <w:bookmarkStart w:id="142" w:name="_Toc5056"/>
            <w:bookmarkStart w:id="143" w:name="_Toc15849"/>
            <w:bookmarkStart w:id="144" w:name="_Toc13190"/>
            <w:r>
              <w:rPr>
                <w:rFonts w:hint="eastAsia"/>
                <w:color w:val="000000" w:themeColor="text1"/>
                <w14:textFill>
                  <w14:solidFill>
                    <w14:schemeClr w14:val="tx1"/>
                  </w14:solidFill>
                </w14:textFill>
              </w:rPr>
              <w:t>成立时间</w:t>
            </w:r>
            <w:bookmarkEnd w:id="141"/>
            <w:bookmarkEnd w:id="142"/>
            <w:bookmarkEnd w:id="143"/>
            <w:bookmarkEnd w:id="144"/>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bookmarkStart w:id="145" w:name="_Toc9920"/>
            <w:bookmarkStart w:id="146" w:name="_Toc23476"/>
            <w:bookmarkStart w:id="147" w:name="_Toc5918"/>
            <w:bookmarkStart w:id="148" w:name="_Toc7458"/>
            <w:r>
              <w:rPr>
                <w:rFonts w:hint="eastAsia"/>
                <w:color w:val="000000" w:themeColor="text1"/>
                <w14:textFill>
                  <w14:solidFill>
                    <w14:schemeClr w14:val="tx1"/>
                  </w14:solidFill>
                </w14:textFill>
              </w:rPr>
              <w:t>员工总人数：</w:t>
            </w:r>
            <w:bookmarkEnd w:id="145"/>
            <w:bookmarkEnd w:id="146"/>
            <w:bookmarkEnd w:id="147"/>
            <w:bookmarkEnd w:id="14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49" w:name="_Toc24347"/>
            <w:bookmarkStart w:id="150" w:name="_Toc13811"/>
            <w:bookmarkStart w:id="151" w:name="_Toc2495"/>
            <w:bookmarkStart w:id="152" w:name="_Toc19832"/>
            <w:r>
              <w:rPr>
                <w:rFonts w:hint="eastAsia"/>
                <w:color w:val="000000" w:themeColor="text1"/>
                <w14:textFill>
                  <w14:solidFill>
                    <w14:schemeClr w14:val="tx1"/>
                  </w14:solidFill>
                </w14:textFill>
              </w:rPr>
              <w:t>营业执照号</w:t>
            </w:r>
            <w:bookmarkEnd w:id="149"/>
            <w:bookmarkEnd w:id="150"/>
            <w:bookmarkEnd w:id="151"/>
            <w:bookmarkEnd w:id="152"/>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bookmarkStart w:id="153" w:name="_Toc16273"/>
            <w:bookmarkStart w:id="154" w:name="_Toc13361"/>
            <w:bookmarkStart w:id="155" w:name="_Toc15246"/>
            <w:bookmarkStart w:id="156" w:name="_Toc19894"/>
            <w:r>
              <w:rPr>
                <w:rFonts w:hint="eastAsia"/>
                <w:color w:val="000000" w:themeColor="text1"/>
                <w14:textFill>
                  <w14:solidFill>
                    <w14:schemeClr w14:val="tx1"/>
                  </w14:solidFill>
                </w14:textFill>
              </w:rPr>
              <w:t>高级职称人员</w:t>
            </w:r>
            <w:bookmarkEnd w:id="153"/>
            <w:bookmarkEnd w:id="154"/>
            <w:bookmarkEnd w:id="155"/>
            <w:bookmarkEnd w:id="156"/>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57" w:name="_Toc30242"/>
            <w:bookmarkStart w:id="158" w:name="_Toc12522"/>
            <w:bookmarkStart w:id="159" w:name="_Toc3476"/>
            <w:bookmarkStart w:id="160" w:name="_Toc20237"/>
            <w:r>
              <w:rPr>
                <w:rFonts w:hint="eastAsia"/>
                <w:color w:val="000000" w:themeColor="text1"/>
                <w14:textFill>
                  <w14:solidFill>
                    <w14:schemeClr w14:val="tx1"/>
                  </w14:solidFill>
                </w14:textFill>
              </w:rPr>
              <w:t>注册资金</w:t>
            </w:r>
            <w:bookmarkEnd w:id="157"/>
            <w:bookmarkEnd w:id="158"/>
            <w:bookmarkEnd w:id="159"/>
            <w:bookmarkEnd w:id="160"/>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61" w:name="_Toc1834"/>
            <w:bookmarkStart w:id="162" w:name="_Toc16642"/>
            <w:bookmarkStart w:id="163" w:name="_Toc30244"/>
            <w:bookmarkStart w:id="164" w:name="_Toc7916"/>
            <w:r>
              <w:rPr>
                <w:rFonts w:hint="eastAsia"/>
                <w:color w:val="000000" w:themeColor="text1"/>
                <w14:textFill>
                  <w14:solidFill>
                    <w14:schemeClr w14:val="tx1"/>
                  </w14:solidFill>
                </w14:textFill>
              </w:rPr>
              <w:t>中级职称人员</w:t>
            </w:r>
            <w:bookmarkEnd w:id="161"/>
            <w:bookmarkEnd w:id="162"/>
            <w:bookmarkEnd w:id="163"/>
            <w:bookmarkEnd w:id="164"/>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65" w:name="_Toc18512"/>
            <w:bookmarkStart w:id="166" w:name="_Toc21663"/>
            <w:bookmarkStart w:id="167" w:name="_Toc17149"/>
            <w:bookmarkStart w:id="168" w:name="_Toc24406"/>
            <w:r>
              <w:rPr>
                <w:rFonts w:hint="eastAsia"/>
                <w:color w:val="000000" w:themeColor="text1"/>
                <w14:textFill>
                  <w14:solidFill>
                    <w14:schemeClr w14:val="tx1"/>
                  </w14:solidFill>
                </w14:textFill>
              </w:rPr>
              <w:t>开户银行</w:t>
            </w:r>
            <w:bookmarkEnd w:id="165"/>
            <w:bookmarkEnd w:id="166"/>
            <w:bookmarkEnd w:id="167"/>
            <w:bookmarkEnd w:id="168"/>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69" w:name="_Toc24761"/>
            <w:bookmarkStart w:id="170" w:name="_Toc15110"/>
            <w:bookmarkStart w:id="171" w:name="_Toc12330"/>
            <w:bookmarkStart w:id="172" w:name="_Toc23409"/>
            <w:r>
              <w:rPr>
                <w:rFonts w:hint="eastAsia"/>
                <w:color w:val="000000" w:themeColor="text1"/>
                <w14:textFill>
                  <w14:solidFill>
                    <w14:schemeClr w14:val="tx1"/>
                  </w14:solidFill>
                </w14:textFill>
              </w:rPr>
              <w:t>初级职称人员</w:t>
            </w:r>
            <w:bookmarkEnd w:id="169"/>
            <w:bookmarkEnd w:id="170"/>
            <w:bookmarkEnd w:id="171"/>
            <w:bookmarkEnd w:id="172"/>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bookmarkStart w:id="173" w:name="_Toc7482"/>
            <w:bookmarkStart w:id="174" w:name="_Toc11996"/>
            <w:bookmarkStart w:id="175" w:name="_Toc19211"/>
            <w:bookmarkStart w:id="176" w:name="_Toc7855"/>
            <w:r>
              <w:rPr>
                <w:rFonts w:hint="eastAsia"/>
                <w:color w:val="000000" w:themeColor="text1"/>
                <w14:textFill>
                  <w14:solidFill>
                    <w14:schemeClr w14:val="tx1"/>
                  </w14:solidFill>
                </w14:textFill>
              </w:rPr>
              <w:t>账号</w:t>
            </w:r>
            <w:bookmarkEnd w:id="173"/>
            <w:bookmarkEnd w:id="174"/>
            <w:bookmarkEnd w:id="175"/>
            <w:bookmarkEnd w:id="176"/>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77" w:name="_Toc7296"/>
            <w:bookmarkStart w:id="178" w:name="_Toc23890"/>
            <w:bookmarkStart w:id="179" w:name="_Toc16123"/>
            <w:bookmarkStart w:id="180" w:name="_Toc10662"/>
            <w:r>
              <w:rPr>
                <w:rFonts w:hint="eastAsia"/>
                <w:color w:val="000000" w:themeColor="text1"/>
                <w14:textFill>
                  <w14:solidFill>
                    <w14:schemeClr w14:val="tx1"/>
                  </w14:solidFill>
                </w14:textFill>
              </w:rPr>
              <w:t>技工</w:t>
            </w:r>
            <w:bookmarkEnd w:id="177"/>
            <w:bookmarkEnd w:id="178"/>
            <w:bookmarkEnd w:id="179"/>
            <w:bookmarkEnd w:id="180"/>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bookmarkStart w:id="181" w:name="_Toc2745"/>
            <w:bookmarkStart w:id="182" w:name="_Toc516"/>
            <w:bookmarkStart w:id="183" w:name="_Toc19840"/>
            <w:bookmarkStart w:id="184" w:name="_Toc30075"/>
            <w:r>
              <w:rPr>
                <w:rFonts w:hint="eastAsia"/>
                <w:color w:val="000000" w:themeColor="text1"/>
                <w14:textFill>
                  <w14:solidFill>
                    <w14:schemeClr w14:val="tx1"/>
                  </w14:solidFill>
                </w14:textFill>
              </w:rPr>
              <w:t>经营范围</w:t>
            </w:r>
            <w:bookmarkEnd w:id="181"/>
            <w:bookmarkEnd w:id="182"/>
            <w:bookmarkEnd w:id="183"/>
            <w:bookmarkEnd w:id="184"/>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bookmarkStart w:id="185" w:name="_Toc19290"/>
            <w:bookmarkStart w:id="186" w:name="_Toc26754"/>
            <w:bookmarkStart w:id="187" w:name="_Toc12320"/>
            <w:bookmarkStart w:id="188" w:name="_Toc22690"/>
            <w:r>
              <w:rPr>
                <w:rFonts w:hint="eastAsia"/>
                <w:color w:val="000000" w:themeColor="text1"/>
                <w14:textFill>
                  <w14:solidFill>
                    <w14:schemeClr w14:val="tx1"/>
                  </w14:solidFill>
                </w14:textFill>
              </w:rPr>
              <w:t>备注</w:t>
            </w:r>
            <w:bookmarkEnd w:id="185"/>
            <w:bookmarkEnd w:id="186"/>
            <w:bookmarkEnd w:id="187"/>
            <w:bookmarkEnd w:id="188"/>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20"/>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CN"/>
                <w14:textFill>
                  <w14:solidFill>
                    <w14:schemeClr w14:val="tx1"/>
                  </w14:solidFill>
                </w14:textFill>
              </w:rPr>
              <w:t>供应商</w:t>
            </w:r>
            <w:r>
              <w:rPr>
                <w:rFonts w:hint="eastAsia" w:ascii="宋体" w:hAnsi="宋体" w:cs="宋体"/>
                <w:color w:val="000000" w:themeColor="text1"/>
                <w:kern w:val="0"/>
                <w:szCs w:val="21"/>
                <w14:textFill>
                  <w14:solidFill>
                    <w14:schemeClr w14:val="tx1"/>
                  </w14:solidFill>
                </w14:textFill>
              </w:rPr>
              <w:t>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5"/>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2"/>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2"/>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single"/>
          <w14:textFill>
            <w14:solidFill>
              <w14:schemeClr w14:val="tx1"/>
            </w14:solidFill>
          </w14:textFill>
        </w:rPr>
        <w:t>为</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w:t>
      </w:r>
      <w:r>
        <w:rPr>
          <w:rFonts w:hint="eastAsia" w:ascii="宋体" w:hAnsi="宋体" w:cs="宋体"/>
          <w:color w:val="000000" w:themeColor="text1"/>
          <w:sz w:val="24"/>
          <w:lang w:val="en-US" w:eastAsia="zh-CN"/>
          <w14:textFill>
            <w14:solidFill>
              <w14:schemeClr w14:val="tx1"/>
            </w14:solidFill>
          </w14:textFill>
        </w:rPr>
        <w:t>响应</w:t>
      </w:r>
      <w:r>
        <w:rPr>
          <w:rFonts w:hint="eastAsia" w:ascii="宋体" w:hAnsi="宋体" w:cs="宋体"/>
          <w:color w:val="000000" w:themeColor="text1"/>
          <w:sz w:val="24"/>
          <w14:textFill>
            <w14:solidFill>
              <w14:schemeClr w14:val="tx1"/>
            </w14:solidFill>
          </w14:textFill>
        </w:rPr>
        <w:t>文件递交截止之日</w:t>
      </w:r>
      <w:r>
        <w:rPr>
          <w:rFonts w:hint="eastAsia" w:ascii="宋体" w:hAnsi="宋体" w:cs="宋体"/>
          <w:color w:val="000000" w:themeColor="text1"/>
          <w:sz w:val="24"/>
          <w:u w:val="single"/>
          <w14:textFill>
            <w14:solidFill>
              <w14:schemeClr w14:val="tx1"/>
            </w14:solidFill>
          </w14:textFill>
        </w:rPr>
        <w:t xml:space="preserve">起 </w:t>
      </w:r>
      <w:r>
        <w:rPr>
          <w:rFonts w:hint="eastAsia" w:ascii="宋体" w:hAnsi="宋体" w:cs="宋体"/>
          <w:color w:val="000000" w:themeColor="text1"/>
          <w:sz w:val="24"/>
          <w:u w:val="single"/>
          <w:lang w:val="en-US" w:eastAsia="zh-CN"/>
          <w14:textFill>
            <w14:solidFill>
              <w14:schemeClr w14:val="tx1"/>
            </w14:solidFill>
          </w14:textFill>
        </w:rPr>
        <w:t>90</w:t>
      </w:r>
      <w:r>
        <w:rPr>
          <w:rFonts w:hint="eastAsia" w:ascii="宋体" w:hAnsi="宋体" w:cs="宋体"/>
          <w:color w:val="000000" w:themeColor="text1"/>
          <w:sz w:val="24"/>
          <w:u w:val="single"/>
          <w14:textFill>
            <w14:solidFill>
              <w14:schemeClr w14:val="tx1"/>
            </w14:solidFill>
          </w14:textFill>
        </w:rPr>
        <w:t xml:space="preserve"> 日历天</w:t>
      </w:r>
      <w:r>
        <w:rPr>
          <w:rFonts w:hint="eastAsia" w:ascii="宋体" w:hAnsi="宋体" w:cs="宋体"/>
          <w:color w:val="000000" w:themeColor="text1"/>
          <w:sz w:val="24"/>
          <w14:textFill>
            <w14:solidFill>
              <w14:schemeClr w14:val="tx1"/>
            </w14:solidFill>
          </w14:textFill>
        </w:rPr>
        <w:t>，特此声明。</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0"/>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2"/>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2"/>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w:t>
      </w:r>
      <w:r>
        <w:rPr>
          <w:rFonts w:hint="eastAsia" w:hAnsi="宋体" w:cs="宋体"/>
          <w:color w:val="000000" w:themeColor="text1"/>
          <w:sz w:val="24"/>
          <w:szCs w:val="24"/>
          <w:lang w:val="en-US" w:eastAsia="zh-CN"/>
          <w14:textFill>
            <w14:solidFill>
              <w14:schemeClr w14:val="tx1"/>
            </w14:solidFill>
          </w14:textFill>
        </w:rPr>
        <w:t>90</w:t>
      </w:r>
      <w:r>
        <w:rPr>
          <w:rFonts w:hint="eastAsia" w:hAnsi="宋体" w:cs="宋体"/>
          <w:color w:val="000000" w:themeColor="text1"/>
          <w:sz w:val="24"/>
          <w:szCs w:val="24"/>
          <w14:textFill>
            <w14:solidFill>
              <w14:schemeClr w14:val="tx1"/>
            </w14:solidFill>
          </w14:textFill>
        </w:rPr>
        <w:t>日历日。</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jc w:val="both"/>
        <w:rPr>
          <w:color w:val="000000" w:themeColor="text1"/>
          <w:sz w:val="24"/>
          <w:szCs w:val="28"/>
          <w14:textFill>
            <w14:solidFill>
              <w14:schemeClr w14:val="tx1"/>
            </w14:solidFill>
          </w14:textFill>
        </w:rPr>
      </w:pPr>
      <w:r>
        <w:rPr>
          <w:rFonts w:hint="eastAsia"/>
          <w:color w:val="000000" w:themeColor="text1"/>
          <w:sz w:val="24"/>
          <w:szCs w:val="28"/>
          <w:lang w:val="en-US" w:eastAsia="zh-CN"/>
          <w14:textFill>
            <w14:solidFill>
              <w14:schemeClr w14:val="tx1"/>
            </w14:solidFill>
          </w14:textFill>
        </w:rPr>
        <w:t>4、</w:t>
      </w:r>
      <w:r>
        <w:rPr>
          <w:rFonts w:hint="eastAsia"/>
          <w:color w:val="000000" w:themeColor="text1"/>
          <w:sz w:val="24"/>
          <w:szCs w:val="28"/>
          <w14:textFill>
            <w14:solidFill>
              <w14:schemeClr w14:val="tx1"/>
            </w14:solidFill>
          </w14:textFill>
        </w:rPr>
        <w:t>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竞争性</w:t>
      </w:r>
      <w:r>
        <w:rPr>
          <w:rFonts w:hint="eastAsia" w:ascii="宋体" w:hAnsi="宋体" w:cs="宋体"/>
          <w:color w:val="000000" w:themeColor="text1"/>
          <w:kern w:val="0"/>
          <w:sz w:val="24"/>
          <w:lang w:eastAsia="zh-CN"/>
          <w14:textFill>
            <w14:solidFill>
              <w14:schemeClr w14:val="tx1"/>
            </w14:solidFill>
          </w14:textFill>
        </w:rPr>
        <w:t>谈判</w:t>
      </w:r>
      <w:r>
        <w:rPr>
          <w:rFonts w:hint="eastAsia" w:ascii="宋体" w:hAnsi="宋体" w:cs="宋体"/>
          <w:color w:val="000000" w:themeColor="text1"/>
          <w:kern w:val="0"/>
          <w:sz w:val="24"/>
          <w14:textFill>
            <w14:solidFill>
              <w14:schemeClr w14:val="tx1"/>
            </w14:solidFill>
          </w14:textFill>
        </w:rPr>
        <w:t>，我单位郑重声明：我方参加本项目</w:t>
      </w:r>
      <w:r>
        <w:rPr>
          <w:rFonts w:hint="eastAsia" w:ascii="宋体" w:hAnsi="宋体" w:cs="宋体"/>
          <w:color w:val="000000" w:themeColor="text1"/>
          <w:kern w:val="0"/>
          <w:sz w:val="24"/>
          <w:lang w:eastAsia="zh-CN"/>
          <w14:textFill>
            <w14:solidFill>
              <w14:schemeClr w14:val="tx1"/>
            </w14:solidFill>
          </w14:textFill>
        </w:rPr>
        <w:t>竞争性谈判</w:t>
      </w:r>
      <w:r>
        <w:rPr>
          <w:rFonts w:hint="eastAsia" w:ascii="宋体" w:hAnsi="宋体" w:cs="宋体"/>
          <w:color w:val="000000" w:themeColor="text1"/>
          <w:kern w:val="0"/>
          <w:sz w:val="24"/>
          <w14:textFill>
            <w14:solidFill>
              <w14:schemeClr w14:val="tx1"/>
            </w14:solidFill>
          </w14:textFill>
        </w:rPr>
        <w:t>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2"/>
        <w:spacing w:line="480" w:lineRule="auto"/>
        <w:jc w:val="left"/>
        <w:rPr>
          <w:rFonts w:hint="eastAsia" w:hAnsi="宋体" w:cs="宋体" w:eastAsiaTheme="minorEastAsia"/>
          <w:color w:val="000000" w:themeColor="text1"/>
          <w:kern w:val="0"/>
          <w:sz w:val="24"/>
          <w:lang w:eastAsia="zh-CN"/>
          <w14:textFill>
            <w14:solidFill>
              <w14:schemeClr w14:val="tx1"/>
            </w14:solidFill>
          </w14:textFill>
        </w:rPr>
      </w:pPr>
    </w:p>
    <w:p>
      <w:pPr>
        <w:pStyle w:val="12"/>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lang w:eastAsia="zh-CN"/>
          <w14:textFill>
            <w14:solidFill>
              <w14:schemeClr w14:val="tx1"/>
            </w14:solidFill>
          </w14:textFill>
        </w:rPr>
        <w:t>供应商</w:t>
      </w:r>
      <w:r>
        <w:rPr>
          <w:rFonts w:hint="eastAsia" w:hAnsi="宋体" w:cs="宋体"/>
          <w:color w:val="000000" w:themeColor="text1"/>
          <w:kern w:val="0"/>
          <w:sz w:val="24"/>
          <w14:textFill>
            <w14:solidFill>
              <w14:schemeClr w14:val="tx1"/>
            </w14:solidFill>
          </w14:textFill>
        </w:rPr>
        <w:t>（单位名称及公章）：</w:t>
      </w:r>
    </w:p>
    <w:p>
      <w:pPr>
        <w:pStyle w:val="12"/>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numPr>
          <w:ilvl w:val="0"/>
          <w:numId w:val="0"/>
        </w:numPr>
        <w:spacing w:line="600" w:lineRule="auto"/>
        <w:ind w:leftChars="0"/>
        <w:jc w:val="both"/>
        <w:rPr>
          <w:rFonts w:hint="eastAsia" w:hAnsi="宋体" w:cs="宋体" w:eastAsiaTheme="minorEastAsia"/>
          <w:color w:val="000000" w:themeColor="text1"/>
          <w:kern w:val="0"/>
          <w:sz w:val="24"/>
          <w:u w:val="single"/>
          <w:lang w:eastAsia="zh-CN"/>
          <w14:textFill>
            <w14:solidFill>
              <w14:schemeClr w14:val="tx1"/>
            </w14:solidFill>
          </w14:textFill>
        </w:rPr>
      </w:pPr>
      <w:r>
        <w:rPr>
          <w:rFonts w:hint="eastAsia" w:hAnsi="宋体" w:cs="宋体"/>
          <w:color w:val="000000" w:themeColor="text1"/>
          <w:kern w:val="0"/>
          <w:sz w:val="24"/>
          <w14:textFill>
            <w14:solidFill>
              <w14:schemeClr w14:val="tx1"/>
            </w14:solidFill>
          </w14:textFill>
        </w:rPr>
        <w:t>日    期</w:t>
      </w:r>
      <w:r>
        <w:rPr>
          <w:rFonts w:hint="eastAsia" w:hAnsi="宋体" w:cs="宋体"/>
          <w:color w:val="000000" w:themeColor="text1"/>
          <w:kern w:val="0"/>
          <w:sz w:val="24"/>
          <w:u w:val="single"/>
          <w14:textFill>
            <w14:solidFill>
              <w14:schemeClr w14:val="tx1"/>
            </w14:solidFill>
          </w14:textFill>
        </w:rPr>
        <w:t xml:space="preserve">：             </w:t>
      </w:r>
    </w:p>
    <w:p>
      <w:pPr>
        <w:pStyle w:val="9"/>
        <w:rPr>
          <w:rFonts w:hint="eastAsia"/>
          <w:lang w:eastAsia="zh-CN"/>
        </w:rPr>
        <w:sectPr>
          <w:pgSz w:w="11906" w:h="16838"/>
          <w:pgMar w:top="1440" w:right="1803" w:bottom="1440" w:left="1803" w:header="851" w:footer="992" w:gutter="0"/>
          <w:cols w:space="720" w:num="1"/>
          <w:docGrid w:type="lines" w:linePitch="319" w:charSpace="0"/>
        </w:sectPr>
      </w:pP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5、社保资金缴纳证明材料</w:t>
      </w: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 xml:space="preserve">6、税收缴纳证明材料： </w:t>
      </w: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 xml:space="preserve">7、财务状况证明材料： </w:t>
      </w:r>
    </w:p>
    <w:p>
      <w:pPr>
        <w:snapToGrid w:val="0"/>
        <w:spacing w:beforeLines="50" w:line="480" w:lineRule="auto"/>
        <w:jc w:val="left"/>
      </w:pPr>
      <w:bookmarkStart w:id="189" w:name="_Toc14991"/>
      <w:bookmarkStart w:id="190" w:name="_Toc29575"/>
      <w:bookmarkStart w:id="191" w:name="_Toc30568"/>
      <w:bookmarkStart w:id="192" w:name="_Toc28294"/>
      <w:r>
        <w:rPr>
          <w:rFonts w:hint="eastAsia" w:ascii="宋体" w:hAnsi="宋体" w:cs="宋体"/>
          <w:sz w:val="24"/>
          <w:szCs w:val="24"/>
          <w:highlight w:val="none"/>
          <w:lang w:val="en-US" w:eastAsia="zh-CN" w:bidi="ar-SA"/>
        </w:rPr>
        <w:t>8、供应商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rPr>
        <w:t>；</w:t>
      </w:r>
    </w:p>
    <w:p>
      <w:pPr>
        <w:spacing w:line="480" w:lineRule="auto"/>
        <w:rPr>
          <w:sz w:val="24"/>
          <w:szCs w:val="28"/>
        </w:rPr>
      </w:pPr>
      <w:r>
        <w:rPr>
          <w:rFonts w:hint="eastAsia"/>
          <w:sz w:val="24"/>
          <w:szCs w:val="28"/>
          <w:lang w:val="en-US" w:eastAsia="zh-CN"/>
        </w:rPr>
        <w:t>9、</w:t>
      </w:r>
      <w:r>
        <w:rPr>
          <w:rFonts w:hint="eastAsia"/>
          <w:sz w:val="24"/>
          <w:szCs w:val="28"/>
        </w:rPr>
        <w:t>非联合体</w:t>
      </w:r>
      <w:r>
        <w:rPr>
          <w:rFonts w:hint="eastAsia"/>
          <w:sz w:val="24"/>
          <w:szCs w:val="28"/>
          <w:lang w:eastAsia="zh-CN"/>
        </w:rPr>
        <w:t>投标</w:t>
      </w:r>
      <w:r>
        <w:rPr>
          <w:rFonts w:hint="eastAsia"/>
          <w:sz w:val="24"/>
          <w:szCs w:val="28"/>
        </w:rPr>
        <w:t>声明</w:t>
      </w:r>
      <w:r>
        <w:rPr>
          <w:rFonts w:hint="eastAsia"/>
          <w:sz w:val="24"/>
          <w:szCs w:val="28"/>
          <w:lang w:eastAsia="zh-CN"/>
        </w:rPr>
        <w:t>函</w:t>
      </w:r>
      <w:r>
        <w:rPr>
          <w:rFonts w:hint="eastAsia"/>
          <w:sz w:val="24"/>
          <w:szCs w:val="28"/>
        </w:rPr>
        <w:t>（格式自拟）；</w:t>
      </w:r>
    </w:p>
    <w:p>
      <w:pPr>
        <w:spacing w:line="480" w:lineRule="auto"/>
        <w:rPr>
          <w:sz w:val="24"/>
          <w:szCs w:val="28"/>
        </w:rPr>
      </w:pPr>
      <w:r>
        <w:rPr>
          <w:rFonts w:hint="eastAsia"/>
          <w:sz w:val="24"/>
          <w:szCs w:val="28"/>
          <w:lang w:val="en-US" w:eastAsia="zh-CN"/>
        </w:rPr>
        <w:t>10</w:t>
      </w:r>
      <w:r>
        <w:rPr>
          <w:rFonts w:hint="eastAsia"/>
          <w:sz w:val="24"/>
          <w:szCs w:val="28"/>
        </w:rPr>
        <w:t>、投标人认为应该提交的其他证明材料；</w:t>
      </w:r>
    </w:p>
    <w:p>
      <w:pPr>
        <w:spacing w:line="48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章 商务和技术响应偏离表</w:t>
      </w:r>
      <w:bookmarkEnd w:id="189"/>
      <w:bookmarkEnd w:id="190"/>
      <w:bookmarkEnd w:id="191"/>
      <w:bookmarkEnd w:id="192"/>
    </w:p>
    <w:p>
      <w:pPr>
        <w:kinsoku w:val="0"/>
        <w:spacing w:line="480" w:lineRule="auto"/>
        <w:ind w:left="1232" w:hanging="1232"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20"/>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2"/>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序号</w:t>
            </w:r>
          </w:p>
        </w:tc>
        <w:tc>
          <w:tcPr>
            <w:tcW w:w="1614" w:type="dxa"/>
            <w:vAlign w:val="center"/>
          </w:tcPr>
          <w:p>
            <w:pPr>
              <w:pStyle w:val="12"/>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商务条款</w:t>
            </w:r>
          </w:p>
        </w:tc>
        <w:tc>
          <w:tcPr>
            <w:tcW w:w="1680" w:type="dxa"/>
            <w:vAlign w:val="center"/>
          </w:tcPr>
          <w:p>
            <w:pPr>
              <w:pStyle w:val="12"/>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商务要求内容</w:t>
            </w:r>
          </w:p>
        </w:tc>
        <w:tc>
          <w:tcPr>
            <w:tcW w:w="2448" w:type="dxa"/>
            <w:vAlign w:val="center"/>
          </w:tcPr>
          <w:p>
            <w:pPr>
              <w:pStyle w:val="12"/>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响应文件响应商务内容</w:t>
            </w:r>
          </w:p>
        </w:tc>
        <w:tc>
          <w:tcPr>
            <w:tcW w:w="2042" w:type="dxa"/>
            <w:vAlign w:val="center"/>
          </w:tcPr>
          <w:p>
            <w:pPr>
              <w:pStyle w:val="12"/>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6"/>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填写说明：供应商对本项目付款、交货</w:t>
      </w:r>
      <w:r>
        <w:rPr>
          <w:rFonts w:hint="eastAsia" w:ascii="宋体" w:hAnsi="宋体"/>
          <w:b/>
          <w:bCs/>
          <w:color w:val="000000" w:themeColor="text1"/>
          <w:sz w:val="28"/>
          <w:szCs w:val="28"/>
          <w:lang w:eastAsia="zh-CN"/>
          <w14:textFill>
            <w14:solidFill>
              <w14:schemeClr w14:val="tx1"/>
            </w14:solidFill>
          </w14:textFill>
        </w:rPr>
        <w:t>期</w:t>
      </w:r>
      <w:r>
        <w:rPr>
          <w:rFonts w:hint="eastAsia" w:ascii="宋体" w:hAnsi="宋体"/>
          <w:b/>
          <w:bCs/>
          <w:color w:val="000000" w:themeColor="text1"/>
          <w:sz w:val="28"/>
          <w:szCs w:val="28"/>
          <w14:textFill>
            <w14:solidFill>
              <w14:schemeClr w14:val="tx1"/>
            </w14:solidFill>
          </w14:textFill>
        </w:rPr>
        <w:t>、质保期、履约验收等商务方面进行响应说明，并保证响应的真实性。</w:t>
      </w:r>
    </w:p>
    <w:p>
      <w:pPr>
        <w:pStyle w:val="6"/>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偏差说明填写：正偏离（标明正偏离内容）、符合。</w:t>
      </w:r>
    </w:p>
    <w:p>
      <w:pPr>
        <w:pStyle w:val="6"/>
        <w:ind w:firstLine="0"/>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商务条款不允许负偏离；</w:t>
      </w:r>
    </w:p>
    <w:p>
      <w:pPr>
        <w:adjustRightInd w:val="0"/>
        <w:snapToGrid w:val="0"/>
        <w:spacing w:line="480" w:lineRule="auto"/>
        <w:jc w:val="left"/>
        <w:rPr>
          <w:rFonts w:ascii="宋体" w:hAnsi="宋体" w:cs="宋体"/>
          <w:color w:val="000000" w:themeColor="text1"/>
          <w:sz w:val="28"/>
          <w:szCs w:val="28"/>
          <w14:textFill>
            <w14:solidFill>
              <w14:schemeClr w14:val="tx1"/>
            </w14:solidFill>
          </w14:textFill>
        </w:rPr>
      </w:pPr>
    </w:p>
    <w:p>
      <w:pPr>
        <w:adjustRightInd w:val="0"/>
        <w:snapToGrid w:val="0"/>
        <w:spacing w:line="480" w:lineRule="auto"/>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（单位名称及公章）：</w:t>
      </w:r>
    </w:p>
    <w:p>
      <w:pPr>
        <w:adjustRightInd w:val="0"/>
        <w:snapToGrid w:val="0"/>
        <w:spacing w:line="48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宋体" w:hAnsi="宋体"/>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themeColor="text1"/>
          <w:sz w:val="28"/>
          <w:szCs w:val="28"/>
          <w14:textFill>
            <w14:solidFill>
              <w14:schemeClr w14:val="tx1"/>
            </w14:solidFill>
          </w14:textFill>
        </w:rPr>
        <w:t>日    期：年</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w:t>
      </w:r>
    </w:p>
    <w:p>
      <w:pPr>
        <w:pStyle w:val="10"/>
        <w:ind w:firstLine="28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表2、技术响应偏差表</w:t>
      </w:r>
    </w:p>
    <w:tbl>
      <w:tblPr>
        <w:tblStyle w:val="2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2"/>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序号</w:t>
            </w:r>
          </w:p>
        </w:tc>
        <w:tc>
          <w:tcPr>
            <w:tcW w:w="2864"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谈判</w:t>
            </w:r>
            <w:r>
              <w:rPr>
                <w:rFonts w:hint="eastAsia" w:asciiTheme="minorEastAsia" w:hAnsiTheme="minorEastAsia" w:cstheme="minorEastAsia"/>
                <w:color w:val="000000" w:themeColor="text1"/>
                <w:sz w:val="24"/>
                <w:szCs w:val="24"/>
                <w14:textFill>
                  <w14:solidFill>
                    <w14:schemeClr w14:val="tx1"/>
                  </w14:solidFill>
                </w14:textFill>
              </w:rPr>
              <w:t>文件要求</w:t>
            </w:r>
          </w:p>
          <w:p>
            <w:pPr>
              <w:pStyle w:val="12"/>
              <w:spacing w:line="480" w:lineRule="auto"/>
              <w:ind w:firstLine="480" w:firstLineChars="20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要求</w:t>
            </w:r>
          </w:p>
        </w:tc>
        <w:tc>
          <w:tcPr>
            <w:tcW w:w="2443" w:type="dxa"/>
            <w:vAlign w:val="center"/>
          </w:tcPr>
          <w:p>
            <w:pPr>
              <w:pStyle w:val="12"/>
              <w:spacing w:line="48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响应文件</w:t>
            </w:r>
          </w:p>
          <w:p>
            <w:pPr>
              <w:pStyle w:val="12"/>
              <w:spacing w:line="480" w:lineRule="auto"/>
              <w:ind w:firstLine="720" w:firstLineChars="3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内容</w:t>
            </w:r>
          </w:p>
        </w:tc>
        <w:tc>
          <w:tcPr>
            <w:tcW w:w="1621" w:type="dxa"/>
            <w:vAlign w:val="center"/>
          </w:tcPr>
          <w:p>
            <w:pPr>
              <w:pStyle w:val="12"/>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偏差说明</w:t>
            </w:r>
          </w:p>
        </w:tc>
        <w:tc>
          <w:tcPr>
            <w:tcW w:w="1614" w:type="dxa"/>
            <w:vAlign w:val="center"/>
          </w:tcPr>
          <w:p>
            <w:pPr>
              <w:pStyle w:val="12"/>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vAlign w:val="center"/>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2"/>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12"/>
        <w:ind w:firstLine="562" w:firstLineChars="20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填写说明：</w:t>
      </w:r>
      <w:r>
        <w:rPr>
          <w:rFonts w:hint="eastAsia" w:asciiTheme="minorEastAsia" w:hAnsiTheme="minorEastAsia" w:cstheme="minorEastAsia"/>
          <w:color w:val="000000" w:themeColor="text1"/>
          <w:sz w:val="28"/>
          <w:szCs w:val="28"/>
          <w14:textFill>
            <w14:solidFill>
              <w14:schemeClr w14:val="tx1"/>
            </w14:solidFill>
          </w14:textFill>
        </w:rPr>
        <w:t>请按</w:t>
      </w:r>
      <w:r>
        <w:rPr>
          <w:rFonts w:hint="eastAsia" w:asciiTheme="minorEastAsia" w:hAnsiTheme="minorEastAsia" w:cstheme="minorEastAsia"/>
          <w:color w:val="000000" w:themeColor="text1"/>
          <w:sz w:val="28"/>
          <w:szCs w:val="28"/>
          <w:lang w:eastAsia="zh-CN"/>
          <w14:textFill>
            <w14:solidFill>
              <w14:schemeClr w14:val="tx1"/>
            </w14:solidFill>
          </w14:textFill>
        </w:rPr>
        <w:t>谈判</w:t>
      </w:r>
      <w:r>
        <w:rPr>
          <w:rFonts w:hint="eastAsia" w:asciiTheme="minorEastAsia" w:hAnsiTheme="minorEastAsia" w:cstheme="minorEastAsia"/>
          <w:color w:val="000000" w:themeColor="text1"/>
          <w:sz w:val="28"/>
          <w:szCs w:val="28"/>
          <w14:textFill>
            <w14:solidFill>
              <w14:schemeClr w14:val="tx1"/>
            </w14:solidFill>
          </w14:textFill>
        </w:rPr>
        <w:t>文件要求的实际要求，逐条对应响应文件的“采购要求”中的要求认真填写本表。偏差说明填写：正偏离（标明正偏离内容及正偏离的证明材料的页码）、符合（标明主要技术参数证明材料页码）或负偏离。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color w:val="000000" w:themeColor="text1"/>
          <w:sz w:val="28"/>
          <w:szCs w:val="28"/>
          <w14:textFill>
            <w14:solidFill>
              <w14:schemeClr w14:val="tx1"/>
            </w14:solidFill>
          </w14:textFill>
        </w:rPr>
      </w:pPr>
    </w:p>
    <w:p>
      <w:pPr>
        <w:adjustRightInd w:val="0"/>
        <w:snapToGrid w:val="0"/>
        <w:spacing w:line="480" w:lineRule="auto"/>
        <w:jc w:val="left"/>
        <w:rPr>
          <w:rFonts w:asciiTheme="minorEastAsia" w:hAnsiTheme="minorEastAsia" w:cstheme="minorEastAsia"/>
          <w:color w:val="000000" w:themeColor="text1"/>
          <w:sz w:val="28"/>
          <w:szCs w:val="28"/>
          <w:u w:val="single"/>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Theme="minorEastAsia" w:hAnsiTheme="minorEastAsia" w:cstheme="minorEastAsia"/>
          <w:color w:val="000000" w:themeColor="text1"/>
          <w:sz w:val="28"/>
          <w:szCs w:val="28"/>
          <w14:textFill>
            <w14:solidFill>
              <w14:schemeClr w14:val="tx1"/>
            </w14:solidFill>
          </w14:textFill>
        </w:rPr>
        <w:sectPr>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color w:val="000000" w:themeColor="text1"/>
          <w:sz w:val="28"/>
          <w:szCs w:val="28"/>
          <w14:textFill>
            <w14:solidFill>
              <w14:schemeClr w14:val="tx1"/>
            </w14:solidFill>
          </w14:textFill>
        </w:rPr>
        <w:t>日    期：年</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月</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日</w:t>
      </w:r>
    </w:p>
    <w:p>
      <w:pPr>
        <w:pStyle w:val="3"/>
        <w:spacing w:beforeLines="100" w:afterLines="150" w:line="500" w:lineRule="exact"/>
        <w:jc w:val="center"/>
        <w:rPr>
          <w:rFonts w:asciiTheme="minorEastAsia" w:hAnsiTheme="minorEastAsia" w:eastAsiaTheme="minorEastAsia" w:cstheme="minorEastAsia"/>
          <w:color w:val="000000" w:themeColor="text1"/>
          <w:sz w:val="36"/>
          <w:szCs w:val="36"/>
          <w14:textFill>
            <w14:solidFill>
              <w14:schemeClr w14:val="tx1"/>
            </w14:solidFill>
          </w14:textFill>
        </w:rPr>
      </w:pPr>
      <w:bookmarkStart w:id="193" w:name="_Toc18357"/>
      <w:bookmarkStart w:id="194" w:name="_Toc31479"/>
      <w:bookmarkStart w:id="195" w:name="_Toc12527"/>
      <w:bookmarkStart w:id="196" w:name="_Toc8786"/>
      <w:bookmarkStart w:id="197" w:name="_Toc31024"/>
      <w:r>
        <w:rPr>
          <w:rFonts w:hint="eastAsia" w:asciiTheme="minorEastAsia" w:hAnsiTheme="minorEastAsia" w:eastAsiaTheme="minorEastAsia" w:cstheme="minorEastAsia"/>
          <w:color w:val="000000" w:themeColor="text1"/>
          <w:sz w:val="36"/>
          <w:szCs w:val="36"/>
          <w14:textFill>
            <w14:solidFill>
              <w14:schemeClr w14:val="tx1"/>
            </w14:solidFill>
          </w14:textFill>
        </w:rPr>
        <w:t>第</w:t>
      </w:r>
      <w:r>
        <w:rPr>
          <w:rFonts w:hint="eastAsia" w:asciiTheme="minorEastAsia" w:hAnsiTheme="minorEastAsia" w:eastAsiaTheme="minorEastAsia" w:cstheme="minorEastAsia"/>
          <w:color w:val="000000" w:themeColor="text1"/>
          <w:sz w:val="36"/>
          <w:szCs w:val="36"/>
          <w:lang w:eastAsia="zh-CN"/>
          <w14:textFill>
            <w14:solidFill>
              <w14:schemeClr w14:val="tx1"/>
            </w14:solidFill>
          </w14:textFill>
        </w:rPr>
        <w:t>七</w:t>
      </w:r>
      <w:r>
        <w:rPr>
          <w:rFonts w:hint="eastAsia" w:asciiTheme="minorEastAsia" w:hAnsiTheme="minorEastAsia" w:eastAsiaTheme="minorEastAsia" w:cstheme="minorEastAsia"/>
          <w:color w:val="000000" w:themeColor="text1"/>
          <w:sz w:val="36"/>
          <w:szCs w:val="36"/>
          <w14:textFill>
            <w14:solidFill>
              <w14:schemeClr w14:val="tx1"/>
            </w14:solidFill>
          </w14:textFill>
        </w:rPr>
        <w:t>章</w:t>
      </w:r>
      <w:bookmarkEnd w:id="193"/>
      <w:r>
        <w:rPr>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6"/>
          <w:szCs w:val="36"/>
          <w14:textFill>
            <w14:solidFill>
              <w14:schemeClr w14:val="tx1"/>
            </w14:solidFill>
          </w14:textFill>
        </w:rPr>
        <w:t>技术支持资料</w:t>
      </w:r>
      <w:bookmarkEnd w:id="194"/>
      <w:bookmarkEnd w:id="195"/>
      <w:bookmarkEnd w:id="196"/>
      <w:bookmarkEnd w:id="197"/>
    </w:p>
    <w:p>
      <w:pPr>
        <w:spacing w:line="360" w:lineRule="auto"/>
        <w:rPr>
          <w:rFonts w:ascii="宋体" w:hAnsi="宋体" w:eastAsia="宋体" w:cs="宋体"/>
          <w:sz w:val="24"/>
          <w:szCs w:val="24"/>
        </w:rPr>
      </w:pPr>
      <w:r>
        <w:rPr>
          <w:rFonts w:hint="eastAsia"/>
          <w:b/>
          <w:bCs/>
          <w:color w:val="000000" w:themeColor="text1"/>
          <w:sz w:val="36"/>
          <w:szCs w:val="36"/>
          <w14:textFill>
            <w14:solidFill>
              <w14:schemeClr w14:val="tx1"/>
            </w14:solidFill>
          </w14:textFill>
        </w:rPr>
        <w:t>供应商可自行编写，</w:t>
      </w:r>
      <w:r>
        <w:rPr>
          <w:rFonts w:hint="eastAsia"/>
          <w:b/>
          <w:bCs/>
          <w:color w:val="000000" w:themeColor="text1"/>
          <w:sz w:val="36"/>
          <w:szCs w:val="36"/>
          <w:lang w:eastAsia="zh-CN"/>
          <w14:textFill>
            <w14:solidFill>
              <w14:schemeClr w14:val="tx1"/>
            </w14:solidFill>
          </w14:textFill>
        </w:rPr>
        <w:t>格式不限</w:t>
      </w:r>
      <w:r>
        <w:rPr>
          <w:rFonts w:hint="eastAsia"/>
          <w:b/>
          <w:bCs/>
          <w:color w:val="000000" w:themeColor="text1"/>
          <w:sz w:val="36"/>
          <w:szCs w:val="36"/>
          <w14:textFill>
            <w14:solidFill>
              <w14:schemeClr w14:val="tx1"/>
            </w14:solidFill>
          </w14:textFill>
        </w:rPr>
        <w:t>：</w:t>
      </w:r>
    </w:p>
    <w:p>
      <w:pPr>
        <w:rPr>
          <w:rFonts w:ascii="宋体" w:hAnsi="宋体" w:eastAsia="宋体" w:cs="宋体"/>
        </w:rPr>
        <w:sectPr>
          <w:footerReference r:id="rId9" w:type="default"/>
          <w:pgSz w:w="11906" w:h="16838"/>
          <w:pgMar w:top="1440" w:right="1803" w:bottom="1440" w:left="1803" w:header="851" w:footer="992" w:gutter="0"/>
          <w:cols w:space="0" w:num="1"/>
          <w:docGrid w:type="lines" w:linePitch="317" w:charSpace="0"/>
        </w:sectPr>
      </w:pPr>
    </w:p>
    <w:p>
      <w:pPr>
        <w:pStyle w:val="3"/>
        <w:rPr>
          <w:color w:val="000000" w:themeColor="text1"/>
          <w14:textFill>
            <w14:solidFill>
              <w14:schemeClr w14:val="tx1"/>
            </w14:solidFill>
          </w14:textFill>
        </w:rPr>
      </w:pPr>
      <w:bookmarkStart w:id="198" w:name="_Toc24882"/>
      <w:bookmarkStart w:id="199" w:name="_Toc23191"/>
      <w:bookmarkStart w:id="200" w:name="_Toc4988"/>
      <w:bookmarkStart w:id="201" w:name="_Toc11540"/>
      <w:bookmarkStart w:id="202" w:name="_Toc30768"/>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章 供应商业绩一览表</w:t>
      </w:r>
      <w:bookmarkEnd w:id="198"/>
      <w:bookmarkEnd w:id="199"/>
      <w:bookmarkEnd w:id="200"/>
      <w:bookmarkEnd w:id="201"/>
    </w:p>
    <w:p>
      <w:pPr>
        <w:rPr>
          <w:rFonts w:asciiTheme="minorEastAsia" w:hAnsiTheme="minorEastAsia" w:cstheme="minorEastAsia"/>
          <w:color w:val="000000" w:themeColor="text1"/>
          <w14:textFill>
            <w14:solidFill>
              <w14:schemeClr w14:val="tx1"/>
            </w14:solidFill>
          </w14:textFill>
        </w:rPr>
      </w:pPr>
    </w:p>
    <w:tbl>
      <w:tblPr>
        <w:tblStyle w:val="20"/>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年份</w:t>
            </w: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用户名称</w:t>
            </w: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项目名称</w:t>
            </w: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完成时间</w:t>
            </w:r>
          </w:p>
        </w:tc>
        <w:tc>
          <w:tcPr>
            <w:tcW w:w="1485" w:type="dxa"/>
            <w:vAlign w:val="center"/>
          </w:tcPr>
          <w:p>
            <w:pPr>
              <w:spacing w:line="400" w:lineRule="exact"/>
              <w:ind w:firstLine="105" w:firstLineChars="50"/>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cs="宋体"/>
          <w:sz w:val="24"/>
          <w:szCs w:val="24"/>
          <w:lang w:eastAsia="zh-CN"/>
        </w:rPr>
      </w:pPr>
      <w:r>
        <w:rPr>
          <w:rFonts w:hint="eastAsia" w:asciiTheme="minorEastAsia" w:hAnsiTheme="minorEastAsia" w:cstheme="minorEastAsia"/>
          <w:color w:val="000000" w:themeColor="text1"/>
          <w:sz w:val="24"/>
          <w:szCs w:val="24"/>
          <w14:textFill>
            <w14:solidFill>
              <w14:schemeClr w14:val="tx1"/>
            </w14:solidFill>
          </w14:textFill>
        </w:rPr>
        <w:t xml:space="preserve"> 注：</w:t>
      </w:r>
      <w:r>
        <w:rPr>
          <w:rFonts w:hint="eastAsia" w:ascii="宋体" w:hAnsi="宋体" w:cs="宋体"/>
          <w:sz w:val="24"/>
          <w:szCs w:val="24"/>
          <w:lang w:eastAsia="zh-CN"/>
        </w:rPr>
        <w:t>以上业绩合同是指所投产品的业绩合同，</w:t>
      </w:r>
      <w:r>
        <w:rPr>
          <w:rFonts w:hint="eastAsia" w:ascii="宋体" w:hAnsi="宋体" w:cs="宋体"/>
          <w:sz w:val="24"/>
          <w:szCs w:val="24"/>
        </w:rPr>
        <w:t>需提供采购合同复印件加盖公章</w:t>
      </w:r>
      <w:r>
        <w:rPr>
          <w:rFonts w:hint="eastAsia" w:ascii="宋体" w:hAnsi="宋体" w:cs="宋体"/>
          <w:sz w:val="24"/>
          <w:szCs w:val="24"/>
          <w:lang w:eastAsia="zh-CN"/>
        </w:rPr>
        <w:t>。</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color w:val="000000" w:themeColor="text1"/>
          <w:sz w:val="24"/>
          <w:szCs w:val="24"/>
          <w14:textFill>
            <w14:solidFill>
              <w14:schemeClr w14:val="tx1"/>
            </w14:solidFill>
          </w14:textFill>
        </w:rPr>
      </w:pPr>
    </w:p>
    <w:p>
      <w:pPr>
        <w:spacing w:line="360" w:lineRule="auto"/>
        <w:ind w:left="360"/>
        <w:jc w:val="center"/>
        <w:rPr>
          <w:rFonts w:asciiTheme="minorEastAsia" w:hAnsiTheme="minorEastAsia" w:cstheme="minorEastAsia"/>
          <w:color w:val="000000" w:themeColor="text1"/>
          <w:sz w:val="24"/>
          <w:szCs w:val="24"/>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法定代表人或委托代理人（签字或盖章）：</w:t>
      </w:r>
    </w:p>
    <w:p>
      <w:pPr>
        <w:adjustRightInd w:val="0"/>
        <w:spacing w:line="360" w:lineRule="auto"/>
        <w:ind w:firstLine="420" w:firstLineChars="175"/>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pStyle w:val="3"/>
        <w:rPr>
          <w:color w:val="000000" w:themeColor="text1"/>
          <w14:textFill>
            <w14:solidFill>
              <w14:schemeClr w14:val="tx1"/>
            </w14:solidFill>
          </w14:textFill>
        </w:rPr>
      </w:pPr>
      <w:bookmarkStart w:id="203" w:name="_Toc7800"/>
      <w:bookmarkStart w:id="204" w:name="_Toc4580"/>
      <w:bookmarkStart w:id="205" w:name="_Toc29034"/>
      <w:bookmarkStart w:id="206" w:name="_Toc18894"/>
      <w:bookmarkStart w:id="207" w:name="_Toc23432"/>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九</w:t>
      </w:r>
      <w:r>
        <w:rPr>
          <w:rFonts w:hint="eastAsia"/>
          <w:color w:val="000000" w:themeColor="text1"/>
          <w14:textFill>
            <w14:solidFill>
              <w14:schemeClr w14:val="tx1"/>
            </w14:solidFill>
          </w14:textFill>
        </w:rPr>
        <w:t>章</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供应商认为有必要说明的其他问题</w:t>
      </w:r>
      <w:bookmarkEnd w:id="203"/>
      <w:bookmarkEnd w:id="204"/>
      <w:bookmarkEnd w:id="205"/>
      <w:bookmarkEnd w:id="206"/>
      <w:bookmarkEnd w:id="207"/>
    </w:p>
    <w:p>
      <w:pPr>
        <w:pStyle w:val="6"/>
        <w:rPr>
          <w:color w:val="000000" w:themeColor="text1"/>
          <w14:textFill>
            <w14:solidFill>
              <w14:schemeClr w14:val="tx1"/>
            </w14:solidFill>
          </w14:textFill>
        </w:rPr>
      </w:pPr>
    </w:p>
    <w:p>
      <w:pPr>
        <w:bidi w:val="0"/>
        <w:rPr>
          <w:rFonts w:hint="eastAsia"/>
        </w:rPr>
        <w:sectPr>
          <w:pgSz w:w="11906" w:h="16838"/>
          <w:pgMar w:top="1440" w:right="1803" w:bottom="1440" w:left="1803" w:header="851" w:footer="992" w:gutter="0"/>
          <w:cols w:space="720" w:num="1"/>
          <w:docGrid w:type="lines" w:linePitch="319" w:charSpace="0"/>
        </w:sectPr>
      </w:pPr>
      <w:r>
        <w:rPr>
          <w:rFonts w:hint="eastAsia"/>
        </w:rPr>
        <w:t>供应商可在此处附附件二至附件五的证明材料，如没有提供，视为无。</w:t>
      </w:r>
    </w:p>
    <w:bookmarkEnd w:id="202"/>
    <w:p>
      <w:pPr>
        <w:pStyle w:val="3"/>
        <w:rPr>
          <w:rFonts w:ascii="宋体" w:hAnsi="宋体" w:cs="宋体"/>
        </w:rPr>
      </w:pPr>
      <w:bookmarkStart w:id="208" w:name="_Toc28654"/>
      <w:bookmarkStart w:id="209" w:name="_Toc7368"/>
      <w:bookmarkStart w:id="210" w:name="_Toc10667"/>
      <w:r>
        <w:rPr>
          <w:rFonts w:hint="eastAsia" w:ascii="宋体" w:hAnsi="宋体" w:cs="宋体"/>
        </w:rPr>
        <w:t>第九</w:t>
      </w:r>
      <w:r>
        <w:rPr>
          <w:rFonts w:hint="eastAsia" w:ascii="宋体" w:hAnsi="宋体" w:cs="宋体"/>
          <w:lang w:eastAsia="zh-CN"/>
        </w:rPr>
        <w:t>章</w:t>
      </w:r>
      <w:r>
        <w:rPr>
          <w:rFonts w:hint="eastAsia" w:ascii="宋体" w:hAnsi="宋体" w:cs="宋体"/>
        </w:rPr>
        <w:t xml:space="preserve"> 供应商承诺书</w:t>
      </w:r>
      <w:bookmarkEnd w:id="208"/>
      <w:bookmarkEnd w:id="209"/>
      <w:bookmarkEnd w:id="210"/>
    </w:p>
    <w:p>
      <w:pPr>
        <w:pStyle w:val="12"/>
        <w:ind w:firstLine="562" w:firstLineChars="200"/>
        <w:jc w:val="left"/>
        <w:rPr>
          <w:rFonts w:hAnsi="宋体" w:eastAsia="宋体" w:cs="宋体"/>
          <w:b/>
          <w:bCs/>
          <w:sz w:val="28"/>
          <w:szCs w:val="28"/>
        </w:rPr>
      </w:pPr>
      <w:r>
        <w:rPr>
          <w:rFonts w:hint="eastAsia" w:hAnsi="宋体" w:eastAsia="宋体" w:cs="宋体"/>
          <w:b/>
          <w:bCs/>
          <w:sz w:val="28"/>
          <w:szCs w:val="28"/>
        </w:rPr>
        <w:t>陕西省政府采购供货商拒绝政府采购领域商业贿赂承诺书Ⅰ</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为响应党中央、国务院关于治理政府采购领域商业贿赂行为的号召，我公司在此庄严承诺：</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2、不向政府采购人、代理机构和政府采购评审专家进行任何形式的商业贿赂以谋取交易机会。</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3、不向政府代理机构和采购人提供虚假资质文件或采用虚假应标方式参与政府采购市场竞争并谋取成交。</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5、不采取不正当手段诋毁、排挤其它供货商。</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6、不在提供商品和服务时“偷梁换柱、以次充好”损害采购人的合法权益。</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7、不与采购人、代理机构政府采购评审专家或其它供货商恶意串通，进行质疑和投诉，维护政府采购市场秩序。</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sz w:val="24"/>
        </w:rPr>
        <w:t>法定代表人/被授权人（签字）：______________________</w:t>
      </w:r>
    </w:p>
    <w:p>
      <w:pPr>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时间：</w:t>
      </w:r>
      <w:r>
        <w:rPr>
          <w:rFonts w:hint="eastAsia" w:ascii="宋体" w:hAnsi="宋体" w:eastAsia="宋体" w:cs="宋体"/>
          <w:sz w:val="24"/>
        </w:rPr>
        <w:t>____</w:t>
      </w:r>
      <w:r>
        <w:rPr>
          <w:rFonts w:hint="eastAsia" w:ascii="宋体" w:hAnsi="宋体" w:eastAsia="宋体" w:cs="宋体"/>
          <w:szCs w:val="21"/>
        </w:rPr>
        <w:t>年</w:t>
      </w:r>
      <w:r>
        <w:rPr>
          <w:rFonts w:hint="eastAsia" w:ascii="宋体" w:hAnsi="宋体" w:eastAsia="宋体" w:cs="宋体"/>
          <w:sz w:val="24"/>
        </w:rPr>
        <w:t>____</w:t>
      </w:r>
      <w:r>
        <w:rPr>
          <w:rFonts w:hint="eastAsia" w:ascii="宋体" w:hAnsi="宋体" w:eastAsia="宋体" w:cs="宋体"/>
          <w:szCs w:val="21"/>
        </w:rPr>
        <w:t>月</w:t>
      </w:r>
      <w:r>
        <w:rPr>
          <w:rFonts w:hint="eastAsia" w:ascii="宋体" w:hAnsi="宋体" w:eastAsia="宋体" w:cs="宋体"/>
          <w:sz w:val="24"/>
        </w:rPr>
        <w:t>____</w:t>
      </w:r>
      <w:r>
        <w:rPr>
          <w:rFonts w:hint="eastAsia" w:ascii="宋体" w:hAnsi="宋体" w:eastAsia="宋体" w:cs="宋体"/>
          <w:szCs w:val="21"/>
        </w:rPr>
        <w:t>日</w:t>
      </w:r>
    </w:p>
    <w:p>
      <w:pPr>
        <w:pageBreakBefore/>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承诺书Ⅱ</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西安市长安区医院医疗设备采购项目（二次）</w:t>
            </w:r>
            <w:r>
              <w:rPr>
                <w:rFonts w:hint="eastAsia" w:ascii="宋体" w:hAnsi="宋体" w:eastAsia="宋体" w:cs="宋体"/>
                <w:szCs w:val="21"/>
              </w:rPr>
              <w:t xml:space="preserve">的供应商，本公司承诺：在参加本项目谈判之前不存在被依法禁止经营行为、财产被接管或冻结的情况，如有隐瞒实情，愿承担一切责任及后果。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7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7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7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 xml:space="preserve">（签字或盖章） </w:t>
            </w:r>
          </w:p>
        </w:tc>
        <w:tc>
          <w:tcPr>
            <w:tcW w:w="2376"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spacing w:line="360" w:lineRule="atLeast"/>
        <w:ind w:firstLine="843" w:firstLineChars="200"/>
        <w:jc w:val="left"/>
        <w:rPr>
          <w:rFonts w:ascii="宋体" w:hAnsi="宋体" w:eastAsia="宋体" w:cs="宋体"/>
          <w:b/>
          <w:sz w:val="42"/>
          <w:szCs w:val="42"/>
        </w:rPr>
      </w:pPr>
    </w:p>
    <w:p>
      <w:pPr>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承诺书Ⅲ</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西安市长安区医院医疗设备采购项目（二次）</w:t>
            </w:r>
            <w:r>
              <w:rPr>
                <w:rFonts w:hint="eastAsia" w:ascii="宋体" w:hAnsi="宋体" w:eastAsia="宋体" w:cs="宋体"/>
                <w:szCs w:val="21"/>
              </w:rPr>
              <w:t>的供应商，本公司郑重申告并承诺：近三年受到有关行政主管部门的行政处理、不良行为记录为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8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87"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8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387"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pageBreakBefore/>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承诺书Ⅳ</w:t>
      </w:r>
    </w:p>
    <w:tbl>
      <w:tblPr>
        <w:tblStyle w:val="2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西安市长安区医院医疗设备采购项目（二次）</w:t>
            </w:r>
            <w:r>
              <w:rPr>
                <w:rFonts w:hint="eastAsia" w:ascii="宋体" w:hAnsi="宋体" w:eastAsia="宋体" w:cs="宋体"/>
                <w:szCs w:val="21"/>
              </w:rPr>
              <w:t>的供应商，本公司郑重申告：近三年因产品供货问题（水货、替代品、次品、翻新品等）的不法行为记录为</w:t>
            </w:r>
            <w:r>
              <w:rPr>
                <w:rFonts w:hint="eastAsia" w:ascii="宋体" w:hAnsi="宋体" w:eastAsia="宋体" w:cs="宋体"/>
                <w:szCs w:val="21"/>
                <w:u w:val="single"/>
              </w:rPr>
              <w:t xml:space="preserve">      </w:t>
            </w:r>
            <w:r>
              <w:rPr>
                <w:rFonts w:hint="eastAsia" w:ascii="宋体" w:hAnsi="宋体" w:eastAsia="宋体" w:cs="宋体"/>
                <w:szCs w:val="21"/>
              </w:rPr>
              <w:t>次（没有填零），如有隐瞒实情，愿承担一切责任及后果。</w:t>
            </w:r>
          </w:p>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本公司承诺：本次谈判产品为正品行货。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6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71"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6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371"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spacing w:line="360" w:lineRule="auto"/>
        <w:ind w:firstLine="480" w:firstLineChars="200"/>
        <w:jc w:val="left"/>
        <w:rPr>
          <w:rFonts w:ascii="宋体" w:hAnsi="宋体" w:eastAsia="宋体" w:cs="宋体"/>
          <w:sz w:val="24"/>
          <w:szCs w:val="28"/>
        </w:rPr>
      </w:pPr>
    </w:p>
    <w:p>
      <w:pPr>
        <w:spacing w:line="360" w:lineRule="atLeast"/>
        <w:ind w:firstLine="482" w:firstLineChars="200"/>
        <w:jc w:val="center"/>
        <w:rPr>
          <w:rFonts w:ascii="宋体" w:hAnsi="宋体" w:eastAsia="宋体" w:cs="宋体"/>
          <w:b/>
          <w:sz w:val="32"/>
          <w:szCs w:val="32"/>
        </w:rPr>
      </w:pPr>
      <w:r>
        <w:rPr>
          <w:rFonts w:hint="eastAsia" w:ascii="宋体" w:hAnsi="宋体" w:eastAsia="宋体" w:cs="宋体"/>
          <w:b/>
          <w:sz w:val="24"/>
          <w:szCs w:val="24"/>
        </w:rPr>
        <w:t>承诺书</w:t>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 5 \* ROMAN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zh-CN"/>
        </w:rPr>
        <w:t>V</w:t>
      </w:r>
      <w:r>
        <w:rPr>
          <w:rFonts w:hint="eastAsia" w:ascii="宋体" w:hAnsi="宋体" w:eastAsia="宋体" w:cs="宋体"/>
          <w:b/>
          <w:sz w:val="24"/>
          <w:szCs w:val="24"/>
        </w:rPr>
        <w:fldChar w:fldCharType="end"/>
      </w:r>
    </w:p>
    <w:tbl>
      <w:tblPr>
        <w:tblStyle w:val="20"/>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西安市长安区医院医疗设备采购项目（二次）</w:t>
            </w:r>
            <w:r>
              <w:rPr>
                <w:rFonts w:hint="eastAsia" w:ascii="宋体" w:hAnsi="宋体" w:eastAsia="宋体" w:cs="宋体"/>
                <w:szCs w:val="21"/>
              </w:rPr>
              <w:t>的供应商，本公司承诺：参加本次谈判提交的所有资质证明文件及业绩证明文件是真实的、有效的，如有隐瞒实情，愿承担一切责任及后果。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53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41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53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418"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pStyle w:val="5"/>
        <w:rPr>
          <w:rFonts w:hint="default"/>
        </w:rPr>
        <w:sectPr>
          <w:pgSz w:w="11906" w:h="16838"/>
          <w:pgMar w:top="1440" w:right="1803" w:bottom="1440" w:left="1803" w:header="851" w:footer="992" w:gutter="0"/>
          <w:cols w:space="0" w:num="1"/>
          <w:docGrid w:type="lines" w:linePitch="317" w:charSpace="0"/>
        </w:sectPr>
      </w:pPr>
    </w:p>
    <w:p>
      <w:pPr>
        <w:pStyle w:val="3"/>
        <w:adjustRightInd w:val="0"/>
        <w:spacing w:line="416" w:lineRule="atLeast"/>
        <w:textAlignment w:val="baseline"/>
        <w:rPr>
          <w:rFonts w:ascii="宋体" w:hAnsi="宋体" w:cs="宋体"/>
        </w:rPr>
      </w:pPr>
      <w:bookmarkStart w:id="211" w:name="_Toc24188"/>
      <w:r>
        <w:rPr>
          <w:rFonts w:hint="eastAsia" w:ascii="宋体" w:hAnsi="宋体" w:cs="宋体"/>
        </w:rPr>
        <w:t>附件一、封袋正面标识式样</w:t>
      </w:r>
      <w:bookmarkEnd w:id="211"/>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谈判响应文件正本封袋正面标识式样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132080</wp:posOffset>
                </wp:positionV>
                <wp:extent cx="6255385" cy="2997835"/>
                <wp:effectExtent l="4445" t="4445" r="7620" b="7620"/>
                <wp:wrapNone/>
                <wp:docPr id="13" name="Text Box 3"/>
                <wp:cNvGraphicFramePr/>
                <a:graphic xmlns:a="http://schemas.openxmlformats.org/drawingml/2006/main">
                  <a:graphicData uri="http://schemas.microsoft.com/office/word/2010/wordprocessingShape">
                    <wps:wsp>
                      <wps:cNvSpPr txBox="1"/>
                      <wps:spPr>
                        <a:xfrm>
                          <a:off x="0" y="0"/>
                          <a:ext cx="6255385" cy="29978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谈判响应文件（正本）</w:t>
                            </w:r>
                          </w:p>
                          <w:p>
                            <w:pPr>
                              <w:jc w:val="center"/>
                              <w:rPr>
                                <w:rFonts w:hint="eastAsia" w:eastAsiaTheme="minorEastAsia"/>
                                <w:sz w:val="28"/>
                                <w:szCs w:val="28"/>
                                <w:lang w:eastAsia="zh-CN"/>
                              </w:rPr>
                            </w:pP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3.35pt;margin-top:10.4pt;height:236.05pt;width:492.55pt;z-index:251660288;mso-width-relative:page;mso-height-relative:page;" fillcolor="#FFFFFF" filled="t" stroked="t" coordsize="21600,21600" o:gfxdata="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EvBotoAAAAKAQAADwAAAAAAAAABACAAAAAiAAAAZHJz&#10;L2Rvd25yZXYueG1sUEsBAhQAFAAAAAgAh07iQGiU7uUCAgAARQQAAA4AAAAAAAAAAQAgAAAAKQ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谈判响应文件（正本）</w:t>
                      </w:r>
                    </w:p>
                    <w:p>
                      <w:pPr>
                        <w:jc w:val="center"/>
                        <w:rPr>
                          <w:rFonts w:hint="eastAsia" w:eastAsiaTheme="minorEastAsia"/>
                          <w:sz w:val="28"/>
                          <w:szCs w:val="28"/>
                          <w:lang w:eastAsia="zh-CN"/>
                        </w:rPr>
                      </w:pP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谈判响应文件副本封袋正面标识式样</w:t>
      </w: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140335</wp:posOffset>
                </wp:positionV>
                <wp:extent cx="6288405" cy="2879725"/>
                <wp:effectExtent l="4445" t="4445" r="12700" b="11430"/>
                <wp:wrapNone/>
                <wp:docPr id="12" name="Text Box 4"/>
                <wp:cNvGraphicFramePr/>
                <a:graphic xmlns:a="http://schemas.openxmlformats.org/drawingml/2006/main">
                  <a:graphicData uri="http://schemas.microsoft.com/office/word/2010/wordprocessingShape">
                    <wps:wsp>
                      <wps:cNvSpPr txBox="1"/>
                      <wps:spPr>
                        <a:xfrm>
                          <a:off x="0" y="0"/>
                          <a:ext cx="6288405"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谈判响应文件（副本）</w:t>
                            </w:r>
                          </w:p>
                          <w:p>
                            <w:pPr>
                              <w:jc w:val="center"/>
                              <w:rPr>
                                <w:sz w:val="28"/>
                                <w:szCs w:val="28"/>
                              </w:rPr>
                            </w:pP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4" o:spid="_x0000_s1026" o:spt="202" type="#_x0000_t202" style="position:absolute;left:0pt;margin-left:-34.8pt;margin-top:11.05pt;height:226.75pt;width:495.15pt;z-index:251661312;mso-width-relative:page;mso-height-relative:page;" fillcolor="#FFFFFF" filled="t" stroked="t" coordsize="21600,21600" o:gfxdata="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ut16NoAAAAKAQAADwAAAAAAAAABACAAAAAiAAAAZHJz&#10;L2Rvd25yZXYueG1sUEsBAhQAFAAAAAgAh07iQIM0LykCAgAARQQAAA4AAAAAAAAAAQAgAAAAKQ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谈判响应文件（副本）</w:t>
                      </w:r>
                    </w:p>
                    <w:p>
                      <w:pPr>
                        <w:jc w:val="center"/>
                        <w:rPr>
                          <w:sz w:val="28"/>
                          <w:szCs w:val="28"/>
                        </w:rPr>
                      </w:pP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3" w:bottom="1440" w:left="1803" w:header="851" w:footer="992" w:gutter="0"/>
          <w:cols w:space="0" w:num="1"/>
          <w:docGrid w:type="lines" w:linePitch="317"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-406400</wp:posOffset>
                </wp:positionH>
                <wp:positionV relativeFrom="paragraph">
                  <wp:posOffset>188595</wp:posOffset>
                </wp:positionV>
                <wp:extent cx="6244590" cy="2957195"/>
                <wp:effectExtent l="4445" t="5080" r="18415" b="9525"/>
                <wp:wrapNone/>
                <wp:docPr id="11" name="Text Box 3"/>
                <wp:cNvGraphicFramePr/>
                <a:graphic xmlns:a="http://schemas.openxmlformats.org/drawingml/2006/main">
                  <a:graphicData uri="http://schemas.microsoft.com/office/word/2010/wordprocessingShape">
                    <wps:wsp>
                      <wps:cNvSpPr txBox="1"/>
                      <wps:spPr>
                        <a:xfrm>
                          <a:off x="0" y="0"/>
                          <a:ext cx="6244590" cy="29571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2pt;margin-top:14.85pt;height:232.85pt;width:491.7pt;z-index:251664384;mso-width-relative:page;mso-height-relative:page;" fillcolor="#FFFFFF" filled="t" stroked="t" coordsize="21600,21600" o:gfxdata="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YVH5toAAAAKAQAADwAAAAAAAAABACAAAAAiAAAAZHJz&#10;L2Rvd25yZXYueG1sUEsBAhQAFAAAAAgAh07iQLbcCLACAgAARQQAAA4AAAAAAAAAAQAgAAAAKQ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5408" behindDoc="0" locked="0" layoutInCell="1" allowOverlap="1">
                <wp:simplePos x="0" y="0"/>
                <wp:positionH relativeFrom="column">
                  <wp:posOffset>-425450</wp:posOffset>
                </wp:positionH>
                <wp:positionV relativeFrom="paragraph">
                  <wp:posOffset>55245</wp:posOffset>
                </wp:positionV>
                <wp:extent cx="6351270" cy="2948305"/>
                <wp:effectExtent l="4445" t="5080" r="6985" b="18415"/>
                <wp:wrapNone/>
                <wp:docPr id="10" name="Text Box 3"/>
                <wp:cNvGraphicFramePr/>
                <a:graphic xmlns:a="http://schemas.openxmlformats.org/drawingml/2006/main">
                  <a:graphicData uri="http://schemas.microsoft.com/office/word/2010/wordprocessingShape">
                    <wps:wsp>
                      <wps:cNvSpPr txBox="1"/>
                      <wps:spPr>
                        <a:xfrm>
                          <a:off x="0" y="0"/>
                          <a:ext cx="6455410" cy="2948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电子文档</w:t>
                            </w:r>
                          </w:p>
                          <w:p>
                            <w:pPr>
                              <w:jc w:val="center"/>
                              <w:rPr>
                                <w:sz w:val="28"/>
                                <w:szCs w:val="28"/>
                              </w:rPr>
                            </w:pPr>
                          </w:p>
                          <w:p>
                            <w:pPr>
                              <w:jc w:val="center"/>
                              <w:rPr>
                                <w:sz w:val="28"/>
                                <w:szCs w:val="28"/>
                              </w:rPr>
                            </w:pPr>
                            <w:r>
                              <w:rPr>
                                <w:rFonts w:hint="eastAsia"/>
                                <w:sz w:val="28"/>
                                <w:szCs w:val="28"/>
                              </w:rPr>
                              <w:t>（非谈判会议不得启封）</w:t>
                            </w:r>
                          </w:p>
                          <w:p>
                            <w:pPr>
                              <w:rPr>
                                <w:color w:val="FF0000"/>
                                <w:sz w:val="28"/>
                                <w:szCs w:val="28"/>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3.5pt;margin-top:4.35pt;height:232.15pt;width:500.1pt;z-index:251665408;mso-width-relative:page;mso-height-relative:page;" fillcolor="#FFFFFF" filled="t" stroked="t" coordsize="21600,21600" o:gfxdata="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8Y2bXZAAAACQEAAA8AAAAAAAAAAQAgAAAAIgAAAGRycy9k&#10;b3ducmV2LnhtbFBLAQIUABQAAAAIAIdO4kDFrURPAQIAAEUEAAAOAAAAAAAAAAEAIAAAACg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SXWZ2023ZB-CAYY-322A</w:t>
                      </w:r>
                      <w:r>
                        <w:rPr>
                          <w:rFonts w:hint="eastAsia"/>
                          <w:sz w:val="28"/>
                          <w:szCs w:val="28"/>
                        </w:rPr>
                        <w:t>项目名称：</w:t>
                      </w:r>
                      <w:r>
                        <w:rPr>
                          <w:rFonts w:hint="eastAsia"/>
                          <w:sz w:val="28"/>
                          <w:szCs w:val="28"/>
                          <w:lang w:eastAsia="zh-CN"/>
                        </w:rPr>
                        <w:t>西安市长安区医院医疗设备采购项目（二次）</w:t>
                      </w:r>
                    </w:p>
                    <w:p>
                      <w:pPr>
                        <w:jc w:val="center"/>
                        <w:rPr>
                          <w:rFonts w:hint="eastAsia"/>
                          <w:b/>
                          <w:sz w:val="44"/>
                          <w:szCs w:val="44"/>
                        </w:rPr>
                      </w:pPr>
                      <w:r>
                        <w:rPr>
                          <w:rFonts w:hint="eastAsia"/>
                          <w:b/>
                          <w:sz w:val="44"/>
                          <w:szCs w:val="44"/>
                        </w:rPr>
                        <w:t>电子文档</w:t>
                      </w:r>
                    </w:p>
                    <w:p>
                      <w:pPr>
                        <w:jc w:val="center"/>
                        <w:rPr>
                          <w:sz w:val="28"/>
                          <w:szCs w:val="28"/>
                        </w:rPr>
                      </w:pPr>
                    </w:p>
                    <w:p>
                      <w:pPr>
                        <w:jc w:val="center"/>
                        <w:rPr>
                          <w:sz w:val="28"/>
                          <w:szCs w:val="28"/>
                        </w:rPr>
                      </w:pPr>
                      <w:r>
                        <w:rPr>
                          <w:rFonts w:hint="eastAsia"/>
                          <w:sz w:val="28"/>
                          <w:szCs w:val="28"/>
                        </w:rPr>
                        <w:t>（非谈判会议不得启封）</w:t>
                      </w:r>
                    </w:p>
                    <w:p>
                      <w:pPr>
                        <w:rPr>
                          <w:color w:val="FF0000"/>
                          <w:sz w:val="28"/>
                          <w:szCs w:val="28"/>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cols w:space="0" w:num="1"/>
          <w:docGrid w:type="lines" w:linePitch="317" w:charSpace="0"/>
        </w:sectPr>
      </w:pPr>
    </w:p>
    <w:p>
      <w:pPr>
        <w:pStyle w:val="3"/>
        <w:adjustRightInd w:val="0"/>
        <w:spacing w:line="416" w:lineRule="atLeast"/>
        <w:textAlignment w:val="baseline"/>
        <w:rPr>
          <w:rFonts w:ascii="宋体" w:cs="Times New Roman"/>
        </w:rPr>
      </w:pPr>
      <w:bookmarkStart w:id="212" w:name="_Toc25489"/>
      <w:bookmarkStart w:id="213" w:name="_Toc8177"/>
      <w:bookmarkStart w:id="214" w:name="_Toc22006"/>
      <w:bookmarkStart w:id="215" w:name="_Toc14775"/>
      <w:bookmarkStart w:id="216" w:name="_Toc17173"/>
      <w:bookmarkStart w:id="217" w:name="_Toc21539"/>
      <w:bookmarkStart w:id="218" w:name="_Toc14361"/>
      <w:bookmarkStart w:id="219" w:name="_Toc22153"/>
      <w:bookmarkStart w:id="220" w:name="_Toc13303"/>
      <w:r>
        <w:rPr>
          <w:rFonts w:hint="eastAsia" w:ascii="宋体" w:hAnsi="宋体" w:cs="宋体"/>
        </w:rPr>
        <w:t>附件二、中小企业申明</w:t>
      </w:r>
      <w:bookmarkEnd w:id="212"/>
      <w:bookmarkEnd w:id="213"/>
      <w:bookmarkEnd w:id="214"/>
      <w:bookmarkEnd w:id="215"/>
      <w:bookmarkEnd w:id="216"/>
      <w:bookmarkEnd w:id="217"/>
    </w:p>
    <w:p>
      <w:pPr>
        <w:spacing w:line="588" w:lineRule="exact"/>
        <w:ind w:firstLine="504" w:firstLineChars="200"/>
        <w:rPr>
          <w:rFonts w:ascii="宋体" w:hAnsi="宋体"/>
          <w:spacing w:val="6"/>
          <w:sz w:val="24"/>
        </w:rPr>
      </w:pPr>
      <w:bookmarkStart w:id="221" w:name="_Toc2912"/>
      <w:bookmarkStart w:id="222" w:name="_Toc11130"/>
      <w:bookmarkStart w:id="223" w:name="_Toc13070"/>
      <w:bookmarkStart w:id="224" w:name="_Toc15467"/>
      <w:r>
        <w:rPr>
          <w:rFonts w:hint="eastAsia" w:ascii="宋体" w:hAnsi="宋体"/>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9"/>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29"/>
        <w:numPr>
          <w:ilvl w:val="0"/>
          <w:numId w:val="24"/>
        </w:numPr>
        <w:tabs>
          <w:tab w:val="left" w:pos="1183"/>
          <w:tab w:val="left" w:pos="1484"/>
          <w:tab w:val="left" w:pos="4662"/>
          <w:tab w:val="left" w:pos="6903"/>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9"/>
        <w:numPr>
          <w:ilvl w:val="0"/>
          <w:numId w:val="24"/>
        </w:numPr>
        <w:tabs>
          <w:tab w:val="left" w:pos="1165"/>
          <w:tab w:val="left" w:pos="1183"/>
          <w:tab w:val="left" w:pos="4362"/>
          <w:tab w:val="left" w:pos="6577"/>
        </w:tabs>
        <w:spacing w:line="360" w:lineRule="auto"/>
        <w:ind w:right="169" w:firstLine="504"/>
        <w:jc w:val="left"/>
        <w:rPr>
          <w:rFonts w:ascii="宋体" w:hAnsi="宋体"/>
          <w:color w:val="000000"/>
          <w:spacing w:val="6"/>
          <w:sz w:val="24"/>
        </w:rPr>
      </w:pPr>
      <w:r>
        <w:rPr>
          <w:rFonts w:hint="eastAsia" w:ascii="宋体" w:hAnsi="宋体"/>
          <w:color w:val="000000"/>
          <w:spacing w:val="6"/>
          <w:sz w:val="24"/>
        </w:rPr>
        <w:t xml:space="preserve"> </w:t>
      </w: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9"/>
        <w:spacing w:line="360" w:lineRule="auto"/>
        <w:ind w:left="860"/>
        <w:rPr>
          <w:rFonts w:ascii="宋体" w:hAnsi="宋体"/>
          <w:color w:val="000000"/>
          <w:spacing w:val="6"/>
          <w:sz w:val="24"/>
        </w:rPr>
      </w:pPr>
      <w:r>
        <w:rPr>
          <w:rFonts w:hint="eastAsia" w:ascii="宋体" w:hAnsi="宋体"/>
          <w:color w:val="000000"/>
          <w:spacing w:val="6"/>
          <w:sz w:val="24"/>
        </w:rPr>
        <w:t>……</w:t>
      </w:r>
    </w:p>
    <w:p>
      <w:pPr>
        <w:pStyle w:val="9"/>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9"/>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hint="default" w:ascii="宋体" w:hAnsi="宋体" w:eastAsiaTheme="minorEastAsia"/>
          <w:color w:val="000000"/>
          <w:spacing w:val="6"/>
          <w:sz w:val="24"/>
          <w:lang w:val="en-US" w:eastAsia="zh-CN"/>
        </w:rPr>
      </w:pPr>
      <w:r>
        <w:rPr>
          <w:rFonts w:hint="eastAsia" w:ascii="宋体" w:hAnsi="宋体"/>
          <w:b/>
          <w:bCs/>
          <w:color w:val="000000"/>
          <w:spacing w:val="6"/>
          <w:sz w:val="24"/>
          <w:lang w:val="en-US" w:eastAsia="zh-CN"/>
        </w:rPr>
        <w:t>备注：本项目所属行业为：工业。</w:t>
      </w:r>
    </w:p>
    <w:p>
      <w:pPr>
        <w:spacing w:line="360" w:lineRule="auto"/>
        <w:jc w:val="left"/>
        <w:rPr>
          <w:rFonts w:hint="eastAsia" w:ascii="宋体" w:hAnsi="宋体" w:eastAsiaTheme="minorEastAsia" w:cstheme="minorBidi"/>
          <w:color w:val="000000"/>
          <w:spacing w:val="6"/>
          <w:kern w:val="2"/>
          <w:sz w:val="24"/>
          <w:szCs w:val="22"/>
          <w:lang w:val="en-US" w:eastAsia="zh-CN" w:bidi="ar-SA"/>
        </w:rPr>
      </w:pPr>
    </w:p>
    <w:p>
      <w:pPr>
        <w:spacing w:line="360" w:lineRule="auto"/>
        <w:jc w:val="left"/>
        <w:rPr>
          <w:rFonts w:hint="eastAsia" w:ascii="宋体" w:hAnsi="宋体" w:eastAsiaTheme="minorEastAsia" w:cstheme="minorBidi"/>
          <w:color w:val="000000"/>
          <w:spacing w:val="6"/>
          <w:kern w:val="2"/>
          <w:sz w:val="24"/>
          <w:szCs w:val="22"/>
          <w:lang w:val="en-US" w:eastAsia="zh-CN" w:bidi="ar-SA"/>
        </w:rPr>
      </w:pPr>
      <w:r>
        <w:rPr>
          <w:rFonts w:hint="eastAsia" w:ascii="宋体" w:hAnsi="宋体" w:eastAsiaTheme="minorEastAsia" w:cstheme="minorBidi"/>
          <w:color w:val="000000"/>
          <w:spacing w:val="6"/>
          <w:kern w:val="2"/>
          <w:sz w:val="24"/>
          <w:szCs w:val="22"/>
          <w:lang w:val="en-US" w:eastAsia="zh-CN" w:bidi="ar-SA"/>
        </w:rPr>
        <w:t>企业名称（盖章）：</w:t>
      </w:r>
    </w:p>
    <w:p>
      <w:pPr>
        <w:bidi w:val="0"/>
        <w:spacing w:line="360" w:lineRule="auto"/>
        <w:rPr>
          <w:rFonts w:hint="eastAsia" w:ascii="宋体" w:hAnsi="宋体" w:eastAsiaTheme="minorEastAsia" w:cstheme="minorBidi"/>
          <w:color w:val="000000"/>
          <w:spacing w:val="6"/>
          <w:kern w:val="2"/>
          <w:sz w:val="24"/>
          <w:szCs w:val="22"/>
          <w:lang w:val="en-US" w:eastAsia="zh-CN" w:bidi="ar-SA"/>
        </w:rPr>
      </w:pPr>
      <w:r>
        <w:rPr>
          <w:rFonts w:hint="eastAsia" w:ascii="宋体" w:hAnsi="宋体" w:eastAsiaTheme="minorEastAsia" w:cstheme="minorBidi"/>
          <w:color w:val="000000"/>
          <w:spacing w:val="6"/>
          <w:kern w:val="2"/>
          <w:sz w:val="24"/>
          <w:szCs w:val="22"/>
          <w:lang w:val="en-US" w:eastAsia="zh-CN" w:bidi="ar-SA"/>
        </w:rPr>
        <w:t>日期：</w:t>
      </w:r>
    </w:p>
    <w:p>
      <w:pPr>
        <w:rPr>
          <w:rFonts w:hint="eastAsia" w:ascii="宋体" w:hAnsi="宋体" w:eastAsia="宋体" w:cs="Times New Roman"/>
          <w:b w:val="0"/>
          <w:color w:val="000000"/>
          <w:spacing w:val="6"/>
          <w:kern w:val="2"/>
          <w:sz w:val="24"/>
          <w:szCs w:val="22"/>
          <w:lang w:val="en-US" w:eastAsia="zh-CN" w:bidi="ar-SA"/>
        </w:rPr>
      </w:pPr>
      <w:r>
        <w:rPr>
          <w:rFonts w:hint="eastAsia" w:ascii="宋体" w:hAnsi="宋体" w:eastAsia="宋体" w:cs="Times New Roman"/>
          <w:b w:val="0"/>
          <w:color w:val="000000"/>
          <w:spacing w:val="6"/>
          <w:kern w:val="2"/>
          <w:sz w:val="24"/>
          <w:szCs w:val="22"/>
          <w:lang w:val="en-US" w:eastAsia="zh-CN" w:bidi="ar-SA"/>
        </w:rPr>
        <w:br w:type="page"/>
      </w:r>
    </w:p>
    <w:p>
      <w:pPr>
        <w:pStyle w:val="3"/>
        <w:adjustRightInd w:val="0"/>
        <w:spacing w:line="416" w:lineRule="atLeast"/>
        <w:textAlignment w:val="baseline"/>
        <w:rPr>
          <w:rFonts w:ascii="宋体" w:cs="Times New Roman"/>
        </w:rPr>
      </w:pPr>
      <w:bookmarkStart w:id="225" w:name="_Toc12502"/>
      <w:r>
        <w:rPr>
          <w:rFonts w:hint="eastAsia" w:ascii="宋体" w:hAnsi="宋体" w:cs="宋体"/>
        </w:rPr>
        <w:t>附件三、残疾人福利性单位声明</w:t>
      </w:r>
      <w:bookmarkEnd w:id="221"/>
      <w:bookmarkEnd w:id="222"/>
      <w:bookmarkEnd w:id="223"/>
      <w:bookmarkEnd w:id="225"/>
    </w:p>
    <w:p>
      <w:pPr>
        <w:spacing w:line="588" w:lineRule="exact"/>
        <w:ind w:firstLine="504" w:firstLineChars="200"/>
        <w:rPr>
          <w:rFonts w:ascii="宋体" w:cs="Times New Roman"/>
          <w:spacing w:val="6"/>
          <w:sz w:val="24"/>
          <w:szCs w:val="24"/>
        </w:rPr>
      </w:pPr>
      <w:r>
        <w:rPr>
          <w:rFonts w:hint="eastAsia" w:ascii="宋体" w:hAnsi="宋体" w:cs="宋体"/>
          <w:spacing w:val="6"/>
          <w:sz w:val="24"/>
          <w:szCs w:val="24"/>
        </w:rPr>
        <w:t>根据《关于促进残疾人就业政府采购政策的通知》财库〔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141</w:t>
      </w:r>
      <w:r>
        <w:rPr>
          <w:rFonts w:hint="eastAsia" w:ascii="宋体" w:hAnsi="宋体" w:cs="宋体"/>
          <w:spacing w:val="6"/>
          <w:sz w:val="24"/>
          <w:szCs w:val="24"/>
        </w:rPr>
        <w:t>号的规定由供应商自行申明，并对声明的真实性负责，如有虚假，将依法承担相应责任。</w:t>
      </w:r>
      <w:bookmarkStart w:id="226" w:name="sendNo"/>
      <w:bookmarkEnd w:id="226"/>
      <w:bookmarkStart w:id="227" w:name="_Toc30536"/>
      <w:bookmarkStart w:id="228" w:name="_Toc30870"/>
    </w:p>
    <w:p>
      <w:pPr>
        <w:pStyle w:val="3"/>
        <w:adjustRightInd w:val="0"/>
        <w:spacing w:line="416" w:lineRule="atLeast"/>
        <w:textAlignment w:val="baseline"/>
        <w:rPr>
          <w:rFonts w:ascii="宋体" w:cs="Times New Roman"/>
        </w:rPr>
      </w:pPr>
      <w:bookmarkStart w:id="229" w:name="_Toc22517"/>
      <w:bookmarkStart w:id="230" w:name="_Toc4796"/>
      <w:r>
        <w:rPr>
          <w:rFonts w:hint="eastAsia" w:ascii="宋体" w:hAnsi="宋体" w:cs="宋体"/>
        </w:rPr>
        <w:t>附件四、监狱企业证明文件</w:t>
      </w:r>
      <w:bookmarkEnd w:id="224"/>
      <w:bookmarkEnd w:id="227"/>
      <w:bookmarkEnd w:id="228"/>
      <w:bookmarkEnd w:id="229"/>
      <w:bookmarkEnd w:id="230"/>
    </w:p>
    <w:p>
      <w:pPr>
        <w:rPr>
          <w:rFonts w:ascii="宋体" w:cs="Times New Roman"/>
        </w:rPr>
      </w:pPr>
    </w:p>
    <w:p>
      <w:pPr>
        <w:snapToGrid w:val="0"/>
        <w:spacing w:line="360" w:lineRule="auto"/>
        <w:ind w:firstLine="504" w:firstLineChars="200"/>
        <w:rPr>
          <w:rFonts w:ascii="宋体" w:cs="Times New Roman"/>
          <w:sz w:val="24"/>
          <w:szCs w:val="24"/>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号）的规定，监狱企业参加政府采购活动时，应当提供由省级以上监狱管理局、戒毒管理局（含新疆生产建设兵团）出具的属于监狱企业的证明文件。</w:t>
      </w:r>
    </w:p>
    <w:p>
      <w:pPr>
        <w:pStyle w:val="3"/>
        <w:adjustRightInd w:val="0"/>
        <w:spacing w:line="416" w:lineRule="atLeast"/>
        <w:textAlignment w:val="baseline"/>
        <w:rPr>
          <w:rFonts w:ascii="宋体" w:cs="Times New Roman"/>
        </w:rPr>
      </w:pPr>
      <w:bookmarkStart w:id="231" w:name="_Toc11969"/>
      <w:bookmarkStart w:id="232" w:name="_Toc19004"/>
      <w:bookmarkStart w:id="233" w:name="_Toc2144"/>
      <w:bookmarkStart w:id="234" w:name="_Toc13122"/>
      <w:r>
        <w:rPr>
          <w:rFonts w:hint="eastAsia" w:ascii="宋体" w:hAnsi="宋体" w:cs="宋体"/>
        </w:rPr>
        <w:t>附件五、“节能产品”，“环境标志产品”证明材料</w:t>
      </w:r>
      <w:bookmarkEnd w:id="231"/>
      <w:bookmarkEnd w:id="232"/>
      <w:bookmarkEnd w:id="233"/>
      <w:bookmarkEnd w:id="234"/>
    </w:p>
    <w:p>
      <w:pPr>
        <w:widowControl/>
        <w:spacing w:line="360" w:lineRule="auto"/>
        <w:ind w:firstLine="504" w:firstLineChars="200"/>
        <w:rPr>
          <w:rFonts w:ascii="宋体"/>
          <w:spacing w:val="6"/>
          <w:sz w:val="24"/>
        </w:rPr>
      </w:pPr>
      <w:r>
        <w:rPr>
          <w:rFonts w:ascii="宋体" w:hAnsi="宋体"/>
          <w:spacing w:val="6"/>
          <w:sz w:val="24"/>
        </w:rPr>
        <w:t xml:space="preserve"> </w:t>
      </w:r>
      <w:r>
        <w:rPr>
          <w:rFonts w:hint="eastAsia" w:ascii="宋体" w:hAnsi="宋体"/>
          <w:spacing w:val="6"/>
          <w:sz w:val="24"/>
        </w:rPr>
        <w:t>说明：</w:t>
      </w:r>
    </w:p>
    <w:p>
      <w:pPr>
        <w:widowControl/>
        <w:spacing w:line="360" w:lineRule="auto"/>
        <w:ind w:firstLine="504" w:firstLineChars="200"/>
        <w:rPr>
          <w:rFonts w:ascii="宋体"/>
          <w:spacing w:val="6"/>
          <w:sz w:val="24"/>
        </w:rPr>
      </w:pPr>
      <w:r>
        <w:rPr>
          <w:rFonts w:ascii="宋体" w:hAnsi="宋体"/>
          <w:spacing w:val="6"/>
          <w:sz w:val="24"/>
        </w:rPr>
        <w:t>1</w:t>
      </w:r>
      <w:r>
        <w:rPr>
          <w:rFonts w:hint="eastAsia" w:ascii="宋体" w:hAnsi="宋体"/>
          <w:spacing w:val="6"/>
          <w:sz w:val="24"/>
        </w:rPr>
        <w:t>、以政府采购节能产品、环境标志产品品目清单及国家确定的认证机构出具的、处于有效期之内的节能产品、环境标志产品认证证书</w:t>
      </w:r>
      <w:r>
        <w:rPr>
          <w:rFonts w:ascii="宋体" w:hAnsi="宋体"/>
          <w:spacing w:val="6"/>
          <w:sz w:val="24"/>
        </w:rPr>
        <w:t xml:space="preserve"> </w:t>
      </w:r>
      <w:r>
        <w:rPr>
          <w:rFonts w:hint="eastAsia" w:ascii="宋体" w:hAnsi="宋体"/>
          <w:spacing w:val="6"/>
          <w:sz w:val="24"/>
        </w:rPr>
        <w:t>复印件加盖公章为准。投标人提供所投产品在政府采购节能产品、环境标志产品品目清单的清单截图及相关证书。</w:t>
      </w:r>
    </w:p>
    <w:p>
      <w:pPr>
        <w:widowControl/>
        <w:spacing w:line="360" w:lineRule="auto"/>
        <w:ind w:left="420" w:leftChars="200"/>
        <w:rPr>
          <w:rFonts w:ascii="宋体"/>
          <w:sz w:val="24"/>
          <w:szCs w:val="24"/>
        </w:rPr>
      </w:pPr>
      <w:r>
        <w:rPr>
          <w:rFonts w:ascii="宋体" w:hAnsi="宋体"/>
          <w:spacing w:val="6"/>
          <w:sz w:val="24"/>
        </w:rPr>
        <w:t xml:space="preserve"> </w:t>
      </w:r>
      <w:r>
        <w:rPr>
          <w:rFonts w:ascii="宋体" w:hAnsi="宋体"/>
          <w:sz w:val="24"/>
          <w:szCs w:val="24"/>
        </w:rPr>
        <w:t>2</w:t>
      </w:r>
      <w:r>
        <w:rPr>
          <w:rFonts w:hint="eastAsia" w:ascii="宋体" w:hAnsi="宋体"/>
          <w:sz w:val="24"/>
          <w:szCs w:val="24"/>
        </w:rPr>
        <w:t>、未按照上述要求提供的，评审时不予以考虑。</w:t>
      </w:r>
    </w:p>
    <w:p>
      <w:pPr>
        <w:widowControl/>
        <w:spacing w:line="360" w:lineRule="auto"/>
        <w:ind w:left="420" w:leftChars="200"/>
        <w:rPr>
          <w:rFonts w:ascii="宋体" w:cs="Times New Roman"/>
          <w:sz w:val="24"/>
          <w:szCs w:val="24"/>
        </w:rPr>
      </w:pPr>
    </w:p>
    <w:p>
      <w:pPr>
        <w:snapToGrid w:val="0"/>
        <w:spacing w:line="360" w:lineRule="auto"/>
        <w:ind w:firstLine="480" w:firstLineChars="200"/>
        <w:rPr>
          <w:rFonts w:ascii="宋体" w:cs="Times New Roman"/>
          <w:sz w:val="24"/>
          <w:szCs w:val="24"/>
        </w:rPr>
      </w:pPr>
    </w:p>
    <w:p>
      <w:pPr>
        <w:spacing w:line="588" w:lineRule="exact"/>
        <w:rPr>
          <w:rFonts w:ascii="宋体" w:cs="Times New Roman"/>
        </w:rPr>
        <w:sectPr>
          <w:footerReference r:id="rId10" w:type="default"/>
          <w:pgSz w:w="11906" w:h="16838"/>
          <w:pgMar w:top="1440" w:right="1803" w:bottom="1440" w:left="1803" w:header="851" w:footer="992" w:gutter="0"/>
          <w:cols w:space="0" w:num="1"/>
          <w:docGrid w:type="lines" w:linePitch="317" w:charSpace="0"/>
        </w:sectPr>
      </w:pPr>
    </w:p>
    <w:p>
      <w:pPr>
        <w:pStyle w:val="3"/>
        <w:adjustRightInd w:val="0"/>
        <w:spacing w:line="416" w:lineRule="atLeast"/>
        <w:textAlignment w:val="baseline"/>
        <w:rPr>
          <w:rFonts w:ascii="宋体" w:hAnsi="宋体" w:cs="宋体"/>
        </w:rPr>
      </w:pPr>
      <w:bookmarkStart w:id="235" w:name="_Toc11226"/>
      <w:bookmarkStart w:id="236" w:name="_Toc7477"/>
      <w:bookmarkStart w:id="237" w:name="_Toc11645"/>
      <w:r>
        <w:rPr>
          <w:rFonts w:hint="eastAsia" w:ascii="宋体" w:hAnsi="宋体" w:cs="宋体"/>
        </w:rPr>
        <w:t>附件六、质疑函样本</w:t>
      </w:r>
      <w:bookmarkEnd w:id="235"/>
      <w:bookmarkEnd w:id="236"/>
      <w:bookmarkEnd w:id="237"/>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rPr>
      </w:pPr>
      <w:r>
        <w:rPr>
          <w:rFonts w:ascii="宋体" w:hAnsi="宋体" w:cs="宋体"/>
        </w:rPr>
        <w:br w:type="page"/>
      </w:r>
    </w:p>
    <w:bookmarkEnd w:id="218"/>
    <w:bookmarkEnd w:id="219"/>
    <w:bookmarkEnd w:id="220"/>
    <w:p>
      <w:pPr>
        <w:jc w:val="left"/>
        <w:rPr>
          <w:rFonts w:ascii="宋体" w:hAnsi="宋体" w:eastAsia="宋体" w:cs="宋体"/>
          <w:sz w:val="72"/>
          <w:szCs w:val="72"/>
        </w:rPr>
      </w:pPr>
      <w:r>
        <w:rPr>
          <w:rFonts w:hint="eastAsia" w:ascii="宋体" w:hAnsi="宋体" w:eastAsia="宋体" w:cs="宋体"/>
          <w:b/>
          <w:spacing w:val="48"/>
          <w:sz w:val="72"/>
          <w:szCs w:val="72"/>
        </w:rPr>
        <w:t>公平</w:t>
      </w:r>
    </w:p>
    <w:p>
      <w:pPr>
        <w:jc w:val="left"/>
        <w:rPr>
          <w:rFonts w:ascii="宋体" w:hAnsi="宋体" w:eastAsia="宋体" w:cs="宋体"/>
          <w:sz w:val="72"/>
          <w:szCs w:val="72"/>
        </w:rPr>
      </w:pPr>
    </w:p>
    <w:p>
      <w:pPr>
        <w:jc w:val="left"/>
        <w:rPr>
          <w:rFonts w:ascii="宋体" w:hAnsi="宋体" w:eastAsia="宋体" w:cs="宋体"/>
          <w:sz w:val="72"/>
          <w:szCs w:val="72"/>
        </w:rPr>
      </w:pPr>
    </w:p>
    <w:p>
      <w:pPr>
        <w:jc w:val="center"/>
        <w:rPr>
          <w:rFonts w:ascii="宋体" w:hAnsi="宋体" w:eastAsia="宋体" w:cs="宋体"/>
          <w:b/>
          <w:spacing w:val="48"/>
          <w:sz w:val="72"/>
          <w:szCs w:val="72"/>
        </w:rPr>
      </w:pPr>
    </w:p>
    <w:p>
      <w:pPr>
        <w:jc w:val="center"/>
        <w:rPr>
          <w:rFonts w:ascii="宋体" w:hAnsi="宋体" w:eastAsia="宋体" w:cs="宋体"/>
          <w:b/>
          <w:spacing w:val="48"/>
          <w:sz w:val="72"/>
          <w:szCs w:val="72"/>
        </w:rPr>
      </w:pPr>
      <w:r>
        <w:rPr>
          <w:rFonts w:hint="eastAsia" w:ascii="宋体" w:hAnsi="宋体" w:eastAsia="宋体" w:cs="宋体"/>
          <w:b/>
          <w:spacing w:val="48"/>
          <w:sz w:val="72"/>
          <w:szCs w:val="72"/>
        </w:rPr>
        <w:t>公正</w:t>
      </w:r>
    </w:p>
    <w:p>
      <w:pPr>
        <w:jc w:val="left"/>
        <w:rPr>
          <w:rFonts w:ascii="宋体" w:hAnsi="宋体" w:eastAsia="宋体" w:cs="宋体"/>
          <w:b/>
          <w:spacing w:val="48"/>
          <w:sz w:val="72"/>
          <w:szCs w:val="72"/>
        </w:rPr>
      </w:pPr>
    </w:p>
    <w:p>
      <w:pPr>
        <w:jc w:val="left"/>
        <w:rPr>
          <w:rFonts w:ascii="宋体" w:hAnsi="宋体" w:eastAsia="宋体" w:cs="宋体"/>
          <w:b/>
          <w:spacing w:val="48"/>
          <w:sz w:val="72"/>
          <w:szCs w:val="72"/>
        </w:rPr>
      </w:pPr>
    </w:p>
    <w:p>
      <w:pPr>
        <w:jc w:val="left"/>
        <w:rPr>
          <w:rFonts w:ascii="宋体" w:hAnsi="宋体" w:eastAsia="宋体" w:cs="宋体"/>
          <w:b/>
          <w:spacing w:val="48"/>
          <w:sz w:val="72"/>
          <w:szCs w:val="72"/>
        </w:rPr>
      </w:pPr>
    </w:p>
    <w:p>
      <w:pPr>
        <w:jc w:val="right"/>
        <w:rPr>
          <w:rFonts w:ascii="宋体" w:hAnsi="宋体" w:eastAsia="宋体" w:cs="宋体"/>
          <w:b/>
          <w:spacing w:val="48"/>
          <w:sz w:val="72"/>
          <w:szCs w:val="72"/>
        </w:rPr>
      </w:pPr>
      <w:r>
        <w:rPr>
          <w:rFonts w:hint="eastAsia" w:ascii="宋体" w:hAnsi="宋体" w:eastAsia="宋体" w:cs="宋体"/>
          <w:b/>
          <w:spacing w:val="48"/>
          <w:sz w:val="72"/>
          <w:szCs w:val="72"/>
        </w:rPr>
        <w:t>公开</w:t>
      </w:r>
    </w:p>
    <w:bookmarkEnd w:id="0"/>
    <w:p>
      <w:pPr>
        <w:jc w:val="left"/>
        <w:rPr>
          <w:rFonts w:ascii="宋体" w:hAnsi="宋体" w:eastAsia="宋体" w:cs="宋体"/>
          <w:b/>
          <w:sz w:val="30"/>
          <w:szCs w:val="30"/>
        </w:rPr>
      </w:pPr>
    </w:p>
    <w:p>
      <w:pPr>
        <w:rPr>
          <w:rFonts w:ascii="宋体" w:hAnsi="宋体" w:cs="宋体"/>
          <w:sz w:val="30"/>
          <w:szCs w:val="30"/>
        </w:rPr>
      </w:pPr>
    </w:p>
    <w:p/>
    <w:p/>
    <w:p>
      <w:pPr>
        <w:jc w:val="left"/>
        <w:rPr>
          <w:rFonts w:ascii="宋体" w:hAnsi="宋体" w:eastAsia="宋体" w:cs="宋体"/>
          <w:b/>
          <w:sz w:val="30"/>
          <w:szCs w:val="30"/>
        </w:rPr>
      </w:pPr>
      <w:r>
        <w:rPr>
          <w:rFonts w:hint="eastAsia" w:ascii="宋体" w:hAnsi="宋体" w:eastAsia="宋体" w:cs="宋体"/>
          <w:b/>
          <w:sz w:val="30"/>
          <w:szCs w:val="30"/>
        </w:rPr>
        <w:t>企业名称：陕西万泽招标有限公司</w:t>
      </w:r>
    </w:p>
    <w:p>
      <w:pPr>
        <w:jc w:val="left"/>
        <w:rPr>
          <w:rFonts w:ascii="宋体" w:hAnsi="宋体" w:eastAsia="宋体" w:cs="宋体"/>
          <w:b/>
          <w:sz w:val="30"/>
          <w:szCs w:val="30"/>
        </w:rPr>
      </w:pPr>
      <w:r>
        <w:rPr>
          <w:rFonts w:hint="eastAsia" w:ascii="宋体" w:hAnsi="宋体" w:eastAsia="宋体" w:cs="宋体"/>
          <w:b/>
          <w:sz w:val="30"/>
          <w:szCs w:val="30"/>
        </w:rPr>
        <w:t>地    址：西安市西关正街英达大厦1507室</w:t>
      </w:r>
    </w:p>
    <w:p>
      <w:pPr>
        <w:jc w:val="left"/>
        <w:rPr>
          <w:rFonts w:ascii="宋体" w:hAnsi="宋体" w:eastAsia="宋体" w:cs="宋体"/>
          <w:b/>
          <w:sz w:val="30"/>
          <w:szCs w:val="30"/>
        </w:rPr>
      </w:pPr>
      <w:r>
        <w:rPr>
          <w:rFonts w:hint="eastAsia" w:ascii="宋体" w:hAnsi="宋体" w:eastAsia="宋体" w:cs="宋体"/>
          <w:b/>
          <w:sz w:val="30"/>
          <w:szCs w:val="30"/>
        </w:rPr>
        <w:t>邮政编码：710082</w:t>
      </w:r>
    </w:p>
    <w:p>
      <w:pPr>
        <w:jc w:val="left"/>
        <w:rPr>
          <w:rFonts w:ascii="宋体" w:hAnsi="宋体" w:eastAsia="宋体" w:cs="宋体"/>
          <w:b/>
          <w:sz w:val="30"/>
          <w:szCs w:val="30"/>
        </w:rPr>
      </w:pPr>
      <w:r>
        <w:rPr>
          <w:rFonts w:hint="eastAsia" w:ascii="宋体" w:hAnsi="宋体" w:eastAsia="宋体" w:cs="宋体"/>
          <w:b/>
          <w:sz w:val="30"/>
          <w:szCs w:val="30"/>
        </w:rPr>
        <w:t>电    话：029-88319689</w:t>
      </w:r>
    </w:p>
    <w:p>
      <w:pPr>
        <w:rPr>
          <w:rFonts w:ascii="宋体" w:hAnsi="宋体" w:eastAsia="宋体" w:cs="宋体"/>
        </w:rPr>
      </w:pPr>
      <w:r>
        <w:rPr>
          <w:rFonts w:hint="eastAsia" w:ascii="宋体" w:hAnsi="宋体" w:eastAsia="宋体" w:cs="宋体"/>
          <w:b/>
          <w:sz w:val="30"/>
          <w:szCs w:val="30"/>
        </w:rPr>
        <w:t>传    真：029-88319689</w:t>
      </w:r>
    </w:p>
    <w:sectPr>
      <w:footerReference r:id="rId11" w:type="default"/>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宋体"/>
                            </w:rP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5"/>
                      <w:rPr>
                        <w:rFonts w:eastAsia="宋体"/>
                      </w:rP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ascii="宋体" w:cs="Times New Roman"/>
      </w:rPr>
      <w:tab/>
    </w:r>
    <w:r>
      <w:rPr>
        <w:rFonts w:ascii="宋体" w:cs="Times New Roman"/>
      </w:rPr>
      <w:tab/>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default" w:ascii="宋体" w:hAnsi="宋体" w:cs="宋体" w:eastAsiaTheme="minorEastAsia"/>
        <w:u w:val="single"/>
        <w:lang w:val="en-US" w:eastAsia="zh-CN"/>
      </w:rPr>
    </w:pPr>
    <w:r>
      <w:rPr>
        <w:rFonts w:hint="eastAsia" w:ascii="宋体" w:hAnsi="宋体" w:cs="宋体"/>
        <w:sz w:val="15"/>
        <w:szCs w:val="15"/>
        <w:u w:val="single"/>
        <w:lang w:eastAsia="zh-CN"/>
      </w:rPr>
      <w:t>西安市长安区医院医疗设备采购项目（二次）</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SXWZ2023ZB-CAYY-322A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Theme="minorEastAsia"/>
        <w:lang w:eastAsia="zh-CN"/>
      </w:rPr>
    </w:pPr>
    <w:r>
      <w:rPr>
        <w:rFonts w:hint="eastAsia" w:ascii="宋体" w:hAnsi="宋体" w:cs="宋体"/>
        <w:sz w:val="15"/>
        <w:szCs w:val="15"/>
        <w:u w:val="single"/>
        <w:lang w:eastAsia="zh-CN"/>
      </w:rPr>
      <w:t>西安市长安区医院订制被服（工服及床品）采购项目</w:t>
    </w:r>
    <w:r>
      <w:rPr>
        <w:rFonts w:hint="eastAsia" w:ascii="宋体" w:hAnsi="宋体" w:cs="宋体"/>
        <w:sz w:val="15"/>
        <w:szCs w:val="15"/>
        <w:u w:val="single"/>
      </w:rPr>
      <w:t xml:space="preserve">项目（二次）                                                      </w:t>
    </w:r>
    <w:r>
      <w:rPr>
        <w:rFonts w:hint="eastAsia" w:ascii="宋体" w:hAnsi="宋体" w:cs="宋体"/>
        <w:sz w:val="15"/>
        <w:szCs w:val="15"/>
        <w:u w:val="single"/>
        <w:lang w:eastAsia="zh-CN"/>
      </w:rPr>
      <w:t>SXWZ2022ZB-CAYY-223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1">
    <w:nsid w:val="277BBE3F"/>
    <w:multiLevelType w:val="singleLevel"/>
    <w:tmpl w:val="277BBE3F"/>
    <w:lvl w:ilvl="0" w:tentative="0">
      <w:start w:val="6"/>
      <w:numFmt w:val="chineseCounting"/>
      <w:suff w:val="space"/>
      <w:lvlText w:val="第%1部分"/>
      <w:lvlJc w:val="left"/>
      <w:rPr>
        <w:rFonts w:hint="eastAsia"/>
      </w:rPr>
    </w:lvl>
  </w:abstractNum>
  <w:abstractNum w:abstractNumId="2">
    <w:nsid w:val="38D29641"/>
    <w:multiLevelType w:val="singleLevel"/>
    <w:tmpl w:val="38D29641"/>
    <w:lvl w:ilvl="0" w:tentative="0">
      <w:start w:val="3"/>
      <w:numFmt w:val="chineseCounting"/>
      <w:suff w:val="nothing"/>
      <w:lvlText w:val="%1、"/>
      <w:lvlJc w:val="left"/>
      <w:rPr>
        <w:rFonts w:hint="eastAsia"/>
      </w:rPr>
    </w:lvl>
  </w:abstractNum>
  <w:abstractNum w:abstractNumId="3">
    <w:nsid w:val="5530B97F"/>
    <w:multiLevelType w:val="singleLevel"/>
    <w:tmpl w:val="5530B97F"/>
    <w:lvl w:ilvl="0" w:tentative="0">
      <w:start w:val="1"/>
      <w:numFmt w:val="chineseCounting"/>
      <w:suff w:val="nothing"/>
      <w:lvlText w:val="%1、"/>
      <w:lvlJc w:val="left"/>
    </w:lvl>
  </w:abstractNum>
  <w:abstractNum w:abstractNumId="4">
    <w:nsid w:val="559A3799"/>
    <w:multiLevelType w:val="singleLevel"/>
    <w:tmpl w:val="559A3799"/>
    <w:lvl w:ilvl="0" w:tentative="0">
      <w:start w:val="1"/>
      <w:numFmt w:val="decimal"/>
      <w:suff w:val="space"/>
      <w:lvlText w:val="3.%1"/>
      <w:lvlJc w:val="left"/>
      <w:pPr>
        <w:tabs>
          <w:tab w:val="left" w:pos="0"/>
        </w:tabs>
        <w:ind w:left="0" w:firstLine="400"/>
      </w:pPr>
      <w:rPr>
        <w:rFonts w:hint="default" w:ascii="Times New Roman" w:hAnsi="Times New Roman" w:eastAsia="宋体" w:cs="宋体"/>
      </w:rPr>
    </w:lvl>
  </w:abstractNum>
  <w:abstractNum w:abstractNumId="5">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6">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7">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8">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9">
    <w:nsid w:val="58BE5397"/>
    <w:multiLevelType w:val="singleLevel"/>
    <w:tmpl w:val="58BE5397"/>
    <w:lvl w:ilvl="0" w:tentative="0">
      <w:start w:val="1"/>
      <w:numFmt w:val="decimal"/>
      <w:suff w:val="nothing"/>
      <w:lvlText w:val="（%1）"/>
      <w:lvlJc w:val="left"/>
      <w:pPr>
        <w:ind w:left="0" w:firstLine="420"/>
      </w:pPr>
      <w:rPr>
        <w:rFonts w:hint="default"/>
      </w:rPr>
    </w:lvl>
  </w:abstractNum>
  <w:abstractNum w:abstractNumId="10">
    <w:nsid w:val="58BE5425"/>
    <w:multiLevelType w:val="singleLevel"/>
    <w:tmpl w:val="58BE5425"/>
    <w:lvl w:ilvl="0" w:tentative="0">
      <w:start w:val="1"/>
      <w:numFmt w:val="decimal"/>
      <w:suff w:val="nothing"/>
      <w:lvlText w:val="（%1）"/>
      <w:lvlJc w:val="left"/>
      <w:pPr>
        <w:ind w:left="0" w:firstLine="420"/>
      </w:pPr>
      <w:rPr>
        <w:rFonts w:hint="default"/>
      </w:rPr>
    </w:lvl>
  </w:abstractNum>
  <w:abstractNum w:abstractNumId="11">
    <w:nsid w:val="58BE5D1F"/>
    <w:multiLevelType w:val="singleLevel"/>
    <w:tmpl w:val="58BE5D1F"/>
    <w:lvl w:ilvl="0" w:tentative="0">
      <w:start w:val="1"/>
      <w:numFmt w:val="decimal"/>
      <w:suff w:val="nothing"/>
      <w:lvlText w:val="（%1）"/>
      <w:lvlJc w:val="left"/>
      <w:pPr>
        <w:ind w:left="0" w:firstLine="420"/>
      </w:pPr>
      <w:rPr>
        <w:rFonts w:hint="default"/>
      </w:rPr>
    </w:lvl>
  </w:abstractNum>
  <w:abstractNum w:abstractNumId="1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3">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5">
    <w:nsid w:val="58BE8C85"/>
    <w:multiLevelType w:val="singleLevel"/>
    <w:tmpl w:val="58BE8C85"/>
    <w:lvl w:ilvl="0" w:tentative="0">
      <w:start w:val="1"/>
      <w:numFmt w:val="lowerLetter"/>
      <w:lvlText w:val="%1."/>
      <w:lvlJc w:val="left"/>
      <w:pPr>
        <w:ind w:left="425" w:hanging="425"/>
      </w:pPr>
      <w:rPr>
        <w:rFonts w:hint="default"/>
      </w:rPr>
    </w:lvl>
  </w:abstractNum>
  <w:abstractNum w:abstractNumId="16">
    <w:nsid w:val="58BE8DA8"/>
    <w:multiLevelType w:val="singleLevel"/>
    <w:tmpl w:val="58BE8DA8"/>
    <w:lvl w:ilvl="0" w:tentative="0">
      <w:start w:val="1"/>
      <w:numFmt w:val="decimal"/>
      <w:suff w:val="nothing"/>
      <w:lvlText w:val="（%1）"/>
      <w:lvlJc w:val="left"/>
      <w:pPr>
        <w:ind w:left="0" w:firstLine="420"/>
      </w:pPr>
      <w:rPr>
        <w:rFonts w:hint="default"/>
      </w:rPr>
    </w:lvl>
  </w:abstractNum>
  <w:abstractNum w:abstractNumId="17">
    <w:nsid w:val="58BE9C58"/>
    <w:multiLevelType w:val="singleLevel"/>
    <w:tmpl w:val="58BE9C58"/>
    <w:lvl w:ilvl="0" w:tentative="0">
      <w:start w:val="1"/>
      <w:numFmt w:val="decimal"/>
      <w:suff w:val="nothing"/>
      <w:lvlText w:val="（%1）"/>
      <w:lvlJc w:val="left"/>
      <w:pPr>
        <w:ind w:left="0" w:firstLine="420"/>
      </w:pPr>
      <w:rPr>
        <w:rFonts w:hint="default"/>
      </w:rPr>
    </w:lvl>
  </w:abstractNum>
  <w:abstractNum w:abstractNumId="18">
    <w:nsid w:val="58BFC3B3"/>
    <w:multiLevelType w:val="singleLevel"/>
    <w:tmpl w:val="58BFC3B3"/>
    <w:lvl w:ilvl="0" w:tentative="0">
      <w:start w:val="1"/>
      <w:numFmt w:val="decimal"/>
      <w:suff w:val="nothing"/>
      <w:lvlText w:val="（%1）"/>
      <w:lvlJc w:val="left"/>
      <w:pPr>
        <w:ind w:left="210" w:firstLine="420"/>
      </w:pPr>
      <w:rPr>
        <w:rFonts w:hint="default"/>
      </w:rPr>
    </w:lvl>
  </w:abstractNum>
  <w:abstractNum w:abstractNumId="19">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20">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21">
    <w:nsid w:val="59DADF1A"/>
    <w:multiLevelType w:val="singleLevel"/>
    <w:tmpl w:val="59DADF1A"/>
    <w:lvl w:ilvl="0" w:tentative="0">
      <w:start w:val="1"/>
      <w:numFmt w:val="lowerLetter"/>
      <w:lvlText w:val="%1."/>
      <w:lvlJc w:val="left"/>
      <w:pPr>
        <w:ind w:left="425" w:hanging="425"/>
      </w:pPr>
      <w:rPr>
        <w:rFonts w:hint="default"/>
      </w:rPr>
    </w:lvl>
  </w:abstractNum>
  <w:abstractNum w:abstractNumId="22">
    <w:nsid w:val="625A6236"/>
    <w:multiLevelType w:val="singleLevel"/>
    <w:tmpl w:val="625A6236"/>
    <w:lvl w:ilvl="0" w:tentative="0">
      <w:start w:val="1"/>
      <w:numFmt w:val="decimal"/>
      <w:suff w:val="nothing"/>
      <w:lvlText w:val="%1."/>
      <w:lvlJc w:val="left"/>
    </w:lvl>
  </w:abstractNum>
  <w:abstractNum w:abstractNumId="23">
    <w:nsid w:val="73612CED"/>
    <w:multiLevelType w:val="singleLevel"/>
    <w:tmpl w:val="73612CED"/>
    <w:lvl w:ilvl="0" w:tentative="0">
      <w:start w:val="4"/>
      <w:numFmt w:val="chineseCounting"/>
      <w:suff w:val="nothing"/>
      <w:lvlText w:val="%1、"/>
      <w:lvlJc w:val="left"/>
      <w:rPr>
        <w:rFonts w:hint="eastAsia"/>
      </w:rPr>
    </w:lvl>
  </w:abstractNum>
  <w:num w:numId="1">
    <w:abstractNumId w:val="3"/>
  </w:num>
  <w:num w:numId="2">
    <w:abstractNumId w:val="19"/>
  </w:num>
  <w:num w:numId="3">
    <w:abstractNumId w:val="6"/>
  </w:num>
  <w:num w:numId="4">
    <w:abstractNumId w:val="7"/>
  </w:num>
  <w:num w:numId="5">
    <w:abstractNumId w:val="4"/>
  </w:num>
  <w:num w:numId="6">
    <w:abstractNumId w:val="5"/>
  </w:num>
  <w:num w:numId="7">
    <w:abstractNumId w:val="14"/>
  </w:num>
  <w:num w:numId="8">
    <w:abstractNumId w:val="20"/>
  </w:num>
  <w:num w:numId="9">
    <w:abstractNumId w:val="8"/>
  </w:num>
  <w:num w:numId="10">
    <w:abstractNumId w:val="18"/>
  </w:num>
  <w:num w:numId="11">
    <w:abstractNumId w:val="17"/>
  </w:num>
  <w:num w:numId="12">
    <w:abstractNumId w:val="9"/>
  </w:num>
  <w:num w:numId="13">
    <w:abstractNumId w:val="10"/>
  </w:num>
  <w:num w:numId="14">
    <w:abstractNumId w:val="12"/>
  </w:num>
  <w:num w:numId="15">
    <w:abstractNumId w:val="11"/>
  </w:num>
  <w:num w:numId="16">
    <w:abstractNumId w:val="13"/>
  </w:num>
  <w:num w:numId="17">
    <w:abstractNumId w:val="21"/>
  </w:num>
  <w:num w:numId="18">
    <w:abstractNumId w:val="16"/>
  </w:num>
  <w:num w:numId="19">
    <w:abstractNumId w:val="15"/>
  </w:num>
  <w:num w:numId="20">
    <w:abstractNumId w:val="2"/>
  </w:num>
  <w:num w:numId="21">
    <w:abstractNumId w:val="22"/>
  </w:num>
  <w:num w:numId="22">
    <w:abstractNumId w:val="1"/>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ZmMzYTQzYjY0ZDY2NGFiMzRkNmFjMTdlMGYyNzMifQ=="/>
  </w:docVars>
  <w:rsids>
    <w:rsidRoot w:val="73D96FF7"/>
    <w:rsid w:val="000A0DC2"/>
    <w:rsid w:val="000A567D"/>
    <w:rsid w:val="00235885"/>
    <w:rsid w:val="002F54D1"/>
    <w:rsid w:val="00373D75"/>
    <w:rsid w:val="00393EE8"/>
    <w:rsid w:val="00400BF8"/>
    <w:rsid w:val="004F2491"/>
    <w:rsid w:val="005F062D"/>
    <w:rsid w:val="00687D5E"/>
    <w:rsid w:val="006E2CF6"/>
    <w:rsid w:val="00724967"/>
    <w:rsid w:val="007408E6"/>
    <w:rsid w:val="00765691"/>
    <w:rsid w:val="0078407D"/>
    <w:rsid w:val="00910ABD"/>
    <w:rsid w:val="00A40483"/>
    <w:rsid w:val="00D54846"/>
    <w:rsid w:val="00D92E2B"/>
    <w:rsid w:val="00E4113A"/>
    <w:rsid w:val="01016F77"/>
    <w:rsid w:val="01104981"/>
    <w:rsid w:val="01235CBB"/>
    <w:rsid w:val="0147272E"/>
    <w:rsid w:val="014A4F49"/>
    <w:rsid w:val="014F219D"/>
    <w:rsid w:val="0156177E"/>
    <w:rsid w:val="015F7291"/>
    <w:rsid w:val="016601B5"/>
    <w:rsid w:val="016C6285"/>
    <w:rsid w:val="017D5862"/>
    <w:rsid w:val="01905D4E"/>
    <w:rsid w:val="01944F99"/>
    <w:rsid w:val="01BF446B"/>
    <w:rsid w:val="01C33E75"/>
    <w:rsid w:val="01CF4650"/>
    <w:rsid w:val="01DE0A3D"/>
    <w:rsid w:val="01EA0118"/>
    <w:rsid w:val="0200205F"/>
    <w:rsid w:val="021A2C53"/>
    <w:rsid w:val="022C6DF2"/>
    <w:rsid w:val="025668F9"/>
    <w:rsid w:val="0257047B"/>
    <w:rsid w:val="025C1F43"/>
    <w:rsid w:val="02691867"/>
    <w:rsid w:val="026D2388"/>
    <w:rsid w:val="026E63F5"/>
    <w:rsid w:val="026F6593"/>
    <w:rsid w:val="027D5FDE"/>
    <w:rsid w:val="0290670B"/>
    <w:rsid w:val="029D3713"/>
    <w:rsid w:val="02A227A1"/>
    <w:rsid w:val="02CF5D26"/>
    <w:rsid w:val="02DA5FCC"/>
    <w:rsid w:val="02FA0069"/>
    <w:rsid w:val="02FB3B23"/>
    <w:rsid w:val="030A3205"/>
    <w:rsid w:val="03366953"/>
    <w:rsid w:val="034A7BA5"/>
    <w:rsid w:val="034C23A0"/>
    <w:rsid w:val="0353555C"/>
    <w:rsid w:val="037E757B"/>
    <w:rsid w:val="0388489D"/>
    <w:rsid w:val="038E1A4F"/>
    <w:rsid w:val="03B43EE7"/>
    <w:rsid w:val="03CF2F3E"/>
    <w:rsid w:val="045B76FC"/>
    <w:rsid w:val="048D0480"/>
    <w:rsid w:val="04B42133"/>
    <w:rsid w:val="04C31C0F"/>
    <w:rsid w:val="04C37E19"/>
    <w:rsid w:val="04E23328"/>
    <w:rsid w:val="051F57D5"/>
    <w:rsid w:val="05290F57"/>
    <w:rsid w:val="05372DA4"/>
    <w:rsid w:val="055C337C"/>
    <w:rsid w:val="05A50E7C"/>
    <w:rsid w:val="05D03842"/>
    <w:rsid w:val="05F22180"/>
    <w:rsid w:val="06023542"/>
    <w:rsid w:val="060A48CE"/>
    <w:rsid w:val="0676398F"/>
    <w:rsid w:val="06A628AE"/>
    <w:rsid w:val="06C21663"/>
    <w:rsid w:val="06C771A3"/>
    <w:rsid w:val="06E204D4"/>
    <w:rsid w:val="072E7CDB"/>
    <w:rsid w:val="07467D7E"/>
    <w:rsid w:val="078258E9"/>
    <w:rsid w:val="07A01238"/>
    <w:rsid w:val="07C75183"/>
    <w:rsid w:val="084D6823"/>
    <w:rsid w:val="08506783"/>
    <w:rsid w:val="08852948"/>
    <w:rsid w:val="08876803"/>
    <w:rsid w:val="091B4E47"/>
    <w:rsid w:val="093C0A37"/>
    <w:rsid w:val="09B0067D"/>
    <w:rsid w:val="09C52E90"/>
    <w:rsid w:val="0A576742"/>
    <w:rsid w:val="0A8F50B9"/>
    <w:rsid w:val="0A9E0AC8"/>
    <w:rsid w:val="0ACD7171"/>
    <w:rsid w:val="0B142548"/>
    <w:rsid w:val="0B58116C"/>
    <w:rsid w:val="0B9510F4"/>
    <w:rsid w:val="0BAB4E0E"/>
    <w:rsid w:val="0BAD6248"/>
    <w:rsid w:val="0BB70F4B"/>
    <w:rsid w:val="0BBA3C56"/>
    <w:rsid w:val="0BE360C6"/>
    <w:rsid w:val="0C26495C"/>
    <w:rsid w:val="0C665824"/>
    <w:rsid w:val="0C743400"/>
    <w:rsid w:val="0C7A572F"/>
    <w:rsid w:val="0C8D1F69"/>
    <w:rsid w:val="0C8F023A"/>
    <w:rsid w:val="0C943AA2"/>
    <w:rsid w:val="0C984361"/>
    <w:rsid w:val="0CBD09EA"/>
    <w:rsid w:val="0CE41B31"/>
    <w:rsid w:val="0CF301A5"/>
    <w:rsid w:val="0CFE1DB5"/>
    <w:rsid w:val="0CFF064B"/>
    <w:rsid w:val="0CFF0F1B"/>
    <w:rsid w:val="0D0E115E"/>
    <w:rsid w:val="0D8777F6"/>
    <w:rsid w:val="0DA21CAD"/>
    <w:rsid w:val="0DB27CD1"/>
    <w:rsid w:val="0DB713C3"/>
    <w:rsid w:val="0DDD53AC"/>
    <w:rsid w:val="0E1C117D"/>
    <w:rsid w:val="0E203F93"/>
    <w:rsid w:val="0E2624D8"/>
    <w:rsid w:val="0E3D6A8E"/>
    <w:rsid w:val="0E837DDF"/>
    <w:rsid w:val="0EB8754C"/>
    <w:rsid w:val="0EDB32C2"/>
    <w:rsid w:val="0EEB7659"/>
    <w:rsid w:val="0EFB59A3"/>
    <w:rsid w:val="0F01175D"/>
    <w:rsid w:val="0F4B4DA6"/>
    <w:rsid w:val="0F7B63A0"/>
    <w:rsid w:val="0F916E5A"/>
    <w:rsid w:val="0F9C0159"/>
    <w:rsid w:val="0FC04A43"/>
    <w:rsid w:val="0FD03043"/>
    <w:rsid w:val="0FE60143"/>
    <w:rsid w:val="100D394F"/>
    <w:rsid w:val="1012509C"/>
    <w:rsid w:val="101476C3"/>
    <w:rsid w:val="10275AEB"/>
    <w:rsid w:val="104A391B"/>
    <w:rsid w:val="10594DE6"/>
    <w:rsid w:val="10675755"/>
    <w:rsid w:val="1080507E"/>
    <w:rsid w:val="108064F2"/>
    <w:rsid w:val="10993435"/>
    <w:rsid w:val="10A56817"/>
    <w:rsid w:val="10B4058D"/>
    <w:rsid w:val="10B54E13"/>
    <w:rsid w:val="10C35B5C"/>
    <w:rsid w:val="10C77FA2"/>
    <w:rsid w:val="10D77C07"/>
    <w:rsid w:val="110F1949"/>
    <w:rsid w:val="111B7615"/>
    <w:rsid w:val="11694370"/>
    <w:rsid w:val="116D4893"/>
    <w:rsid w:val="117141C3"/>
    <w:rsid w:val="117D5F82"/>
    <w:rsid w:val="118F1C4B"/>
    <w:rsid w:val="11A54DB1"/>
    <w:rsid w:val="11C473B7"/>
    <w:rsid w:val="11F93CC8"/>
    <w:rsid w:val="123E07AF"/>
    <w:rsid w:val="124A70DD"/>
    <w:rsid w:val="127777A6"/>
    <w:rsid w:val="128539EB"/>
    <w:rsid w:val="12883761"/>
    <w:rsid w:val="12914B30"/>
    <w:rsid w:val="12A03D8F"/>
    <w:rsid w:val="12B17AA6"/>
    <w:rsid w:val="12C17C08"/>
    <w:rsid w:val="131753F4"/>
    <w:rsid w:val="133815F1"/>
    <w:rsid w:val="133F70AC"/>
    <w:rsid w:val="139D6921"/>
    <w:rsid w:val="139D7809"/>
    <w:rsid w:val="13A91C52"/>
    <w:rsid w:val="13AD0596"/>
    <w:rsid w:val="13CB419F"/>
    <w:rsid w:val="13D83775"/>
    <w:rsid w:val="141D790D"/>
    <w:rsid w:val="147501D3"/>
    <w:rsid w:val="15007ACD"/>
    <w:rsid w:val="150F50B2"/>
    <w:rsid w:val="158F403B"/>
    <w:rsid w:val="15A56175"/>
    <w:rsid w:val="15D5575B"/>
    <w:rsid w:val="15D849FF"/>
    <w:rsid w:val="15E3346A"/>
    <w:rsid w:val="16155EB2"/>
    <w:rsid w:val="161E58CC"/>
    <w:rsid w:val="16B877F8"/>
    <w:rsid w:val="16BC52DE"/>
    <w:rsid w:val="16E178E4"/>
    <w:rsid w:val="171A2CB4"/>
    <w:rsid w:val="17283764"/>
    <w:rsid w:val="173C04C3"/>
    <w:rsid w:val="175B1444"/>
    <w:rsid w:val="176652E8"/>
    <w:rsid w:val="176D0C2A"/>
    <w:rsid w:val="17741B6C"/>
    <w:rsid w:val="177B3894"/>
    <w:rsid w:val="179B7A92"/>
    <w:rsid w:val="17C92852"/>
    <w:rsid w:val="17EA27C8"/>
    <w:rsid w:val="183F12FF"/>
    <w:rsid w:val="184D4A07"/>
    <w:rsid w:val="18C56911"/>
    <w:rsid w:val="18CB0D78"/>
    <w:rsid w:val="18CD2DFE"/>
    <w:rsid w:val="19217C54"/>
    <w:rsid w:val="19247ED6"/>
    <w:rsid w:val="194128BC"/>
    <w:rsid w:val="19612D69"/>
    <w:rsid w:val="196B2692"/>
    <w:rsid w:val="19947705"/>
    <w:rsid w:val="199D21E8"/>
    <w:rsid w:val="19A01A2D"/>
    <w:rsid w:val="19B86659"/>
    <w:rsid w:val="19B95A0C"/>
    <w:rsid w:val="19F70E42"/>
    <w:rsid w:val="1A1B111D"/>
    <w:rsid w:val="1A4E3356"/>
    <w:rsid w:val="1A5D78BC"/>
    <w:rsid w:val="1A651B68"/>
    <w:rsid w:val="1A7B4DAB"/>
    <w:rsid w:val="1AE678F5"/>
    <w:rsid w:val="1B242D7C"/>
    <w:rsid w:val="1B281F85"/>
    <w:rsid w:val="1B32765F"/>
    <w:rsid w:val="1B334486"/>
    <w:rsid w:val="1B5148C2"/>
    <w:rsid w:val="1B5D0A58"/>
    <w:rsid w:val="1B7145E8"/>
    <w:rsid w:val="1B8018C9"/>
    <w:rsid w:val="1BAB764D"/>
    <w:rsid w:val="1BD549D6"/>
    <w:rsid w:val="1BDF6EB0"/>
    <w:rsid w:val="1BE374A9"/>
    <w:rsid w:val="1C1356AC"/>
    <w:rsid w:val="1C1C3E85"/>
    <w:rsid w:val="1CAF7990"/>
    <w:rsid w:val="1CC33031"/>
    <w:rsid w:val="1CD157D9"/>
    <w:rsid w:val="1CDF1CFC"/>
    <w:rsid w:val="1CEF51F6"/>
    <w:rsid w:val="1D3B78D9"/>
    <w:rsid w:val="1D7840F1"/>
    <w:rsid w:val="1D7F49E1"/>
    <w:rsid w:val="1D836679"/>
    <w:rsid w:val="1DA8571B"/>
    <w:rsid w:val="1DBC07EE"/>
    <w:rsid w:val="1DBE1337"/>
    <w:rsid w:val="1DC30CA2"/>
    <w:rsid w:val="1DEC4D86"/>
    <w:rsid w:val="1E0D50FB"/>
    <w:rsid w:val="1E536B13"/>
    <w:rsid w:val="1E557FB0"/>
    <w:rsid w:val="1E853844"/>
    <w:rsid w:val="1E972E16"/>
    <w:rsid w:val="1E9F14A3"/>
    <w:rsid w:val="1EBC3110"/>
    <w:rsid w:val="1EC12111"/>
    <w:rsid w:val="1ECE2E43"/>
    <w:rsid w:val="1EE51DD3"/>
    <w:rsid w:val="1EEA2C5C"/>
    <w:rsid w:val="1EEB2BDF"/>
    <w:rsid w:val="1EFE1D7A"/>
    <w:rsid w:val="1F066F88"/>
    <w:rsid w:val="1F254E7A"/>
    <w:rsid w:val="1F36152B"/>
    <w:rsid w:val="1F6E76AE"/>
    <w:rsid w:val="1F772657"/>
    <w:rsid w:val="1F7D3C04"/>
    <w:rsid w:val="1F89674E"/>
    <w:rsid w:val="1FB168A4"/>
    <w:rsid w:val="1FCA7CDE"/>
    <w:rsid w:val="1FE3716A"/>
    <w:rsid w:val="202D7E73"/>
    <w:rsid w:val="202F4E7D"/>
    <w:rsid w:val="2037677D"/>
    <w:rsid w:val="2077242B"/>
    <w:rsid w:val="209803B2"/>
    <w:rsid w:val="20B62ECB"/>
    <w:rsid w:val="20E95D13"/>
    <w:rsid w:val="20F52E31"/>
    <w:rsid w:val="20FA64C2"/>
    <w:rsid w:val="21283873"/>
    <w:rsid w:val="21402912"/>
    <w:rsid w:val="21430515"/>
    <w:rsid w:val="21A85F9F"/>
    <w:rsid w:val="21AB2FC8"/>
    <w:rsid w:val="21B5407C"/>
    <w:rsid w:val="21DD6CCE"/>
    <w:rsid w:val="22201AA4"/>
    <w:rsid w:val="222923C1"/>
    <w:rsid w:val="222C5132"/>
    <w:rsid w:val="22442C3C"/>
    <w:rsid w:val="224F3B68"/>
    <w:rsid w:val="22547778"/>
    <w:rsid w:val="22745C5B"/>
    <w:rsid w:val="227F1D33"/>
    <w:rsid w:val="22A56E76"/>
    <w:rsid w:val="22AB4434"/>
    <w:rsid w:val="22B63BE8"/>
    <w:rsid w:val="230C3B84"/>
    <w:rsid w:val="231A43B2"/>
    <w:rsid w:val="23280C8D"/>
    <w:rsid w:val="23302798"/>
    <w:rsid w:val="239D1668"/>
    <w:rsid w:val="239E1028"/>
    <w:rsid w:val="23B41069"/>
    <w:rsid w:val="23CB460C"/>
    <w:rsid w:val="23DD33CC"/>
    <w:rsid w:val="23E16E04"/>
    <w:rsid w:val="240C32C9"/>
    <w:rsid w:val="24132D46"/>
    <w:rsid w:val="241C1F5B"/>
    <w:rsid w:val="242817F7"/>
    <w:rsid w:val="242B6642"/>
    <w:rsid w:val="247714D3"/>
    <w:rsid w:val="249220C6"/>
    <w:rsid w:val="24A9239B"/>
    <w:rsid w:val="24D526FD"/>
    <w:rsid w:val="24E76BE8"/>
    <w:rsid w:val="252546C3"/>
    <w:rsid w:val="252B0BB3"/>
    <w:rsid w:val="252E7189"/>
    <w:rsid w:val="256040C9"/>
    <w:rsid w:val="25645475"/>
    <w:rsid w:val="25722BAF"/>
    <w:rsid w:val="25850F7B"/>
    <w:rsid w:val="258E7B7F"/>
    <w:rsid w:val="25A55A28"/>
    <w:rsid w:val="25CE1F4F"/>
    <w:rsid w:val="260B0B0B"/>
    <w:rsid w:val="262C35F3"/>
    <w:rsid w:val="26574779"/>
    <w:rsid w:val="26720AE8"/>
    <w:rsid w:val="26722DF5"/>
    <w:rsid w:val="2697687A"/>
    <w:rsid w:val="26A42276"/>
    <w:rsid w:val="26B048CF"/>
    <w:rsid w:val="26CF5E3B"/>
    <w:rsid w:val="26D95C81"/>
    <w:rsid w:val="26FB1935"/>
    <w:rsid w:val="271158BD"/>
    <w:rsid w:val="271A039A"/>
    <w:rsid w:val="272804A6"/>
    <w:rsid w:val="273F53E1"/>
    <w:rsid w:val="27965380"/>
    <w:rsid w:val="27FC6AB7"/>
    <w:rsid w:val="281A3B7F"/>
    <w:rsid w:val="281D4CB6"/>
    <w:rsid w:val="28212236"/>
    <w:rsid w:val="28225114"/>
    <w:rsid w:val="28414907"/>
    <w:rsid w:val="28641DDC"/>
    <w:rsid w:val="286D7311"/>
    <w:rsid w:val="287C121A"/>
    <w:rsid w:val="288663F2"/>
    <w:rsid w:val="288D1679"/>
    <w:rsid w:val="28983BDF"/>
    <w:rsid w:val="28994044"/>
    <w:rsid w:val="28BA778B"/>
    <w:rsid w:val="28CF7855"/>
    <w:rsid w:val="292852C2"/>
    <w:rsid w:val="29487607"/>
    <w:rsid w:val="29922FD2"/>
    <w:rsid w:val="29BE73CC"/>
    <w:rsid w:val="29C17764"/>
    <w:rsid w:val="2A0E227A"/>
    <w:rsid w:val="2A1829D0"/>
    <w:rsid w:val="2A1F0EA2"/>
    <w:rsid w:val="2A3C4DFE"/>
    <w:rsid w:val="2A6074C3"/>
    <w:rsid w:val="2A9C4475"/>
    <w:rsid w:val="2AA03DAB"/>
    <w:rsid w:val="2AA3726B"/>
    <w:rsid w:val="2AE74455"/>
    <w:rsid w:val="2AED5527"/>
    <w:rsid w:val="2AEE3A39"/>
    <w:rsid w:val="2B4D7F9A"/>
    <w:rsid w:val="2B8D373E"/>
    <w:rsid w:val="2BE84F13"/>
    <w:rsid w:val="2BF81A9F"/>
    <w:rsid w:val="2C0C1A2C"/>
    <w:rsid w:val="2C494E79"/>
    <w:rsid w:val="2C4F375B"/>
    <w:rsid w:val="2C5A7AC4"/>
    <w:rsid w:val="2C682DF7"/>
    <w:rsid w:val="2C6A0BFA"/>
    <w:rsid w:val="2C6C1C2D"/>
    <w:rsid w:val="2C8829FF"/>
    <w:rsid w:val="2CAF0151"/>
    <w:rsid w:val="2CBD3C19"/>
    <w:rsid w:val="2D1A6B8B"/>
    <w:rsid w:val="2D3C7A1B"/>
    <w:rsid w:val="2D400C03"/>
    <w:rsid w:val="2D504622"/>
    <w:rsid w:val="2D713318"/>
    <w:rsid w:val="2D9B2B4F"/>
    <w:rsid w:val="2DAA3BA2"/>
    <w:rsid w:val="2DB06F7C"/>
    <w:rsid w:val="2DCF7CDF"/>
    <w:rsid w:val="2DF511F5"/>
    <w:rsid w:val="2E004BE0"/>
    <w:rsid w:val="2E4466C3"/>
    <w:rsid w:val="2E5B6B4B"/>
    <w:rsid w:val="2E9236A2"/>
    <w:rsid w:val="2EF03F92"/>
    <w:rsid w:val="2EF7784D"/>
    <w:rsid w:val="2EF82D13"/>
    <w:rsid w:val="2F06540D"/>
    <w:rsid w:val="2F2F2920"/>
    <w:rsid w:val="2F362D1D"/>
    <w:rsid w:val="2F3E1D3D"/>
    <w:rsid w:val="2F520D6A"/>
    <w:rsid w:val="2F983C4C"/>
    <w:rsid w:val="2FC811E9"/>
    <w:rsid w:val="2FF53720"/>
    <w:rsid w:val="30557C22"/>
    <w:rsid w:val="306E5BF5"/>
    <w:rsid w:val="30811BCF"/>
    <w:rsid w:val="30852C88"/>
    <w:rsid w:val="312225A7"/>
    <w:rsid w:val="314E5250"/>
    <w:rsid w:val="314F336F"/>
    <w:rsid w:val="31774C75"/>
    <w:rsid w:val="317D7AB6"/>
    <w:rsid w:val="31AA7C21"/>
    <w:rsid w:val="31B643EF"/>
    <w:rsid w:val="31BB428D"/>
    <w:rsid w:val="31D811CD"/>
    <w:rsid w:val="31EC7C82"/>
    <w:rsid w:val="322B52E9"/>
    <w:rsid w:val="32342B66"/>
    <w:rsid w:val="32466B0F"/>
    <w:rsid w:val="324C7ED8"/>
    <w:rsid w:val="32607DFF"/>
    <w:rsid w:val="326B6FB6"/>
    <w:rsid w:val="328238D1"/>
    <w:rsid w:val="32AD7628"/>
    <w:rsid w:val="32CB5278"/>
    <w:rsid w:val="33097A2D"/>
    <w:rsid w:val="33137B9F"/>
    <w:rsid w:val="333B417A"/>
    <w:rsid w:val="33415A8D"/>
    <w:rsid w:val="334F3A96"/>
    <w:rsid w:val="33586AFB"/>
    <w:rsid w:val="337B73ED"/>
    <w:rsid w:val="339A55B4"/>
    <w:rsid w:val="34041022"/>
    <w:rsid w:val="34352795"/>
    <w:rsid w:val="34541FE0"/>
    <w:rsid w:val="34756687"/>
    <w:rsid w:val="347831DE"/>
    <w:rsid w:val="347E5715"/>
    <w:rsid w:val="34897728"/>
    <w:rsid w:val="34AC3731"/>
    <w:rsid w:val="34DB4661"/>
    <w:rsid w:val="34E410C4"/>
    <w:rsid w:val="34EF0B9B"/>
    <w:rsid w:val="34F333CE"/>
    <w:rsid w:val="350668B2"/>
    <w:rsid w:val="351211E7"/>
    <w:rsid w:val="35270760"/>
    <w:rsid w:val="35335936"/>
    <w:rsid w:val="355557F2"/>
    <w:rsid w:val="3562627B"/>
    <w:rsid w:val="3567286F"/>
    <w:rsid w:val="358556C3"/>
    <w:rsid w:val="35A973B1"/>
    <w:rsid w:val="35C70E9A"/>
    <w:rsid w:val="360C4565"/>
    <w:rsid w:val="36124F93"/>
    <w:rsid w:val="36514DFC"/>
    <w:rsid w:val="365A592A"/>
    <w:rsid w:val="366571C7"/>
    <w:rsid w:val="36A73099"/>
    <w:rsid w:val="36E253DC"/>
    <w:rsid w:val="37257AC4"/>
    <w:rsid w:val="375F69DD"/>
    <w:rsid w:val="37647EF5"/>
    <w:rsid w:val="37A07100"/>
    <w:rsid w:val="37A406E4"/>
    <w:rsid w:val="37CD3840"/>
    <w:rsid w:val="37D6300B"/>
    <w:rsid w:val="37DE3C9F"/>
    <w:rsid w:val="37E34E12"/>
    <w:rsid w:val="38010FF7"/>
    <w:rsid w:val="38196824"/>
    <w:rsid w:val="385345AE"/>
    <w:rsid w:val="38631B62"/>
    <w:rsid w:val="3869690E"/>
    <w:rsid w:val="38750FF3"/>
    <w:rsid w:val="38BD74B9"/>
    <w:rsid w:val="38CF1AFF"/>
    <w:rsid w:val="39015C75"/>
    <w:rsid w:val="390943EF"/>
    <w:rsid w:val="391D14E6"/>
    <w:rsid w:val="39340E5C"/>
    <w:rsid w:val="393B5AA8"/>
    <w:rsid w:val="39405883"/>
    <w:rsid w:val="39861EF9"/>
    <w:rsid w:val="39AC580A"/>
    <w:rsid w:val="39BA0AB8"/>
    <w:rsid w:val="39C63022"/>
    <w:rsid w:val="39FD7375"/>
    <w:rsid w:val="39FE7EC6"/>
    <w:rsid w:val="3A5B049C"/>
    <w:rsid w:val="3A8B1791"/>
    <w:rsid w:val="3A971EE4"/>
    <w:rsid w:val="3AD73F6C"/>
    <w:rsid w:val="3AEC2F68"/>
    <w:rsid w:val="3B18212D"/>
    <w:rsid w:val="3B4018AB"/>
    <w:rsid w:val="3B6766AF"/>
    <w:rsid w:val="3B824942"/>
    <w:rsid w:val="3B9C6C07"/>
    <w:rsid w:val="3BA20E92"/>
    <w:rsid w:val="3BBE43C5"/>
    <w:rsid w:val="3BE01215"/>
    <w:rsid w:val="3BFF0258"/>
    <w:rsid w:val="3C015CC0"/>
    <w:rsid w:val="3C143A01"/>
    <w:rsid w:val="3C553E04"/>
    <w:rsid w:val="3C720169"/>
    <w:rsid w:val="3C8C4E40"/>
    <w:rsid w:val="3CC32992"/>
    <w:rsid w:val="3CC46172"/>
    <w:rsid w:val="3D0C725A"/>
    <w:rsid w:val="3D161F09"/>
    <w:rsid w:val="3D6A6209"/>
    <w:rsid w:val="3D736C38"/>
    <w:rsid w:val="3DA24227"/>
    <w:rsid w:val="3DA93405"/>
    <w:rsid w:val="3DC6046B"/>
    <w:rsid w:val="3DDA621C"/>
    <w:rsid w:val="3E142590"/>
    <w:rsid w:val="3E292AC9"/>
    <w:rsid w:val="3E2E7003"/>
    <w:rsid w:val="3E485AF6"/>
    <w:rsid w:val="3E521D31"/>
    <w:rsid w:val="3E6727A9"/>
    <w:rsid w:val="3E7C7D6E"/>
    <w:rsid w:val="3E8C6133"/>
    <w:rsid w:val="3E9B7344"/>
    <w:rsid w:val="3ED668C3"/>
    <w:rsid w:val="3EF935E4"/>
    <w:rsid w:val="3F281D35"/>
    <w:rsid w:val="3F281DC2"/>
    <w:rsid w:val="3F297732"/>
    <w:rsid w:val="3F4732B9"/>
    <w:rsid w:val="3F4944A8"/>
    <w:rsid w:val="3FC5148A"/>
    <w:rsid w:val="3FFA4413"/>
    <w:rsid w:val="400859C2"/>
    <w:rsid w:val="401972B4"/>
    <w:rsid w:val="405B5800"/>
    <w:rsid w:val="40624D42"/>
    <w:rsid w:val="40A01669"/>
    <w:rsid w:val="40CB6648"/>
    <w:rsid w:val="41112483"/>
    <w:rsid w:val="41480453"/>
    <w:rsid w:val="41571710"/>
    <w:rsid w:val="416B49EF"/>
    <w:rsid w:val="417444DF"/>
    <w:rsid w:val="41A40996"/>
    <w:rsid w:val="41A90E7A"/>
    <w:rsid w:val="41B572E1"/>
    <w:rsid w:val="41CB616E"/>
    <w:rsid w:val="41E2613A"/>
    <w:rsid w:val="41E974C9"/>
    <w:rsid w:val="41FC0FA7"/>
    <w:rsid w:val="420743E3"/>
    <w:rsid w:val="421D11FF"/>
    <w:rsid w:val="423F1CC9"/>
    <w:rsid w:val="424B600F"/>
    <w:rsid w:val="426E79CE"/>
    <w:rsid w:val="42A57FF2"/>
    <w:rsid w:val="42B3458F"/>
    <w:rsid w:val="42C10E48"/>
    <w:rsid w:val="42CA44EA"/>
    <w:rsid w:val="42EF792C"/>
    <w:rsid w:val="42F223AD"/>
    <w:rsid w:val="431E55F4"/>
    <w:rsid w:val="4370627C"/>
    <w:rsid w:val="43713A92"/>
    <w:rsid w:val="437D03C2"/>
    <w:rsid w:val="439E46C5"/>
    <w:rsid w:val="43BF6482"/>
    <w:rsid w:val="43DB72E5"/>
    <w:rsid w:val="43E52ADD"/>
    <w:rsid w:val="43F354D7"/>
    <w:rsid w:val="44046EB0"/>
    <w:rsid w:val="440A1946"/>
    <w:rsid w:val="44162084"/>
    <w:rsid w:val="44505E3E"/>
    <w:rsid w:val="44832F7B"/>
    <w:rsid w:val="449204BA"/>
    <w:rsid w:val="44C804E0"/>
    <w:rsid w:val="4507271E"/>
    <w:rsid w:val="451C3BF0"/>
    <w:rsid w:val="452A10C4"/>
    <w:rsid w:val="453B0546"/>
    <w:rsid w:val="455A64B5"/>
    <w:rsid w:val="45927E77"/>
    <w:rsid w:val="45965327"/>
    <w:rsid w:val="459933EC"/>
    <w:rsid w:val="45F30C02"/>
    <w:rsid w:val="45F97EF6"/>
    <w:rsid w:val="460A3EB2"/>
    <w:rsid w:val="460B7E0C"/>
    <w:rsid w:val="461812ED"/>
    <w:rsid w:val="46223A8A"/>
    <w:rsid w:val="46314DBD"/>
    <w:rsid w:val="465B1FC3"/>
    <w:rsid w:val="46D804AF"/>
    <w:rsid w:val="46D908D3"/>
    <w:rsid w:val="471662CD"/>
    <w:rsid w:val="47462CC7"/>
    <w:rsid w:val="47752F9E"/>
    <w:rsid w:val="47777325"/>
    <w:rsid w:val="477C0DDF"/>
    <w:rsid w:val="47801AB2"/>
    <w:rsid w:val="47905265"/>
    <w:rsid w:val="4795235B"/>
    <w:rsid w:val="47E567CE"/>
    <w:rsid w:val="47E80223"/>
    <w:rsid w:val="480379E4"/>
    <w:rsid w:val="481903DC"/>
    <w:rsid w:val="486F44A0"/>
    <w:rsid w:val="48894303"/>
    <w:rsid w:val="489A466A"/>
    <w:rsid w:val="48B078A1"/>
    <w:rsid w:val="48EF57D7"/>
    <w:rsid w:val="49072A64"/>
    <w:rsid w:val="493731EA"/>
    <w:rsid w:val="49506714"/>
    <w:rsid w:val="49834D90"/>
    <w:rsid w:val="49891E90"/>
    <w:rsid w:val="49935F6C"/>
    <w:rsid w:val="49AF4B75"/>
    <w:rsid w:val="49E16843"/>
    <w:rsid w:val="49EC1A0A"/>
    <w:rsid w:val="49F40B18"/>
    <w:rsid w:val="4A2E5632"/>
    <w:rsid w:val="4A343D33"/>
    <w:rsid w:val="4A6873F9"/>
    <w:rsid w:val="4A8166C5"/>
    <w:rsid w:val="4A8803F3"/>
    <w:rsid w:val="4A9F523E"/>
    <w:rsid w:val="4A9F776C"/>
    <w:rsid w:val="4ABD14F2"/>
    <w:rsid w:val="4ADB2C8C"/>
    <w:rsid w:val="4B0706EF"/>
    <w:rsid w:val="4B1032AC"/>
    <w:rsid w:val="4B196D56"/>
    <w:rsid w:val="4B2E5F87"/>
    <w:rsid w:val="4B3423D0"/>
    <w:rsid w:val="4B3814C1"/>
    <w:rsid w:val="4BC3464C"/>
    <w:rsid w:val="4BF60AAA"/>
    <w:rsid w:val="4BF65473"/>
    <w:rsid w:val="4BF65A39"/>
    <w:rsid w:val="4C1C5ED1"/>
    <w:rsid w:val="4C243D45"/>
    <w:rsid w:val="4C296DFE"/>
    <w:rsid w:val="4C4308E7"/>
    <w:rsid w:val="4C53486C"/>
    <w:rsid w:val="4C5F554A"/>
    <w:rsid w:val="4C8D7864"/>
    <w:rsid w:val="4CA2136F"/>
    <w:rsid w:val="4CC330C3"/>
    <w:rsid w:val="4CC72AFC"/>
    <w:rsid w:val="4CF25575"/>
    <w:rsid w:val="4CF87F00"/>
    <w:rsid w:val="4D1F46E6"/>
    <w:rsid w:val="4D5946E2"/>
    <w:rsid w:val="4D5B4DFE"/>
    <w:rsid w:val="4D5C3245"/>
    <w:rsid w:val="4D6543A8"/>
    <w:rsid w:val="4D704AFD"/>
    <w:rsid w:val="4D8D7BF0"/>
    <w:rsid w:val="4DB017E2"/>
    <w:rsid w:val="4DBB674D"/>
    <w:rsid w:val="4DCF705B"/>
    <w:rsid w:val="4DDF5C24"/>
    <w:rsid w:val="4DEB371E"/>
    <w:rsid w:val="4DEE42BB"/>
    <w:rsid w:val="4DF06083"/>
    <w:rsid w:val="4E037B64"/>
    <w:rsid w:val="4E0F6509"/>
    <w:rsid w:val="4E173610"/>
    <w:rsid w:val="4E1C6E78"/>
    <w:rsid w:val="4E4C2F10"/>
    <w:rsid w:val="4E50554E"/>
    <w:rsid w:val="4E922C96"/>
    <w:rsid w:val="4EA62219"/>
    <w:rsid w:val="4EB9101B"/>
    <w:rsid w:val="4ECA0682"/>
    <w:rsid w:val="4EDF533B"/>
    <w:rsid w:val="4F046328"/>
    <w:rsid w:val="4F0A38E9"/>
    <w:rsid w:val="4F0C1D27"/>
    <w:rsid w:val="4F1360B6"/>
    <w:rsid w:val="4F1763A9"/>
    <w:rsid w:val="4F244236"/>
    <w:rsid w:val="4F3139CE"/>
    <w:rsid w:val="4FA52BCF"/>
    <w:rsid w:val="4FF5614D"/>
    <w:rsid w:val="50456945"/>
    <w:rsid w:val="506D7517"/>
    <w:rsid w:val="507B2AF5"/>
    <w:rsid w:val="507C0F0A"/>
    <w:rsid w:val="507C3A71"/>
    <w:rsid w:val="5080128E"/>
    <w:rsid w:val="5086682B"/>
    <w:rsid w:val="50987303"/>
    <w:rsid w:val="50A74F10"/>
    <w:rsid w:val="50EA7095"/>
    <w:rsid w:val="51095C3F"/>
    <w:rsid w:val="511B597F"/>
    <w:rsid w:val="513D7C0C"/>
    <w:rsid w:val="514A4278"/>
    <w:rsid w:val="516624D4"/>
    <w:rsid w:val="516F5BB5"/>
    <w:rsid w:val="5171015E"/>
    <w:rsid w:val="517360A5"/>
    <w:rsid w:val="51876787"/>
    <w:rsid w:val="51C12281"/>
    <w:rsid w:val="51E6161A"/>
    <w:rsid w:val="51E86261"/>
    <w:rsid w:val="523429DF"/>
    <w:rsid w:val="52446638"/>
    <w:rsid w:val="526762D2"/>
    <w:rsid w:val="52A10892"/>
    <w:rsid w:val="52B453D9"/>
    <w:rsid w:val="52B925C9"/>
    <w:rsid w:val="52E36449"/>
    <w:rsid w:val="52EF5B8A"/>
    <w:rsid w:val="53157BAA"/>
    <w:rsid w:val="531B14AC"/>
    <w:rsid w:val="531E7860"/>
    <w:rsid w:val="532631EC"/>
    <w:rsid w:val="5349426B"/>
    <w:rsid w:val="535B075B"/>
    <w:rsid w:val="538D6EA3"/>
    <w:rsid w:val="53C77635"/>
    <w:rsid w:val="53C82084"/>
    <w:rsid w:val="53F824B7"/>
    <w:rsid w:val="543437C0"/>
    <w:rsid w:val="54572022"/>
    <w:rsid w:val="54581443"/>
    <w:rsid w:val="5478018A"/>
    <w:rsid w:val="54B666D4"/>
    <w:rsid w:val="54D142AB"/>
    <w:rsid w:val="551822B1"/>
    <w:rsid w:val="552C3E22"/>
    <w:rsid w:val="553E1633"/>
    <w:rsid w:val="554910C3"/>
    <w:rsid w:val="5565794F"/>
    <w:rsid w:val="556D4F3D"/>
    <w:rsid w:val="55866B82"/>
    <w:rsid w:val="55A53803"/>
    <w:rsid w:val="55B66503"/>
    <w:rsid w:val="55CC7FEC"/>
    <w:rsid w:val="55E2397B"/>
    <w:rsid w:val="56124EA8"/>
    <w:rsid w:val="56222B52"/>
    <w:rsid w:val="562D14FF"/>
    <w:rsid w:val="56312E45"/>
    <w:rsid w:val="56C1389A"/>
    <w:rsid w:val="56C70E4C"/>
    <w:rsid w:val="56E629BF"/>
    <w:rsid w:val="570C3BBB"/>
    <w:rsid w:val="571F7EA6"/>
    <w:rsid w:val="57667D4E"/>
    <w:rsid w:val="576A47B0"/>
    <w:rsid w:val="576D2BA0"/>
    <w:rsid w:val="57700F1E"/>
    <w:rsid w:val="57A11AC9"/>
    <w:rsid w:val="57BA6A69"/>
    <w:rsid w:val="57C96BB6"/>
    <w:rsid w:val="57CA16F3"/>
    <w:rsid w:val="57D60F67"/>
    <w:rsid w:val="57DE6F4C"/>
    <w:rsid w:val="58823D7B"/>
    <w:rsid w:val="58873070"/>
    <w:rsid w:val="590239D6"/>
    <w:rsid w:val="59142FC5"/>
    <w:rsid w:val="594D1EB7"/>
    <w:rsid w:val="59534961"/>
    <w:rsid w:val="59A10231"/>
    <w:rsid w:val="59A374A2"/>
    <w:rsid w:val="59BF4E8F"/>
    <w:rsid w:val="59C13365"/>
    <w:rsid w:val="59FF3DD5"/>
    <w:rsid w:val="5A1C0059"/>
    <w:rsid w:val="5A2D5907"/>
    <w:rsid w:val="5A2E40F8"/>
    <w:rsid w:val="5A2E6302"/>
    <w:rsid w:val="5A3D1617"/>
    <w:rsid w:val="5A3E3CD2"/>
    <w:rsid w:val="5A4532B2"/>
    <w:rsid w:val="5A9E14BA"/>
    <w:rsid w:val="5AAF18B6"/>
    <w:rsid w:val="5AE01549"/>
    <w:rsid w:val="5AF25320"/>
    <w:rsid w:val="5AFC2F2F"/>
    <w:rsid w:val="5B0C3813"/>
    <w:rsid w:val="5B32783C"/>
    <w:rsid w:val="5B6B0AF7"/>
    <w:rsid w:val="5B8F114B"/>
    <w:rsid w:val="5B9736F3"/>
    <w:rsid w:val="5BA849E6"/>
    <w:rsid w:val="5BD30C98"/>
    <w:rsid w:val="5BD36A0F"/>
    <w:rsid w:val="5BDA6D7F"/>
    <w:rsid w:val="5BF155A1"/>
    <w:rsid w:val="5C1667D9"/>
    <w:rsid w:val="5C2B4972"/>
    <w:rsid w:val="5C625955"/>
    <w:rsid w:val="5C843E95"/>
    <w:rsid w:val="5CA54AB0"/>
    <w:rsid w:val="5CE8602D"/>
    <w:rsid w:val="5CF44899"/>
    <w:rsid w:val="5D002351"/>
    <w:rsid w:val="5D207458"/>
    <w:rsid w:val="5D3B7CB5"/>
    <w:rsid w:val="5D560EE3"/>
    <w:rsid w:val="5D5962B6"/>
    <w:rsid w:val="5D600B2F"/>
    <w:rsid w:val="5D754025"/>
    <w:rsid w:val="5DB03139"/>
    <w:rsid w:val="5DE272CE"/>
    <w:rsid w:val="5DE646D3"/>
    <w:rsid w:val="5DFD5D57"/>
    <w:rsid w:val="5E0B1330"/>
    <w:rsid w:val="5E1A2D19"/>
    <w:rsid w:val="5EAC341B"/>
    <w:rsid w:val="5EB81C90"/>
    <w:rsid w:val="5ECA3D86"/>
    <w:rsid w:val="5EDF3CD6"/>
    <w:rsid w:val="5EFF3BB3"/>
    <w:rsid w:val="5F175BD3"/>
    <w:rsid w:val="5F3F6522"/>
    <w:rsid w:val="5F6A2CAD"/>
    <w:rsid w:val="5F8E65CB"/>
    <w:rsid w:val="60247767"/>
    <w:rsid w:val="60734876"/>
    <w:rsid w:val="60A22725"/>
    <w:rsid w:val="60F6534A"/>
    <w:rsid w:val="61343B02"/>
    <w:rsid w:val="613D4CE3"/>
    <w:rsid w:val="613D6DF3"/>
    <w:rsid w:val="616D1CC8"/>
    <w:rsid w:val="61700C15"/>
    <w:rsid w:val="61833763"/>
    <w:rsid w:val="61B76844"/>
    <w:rsid w:val="61B94090"/>
    <w:rsid w:val="61F01591"/>
    <w:rsid w:val="62136433"/>
    <w:rsid w:val="62254142"/>
    <w:rsid w:val="625247BE"/>
    <w:rsid w:val="627067B2"/>
    <w:rsid w:val="62826BDB"/>
    <w:rsid w:val="628E7E3E"/>
    <w:rsid w:val="62A63415"/>
    <w:rsid w:val="62A96AD4"/>
    <w:rsid w:val="62BD06F1"/>
    <w:rsid w:val="62F345C8"/>
    <w:rsid w:val="62FB2FAD"/>
    <w:rsid w:val="6319602F"/>
    <w:rsid w:val="632F672B"/>
    <w:rsid w:val="633E175D"/>
    <w:rsid w:val="634B4589"/>
    <w:rsid w:val="63737E4E"/>
    <w:rsid w:val="63A03BCB"/>
    <w:rsid w:val="63B1112C"/>
    <w:rsid w:val="63B81F47"/>
    <w:rsid w:val="63D802E2"/>
    <w:rsid w:val="63DC2FBF"/>
    <w:rsid w:val="63E72F74"/>
    <w:rsid w:val="63EA73A4"/>
    <w:rsid w:val="64081316"/>
    <w:rsid w:val="642D1726"/>
    <w:rsid w:val="64511A60"/>
    <w:rsid w:val="646F17B8"/>
    <w:rsid w:val="64A1252C"/>
    <w:rsid w:val="64B96D77"/>
    <w:rsid w:val="64E9238A"/>
    <w:rsid w:val="64EF0725"/>
    <w:rsid w:val="64F074F4"/>
    <w:rsid w:val="65796E95"/>
    <w:rsid w:val="65A74A29"/>
    <w:rsid w:val="6655160C"/>
    <w:rsid w:val="665E7BD6"/>
    <w:rsid w:val="66647BB6"/>
    <w:rsid w:val="668039D7"/>
    <w:rsid w:val="66930774"/>
    <w:rsid w:val="66986334"/>
    <w:rsid w:val="66B44E00"/>
    <w:rsid w:val="66C80FC5"/>
    <w:rsid w:val="66D51D4D"/>
    <w:rsid w:val="66D974CE"/>
    <w:rsid w:val="66EC6F90"/>
    <w:rsid w:val="66F9067A"/>
    <w:rsid w:val="67573614"/>
    <w:rsid w:val="677C6D6C"/>
    <w:rsid w:val="677E1BB2"/>
    <w:rsid w:val="678C3314"/>
    <w:rsid w:val="67B20FA6"/>
    <w:rsid w:val="67D70A67"/>
    <w:rsid w:val="67F269B3"/>
    <w:rsid w:val="67F379B8"/>
    <w:rsid w:val="681C56E8"/>
    <w:rsid w:val="68595677"/>
    <w:rsid w:val="68B17662"/>
    <w:rsid w:val="68C609BD"/>
    <w:rsid w:val="68DF4E92"/>
    <w:rsid w:val="690D7691"/>
    <w:rsid w:val="69126A56"/>
    <w:rsid w:val="692312B4"/>
    <w:rsid w:val="69556DF3"/>
    <w:rsid w:val="696F705B"/>
    <w:rsid w:val="69AA76EB"/>
    <w:rsid w:val="69B73E54"/>
    <w:rsid w:val="69CF5B6C"/>
    <w:rsid w:val="6A18009C"/>
    <w:rsid w:val="6A18437A"/>
    <w:rsid w:val="6A2161D7"/>
    <w:rsid w:val="6A2E1384"/>
    <w:rsid w:val="6A364250"/>
    <w:rsid w:val="6A455DEE"/>
    <w:rsid w:val="6AF30FB6"/>
    <w:rsid w:val="6B43120A"/>
    <w:rsid w:val="6B74291B"/>
    <w:rsid w:val="6B8B0B5D"/>
    <w:rsid w:val="6B9A296A"/>
    <w:rsid w:val="6BD6293B"/>
    <w:rsid w:val="6BF608B1"/>
    <w:rsid w:val="6C17681A"/>
    <w:rsid w:val="6C2D1D98"/>
    <w:rsid w:val="6C7D068A"/>
    <w:rsid w:val="6C7D7C51"/>
    <w:rsid w:val="6CD50D91"/>
    <w:rsid w:val="6CD51390"/>
    <w:rsid w:val="6D054E50"/>
    <w:rsid w:val="6D1D3500"/>
    <w:rsid w:val="6D1D796E"/>
    <w:rsid w:val="6D306281"/>
    <w:rsid w:val="6D4570DF"/>
    <w:rsid w:val="6D671614"/>
    <w:rsid w:val="6D6802ED"/>
    <w:rsid w:val="6D9466BA"/>
    <w:rsid w:val="6DA8216A"/>
    <w:rsid w:val="6DAE22C1"/>
    <w:rsid w:val="6E0063F0"/>
    <w:rsid w:val="6E273271"/>
    <w:rsid w:val="6E5129EF"/>
    <w:rsid w:val="6E677B1D"/>
    <w:rsid w:val="6E694D2F"/>
    <w:rsid w:val="6E6B2E90"/>
    <w:rsid w:val="6E6F6773"/>
    <w:rsid w:val="6E8B6A19"/>
    <w:rsid w:val="6E8D0BAC"/>
    <w:rsid w:val="6E8D18D4"/>
    <w:rsid w:val="6E996F51"/>
    <w:rsid w:val="6EAB3BD4"/>
    <w:rsid w:val="6ED00480"/>
    <w:rsid w:val="6ED92F8E"/>
    <w:rsid w:val="6EDE238A"/>
    <w:rsid w:val="6EEE0563"/>
    <w:rsid w:val="6EF74565"/>
    <w:rsid w:val="6EF966EE"/>
    <w:rsid w:val="6EFC2AE2"/>
    <w:rsid w:val="6F1E3EFE"/>
    <w:rsid w:val="6F655B31"/>
    <w:rsid w:val="6F8B4B86"/>
    <w:rsid w:val="6F8D33AC"/>
    <w:rsid w:val="6FBE188C"/>
    <w:rsid w:val="6FCE4375"/>
    <w:rsid w:val="6FD3032B"/>
    <w:rsid w:val="6FDB55D0"/>
    <w:rsid w:val="7001090D"/>
    <w:rsid w:val="702D6286"/>
    <w:rsid w:val="7035211A"/>
    <w:rsid w:val="70812FE7"/>
    <w:rsid w:val="709779C9"/>
    <w:rsid w:val="70D139DD"/>
    <w:rsid w:val="70D77260"/>
    <w:rsid w:val="70D80585"/>
    <w:rsid w:val="70E05BBA"/>
    <w:rsid w:val="70E4517B"/>
    <w:rsid w:val="71335E3C"/>
    <w:rsid w:val="71383E8B"/>
    <w:rsid w:val="713E4E22"/>
    <w:rsid w:val="71455E8F"/>
    <w:rsid w:val="714E7A47"/>
    <w:rsid w:val="714F2E79"/>
    <w:rsid w:val="71630796"/>
    <w:rsid w:val="71663ED4"/>
    <w:rsid w:val="7168465C"/>
    <w:rsid w:val="718304F0"/>
    <w:rsid w:val="719B43F2"/>
    <w:rsid w:val="71EC4E43"/>
    <w:rsid w:val="71F50C85"/>
    <w:rsid w:val="720C5B89"/>
    <w:rsid w:val="722D1F6D"/>
    <w:rsid w:val="7240030F"/>
    <w:rsid w:val="72613DF1"/>
    <w:rsid w:val="727147ED"/>
    <w:rsid w:val="72953A77"/>
    <w:rsid w:val="72B03567"/>
    <w:rsid w:val="72C60B5E"/>
    <w:rsid w:val="72DC52F8"/>
    <w:rsid w:val="72EF181B"/>
    <w:rsid w:val="731F509A"/>
    <w:rsid w:val="73443457"/>
    <w:rsid w:val="73666540"/>
    <w:rsid w:val="73782115"/>
    <w:rsid w:val="73A23474"/>
    <w:rsid w:val="73B57597"/>
    <w:rsid w:val="73D96FF7"/>
    <w:rsid w:val="740407FC"/>
    <w:rsid w:val="74261FB2"/>
    <w:rsid w:val="742E4AE5"/>
    <w:rsid w:val="743B0372"/>
    <w:rsid w:val="743F7FE9"/>
    <w:rsid w:val="74556998"/>
    <w:rsid w:val="745B2C64"/>
    <w:rsid w:val="745D14CD"/>
    <w:rsid w:val="74647BCD"/>
    <w:rsid w:val="74C20CFC"/>
    <w:rsid w:val="74DB41A1"/>
    <w:rsid w:val="75070556"/>
    <w:rsid w:val="750B6E06"/>
    <w:rsid w:val="751C658E"/>
    <w:rsid w:val="752862B7"/>
    <w:rsid w:val="753A2F94"/>
    <w:rsid w:val="758607FD"/>
    <w:rsid w:val="75984460"/>
    <w:rsid w:val="760A0E21"/>
    <w:rsid w:val="761634C4"/>
    <w:rsid w:val="76595CC4"/>
    <w:rsid w:val="765E32DA"/>
    <w:rsid w:val="76967C55"/>
    <w:rsid w:val="76B34156"/>
    <w:rsid w:val="76D72FE7"/>
    <w:rsid w:val="76E72756"/>
    <w:rsid w:val="77104A47"/>
    <w:rsid w:val="771C2541"/>
    <w:rsid w:val="774E5DAF"/>
    <w:rsid w:val="779108EB"/>
    <w:rsid w:val="77950C6E"/>
    <w:rsid w:val="77AA1EDD"/>
    <w:rsid w:val="77C1059D"/>
    <w:rsid w:val="77D630EC"/>
    <w:rsid w:val="77F67257"/>
    <w:rsid w:val="77FC131B"/>
    <w:rsid w:val="77FC3B0E"/>
    <w:rsid w:val="780358A9"/>
    <w:rsid w:val="78070319"/>
    <w:rsid w:val="78143870"/>
    <w:rsid w:val="786B4979"/>
    <w:rsid w:val="78853661"/>
    <w:rsid w:val="7892370F"/>
    <w:rsid w:val="78A43B6E"/>
    <w:rsid w:val="78A830C7"/>
    <w:rsid w:val="78AB4BB7"/>
    <w:rsid w:val="78D0048E"/>
    <w:rsid w:val="78E0447A"/>
    <w:rsid w:val="78E05550"/>
    <w:rsid w:val="78F348F2"/>
    <w:rsid w:val="79076B50"/>
    <w:rsid w:val="79163429"/>
    <w:rsid w:val="792B2D45"/>
    <w:rsid w:val="79312F28"/>
    <w:rsid w:val="79970C64"/>
    <w:rsid w:val="79984FFC"/>
    <w:rsid w:val="79AC3305"/>
    <w:rsid w:val="79B43785"/>
    <w:rsid w:val="79CE6DF0"/>
    <w:rsid w:val="7A1C17B7"/>
    <w:rsid w:val="7A2C501E"/>
    <w:rsid w:val="7A301ED1"/>
    <w:rsid w:val="7A5B6EF4"/>
    <w:rsid w:val="7A9573C9"/>
    <w:rsid w:val="7A984577"/>
    <w:rsid w:val="7AB00950"/>
    <w:rsid w:val="7AB93AD6"/>
    <w:rsid w:val="7ABF22A2"/>
    <w:rsid w:val="7AE371F5"/>
    <w:rsid w:val="7B0A4D75"/>
    <w:rsid w:val="7B373BAD"/>
    <w:rsid w:val="7B460C77"/>
    <w:rsid w:val="7B540BE2"/>
    <w:rsid w:val="7B5468E1"/>
    <w:rsid w:val="7B676B0E"/>
    <w:rsid w:val="7B866719"/>
    <w:rsid w:val="7BBC7F06"/>
    <w:rsid w:val="7BE06E4C"/>
    <w:rsid w:val="7BE76AAF"/>
    <w:rsid w:val="7C22419B"/>
    <w:rsid w:val="7C292921"/>
    <w:rsid w:val="7C381A6A"/>
    <w:rsid w:val="7C414133"/>
    <w:rsid w:val="7C754ED8"/>
    <w:rsid w:val="7C9024FF"/>
    <w:rsid w:val="7CAE6553"/>
    <w:rsid w:val="7CC145C3"/>
    <w:rsid w:val="7CD4218E"/>
    <w:rsid w:val="7CE706DB"/>
    <w:rsid w:val="7CE87DA1"/>
    <w:rsid w:val="7CFE7B27"/>
    <w:rsid w:val="7D261E57"/>
    <w:rsid w:val="7D29174B"/>
    <w:rsid w:val="7D32766A"/>
    <w:rsid w:val="7DB16FCC"/>
    <w:rsid w:val="7DBB1D68"/>
    <w:rsid w:val="7DC110DB"/>
    <w:rsid w:val="7DDF2D9D"/>
    <w:rsid w:val="7E1D580B"/>
    <w:rsid w:val="7E4052A5"/>
    <w:rsid w:val="7E42189C"/>
    <w:rsid w:val="7E7A3AFF"/>
    <w:rsid w:val="7E876B53"/>
    <w:rsid w:val="7EB22415"/>
    <w:rsid w:val="7F2F3A66"/>
    <w:rsid w:val="7F511596"/>
    <w:rsid w:val="7F7165C8"/>
    <w:rsid w:val="7FCE67CA"/>
    <w:rsid w:val="7FD6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line="576" w:lineRule="auto"/>
      <w:jc w:val="center"/>
      <w:outlineLvl w:val="0"/>
    </w:pPr>
    <w:rPr>
      <w:rFonts w:ascii="Times New Roman" w:hAnsi="Times New Roman" w:eastAsia="宋体"/>
      <w:b/>
      <w:kern w:val="44"/>
      <w:sz w:val="32"/>
    </w:rPr>
  </w:style>
  <w:style w:type="paragraph" w:styleId="3">
    <w:name w:val="heading 2"/>
    <w:basedOn w:val="1"/>
    <w:next w:val="1"/>
    <w:autoRedefine/>
    <w:unhideWhenUsed/>
    <w:qFormat/>
    <w:uiPriority w:val="0"/>
    <w:pPr>
      <w:keepNext/>
      <w:keepLines/>
      <w:spacing w:line="413" w:lineRule="auto"/>
      <w:jc w:val="center"/>
      <w:outlineLvl w:val="1"/>
    </w:pPr>
    <w:rPr>
      <w:rFonts w:ascii="Arial" w:hAnsi="Arial" w:eastAsia="宋体"/>
      <w:b/>
      <w:sz w:val="28"/>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paragraph" w:styleId="5">
    <w:name w:val="heading 4"/>
    <w:basedOn w:val="1"/>
    <w:next w:val="1"/>
    <w:autoRedefine/>
    <w:unhideWhenUsed/>
    <w:qFormat/>
    <w:uiPriority w:val="0"/>
    <w:pPr>
      <w:keepNext/>
      <w:keepLines/>
      <w:jc w:val="left"/>
      <w:outlineLvl w:val="3"/>
    </w:pPr>
    <w:rPr>
      <w:rFonts w:hint="eastAsia" w:ascii="Arial" w:hAnsi="Arial" w:eastAsia="宋体" w:cs="Times New Roman"/>
      <w:b/>
      <w:sz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7">
    <w:name w:val="toa heading"/>
    <w:basedOn w:val="1"/>
    <w:next w:val="1"/>
    <w:autoRedefine/>
    <w:qFormat/>
    <w:uiPriority w:val="0"/>
    <w:pPr>
      <w:spacing w:before="120"/>
    </w:pPr>
    <w:rPr>
      <w:rFonts w:ascii="Arial" w:hAnsi="Arial"/>
      <w:sz w:val="24"/>
    </w:rPr>
  </w:style>
  <w:style w:type="paragraph" w:styleId="8">
    <w:name w:val="annotation text"/>
    <w:basedOn w:val="1"/>
    <w:autoRedefine/>
    <w:qFormat/>
    <w:uiPriority w:val="0"/>
    <w:pPr>
      <w:jc w:val="left"/>
    </w:pPr>
  </w:style>
  <w:style w:type="paragraph" w:styleId="9">
    <w:name w:val="Body Text"/>
    <w:basedOn w:val="1"/>
    <w:next w:val="10"/>
    <w:autoRedefine/>
    <w:qFormat/>
    <w:uiPriority w:val="99"/>
  </w:style>
  <w:style w:type="paragraph" w:styleId="10">
    <w:name w:val="Body Text First Indent"/>
    <w:basedOn w:val="9"/>
    <w:next w:val="1"/>
    <w:autoRedefine/>
    <w:unhideWhenUsed/>
    <w:qFormat/>
    <w:uiPriority w:val="99"/>
    <w:pPr>
      <w:ind w:firstLine="420" w:firstLineChars="100"/>
    </w:pPr>
    <w:rPr>
      <w:rFonts w:ascii="Times New Roman" w:hAnsi="Times New Roman"/>
      <w:sz w:val="18"/>
      <w:szCs w:val="18"/>
    </w:rPr>
  </w:style>
  <w:style w:type="paragraph" w:styleId="11">
    <w:name w:val="Body Text Indent"/>
    <w:basedOn w:val="1"/>
    <w:autoRedefine/>
    <w:qFormat/>
    <w:uiPriority w:val="0"/>
    <w:pPr>
      <w:spacing w:after="120"/>
      <w:ind w:left="420" w:leftChars="200"/>
    </w:pPr>
  </w:style>
  <w:style w:type="paragraph" w:styleId="12">
    <w:name w:val="Plain Text"/>
    <w:basedOn w:val="1"/>
    <w:link w:val="26"/>
    <w:autoRedefine/>
    <w:qFormat/>
    <w:uiPriority w:val="0"/>
    <w:pPr>
      <w:spacing w:line="324" w:lineRule="auto"/>
    </w:pPr>
    <w:rPr>
      <w:rFonts w:ascii="宋体" w:hAnsi="Courier New" w:cs="Courier New"/>
      <w:szCs w:val="21"/>
    </w:rPr>
  </w:style>
  <w:style w:type="paragraph" w:styleId="13">
    <w:name w:val="Body Text Indent 2"/>
    <w:basedOn w:val="1"/>
    <w:autoRedefine/>
    <w:qFormat/>
    <w:uiPriority w:val="0"/>
    <w:pPr>
      <w:spacing w:line="400" w:lineRule="exact"/>
      <w:ind w:firstLine="475" w:firstLineChars="198"/>
    </w:pPr>
    <w:rPr>
      <w:rFonts w:ascii="宋体" w:hAnsi="宋体" w:eastAsia="宋体" w:cs="Times New Roman"/>
      <w:sz w:val="24"/>
      <w:szCs w:val="24"/>
    </w:rPr>
  </w:style>
  <w:style w:type="paragraph" w:styleId="14">
    <w:name w:val="Balloon Text"/>
    <w:basedOn w:val="1"/>
    <w:link w:val="33"/>
    <w:autoRedefine/>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Normal (Web)"/>
    <w:basedOn w:val="1"/>
    <w:autoRedefine/>
    <w:qFormat/>
    <w:uiPriority w:val="0"/>
    <w:pPr>
      <w:spacing w:beforeAutospacing="1" w:afterAutospacing="1"/>
      <w:jc w:val="left"/>
    </w:pPr>
    <w:rPr>
      <w:rFonts w:cs="Times New Roman"/>
      <w:kern w:val="0"/>
      <w:sz w:val="24"/>
    </w:r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autoRedefine/>
    <w:qFormat/>
    <w:uiPriority w:val="0"/>
    <w:rPr>
      <w:rFonts w:hint="eastAsia" w:ascii="宋体" w:hAnsi="宋体" w:eastAsia="宋体" w:cs="宋体"/>
      <w:color w:val="000000"/>
      <w:sz w:val="18"/>
      <w:szCs w:val="18"/>
      <w:u w:val="none"/>
    </w:rPr>
  </w:style>
  <w:style w:type="character" w:styleId="24">
    <w:name w:val="Hyperlink"/>
    <w:basedOn w:val="22"/>
    <w:autoRedefine/>
    <w:qFormat/>
    <w:uiPriority w:val="0"/>
    <w:rPr>
      <w:rFonts w:hint="eastAsia" w:ascii="宋体" w:hAnsi="宋体" w:eastAsia="宋体" w:cs="宋体"/>
      <w:color w:val="000000"/>
      <w:sz w:val="18"/>
      <w:szCs w:val="18"/>
      <w:u w:val="none"/>
    </w:rPr>
  </w:style>
  <w:style w:type="character" w:styleId="25">
    <w:name w:val="annotation reference"/>
    <w:basedOn w:val="22"/>
    <w:qFormat/>
    <w:uiPriority w:val="0"/>
    <w:rPr>
      <w:sz w:val="21"/>
      <w:szCs w:val="21"/>
    </w:rPr>
  </w:style>
  <w:style w:type="character" w:customStyle="1" w:styleId="26">
    <w:name w:val="纯文本 字符"/>
    <w:link w:val="12"/>
    <w:qFormat/>
    <w:uiPriority w:val="0"/>
    <w:rPr>
      <w:rFonts w:ascii="宋体" w:hAnsi="Courier New" w:cs="Courier New"/>
      <w:szCs w:val="21"/>
    </w:rPr>
  </w:style>
  <w:style w:type="character" w:customStyle="1" w:styleId="27">
    <w:name w:val="font41"/>
    <w:basedOn w:val="22"/>
    <w:qFormat/>
    <w:uiPriority w:val="0"/>
    <w:rPr>
      <w:rFonts w:hint="eastAsia" w:ascii="宋体" w:hAnsi="宋体" w:eastAsia="宋体" w:cs="宋体"/>
      <w:color w:val="000000"/>
      <w:sz w:val="22"/>
      <w:szCs w:val="22"/>
      <w:u w:val="none"/>
    </w:rPr>
  </w:style>
  <w:style w:type="character" w:customStyle="1" w:styleId="28">
    <w:name w:val="font11"/>
    <w:basedOn w:val="22"/>
    <w:autoRedefine/>
    <w:qFormat/>
    <w:uiPriority w:val="0"/>
    <w:rPr>
      <w:rFonts w:hint="eastAsia" w:ascii="宋体" w:hAnsi="宋体" w:eastAsia="宋体" w:cs="宋体"/>
      <w:b/>
      <w:color w:val="000000"/>
      <w:sz w:val="22"/>
      <w:szCs w:val="22"/>
      <w:u w:val="none"/>
    </w:rPr>
  </w:style>
  <w:style w:type="paragraph" w:styleId="29">
    <w:name w:val="List Paragraph"/>
    <w:basedOn w:val="1"/>
    <w:unhideWhenUsed/>
    <w:qFormat/>
    <w:uiPriority w:val="99"/>
    <w:pPr>
      <w:ind w:firstLine="420" w:firstLineChars="200"/>
    </w:pPr>
  </w:style>
  <w:style w:type="character" w:customStyle="1" w:styleId="30">
    <w:name w:val="apple-converted-space"/>
    <w:basedOn w:val="22"/>
    <w:qFormat/>
    <w:uiPriority w:val="0"/>
  </w:style>
  <w:style w:type="character" w:customStyle="1" w:styleId="31">
    <w:name w:val="font31"/>
    <w:basedOn w:val="22"/>
    <w:autoRedefine/>
    <w:qFormat/>
    <w:uiPriority w:val="0"/>
    <w:rPr>
      <w:rFonts w:hint="eastAsia" w:ascii="宋体" w:hAnsi="宋体" w:eastAsia="宋体" w:cs="宋体"/>
      <w:color w:val="000000"/>
      <w:sz w:val="22"/>
      <w:szCs w:val="22"/>
      <w:u w:val="none"/>
    </w:rPr>
  </w:style>
  <w:style w:type="paragraph" w:customStyle="1" w:styleId="32">
    <w:name w:val="列出段落1"/>
    <w:basedOn w:val="1"/>
    <w:autoRedefine/>
    <w:qFormat/>
    <w:uiPriority w:val="99"/>
    <w:pPr>
      <w:ind w:firstLine="420" w:firstLineChars="200"/>
    </w:pPr>
  </w:style>
  <w:style w:type="character" w:customStyle="1" w:styleId="33">
    <w:name w:val="批注框文本 字符"/>
    <w:basedOn w:val="22"/>
    <w:link w:val="14"/>
    <w:autoRedefine/>
    <w:qFormat/>
    <w:uiPriority w:val="0"/>
    <w:rPr>
      <w:rFonts w:asciiTheme="minorHAnsi" w:hAnsiTheme="minorHAnsi" w:eastAsiaTheme="minorEastAsia" w:cstheme="minorBidi"/>
      <w:kern w:val="2"/>
      <w:sz w:val="18"/>
      <w:szCs w:val="18"/>
    </w:rPr>
  </w:style>
  <w:style w:type="character" w:customStyle="1" w:styleId="34">
    <w:name w:val="font01"/>
    <w:basedOn w:val="22"/>
    <w:autoRedefine/>
    <w:qFormat/>
    <w:uiPriority w:val="0"/>
    <w:rPr>
      <w:rFonts w:hint="eastAsia" w:ascii="宋体" w:hAnsi="宋体" w:eastAsia="宋体" w:cs="宋体"/>
      <w:color w:val="000000"/>
      <w:sz w:val="20"/>
      <w:szCs w:val="20"/>
      <w:u w:val="none"/>
    </w:rPr>
  </w:style>
  <w:style w:type="paragraph" w:customStyle="1" w:styleId="35">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paragraph" w:customStyle="1" w:styleId="36">
    <w:name w:val="招标第一章"/>
    <w:basedOn w:val="1"/>
    <w:autoRedefine/>
    <w:qFormat/>
    <w:uiPriority w:val="0"/>
    <w:pPr>
      <w:keepNext/>
      <w:spacing w:line="460" w:lineRule="exact"/>
      <w:jc w:val="center"/>
      <w:outlineLvl w:val="0"/>
    </w:pPr>
    <w:rPr>
      <w:sz w:val="28"/>
    </w:rPr>
  </w:style>
  <w:style w:type="paragraph" w:customStyle="1" w:styleId="37">
    <w:name w:val="正文首行缩进两字符"/>
    <w:basedOn w:val="1"/>
    <w:autoRedefine/>
    <w:qFormat/>
    <w:uiPriority w:val="0"/>
    <w:pPr>
      <w:autoSpaceDE w:val="0"/>
      <w:autoSpaceDN w:val="0"/>
      <w:adjustRightInd w:val="0"/>
      <w:spacing w:line="360" w:lineRule="atLeast"/>
      <w:ind w:firstLine="200"/>
    </w:pPr>
    <w:rPr>
      <w:rFonts w:ascii="Times New Roman" w:hAnsi="Times New Roman" w:eastAsia="宋体" w:cs="Times New Roman"/>
      <w:kern w:val="0"/>
      <w:szCs w:val="21"/>
    </w:rPr>
  </w:style>
  <w:style w:type="paragraph" w:customStyle="1" w:styleId="38">
    <w:name w:val="Default"/>
    <w:autoRedefine/>
    <w:qFormat/>
    <w:uiPriority w:val="0"/>
    <w:pPr>
      <w:autoSpaceDE w:val="0"/>
      <w:autoSpaceDN w:val="0"/>
      <w:adjustRightInd w:val="0"/>
    </w:pPr>
    <w:rPr>
      <w:rFonts w:ascii="Arial" w:hAnsi="Arial" w:eastAsia="宋体" w:cs="Arial"/>
      <w:color w:val="000000"/>
      <w:sz w:val="24"/>
      <w:szCs w:val="24"/>
      <w:lang w:val="da-DK" w:eastAsia="zh-CN" w:bidi="ar-SA"/>
    </w:rPr>
  </w:style>
  <w:style w:type="character" w:customStyle="1" w:styleId="39">
    <w:name w:val="font81"/>
    <w:basedOn w:val="22"/>
    <w:autoRedefine/>
    <w:qFormat/>
    <w:uiPriority w:val="0"/>
    <w:rPr>
      <w:rFonts w:hint="eastAsia" w:ascii="宋体" w:hAnsi="宋体" w:eastAsia="宋体" w:cs="宋体"/>
      <w:color w:val="000000"/>
      <w:sz w:val="18"/>
      <w:szCs w:val="18"/>
      <w:u w:val="none"/>
    </w:rPr>
  </w:style>
  <w:style w:type="character" w:customStyle="1" w:styleId="40">
    <w:name w:val="font91"/>
    <w:basedOn w:val="22"/>
    <w:autoRedefine/>
    <w:qFormat/>
    <w:uiPriority w:val="0"/>
    <w:rPr>
      <w:rFonts w:hint="eastAsia" w:ascii="宋体" w:hAnsi="宋体" w:eastAsia="宋体" w:cs="宋体"/>
      <w:color w:val="000000"/>
      <w:sz w:val="18"/>
      <w:szCs w:val="18"/>
      <w:u w:val="none"/>
    </w:rPr>
  </w:style>
  <w:style w:type="character" w:customStyle="1" w:styleId="41">
    <w:name w:val="font51"/>
    <w:basedOn w:val="22"/>
    <w:autoRedefine/>
    <w:qFormat/>
    <w:uiPriority w:val="0"/>
    <w:rPr>
      <w:rFonts w:hint="default" w:ascii="Times New Roman" w:hAnsi="Times New Roman" w:cs="Times New Roman"/>
      <w:color w:val="000000"/>
      <w:sz w:val="18"/>
      <w:szCs w:val="18"/>
      <w:u w:val="none"/>
    </w:rPr>
  </w:style>
  <w:style w:type="paragraph" w:customStyle="1" w:styleId="42">
    <w:name w:val="样式 10 磅"/>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43">
    <w:name w:val="Footer"/>
    <w:basedOn w:val="1"/>
    <w:autoRedefine/>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F7D8C-6FC9-4BBE-B3BE-E9EB2DF7B6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22212</Words>
  <Characters>23493</Characters>
  <Lines>186</Lines>
  <Paragraphs>52</Paragraphs>
  <TotalTime>17</TotalTime>
  <ScaleCrop>false</ScaleCrop>
  <LinksUpToDate>false</LinksUpToDate>
  <CharactersWithSpaces>25547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十五</cp:lastModifiedBy>
  <cp:lastPrinted>2021-10-13T02:59:00Z</cp:lastPrinted>
  <dcterms:modified xsi:type="dcterms:W3CDTF">2024-01-16T06:31:02Z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F32D2B74133D4FD2B7D19CA638BA0464_13</vt:lpwstr>
  </property>
</Properties>
</file>