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0C5D8">
      <w:pPr>
        <w:pStyle w:val="8"/>
        <w:keepNext w:val="0"/>
        <w:keepLines w:val="0"/>
        <w:pageBreakBefore w:val="0"/>
        <w:widowControl/>
        <w:kinsoku/>
        <w:wordWrap/>
        <w:overflowPunct/>
        <w:topLinePunct w:val="0"/>
        <w:autoSpaceDE/>
        <w:autoSpaceDN/>
        <w:bidi w:val="0"/>
        <w:adjustRightInd/>
        <w:snapToGrid/>
        <w:spacing w:line="324" w:lineRule="auto"/>
        <w:jc w:val="center"/>
        <w:textAlignment w:val="auto"/>
        <w:outlineLvl w:val="1"/>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拟签订采购合同文本</w:t>
      </w:r>
    </w:p>
    <w:p w14:paraId="4C2C89A1">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03CF5EE4">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1B0F911A">
      <w:pPr>
        <w:rPr>
          <w:rFonts w:ascii="黑体" w:eastAsia="黑体"/>
          <w:color w:val="000000" w:themeColor="text1"/>
          <w:sz w:val="44"/>
          <w:szCs w:val="44"/>
          <w:highlight w:val="none"/>
          <w14:textFill>
            <w14:solidFill>
              <w14:schemeClr w14:val="tx1"/>
            </w14:solidFill>
          </w14:textFill>
        </w:rPr>
      </w:pPr>
    </w:p>
    <w:p w14:paraId="40C3748F">
      <w:pPr>
        <w:pStyle w:val="5"/>
        <w:rPr>
          <w:rFonts w:ascii="黑体" w:eastAsia="黑体"/>
          <w:color w:val="000000" w:themeColor="text1"/>
          <w:sz w:val="44"/>
          <w:szCs w:val="44"/>
          <w:highlight w:val="none"/>
          <w14:textFill>
            <w14:solidFill>
              <w14:schemeClr w14:val="tx1"/>
            </w14:solidFill>
          </w14:textFill>
        </w:rPr>
      </w:pPr>
    </w:p>
    <w:p w14:paraId="05BF1C7F">
      <w:pPr>
        <w:pStyle w:val="5"/>
        <w:rPr>
          <w:rFonts w:ascii="黑体" w:eastAsia="黑体"/>
          <w:color w:val="000000" w:themeColor="text1"/>
          <w:sz w:val="44"/>
          <w:szCs w:val="44"/>
          <w:highlight w:val="none"/>
          <w14:textFill>
            <w14:solidFill>
              <w14:schemeClr w14:val="tx1"/>
            </w14:solidFill>
          </w14:textFill>
        </w:rPr>
      </w:pPr>
    </w:p>
    <w:p w14:paraId="191F10D6">
      <w:pPr>
        <w:pStyle w:val="5"/>
        <w:rPr>
          <w:rFonts w:ascii="黑体" w:eastAsia="黑体"/>
          <w:color w:val="000000" w:themeColor="text1"/>
          <w:sz w:val="44"/>
          <w:szCs w:val="44"/>
          <w:highlight w:val="none"/>
          <w14:textFill>
            <w14:solidFill>
              <w14:schemeClr w14:val="tx1"/>
            </w14:solidFill>
          </w14:textFill>
        </w:rPr>
      </w:pPr>
    </w:p>
    <w:p w14:paraId="01ECF8F9">
      <w:pPr>
        <w:pStyle w:val="3"/>
        <w:ind w:firstLine="640"/>
        <w:jc w:val="center"/>
        <w:rPr>
          <w:rFonts w:ascii="宋体" w:hAnsi="宋体" w:cs="宋体"/>
          <w:b/>
          <w:bCs/>
          <w:color w:val="000000" w:themeColor="text1"/>
          <w:spacing w:val="-20"/>
          <w:kern w:val="44"/>
          <w:sz w:val="36"/>
          <w:szCs w:val="36"/>
          <w:highlight w:val="none"/>
          <w14:textFill>
            <w14:solidFill>
              <w14:schemeClr w14:val="tx1"/>
            </w14:solidFill>
          </w14:textFill>
        </w:rPr>
      </w:pPr>
      <w:r>
        <w:rPr>
          <w:rFonts w:hint="eastAsia" w:ascii="宋体" w:hAnsi="宋体" w:cs="宋体"/>
          <w:bCs/>
          <w:color w:val="000000" w:themeColor="text1"/>
          <w:spacing w:val="-20"/>
          <w:kern w:val="44"/>
          <w:sz w:val="36"/>
          <w:szCs w:val="36"/>
          <w:highlight w:val="none"/>
          <w14:textFill>
            <w14:solidFill>
              <w14:schemeClr w14:val="tx1"/>
            </w14:solidFill>
          </w14:textFill>
        </w:rPr>
        <w:t>政府采购货物买卖合同</w:t>
      </w:r>
    </w:p>
    <w:p w14:paraId="403B1410">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59B0998A">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434E165E">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5F3F1837">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7C101F34">
      <w:pPr>
        <w:spacing w:line="360" w:lineRule="auto"/>
        <w:ind w:firstLine="1205" w:firstLineChars="500"/>
        <w:rPr>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项目名称：</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1EB76C68">
      <w:pPr>
        <w:spacing w:line="360" w:lineRule="auto"/>
        <w:ind w:firstLine="1205" w:firstLineChars="500"/>
        <w:rPr>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合同编号：</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 xml:space="preserve"> </w:t>
      </w:r>
    </w:p>
    <w:p w14:paraId="6E8F4708">
      <w:pPr>
        <w:spacing w:line="360" w:lineRule="auto"/>
        <w:ind w:firstLine="1205" w:firstLineChars="500"/>
        <w:rPr>
          <w:rFonts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甲    方：</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6050B2FC">
      <w:pPr>
        <w:spacing w:line="360" w:lineRule="auto"/>
        <w:ind w:firstLine="1205" w:firstLineChars="500"/>
        <w:rPr>
          <w:color w:val="000000" w:themeColor="text1"/>
          <w:sz w:val="24"/>
          <w:highlight w:val="none"/>
          <w:u w:val="singl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乙    方：</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028FF731">
      <w:pPr>
        <w:spacing w:line="360" w:lineRule="auto"/>
        <w:ind w:firstLine="1205" w:firstLineChars="500"/>
        <w:rPr>
          <w:color w:val="000000" w:themeColor="text1"/>
          <w:sz w:val="24"/>
          <w:highlight w:val="none"/>
          <w:u w:val="singl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签订时间：</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 xml:space="preserve"> </w:t>
      </w:r>
      <w:r>
        <w:rPr>
          <w:rFonts w:hint="eastAsia" w:ascii="宋体" w:hAnsi="宋体" w:cs="宋体"/>
          <w:b/>
          <w:color w:val="000000" w:themeColor="text1"/>
          <w:kern w:val="0"/>
          <w:sz w:val="24"/>
          <w:highlight w:val="none"/>
          <w14:textFill>
            <w14:solidFill>
              <w14:schemeClr w14:val="tx1"/>
            </w14:solidFill>
          </w14:textFill>
        </w:rPr>
        <w:t xml:space="preserve"> </w:t>
      </w:r>
    </w:p>
    <w:p w14:paraId="4D4F1F37">
      <w:pPr>
        <w:spacing w:line="360" w:lineRule="auto"/>
        <w:jc w:val="center"/>
        <w:rPr>
          <w:b/>
          <w:color w:val="000000" w:themeColor="text1"/>
          <w:sz w:val="32"/>
          <w:szCs w:val="32"/>
          <w:highlight w:val="none"/>
          <w14:textFill>
            <w14:solidFill>
              <w14:schemeClr w14:val="tx1"/>
            </w14:solidFill>
          </w14:textFill>
        </w:rPr>
      </w:pPr>
      <w:r>
        <w:rPr>
          <w:color w:val="000000" w:themeColor="text1"/>
          <w:sz w:val="32"/>
          <w:szCs w:val="32"/>
          <w:highlight w:val="none"/>
          <w:u w:val="single"/>
          <w14:textFill>
            <w14:solidFill>
              <w14:schemeClr w14:val="tx1"/>
            </w14:solidFill>
          </w14:textFill>
        </w:rPr>
        <w:br w:type="page"/>
      </w:r>
      <w:r>
        <w:rPr>
          <w:rFonts w:hint="eastAsia"/>
          <w:b/>
          <w:color w:val="000000" w:themeColor="text1"/>
          <w:sz w:val="28"/>
          <w:szCs w:val="28"/>
          <w:highlight w:val="none"/>
          <w14:textFill>
            <w14:solidFill>
              <w14:schemeClr w14:val="tx1"/>
            </w14:solidFill>
          </w14:textFill>
        </w:rPr>
        <w:t>使 用 说 明</w:t>
      </w:r>
    </w:p>
    <w:p w14:paraId="17E8A345">
      <w:pPr>
        <w:pStyle w:val="3"/>
        <w:rPr>
          <w:color w:val="000000" w:themeColor="text1"/>
          <w:highlight w:val="none"/>
          <w14:textFill>
            <w14:solidFill>
              <w14:schemeClr w14:val="tx1"/>
            </w14:solidFill>
          </w14:textFill>
        </w:rPr>
      </w:pPr>
    </w:p>
    <w:p w14:paraId="23B30B8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1.本合同标准文本适用于购买现成货物的采购项目，不包括需要供应商定制开发、创新研发的货物采购项目。</w:t>
      </w:r>
    </w:p>
    <w:p w14:paraId="223BB72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2.本合同标准文本为政府采购货物买卖合同编制提供参考，可以结合采购项目具体情况，对文本作必要的调整修订后使用。</w:t>
      </w:r>
    </w:p>
    <w:p w14:paraId="44C1E3A0">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3.本合同标准文本各条款中，如涉及填写多家供应商、制造商，多种采购标的、分包主要内容等信息的，可根据采购项目具体情况添加信息项。</w:t>
      </w:r>
    </w:p>
    <w:p w14:paraId="33FB2C36">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b/>
          <w:color w:val="000000" w:themeColor="text1"/>
          <w:sz w:val="28"/>
          <w:szCs w:val="28"/>
          <w:highlight w:val="none"/>
          <w14:textFill>
            <w14:solidFill>
              <w14:schemeClr w14:val="tx1"/>
            </w14:solidFill>
          </w14:textFill>
        </w:rPr>
        <w:t>第一节 政府采购合同协议书</w:t>
      </w:r>
    </w:p>
    <w:p w14:paraId="4875ECBB">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（采购人、受采购人委托签订合同的单位或采购文件约定的合同甲方）</w:t>
      </w:r>
    </w:p>
    <w:p w14:paraId="772DDEA4">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w:t>
      </w:r>
    </w:p>
    <w:p w14:paraId="0BFAAFB8">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依据《中华人民共和国民法典》、《中华人民共和国政府采购法》等有关的法律法规，以及本采购项目的招标文件、乙方的投标文件及中标通知书等有关文件，甲乙双方同意签订本合同。具体情况及要求如下：    </w:t>
      </w:r>
    </w:p>
    <w:p w14:paraId="486DD3DC">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1</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项目信息</w:t>
      </w:r>
    </w:p>
    <w:p w14:paraId="3C3260EC">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568267CB">
      <w:pPr>
        <w:pStyle w:val="4"/>
        <w:keepNext w:val="0"/>
        <w:keepLines w:val="0"/>
        <w:pageBreakBefore w:val="0"/>
        <w:tabs>
          <w:tab w:val="left" w:pos="999"/>
        </w:tabs>
        <w:kinsoku/>
        <w:wordWrap/>
        <w:overflowPunct/>
        <w:topLinePunct w:val="0"/>
        <w:bidi w:val="0"/>
        <w:adjustRightInd w:val="0"/>
        <w:snapToGrid w:val="0"/>
        <w:spacing w:after="0" w:line="312" w:lineRule="auto"/>
        <w:ind w:firstLine="21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项目编号：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1470DBAE">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（2）计划编号：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092E47D4">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（3）项目内容：</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ADF64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采购标的及数量（台/套</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个</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架</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组等</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p w14:paraId="2C2461D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lang w:val="e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品牌：</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lang w:val="e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规格型号：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p>
    <w:p w14:paraId="3ABAA6E9">
      <w:pPr>
        <w:keepNext w:val="0"/>
        <w:keepLines w:val="0"/>
        <w:pageBreakBefore w:val="0"/>
        <w:kinsoku/>
        <w:wordWrap/>
        <w:overflowPunct/>
        <w:topLinePunct w:val="0"/>
        <w:bidi w:val="0"/>
        <w:adjustRightInd w:val="0"/>
        <w:snapToGrid w:val="0"/>
        <w:spacing w:line="312" w:lineRule="auto"/>
        <w:ind w:firstLine="945" w:firstLineChars="45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采购标的的技术要求、商务要求具体见附件。</w:t>
      </w:r>
    </w:p>
    <w:p w14:paraId="59C8C0F3">
      <w:pPr>
        <w:pStyle w:val="9"/>
        <w:keepNext w:val="0"/>
        <w:keepLines w:val="0"/>
        <w:pageBreakBefore w:val="0"/>
        <w:kinsoku/>
        <w:wordWrap/>
        <w:overflowPunct/>
        <w:topLinePunct w:val="0"/>
        <w:bidi w:val="0"/>
        <w:snapToGrid w:val="0"/>
        <w:spacing w:line="312" w:lineRule="auto"/>
        <w:ind w:firstLine="0" w:firstLineChars="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w:t>
      </w:r>
      <w:r>
        <w:rPr>
          <w:rFonts w:ascii="宋体" w:hAnsi="宋体" w:eastAsia="宋体" w:cs="宋体"/>
          <w:color w:val="000000" w:themeColor="text1"/>
          <w:sz w:val="21"/>
          <w:highlight w:val="none"/>
          <w:lang w:val="en"/>
          <w14:textFill>
            <w14:solidFill>
              <w14:schemeClr w14:val="tx1"/>
            </w14:solidFill>
          </w14:textFill>
        </w:rPr>
        <w:t>4</w:t>
      </w:r>
      <w:r>
        <w:rPr>
          <w:rFonts w:hint="eastAsia" w:ascii="宋体" w:hAnsi="宋体" w:eastAsia="宋体" w:cs="宋体"/>
          <w:color w:val="000000" w:themeColor="text1"/>
          <w:sz w:val="21"/>
          <w:highlight w:val="none"/>
          <w14:textFill>
            <w14:solidFill>
              <w14:schemeClr w14:val="tx1"/>
            </w14:solidFill>
          </w14:textFill>
        </w:rPr>
        <w:t>）政府采购组织形式：</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政府集中采购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部门集中采购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分散采购</w:t>
      </w:r>
    </w:p>
    <w:p w14:paraId="5DC31BE6">
      <w:pPr>
        <w:pStyle w:val="9"/>
        <w:keepNext w:val="0"/>
        <w:keepLines w:val="0"/>
        <w:pageBreakBefore w:val="0"/>
        <w:kinsoku/>
        <w:wordWrap/>
        <w:overflowPunct/>
        <w:topLinePunct w:val="0"/>
        <w:bidi w:val="0"/>
        <w:snapToGrid w:val="0"/>
        <w:spacing w:line="312" w:lineRule="auto"/>
        <w:ind w:firstLine="420" w:firstLineChars="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w:t>
      </w:r>
      <w:r>
        <w:rPr>
          <w:rFonts w:ascii="宋体" w:hAnsi="宋体" w:eastAsia="宋体" w:cs="宋体"/>
          <w:color w:val="000000" w:themeColor="text1"/>
          <w:sz w:val="21"/>
          <w:highlight w:val="none"/>
          <w:lang w:val="en"/>
          <w14:textFill>
            <w14:solidFill>
              <w14:schemeClr w14:val="tx1"/>
            </w14:solidFill>
          </w14:textFill>
        </w:rPr>
        <w:t>5</w:t>
      </w:r>
      <w:r>
        <w:rPr>
          <w:rFonts w:hint="eastAsia" w:ascii="宋体" w:hAnsi="宋体" w:eastAsia="宋体" w:cs="宋体"/>
          <w:color w:val="000000" w:themeColor="text1"/>
          <w:sz w:val="21"/>
          <w:highlight w:val="none"/>
          <w14:textFill>
            <w14:solidFill>
              <w14:schemeClr w14:val="tx1"/>
            </w14:solidFill>
          </w14:textFill>
        </w:rPr>
        <w:t>）政府采购方式：</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公开招标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邀请招标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竞争性谈判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竞争性磋商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hint="eastAsia" w:ascii="宋体" w:hAnsi="宋体" w:eastAsia="宋体" w:cs="宋体"/>
          <w:color w:val="000000" w:themeColor="text1"/>
          <w:sz w:val="21"/>
          <w:highlight w:val="none"/>
          <w14:textFill>
            <w14:solidFill>
              <w14:schemeClr w14:val="tx1"/>
            </w14:solidFill>
          </w14:textFill>
        </w:rPr>
        <w:t xml:space="preserve">询价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单一来源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框架协议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其他：</w:t>
      </w:r>
      <w:r>
        <w:rPr>
          <w:rFonts w:hint="eastAsia" w:ascii="宋体" w:hAnsi="宋体" w:eastAsia="宋体" w:cs="宋体"/>
          <w:color w:val="000000" w:themeColor="text1"/>
          <w:sz w:val="21"/>
          <w:highlight w:val="none"/>
          <w:u w:val="single"/>
          <w14:textFill>
            <w14:solidFill>
              <w14:schemeClr w14:val="tx1"/>
            </w14:solidFill>
          </w14:textFill>
        </w:rPr>
        <w:t xml:space="preserve">          </w:t>
      </w:r>
    </w:p>
    <w:p w14:paraId="6D1AFA1D">
      <w:pPr>
        <w:pStyle w:val="9"/>
        <w:keepNext w:val="0"/>
        <w:keepLines w:val="0"/>
        <w:pageBreakBefore w:val="0"/>
        <w:kinsoku/>
        <w:wordWrap/>
        <w:overflowPunct/>
        <w:topLinePunct w:val="0"/>
        <w:bidi w:val="0"/>
        <w:snapToGrid w:val="0"/>
        <w:spacing w:line="312" w:lineRule="auto"/>
        <w:ind w:firstLine="210" w:firstLineChars="10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w:t>
      </w:r>
      <w:r>
        <w:rPr>
          <w:rFonts w:ascii="宋体" w:hAnsi="宋体" w:eastAsia="宋体"/>
          <w:color w:val="000000" w:themeColor="text1"/>
          <w:sz w:val="21"/>
          <w:highlight w:val="none"/>
          <w:lang w:val="en"/>
          <w14:textFill>
            <w14:solidFill>
              <w14:schemeClr w14:val="tx1"/>
            </w14:solidFill>
          </w14:textFill>
        </w:rPr>
        <w:t>6</w:t>
      </w:r>
      <w:r>
        <w:rPr>
          <w:rFonts w:hint="eastAsia" w:ascii="宋体" w:hAnsi="宋体" w:eastAsia="宋体" w:cs="宋体"/>
          <w:color w:val="000000" w:themeColor="text1"/>
          <w:sz w:val="21"/>
          <w:highlight w:val="none"/>
          <w14:textFill>
            <w14:solidFill>
              <w14:schemeClr w14:val="tx1"/>
            </w14:solidFill>
          </w14:textFill>
        </w:rPr>
        <w:t>）</w:t>
      </w:r>
      <w:r>
        <w:rPr>
          <w:rFonts w:hint="eastAsia" w:ascii="宋体" w:hAnsi="宋体" w:eastAsia="宋体" w:cs="Times New Roman"/>
          <w:color w:val="000000" w:themeColor="text1"/>
          <w:kern w:val="2"/>
          <w:sz w:val="21"/>
          <w:highlight w:val="none"/>
          <w14:textFill>
            <w14:solidFill>
              <w14:schemeClr w14:val="tx1"/>
            </w14:solidFill>
          </w14:textFill>
        </w:rPr>
        <w:t>中标（成交）采购标的制造商是否为中小企业：</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 xml:space="preserve">是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否</w:t>
      </w:r>
    </w:p>
    <w:p w14:paraId="6A1CEF45">
      <w:pPr>
        <w:pStyle w:val="9"/>
        <w:keepNext w:val="0"/>
        <w:keepLines w:val="0"/>
        <w:pageBreakBefore w:val="0"/>
        <w:kinsoku/>
        <w:wordWrap/>
        <w:overflowPunct/>
        <w:topLinePunct w:val="0"/>
        <w:bidi w:val="0"/>
        <w:snapToGrid w:val="0"/>
        <w:spacing w:line="312" w:lineRule="auto"/>
        <w:ind w:firstLine="42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本合同是否为专门面向中小企业的采购合同（中小企业预留合同）：</w:t>
      </w:r>
      <w:r>
        <w:rPr>
          <w:rFonts w:hint="eastAsia" w:ascii="宋体" w:hAnsi="宋体" w:eastAsia="宋体"/>
          <w:iCs/>
          <w:color w:val="000000" w:themeColor="text1"/>
          <w:sz w:val="21"/>
          <w:highlight w:val="none"/>
          <w14:textFill>
            <w14:solidFill>
              <w14:schemeClr w14:val="tx1"/>
            </w14:solidFill>
          </w14:textFill>
        </w:rPr>
        <w:sym w:font="Wingdings" w:char="00A8"/>
      </w:r>
      <w:r>
        <w:rPr>
          <w:rFonts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是</w:t>
      </w:r>
      <w:r>
        <w:rPr>
          <w:rFonts w:hint="eastAsia"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iCs/>
          <w:color w:val="000000" w:themeColor="text1"/>
          <w:sz w:val="21"/>
          <w:highlight w:val="none"/>
          <w14:textFill>
            <w14:solidFill>
              <w14:schemeClr w14:val="tx1"/>
            </w14:solidFill>
          </w14:textFill>
        </w:rPr>
        <w:sym w:font="Wingdings" w:char="00A8"/>
      </w:r>
      <w:r>
        <w:rPr>
          <w:rFonts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否</w:t>
      </w:r>
    </w:p>
    <w:p w14:paraId="4F17C603">
      <w:pPr>
        <w:keepNext w:val="0"/>
        <w:keepLines w:val="0"/>
        <w:pageBreakBefore w:val="0"/>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若本项目不专门面向中小企业采购，是否给予小微企业评审优惠：</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否</w:t>
      </w:r>
    </w:p>
    <w:p w14:paraId="53FCDA9E">
      <w:pPr>
        <w:keepNext w:val="0"/>
        <w:keepLines w:val="0"/>
        <w:pageBreakBefore w:val="0"/>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中标（成交）采购标的制造商是否为残疾人福利性单位：</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否</w:t>
      </w:r>
    </w:p>
    <w:p w14:paraId="6730E7B6">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中标（成交）采购标的制造商是否为监狱企业：</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055E40B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lang w:val="e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）合同是否分包：</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1D9B3B1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分包主要内容：</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A759B6">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分包供应商/制造商名称（如供应商和制造商不同，请分别填写）：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DFEBD7">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分包供应商/制造商类型（如果供应商和制造商不同，只填写制造商类型）：</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大型企业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中型企业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小微型企业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残疾人福利性单位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监狱企业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26619BF1">
      <w:pPr>
        <w:keepNext w:val="0"/>
        <w:keepLines w:val="0"/>
        <w:pageBreakBefore w:val="0"/>
        <w:kinsoku/>
        <w:wordWrap/>
        <w:overflowPunct/>
        <w:topLinePunct w:val="0"/>
        <w:bidi w:val="0"/>
        <w:adjustRightInd w:val="0"/>
        <w:snapToGrid w:val="0"/>
        <w:spacing w:line="312" w:lineRule="auto"/>
        <w:textAlignment w:val="auto"/>
        <w:rPr>
          <w:rFonts w:ascii="宋体" w:hAnsi="宋体" w:cs="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lang w:val="e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）中标（成交）供应商是否为外商投资企业：</w:t>
      </w:r>
      <w:r>
        <w:rPr>
          <w:rFonts w:hint="eastAsia" w:ascii="宋体" w:hAnsi="宋体" w:cs="宋体"/>
          <w:iCs/>
          <w:color w:val="000000" w:themeColor="text1"/>
          <w:szCs w:val="21"/>
          <w:highlight w:val="none"/>
          <w14:textFill>
            <w14:solidFill>
              <w14:schemeClr w14:val="tx1"/>
            </w14:solidFill>
          </w14:textFill>
        </w:rPr>
        <w:sym w:font="Wingdings" w:char="00A8"/>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t>是</w:t>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sym w:font="Wingdings" w:char="00A8"/>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t>否</w:t>
      </w:r>
    </w:p>
    <w:p w14:paraId="12590567">
      <w:pPr>
        <w:pStyle w:val="9"/>
        <w:keepNext w:val="0"/>
        <w:keepLines w:val="0"/>
        <w:pageBreakBefore w:val="0"/>
        <w:tabs>
          <w:tab w:val="left" w:pos="1340"/>
        </w:tabs>
        <w:kinsoku/>
        <w:wordWrap/>
        <w:overflowPunct/>
        <w:topLinePunct w:val="0"/>
        <w:bidi w:val="0"/>
        <w:spacing w:line="312" w:lineRule="auto"/>
        <w:ind w:firstLine="0" w:firstLineChars="0"/>
        <w:textAlignment w:val="auto"/>
        <w:rPr>
          <w:rFonts w:ascii="宋体" w:hAnsi="宋体" w:eastAsia="宋体" w:cs="宋体"/>
          <w:color w:val="000000" w:themeColor="text1"/>
          <w:sz w:val="21"/>
          <w:highlight w:val="none"/>
          <w:u w:val="singl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w:t>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外商投资企业类型：</w:t>
      </w:r>
      <w:r>
        <w:rPr>
          <w:rFonts w:hint="eastAsia" w:ascii="宋体" w:hAnsi="宋体" w:eastAsia="宋体" w:cs="宋体"/>
          <w:iCs/>
          <w:color w:val="000000" w:themeColor="text1"/>
          <w:sz w:val="21"/>
          <w:highlight w:val="none"/>
          <w14:textFill>
            <w14:solidFill>
              <w14:schemeClr w14:val="tx1"/>
            </w14:solidFill>
          </w14:textFill>
        </w:rPr>
        <w:sym w:font="Wingdings" w:char="00A8"/>
      </w:r>
      <w:r>
        <w:rPr>
          <w:rFonts w:ascii="宋体" w:hAnsi="宋体" w:eastAsia="宋体" w:cs="宋体"/>
          <w:iCs/>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全部由外国投资者投资  </w:t>
      </w:r>
      <w:r>
        <w:rPr>
          <w:rFonts w:hint="eastAsia" w:ascii="宋体" w:hAnsi="宋体" w:eastAsia="宋体" w:cs="宋体"/>
          <w:iCs/>
          <w:color w:val="000000" w:themeColor="text1"/>
          <w:sz w:val="21"/>
          <w:highlight w:val="none"/>
          <w14:textFill>
            <w14:solidFill>
              <w14:schemeClr w14:val="tx1"/>
            </w14:solidFill>
          </w14:textFill>
        </w:rPr>
        <w:sym w:font="Wingdings" w:char="00A8"/>
      </w:r>
      <w:r>
        <w:rPr>
          <w:rFonts w:ascii="宋体" w:hAnsi="宋体" w:eastAsia="宋体" w:cs="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部分由外国投资者投资</w:t>
      </w:r>
    </w:p>
    <w:p w14:paraId="2974068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lang w:val="en"/>
          <w14:textFill>
            <w14:solidFill>
              <w14:schemeClr w14:val="tx1"/>
            </w14:solidFill>
          </w14:textFill>
        </w:rPr>
        <w:t>9</w:t>
      </w:r>
      <w:r>
        <w:rPr>
          <w:rFonts w:hint="eastAsia" w:ascii="宋体" w:hAnsi="宋体" w:cs="宋体"/>
          <w:color w:val="000000" w:themeColor="text1"/>
          <w:szCs w:val="21"/>
          <w:highlight w:val="none"/>
          <w14:textFill>
            <w14:solidFill>
              <w14:schemeClr w14:val="tx1"/>
            </w14:solidFill>
          </w14:textFill>
        </w:rPr>
        <w:t xml:space="preserve">）是否涉及进口产品：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是，《政府采购品目分类目录》底级品目名称：</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金额：</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国别：</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品牌：</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规格型号：</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p w14:paraId="001DD0CC">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7F29D44F">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w:t>
      </w:r>
      <w:r>
        <w:rPr>
          <w:rFonts w:ascii="宋体" w:hAnsi="宋体"/>
          <w:color w:val="000000" w:themeColor="text1"/>
          <w:szCs w:val="21"/>
          <w:highlight w:val="none"/>
          <w:lang w:val="e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）是否涉及节能产品：</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是，《节能产品政府采购品目清单》的底级品目名称：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     </w:t>
      </w:r>
    </w:p>
    <w:p w14:paraId="1CF61B20">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5C2235E8">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09E9E8DF">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是否涉及环境标志产品：</w:t>
      </w:r>
    </w:p>
    <w:p w14:paraId="48842185">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是，《环境标志产品政府采购品目清单》的底级品目名称：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52EE3CD6">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0D192E3E">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681512DC">
      <w:pPr>
        <w:pStyle w:val="9"/>
        <w:keepNext w:val="0"/>
        <w:keepLines w:val="0"/>
        <w:pageBreakBefore w:val="0"/>
        <w:kinsoku/>
        <w:wordWrap/>
        <w:overflowPunct/>
        <w:topLinePunct w:val="0"/>
        <w:bidi w:val="0"/>
        <w:snapToGrid w:val="0"/>
        <w:spacing w:line="312" w:lineRule="auto"/>
        <w:ind w:firstLine="0" w:firstLineChars="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olor w:val="000000" w:themeColor="text1"/>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 xml:space="preserve">是否涉及绿色产品： </w:t>
      </w:r>
    </w:p>
    <w:p w14:paraId="36939530">
      <w:pPr>
        <w:pStyle w:val="9"/>
        <w:keepNext w:val="0"/>
        <w:keepLines w:val="0"/>
        <w:pageBreakBefore w:val="0"/>
        <w:kinsoku/>
        <w:wordWrap/>
        <w:overflowPunct/>
        <w:topLinePunct w:val="0"/>
        <w:bidi w:val="0"/>
        <w:spacing w:line="312" w:lineRule="auto"/>
        <w:ind w:firstLine="420" w:firstLineChars="0"/>
        <w:textAlignment w:val="auto"/>
        <w:rPr>
          <w:rFonts w:ascii="宋体" w:hAnsi="宋体" w:eastAsia="宋体"/>
          <w:color w:val="000000" w:themeColor="text1"/>
          <w:sz w:val="21"/>
          <w:highlight w:val="none"/>
          <w:u w:val="single"/>
          <w14:textFill>
            <w14:solidFill>
              <w14:schemeClr w14:val="tx1"/>
            </w14:solidFill>
          </w14:textFill>
        </w:rPr>
      </w:pPr>
      <w:r>
        <w:rPr>
          <w:rFonts w:hint="eastAsia"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是，绿色产品政府采购相关政策确定的底级品目名称：</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p>
    <w:p w14:paraId="29121B31">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3E134896">
      <w:pPr>
        <w:pStyle w:val="9"/>
        <w:keepNext w:val="0"/>
        <w:keepLines w:val="0"/>
        <w:pageBreakBefore w:val="0"/>
        <w:kinsoku/>
        <w:wordWrap/>
        <w:overflowPunct/>
        <w:topLinePunct w:val="0"/>
        <w:bidi w:val="0"/>
        <w:spacing w:line="312" w:lineRule="auto"/>
        <w:ind w:firstLine="420" w:firstLineChars="0"/>
        <w:textAlignment w:val="auto"/>
        <w:rPr>
          <w:rFonts w:ascii="宋体" w:hAnsi="宋体" w:eastAsia="宋体"/>
          <w:color w:val="000000" w:themeColor="text1"/>
          <w:sz w:val="21"/>
          <w:highlight w:val="none"/>
          <w14:textFill>
            <w14:solidFill>
              <w14:schemeClr w14:val="tx1"/>
            </w14:solidFill>
          </w14:textFill>
        </w:rPr>
      </w:pPr>
      <w:r>
        <w:rPr>
          <w:rFonts w:hint="eastAsia"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否</w:t>
      </w:r>
    </w:p>
    <w:p w14:paraId="18673C19">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w:t>
      </w:r>
      <w:r>
        <w:rPr>
          <w:rFonts w:ascii="宋体" w:hAnsi="宋体"/>
          <w:color w:val="000000" w:themeColor="text1"/>
          <w:szCs w:val="21"/>
          <w:highlight w:val="none"/>
          <w:lang w:val="e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）涉及商品包装和快递包装的，是否参考《商品包装政府采购需求标准（试行）》、《快递包装政府采购需求标准（试行）》明确产品及相关快递服务的具体包装要求：</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否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不涉及</w:t>
      </w:r>
    </w:p>
    <w:p w14:paraId="0EBF5AAD">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合同金额</w:t>
      </w:r>
    </w:p>
    <w:p w14:paraId="49279A13">
      <w:pPr>
        <w:keepNext w:val="0"/>
        <w:keepLines w:val="0"/>
        <w:pageBreakBefore w:val="0"/>
        <w:kinsoku/>
        <w:wordWrap/>
        <w:overflowPunct/>
        <w:topLinePunct w:val="0"/>
        <w:bidi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合同总价：人民币（大写）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元，（￥</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p>
    <w:p w14:paraId="16A3B9A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本合同总价是货物（产品）设计、材料、制造、包装、运输、安装、调试、检测、验收合格交付使用之前及保修期内保修服务与备用物件等其他有关各项的含税费用。</w:t>
      </w:r>
      <w:r>
        <w:rPr>
          <w:rFonts w:hint="eastAsia" w:ascii="宋体" w:hAnsi="宋体"/>
          <w:color w:val="000000" w:themeColor="text1"/>
          <w:szCs w:val="21"/>
          <w:highlight w:val="none"/>
          <w14:textFill>
            <w14:solidFill>
              <w14:schemeClr w14:val="tx1"/>
            </w14:solidFill>
          </w14:textFill>
        </w:rPr>
        <w:t xml:space="preserve">  </w:t>
      </w:r>
    </w:p>
    <w:p w14:paraId="2FDA6656">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分包金额（如有）小写：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4A8D929">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大写：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21A8D97">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（注：固定单价合同应填写单价和最高限价）</w:t>
      </w:r>
    </w:p>
    <w:p w14:paraId="005460CB">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（2）合同定价方式（采用组合定价方式的，可以勾选多项）：</w:t>
      </w:r>
    </w:p>
    <w:p w14:paraId="08DF483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固定总价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固定单价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固定费率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成本补偿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绩效激励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 xml:space="preserve">       </w:t>
      </w:r>
    </w:p>
    <w:p w14:paraId="239041EE">
      <w:pPr>
        <w:pStyle w:val="10"/>
        <w:keepNext w:val="0"/>
        <w:keepLines w:val="0"/>
        <w:pageBreakBefore w:val="0"/>
        <w:kinsoku/>
        <w:wordWrap/>
        <w:overflowPunct/>
        <w:topLinePunct w:val="0"/>
        <w:bidi w:val="0"/>
        <w:spacing w:line="312" w:lineRule="auto"/>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（3）付款方式（按项目实际勾选填写）：</w:t>
      </w:r>
    </w:p>
    <w:p w14:paraId="4339AD8A">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全额付款：</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合同签订生效后，所有货物（产品）供货完成，经验收合格，达到付款条件起</w:t>
      </w:r>
      <w:r>
        <w:rPr>
          <w:rFonts w:hint="eastAsia" w:ascii="宋体" w:hAnsi="宋体"/>
          <w:color w:val="000000" w:themeColor="text1"/>
          <w:szCs w:val="21"/>
          <w:highlight w:val="none"/>
          <w:u w:val="single"/>
          <w:lang w:val="en-US" w:eastAsia="zh-CN"/>
          <w14:textFill>
            <w14:solidFill>
              <w14:schemeClr w14:val="tx1"/>
            </w14:solidFill>
          </w14:textFill>
        </w:rPr>
        <w:t>3</w:t>
      </w:r>
      <w:r>
        <w:rPr>
          <w:rFonts w:ascii="宋体" w:hAnsi="宋体"/>
          <w:color w:val="000000" w:themeColor="text1"/>
          <w:szCs w:val="21"/>
          <w:highlight w:val="none"/>
          <w:u w:val="single"/>
          <w14:textFill>
            <w14:solidFill>
              <w14:schemeClr w14:val="tx1"/>
            </w14:solidFill>
          </w14:textFill>
        </w:rPr>
        <w:t>0</w:t>
      </w:r>
      <w:r>
        <w:rPr>
          <w:rFonts w:hint="eastAsia" w:ascii="宋体" w:hAnsi="宋体"/>
          <w:color w:val="000000" w:themeColor="text1"/>
          <w:szCs w:val="21"/>
          <w:highlight w:val="none"/>
          <w:u w:val="single"/>
          <w14:textFill>
            <w14:solidFill>
              <w14:schemeClr w14:val="tx1"/>
            </w14:solidFill>
          </w14:textFill>
        </w:rPr>
        <w:t>日内甲方一次性支付所有合同款项</w:t>
      </w:r>
      <w:r>
        <w:rPr>
          <w:rFonts w:hint="eastAsia" w:ascii="宋体" w:hAnsi="宋体"/>
          <w:color w:val="000000" w:themeColor="text1"/>
          <w:szCs w:val="21"/>
          <w:highlight w:val="none"/>
          <w:u w:val="single"/>
          <w14:textFill>
            <w14:solidFill>
              <w14:schemeClr w14:val="tx1"/>
            </w14:solidFill>
          </w14:textFill>
        </w:rPr>
        <w:t xml:space="preserve">）   </w:t>
      </w:r>
    </w:p>
    <w:p w14:paraId="6A84DEC3">
      <w:pPr>
        <w:keepNext w:val="0"/>
        <w:keepLines w:val="0"/>
        <w:pageBreakBefore w:val="0"/>
        <w:kinsoku/>
        <w:wordWrap/>
        <w:overflowPunct/>
        <w:topLinePunct w:val="0"/>
        <w:bidi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（应明确分期支付合同款项的各期比例和支付条件，各期支付条件应与分期履约验收情况挂钩） </w:t>
      </w:r>
      <w:r>
        <w:rPr>
          <w:rFonts w:hint="eastAsia" w:ascii="宋体" w:hAnsi="宋体"/>
          <w:color w:val="000000" w:themeColor="text1"/>
          <w:szCs w:val="21"/>
          <w:highlight w:val="none"/>
          <w14:textFill>
            <w14:solidFill>
              <w14:schemeClr w14:val="tx1"/>
            </w14:solidFill>
          </w14:textFill>
        </w:rPr>
        <w:t>，其中涉及预付款的：</w:t>
      </w:r>
      <w:r>
        <w:rPr>
          <w:rFonts w:hint="eastAsia" w:ascii="宋体" w:hAnsi="宋体"/>
          <w:color w:val="000000" w:themeColor="text1"/>
          <w:szCs w:val="21"/>
          <w:highlight w:val="none"/>
          <w:u w:val="single"/>
          <w14:textFill>
            <w14:solidFill>
              <w14:schemeClr w14:val="tx1"/>
            </w14:solidFill>
          </w14:textFill>
        </w:rPr>
        <w:t xml:space="preserve"> （应明确预付款的支付比例和支付条件） </w:t>
      </w:r>
    </w:p>
    <w:p w14:paraId="6459DF96">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成本补偿：</w:t>
      </w:r>
      <w:r>
        <w:rPr>
          <w:rFonts w:hint="eastAsia" w:ascii="宋体" w:hAnsi="宋体"/>
          <w:color w:val="000000" w:themeColor="text1"/>
          <w:szCs w:val="21"/>
          <w:highlight w:val="none"/>
          <w:u w:val="single"/>
          <w14:textFill>
            <w14:solidFill>
              <w14:schemeClr w14:val="tx1"/>
            </w14:solidFill>
          </w14:textFill>
        </w:rPr>
        <w:t xml:space="preserve"> （应明确按照成本补偿方式的支付方式和支付条件）   </w:t>
      </w:r>
    </w:p>
    <w:p w14:paraId="3B1120FF">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绩效激励：</w:t>
      </w:r>
      <w:r>
        <w:rPr>
          <w:rFonts w:hint="eastAsia" w:ascii="宋体" w:hAnsi="宋体"/>
          <w:color w:val="000000" w:themeColor="text1"/>
          <w:szCs w:val="21"/>
          <w:highlight w:val="none"/>
          <w:u w:val="single"/>
          <w14:textFill>
            <w14:solidFill>
              <w14:schemeClr w14:val="tx1"/>
            </w14:solidFill>
          </w14:textFill>
        </w:rPr>
        <w:t xml:space="preserve"> （应明确按照绩效激励方式的支付方式和支付条件）   </w:t>
      </w:r>
    </w:p>
    <w:p w14:paraId="362DC19C">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u w:val="singl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合同履行</w:t>
      </w:r>
    </w:p>
    <w:p w14:paraId="16C918A9">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（1）起始日期：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日，完成日期：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CD98B5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（2）履约地点</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6C768A8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（3）履约担保：</w:t>
      </w:r>
      <w:r>
        <w:rPr>
          <w:rFonts w:hint="eastAsia" w:ascii="宋体" w:hAnsi="宋体" w:cs="宋体"/>
          <w:color w:val="000000" w:themeColor="text1"/>
          <w:szCs w:val="21"/>
          <w:highlight w:val="none"/>
          <w14:textFill>
            <w14:solidFill>
              <w14:schemeClr w14:val="tx1"/>
            </w14:solidFill>
          </w14:textFill>
        </w:rPr>
        <w:t>是否收取履约保证金：</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否</w:t>
      </w:r>
    </w:p>
    <w:p w14:paraId="63F34894">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bCs/>
          <w:color w:val="000000" w:themeColor="text1"/>
          <w:sz w:val="21"/>
          <w:highlight w:val="none"/>
          <w:u w:val="single"/>
          <w14:textFill>
            <w14:solidFill>
              <w14:schemeClr w14:val="tx1"/>
            </w14:solidFill>
          </w14:textFill>
        </w:rPr>
      </w:pPr>
      <w:r>
        <w:rPr>
          <w:rFonts w:hint="eastAsia" w:ascii="宋体" w:hAnsi="宋体" w:eastAsia="宋体" w:cs="宋体"/>
          <w:bCs/>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  收取履约保证金形式：</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r>
        <w:rPr>
          <w:rFonts w:hint="eastAsia" w:ascii="宋体" w:hAnsi="宋体" w:eastAsia="宋体" w:cs="宋体"/>
          <w:bCs/>
          <w:color w:val="000000" w:themeColor="text1"/>
          <w:sz w:val="21"/>
          <w:highlight w:val="none"/>
          <w:u w:val="single"/>
          <w14:textFill>
            <w14:solidFill>
              <w14:schemeClr w14:val="tx1"/>
            </w14:solidFill>
          </w14:textFill>
        </w:rPr>
        <w:t xml:space="preserve"> </w:t>
      </w:r>
    </w:p>
    <w:p w14:paraId="2080F6C4">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收取履约保证金金额：</w:t>
      </w:r>
      <w:r>
        <w:rPr>
          <w:rFonts w:hint="eastAsia" w:ascii="宋体" w:hAnsi="宋体" w:eastAsia="宋体" w:cs="宋体"/>
          <w:bCs/>
          <w:color w:val="000000" w:themeColor="text1"/>
          <w:sz w:val="21"/>
          <w:highlight w:val="none"/>
          <w:u w:val="single"/>
          <w14:textFill>
            <w14:solidFill>
              <w14:schemeClr w14:val="tx1"/>
            </w14:solidFill>
          </w14:textFill>
        </w:rPr>
        <w:t xml:space="preserve">  </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p>
    <w:p w14:paraId="23A3A6FC">
      <w:pPr>
        <w:keepNext w:val="0"/>
        <w:keepLines w:val="0"/>
        <w:pageBreakBefore w:val="0"/>
        <w:kinsoku/>
        <w:wordWrap/>
        <w:overflowPunct/>
        <w:topLinePunct w:val="0"/>
        <w:bidi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    履约担保期限：</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5C27BB95">
      <w:pPr>
        <w:keepNext w:val="0"/>
        <w:keepLines w:val="0"/>
        <w:pageBreakBefore w:val="0"/>
        <w:kinsoku/>
        <w:wordWrap/>
        <w:overflowPunct/>
        <w:topLinePunct w:val="0"/>
        <w:bidi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分期履行要求：</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1333B367">
      <w:pPr>
        <w:keepNext w:val="0"/>
        <w:keepLines w:val="0"/>
        <w:pageBreakBefore w:val="0"/>
        <w:kinsoku/>
        <w:wordWrap/>
        <w:overflowPunct/>
        <w:topLinePunct w:val="0"/>
        <w:bidi w:val="0"/>
        <w:adjustRightInd w:val="0"/>
        <w:snapToGrid w:val="0"/>
        <w:spacing w:line="312" w:lineRule="auto"/>
        <w:ind w:left="420"/>
        <w:textAlignment w:val="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（5）风险处置措施和替代方案：</w:t>
      </w:r>
      <w:r>
        <w:rPr>
          <w:rFonts w:hint="eastAsia" w:ascii="宋体" w:hAnsi="宋体"/>
          <w:color w:val="000000" w:themeColor="text1"/>
          <w:highlight w:val="none"/>
          <w:u w:val="single"/>
          <w14:textFill>
            <w14:solidFill>
              <w14:schemeClr w14:val="tx1"/>
            </w14:solidFill>
          </w14:textFill>
        </w:rPr>
        <w:t>.</w:t>
      </w:r>
      <w:r>
        <w:rPr>
          <w:rFonts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u w:val="single"/>
          <w14:textFill>
            <w14:solidFill>
              <w14:schemeClr w14:val="tx1"/>
            </w14:solidFill>
          </w14:textFill>
        </w:rPr>
        <w:t xml:space="preserve"> </w:t>
      </w:r>
    </w:p>
    <w:p w14:paraId="3430DA33">
      <w:pPr>
        <w:keepNext w:val="0"/>
        <w:keepLines w:val="0"/>
        <w:pageBreakBefore w:val="0"/>
        <w:kinsoku/>
        <w:wordWrap/>
        <w:overflowPunct/>
        <w:topLinePunct w:val="0"/>
        <w:bidi w:val="0"/>
        <w:adjustRightInd w:val="0"/>
        <w:snapToGrid w:val="0"/>
        <w:spacing w:line="312" w:lineRule="auto"/>
        <w:ind w:left="420"/>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合同验收</w:t>
      </w:r>
    </w:p>
    <w:p w14:paraId="027C9C38">
      <w:pPr>
        <w:keepNext w:val="0"/>
        <w:keepLines w:val="0"/>
        <w:pageBreakBefore w:val="0"/>
        <w:numPr>
          <w:ilvl w:val="0"/>
          <w:numId w:val="1"/>
        </w:numPr>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验收组织方式：</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自行组织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委托第三方组织</w:t>
      </w:r>
    </w:p>
    <w:p w14:paraId="317C2FC8">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验收主体：</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0D003796">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是否邀请本项目的其他供应商参加验收：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3FC418F">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是否邀请专家参加验收：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DBC2ACE">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是否邀请服务对象参加验收：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1F5DC61C">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是否邀请第三方检测机构参加验收：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4E70703B">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是否进行抽查检测：</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是，抽查比例：</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09E1911">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是否存在破坏性检测：</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w:t>
      </w:r>
      <w:r>
        <w:rPr>
          <w:rFonts w:hint="eastAsia" w:ascii="宋体" w:hAnsi="宋体"/>
          <w:bCs/>
          <w:color w:val="000000" w:themeColor="text1"/>
          <w:szCs w:val="21"/>
          <w:highlight w:val="none"/>
          <w:u w:val="single"/>
          <w14:textFill>
            <w14:solidFill>
              <w14:schemeClr w14:val="tx1"/>
            </w14:solidFill>
          </w14:textFill>
        </w:rPr>
        <w:t>（应明确对被破坏的检测产品的处理方式）</w:t>
      </w:r>
    </w:p>
    <w:p w14:paraId="1D7A7C3E">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00A7250">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验收组织的其他事项：</w:t>
      </w:r>
      <w:r>
        <w:rPr>
          <w:rFonts w:hint="eastAsia" w:ascii="宋体" w:hAnsi="宋体"/>
          <w:bCs/>
          <w:color w:val="000000" w:themeColor="text1"/>
          <w:szCs w:val="21"/>
          <w:highlight w:val="none"/>
          <w:u w:val="single"/>
          <w14:textFill>
            <w14:solidFill>
              <w14:schemeClr w14:val="tx1"/>
            </w14:solidFill>
          </w14:textFill>
        </w:rPr>
        <w:t xml:space="preserve">                </w:t>
      </w:r>
    </w:p>
    <w:p w14:paraId="627F2441">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（2）履约验收时间：</w:t>
      </w:r>
      <w:r>
        <w:rPr>
          <w:rFonts w:hint="eastAsia" w:ascii="宋体" w:hAnsi="宋体"/>
          <w:bCs/>
          <w:color w:val="000000" w:themeColor="text1"/>
          <w:szCs w:val="21"/>
          <w:highlight w:val="none"/>
          <w:u w:val="single"/>
          <w14:textFill>
            <w14:solidFill>
              <w14:schemeClr w14:val="tx1"/>
            </w14:solidFill>
          </w14:textFill>
        </w:rPr>
        <w:t xml:space="preserve">（计划于何时验收/供应商提出验收申请之日起   日内组织验收） </w:t>
      </w:r>
    </w:p>
    <w:p w14:paraId="7E49234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（3）履约验收方式：</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一次性验收         </w:t>
      </w:r>
    </w:p>
    <w:p w14:paraId="2AB3352F">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分期/分项验收：</w:t>
      </w:r>
      <w:r>
        <w:rPr>
          <w:rFonts w:hint="eastAsia" w:ascii="宋体" w:hAnsi="宋体"/>
          <w:bCs/>
          <w:color w:val="000000" w:themeColor="text1"/>
          <w:szCs w:val="21"/>
          <w:highlight w:val="none"/>
          <w:u w:val="single"/>
          <w14:textFill>
            <w14:solidFill>
              <w14:schemeClr w14:val="tx1"/>
            </w14:solidFill>
          </w14:textFill>
        </w:rPr>
        <w:t xml:space="preserve"> （应明确分期</w:t>
      </w:r>
      <w:r>
        <w:rPr>
          <w:rFonts w:ascii="宋体" w:hAnsi="宋体"/>
          <w:bCs/>
          <w:color w:val="000000" w:themeColor="text1"/>
          <w:szCs w:val="21"/>
          <w:highlight w:val="none"/>
          <w:u w:val="single"/>
          <w:lang w:val="en"/>
          <w14:textFill>
            <w14:solidFill>
              <w14:schemeClr w14:val="tx1"/>
            </w14:solidFill>
          </w14:textFill>
        </w:rPr>
        <w:t>/</w:t>
      </w:r>
      <w:r>
        <w:rPr>
          <w:rFonts w:hint="eastAsia" w:ascii="宋体" w:hAnsi="宋体"/>
          <w:bCs/>
          <w:color w:val="000000" w:themeColor="text1"/>
          <w:szCs w:val="21"/>
          <w:highlight w:val="none"/>
          <w:u w:val="single"/>
          <w:lang w:val="en"/>
          <w14:textFill>
            <w14:solidFill>
              <w14:schemeClr w14:val="tx1"/>
            </w14:solidFill>
          </w14:textFill>
        </w:rPr>
        <w:t>分项验收的工作安排</w:t>
      </w:r>
      <w:r>
        <w:rPr>
          <w:rFonts w:hint="eastAsia" w:ascii="宋体" w:hAnsi="宋体"/>
          <w:bCs/>
          <w:color w:val="000000" w:themeColor="text1"/>
          <w:szCs w:val="21"/>
          <w:highlight w:val="none"/>
          <w:u w:val="single"/>
          <w14:textFill>
            <w14:solidFill>
              <w14:schemeClr w14:val="tx1"/>
            </w14:solidFill>
          </w14:textFill>
        </w:rPr>
        <w:t xml:space="preserve">）  </w:t>
      </w:r>
    </w:p>
    <w:p w14:paraId="2A6743B6">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（4）履约验收程序：</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75A5B66D">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（5）履约验收的内容：</w:t>
      </w:r>
      <w:r>
        <w:rPr>
          <w:rFonts w:hint="eastAsia" w:ascii="宋体" w:hAnsi="宋体"/>
          <w:bCs/>
          <w:color w:val="000000" w:themeColor="text1"/>
          <w:szCs w:val="21"/>
          <w:highlight w:val="none"/>
          <w:u w:val="single"/>
          <w14:textFill>
            <w14:solidFill>
              <w14:schemeClr w14:val="tx1"/>
            </w14:solidFill>
          </w14:textFill>
        </w:rPr>
        <w:t xml:space="preserve"> （应当包括每一项技术和商务要求的履约情况，特别是落实政府采购扶持中小企业，支持绿色发展和乡村振兴等政策情况）</w:t>
      </w:r>
    </w:p>
    <w:p w14:paraId="6651B7D7">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（6）履约验收标准：</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34AF258E">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bCs/>
          <w:color w:val="000000" w:themeColor="text1"/>
          <w:sz w:val="21"/>
          <w:highlight w:val="none"/>
          <w14:textFill>
            <w14:solidFill>
              <w14:schemeClr w14:val="tx1"/>
            </w14:solidFill>
          </w14:textFill>
        </w:rPr>
        <w:t>（7）是否以采购活动中供应商提供的样品作为参考：</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bCs/>
          <w:color w:val="000000" w:themeColor="text1"/>
          <w:sz w:val="21"/>
          <w:highlight w:val="none"/>
          <w14:textFill>
            <w14:solidFill>
              <w14:schemeClr w14:val="tx1"/>
            </w14:solidFill>
          </w14:textFill>
        </w:rPr>
        <w:t xml:space="preserve">是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bCs/>
          <w:color w:val="000000" w:themeColor="text1"/>
          <w:sz w:val="21"/>
          <w:highlight w:val="none"/>
          <w14:textFill>
            <w14:solidFill>
              <w14:schemeClr w14:val="tx1"/>
            </w14:solidFill>
          </w14:textFill>
        </w:rPr>
        <w:t>否</w:t>
      </w:r>
    </w:p>
    <w:p w14:paraId="67B6E190">
      <w:pPr>
        <w:pStyle w:val="11"/>
        <w:keepNext w:val="0"/>
        <w:keepLines w:val="0"/>
        <w:pageBreakBefore w:val="0"/>
        <w:numPr>
          <w:ilvl w:val="0"/>
          <w:numId w:val="2"/>
        </w:numPr>
        <w:kinsoku/>
        <w:wordWrap/>
        <w:overflowPunct/>
        <w:topLinePunct w:val="0"/>
        <w:bidi w:val="0"/>
        <w:adjustRightInd w:val="0"/>
        <w:snapToGrid w:val="0"/>
        <w:spacing w:line="312" w:lineRule="auto"/>
        <w:ind w:firstLineChars="0"/>
        <w:textAlignment w:val="auto"/>
        <w:rPr>
          <w:rFonts w:ascii="宋体" w:hAnsi="宋体" w:cs="宋体"/>
          <w:bCs/>
          <w:color w:val="000000" w:themeColor="text1"/>
          <w:highlight w:val="none"/>
          <w:u w:val="singl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履约验收其他事项：</w:t>
      </w:r>
      <w:r>
        <w:rPr>
          <w:rFonts w:hint="eastAsia" w:ascii="宋体" w:hAnsi="宋体" w:cs="宋体"/>
          <w:bCs/>
          <w:color w:val="000000" w:themeColor="text1"/>
          <w:highlight w:val="none"/>
          <w:u w:val="single"/>
          <w14:textFill>
            <w14:solidFill>
              <w14:schemeClr w14:val="tx1"/>
            </w14:solidFill>
          </w14:textFill>
        </w:rPr>
        <w:t xml:space="preserve">      （产权过户登记等）          </w:t>
      </w:r>
    </w:p>
    <w:p w14:paraId="78E25778">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5</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组成合同的文件</w:t>
      </w:r>
    </w:p>
    <w:p w14:paraId="41FE621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本协议书与下列文件一起构成合同文件，如下述文件之间有任何抵触、矛盾或歧义，应按以下顺序解释：</w:t>
      </w:r>
    </w:p>
    <w:p w14:paraId="348960F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（1）政府采购合同协议书及其变更、补充协议</w:t>
      </w:r>
    </w:p>
    <w:p w14:paraId="4740BF39">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（2）政府采购合同专用条款</w:t>
      </w:r>
    </w:p>
    <w:p w14:paraId="1D42191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（3）政府采购合同通用条款</w:t>
      </w:r>
    </w:p>
    <w:p w14:paraId="0820C893">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（4）中标（成交）通知书</w:t>
      </w:r>
    </w:p>
    <w:p w14:paraId="11A7D22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（5）投标（响应）文件</w:t>
      </w:r>
    </w:p>
    <w:p w14:paraId="01070FA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（6）采购文件</w:t>
      </w:r>
    </w:p>
    <w:p w14:paraId="26F34D8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（7）有关技术文件，图纸</w:t>
      </w:r>
    </w:p>
    <w:p w14:paraId="5A811CAF">
      <w:pPr>
        <w:pStyle w:val="9"/>
        <w:keepNext w:val="0"/>
        <w:keepLines w:val="0"/>
        <w:pageBreakBefore w:val="0"/>
        <w:kinsoku/>
        <w:wordWrap/>
        <w:overflowPunct/>
        <w:topLinePunct w:val="0"/>
        <w:bidi w:val="0"/>
        <w:spacing w:line="312" w:lineRule="auto"/>
        <w:ind w:firstLineChars="0"/>
        <w:textAlignment w:val="auto"/>
        <w:rPr>
          <w:rFonts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（8）国家法律、行政法规和规章制度规定或合同约定的作为合同组成部分的其他文件</w:t>
      </w:r>
    </w:p>
    <w:p w14:paraId="2B9EA252">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6</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合同生效</w:t>
      </w:r>
    </w:p>
    <w:p w14:paraId="33CC745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本合同自</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生效。</w:t>
      </w:r>
    </w:p>
    <w:p w14:paraId="5CEF5774">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7</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合同份数</w:t>
      </w:r>
    </w:p>
    <w:p w14:paraId="30E9B5C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本合同一式</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份，甲方执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份，乙方执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份，均具有同等法律效力。</w:t>
      </w:r>
    </w:p>
    <w:p w14:paraId="14A3B00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合同订立时间：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76218A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合同订立地点：</w:t>
      </w:r>
      <w:r>
        <w:rPr>
          <w:rFonts w:hint="eastAsia" w:ascii="宋体" w:hAnsi="宋体"/>
          <w:color w:val="000000" w:themeColor="text1"/>
          <w:szCs w:val="21"/>
          <w:highlight w:val="none"/>
          <w:u w:val="single"/>
          <w14:textFill>
            <w14:solidFill>
              <w14:schemeClr w14:val="tx1"/>
            </w14:solidFill>
          </w14:textFill>
        </w:rPr>
        <w:t xml:space="preserve">                           </w:t>
      </w:r>
    </w:p>
    <w:p w14:paraId="22E2EB3B">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附件：具体标的及其技术要求和商务要求、联合协议、分包意向协议等。</w:t>
      </w:r>
    </w:p>
    <w:p w14:paraId="56265D76">
      <w:pPr>
        <w:pStyle w:val="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tbl>
      <w:tblPr>
        <w:tblStyle w:val="6"/>
        <w:tblW w:w="5508" w:type="pct"/>
        <w:tblInd w:w="-472"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475"/>
        <w:gridCol w:w="2411"/>
        <w:gridCol w:w="1977"/>
        <w:gridCol w:w="2525"/>
      </w:tblGrid>
      <w:tr w14:paraId="62C780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05" w:hRule="atLeast"/>
        </w:trPr>
        <w:tc>
          <w:tcPr>
            <w:tcW w:w="2602" w:type="pct"/>
            <w:gridSpan w:val="2"/>
            <w:tcBorders>
              <w:bottom w:val="single" w:color="auto" w:sz="2" w:space="0"/>
              <w:right w:val="single" w:color="auto" w:sz="2" w:space="0"/>
            </w:tcBorders>
            <w:vAlign w:val="center"/>
          </w:tcPr>
          <w:p w14:paraId="3BDBF85B">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甲方（采购人、受采购人委托签订合同的单位或采购文件约定的合同甲方）</w:t>
            </w:r>
          </w:p>
        </w:tc>
        <w:tc>
          <w:tcPr>
            <w:tcW w:w="2397" w:type="pct"/>
            <w:gridSpan w:val="2"/>
            <w:tcBorders>
              <w:left w:val="single" w:color="auto" w:sz="2" w:space="0"/>
              <w:bottom w:val="single" w:color="auto" w:sz="2" w:space="0"/>
            </w:tcBorders>
            <w:vAlign w:val="center"/>
          </w:tcPr>
          <w:p w14:paraId="400D2C2E">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乙方（供应商）</w:t>
            </w:r>
          </w:p>
        </w:tc>
      </w:tr>
      <w:tr w14:paraId="7DF8400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318" w:type="pct"/>
            <w:tcBorders>
              <w:top w:val="single" w:color="auto" w:sz="2" w:space="0"/>
              <w:bottom w:val="single" w:color="auto" w:sz="2" w:space="0"/>
              <w:right w:val="single" w:color="auto" w:sz="2" w:space="0"/>
            </w:tcBorders>
            <w:vAlign w:val="center"/>
          </w:tcPr>
          <w:p w14:paraId="0186B64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单位名称（公章或合同章）</w:t>
            </w:r>
          </w:p>
        </w:tc>
        <w:tc>
          <w:tcPr>
            <w:tcW w:w="1284" w:type="pct"/>
            <w:tcBorders>
              <w:top w:val="single" w:color="auto" w:sz="2" w:space="0"/>
              <w:left w:val="single" w:color="auto" w:sz="2" w:space="0"/>
              <w:bottom w:val="single" w:color="auto" w:sz="2" w:space="0"/>
              <w:right w:val="single" w:color="auto" w:sz="2" w:space="0"/>
            </w:tcBorders>
            <w:vAlign w:val="center"/>
          </w:tcPr>
          <w:p w14:paraId="187ECE4B">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A2D13F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单位名称（公章或合同章）</w:t>
            </w:r>
          </w:p>
        </w:tc>
        <w:tc>
          <w:tcPr>
            <w:tcW w:w="1344" w:type="pct"/>
            <w:tcBorders>
              <w:top w:val="single" w:color="auto" w:sz="2" w:space="0"/>
              <w:left w:val="single" w:color="auto" w:sz="2" w:space="0"/>
              <w:bottom w:val="single" w:color="auto" w:sz="2" w:space="0"/>
            </w:tcBorders>
            <w:vAlign w:val="center"/>
          </w:tcPr>
          <w:p w14:paraId="2705684D">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8B82E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318" w:type="pct"/>
            <w:vMerge w:val="restart"/>
            <w:tcBorders>
              <w:top w:val="single" w:color="auto" w:sz="2" w:space="0"/>
              <w:right w:val="single" w:color="auto" w:sz="2" w:space="0"/>
            </w:tcBorders>
            <w:vAlign w:val="center"/>
          </w:tcPr>
          <w:p w14:paraId="2358496D">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法定代表人</w:t>
            </w:r>
          </w:p>
          <w:p w14:paraId="005C94F9">
            <w:pPr>
              <w:adjustRightInd w:val="0"/>
              <w:snapToGrid w:val="0"/>
              <w:spacing w:line="300" w:lineRule="exact"/>
              <w:ind w:firstLine="86" w:firstLineChars="48"/>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或其委托代理人（签章）</w:t>
            </w:r>
          </w:p>
        </w:tc>
        <w:tc>
          <w:tcPr>
            <w:tcW w:w="1284" w:type="pct"/>
            <w:vMerge w:val="restart"/>
            <w:tcBorders>
              <w:top w:val="single" w:color="auto" w:sz="2" w:space="0"/>
              <w:left w:val="single" w:color="auto" w:sz="2" w:space="0"/>
              <w:right w:val="single" w:color="auto" w:sz="2" w:space="0"/>
            </w:tcBorders>
            <w:vAlign w:val="center"/>
          </w:tcPr>
          <w:p w14:paraId="4218A6E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right w:val="single" w:color="auto" w:sz="2" w:space="0"/>
            </w:tcBorders>
            <w:vAlign w:val="center"/>
          </w:tcPr>
          <w:p w14:paraId="7F003EF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法定代表人</w:t>
            </w:r>
          </w:p>
          <w:p w14:paraId="7C4ADB5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或其委托代理人（签章）</w:t>
            </w:r>
          </w:p>
        </w:tc>
        <w:tc>
          <w:tcPr>
            <w:tcW w:w="1344" w:type="pct"/>
            <w:tcBorders>
              <w:top w:val="single" w:color="auto" w:sz="2" w:space="0"/>
              <w:left w:val="single" w:color="auto" w:sz="2" w:space="0"/>
              <w:bottom w:val="single" w:color="auto" w:sz="2" w:space="0"/>
            </w:tcBorders>
            <w:vAlign w:val="center"/>
          </w:tcPr>
          <w:p w14:paraId="36143EF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r>
      <w:tr w14:paraId="0AF69C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vMerge w:val="continue"/>
            <w:tcBorders>
              <w:bottom w:val="single" w:color="auto" w:sz="2" w:space="0"/>
              <w:right w:val="single" w:color="auto" w:sz="2" w:space="0"/>
            </w:tcBorders>
            <w:vAlign w:val="center"/>
          </w:tcPr>
          <w:p w14:paraId="57F0524D">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vMerge w:val="continue"/>
            <w:tcBorders>
              <w:left w:val="single" w:color="auto" w:sz="2" w:space="0"/>
              <w:bottom w:val="single" w:color="auto" w:sz="2" w:space="0"/>
              <w:right w:val="single" w:color="auto" w:sz="2" w:space="0"/>
            </w:tcBorders>
            <w:vAlign w:val="center"/>
          </w:tcPr>
          <w:p w14:paraId="5D2CED8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657CF2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拥有者性别</w:t>
            </w:r>
          </w:p>
        </w:tc>
        <w:tc>
          <w:tcPr>
            <w:tcW w:w="1344" w:type="pct"/>
            <w:tcBorders>
              <w:top w:val="single" w:color="auto" w:sz="2" w:space="0"/>
              <w:left w:val="single" w:color="auto" w:sz="2" w:space="0"/>
              <w:bottom w:val="single" w:color="auto" w:sz="2" w:space="0"/>
            </w:tcBorders>
            <w:vAlign w:val="center"/>
          </w:tcPr>
          <w:p w14:paraId="2E32BE73">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8549A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671937F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住  所</w:t>
            </w:r>
          </w:p>
        </w:tc>
        <w:tc>
          <w:tcPr>
            <w:tcW w:w="1284" w:type="pct"/>
            <w:tcBorders>
              <w:top w:val="single" w:color="auto" w:sz="2" w:space="0"/>
              <w:left w:val="single" w:color="auto" w:sz="2" w:space="0"/>
              <w:bottom w:val="single" w:color="auto" w:sz="2" w:space="0"/>
              <w:right w:val="single" w:color="auto" w:sz="2" w:space="0"/>
            </w:tcBorders>
            <w:vAlign w:val="center"/>
          </w:tcPr>
          <w:p w14:paraId="5227C10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8584C9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住  所</w:t>
            </w:r>
          </w:p>
        </w:tc>
        <w:tc>
          <w:tcPr>
            <w:tcW w:w="1344" w:type="pct"/>
            <w:tcBorders>
              <w:top w:val="single" w:color="auto" w:sz="2" w:space="0"/>
              <w:left w:val="single" w:color="auto" w:sz="2" w:space="0"/>
              <w:bottom w:val="single" w:color="auto" w:sz="2" w:space="0"/>
            </w:tcBorders>
            <w:vAlign w:val="center"/>
          </w:tcPr>
          <w:p w14:paraId="5BA03CFF">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331837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E44577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 系 人</w:t>
            </w:r>
          </w:p>
        </w:tc>
        <w:tc>
          <w:tcPr>
            <w:tcW w:w="1284" w:type="pct"/>
            <w:tcBorders>
              <w:top w:val="single" w:color="auto" w:sz="2" w:space="0"/>
              <w:left w:val="single" w:color="auto" w:sz="2" w:space="0"/>
              <w:bottom w:val="single" w:color="auto" w:sz="2" w:space="0"/>
              <w:right w:val="single" w:color="auto" w:sz="2" w:space="0"/>
            </w:tcBorders>
            <w:vAlign w:val="center"/>
          </w:tcPr>
          <w:p w14:paraId="168DFE62">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7B469A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 系 人</w:t>
            </w:r>
          </w:p>
        </w:tc>
        <w:tc>
          <w:tcPr>
            <w:tcW w:w="1344" w:type="pct"/>
            <w:tcBorders>
              <w:top w:val="single" w:color="auto" w:sz="2" w:space="0"/>
              <w:left w:val="single" w:color="auto" w:sz="2" w:space="0"/>
              <w:bottom w:val="single" w:color="auto" w:sz="2" w:space="0"/>
            </w:tcBorders>
            <w:vAlign w:val="center"/>
          </w:tcPr>
          <w:p w14:paraId="425DE848">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1A1191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5668CA15">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联系电话</w:t>
            </w:r>
          </w:p>
        </w:tc>
        <w:tc>
          <w:tcPr>
            <w:tcW w:w="1284" w:type="pct"/>
            <w:tcBorders>
              <w:top w:val="single" w:color="auto" w:sz="2" w:space="0"/>
              <w:left w:val="single" w:color="auto" w:sz="2" w:space="0"/>
              <w:bottom w:val="single" w:color="auto" w:sz="2" w:space="0"/>
              <w:right w:val="single" w:color="auto" w:sz="2" w:space="0"/>
            </w:tcBorders>
            <w:vAlign w:val="center"/>
          </w:tcPr>
          <w:p w14:paraId="58C0ABB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159954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联系电话</w:t>
            </w:r>
          </w:p>
        </w:tc>
        <w:tc>
          <w:tcPr>
            <w:tcW w:w="1344" w:type="pct"/>
            <w:tcBorders>
              <w:top w:val="single" w:color="auto" w:sz="2" w:space="0"/>
              <w:left w:val="single" w:color="auto" w:sz="2" w:space="0"/>
              <w:bottom w:val="single" w:color="auto" w:sz="2" w:space="0"/>
            </w:tcBorders>
            <w:vAlign w:val="center"/>
          </w:tcPr>
          <w:p w14:paraId="4EB03FCE">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6FD609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1F7C7219">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通信地址</w:t>
            </w:r>
          </w:p>
        </w:tc>
        <w:tc>
          <w:tcPr>
            <w:tcW w:w="1284" w:type="pct"/>
            <w:tcBorders>
              <w:top w:val="single" w:color="auto" w:sz="2" w:space="0"/>
              <w:left w:val="single" w:color="auto" w:sz="2" w:space="0"/>
              <w:bottom w:val="single" w:color="auto" w:sz="2" w:space="0"/>
              <w:right w:val="single" w:color="auto" w:sz="2" w:space="0"/>
            </w:tcBorders>
            <w:vAlign w:val="center"/>
          </w:tcPr>
          <w:p w14:paraId="733F5BF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FADB0E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通信地址</w:t>
            </w:r>
          </w:p>
        </w:tc>
        <w:tc>
          <w:tcPr>
            <w:tcW w:w="1344" w:type="pct"/>
            <w:tcBorders>
              <w:top w:val="single" w:color="auto" w:sz="2" w:space="0"/>
              <w:left w:val="single" w:color="auto" w:sz="2" w:space="0"/>
              <w:bottom w:val="single" w:color="auto" w:sz="2" w:space="0"/>
            </w:tcBorders>
            <w:vAlign w:val="center"/>
          </w:tcPr>
          <w:p w14:paraId="1251F970">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E2CC25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1FD75303">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邮政编码</w:t>
            </w:r>
          </w:p>
        </w:tc>
        <w:tc>
          <w:tcPr>
            <w:tcW w:w="1284" w:type="pct"/>
            <w:tcBorders>
              <w:top w:val="single" w:color="auto" w:sz="2" w:space="0"/>
              <w:left w:val="single" w:color="auto" w:sz="2" w:space="0"/>
              <w:bottom w:val="single" w:color="auto" w:sz="2" w:space="0"/>
              <w:right w:val="single" w:color="auto" w:sz="2" w:space="0"/>
            </w:tcBorders>
            <w:vAlign w:val="center"/>
          </w:tcPr>
          <w:p w14:paraId="39952E1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5A42F3C">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邮政编码</w:t>
            </w:r>
          </w:p>
        </w:tc>
        <w:tc>
          <w:tcPr>
            <w:tcW w:w="1344" w:type="pct"/>
            <w:tcBorders>
              <w:top w:val="single" w:color="auto" w:sz="2" w:space="0"/>
              <w:left w:val="single" w:color="auto" w:sz="2" w:space="0"/>
              <w:bottom w:val="single" w:color="auto" w:sz="2" w:space="0"/>
            </w:tcBorders>
            <w:vAlign w:val="center"/>
          </w:tcPr>
          <w:p w14:paraId="41D0D406">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10153F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581203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电子邮箱</w:t>
            </w:r>
          </w:p>
        </w:tc>
        <w:tc>
          <w:tcPr>
            <w:tcW w:w="1284" w:type="pct"/>
            <w:tcBorders>
              <w:top w:val="single" w:color="auto" w:sz="2" w:space="0"/>
              <w:left w:val="single" w:color="auto" w:sz="2" w:space="0"/>
              <w:bottom w:val="single" w:color="auto" w:sz="2" w:space="0"/>
              <w:right w:val="single" w:color="auto" w:sz="2" w:space="0"/>
            </w:tcBorders>
            <w:vAlign w:val="center"/>
          </w:tcPr>
          <w:p w14:paraId="5C049229">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C5CFE9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电子邮箱</w:t>
            </w:r>
          </w:p>
        </w:tc>
        <w:tc>
          <w:tcPr>
            <w:tcW w:w="1344" w:type="pct"/>
            <w:tcBorders>
              <w:top w:val="single" w:color="auto" w:sz="2" w:space="0"/>
              <w:left w:val="single" w:color="auto" w:sz="2" w:space="0"/>
              <w:bottom w:val="single" w:color="auto" w:sz="2" w:space="0"/>
            </w:tcBorders>
            <w:vAlign w:val="center"/>
          </w:tcPr>
          <w:p w14:paraId="7E923A97">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50C3D5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4DD1D332">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统一社会信用代码</w:t>
            </w:r>
          </w:p>
        </w:tc>
        <w:tc>
          <w:tcPr>
            <w:tcW w:w="1284" w:type="pct"/>
            <w:tcBorders>
              <w:top w:val="single" w:color="auto" w:sz="2" w:space="0"/>
              <w:left w:val="single" w:color="auto" w:sz="2" w:space="0"/>
              <w:bottom w:val="single" w:color="auto" w:sz="2" w:space="0"/>
              <w:right w:val="single" w:color="auto" w:sz="2" w:space="0"/>
            </w:tcBorders>
            <w:vAlign w:val="center"/>
          </w:tcPr>
          <w:p w14:paraId="5090243E">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04C734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统一社会信用代码</w:t>
            </w:r>
          </w:p>
        </w:tc>
        <w:tc>
          <w:tcPr>
            <w:tcW w:w="1344" w:type="pct"/>
            <w:tcBorders>
              <w:top w:val="single" w:color="auto" w:sz="2" w:space="0"/>
              <w:left w:val="single" w:color="auto" w:sz="2" w:space="0"/>
              <w:bottom w:val="single" w:color="auto" w:sz="2" w:space="0"/>
            </w:tcBorders>
            <w:vAlign w:val="center"/>
          </w:tcPr>
          <w:p w14:paraId="507FF1EA">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A8CEB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20CEBCF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5C19F92C">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15DD1AC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开户名称</w:t>
            </w:r>
          </w:p>
        </w:tc>
        <w:tc>
          <w:tcPr>
            <w:tcW w:w="1344" w:type="pct"/>
            <w:tcBorders>
              <w:top w:val="single" w:color="auto" w:sz="2" w:space="0"/>
              <w:left w:val="single" w:color="auto" w:sz="2" w:space="0"/>
              <w:bottom w:val="single" w:color="auto" w:sz="2" w:space="0"/>
            </w:tcBorders>
            <w:vAlign w:val="center"/>
          </w:tcPr>
          <w:p w14:paraId="517940FE">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7568F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195BA9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73DFF58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447BFE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开户银行</w:t>
            </w:r>
          </w:p>
        </w:tc>
        <w:tc>
          <w:tcPr>
            <w:tcW w:w="1344" w:type="pct"/>
            <w:tcBorders>
              <w:top w:val="single" w:color="auto" w:sz="2" w:space="0"/>
              <w:left w:val="single" w:color="auto" w:sz="2" w:space="0"/>
              <w:bottom w:val="single" w:color="auto" w:sz="2" w:space="0"/>
            </w:tcBorders>
            <w:vAlign w:val="center"/>
          </w:tcPr>
          <w:p w14:paraId="2C3224FC">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2D683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238316F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7AAC970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1F140A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银行账号</w:t>
            </w:r>
          </w:p>
        </w:tc>
        <w:tc>
          <w:tcPr>
            <w:tcW w:w="1344" w:type="pct"/>
            <w:tcBorders>
              <w:top w:val="single" w:color="auto" w:sz="2" w:space="0"/>
              <w:left w:val="single" w:color="auto" w:sz="2" w:space="0"/>
              <w:bottom w:val="single" w:color="auto" w:sz="2" w:space="0"/>
            </w:tcBorders>
            <w:vAlign w:val="center"/>
          </w:tcPr>
          <w:p w14:paraId="1B4500C1">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28AE5C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E5D7160">
            <w:pPr>
              <w:pStyle w:val="4"/>
              <w:adjustRightInd w:val="0"/>
              <w:snapToGrid w:val="0"/>
              <w:spacing w:before="156" w:beforeLines="50" w:line="360" w:lineRule="auto"/>
              <w:ind w:firstLine="210"/>
              <w:jc w:val="left"/>
              <w:rPr>
                <w:rFonts w:hint="eastAsia" w:ascii="宋体" w:hAnsi="宋体" w:eastAsia="宋体" w:cs="宋体"/>
                <w:color w:val="000000" w:themeColor="text1"/>
                <w:spacing w:val="20"/>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注：涉及联合体或其他合同主体的信息应按上表格式加列。</w:t>
            </w:r>
          </w:p>
        </w:tc>
      </w:tr>
    </w:tbl>
    <w:p w14:paraId="2161BB2A">
      <w:pPr>
        <w:pStyle w:val="5"/>
        <w:ind w:firstLine="210"/>
        <w:rPr>
          <w:color w:val="000000" w:themeColor="text1"/>
          <w:highlight w:val="none"/>
          <w14:textFill>
            <w14:solidFill>
              <w14:schemeClr w14:val="tx1"/>
            </w14:solidFill>
          </w14:textFill>
        </w:rPr>
      </w:pPr>
    </w:p>
    <w:p w14:paraId="2D6B71EE">
      <w:pPr>
        <w:pStyle w:val="5"/>
        <w:ind w:firstLine="210"/>
        <w:rPr>
          <w:color w:val="000000" w:themeColor="text1"/>
          <w:highlight w:val="none"/>
          <w14:textFill>
            <w14:solidFill>
              <w14:schemeClr w14:val="tx1"/>
            </w14:solidFill>
          </w14:textFill>
        </w:rPr>
      </w:pPr>
    </w:p>
    <w:p w14:paraId="28349D08">
      <w:pPr>
        <w:pStyle w:val="5"/>
        <w:ind w:firstLine="210"/>
        <w:rPr>
          <w:color w:val="000000" w:themeColor="text1"/>
          <w:highlight w:val="none"/>
          <w14:textFill>
            <w14:solidFill>
              <w14:schemeClr w14:val="tx1"/>
            </w14:solidFill>
          </w14:textFill>
        </w:rPr>
      </w:pPr>
    </w:p>
    <w:p w14:paraId="18C1F1FC">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eastAsia="宋体" w:cs="Times New Roman"/>
          <w:b/>
          <w:color w:val="000000" w:themeColor="text1"/>
          <w:sz w:val="28"/>
          <w:szCs w:val="28"/>
          <w:highlight w:val="none"/>
          <w14:textFill>
            <w14:solidFill>
              <w14:schemeClr w14:val="tx1"/>
            </w14:solidFill>
          </w14:textFill>
        </w:rPr>
        <w:t>第二节 政府采购合同通用条款</w:t>
      </w:r>
    </w:p>
    <w:p w14:paraId="765BD1E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 定义</w:t>
      </w:r>
    </w:p>
    <w:p w14:paraId="6A4A0EB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1.1合同当事人</w:t>
      </w:r>
    </w:p>
    <w:p w14:paraId="57B499D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（1）采购人（以下称甲方）是指使用财政性资金，通过政府采购方式向供应商购买货物及其相关服务的国家机关、事业单位、团体组织。</w:t>
      </w:r>
    </w:p>
    <w:p w14:paraId="5A85087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（2）供应商（以下称乙方）是指参加政府采购活动并且中标（成交），向采购人提供合同约定的货物及其相关服务的法人、非法人组织或者自然人。</w:t>
      </w:r>
    </w:p>
    <w:p w14:paraId="537371A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（3）其他合同主体是指除采购人和供应商以外，依法参与合同缔结或履行，享有权利、承担义务的合同当事人。</w:t>
      </w:r>
    </w:p>
    <w:p w14:paraId="57CA99A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1.2本合同下列术语应解释为：</w:t>
      </w:r>
    </w:p>
    <w:p w14:paraId="2FFA49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68F6C7D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（2）“合同价款”系指根据本合同规定乙方在全面履行合同义务后甲方应支付给乙方的价款。</w:t>
      </w:r>
    </w:p>
    <w:p w14:paraId="38150BF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（3）“货物”系指乙方根据本合同规定须向甲方提供的各种形态和种类的物品，包括原材料、设备、产品（包括软件）及相关的其备品备件、工具、手册及其他技术资料和材料等。</w:t>
      </w:r>
    </w:p>
    <w:p w14:paraId="19E344D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77FB2D2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1F7796B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14:paraId="46ED67E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（7）其他术语解释，见【政府采购合同专用条款】。</w:t>
      </w:r>
    </w:p>
    <w:p w14:paraId="0073825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 合同标的及金额</w:t>
      </w:r>
    </w:p>
    <w:p w14:paraId="3844CAA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 合同标的及金额应与中标（成交）结果一致。乙方为履行本合同而发生的所有费用均应包含在合同价款中，甲方不再另行支付其他任何费用。</w:t>
      </w:r>
    </w:p>
    <w:p w14:paraId="5DB32E5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3. 履行合同的时间、地点和方式</w:t>
      </w:r>
    </w:p>
    <w:p w14:paraId="54D40B6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3.1 乙方应当在约定的时间、地点，按照约定方式履行合同。</w:t>
      </w:r>
    </w:p>
    <w:p w14:paraId="77B7C943">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4. 甲方的权利和义务</w:t>
      </w:r>
    </w:p>
    <w:p w14:paraId="1230E3B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2AA4781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79B83B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4.3 甲方有权要求乙方对缺陷部分予以修复，并按合同约定享有货物保修及其他合同约定的权利。</w:t>
      </w:r>
    </w:p>
    <w:p w14:paraId="49DBA45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4.4 甲方应当按照合同约定及时对交付的货物进行验收，未在【政府采购合同专用条款】约定的期限内对乙方履约提出任何异议或者向乙方作出任何说明的，视为验收通过。</w:t>
      </w:r>
    </w:p>
    <w:p w14:paraId="5C8C52F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4.5 甲方应当根据合同约定及时向乙方支付合同价款，不得以内部人员变更、履行内部付款流程等为由，拒绝或迟延支付。</w:t>
      </w:r>
    </w:p>
    <w:p w14:paraId="294FF88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4.6 国家法律法规规定及【政府采购合同专用条款】约定应由甲方承担的其他义务和责任。</w:t>
      </w:r>
    </w:p>
    <w:p w14:paraId="290BB95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5. 乙方的权利和义务</w:t>
      </w:r>
    </w:p>
    <w:p w14:paraId="170813D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5.1 签署合同后，乙方应确定项目负责人（或项目联系人），负责与本合同有关的事务。</w:t>
      </w:r>
    </w:p>
    <w:p w14:paraId="295A784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676194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5.3乙方有权根据合同约定向甲方收取合同价款。</w:t>
      </w:r>
    </w:p>
    <w:p w14:paraId="312096D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5.4国家法律法规规定及【政府采购合同专用条款】约定应由乙方承担的其他义务和责任。</w:t>
      </w:r>
    </w:p>
    <w:p w14:paraId="0206F52E">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6. 合同履行</w:t>
      </w:r>
    </w:p>
    <w:p w14:paraId="4762E9A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6.1 甲乙双方应当按照【政府采购合同专用条款】约定顺序履行合同义务；如果没有先后顺序的，应当同时履行。</w:t>
      </w:r>
    </w:p>
    <w:p w14:paraId="38350F2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F1129D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7. 货物包装、运输、保险和交付要求</w:t>
      </w:r>
    </w:p>
    <w:p w14:paraId="290157D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7.1 本合同涉及商品包装、快递包装的，除【政府采购合同专用条款】另有约定外，包装应适应远距离运输、防潮、防震、防锈和防野蛮装卸等要求，确保货物安全无损地运抵【政府采购合同专用条款】约定的指定现场。</w:t>
      </w:r>
    </w:p>
    <w:p w14:paraId="1098313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7.2 除【政府采购合同专用条款】另有约定外，乙方负责办理将货物运抵本合同规定的交货地点，并装卸、交付至甲方的一切运输事项，相关费用应包含在合同价款中。</w:t>
      </w:r>
    </w:p>
    <w:p w14:paraId="302FC2C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7.3 货物保险要求按【政府采购合同专用条款】规定执行。</w:t>
      </w:r>
    </w:p>
    <w:p w14:paraId="46BFBCE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40AB53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7.5 乙方在运输到达之前应提前通知甲方，并提示货物运输装卸的注意事项，甲方配合乙方做好货物的接收工作。</w:t>
      </w:r>
    </w:p>
    <w:p w14:paraId="2618A98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7.6 如因包装、运输问题导致货物损毁、丢失或者品质下降，甲方有权要求降价、换货、拒收部分或整批货物，由此产生的费用和损失，均由乙方承担。</w:t>
      </w:r>
    </w:p>
    <w:p w14:paraId="54B6F6FD">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8. 质量标准和保证</w:t>
      </w:r>
    </w:p>
    <w:p w14:paraId="380E010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8.1 质量标准</w:t>
      </w:r>
    </w:p>
    <w:p w14:paraId="6001F49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8C3BC85">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（2）采用中华人民共和国法定计量单位。</w:t>
      </w:r>
    </w:p>
    <w:p w14:paraId="7037BCF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（3）乙方所提供的货物应符合国家有关安全、环保、卫生的规定。</w:t>
      </w:r>
    </w:p>
    <w:p w14:paraId="140B3ED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5D1F974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8.2 保证</w:t>
      </w:r>
    </w:p>
    <w:p w14:paraId="2C9EF88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75C9B56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（2）在质量保证期内所发现的缺陷，甲方应尽快以书面形式通知乙方。</w:t>
      </w:r>
    </w:p>
    <w:p w14:paraId="25784CC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（3）乙方收到通知后，应在【政府采购合同专用条款】规定的响应时间内以合理的速度免费维修或更换有缺陷的货物或部件。</w:t>
      </w:r>
    </w:p>
    <w:p w14:paraId="21AACDE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669191C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15B255E7">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9. 权利瑕疵担保</w:t>
      </w:r>
    </w:p>
    <w:p w14:paraId="337A57B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9.1 乙方保证对其出售的货物享有合法的权利。</w:t>
      </w:r>
    </w:p>
    <w:p w14:paraId="62A39A7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9.2 乙方保证在交付的货物上不存在抵押权等担保物权。</w:t>
      </w:r>
    </w:p>
    <w:p w14:paraId="40022D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9.3 如甲方使用上述货物构成对第三人侵权的，则由乙方承担全部责任。</w:t>
      </w:r>
    </w:p>
    <w:p w14:paraId="44D0F93F">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10. 知识产权保护</w:t>
      </w:r>
    </w:p>
    <w:p w14:paraId="3DDD748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1C026F96">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11. 保密义务</w:t>
      </w:r>
    </w:p>
    <w:p w14:paraId="75DF5F9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14:paraId="5E64D02E">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12. 合同价款支付</w:t>
      </w:r>
    </w:p>
    <w:p w14:paraId="372606D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12.1 合同价款支付按照国库集中支付制度及财政管理相关规定执行。</w:t>
      </w:r>
    </w:p>
    <w:p w14:paraId="0B3447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A891013">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13. 履约保证金</w:t>
      </w:r>
    </w:p>
    <w:p w14:paraId="0520208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13.1 乙方应当以支票、汇票、本票或者金融机构、担保机构出具的保函等非现金形式提交。</w:t>
      </w:r>
    </w:p>
    <w:p w14:paraId="3FC9273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13.2 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14:paraId="18E3FC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13.3 甲方在项目通过验收后按照【政府采购合同专用条款】规定的时间内将履约保证金退还乙方；逾期退还的，乙方可要求甲方支付违约金，违约金按照【政府采购合同专用条款】规定支付。</w:t>
      </w:r>
    </w:p>
    <w:p w14:paraId="1C874EDC">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14. 售后服务</w:t>
      </w:r>
    </w:p>
    <w:p w14:paraId="6593E0E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14.1 除项目不涉及或采购活动中明确约定无须承担外，乙方还应提供下列服务：</w:t>
      </w:r>
    </w:p>
    <w:p w14:paraId="6EBC8D0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（1）货物的现场移动、安装、调试、启动监督及技术支持；</w:t>
      </w:r>
    </w:p>
    <w:p w14:paraId="3CE981F4">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（2）提供货物组装和维修所需的专用工具和辅助材料；</w:t>
      </w:r>
    </w:p>
    <w:p w14:paraId="08C8F3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（3）在【政府采购合同专用条款】约定的期限内对所有的货物实施运行监督、维修，但前提条件是该服务并不能免除乙方在质量保证期内所承担的义务；</w:t>
      </w:r>
    </w:p>
    <w:p w14:paraId="39AFA4F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（4）在制造商所在地或指定现场就货物的安装、启动、运营、维护、废弃处置等对甲方操作人员进行培训；</w:t>
      </w:r>
    </w:p>
    <w:p w14:paraId="0CC339E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（5）依照法律、行政法规的规定或者按照【政府采购合同专用条款】约定，货物在有效使用年限届满后应予回收的，乙方负有自行或者委托第三人对货物予以回收的义务；</w:t>
      </w:r>
    </w:p>
    <w:p w14:paraId="63CB42C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（6）【政府采购合同专用条款】规定由乙方提供的其他服务。</w:t>
      </w:r>
    </w:p>
    <w:p w14:paraId="327D77F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14.2 乙方提供的售后服务的费用已包含在合同价款中，甲方不再另行支付。</w:t>
      </w:r>
    </w:p>
    <w:p w14:paraId="519C242D">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15. 违约责任</w:t>
      </w:r>
    </w:p>
    <w:p w14:paraId="6DA01A7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15.1质量瑕疵的违约责任</w:t>
      </w:r>
    </w:p>
    <w:p w14:paraId="07E7FD2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乙方提供的产品不符合合同约定的质量标准或存在产品质量缺陷，甲方有权要求乙方根据【政府采购合同专用条款】要求及时修理、重作、更换，并承担由此给甲方造成的损失。</w:t>
      </w:r>
    </w:p>
    <w:p w14:paraId="7557F2C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15.2 迟延交货的违约责任</w:t>
      </w:r>
    </w:p>
    <w:p w14:paraId="11AC285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7038BE4">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14:paraId="48835555">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15.3 迟延支付的违约责任</w:t>
      </w:r>
    </w:p>
    <w:p w14:paraId="2C1314C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甲方存在迟延支付乙方合同款项的，应当承担【政府采购合同专用条款】规定的逾期付款利息。</w:t>
      </w:r>
    </w:p>
    <w:p w14:paraId="1AE26C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15.4其他违约责任根据项目实际需要按【政府采购合同专用条款】规定执行。</w:t>
      </w:r>
    </w:p>
    <w:p w14:paraId="74D73FCA">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16. 合同变更、中止与终止</w:t>
      </w:r>
    </w:p>
    <w:p w14:paraId="04A61BE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16.1合同的变更</w:t>
      </w:r>
    </w:p>
    <w:p w14:paraId="5174D06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4649117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16.2合同的中止</w:t>
      </w:r>
    </w:p>
    <w:p w14:paraId="0F70C0E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（1）合同履行过程中因供应商就采购文件、采购过程或结果提起投诉的，甲方认为有必要的，可以中止合同的履行。</w:t>
      </w:r>
    </w:p>
    <w:p w14:paraId="5EFC38D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984BF5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09C047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（4）甲方不得以行政区划调整、政府换届、机构或者职能调整以及相关责任人更替为由中止合同。</w:t>
      </w:r>
    </w:p>
    <w:p w14:paraId="6EFF01D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16.3合同的终止</w:t>
      </w:r>
    </w:p>
    <w:p w14:paraId="13154B1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（1）合同因有效期限届满而终止；</w:t>
      </w:r>
    </w:p>
    <w:p w14:paraId="1F02694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（2）乙方未按合同约定履行，构成根本性违约的，甲方有权终止合同，并追究乙方的违约责任。</w:t>
      </w:r>
    </w:p>
    <w:p w14:paraId="12841EB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16.4 涉及国家利益、社会公共利益的情形</w:t>
      </w:r>
    </w:p>
    <w:p w14:paraId="20022F2B">
      <w:pPr>
        <w:keepNext w:val="0"/>
        <w:keepLines w:val="0"/>
        <w:pageBreakBefore w:val="0"/>
        <w:widowControl w:val="0"/>
        <w:kinsoku/>
        <w:wordWrap/>
        <w:overflowPunct/>
        <w:topLinePunct w:val="0"/>
        <w:autoSpaceDE/>
        <w:autoSpaceDN/>
        <w:bidi w:val="0"/>
        <w:adjustRightInd/>
        <w:snapToGrid/>
        <w:spacing w:line="312" w:lineRule="auto"/>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4DD53ED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17. 合同分包</w:t>
      </w:r>
    </w:p>
    <w:p w14:paraId="3DD316A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17.1 乙方不得将合同转包给其他供应商。涉及合同分包的，乙方应根据采购文件和投标（响应）文件规定进行合同分包。</w:t>
      </w:r>
    </w:p>
    <w:p w14:paraId="4A9B384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17.2 乙方执行政府采购政策向中小企业依法分包的，乙方应当按采购文件和投标（响应）文件签订分包意向协议，分包意向协议属于本合同组成部分。</w:t>
      </w:r>
    </w:p>
    <w:p w14:paraId="01450977">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18. 不可抗力</w:t>
      </w:r>
    </w:p>
    <w:p w14:paraId="78D6D01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18.1 不可抗力是指合同双方不能预见、不能避免且不能克服的客观情况。</w:t>
      </w:r>
    </w:p>
    <w:p w14:paraId="4DCB148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18.2 任何一方对由于不可抗力造成的部分或全部不能履行合同不承担违约责任。但迟延履行后发生不可抗力的，不能免除责任。</w:t>
      </w:r>
    </w:p>
    <w:p w14:paraId="105EC72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80593F2">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19. 解决争议的方法</w:t>
      </w:r>
    </w:p>
    <w:p w14:paraId="794D3B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0FF5B26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19.2 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14:paraId="5A2C593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19.3 如甲乙双方有争议的事项不影响合同其他部分的履行，在争议解决期间，合同其他部分应当继续履行。</w:t>
      </w:r>
    </w:p>
    <w:p w14:paraId="22E73F8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20. 政府采购政策</w:t>
      </w:r>
    </w:p>
    <w:p w14:paraId="607E706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20.1 本合同应当按照规定执行政府采购政策。</w:t>
      </w:r>
    </w:p>
    <w:p w14:paraId="7D873E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71E727E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3B2FE2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21. 法律适用</w:t>
      </w:r>
    </w:p>
    <w:p w14:paraId="1493905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21.1 本合同的订立、生效、解释、履行及与本合同有关的争议解决，均适用法律、行政法规。</w:t>
      </w:r>
    </w:p>
    <w:p w14:paraId="554878C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21.2 本合同条款与法律、行政法规的强制性规定不一致的，双方当事人应按照法律、行政法规的强制性规定修改本合同的相关条款。</w:t>
      </w:r>
    </w:p>
    <w:p w14:paraId="142BDB21">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22. 通知</w:t>
      </w:r>
    </w:p>
    <w:p w14:paraId="31D470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601B0569">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22.2 一方当事人变更名称、住所、联系人、联系电话或电子邮箱等信息的，应当在变更后3日内及时书面通知对方，对方实际收到变更通知前的送达仍为有效送达。</w:t>
      </w:r>
    </w:p>
    <w:p w14:paraId="3576E0B5">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22.3本合同一方给另一方的通知均应采用书面形式，传真或快递送到本合同中规定的对方的地址和办理签收手续。</w:t>
      </w:r>
    </w:p>
    <w:p w14:paraId="6B422CFD">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22.4通知以送达之日或通知书中规定的生效之日起生效，两者中以较迟之日为准。</w:t>
      </w:r>
    </w:p>
    <w:p w14:paraId="76A18101">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23. 合同未尽事项</w:t>
      </w:r>
    </w:p>
    <w:p w14:paraId="63FA4C5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23.1合同未尽事项见【政府采购合同专用条款】。</w:t>
      </w:r>
    </w:p>
    <w:p w14:paraId="6EB6723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23.2 合同附件与合同正文具有同等的法律效力。</w:t>
      </w:r>
    </w:p>
    <w:p w14:paraId="2DCA2F34">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eastAsia="宋体" w:cs="Times New Roman"/>
          <w:b/>
          <w:color w:val="000000" w:themeColor="text1"/>
          <w:sz w:val="28"/>
          <w:szCs w:val="28"/>
          <w:highlight w:val="none"/>
          <w14:textFill>
            <w14:solidFill>
              <w14:schemeClr w14:val="tx1"/>
            </w14:solidFill>
          </w14:textFill>
        </w:rPr>
        <w:t>第三节 政府采购合同合同专用条款</w:t>
      </w:r>
    </w:p>
    <w:tbl>
      <w:tblPr>
        <w:tblStyle w:val="6"/>
        <w:tblW w:w="920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8"/>
        <w:gridCol w:w="2220"/>
        <w:gridCol w:w="5379"/>
      </w:tblGrid>
      <w:tr w14:paraId="7B8ACE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1B8B02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105561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第1.2（6）项</w:t>
            </w:r>
          </w:p>
        </w:tc>
        <w:tc>
          <w:tcPr>
            <w:tcW w:w="2220" w:type="dxa"/>
            <w:vAlign w:val="center"/>
          </w:tcPr>
          <w:p w14:paraId="2B31CEB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联合体具体要求</w:t>
            </w:r>
          </w:p>
        </w:tc>
        <w:tc>
          <w:tcPr>
            <w:tcW w:w="5379" w:type="dxa"/>
            <w:vAlign w:val="center"/>
          </w:tcPr>
          <w:p w14:paraId="057867F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p>
        </w:tc>
      </w:tr>
      <w:tr w14:paraId="791BB5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8" w:type="dxa"/>
            <w:vAlign w:val="center"/>
          </w:tcPr>
          <w:p w14:paraId="167B94C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F32AB6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第1.2（7）项</w:t>
            </w:r>
          </w:p>
        </w:tc>
        <w:tc>
          <w:tcPr>
            <w:tcW w:w="2220" w:type="dxa"/>
            <w:vAlign w:val="center"/>
          </w:tcPr>
          <w:p w14:paraId="4157F6E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其他术语解释</w:t>
            </w:r>
          </w:p>
        </w:tc>
        <w:tc>
          <w:tcPr>
            <w:tcW w:w="5379" w:type="dxa"/>
            <w:vAlign w:val="center"/>
          </w:tcPr>
          <w:p w14:paraId="549CCFB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tc>
      </w:tr>
      <w:tr w14:paraId="752AD1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7EC49F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9E6F9D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第4.4款</w:t>
            </w:r>
          </w:p>
        </w:tc>
        <w:tc>
          <w:tcPr>
            <w:tcW w:w="2220" w:type="dxa"/>
            <w:vAlign w:val="center"/>
          </w:tcPr>
          <w:p w14:paraId="702570E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履约验收中甲方提出异议或作出说明的期限</w:t>
            </w:r>
          </w:p>
        </w:tc>
        <w:tc>
          <w:tcPr>
            <w:tcW w:w="5379" w:type="dxa"/>
            <w:vAlign w:val="center"/>
          </w:tcPr>
          <w:p w14:paraId="5A8E202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验收后</w:t>
            </w:r>
            <w:r>
              <w:rPr>
                <w:rFonts w:hint="eastAsia" w:ascii="宋体" w:hAnsi="宋体" w:cs="宋体"/>
                <w:color w:val="000000" w:themeColor="text1"/>
                <w:sz w:val="20"/>
                <w:szCs w:val="20"/>
                <w:highlight w:val="none"/>
                <w:lang w:val="en-US" w:eastAsia="zh-CN"/>
                <w14:textFill>
                  <w14:solidFill>
                    <w14:schemeClr w14:val="tx1"/>
                  </w14:solidFill>
                </w14:textFill>
              </w:rPr>
              <w:t>7</w:t>
            </w:r>
            <w:r>
              <w:rPr>
                <w:rFonts w:hint="eastAsia" w:ascii="宋体" w:hAnsi="宋体" w:eastAsia="宋体" w:cs="宋体"/>
                <w:color w:val="000000" w:themeColor="text1"/>
                <w:sz w:val="20"/>
                <w:szCs w:val="20"/>
                <w:highlight w:val="none"/>
                <w14:textFill>
                  <w14:solidFill>
                    <w14:schemeClr w14:val="tx1"/>
                  </w14:solidFill>
                </w14:textFill>
              </w:rPr>
              <w:t>日内</w:t>
            </w:r>
          </w:p>
        </w:tc>
      </w:tr>
      <w:tr w14:paraId="5051BB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6F7C32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C3166E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第4.6款</w:t>
            </w:r>
          </w:p>
        </w:tc>
        <w:tc>
          <w:tcPr>
            <w:tcW w:w="2220" w:type="dxa"/>
            <w:vAlign w:val="center"/>
          </w:tcPr>
          <w:p w14:paraId="3FAE0C8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约定甲方承担的其他义务和责任</w:t>
            </w:r>
          </w:p>
        </w:tc>
        <w:tc>
          <w:tcPr>
            <w:tcW w:w="5379" w:type="dxa"/>
            <w:vAlign w:val="center"/>
          </w:tcPr>
          <w:p w14:paraId="7F6A2370">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tc>
      </w:tr>
      <w:tr w14:paraId="229657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1F8B6A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2CF2DD5">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第5.4款</w:t>
            </w:r>
          </w:p>
        </w:tc>
        <w:tc>
          <w:tcPr>
            <w:tcW w:w="2220" w:type="dxa"/>
            <w:vAlign w:val="center"/>
          </w:tcPr>
          <w:p w14:paraId="03CB006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约定乙方承担的其他义务和责任</w:t>
            </w:r>
          </w:p>
        </w:tc>
        <w:tc>
          <w:tcPr>
            <w:tcW w:w="5379" w:type="dxa"/>
            <w:vAlign w:val="center"/>
          </w:tcPr>
          <w:p w14:paraId="1C2A373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tc>
      </w:tr>
      <w:tr w14:paraId="177CC0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AF3294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EDF136B">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第6.1款</w:t>
            </w:r>
          </w:p>
        </w:tc>
        <w:tc>
          <w:tcPr>
            <w:tcW w:w="2220" w:type="dxa"/>
            <w:vAlign w:val="center"/>
          </w:tcPr>
          <w:p w14:paraId="2A927B4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履行合同义务的顺序</w:t>
            </w:r>
          </w:p>
        </w:tc>
        <w:tc>
          <w:tcPr>
            <w:tcW w:w="5379" w:type="dxa"/>
            <w:vAlign w:val="center"/>
          </w:tcPr>
          <w:p w14:paraId="5DF5C48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tc>
      </w:tr>
      <w:tr w14:paraId="1FED64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restart"/>
            <w:vAlign w:val="center"/>
          </w:tcPr>
          <w:p w14:paraId="5A3D4E9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66C3EF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第7.1款</w:t>
            </w:r>
          </w:p>
        </w:tc>
        <w:tc>
          <w:tcPr>
            <w:tcW w:w="2220" w:type="dxa"/>
            <w:vAlign w:val="center"/>
          </w:tcPr>
          <w:p w14:paraId="759C4F65">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包装特殊要求</w:t>
            </w:r>
          </w:p>
        </w:tc>
        <w:tc>
          <w:tcPr>
            <w:tcW w:w="5379" w:type="dxa"/>
            <w:vAlign w:val="center"/>
          </w:tcPr>
          <w:p w14:paraId="654E1C4B">
            <w:pP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tc>
      </w:tr>
      <w:tr w14:paraId="2566F2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continue"/>
            <w:vAlign w:val="center"/>
          </w:tcPr>
          <w:p w14:paraId="25D97D4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p>
        </w:tc>
        <w:tc>
          <w:tcPr>
            <w:tcW w:w="2220" w:type="dxa"/>
            <w:vAlign w:val="center"/>
          </w:tcPr>
          <w:p w14:paraId="76C443B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指定现场</w:t>
            </w:r>
          </w:p>
        </w:tc>
        <w:tc>
          <w:tcPr>
            <w:tcW w:w="5379" w:type="dxa"/>
            <w:vAlign w:val="center"/>
          </w:tcPr>
          <w:p w14:paraId="5BE11A8A">
            <w:pP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采购人指定地点</w:t>
            </w:r>
          </w:p>
        </w:tc>
      </w:tr>
      <w:tr w14:paraId="690951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8" w:type="dxa"/>
            <w:vAlign w:val="center"/>
          </w:tcPr>
          <w:p w14:paraId="49AE924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AACAF9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第7.2款</w:t>
            </w:r>
          </w:p>
        </w:tc>
        <w:tc>
          <w:tcPr>
            <w:tcW w:w="2220" w:type="dxa"/>
            <w:vAlign w:val="center"/>
          </w:tcPr>
          <w:p w14:paraId="484BD07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运输特殊要求</w:t>
            </w:r>
          </w:p>
        </w:tc>
        <w:tc>
          <w:tcPr>
            <w:tcW w:w="5379" w:type="dxa"/>
            <w:vAlign w:val="center"/>
          </w:tcPr>
          <w:p w14:paraId="5EB27F3D">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1.乙方负责所有产品的运输，确保采购产品安全、完整到达甲方指定地点。运杂费用包含在合同总价内，包括从产品供应地点所含的运输费、装卸费、仓储费、保险费等。</w:t>
            </w:r>
          </w:p>
          <w:p w14:paraId="53AE94CC">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2.运输方式由乙方自行选择，但必须保证按期交货所欲采购货物在运输、搬运的过程中，造成甲方损失的，由乙方为甲方免费更换。</w:t>
            </w:r>
          </w:p>
        </w:tc>
      </w:tr>
      <w:tr w14:paraId="666EDC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Align w:val="center"/>
          </w:tcPr>
          <w:p w14:paraId="5129125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F88C8D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第7.3款</w:t>
            </w:r>
          </w:p>
        </w:tc>
        <w:tc>
          <w:tcPr>
            <w:tcW w:w="2220" w:type="dxa"/>
            <w:vAlign w:val="center"/>
          </w:tcPr>
          <w:p w14:paraId="49FB82F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保险要求</w:t>
            </w:r>
          </w:p>
        </w:tc>
        <w:tc>
          <w:tcPr>
            <w:tcW w:w="5379" w:type="dxa"/>
            <w:vAlign w:val="center"/>
          </w:tcPr>
          <w:p w14:paraId="1E0C933B">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有关运输和保险的一切费用由乙方承担</w:t>
            </w:r>
          </w:p>
        </w:tc>
      </w:tr>
      <w:tr w14:paraId="00A13B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29E54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8466F0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第8.2（1）项</w:t>
            </w:r>
          </w:p>
        </w:tc>
        <w:tc>
          <w:tcPr>
            <w:tcW w:w="2220" w:type="dxa"/>
            <w:vAlign w:val="center"/>
          </w:tcPr>
          <w:p w14:paraId="2B12A4E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质量保证期</w:t>
            </w:r>
          </w:p>
        </w:tc>
        <w:tc>
          <w:tcPr>
            <w:tcW w:w="5379" w:type="dxa"/>
            <w:vAlign w:val="center"/>
          </w:tcPr>
          <w:p w14:paraId="1D0478CB">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1.乙方须提供全新的、未使用过的合格正品货物（含零部件、配件等），完全符合合同规定的质量、规格和性能的要求。</w:t>
            </w:r>
          </w:p>
          <w:p w14:paraId="4C7C0F93">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2.乙方提供的节能和环保产品必须是列入节能、环保标志产品品目清单中的产品。</w:t>
            </w:r>
          </w:p>
          <w:p w14:paraId="6C5DA064">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3.质量标准按照最新颁布的国家标准、行业标准或制造商企业标准确定，上述标准不一致的，以严格标准为准。</w:t>
            </w:r>
          </w:p>
          <w:p w14:paraId="67EA8C0F">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4.乙方所提供货物还应符合国家和陕西省有关安全、环保、节能之规定，“3C”认证的货物（产品）应加贴“3C”认证标志。</w:t>
            </w:r>
          </w:p>
          <w:p w14:paraId="3252CA70">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5.货物制造质量出现问题，乙方应负责三包（包修、包换、包退），费用由乙方负担，甲方有权到乙方生产场地检查货物质量和生产进度。</w:t>
            </w:r>
          </w:p>
          <w:p w14:paraId="15F3E6FF">
            <w:pPr>
              <w:autoSpaceDE w:val="0"/>
              <w:autoSpaceDN w:val="0"/>
              <w:adjustRightInd w:val="0"/>
              <w:snapToGrid w:val="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6.产品质量保证期和售后服务期：从验收合格之日</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个月。</w:t>
            </w:r>
          </w:p>
        </w:tc>
      </w:tr>
      <w:tr w14:paraId="3286DF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CAD431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EC7B7C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第8.2（3）项</w:t>
            </w:r>
          </w:p>
        </w:tc>
        <w:tc>
          <w:tcPr>
            <w:tcW w:w="2220" w:type="dxa"/>
            <w:vAlign w:val="center"/>
          </w:tcPr>
          <w:p w14:paraId="61E2F2E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货物质量缺陷</w:t>
            </w:r>
          </w:p>
          <w:p w14:paraId="09E3F23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响应时间</w:t>
            </w:r>
          </w:p>
        </w:tc>
        <w:tc>
          <w:tcPr>
            <w:tcW w:w="5379" w:type="dxa"/>
            <w:vAlign w:val="center"/>
          </w:tcPr>
          <w:p w14:paraId="4427615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发现质量缺陷24小时内做出响应并提供解决方案</w:t>
            </w:r>
          </w:p>
        </w:tc>
      </w:tr>
      <w:tr w14:paraId="68FD1B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7859A7A">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E4335E5">
            <w:pPr>
              <w:pStyle w:val="9"/>
              <w:ind w:firstLine="0" w:firstLine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第11.1款</w:t>
            </w:r>
          </w:p>
        </w:tc>
        <w:tc>
          <w:tcPr>
            <w:tcW w:w="2220" w:type="dxa"/>
            <w:vAlign w:val="center"/>
          </w:tcPr>
          <w:p w14:paraId="5E69556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其他应当保密的信息</w:t>
            </w:r>
          </w:p>
        </w:tc>
        <w:tc>
          <w:tcPr>
            <w:tcW w:w="5379" w:type="dxa"/>
            <w:vAlign w:val="center"/>
          </w:tcPr>
          <w:p w14:paraId="40CDA73D">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tc>
      </w:tr>
      <w:tr w14:paraId="1E3A65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8" w:type="dxa"/>
            <w:vAlign w:val="center"/>
          </w:tcPr>
          <w:p w14:paraId="3EDC71D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679162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第12.2款</w:t>
            </w:r>
          </w:p>
        </w:tc>
        <w:tc>
          <w:tcPr>
            <w:tcW w:w="2220" w:type="dxa"/>
            <w:vAlign w:val="center"/>
          </w:tcPr>
          <w:p w14:paraId="0BEF8DB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合同价款支付时间</w:t>
            </w:r>
          </w:p>
        </w:tc>
        <w:tc>
          <w:tcPr>
            <w:tcW w:w="5379" w:type="dxa"/>
            <w:vAlign w:val="center"/>
          </w:tcPr>
          <w:p w14:paraId="7B7E725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（1）合同签订生效后，所有货物（产品）供货完成，经验收合格，达到付款条件起</w:t>
            </w:r>
            <w:r>
              <w:rPr>
                <w:rFonts w:hint="eastAsia" w:ascii="宋体" w:hAnsi="宋体" w:eastAsia="宋体" w:cs="宋体"/>
                <w:color w:val="000000" w:themeColor="text1"/>
                <w:sz w:val="20"/>
                <w:szCs w:val="20"/>
                <w:highlight w:val="none"/>
                <w:lang w:val="en-US" w:eastAsia="zh-CN"/>
                <w14:textFill>
                  <w14:solidFill>
                    <w14:schemeClr w14:val="tx1"/>
                  </w14:solidFill>
                </w14:textFill>
              </w:rPr>
              <w:t>3</w:t>
            </w:r>
            <w:r>
              <w:rPr>
                <w:rFonts w:hint="eastAsia" w:ascii="宋体" w:hAnsi="宋体" w:eastAsia="宋体" w:cs="宋体"/>
                <w:color w:val="000000" w:themeColor="text1"/>
                <w:sz w:val="20"/>
                <w:szCs w:val="20"/>
                <w:highlight w:val="none"/>
                <w14:textFill>
                  <w14:solidFill>
                    <w14:schemeClr w14:val="tx1"/>
                  </w14:solidFill>
                </w14:textFill>
              </w:rPr>
              <w:t>0日</w:t>
            </w:r>
            <w:r>
              <w:rPr>
                <w:rFonts w:hint="eastAsia" w:ascii="宋体" w:hAnsi="宋体" w:eastAsia="宋体" w:cs="宋体"/>
                <w:color w:val="000000" w:themeColor="text1"/>
                <w:sz w:val="20"/>
                <w:szCs w:val="20"/>
                <w:highlight w:val="none"/>
                <w14:textFill>
                  <w14:solidFill>
                    <w14:schemeClr w14:val="tx1"/>
                  </w14:solidFill>
                </w14:textFill>
              </w:rPr>
              <w:t>内甲方一次性支付所有合同款项.</w:t>
            </w:r>
          </w:p>
          <w:p w14:paraId="0455B8D7">
            <w:pPr>
              <w:pStyle w:val="3"/>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6C58E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608" w:type="dxa"/>
            <w:vAlign w:val="center"/>
          </w:tcPr>
          <w:p w14:paraId="1AD3928A">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E8D378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第13.2款</w:t>
            </w:r>
          </w:p>
        </w:tc>
        <w:tc>
          <w:tcPr>
            <w:tcW w:w="2220" w:type="dxa"/>
            <w:vAlign w:val="center"/>
          </w:tcPr>
          <w:p w14:paraId="36C1AAB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履约保证金不予退还的情形</w:t>
            </w:r>
          </w:p>
        </w:tc>
        <w:tc>
          <w:tcPr>
            <w:tcW w:w="5379" w:type="dxa"/>
            <w:vAlign w:val="center"/>
          </w:tcPr>
          <w:p w14:paraId="71F11EE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p>
        </w:tc>
      </w:tr>
      <w:tr w14:paraId="00CD57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95B594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B8B47F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第13.3款</w:t>
            </w:r>
          </w:p>
        </w:tc>
        <w:tc>
          <w:tcPr>
            <w:tcW w:w="2220" w:type="dxa"/>
            <w:vAlign w:val="center"/>
          </w:tcPr>
          <w:p w14:paraId="2F3790E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履约保证金退还时间及逾期退还的违约金</w:t>
            </w:r>
          </w:p>
        </w:tc>
        <w:tc>
          <w:tcPr>
            <w:tcW w:w="5379" w:type="dxa"/>
            <w:vAlign w:val="center"/>
          </w:tcPr>
          <w:p w14:paraId="5E55354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p>
        </w:tc>
      </w:tr>
      <w:tr w14:paraId="65AF51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608" w:type="dxa"/>
            <w:vAlign w:val="center"/>
          </w:tcPr>
          <w:p w14:paraId="4DDAB84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C0E858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第14.1（3）项</w:t>
            </w:r>
          </w:p>
        </w:tc>
        <w:tc>
          <w:tcPr>
            <w:tcW w:w="2220" w:type="dxa"/>
            <w:vAlign w:val="center"/>
          </w:tcPr>
          <w:p w14:paraId="21B0F99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运行监督、维修期限</w:t>
            </w:r>
          </w:p>
        </w:tc>
        <w:tc>
          <w:tcPr>
            <w:tcW w:w="5379" w:type="dxa"/>
            <w:vAlign w:val="center"/>
          </w:tcPr>
          <w:p w14:paraId="23142578">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tc>
      </w:tr>
      <w:tr w14:paraId="77AD67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608" w:type="dxa"/>
            <w:vAlign w:val="center"/>
          </w:tcPr>
          <w:p w14:paraId="60E151F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467CB5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第14.1（5）项</w:t>
            </w:r>
          </w:p>
        </w:tc>
        <w:tc>
          <w:tcPr>
            <w:tcW w:w="2220" w:type="dxa"/>
            <w:vAlign w:val="center"/>
          </w:tcPr>
          <w:p w14:paraId="4999950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货物回收的约定</w:t>
            </w:r>
          </w:p>
        </w:tc>
        <w:tc>
          <w:tcPr>
            <w:tcW w:w="5379" w:type="dxa"/>
            <w:vAlign w:val="center"/>
          </w:tcPr>
          <w:p w14:paraId="6438199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发现质量缺陷对应货物回收并重新发货</w:t>
            </w:r>
          </w:p>
        </w:tc>
      </w:tr>
      <w:tr w14:paraId="67BEBD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08" w:type="dxa"/>
            <w:vAlign w:val="center"/>
          </w:tcPr>
          <w:p w14:paraId="5841830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9AC62B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第14.1（6）项</w:t>
            </w:r>
          </w:p>
        </w:tc>
        <w:tc>
          <w:tcPr>
            <w:tcW w:w="2220" w:type="dxa"/>
            <w:vAlign w:val="center"/>
          </w:tcPr>
          <w:p w14:paraId="22B0E9F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乙方提供的其他服务</w:t>
            </w:r>
          </w:p>
        </w:tc>
        <w:tc>
          <w:tcPr>
            <w:tcW w:w="5379" w:type="dxa"/>
            <w:vAlign w:val="center"/>
          </w:tcPr>
          <w:p w14:paraId="7C5708A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tc>
      </w:tr>
      <w:tr w14:paraId="3F254E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608" w:type="dxa"/>
            <w:vAlign w:val="center"/>
          </w:tcPr>
          <w:p w14:paraId="78E0D09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E95D11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第15.1款</w:t>
            </w:r>
          </w:p>
        </w:tc>
        <w:tc>
          <w:tcPr>
            <w:tcW w:w="2220" w:type="dxa"/>
            <w:vAlign w:val="center"/>
          </w:tcPr>
          <w:p w14:paraId="5CB15F34">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修理、重作、更换相关具体规定</w:t>
            </w:r>
          </w:p>
        </w:tc>
        <w:tc>
          <w:tcPr>
            <w:tcW w:w="5379" w:type="dxa"/>
            <w:vAlign w:val="center"/>
          </w:tcPr>
          <w:p w14:paraId="564A5E1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tc>
      </w:tr>
      <w:tr w14:paraId="620479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7BCDE8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6492C73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第15.2（2）项</w:t>
            </w:r>
          </w:p>
        </w:tc>
        <w:tc>
          <w:tcPr>
            <w:tcW w:w="2220" w:type="dxa"/>
            <w:vAlign w:val="center"/>
          </w:tcPr>
          <w:p w14:paraId="175FDE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迟延交货赔偿费</w:t>
            </w:r>
          </w:p>
        </w:tc>
        <w:tc>
          <w:tcPr>
            <w:tcW w:w="5379" w:type="dxa"/>
            <w:vAlign w:val="center"/>
          </w:tcPr>
          <w:p w14:paraId="53622C3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乙方逾期交货的，每逾期一日按合同价款的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3 </w:t>
            </w:r>
            <w:r>
              <w:rPr>
                <w:rFonts w:hint="eastAsia" w:ascii="宋体" w:hAnsi="宋体" w:eastAsia="宋体" w:cs="宋体"/>
                <w:color w:val="000000" w:themeColor="text1"/>
                <w:sz w:val="20"/>
                <w:szCs w:val="20"/>
                <w:highlight w:val="none"/>
                <w14:textFill>
                  <w14:solidFill>
                    <w14:schemeClr w14:val="tx1"/>
                  </w14:solidFill>
                </w14:textFill>
              </w:rPr>
              <w:t>‰向甲方支付违约金。逾期达</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日，甲方有权解除合同，乙方应按合同的价款的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10 </w:t>
            </w:r>
            <w:r>
              <w:rPr>
                <w:rFonts w:hint="eastAsia" w:ascii="宋体" w:hAnsi="宋体" w:eastAsia="宋体" w:cs="宋体"/>
                <w:color w:val="000000" w:themeColor="text1"/>
                <w:sz w:val="20"/>
                <w:szCs w:val="20"/>
                <w:highlight w:val="none"/>
                <w14:textFill>
                  <w14:solidFill>
                    <w14:schemeClr w14:val="tx1"/>
                  </w14:solidFill>
                </w14:textFill>
              </w:rPr>
              <w:t>%向甲方支付违约金，并赔偿由此给甲方造成的相关经济损失。</w:t>
            </w:r>
          </w:p>
        </w:tc>
      </w:tr>
      <w:tr w14:paraId="630048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7" w:hRule="atLeast"/>
          <w:jc w:val="center"/>
        </w:trPr>
        <w:tc>
          <w:tcPr>
            <w:tcW w:w="1608" w:type="dxa"/>
            <w:vAlign w:val="center"/>
          </w:tcPr>
          <w:p w14:paraId="2A420CC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1155E4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第15.3款</w:t>
            </w:r>
          </w:p>
        </w:tc>
        <w:tc>
          <w:tcPr>
            <w:tcW w:w="2220" w:type="dxa"/>
            <w:vAlign w:val="center"/>
          </w:tcPr>
          <w:p w14:paraId="32E2988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逾期付款利息</w:t>
            </w:r>
          </w:p>
        </w:tc>
        <w:tc>
          <w:tcPr>
            <w:tcW w:w="5379" w:type="dxa"/>
            <w:vAlign w:val="center"/>
          </w:tcPr>
          <w:p w14:paraId="45F692A9">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tc>
      </w:tr>
      <w:tr w14:paraId="35F31F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44" w:hRule="atLeast"/>
          <w:jc w:val="center"/>
        </w:trPr>
        <w:tc>
          <w:tcPr>
            <w:tcW w:w="1608" w:type="dxa"/>
            <w:tcBorders>
              <w:bottom w:val="single" w:color="auto" w:sz="2" w:space="0"/>
              <w:right w:val="single" w:color="auto" w:sz="2" w:space="0"/>
            </w:tcBorders>
            <w:vAlign w:val="center"/>
          </w:tcPr>
          <w:p w14:paraId="1C70C72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146FA0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第15.4款</w:t>
            </w:r>
          </w:p>
        </w:tc>
        <w:tc>
          <w:tcPr>
            <w:tcW w:w="2220" w:type="dxa"/>
            <w:tcBorders>
              <w:left w:val="single" w:color="auto" w:sz="2" w:space="0"/>
              <w:bottom w:val="single" w:color="auto" w:sz="2" w:space="0"/>
              <w:right w:val="single" w:color="auto" w:sz="2" w:space="0"/>
            </w:tcBorders>
            <w:vAlign w:val="center"/>
          </w:tcPr>
          <w:p w14:paraId="78BA98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其他违约责任</w:t>
            </w:r>
          </w:p>
        </w:tc>
        <w:tc>
          <w:tcPr>
            <w:tcW w:w="5379" w:type="dxa"/>
            <w:tcBorders>
              <w:left w:val="single" w:color="auto" w:sz="2" w:space="0"/>
              <w:bottom w:val="single" w:color="auto" w:sz="2" w:space="0"/>
            </w:tcBorders>
            <w:vAlign w:val="center"/>
          </w:tcPr>
          <w:p w14:paraId="00928FC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1.乙方违约责任</w:t>
            </w:r>
          </w:p>
          <w:p w14:paraId="23A328B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（1）如乙方不能交付货物，同时乙方应向甲方支付合同总价  5 ％的违约金；</w:t>
            </w:r>
          </w:p>
          <w:p w14:paraId="11ACD68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（2）乙方逾期交付货物的，每逾期1天，乙方向甲方偿付逾期交货部分货款总额的 2 ‰的滞纳金。如乙方逾期交货达_7__天，甲方有权解除合同，解除合同的通知自到达乙方时生效；</w:t>
            </w:r>
          </w:p>
          <w:p w14:paraId="47439BA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（3）乙方所交付的货物品种、型号、规格不符合合同规定的，甲方有权拒收。甲方拒收的，乙方应向甲方支付货款总额 2 %的违约金；</w:t>
            </w:r>
          </w:p>
          <w:p w14:paraId="70522C9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 5 天内无条件更换合格的货物，如逾期不能更换合格的货物，甲方有权终止本合同，乙方应另向甲方支付货款总额的 2 %的违约金；</w:t>
            </w:r>
          </w:p>
          <w:p w14:paraId="6B74A168">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BD53A2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（6）乙方未按本合同的规定和“服务承诺”提供伴随服务/售后服务的，应按合同总价款的 5 %向甲方承担违约责任；</w:t>
            </w:r>
          </w:p>
          <w:p w14:paraId="0CB7837C">
            <w:pPr>
              <w:pStyle w:val="8"/>
              <w:jc w:val="both"/>
              <w:rPr>
                <w:rFonts w:hint="eastAsia" w:ascii="宋体" w:hAnsi="宋体" w:eastAsia="宋体" w:cs="宋体"/>
                <w:color w:val="000000" w:themeColor="text1"/>
                <w:kern w:val="2"/>
                <w:sz w:val="20"/>
                <w:szCs w:val="20"/>
                <w:highlight w:val="none"/>
                <w:lang w:eastAsia="zh-CN"/>
                <w14:textFill>
                  <w14:solidFill>
                    <w14:schemeClr w14:val="tx1"/>
                  </w14:solidFill>
                </w14:textFill>
              </w:rPr>
            </w:pPr>
            <w:r>
              <w:rPr>
                <w:rFonts w:hint="eastAsia" w:ascii="宋体" w:hAnsi="宋体" w:eastAsia="宋体" w:cs="宋体"/>
                <w:color w:val="000000" w:themeColor="text1"/>
                <w:kern w:val="2"/>
                <w:sz w:val="20"/>
                <w:szCs w:val="20"/>
                <w:highlight w:val="none"/>
                <w:lang w:eastAsia="zh-CN"/>
                <w14:textFill>
                  <w14:solidFill>
                    <w14:schemeClr w14:val="tx1"/>
                  </w14:solidFill>
                </w14:textFill>
              </w:rPr>
              <w:t>（7）质保期结束，甲方根据售后服务要求对乙方进行整体评价，如评价为不合格，视为未按约定履行合同约定，扣除合同总价款的10%，并上报上级财政部门。质保期结束后的维修、维护等由双方协商再定；</w:t>
            </w:r>
          </w:p>
          <w:p w14:paraId="58BD3E7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281BC81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（9）乙方偿付的违约金不足以弥补甲方损失的，还应按甲方损失尚未弥补的部分，支付赔偿金给甲方。</w:t>
            </w:r>
          </w:p>
          <w:p w14:paraId="19C11BE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10）依据《中华人民共和国民法典》、《中华人民共和国政府采购法》的相关条款和所签署的合同约定，乙方未全面履行合同义务或者发生违约，甲方会依法向乙方进行经济索赔，并报请政府采购监督管理机关进行相应的行政处罚。</w:t>
            </w:r>
          </w:p>
        </w:tc>
      </w:tr>
      <w:tr w14:paraId="010782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14" w:hRule="atLeast"/>
          <w:jc w:val="center"/>
        </w:trPr>
        <w:tc>
          <w:tcPr>
            <w:tcW w:w="1608" w:type="dxa"/>
            <w:tcBorders>
              <w:top w:val="single" w:color="auto" w:sz="2" w:space="0"/>
              <w:right w:val="single" w:color="auto" w:sz="2" w:space="0"/>
            </w:tcBorders>
            <w:vAlign w:val="center"/>
          </w:tcPr>
          <w:p w14:paraId="3E45C68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67E3365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第19.2款</w:t>
            </w:r>
          </w:p>
        </w:tc>
        <w:tc>
          <w:tcPr>
            <w:tcW w:w="2220" w:type="dxa"/>
            <w:tcBorders>
              <w:top w:val="single" w:color="auto" w:sz="2" w:space="0"/>
              <w:left w:val="single" w:color="auto" w:sz="2" w:space="0"/>
              <w:right w:val="single" w:color="auto" w:sz="2" w:space="0"/>
            </w:tcBorders>
            <w:vAlign w:val="center"/>
          </w:tcPr>
          <w:p w14:paraId="0853359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解决争议的方法</w:t>
            </w:r>
          </w:p>
        </w:tc>
        <w:tc>
          <w:tcPr>
            <w:tcW w:w="5379" w:type="dxa"/>
            <w:tcBorders>
              <w:top w:val="single" w:color="auto" w:sz="2" w:space="0"/>
              <w:left w:val="single" w:color="auto" w:sz="2" w:space="0"/>
            </w:tcBorders>
            <w:vAlign w:val="center"/>
          </w:tcPr>
          <w:p w14:paraId="0D4E10D4">
            <w:pPr>
              <w:autoSpaceDE w:val="0"/>
              <w:autoSpaceDN w:val="0"/>
              <w:adjustRightInd w:val="0"/>
              <w:snapToGrid w:val="0"/>
              <w:spacing w:line="400" w:lineRule="exact"/>
              <w:jc w:val="left"/>
              <w:rPr>
                <w:rFonts w:hint="eastAsia" w:ascii="宋体" w:hAnsi="宋体" w:eastAsia="宋体" w:cs="宋体"/>
                <w:iCs/>
                <w:color w:val="000000" w:themeColor="text1"/>
                <w:sz w:val="20"/>
                <w:szCs w:val="20"/>
                <w:highlight w:val="none"/>
                <w14:textFill>
                  <w14:solidFill>
                    <w14:schemeClr w14:val="tx1"/>
                  </w14:solidFill>
                </w14:textFill>
              </w:rPr>
            </w:pPr>
            <w:r>
              <w:rPr>
                <w:rFonts w:hint="eastAsia" w:ascii="宋体" w:hAnsi="宋体" w:eastAsia="宋体" w:cs="宋体"/>
                <w:iCs/>
                <w:color w:val="000000" w:themeColor="text1"/>
                <w:sz w:val="20"/>
                <w:szCs w:val="20"/>
                <w:highlight w:val="none"/>
                <w14:textFill>
                  <w14:solidFill>
                    <w14:schemeClr w14:val="tx1"/>
                  </w14:solidFill>
                </w14:textFill>
              </w:rPr>
              <w:t>因本合同及合同有关事项发生的争议，按下列第</w:t>
            </w:r>
            <w:r>
              <w:rPr>
                <w:rFonts w:hint="eastAsia" w:ascii="宋体" w:hAnsi="宋体" w:eastAsia="宋体" w:cs="宋体"/>
                <w:iCs/>
                <w:color w:val="000000" w:themeColor="text1"/>
                <w:sz w:val="20"/>
                <w:szCs w:val="20"/>
                <w:highlight w:val="none"/>
                <w:u w:val="single"/>
                <w14:textFill>
                  <w14:solidFill>
                    <w14:schemeClr w14:val="tx1"/>
                  </w14:solidFill>
                </w14:textFill>
              </w:rPr>
              <w:t>（2）</w:t>
            </w:r>
            <w:r>
              <w:rPr>
                <w:rFonts w:hint="eastAsia" w:ascii="宋体" w:hAnsi="宋体" w:eastAsia="宋体" w:cs="宋体"/>
                <w:iCs/>
                <w:color w:val="000000" w:themeColor="text1"/>
                <w:sz w:val="20"/>
                <w:szCs w:val="20"/>
                <w:highlight w:val="none"/>
                <w14:textFill>
                  <w14:solidFill>
                    <w14:schemeClr w14:val="tx1"/>
                  </w14:solidFill>
                </w14:textFill>
              </w:rPr>
              <w:t>种方式解决：（1）向</w:t>
            </w:r>
            <w:r>
              <w:rPr>
                <w:rFonts w:hint="eastAsia" w:ascii="宋体" w:hAnsi="宋体" w:eastAsia="宋体" w:cs="宋体"/>
                <w:iCs/>
                <w:color w:val="000000" w:themeColor="text1"/>
                <w:sz w:val="20"/>
                <w:szCs w:val="20"/>
                <w:highlight w:val="none"/>
                <w:u w:val="single"/>
                <w14:textFill>
                  <w14:solidFill>
                    <w14:schemeClr w14:val="tx1"/>
                  </w14:solidFill>
                </w14:textFill>
              </w:rPr>
              <w:t xml:space="preserve"> 西安 </w:t>
            </w:r>
            <w:r>
              <w:rPr>
                <w:rFonts w:hint="eastAsia" w:ascii="宋体" w:hAnsi="宋体" w:eastAsia="宋体" w:cs="宋体"/>
                <w:iCs/>
                <w:color w:val="000000" w:themeColor="text1"/>
                <w:sz w:val="20"/>
                <w:szCs w:val="20"/>
                <w:highlight w:val="none"/>
                <w14:textFill>
                  <w14:solidFill>
                    <w14:schemeClr w14:val="tx1"/>
                  </w14:solidFill>
                </w14:textFill>
              </w:rPr>
              <w:t>仲裁委员会申请仲裁；（2）向</w:t>
            </w:r>
            <w:r>
              <w:rPr>
                <w:rFonts w:hint="eastAsia" w:ascii="宋体" w:hAnsi="宋体" w:eastAsia="宋体" w:cs="宋体"/>
                <w:iCs/>
                <w:color w:val="000000" w:themeColor="text1"/>
                <w:sz w:val="20"/>
                <w:szCs w:val="20"/>
                <w:highlight w:val="none"/>
                <w:u w:val="single"/>
                <w14:textFill>
                  <w14:solidFill>
                    <w14:schemeClr w14:val="tx1"/>
                  </w14:solidFill>
                </w14:textFill>
              </w:rPr>
              <w:t xml:space="preserve"> 甲方所在地 </w:t>
            </w:r>
            <w:r>
              <w:rPr>
                <w:rFonts w:hint="eastAsia" w:ascii="宋体" w:hAnsi="宋体" w:eastAsia="宋体" w:cs="宋体"/>
                <w:iCs/>
                <w:color w:val="000000" w:themeColor="text1"/>
                <w:sz w:val="20"/>
                <w:szCs w:val="20"/>
                <w:highlight w:val="none"/>
                <w14:textFill>
                  <w14:solidFill>
                    <w14:schemeClr w14:val="tx1"/>
                  </w14:solidFill>
                </w14:textFill>
              </w:rPr>
              <w:t>人民法院起诉。</w:t>
            </w:r>
          </w:p>
        </w:tc>
      </w:tr>
      <w:tr w14:paraId="363186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105" w:hRule="atLeast"/>
          <w:jc w:val="center"/>
        </w:trPr>
        <w:tc>
          <w:tcPr>
            <w:tcW w:w="1608" w:type="dxa"/>
            <w:vAlign w:val="center"/>
          </w:tcPr>
          <w:p w14:paraId="4016F266">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1E8A32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第23.1款</w:t>
            </w:r>
          </w:p>
        </w:tc>
        <w:tc>
          <w:tcPr>
            <w:tcW w:w="2220" w:type="dxa"/>
            <w:vAlign w:val="center"/>
          </w:tcPr>
          <w:p w14:paraId="4DA2CFD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其他专用条款</w:t>
            </w:r>
          </w:p>
        </w:tc>
        <w:tc>
          <w:tcPr>
            <w:tcW w:w="5379" w:type="dxa"/>
            <w:vAlign w:val="center"/>
          </w:tcPr>
          <w:p w14:paraId="202B0E56">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1.货物验收由甲方组织，乙方配合，并按下列程序进行：</w:t>
            </w:r>
          </w:p>
          <w:p w14:paraId="07FDAE0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001B98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44A3B81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按乙方承诺的产品包装环保材料进行验收，必要时乙方需提供检测报告，甲方发现虚假承诺时，将扣除总货款的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3 </w:t>
            </w:r>
            <w:r>
              <w:rPr>
                <w:rFonts w:hint="eastAsia" w:ascii="宋体" w:hAnsi="宋体" w:eastAsia="宋体" w:cs="宋体"/>
                <w:color w:val="000000" w:themeColor="text1"/>
                <w:sz w:val="20"/>
                <w:szCs w:val="20"/>
                <w:highlight w:val="none"/>
                <w14:textFill>
                  <w14:solidFill>
                    <w14:schemeClr w14:val="tx1"/>
                  </w14:solidFill>
                </w14:textFill>
              </w:rPr>
              <w:t>%作为处罚。</w:t>
            </w:r>
          </w:p>
          <w:p w14:paraId="1A917BD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（3）货物初验：乙方应在货物到货之日起，</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日内全部完成安装调试完毕；乙方安装调试完毕后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日内完成初步验收；初步验收合格后，进入</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日试用期；试用期间发生重大质量问题，修复后试用期相应顺延；</w:t>
            </w:r>
          </w:p>
          <w:p w14:paraId="3DA4704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（4）货物终验：试用期结束后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日内完成最终验收；</w:t>
            </w:r>
          </w:p>
          <w:p w14:paraId="2D285B0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（5）质量验收合格，双方签署质量验收报告。</w:t>
            </w:r>
          </w:p>
          <w:p w14:paraId="6E8F30F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2.货物验收依据：</w:t>
            </w:r>
          </w:p>
          <w:p w14:paraId="5D6D15F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（1）谈判文件；</w:t>
            </w:r>
          </w:p>
          <w:p w14:paraId="18FC9D36">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（2）响应文件；</w:t>
            </w:r>
          </w:p>
          <w:p w14:paraId="30F389D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（3）采购合同及补充协议；</w:t>
            </w:r>
          </w:p>
          <w:p w14:paraId="16E4830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（4）质检部门抽样检查货物（产品）合格</w:t>
            </w:r>
            <w:bookmarkStart w:id="0" w:name="_GoBack"/>
            <w:bookmarkEnd w:id="0"/>
            <w:r>
              <w:rPr>
                <w:rFonts w:hint="eastAsia" w:ascii="宋体" w:hAnsi="宋体" w:eastAsia="宋体" w:cs="宋体"/>
                <w:color w:val="000000" w:themeColor="text1"/>
                <w:sz w:val="20"/>
                <w:szCs w:val="20"/>
                <w:highlight w:val="none"/>
                <w14:textFill>
                  <w14:solidFill>
                    <w14:schemeClr w14:val="tx1"/>
                  </w14:solidFill>
                </w14:textFill>
              </w:rPr>
              <w:t>的检测报告。</w:t>
            </w:r>
          </w:p>
          <w:p w14:paraId="68FBFC1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3.货物验收时发现问题的处理办法：</w:t>
            </w:r>
          </w:p>
          <w:p w14:paraId="5631290D">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（1）乙方提供不符合谈判文件和本合同规定的货物（产品），甲方有权拒绝接受；</w:t>
            </w:r>
          </w:p>
          <w:p w14:paraId="5BB1182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316A93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（3）如货物经乙方</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259F56A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（4）货物安装完成后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日内，甲方无故不进行验收工作并已使用货物的，视同已安装调试完成并验收合格；</w:t>
            </w:r>
          </w:p>
          <w:p w14:paraId="1B57F48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（5）乙方不能完整交付货物及本条第一款规定的单证和工具的，必须负责补齐，否则视为未按合同约定交货；</w:t>
            </w:r>
          </w:p>
          <w:p w14:paraId="24018A00">
            <w:pPr>
              <w:adjustRightInd w:val="0"/>
              <w:snapToGrid w:val="0"/>
              <w:jc w:val="left"/>
              <w:rPr>
                <w:rFonts w:hint="default" w:eastAsia="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（6）超出合理磅差的处理方法：</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 xml:space="preserve"> 。</w:t>
            </w:r>
          </w:p>
        </w:tc>
      </w:tr>
    </w:tbl>
    <w:p w14:paraId="58F9FE7A">
      <w:pPr>
        <w:rPr>
          <w:rFonts w:hint="eastAsia"/>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汉仪中黑 197"/>
    <w:panose1 w:val="00000000000000000000"/>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FC674"/>
    <w:multiLevelType w:val="singleLevel"/>
    <w:tmpl w:val="FFEFC674"/>
    <w:lvl w:ilvl="0" w:tentative="0">
      <w:start w:val="1"/>
      <w:numFmt w:val="decimal"/>
      <w:suff w:val="nothing"/>
      <w:lvlText w:val="（%1）"/>
      <w:lvlJc w:val="left"/>
    </w:lvl>
  </w:abstractNum>
  <w:abstractNum w:abstractNumId="1">
    <w:nsid w:val="010C5A66"/>
    <w:multiLevelType w:val="multilevel"/>
    <w:tmpl w:val="010C5A66"/>
    <w:lvl w:ilvl="0" w:tentative="0">
      <w:start w:val="8"/>
      <w:numFmt w:val="decimal"/>
      <w:lvlText w:val="（%1）"/>
      <w:lvlJc w:val="left"/>
      <w:pPr>
        <w:ind w:left="1140" w:hanging="720"/>
      </w:pPr>
      <w:rPr>
        <w:rFonts w:hint="default"/>
        <w:u w:val="no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E3779E"/>
    <w:rsid w:val="3FC221AA"/>
    <w:rsid w:val="54E37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99"/>
    <w:pPr>
      <w:spacing w:after="120"/>
    </w:pPr>
  </w:style>
  <w:style w:type="paragraph" w:styleId="4">
    <w:name w:val="Body Text Indent"/>
    <w:basedOn w:val="1"/>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w:basedOn w:val="3"/>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10">
    <w:name w:val="列出段落1"/>
    <w:basedOn w:val="1"/>
    <w:qFormat/>
    <w:uiPriority w:val="0"/>
    <w:pPr>
      <w:ind w:firstLine="420" w:firstLineChars="200"/>
    </w:pPr>
    <w:rPr>
      <w:rFonts w:ascii="Times New Roman" w:hAnsi="Times New Roman"/>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2025-04-01T10:03:00Z</dcterms:created>
  <dc:creator>mo·xuan</dc:creator>
  <cp:lastModifiedBy>mo·xuan</cp:lastModifiedBy>
  <dcterms:modified xsi:type="dcterms:W3CDTF">2025-04-01T10:08:55Z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D6B0670EB4784058B0A344D5A7238B43_11</vt:lpwstr>
  </property>
  <property fmtid="{D5CDD505-2E9C-101B-9397-08002B2CF9AE}" pid="4" name="KSOTemplateDocerSaveRecord">
    <vt:lpwstr>eyJoZGlkIjoiYTYwNWE2MmNhNzRiMDNhMjMzYTJhNjIzZjY2YmY0MGMiLCJ1c2VySWQiOiI3OTY2NTg3ODQifQ==</vt:lpwstr>
  </property>
</Properties>
</file>