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DB2B5">
      <w:pPr>
        <w:widowControl w:val="0"/>
        <w:tabs>
          <w:tab w:val="left" w:pos="5145"/>
        </w:tabs>
        <w:jc w:val="left"/>
        <w:rPr>
          <w:rFonts w:hint="default" w:ascii="宋体" w:hAnsi="宋体" w:eastAsia="宋体" w:cs="Times New Roman"/>
          <w:b/>
          <w:bCs/>
          <w:kern w:val="2"/>
          <w:sz w:val="28"/>
          <w:szCs w:val="28"/>
          <w:lang w:val="en-US" w:eastAsia="zh-CN"/>
        </w:rPr>
      </w:pPr>
      <w:r>
        <w:rPr>
          <w:rFonts w:hint="eastAsia" w:ascii="宋体" w:hAnsi="宋体" w:eastAsia="宋体" w:cs="Times New Roman"/>
          <w:b/>
          <w:bCs/>
          <w:kern w:val="2"/>
          <w:sz w:val="28"/>
          <w:szCs w:val="28"/>
          <w:lang w:val="en-US" w:eastAsia="zh-CN"/>
        </w:rPr>
        <w:t>标段编号：SXXP-2025-004</w:t>
      </w:r>
    </w:p>
    <w:p w14:paraId="4B7FA952">
      <w:pPr>
        <w:widowControl w:val="0"/>
        <w:tabs>
          <w:tab w:val="left" w:pos="5145"/>
        </w:tabs>
        <w:jc w:val="center"/>
        <w:rPr>
          <w:rFonts w:ascii="宋体" w:hAnsi="宋体" w:eastAsia="宋体" w:cs="Times New Roman"/>
          <w:b/>
          <w:bCs/>
          <w:kern w:val="2"/>
          <w:sz w:val="44"/>
          <w:szCs w:val="44"/>
        </w:rPr>
      </w:pPr>
    </w:p>
    <w:p w14:paraId="3A693914">
      <w:pPr>
        <w:widowControl w:val="0"/>
        <w:tabs>
          <w:tab w:val="left" w:pos="5145"/>
        </w:tabs>
        <w:jc w:val="center"/>
        <w:rPr>
          <w:rFonts w:ascii="宋体" w:hAnsi="宋体" w:eastAsia="宋体" w:cs="Times New Roman"/>
          <w:b/>
          <w:bCs/>
          <w:kern w:val="2"/>
          <w:sz w:val="44"/>
          <w:szCs w:val="44"/>
        </w:rPr>
      </w:pPr>
    </w:p>
    <w:p w14:paraId="34FCA2EF">
      <w:pPr>
        <w:widowControl w:val="0"/>
        <w:tabs>
          <w:tab w:val="left" w:pos="5145"/>
        </w:tabs>
        <w:jc w:val="center"/>
        <w:rPr>
          <w:rFonts w:hint="default" w:ascii="宋体" w:hAnsi="宋体" w:eastAsia="宋体" w:cs="Times New Roman"/>
          <w:b/>
          <w:bCs/>
          <w:kern w:val="2"/>
          <w:sz w:val="40"/>
          <w:szCs w:val="40"/>
          <w:lang w:val="en-US" w:eastAsia="zh-CN"/>
        </w:rPr>
      </w:pPr>
      <w:r>
        <w:rPr>
          <w:rFonts w:hint="eastAsia" w:ascii="宋体" w:hAnsi="宋体" w:eastAsia="宋体" w:cs="Times New Roman"/>
          <w:b/>
          <w:bCs/>
          <w:kern w:val="2"/>
          <w:sz w:val="40"/>
          <w:szCs w:val="40"/>
          <w:lang w:val="en-US" w:eastAsia="zh-CN"/>
        </w:rPr>
        <w:t>经开区2025年直属公办中小学、幼儿园设施设备采购项目（标准化考场）</w:t>
      </w:r>
    </w:p>
    <w:p w14:paraId="1B564474">
      <w:pPr>
        <w:widowControl w:val="0"/>
        <w:tabs>
          <w:tab w:val="left" w:pos="5145"/>
        </w:tabs>
        <w:jc w:val="center"/>
        <w:rPr>
          <w:rFonts w:hint="eastAsia" w:ascii="宋体" w:hAnsi="宋体" w:eastAsia="宋体" w:cs="Times New Roman"/>
          <w:kern w:val="2"/>
          <w:sz w:val="21"/>
          <w:szCs w:val="21"/>
        </w:rPr>
      </w:pPr>
    </w:p>
    <w:p w14:paraId="4F7A8EA8">
      <w:pPr>
        <w:widowControl w:val="0"/>
        <w:tabs>
          <w:tab w:val="left" w:pos="5145"/>
        </w:tabs>
        <w:jc w:val="center"/>
        <w:rPr>
          <w:rFonts w:hint="eastAsia" w:ascii="宋体" w:hAnsi="宋体" w:eastAsia="宋体" w:cs="Times New Roman"/>
          <w:kern w:val="2"/>
          <w:sz w:val="21"/>
          <w:szCs w:val="21"/>
        </w:rPr>
      </w:pPr>
    </w:p>
    <w:p w14:paraId="6FD6A09C">
      <w:pPr>
        <w:widowControl w:val="0"/>
        <w:tabs>
          <w:tab w:val="left" w:pos="5145"/>
        </w:tabs>
        <w:jc w:val="center"/>
        <w:rPr>
          <w:rFonts w:hint="default" w:ascii="宋体" w:hAnsi="宋体" w:eastAsia="宋体" w:cs="Times New Roman"/>
          <w:kern w:val="2"/>
          <w:sz w:val="21"/>
          <w:szCs w:val="21"/>
          <w:lang w:val="en-US" w:eastAsia="zh-CN"/>
        </w:rPr>
      </w:pPr>
    </w:p>
    <w:p w14:paraId="3C946000">
      <w:pPr>
        <w:widowControl w:val="0"/>
        <w:tabs>
          <w:tab w:val="left" w:pos="5145"/>
        </w:tabs>
        <w:jc w:val="center"/>
        <w:rPr>
          <w:rFonts w:hint="eastAsia" w:ascii="宋体" w:hAnsi="宋体" w:eastAsia="宋体" w:cs="Times New Roman"/>
          <w:kern w:val="2"/>
          <w:sz w:val="21"/>
          <w:szCs w:val="21"/>
        </w:rPr>
      </w:pPr>
    </w:p>
    <w:p w14:paraId="55FA15DC">
      <w:pPr>
        <w:widowControl w:val="0"/>
        <w:tabs>
          <w:tab w:val="left" w:pos="5145"/>
        </w:tabs>
        <w:jc w:val="center"/>
        <w:rPr>
          <w:rFonts w:hint="eastAsia" w:ascii="宋体" w:hAnsi="宋体" w:eastAsia="宋体" w:cs="Times New Roman"/>
          <w:kern w:val="2"/>
          <w:sz w:val="21"/>
          <w:szCs w:val="21"/>
        </w:rPr>
      </w:pPr>
    </w:p>
    <w:p w14:paraId="2D4B1428">
      <w:pPr>
        <w:pStyle w:val="21"/>
        <w:rPr>
          <w:rFonts w:hint="eastAsia" w:hAnsi="宋体" w:eastAsia="宋体" w:cs="Times New Roman"/>
          <w:szCs w:val="21"/>
        </w:rPr>
      </w:pPr>
    </w:p>
    <w:p w14:paraId="7802F5D4">
      <w:pPr>
        <w:widowControl w:val="0"/>
        <w:tabs>
          <w:tab w:val="left" w:pos="5145"/>
        </w:tabs>
        <w:jc w:val="center"/>
        <w:rPr>
          <w:rFonts w:hint="eastAsia" w:ascii="宋体" w:hAnsi="宋体" w:eastAsia="宋体" w:cs="Times New Roman"/>
          <w:b/>
          <w:kern w:val="2"/>
          <w:sz w:val="72"/>
          <w:szCs w:val="72"/>
        </w:rPr>
      </w:pPr>
      <w:r>
        <w:rPr>
          <w:rFonts w:hint="eastAsia" w:ascii="宋体" w:hAnsi="宋体" w:eastAsia="宋体" w:cs="Times New Roman"/>
          <w:b/>
          <w:kern w:val="2"/>
          <w:sz w:val="72"/>
          <w:szCs w:val="72"/>
        </w:rPr>
        <w:t>招 标 文 件</w:t>
      </w:r>
    </w:p>
    <w:p w14:paraId="2A5D3D7B">
      <w:pPr>
        <w:widowControl w:val="0"/>
        <w:jc w:val="center"/>
        <w:rPr>
          <w:rFonts w:hint="eastAsia" w:ascii="宋体" w:hAnsi="宋体" w:eastAsia="宋体" w:cs="Times New Roman"/>
          <w:b/>
          <w:kern w:val="2"/>
          <w:sz w:val="32"/>
          <w:szCs w:val="32"/>
        </w:rPr>
      </w:pPr>
    </w:p>
    <w:p w14:paraId="3A66961D">
      <w:pPr>
        <w:widowControl w:val="0"/>
        <w:jc w:val="center"/>
        <w:rPr>
          <w:rFonts w:hint="eastAsia" w:ascii="宋体" w:hAnsi="宋体" w:eastAsia="宋体" w:cs="Times New Roman"/>
          <w:b/>
          <w:kern w:val="2"/>
          <w:sz w:val="21"/>
          <w:szCs w:val="21"/>
        </w:rPr>
      </w:pPr>
    </w:p>
    <w:p w14:paraId="751BC1F4">
      <w:pPr>
        <w:widowControl w:val="0"/>
        <w:jc w:val="center"/>
        <w:rPr>
          <w:rFonts w:hint="eastAsia" w:ascii="宋体" w:hAnsi="宋体" w:eastAsia="宋体" w:cs="Times New Roman"/>
          <w:kern w:val="2"/>
          <w:sz w:val="21"/>
          <w:szCs w:val="21"/>
        </w:rPr>
      </w:pPr>
    </w:p>
    <w:p w14:paraId="5E8CDD82">
      <w:pPr>
        <w:widowControl w:val="0"/>
        <w:jc w:val="center"/>
        <w:rPr>
          <w:rFonts w:hint="eastAsia" w:ascii="宋体" w:hAnsi="宋体" w:eastAsia="宋体" w:cs="Times New Roman"/>
          <w:kern w:val="2"/>
          <w:sz w:val="21"/>
          <w:szCs w:val="21"/>
        </w:rPr>
      </w:pPr>
    </w:p>
    <w:p w14:paraId="451AD48B">
      <w:pPr>
        <w:widowControl w:val="0"/>
        <w:jc w:val="center"/>
        <w:rPr>
          <w:rFonts w:hint="eastAsia" w:ascii="宋体" w:hAnsi="宋体" w:eastAsia="宋体" w:cs="Times New Roman"/>
          <w:kern w:val="2"/>
          <w:sz w:val="21"/>
          <w:szCs w:val="21"/>
        </w:rPr>
      </w:pPr>
    </w:p>
    <w:p w14:paraId="7E8ABA14">
      <w:pPr>
        <w:widowControl w:val="0"/>
        <w:jc w:val="center"/>
        <w:rPr>
          <w:rFonts w:hint="eastAsia" w:ascii="宋体" w:hAnsi="宋体" w:eastAsia="宋体" w:cs="Times New Roman"/>
          <w:kern w:val="2"/>
          <w:sz w:val="21"/>
          <w:szCs w:val="21"/>
        </w:rPr>
      </w:pPr>
    </w:p>
    <w:p w14:paraId="2CEA0AB1">
      <w:pPr>
        <w:widowControl w:val="0"/>
        <w:jc w:val="center"/>
        <w:rPr>
          <w:rFonts w:hint="eastAsia" w:ascii="宋体" w:hAnsi="宋体" w:eastAsia="宋体" w:cs="Times New Roman"/>
          <w:kern w:val="2"/>
          <w:sz w:val="21"/>
          <w:szCs w:val="21"/>
        </w:rPr>
      </w:pPr>
    </w:p>
    <w:p w14:paraId="0FBD32AC">
      <w:pPr>
        <w:widowControl w:val="0"/>
        <w:tabs>
          <w:tab w:val="left" w:pos="936"/>
        </w:tabs>
        <w:spacing w:line="480" w:lineRule="auto"/>
        <w:ind w:left="0" w:leftChars="0" w:firstLine="1677" w:firstLineChars="466"/>
        <w:jc w:val="both"/>
        <w:rPr>
          <w:rFonts w:hint="eastAsia" w:ascii="宋体" w:hAnsi="宋体" w:eastAsia="宋体" w:cs="宋体"/>
          <w:b/>
          <w:kern w:val="2"/>
          <w:sz w:val="36"/>
          <w:szCs w:val="36"/>
          <w:lang w:eastAsia="zh-CN"/>
        </w:rPr>
      </w:pPr>
      <w:r>
        <w:rPr>
          <w:rFonts w:hint="eastAsia" w:ascii="宋体" w:hAnsi="宋体" w:eastAsia="宋体" w:cs="宋体"/>
          <w:b/>
          <w:kern w:val="2"/>
          <w:sz w:val="36"/>
          <w:szCs w:val="36"/>
        </w:rPr>
        <w:t>招 标 人：</w:t>
      </w:r>
      <w:r>
        <w:rPr>
          <w:rFonts w:hint="eastAsia" w:ascii="宋体" w:hAnsi="宋体" w:eastAsia="宋体" w:cs="宋体"/>
          <w:b/>
          <w:kern w:val="2"/>
          <w:sz w:val="36"/>
          <w:szCs w:val="36"/>
          <w:lang w:eastAsia="zh-CN"/>
        </w:rPr>
        <w:t>西安经济技术开发区教育体育局</w:t>
      </w:r>
    </w:p>
    <w:p w14:paraId="256570C4">
      <w:pPr>
        <w:widowControl w:val="0"/>
        <w:spacing w:line="480" w:lineRule="auto"/>
        <w:ind w:left="0" w:leftChars="0" w:firstLine="1677" w:firstLineChars="466"/>
        <w:jc w:val="both"/>
        <w:rPr>
          <w:rFonts w:hint="eastAsia" w:ascii="宋体" w:hAnsi="宋体" w:eastAsia="宋体" w:cs="宋体"/>
          <w:b/>
          <w:spacing w:val="-40"/>
          <w:kern w:val="2"/>
          <w:sz w:val="36"/>
          <w:szCs w:val="36"/>
          <w:u w:val="single"/>
          <w:lang w:eastAsia="zh-CN"/>
        </w:rPr>
      </w:pPr>
      <w:r>
        <w:rPr>
          <w:rFonts w:hint="eastAsia" w:ascii="宋体" w:hAnsi="宋体" w:eastAsia="宋体" w:cs="宋体"/>
          <w:b/>
          <w:kern w:val="2"/>
          <w:sz w:val="36"/>
          <w:szCs w:val="36"/>
        </w:rPr>
        <w:t>代理机构：</w:t>
      </w:r>
      <w:r>
        <w:rPr>
          <w:rFonts w:hint="eastAsia" w:ascii="宋体" w:hAnsi="宋体" w:eastAsia="宋体" w:cs="宋体"/>
          <w:b/>
          <w:kern w:val="2"/>
          <w:sz w:val="36"/>
          <w:szCs w:val="36"/>
          <w:lang w:eastAsia="zh-CN"/>
        </w:rPr>
        <w:t>陕西信鹏项目管理有限公司</w:t>
      </w:r>
    </w:p>
    <w:p w14:paraId="097AA68B">
      <w:pPr>
        <w:pStyle w:val="42"/>
        <w:widowControl w:val="0"/>
        <w:topLinePunct/>
        <w:spacing w:line="360" w:lineRule="auto"/>
        <w:ind w:left="0" w:leftChars="0" w:firstLine="1677" w:firstLineChars="466"/>
        <w:jc w:val="both"/>
        <w:rPr>
          <w:rFonts w:hint="eastAsia"/>
          <w:color w:val="auto"/>
        </w:rPr>
      </w:pPr>
      <w:r>
        <w:rPr>
          <w:rFonts w:hint="eastAsia" w:ascii="宋体" w:hAnsi="宋体" w:eastAsia="宋体" w:cs="宋体"/>
          <w:b/>
          <w:kern w:val="2"/>
          <w:sz w:val="36"/>
          <w:szCs w:val="36"/>
        </w:rPr>
        <w:t>日     期：二〇二</w:t>
      </w:r>
      <w:r>
        <w:rPr>
          <w:rFonts w:hint="eastAsia" w:ascii="宋体" w:hAnsi="宋体" w:eastAsia="宋体" w:cs="宋体"/>
          <w:b/>
          <w:kern w:val="2"/>
          <w:sz w:val="36"/>
          <w:szCs w:val="36"/>
          <w:lang w:val="en-US" w:eastAsia="zh-CN"/>
        </w:rPr>
        <w:t>五</w:t>
      </w:r>
      <w:r>
        <w:rPr>
          <w:rFonts w:hint="eastAsia" w:ascii="宋体" w:hAnsi="宋体" w:eastAsia="宋体" w:cs="宋体"/>
          <w:b/>
          <w:kern w:val="2"/>
          <w:sz w:val="36"/>
          <w:szCs w:val="36"/>
        </w:rPr>
        <w:t>年</w:t>
      </w:r>
      <w:r>
        <w:rPr>
          <w:rFonts w:hint="eastAsia" w:ascii="宋体" w:hAnsi="宋体" w:eastAsia="宋体" w:cs="宋体"/>
          <w:b/>
          <w:kern w:val="2"/>
          <w:sz w:val="36"/>
          <w:szCs w:val="36"/>
          <w:lang w:val="en-US" w:eastAsia="zh-CN"/>
        </w:rPr>
        <w:t>三</w:t>
      </w:r>
      <w:r>
        <w:rPr>
          <w:rFonts w:hint="eastAsia" w:ascii="宋体" w:hAnsi="宋体" w:eastAsia="宋体" w:cs="宋体"/>
          <w:b/>
          <w:kern w:val="2"/>
          <w:sz w:val="36"/>
          <w:szCs w:val="36"/>
        </w:rPr>
        <w:t>月</w:t>
      </w:r>
    </w:p>
    <w:p w14:paraId="44E92EBB">
      <w:pPr>
        <w:widowControl w:val="0"/>
        <w:topLinePunct/>
        <w:jc w:val="center"/>
        <w:rPr>
          <w:rFonts w:hint="eastAsia" w:ascii="宋体" w:hAnsi="宋体" w:eastAsia="宋体" w:cs="宋体"/>
          <w:sz w:val="44"/>
          <w:szCs w:val="44"/>
        </w:rPr>
        <w:sectPr>
          <w:headerReference r:id="rId3" w:type="default"/>
          <w:footerReference r:id="rId5" w:type="default"/>
          <w:headerReference r:id="rId4" w:type="even"/>
          <w:footerReference r:id="rId6" w:type="even"/>
          <w:pgSz w:w="11906" w:h="16838"/>
          <w:pgMar w:top="1418" w:right="1304" w:bottom="1418" w:left="1701" w:header="851" w:footer="992" w:gutter="0"/>
          <w:pgBorders>
            <w:top w:val="none" w:sz="0" w:space="0"/>
            <w:left w:val="none" w:sz="0" w:space="0"/>
            <w:bottom w:val="none" w:sz="0" w:space="0"/>
            <w:right w:val="none" w:sz="0" w:space="0"/>
          </w:pgBorders>
          <w:cols w:space="425" w:num="1"/>
          <w:docGrid w:type="linesAndChars" w:linePitch="420" w:charSpace="0"/>
        </w:sectPr>
      </w:pPr>
    </w:p>
    <w:p w14:paraId="27F8E3D4">
      <w:pPr>
        <w:widowControl w:val="0"/>
        <w:spacing w:line="480" w:lineRule="auto"/>
        <w:jc w:val="center"/>
        <w:rPr>
          <w:rFonts w:hint="eastAsia" w:ascii="宋体" w:hAnsi="宋体" w:eastAsia="宋体" w:cs="宋体"/>
          <w:b/>
          <w:bCs/>
          <w:kern w:val="2"/>
          <w:sz w:val="36"/>
          <w:szCs w:val="36"/>
        </w:rPr>
      </w:pPr>
      <w:r>
        <w:rPr>
          <w:rFonts w:hint="eastAsia" w:ascii="宋体" w:hAnsi="宋体" w:eastAsia="宋体" w:cs="宋体"/>
          <w:b/>
          <w:bCs/>
          <w:kern w:val="2"/>
          <w:sz w:val="36"/>
          <w:szCs w:val="36"/>
        </w:rPr>
        <w:t>温馨提示</w:t>
      </w:r>
    </w:p>
    <w:p w14:paraId="322B0D1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1.领取招标文件后，请仔细阅读，如有疑问，请来电咨询。电话：18710794335。</w:t>
      </w:r>
    </w:p>
    <w:p w14:paraId="6A3F8D7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2.请将招标代理服务费汇至下列指定账户：</w:t>
      </w:r>
    </w:p>
    <w:p w14:paraId="1F9B448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0"/>
        <w:rPr>
          <w:rFonts w:hint="eastAsia" w:ascii="宋体" w:hAnsi="宋体" w:eastAsia="宋体" w:cs="宋体"/>
          <w:kern w:val="2"/>
          <w:sz w:val="28"/>
          <w:szCs w:val="28"/>
          <w:lang w:val="en-US" w:eastAsia="zh-CN" w:bidi="ar-SA"/>
        </w:rPr>
      </w:pPr>
      <w:bookmarkStart w:id="0" w:name="_Toc31279"/>
      <w:r>
        <w:rPr>
          <w:rFonts w:hint="eastAsia" w:ascii="宋体" w:hAnsi="宋体" w:eastAsia="宋体" w:cs="宋体"/>
          <w:kern w:val="2"/>
          <w:sz w:val="28"/>
          <w:szCs w:val="28"/>
          <w:lang w:val="en-US" w:eastAsia="zh-CN" w:bidi="ar-SA"/>
        </w:rPr>
        <w:t>户    名：陕西信鹏项目管理有限公司</w:t>
      </w:r>
      <w:bookmarkEnd w:id="0"/>
    </w:p>
    <w:p w14:paraId="4C85728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开户银行：中国民生银行股份有限公司西安文景路支行</w:t>
      </w:r>
    </w:p>
    <w:p w14:paraId="059E676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账    号：171673847</w:t>
      </w:r>
    </w:p>
    <w:p w14:paraId="56105439">
      <w:pPr>
        <w:pStyle w:val="23"/>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3.属于西安市（含区县）政府采购项目的，获取招标文件的潜在投标人，如决定不参加投标，应当在投标截止日前1日以书面形式通知采购代理机构；否则，采购代理机构将向监管部门反映，在全市范围内累计达到3次以上的，将被财政部门列入失信名单。</w:t>
      </w:r>
    </w:p>
    <w:p w14:paraId="51F3FCA1">
      <w:pPr>
        <w:rPr>
          <w:rFonts w:hint="eastAsia" w:ascii="宋体" w:hAnsi="宋体" w:eastAsia="宋体" w:cs="宋体"/>
          <w:sz w:val="44"/>
          <w:szCs w:val="44"/>
        </w:rPr>
      </w:pPr>
      <w:r>
        <w:rPr>
          <w:rFonts w:hint="eastAsia" w:ascii="宋体" w:hAnsi="宋体" w:eastAsia="宋体" w:cs="宋体"/>
          <w:sz w:val="44"/>
          <w:szCs w:val="44"/>
        </w:rPr>
        <w:br w:type="page"/>
      </w:r>
    </w:p>
    <w:p w14:paraId="6BD281C0">
      <w:pPr>
        <w:widowControl w:val="0"/>
        <w:topLinePunct/>
        <w:jc w:val="center"/>
        <w:rPr>
          <w:rFonts w:hint="eastAsia" w:ascii="宋体" w:hAnsi="宋体" w:eastAsia="宋体" w:cs="宋体"/>
          <w:sz w:val="44"/>
          <w:szCs w:val="44"/>
        </w:rPr>
      </w:pPr>
      <w:r>
        <w:rPr>
          <w:rFonts w:hint="eastAsia" w:ascii="宋体" w:hAnsi="宋体" w:eastAsia="宋体" w:cs="宋体"/>
          <w:sz w:val="44"/>
          <w:szCs w:val="44"/>
        </w:rPr>
        <w:t>目　　录</w:t>
      </w:r>
    </w:p>
    <w:p w14:paraId="3FF1D043">
      <w:pPr>
        <w:widowControl w:val="0"/>
        <w:topLinePunct/>
        <w:jc w:val="center"/>
        <w:rPr>
          <w:rFonts w:hint="eastAsia" w:ascii="宋体" w:hAnsi="宋体" w:eastAsia="宋体" w:cs="宋体"/>
          <w:sz w:val="44"/>
          <w:szCs w:val="44"/>
        </w:rPr>
      </w:pPr>
    </w:p>
    <w:p w14:paraId="0A806AB0">
      <w:pPr>
        <w:pStyle w:val="25"/>
        <w:tabs>
          <w:tab w:val="right" w:leader="dot" w:pos="8890"/>
        </w:tabs>
        <w:spacing w:before="480" w:after="480"/>
        <w:rPr>
          <w:rFonts w:hint="eastAsia" w:ascii="宋体" w:hAnsi="宋体" w:eastAsia="宋体" w:cs="宋体"/>
          <w:kern w:val="2"/>
          <w:sz w:val="21"/>
          <w:szCs w:val="22"/>
        </w:rPr>
      </w:pPr>
      <w:r>
        <w:rPr>
          <w:rFonts w:hint="eastAsia" w:ascii="宋体" w:hAnsi="宋体" w:eastAsia="宋体" w:cs="宋体"/>
          <w:szCs w:val="30"/>
        </w:rPr>
        <w:fldChar w:fldCharType="begin"/>
      </w:r>
      <w:r>
        <w:rPr>
          <w:rFonts w:hint="eastAsia" w:ascii="宋体" w:hAnsi="宋体" w:eastAsia="宋体" w:cs="宋体"/>
          <w:szCs w:val="30"/>
        </w:rPr>
        <w:instrText xml:space="preserve"> TOC \o "1-1" \h \z \u </w:instrText>
      </w:r>
      <w:r>
        <w:rPr>
          <w:rFonts w:hint="eastAsia" w:ascii="宋体" w:hAnsi="宋体" w:eastAsia="宋体" w:cs="宋体"/>
          <w:szCs w:val="30"/>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"_Toc100219612" </w:instrText>
      </w:r>
      <w:r>
        <w:rPr>
          <w:rFonts w:hint="eastAsia" w:ascii="宋体" w:hAnsi="宋体" w:eastAsia="宋体" w:cs="宋体"/>
        </w:rPr>
        <w:fldChar w:fldCharType="separate"/>
      </w:r>
      <w:r>
        <w:rPr>
          <w:rStyle w:val="39"/>
          <w:rFonts w:hint="eastAsia" w:ascii="宋体" w:hAnsi="宋体" w:eastAsia="宋体" w:cs="宋体"/>
        </w:rPr>
        <w:t>第一章　</w:t>
      </w:r>
      <w:r>
        <w:rPr>
          <w:rStyle w:val="39"/>
          <w:rFonts w:hint="eastAsia" w:ascii="宋体" w:hAnsi="宋体" w:cs="宋体"/>
          <w:lang w:eastAsia="zh-CN"/>
        </w:rPr>
        <w:t>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_Toc100219612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22353ACB">
      <w:pPr>
        <w:pStyle w:val="25"/>
        <w:tabs>
          <w:tab w:val="right" w:leader="dot" w:pos="8890"/>
        </w:tabs>
        <w:spacing w:before="480" w:after="480"/>
        <w:rPr>
          <w:rFonts w:hint="eastAsia" w:ascii="宋体" w:hAnsi="宋体" w:eastAsia="宋体" w:cs="宋体"/>
          <w:kern w:val="2"/>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"_Toc100219613" </w:instrText>
      </w:r>
      <w:r>
        <w:rPr>
          <w:rFonts w:hint="eastAsia" w:ascii="宋体" w:hAnsi="宋体" w:eastAsia="宋体" w:cs="宋体"/>
        </w:rPr>
        <w:fldChar w:fldCharType="separate"/>
      </w:r>
      <w:r>
        <w:rPr>
          <w:rStyle w:val="39"/>
          <w:rFonts w:hint="eastAsia" w:ascii="宋体" w:hAnsi="宋体" w:eastAsia="宋体" w:cs="宋体"/>
        </w:rPr>
        <w:t>第二章　</w:t>
      </w:r>
      <w:r>
        <w:rPr>
          <w:rStyle w:val="39"/>
          <w:rFonts w:hint="eastAsia" w:ascii="宋体" w:hAnsi="宋体" w:cs="宋体"/>
          <w:lang w:eastAsia="zh-CN"/>
        </w:rPr>
        <w:t>投标人</w:t>
      </w:r>
      <w:r>
        <w:rPr>
          <w:rStyle w:val="39"/>
          <w:rFonts w:hint="eastAsia" w:ascii="宋体" w:hAnsi="宋体" w:eastAsia="宋体" w:cs="宋体"/>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_Toc100219613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4ADEA46C">
      <w:pPr>
        <w:pStyle w:val="25"/>
        <w:tabs>
          <w:tab w:val="right" w:leader="dot" w:pos="8890"/>
        </w:tabs>
        <w:spacing w:before="480" w:after="480"/>
        <w:rPr>
          <w:rFonts w:hint="eastAsia" w:ascii="宋体" w:hAnsi="宋体" w:eastAsia="宋体" w:cs="宋体"/>
          <w:kern w:val="2"/>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"_Toc100219614" </w:instrText>
      </w:r>
      <w:r>
        <w:rPr>
          <w:rFonts w:hint="eastAsia" w:ascii="宋体" w:hAnsi="宋体" w:eastAsia="宋体" w:cs="宋体"/>
        </w:rPr>
        <w:fldChar w:fldCharType="separate"/>
      </w:r>
      <w:r>
        <w:rPr>
          <w:rStyle w:val="39"/>
          <w:rFonts w:hint="eastAsia" w:ascii="宋体" w:hAnsi="宋体" w:eastAsia="宋体" w:cs="宋体"/>
        </w:rPr>
        <w:t>第三章　招标内容及要求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_Toc100219614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rPr>
        <w:fldChar w:fldCharType="end"/>
      </w:r>
    </w:p>
    <w:p w14:paraId="2E4EC230">
      <w:pPr>
        <w:pStyle w:val="25"/>
        <w:tabs>
          <w:tab w:val="right" w:leader="dot" w:pos="8890"/>
        </w:tabs>
        <w:spacing w:before="480" w:after="480"/>
        <w:rPr>
          <w:rFonts w:hint="eastAsia" w:ascii="宋体" w:hAnsi="宋体" w:eastAsia="宋体" w:cs="宋体"/>
          <w:kern w:val="2"/>
          <w:sz w:val="21"/>
          <w:szCs w:val="22"/>
        </w:rPr>
      </w:pPr>
      <w:r>
        <w:rPr>
          <w:rFonts w:hint="eastAsia" w:ascii="宋体" w:hAnsi="宋体" w:eastAsia="宋体" w:cs="宋体"/>
        </w:rPr>
        <w:fldChar w:fldCharType="begin"/>
      </w:r>
      <w:r>
        <w:rPr>
          <w:rFonts w:hint="eastAsia" w:ascii="宋体" w:hAnsi="宋体" w:eastAsia="宋体" w:cs="宋体"/>
        </w:rPr>
        <w:instrText xml:space="preserve"> HYPERLINK \l "_Toc100219615" </w:instrText>
      </w:r>
      <w:r>
        <w:rPr>
          <w:rFonts w:hint="eastAsia" w:ascii="宋体" w:hAnsi="宋体" w:eastAsia="宋体" w:cs="宋体"/>
        </w:rPr>
        <w:fldChar w:fldCharType="separate"/>
      </w:r>
      <w:r>
        <w:rPr>
          <w:rStyle w:val="39"/>
          <w:rFonts w:hint="eastAsia" w:ascii="宋体" w:hAnsi="宋体" w:eastAsia="宋体" w:cs="宋体"/>
        </w:rPr>
        <w:t>第四章　合同文本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_Toc100219615 \h </w:instrText>
      </w:r>
      <w:r>
        <w:rPr>
          <w:rFonts w:hint="eastAsia" w:ascii="宋体" w:hAnsi="宋体" w:eastAsia="宋体" w:cs="宋体"/>
        </w:rPr>
        <w:fldChar w:fldCharType="separate"/>
      </w:r>
      <w:r>
        <w:rPr>
          <w:rFonts w:hint="eastAsia" w:ascii="宋体" w:hAnsi="宋体" w:eastAsia="宋体" w:cs="宋体"/>
        </w:rPr>
        <w:t>152</w:t>
      </w:r>
      <w:r>
        <w:rPr>
          <w:rFonts w:hint="eastAsia" w:ascii="宋体" w:hAnsi="宋体" w:eastAsia="宋体" w:cs="宋体"/>
        </w:rPr>
        <w:fldChar w:fldCharType="end"/>
      </w:r>
      <w:r>
        <w:rPr>
          <w:rFonts w:hint="eastAsia" w:ascii="宋体" w:hAnsi="宋体" w:eastAsia="宋体" w:cs="宋体"/>
        </w:rPr>
        <w:fldChar w:fldCharType="end"/>
      </w:r>
    </w:p>
    <w:p w14:paraId="310CCDC9">
      <w:pPr>
        <w:pStyle w:val="25"/>
        <w:tabs>
          <w:tab w:val="right" w:leader="dot" w:pos="8890"/>
        </w:tabs>
        <w:spacing w:before="480" w:after="480"/>
        <w:rPr>
          <w:rFonts w:hint="eastAsia" w:ascii="宋体" w:hAnsi="宋体" w:eastAsia="宋体" w:cs="宋体"/>
          <w:sz w:val="36"/>
          <w:szCs w:val="36"/>
        </w:rPr>
      </w:pPr>
      <w:r>
        <w:rPr>
          <w:rFonts w:hint="eastAsia" w:ascii="宋体" w:hAnsi="宋体" w:eastAsia="宋体" w:cs="宋体"/>
        </w:rPr>
        <w:fldChar w:fldCharType="begin"/>
      </w:r>
      <w:r>
        <w:rPr>
          <w:rFonts w:hint="eastAsia" w:ascii="宋体" w:hAnsi="宋体" w:eastAsia="宋体" w:cs="宋体"/>
        </w:rPr>
        <w:instrText xml:space="preserve"> HYPERLINK \l "_Toc100219616" </w:instrText>
      </w:r>
      <w:r>
        <w:rPr>
          <w:rFonts w:hint="eastAsia" w:ascii="宋体" w:hAnsi="宋体" w:eastAsia="宋体" w:cs="宋体"/>
        </w:rPr>
        <w:fldChar w:fldCharType="separate"/>
      </w:r>
      <w:r>
        <w:rPr>
          <w:rStyle w:val="39"/>
          <w:rFonts w:hint="eastAsia" w:ascii="宋体" w:hAnsi="宋体" w:eastAsia="宋体" w:cs="宋体"/>
        </w:rPr>
        <w:t>第五章　投标文件构成及格式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_Toc100219616 \h </w:instrText>
      </w:r>
      <w:r>
        <w:rPr>
          <w:rFonts w:hint="eastAsia" w:ascii="宋体" w:hAnsi="宋体" w:eastAsia="宋体" w:cs="宋体"/>
        </w:rPr>
        <w:fldChar w:fldCharType="separate"/>
      </w:r>
      <w:r>
        <w:rPr>
          <w:rFonts w:hint="eastAsia" w:ascii="宋体" w:hAnsi="宋体" w:eastAsia="宋体" w:cs="宋体"/>
        </w:rPr>
        <w:t>158</w:t>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szCs w:val="30"/>
        </w:rPr>
        <w:fldChar w:fldCharType="end"/>
      </w:r>
    </w:p>
    <w:p w14:paraId="7BD34232">
      <w:pPr>
        <w:pStyle w:val="3"/>
        <w:spacing w:beforeLines="0" w:afterLines="0"/>
        <w:rPr>
          <w:rFonts w:hint="eastAsia" w:ascii="宋体" w:hAnsi="宋体" w:eastAsia="宋体" w:cs="宋体"/>
        </w:rPr>
      </w:pPr>
      <w:bookmarkStart w:id="1" w:name="_Toc100219612"/>
    </w:p>
    <w:p w14:paraId="73A4A12A">
      <w:pPr>
        <w:rPr>
          <w:rFonts w:hint="eastAsia"/>
        </w:rPr>
        <w:sectPr>
          <w:footerReference r:id="rId7" w:type="default"/>
          <w:pgSz w:w="11906" w:h="16838"/>
          <w:pgMar w:top="1418" w:right="1304" w:bottom="1418" w:left="1701" w:header="851" w:footer="992" w:gutter="0"/>
          <w:pgBorders>
            <w:top w:val="none" w:sz="0" w:space="0"/>
            <w:left w:val="none" w:sz="0" w:space="0"/>
            <w:bottom w:val="none" w:sz="0" w:space="0"/>
            <w:right w:val="none" w:sz="0" w:space="0"/>
          </w:pgBorders>
          <w:pgNumType w:start="1"/>
          <w:cols w:space="425" w:num="1"/>
          <w:docGrid w:type="linesAndChars" w:linePitch="420" w:charSpace="0"/>
        </w:sectPr>
      </w:pPr>
    </w:p>
    <w:p w14:paraId="19796326">
      <w:pPr>
        <w:pStyle w:val="3"/>
        <w:spacing w:beforeLines="0" w:afterLines="0"/>
        <w:rPr>
          <w:rFonts w:hint="eastAsia" w:ascii="宋体" w:hAnsi="宋体" w:eastAsia="宋体" w:cs="宋体"/>
          <w:color w:val="auto"/>
        </w:rPr>
      </w:pPr>
      <w:r>
        <w:rPr>
          <w:rFonts w:hint="eastAsia" w:ascii="宋体" w:hAnsi="宋体" w:eastAsia="宋体" w:cs="宋体"/>
          <w:color w:val="auto"/>
        </w:rPr>
        <w:t>第一章　</w:t>
      </w:r>
      <w:bookmarkEnd w:id="1"/>
      <w:r>
        <w:rPr>
          <w:rFonts w:hint="eastAsia" w:ascii="宋体" w:hAnsi="宋体" w:eastAsia="宋体" w:cs="宋体"/>
          <w:color w:val="auto"/>
          <w:lang w:val="en-US" w:eastAsia="zh-CN"/>
        </w:rPr>
        <w:t>招标公告</w:t>
      </w:r>
    </w:p>
    <w:p w14:paraId="3D9B2919">
      <w:pPr>
        <w:keepNext w:val="0"/>
        <w:keepLines w:val="0"/>
        <w:widowControl/>
        <w:numPr>
          <w:ilvl w:val="5"/>
          <w:numId w:val="2"/>
        </w:numPr>
        <w:spacing w:before="150" w:after="150" w:line="30" w:lineRule="atLeast"/>
        <w:jc w:val="left"/>
        <w:textAlignment w:val="baseline"/>
        <w:outlineLvl w:val="5"/>
        <w:rPr>
          <w:rFonts w:ascii="宋体" w:hAnsi="宋体" w:eastAsia="宋体" w:cs="宋体"/>
          <w:b w:val="0"/>
          <w:kern w:val="2"/>
          <w:sz w:val="24"/>
          <w:szCs w:val="24"/>
          <w:lang w:val="en-US" w:eastAsia="zh-CN" w:bidi="ar-SA"/>
        </w:rPr>
      </w:pPr>
      <w:r>
        <w:rPr>
          <w:rFonts w:hint="eastAsia" w:ascii="宋体" w:hAnsi="宋体" w:eastAsia="宋体" w:cs="宋体"/>
          <w:b/>
          <w:bCs/>
          <w:color w:val="333333"/>
          <w:kern w:val="2"/>
          <w:sz w:val="24"/>
          <w:szCs w:val="24"/>
          <w:shd w:val="clear" w:color="auto" w:fill="FFFFFF"/>
          <w:lang w:val="en-US" w:eastAsia="zh-CN" w:bidi="ar-SA"/>
        </w:rPr>
        <w:t>项目概况</w:t>
      </w:r>
    </w:p>
    <w:p w14:paraId="0C86C790">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lang w:val="en-US" w:eastAsia="zh-CN" w:bidi="ar-SA"/>
        </w:rPr>
        <w:t>经开区2025年直属公办中小学、幼儿园设施设备采购项目（标准化考场）招标项目的潜在投标</w:t>
      </w:r>
      <w:r>
        <w:rPr>
          <w:rFonts w:hint="eastAsia" w:ascii="宋体" w:hAnsi="宋体" w:eastAsia="宋体" w:cs="宋体"/>
          <w:color w:val="000000"/>
          <w:sz w:val="24"/>
          <w:szCs w:val="24"/>
          <w:highlight w:val="none"/>
          <w:lang w:val="en-US" w:eastAsia="zh-CN" w:bidi="ar-SA"/>
        </w:rPr>
        <w:t>人应在全国公共资源交易平台（陕西省</w:t>
      </w:r>
      <w:r>
        <w:rPr>
          <w:rFonts w:hint="eastAsia" w:ascii="微软雅黑" w:hAnsi="微软雅黑" w:eastAsia="微软雅黑" w:cs="微软雅黑"/>
          <w:color w:val="000000"/>
          <w:sz w:val="24"/>
          <w:szCs w:val="24"/>
          <w:highlight w:val="none"/>
          <w:lang w:val="en-US" w:eastAsia="zh-CN" w:bidi="ar-SA"/>
        </w:rPr>
        <w:t>•</w:t>
      </w:r>
      <w:r>
        <w:rPr>
          <w:rFonts w:hint="eastAsia" w:ascii="宋体" w:hAnsi="宋体" w:eastAsia="宋体" w:cs="宋体"/>
          <w:color w:val="000000"/>
          <w:sz w:val="24"/>
          <w:szCs w:val="24"/>
          <w:highlight w:val="none"/>
          <w:lang w:val="en-US" w:eastAsia="zh-CN" w:bidi="ar-SA"/>
        </w:rPr>
        <w:t>西安市）【首页〉电子交易平台〉陕西政府采购交易系统〉企业端】获取招标文件，并于2025年04月16日09时30分（北京时间）前递交投标文件。</w:t>
      </w:r>
    </w:p>
    <w:p w14:paraId="6E3123C4">
      <w:pPr>
        <w:widowControl w:val="0"/>
        <w:autoSpaceDE/>
        <w:autoSpaceDN/>
        <w:adjustRightInd w:val="0"/>
        <w:spacing w:line="360" w:lineRule="auto"/>
        <w:rPr>
          <w:rFonts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一、项目基本情况</w:t>
      </w:r>
    </w:p>
    <w:p w14:paraId="70CDC376">
      <w:pPr>
        <w:widowControl w:val="0"/>
        <w:autoSpaceDE/>
        <w:autoSpaceDN/>
        <w:adjustRightInd w:val="0"/>
        <w:spacing w:line="360" w:lineRule="auto"/>
        <w:ind w:firstLine="480" w:firstLineChars="200"/>
        <w:jc w:val="both"/>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项目编号：SXXP-2025-004</w:t>
      </w:r>
    </w:p>
    <w:p w14:paraId="44F4C203">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项目名称：经开区2025年直属公办中小学、幼儿园设施设备采购项目（标准化考场）</w:t>
      </w:r>
    </w:p>
    <w:p w14:paraId="78D44C9F">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采购方式：公开招标</w:t>
      </w:r>
    </w:p>
    <w:p w14:paraId="7FFCC426">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预算金额：6307450.00元</w:t>
      </w:r>
    </w:p>
    <w:p w14:paraId="79D4F997">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采购需求：</w:t>
      </w:r>
    </w:p>
    <w:p w14:paraId="405D06D2">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合同包1（标考红外高清半球摄像机、智能巡查行为分析平台等）：</w:t>
      </w:r>
    </w:p>
    <w:p w14:paraId="4907669D">
      <w:pPr>
        <w:widowControl w:val="0"/>
        <w:autoSpaceDE/>
        <w:autoSpaceDN/>
        <w:adjustRightInd w:val="0"/>
        <w:spacing w:line="360" w:lineRule="auto"/>
        <w:ind w:firstLine="480" w:firstLineChars="200"/>
        <w:jc w:val="both"/>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合同包预算金额：6307450.00元</w:t>
      </w:r>
    </w:p>
    <w:p w14:paraId="67232024">
      <w:pPr>
        <w:keepNext w:val="0"/>
        <w:keepLines w:val="0"/>
        <w:pageBreakBefore w:val="0"/>
        <w:widowControl w:val="0"/>
        <w:kinsoku/>
        <w:wordWrap/>
        <w:overflowPunct/>
        <w:topLinePunct/>
        <w:autoSpaceDE/>
        <w:autoSpaceDN/>
        <w:bidi w:val="0"/>
        <w:adjustRightInd/>
        <w:snapToGrid/>
        <w:spacing w:line="44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000000"/>
          <w:sz w:val="24"/>
          <w:szCs w:val="24"/>
          <w:highlight w:val="none"/>
          <w:lang w:val="en-US" w:eastAsia="zh-CN" w:bidi="ar-SA"/>
        </w:rPr>
        <w:t>合同包最高限价：6307450.00元</w:t>
      </w:r>
    </w:p>
    <w:tbl>
      <w:tblPr>
        <w:tblStyle w:val="33"/>
        <w:tblW w:w="9870"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114"/>
        <w:gridCol w:w="1480"/>
        <w:gridCol w:w="1417"/>
        <w:gridCol w:w="1786"/>
        <w:gridCol w:w="1581"/>
        <w:gridCol w:w="1570"/>
      </w:tblGrid>
      <w:tr w14:paraId="6D29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22" w:type="dxa"/>
            <w:vAlign w:val="center"/>
          </w:tcPr>
          <w:p w14:paraId="15643AC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品目号</w:t>
            </w:r>
          </w:p>
        </w:tc>
        <w:tc>
          <w:tcPr>
            <w:tcW w:w="1114" w:type="dxa"/>
            <w:vAlign w:val="center"/>
          </w:tcPr>
          <w:p w14:paraId="48DD49A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品目名称</w:t>
            </w:r>
          </w:p>
        </w:tc>
        <w:tc>
          <w:tcPr>
            <w:tcW w:w="1480" w:type="dxa"/>
            <w:vAlign w:val="center"/>
          </w:tcPr>
          <w:p w14:paraId="42E6735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采购标的</w:t>
            </w:r>
          </w:p>
        </w:tc>
        <w:tc>
          <w:tcPr>
            <w:tcW w:w="1417" w:type="dxa"/>
            <w:vAlign w:val="center"/>
          </w:tcPr>
          <w:p w14:paraId="1350F46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数量（单位）</w:t>
            </w:r>
          </w:p>
        </w:tc>
        <w:tc>
          <w:tcPr>
            <w:tcW w:w="1786" w:type="dxa"/>
            <w:vAlign w:val="center"/>
          </w:tcPr>
          <w:p w14:paraId="3BB30F3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sz w:val="18"/>
                <w:szCs w:val="18"/>
                <w:highlight w:val="none"/>
                <w:lang w:val="en-US" w:eastAsia="zh-CN" w:bidi="ar-SA"/>
              </w:rPr>
            </w:pPr>
            <w:r>
              <w:rPr>
                <w:rFonts w:hint="eastAsia" w:ascii="宋体" w:hAnsi="宋体" w:eastAsia="宋体" w:cs="宋体"/>
                <w:color w:val="auto"/>
                <w:sz w:val="18"/>
                <w:szCs w:val="18"/>
                <w:highlight w:val="none"/>
                <w:lang w:val="en-US" w:eastAsia="zh-CN"/>
              </w:rPr>
              <w:t>技术规格、参数及要求</w:t>
            </w:r>
          </w:p>
        </w:tc>
        <w:tc>
          <w:tcPr>
            <w:tcW w:w="1581" w:type="dxa"/>
            <w:vAlign w:val="center"/>
          </w:tcPr>
          <w:p w14:paraId="3CA4E8B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品目预算（元）</w:t>
            </w:r>
          </w:p>
        </w:tc>
        <w:tc>
          <w:tcPr>
            <w:tcW w:w="1570" w:type="dxa"/>
            <w:vAlign w:val="center"/>
          </w:tcPr>
          <w:p w14:paraId="7B16F8A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最高限价（元）</w:t>
            </w:r>
          </w:p>
        </w:tc>
      </w:tr>
      <w:tr w14:paraId="1582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Align w:val="center"/>
          </w:tcPr>
          <w:p w14:paraId="557B653C">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1-1</w:t>
            </w:r>
          </w:p>
        </w:tc>
        <w:tc>
          <w:tcPr>
            <w:tcW w:w="1114" w:type="dxa"/>
            <w:vAlign w:val="center"/>
          </w:tcPr>
          <w:p w14:paraId="7AB3994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其他信息化设备</w:t>
            </w:r>
          </w:p>
        </w:tc>
        <w:tc>
          <w:tcPr>
            <w:tcW w:w="1480" w:type="dxa"/>
            <w:vAlign w:val="center"/>
          </w:tcPr>
          <w:p w14:paraId="152EEF3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sz w:val="18"/>
                <w:szCs w:val="18"/>
                <w:highlight w:val="none"/>
                <w:vertAlign w:val="baseline"/>
                <w:lang w:val="en-US" w:eastAsia="zh-CN"/>
              </w:rPr>
            </w:pPr>
            <w:r>
              <w:rPr>
                <w:rFonts w:hint="default" w:ascii="宋体" w:hAnsi="宋体" w:eastAsia="宋体" w:cs="宋体"/>
                <w:color w:val="auto"/>
                <w:sz w:val="18"/>
                <w:szCs w:val="18"/>
                <w:highlight w:val="none"/>
                <w:vertAlign w:val="baseline"/>
                <w:lang w:val="en-US" w:eastAsia="zh-CN"/>
              </w:rPr>
              <w:t>标考红外高清半球摄像机、智能巡查行为分析平台等</w:t>
            </w:r>
          </w:p>
        </w:tc>
        <w:tc>
          <w:tcPr>
            <w:tcW w:w="1417" w:type="dxa"/>
            <w:vAlign w:val="center"/>
          </w:tcPr>
          <w:p w14:paraId="75D4B6B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1（批）</w:t>
            </w:r>
          </w:p>
        </w:tc>
        <w:tc>
          <w:tcPr>
            <w:tcW w:w="1786" w:type="dxa"/>
            <w:vAlign w:val="center"/>
          </w:tcPr>
          <w:p w14:paraId="6B0D81E9">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详见采购文件</w:t>
            </w:r>
          </w:p>
        </w:tc>
        <w:tc>
          <w:tcPr>
            <w:tcW w:w="1581" w:type="dxa"/>
            <w:vAlign w:val="center"/>
          </w:tcPr>
          <w:p w14:paraId="282C3C0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6307450.00</w:t>
            </w:r>
          </w:p>
        </w:tc>
        <w:tc>
          <w:tcPr>
            <w:tcW w:w="1570" w:type="dxa"/>
            <w:vAlign w:val="center"/>
          </w:tcPr>
          <w:p w14:paraId="3E8BD33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6307450.00</w:t>
            </w:r>
          </w:p>
        </w:tc>
      </w:tr>
    </w:tbl>
    <w:p w14:paraId="095D224E">
      <w:pPr>
        <w:widowControl w:val="0"/>
        <w:autoSpaceDE w:val="0"/>
        <w:autoSpaceDN w:val="0"/>
        <w:adjustRightInd w:val="0"/>
        <w:spacing w:line="360" w:lineRule="auto"/>
        <w:ind w:firstLine="480" w:firstLineChars="200"/>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本合同包不接受联合体投标</w:t>
      </w:r>
    </w:p>
    <w:p w14:paraId="3F7A89D5">
      <w:pPr>
        <w:keepNext w:val="0"/>
        <w:keepLines w:val="0"/>
        <w:pageBreakBefore w:val="0"/>
        <w:widowControl w:val="0"/>
        <w:kinsoku/>
        <w:wordWrap/>
        <w:overflowPunct/>
        <w:topLinePunct/>
        <w:autoSpaceDE/>
        <w:autoSpaceDN/>
        <w:bidi w:val="0"/>
        <w:adjustRightInd/>
        <w:snapToGrid/>
        <w:spacing w:line="440" w:lineRule="exact"/>
        <w:ind w:firstLine="480" w:firstLineChars="200"/>
        <w:jc w:val="both"/>
        <w:textAlignment w:val="auto"/>
        <w:rPr>
          <w:rFonts w:hint="default"/>
          <w:lang w:val="en-US" w:eastAsia="zh-CN"/>
        </w:rPr>
      </w:pPr>
      <w:r>
        <w:rPr>
          <w:rFonts w:hint="eastAsia" w:ascii="宋体" w:hAnsi="宋体" w:eastAsia="宋体" w:cs="宋体"/>
          <w:color w:val="000000"/>
          <w:sz w:val="24"/>
          <w:szCs w:val="24"/>
          <w:highlight w:val="none"/>
          <w:lang w:val="en-US" w:eastAsia="zh-CN" w:bidi="ar-SA"/>
        </w:rPr>
        <w:t>合同履行期限：合同签订后30日历天</w:t>
      </w:r>
    </w:p>
    <w:p w14:paraId="1BD60CF3">
      <w:pPr>
        <w:widowControl w:val="0"/>
        <w:autoSpaceDE/>
        <w:autoSpaceDN/>
        <w:adjustRightInd w:val="0"/>
        <w:spacing w:line="360" w:lineRule="auto"/>
        <w:rPr>
          <w:rFonts w:ascii="宋体" w:hAnsi="宋体" w:eastAsia="宋体" w:cs="宋体"/>
          <w:b/>
          <w:bCs/>
          <w:color w:val="000000"/>
          <w:sz w:val="24"/>
          <w:szCs w:val="24"/>
          <w:highlight w:val="none"/>
          <w:lang w:val="en-US" w:eastAsia="zh-CN" w:bidi="ar-SA"/>
        </w:rPr>
      </w:pPr>
      <w:r>
        <w:rPr>
          <w:rFonts w:hint="eastAsia" w:ascii="宋体" w:hAnsi="宋体" w:eastAsia="宋体" w:cs="宋体"/>
          <w:b/>
          <w:bCs/>
          <w:color w:val="000000"/>
          <w:sz w:val="24"/>
          <w:szCs w:val="24"/>
          <w:highlight w:val="none"/>
          <w:lang w:val="en-US" w:eastAsia="zh-CN" w:bidi="ar-SA"/>
        </w:rPr>
        <w:t>二、申请人的资格要求</w:t>
      </w:r>
    </w:p>
    <w:p w14:paraId="46785359">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1.满足《中华人民共和国政府采购法》第二十二条规定；</w:t>
      </w:r>
    </w:p>
    <w:p w14:paraId="3BC0BCC5">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2.落实政府采购政策需满足的资格要求：</w:t>
      </w:r>
    </w:p>
    <w:p w14:paraId="60FA4F84">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合同包1（标考红外高清半球摄像机、智能巡查行为分析平台等）落实政府采购政策需满足的资格要求如下：</w:t>
      </w:r>
    </w:p>
    <w:p w14:paraId="75AC83A3">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（1）《政府采购促进中小企业发展管理办法》（财库〔2020〕46号）；</w:t>
      </w:r>
    </w:p>
    <w:p w14:paraId="21EF9083">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（2）《财政部、司法部关于政府采购支持监狱企业发展有关问题的通知》（财库〔2014〕68号）；</w:t>
      </w:r>
    </w:p>
    <w:p w14:paraId="24BFD475">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（3）《民政部、财政部、中国残疾人联合会关于促进残疾人就业政府采购政策的通知》（财库〔2017〕141号）；</w:t>
      </w:r>
    </w:p>
    <w:p w14:paraId="79303D80">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（4）《财政部办公厅关于政府采购进口产品管理有关问题的通知》（财办库[2008]248号）；</w:t>
      </w:r>
    </w:p>
    <w:p w14:paraId="7783DAEA">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（5）《关于印发环境标志产品政府采购品目清单的通知》（财库〔2019〕18号）；</w:t>
      </w:r>
    </w:p>
    <w:p w14:paraId="7C5650BE">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（6）《关于印发节能产品政府采购品目清单的通知》（财库〔2019〕19号）；</w:t>
      </w:r>
    </w:p>
    <w:p w14:paraId="29D76C3A">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（7）《关于进一步加强政府绿色采购有关问题的通知》（陕财办采〔2021〕29号）</w:t>
      </w:r>
    </w:p>
    <w:p w14:paraId="5D115EDA">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（8）《财政部发展改革委生态环境部市场监管总局关于调整优化节能产品、环境标志产品政府采购执行机制的通知》（财库〔2019〕9号）；</w:t>
      </w:r>
    </w:p>
    <w:p w14:paraId="27F3A812">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（9）《陕西省财政厅关于加快推进我省中小企业政府采购信用融资工作的通知》（陕财办采〔2020〕15号）；</w:t>
      </w:r>
    </w:p>
    <w:p w14:paraId="6D29E427">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（10）《关于运用政府采购政策支持乡村产业振兴的通知》（财库〔2021〕19号）；</w:t>
      </w:r>
    </w:p>
    <w:p w14:paraId="20D6035C">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（11）《关于深入开展政府采购脱贫地区农副产品工作推进乡村产业振兴的实施意见》的通知（财库〔2021〕20号）；</w:t>
      </w:r>
    </w:p>
    <w:p w14:paraId="1F3E128A">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（12）《财政部关于进一步加大政府采购支持中小企业力度的通知》（财库〔2022〕19号）；</w:t>
      </w:r>
    </w:p>
    <w:p w14:paraId="3EB59692">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（13）其他需要落实的政府采购政策（如有最新颁布的政府采购政策，按最新的文件执行）；</w:t>
      </w:r>
    </w:p>
    <w:p w14:paraId="5FB49819">
      <w:pPr>
        <w:widowControl w:val="0"/>
        <w:autoSpaceDE/>
        <w:autoSpaceDN/>
        <w:adjustRightInd w:val="0"/>
        <w:spacing w:line="360" w:lineRule="auto"/>
        <w:ind w:firstLine="480" w:firstLineChars="200"/>
        <w:jc w:val="both"/>
        <w:rPr>
          <w:rFonts w:hint="default"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注：本项目非专门面向中小企业采购（残疾人福利性单位及监狱企业视同小型、微型企业）。</w:t>
      </w:r>
    </w:p>
    <w:p w14:paraId="3F95D950">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3.本项目的特定资格要求：</w:t>
      </w:r>
    </w:p>
    <w:p w14:paraId="522C952B">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合同包1（标考红外高清半球摄像机、智能巡查行为分析平台等）特定资格要求如下：</w:t>
      </w:r>
    </w:p>
    <w:p w14:paraId="55A2DDE5">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（1）投标人为具有独立承担民事责任能力的法人或其他组织。企业法人应提供合法有效的标识有统一社会信用代码的营业执照；事业法人应提供事业单位法人证书；其他组织应提供合法登记证明文件；</w:t>
      </w:r>
    </w:p>
    <w:p w14:paraId="29E56838">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（2）财务状况报告：提供2023年或2024年经审计的财务报告或开标前三个月内开户银行开具的资信证明；</w:t>
      </w:r>
    </w:p>
    <w:p w14:paraId="7E2742B1">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（3）税收缴纳证明：提供2024年10月至今已缴纳的至少一个月的纳税证明或完税证明（任意税种），依法免税的单位应提供相关证明材料；</w:t>
      </w:r>
    </w:p>
    <w:p w14:paraId="3B86C343">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（4）社会保障资金缴纳证明：提供2024年10月至今已缴存的至少一个月的社会保障资金缴存单据或社保机构开具的社会保险参保缴费情况证明，依法不需要缴纳社会保障资金的单位应提供相关证明材料；</w:t>
      </w:r>
    </w:p>
    <w:p w14:paraId="2C942C94">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（5）提供具有履行本合同所必需的设备和专业技术能力的声明；</w:t>
      </w:r>
    </w:p>
    <w:p w14:paraId="135E720C">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（6）参加本次政府采购活动前3年内在经营活动中没有重大违纪，以及未被列入失信被执行人、重大税收违法失信主体、政府采购严重违法失信行为记录名单的书面声明；</w:t>
      </w:r>
    </w:p>
    <w:p w14:paraId="1EE534A4">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7）投标单位应授权合法的人员参加投标全过程，其中法定代表人直接参加投标的，须出具法人身份证，并与营业执照上信息一致。法定代表人授权代表参加投标的，须出具法定代表人授权书及授权代表身份证；</w:t>
      </w:r>
    </w:p>
    <w:p w14:paraId="4EC70ACB">
      <w:pPr>
        <w:widowControl w:val="0"/>
        <w:autoSpaceDE/>
        <w:autoSpaceDN/>
        <w:adjustRightInd w:val="0"/>
        <w:spacing w:line="360" w:lineRule="auto"/>
        <w:ind w:firstLine="480" w:firstLineChars="2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（8）投标单位负责人不得为同一人或者存在控股、管理关系。</w:t>
      </w:r>
    </w:p>
    <w:p w14:paraId="7FBEA382">
      <w:pPr>
        <w:widowControl w:val="0"/>
        <w:autoSpaceDE/>
        <w:autoSpaceDN/>
        <w:adjustRightInd w:val="0"/>
        <w:spacing w:line="360" w:lineRule="auto"/>
        <w:jc w:val="both"/>
        <w:rPr>
          <w:rFonts w:ascii="宋体" w:hAnsi="宋体" w:eastAsia="宋体" w:cs="宋体"/>
          <w:b/>
          <w:bCs/>
          <w:color w:val="000000"/>
          <w:sz w:val="24"/>
          <w:szCs w:val="24"/>
          <w:highlight w:val="none"/>
          <w:lang w:val="en-US" w:eastAsia="zh-CN" w:bidi="ar-SA"/>
        </w:rPr>
      </w:pPr>
      <w:bookmarkStart w:id="2" w:name="_Toc445407251"/>
      <w:bookmarkStart w:id="3" w:name="_Toc534656414"/>
      <w:bookmarkStart w:id="4" w:name="_Toc533363235"/>
      <w:bookmarkStart w:id="5" w:name="_Toc533363262"/>
      <w:bookmarkStart w:id="6" w:name="_Toc100219613"/>
      <w:bookmarkStart w:id="7" w:name="_Toc498349068"/>
      <w:bookmarkStart w:id="8" w:name="_Toc97563329"/>
      <w:bookmarkStart w:id="9" w:name="_Toc534656409"/>
      <w:r>
        <w:rPr>
          <w:rFonts w:hint="eastAsia" w:ascii="宋体" w:hAnsi="宋体" w:eastAsia="宋体" w:cs="宋体"/>
          <w:b/>
          <w:bCs/>
          <w:color w:val="000000"/>
          <w:sz w:val="24"/>
          <w:szCs w:val="24"/>
          <w:highlight w:val="none"/>
          <w:lang w:val="en-US" w:eastAsia="zh-CN" w:bidi="ar-SA"/>
        </w:rPr>
        <w:t>三、获取招标文件</w:t>
      </w:r>
    </w:p>
    <w:p w14:paraId="03DB2A25">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时间：2025年03月27日至2025年04月0</w:t>
      </w:r>
      <w:bookmarkStart w:id="13" w:name="_GoBack"/>
      <w:bookmarkEnd w:id="13"/>
      <w:r>
        <w:rPr>
          <w:rFonts w:hint="eastAsia" w:ascii="宋体" w:hAnsi="宋体" w:eastAsia="宋体" w:cs="宋体"/>
          <w:color w:val="000000"/>
          <w:sz w:val="24"/>
          <w:szCs w:val="24"/>
          <w:highlight w:val="none"/>
          <w:lang w:val="en-US" w:eastAsia="zh-CN" w:bidi="ar-SA"/>
        </w:rPr>
        <w:t>2日，每天上午00：00：00至12：00：00，下午12：00：00至23：59：59（北京时间）</w:t>
      </w:r>
    </w:p>
    <w:p w14:paraId="37123D36">
      <w:pPr>
        <w:widowControl w:val="0"/>
        <w:autoSpaceDE/>
        <w:autoSpaceDN/>
        <w:adjustRightInd w:val="0"/>
        <w:spacing w:line="360" w:lineRule="auto"/>
        <w:ind w:firstLine="480" w:firstLineChars="200"/>
        <w:jc w:val="both"/>
        <w:rPr>
          <w:rFonts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地点：全国公共资源交易平台（陕西省·西安市）【首页〉电子交易平台〉陕西政府采购交易系统〉企业端】</w:t>
      </w:r>
    </w:p>
    <w:p w14:paraId="2FDC13B7">
      <w:pPr>
        <w:widowControl w:val="0"/>
        <w:autoSpaceDE/>
        <w:autoSpaceDN/>
        <w:adjustRightInd w:val="0"/>
        <w:spacing w:line="360" w:lineRule="auto"/>
        <w:ind w:firstLine="480" w:firstLineChars="200"/>
        <w:jc w:val="both"/>
        <w:rPr>
          <w:rFonts w:ascii="宋体" w:hAnsi="宋体" w:eastAsia="宋体" w:cs="宋体"/>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方</w:t>
      </w:r>
      <w:r>
        <w:rPr>
          <w:rFonts w:hint="eastAsia" w:ascii="宋体" w:hAnsi="宋体" w:eastAsia="宋体" w:cs="宋体"/>
          <w:sz w:val="24"/>
          <w:szCs w:val="24"/>
          <w:highlight w:val="none"/>
          <w:lang w:val="en-US" w:eastAsia="zh-CN" w:bidi="ar-SA"/>
        </w:rPr>
        <w:t>式：在线获取</w:t>
      </w:r>
    </w:p>
    <w:p w14:paraId="03685617">
      <w:pPr>
        <w:widowControl w:val="0"/>
        <w:autoSpaceDE/>
        <w:autoSpaceDN/>
        <w:adjustRightInd w:val="0"/>
        <w:spacing w:line="360" w:lineRule="auto"/>
        <w:ind w:firstLine="480" w:firstLineChars="200"/>
        <w:jc w:val="both"/>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售价：0元</w:t>
      </w:r>
    </w:p>
    <w:p w14:paraId="6931954E">
      <w:pPr>
        <w:widowControl w:val="0"/>
        <w:autoSpaceDE/>
        <w:autoSpaceDN/>
        <w:adjustRightInd w:val="0"/>
        <w:spacing w:line="360" w:lineRule="auto"/>
        <w:jc w:val="both"/>
        <w:rPr>
          <w:rFonts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四、提交投标文件截止时间、</w:t>
      </w:r>
      <w:r>
        <w:rPr>
          <w:rFonts w:hint="eastAsia" w:ascii="Times New Roman" w:hAnsi="Times New Roman" w:eastAsia="宋体" w:cs="Times New Roman"/>
          <w:b/>
          <w:bCs/>
          <w:sz w:val="24"/>
          <w:szCs w:val="24"/>
          <w:highlight w:val="none"/>
          <w:shd w:val="clear" w:color="auto" w:fill="FFFFFF"/>
          <w:lang w:val="en-US" w:eastAsia="zh-CN" w:bidi="ar-SA"/>
        </w:rPr>
        <w:t>开标时间和地点</w:t>
      </w:r>
    </w:p>
    <w:p w14:paraId="69C2E7C9">
      <w:pPr>
        <w:widowControl w:val="0"/>
        <w:autoSpaceDE/>
        <w:autoSpaceDN/>
        <w:adjustRightInd w:val="0"/>
        <w:spacing w:line="360" w:lineRule="auto"/>
        <w:ind w:firstLine="480" w:firstLineChars="200"/>
        <w:jc w:val="both"/>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时间：2025年04月16日09时30分00秒（北京时间）</w:t>
      </w:r>
    </w:p>
    <w:p w14:paraId="73403EE0">
      <w:pPr>
        <w:widowControl w:val="0"/>
        <w:autoSpaceDE/>
        <w:autoSpaceDN/>
        <w:adjustRightInd w:val="0"/>
        <w:spacing w:line="360" w:lineRule="auto"/>
        <w:ind w:firstLine="480" w:firstLineChars="200"/>
        <w:jc w:val="both"/>
        <w:rPr>
          <w:rFonts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提交投标文件地点：全国公共资源交易平台（陕西省·西安市）【首页〉电子交易平台〉陕西政府采购交易系统〉企业端】电子上传文件提交</w:t>
      </w:r>
    </w:p>
    <w:p w14:paraId="35B53BF8">
      <w:pPr>
        <w:widowControl w:val="0"/>
        <w:autoSpaceDE/>
        <w:autoSpaceDN/>
        <w:adjustRightInd w:val="0"/>
        <w:spacing w:line="360" w:lineRule="auto"/>
        <w:ind w:firstLine="480" w:firstLineChars="200"/>
        <w:jc w:val="both"/>
        <w:rPr>
          <w:rFonts w:hint="default"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开标地点：全国公共资源交易平台（陕西省/西安市）【首页〉不见面开标】不见面开标大厅。</w:t>
      </w:r>
    </w:p>
    <w:p w14:paraId="305AB901">
      <w:pPr>
        <w:widowControl w:val="0"/>
        <w:spacing w:line="360" w:lineRule="auto"/>
        <w:jc w:val="both"/>
        <w:rPr>
          <w:rFonts w:ascii="宋体" w:hAnsi="宋体" w:eastAsia="宋体" w:cs="宋体"/>
          <w:b/>
          <w:kern w:val="2"/>
          <w:sz w:val="24"/>
          <w:highlight w:val="none"/>
        </w:rPr>
      </w:pPr>
      <w:r>
        <w:rPr>
          <w:rFonts w:hint="eastAsia" w:ascii="宋体" w:hAnsi="宋体" w:eastAsia="宋体" w:cs="宋体"/>
          <w:b/>
          <w:kern w:val="2"/>
          <w:sz w:val="24"/>
          <w:highlight w:val="none"/>
          <w:shd w:val="clear" w:color="auto" w:fill="FFFFFF"/>
        </w:rPr>
        <w:t>五、公告期限</w:t>
      </w:r>
    </w:p>
    <w:p w14:paraId="10543012">
      <w:pPr>
        <w:widowControl/>
        <w:spacing w:line="360" w:lineRule="auto"/>
        <w:ind w:firstLine="420"/>
        <w:jc w:val="left"/>
        <w:rPr>
          <w:rFonts w:ascii="宋体" w:hAnsi="宋体" w:eastAsia="宋体" w:cs="宋体"/>
          <w:kern w:val="0"/>
          <w:sz w:val="24"/>
          <w:highlight w:val="none"/>
        </w:rPr>
      </w:pPr>
      <w:r>
        <w:rPr>
          <w:rFonts w:hint="eastAsia" w:ascii="宋体" w:hAnsi="宋体" w:eastAsia="宋体" w:cs="宋体"/>
          <w:kern w:val="0"/>
          <w:sz w:val="24"/>
          <w:highlight w:val="none"/>
          <w:shd w:val="clear" w:color="auto" w:fill="FFFFFF"/>
        </w:rPr>
        <w:t>自本公告发布之日起5个工作日。</w:t>
      </w:r>
    </w:p>
    <w:p w14:paraId="3BD714D0">
      <w:pPr>
        <w:widowControl/>
        <w:spacing w:line="360" w:lineRule="auto"/>
        <w:jc w:val="left"/>
        <w:rPr>
          <w:rFonts w:ascii="宋体" w:hAnsi="宋体" w:eastAsia="宋体" w:cs="宋体"/>
          <w:b/>
          <w:kern w:val="0"/>
          <w:sz w:val="24"/>
          <w:highlight w:val="none"/>
        </w:rPr>
      </w:pPr>
      <w:r>
        <w:rPr>
          <w:rFonts w:hint="eastAsia" w:ascii="宋体" w:hAnsi="宋体" w:eastAsia="宋体" w:cs="宋体"/>
          <w:b/>
          <w:kern w:val="0"/>
          <w:sz w:val="24"/>
          <w:highlight w:val="none"/>
          <w:shd w:val="clear" w:color="auto" w:fill="FFFFFF"/>
        </w:rPr>
        <w:t>六、其他补充事宜</w:t>
      </w:r>
    </w:p>
    <w:p w14:paraId="7CA5ECC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1.投标人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14:paraId="586A29C6">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2.办理CA认证：电子交易平台现已接入陕西 CA、深圳 CA、西部 CA、北京CA四家数字证书公司，各投标人在交易过程中登录系统、加密/解密投标文件、文件签章等均可使用上述四家CA公司签发的数字证书。办理须知及所需资料详见：http：//www.sxggzyjy.cn/fwzn/004003/20220701/6972fe02-f996-4928-951e-545dab02e53c.html。</w:t>
      </w:r>
    </w:p>
    <w:p w14:paraId="0B72717B">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3.请投标人务必及时下载项目招标文件并做好备份，否则会影响投标文件编制及后续投标活动。</w:t>
      </w:r>
    </w:p>
    <w:p w14:paraId="4EB4FD6A">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4.获取招标文件方式：在招标文件获取时间内打开【全国公共资源交易平台（陕西省·西安市）】网站（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587805C8">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5.提交投标文件截止时间前，投标人应随时留意【陕西省政府采购网】、【全国公共资源交易平台（陕西省·西安市）】上可能发布的变更公告。若变更公告中明确注明本项目提供有变更文件的，投标人应登录企业端后，从〖项目流程〉项目管理〉答疑文件下载〗获取更新后的电子招标文件（*.SXSCF），使用旧版电子招标文件制作的电子投标文件（*.SXSTF），系统将拒绝接收。</w:t>
      </w:r>
    </w:p>
    <w:p w14:paraId="6B109319">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6.提交投标文件的方式：从全国公共资源交易平台（陕西省·西安市）〖首页〉电子交易平台〉陕西政府采购交易系统〉企业端〗登录，登录后切换到〖我的项目〗模块，依次点选〖项目流程〉项目管理〉上传响应文件〗上传加密后的电子投标文件（*.SXSTF），逾期提交的，系统将拒绝接收。</w:t>
      </w:r>
    </w:p>
    <w:p w14:paraId="386D8E28">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7.本项目采用“不见面开标”形式，投标人可登录全国公共资源交易平台（陕西省·西安市）网站〖首页〉不见面开标〗系统，在线参加开标过程。操作手册详见〖首页〉服务指南〉下载专区〗中的《西安公共资源交易不见面开标大厅投标人操作手册》。</w:t>
      </w:r>
    </w:p>
    <w:p w14:paraId="4766730C">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8.按照陕西省财政厅《关于政府采购投标人注册登记有关事项的通知》中的要求，投标人应通过陕西省政府采购网（http：//www.ccgp-shaanxi.gov.cn/）注册登记，加入陕西省政府采购投标人库。</w:t>
      </w:r>
    </w:p>
    <w:p w14:paraId="0165A1FF">
      <w:pPr>
        <w:widowControl w:val="0"/>
        <w:spacing w:line="360" w:lineRule="auto"/>
        <w:ind w:firstLine="480" w:firstLineChars="200"/>
        <w:jc w:val="both"/>
        <w:rPr>
          <w:rFonts w:hint="eastAsia" w:ascii="宋体" w:hAnsi="宋体" w:eastAsia="宋体" w:cs="宋体"/>
          <w:kern w:val="2"/>
          <w:sz w:val="24"/>
          <w:highlight w:val="none"/>
        </w:rPr>
      </w:pPr>
      <w:r>
        <w:rPr>
          <w:rFonts w:hint="eastAsia" w:ascii="宋体" w:hAnsi="宋体" w:eastAsia="宋体" w:cs="宋体"/>
          <w:kern w:val="2"/>
          <w:sz w:val="24"/>
          <w:highlight w:val="none"/>
          <w:lang w:val="en-US" w:eastAsia="zh-CN"/>
        </w:rPr>
        <w:t>9.其他事项见本项目招标文件。</w:t>
      </w:r>
    </w:p>
    <w:p w14:paraId="26033BB8">
      <w:pPr>
        <w:widowControl/>
        <w:spacing w:line="360" w:lineRule="auto"/>
        <w:jc w:val="left"/>
        <w:rPr>
          <w:rFonts w:ascii="宋体" w:hAnsi="宋体" w:eastAsia="宋体" w:cs="宋体"/>
          <w:b/>
          <w:kern w:val="0"/>
          <w:sz w:val="24"/>
          <w:highlight w:val="none"/>
        </w:rPr>
      </w:pPr>
      <w:r>
        <w:rPr>
          <w:rFonts w:hint="eastAsia" w:ascii="宋体" w:hAnsi="宋体" w:eastAsia="宋体" w:cs="宋体"/>
          <w:b/>
          <w:kern w:val="0"/>
          <w:sz w:val="24"/>
          <w:highlight w:val="none"/>
          <w:shd w:val="clear" w:color="auto" w:fill="FFFFFF"/>
        </w:rPr>
        <w:t>七、凡对本次招标提出询问，请按以下方式联系。</w:t>
      </w:r>
    </w:p>
    <w:p w14:paraId="1E5DDB0A">
      <w:pPr>
        <w:widowControl/>
        <w:spacing w:line="360" w:lineRule="auto"/>
        <w:ind w:firstLine="420"/>
        <w:jc w:val="left"/>
        <w:rPr>
          <w:rFonts w:ascii="宋体" w:hAnsi="宋体" w:eastAsia="宋体" w:cs="宋体"/>
          <w:kern w:val="0"/>
          <w:sz w:val="24"/>
          <w:highlight w:val="none"/>
        </w:rPr>
      </w:pPr>
      <w:r>
        <w:rPr>
          <w:rFonts w:hint="eastAsia" w:ascii="宋体" w:hAnsi="宋体" w:eastAsia="宋体" w:cs="宋体"/>
          <w:kern w:val="0"/>
          <w:sz w:val="24"/>
          <w:highlight w:val="none"/>
          <w:shd w:val="clear" w:color="auto" w:fill="FFFFFF"/>
        </w:rPr>
        <w:t>1.采购人信息：</w:t>
      </w:r>
    </w:p>
    <w:p w14:paraId="0483C354">
      <w:pPr>
        <w:widowControl/>
        <w:spacing w:line="360" w:lineRule="auto"/>
        <w:ind w:firstLine="720" w:firstLineChars="300"/>
        <w:jc w:val="left"/>
        <w:rPr>
          <w:rFonts w:ascii="宋体" w:hAnsi="宋体" w:eastAsia="宋体" w:cs="宋体"/>
          <w:kern w:val="0"/>
          <w:sz w:val="24"/>
        </w:rPr>
      </w:pPr>
      <w:r>
        <w:rPr>
          <w:rFonts w:hint="eastAsia" w:ascii="宋体" w:hAnsi="宋体" w:eastAsia="宋体" w:cs="宋体"/>
          <w:kern w:val="0"/>
          <w:sz w:val="24"/>
          <w:shd w:val="clear" w:color="auto" w:fill="FFFFFF"/>
        </w:rPr>
        <w:t>名称：</w:t>
      </w:r>
      <w:r>
        <w:rPr>
          <w:rFonts w:hint="eastAsia" w:ascii="宋体" w:hAnsi="宋体" w:eastAsia="宋体" w:cs="宋体"/>
          <w:kern w:val="0"/>
          <w:sz w:val="24"/>
          <w:shd w:val="clear" w:color="auto" w:fill="FFFFFF"/>
          <w:lang w:val="en-US" w:eastAsia="zh-CN"/>
        </w:rPr>
        <w:t>西安经济技术开发区教育体育局</w:t>
      </w:r>
    </w:p>
    <w:p w14:paraId="1F0F5F8B">
      <w:pPr>
        <w:widowControl/>
        <w:spacing w:line="360" w:lineRule="auto"/>
        <w:ind w:firstLine="720" w:firstLineChars="300"/>
        <w:jc w:val="left"/>
        <w:rPr>
          <w:rFonts w:hint="eastAsia" w:ascii="宋体" w:hAnsi="宋体" w:eastAsia="宋体" w:cs="宋体"/>
          <w:kern w:val="0"/>
          <w:sz w:val="24"/>
          <w:lang w:eastAsia="zh-CN"/>
        </w:rPr>
      </w:pPr>
      <w:r>
        <w:rPr>
          <w:rFonts w:hint="eastAsia" w:ascii="宋体" w:hAnsi="宋体" w:eastAsia="宋体" w:cs="宋体"/>
          <w:kern w:val="0"/>
          <w:sz w:val="24"/>
          <w:shd w:val="clear" w:color="auto" w:fill="FFFFFF"/>
        </w:rPr>
        <w:t>地址：</w:t>
      </w:r>
      <w:r>
        <w:rPr>
          <w:rFonts w:hint="eastAsia" w:ascii="宋体" w:hAnsi="宋体" w:eastAsia="宋体" w:cs="宋体"/>
          <w:kern w:val="0"/>
          <w:sz w:val="24"/>
          <w:shd w:val="clear" w:color="auto" w:fill="FFFFFF"/>
          <w:lang w:eastAsia="zh-CN"/>
        </w:rPr>
        <w:t>西安经济技术开发区凤城十二路与明光路凯瑞F座</w:t>
      </w:r>
    </w:p>
    <w:p w14:paraId="67304D90">
      <w:pPr>
        <w:widowControl/>
        <w:spacing w:line="360" w:lineRule="auto"/>
        <w:ind w:firstLine="720" w:firstLineChars="300"/>
        <w:jc w:val="left"/>
        <w:rPr>
          <w:rFonts w:hint="eastAsia" w:ascii="宋体" w:hAnsi="宋体" w:eastAsia="宋体" w:cs="宋体"/>
          <w:kern w:val="0"/>
          <w:sz w:val="24"/>
          <w:lang w:val="en-US" w:eastAsia="zh-CN"/>
        </w:rPr>
      </w:pPr>
      <w:r>
        <w:rPr>
          <w:rFonts w:hint="eastAsia" w:ascii="宋体" w:hAnsi="宋体" w:eastAsia="宋体" w:cs="宋体"/>
          <w:kern w:val="0"/>
          <w:sz w:val="24"/>
          <w:shd w:val="clear" w:color="auto" w:fill="FFFFFF"/>
        </w:rPr>
        <w:t>联系方式：</w:t>
      </w:r>
      <w:r>
        <w:rPr>
          <w:rFonts w:hint="eastAsia" w:ascii="宋体" w:hAnsi="宋体" w:eastAsia="宋体" w:cs="宋体"/>
          <w:kern w:val="0"/>
          <w:sz w:val="24"/>
          <w:shd w:val="clear" w:color="auto" w:fill="FFFFFF"/>
          <w:lang w:eastAsia="zh-CN"/>
        </w:rPr>
        <w:t>029-86516508</w:t>
      </w:r>
    </w:p>
    <w:p w14:paraId="45C32298">
      <w:pPr>
        <w:widowControl/>
        <w:spacing w:line="360" w:lineRule="auto"/>
        <w:ind w:firstLine="420"/>
        <w:jc w:val="left"/>
        <w:rPr>
          <w:rFonts w:ascii="宋体" w:hAnsi="宋体" w:eastAsia="宋体" w:cs="宋体"/>
          <w:kern w:val="0"/>
          <w:sz w:val="24"/>
        </w:rPr>
      </w:pPr>
      <w:r>
        <w:rPr>
          <w:rFonts w:hint="eastAsia" w:ascii="宋体" w:hAnsi="宋体" w:eastAsia="宋体" w:cs="宋体"/>
          <w:kern w:val="0"/>
          <w:sz w:val="24"/>
        </w:rPr>
        <w:t>2.采购代理机构信息</w:t>
      </w:r>
    </w:p>
    <w:p w14:paraId="27BA6310">
      <w:pPr>
        <w:widowControl/>
        <w:spacing w:line="360" w:lineRule="auto"/>
        <w:ind w:firstLine="720" w:firstLineChars="300"/>
        <w:jc w:val="left"/>
        <w:rPr>
          <w:rFonts w:ascii="宋体" w:hAnsi="宋体" w:eastAsia="宋体" w:cs="宋体"/>
          <w:kern w:val="0"/>
          <w:sz w:val="24"/>
        </w:rPr>
      </w:pPr>
      <w:r>
        <w:rPr>
          <w:rFonts w:hint="eastAsia" w:ascii="宋体" w:hAnsi="宋体" w:eastAsia="宋体" w:cs="宋体"/>
          <w:kern w:val="0"/>
          <w:sz w:val="24"/>
        </w:rPr>
        <w:t>名称：陕西信鹏项目管理有限公司</w:t>
      </w:r>
    </w:p>
    <w:p w14:paraId="04C676EF">
      <w:pPr>
        <w:widowControl/>
        <w:spacing w:line="360" w:lineRule="auto"/>
        <w:ind w:firstLine="720" w:firstLineChars="300"/>
        <w:jc w:val="left"/>
        <w:rPr>
          <w:rFonts w:hint="eastAsia" w:ascii="宋体" w:hAnsi="宋体" w:eastAsia="宋体" w:cs="宋体"/>
          <w:kern w:val="0"/>
          <w:sz w:val="24"/>
          <w:lang w:eastAsia="zh-CN"/>
        </w:rPr>
      </w:pPr>
      <w:r>
        <w:rPr>
          <w:rFonts w:hint="eastAsia" w:ascii="宋体" w:hAnsi="宋体" w:eastAsia="宋体" w:cs="宋体"/>
          <w:kern w:val="0"/>
          <w:sz w:val="24"/>
        </w:rPr>
        <w:t>地址：</w:t>
      </w:r>
      <w:r>
        <w:rPr>
          <w:rFonts w:hint="eastAsia" w:ascii="宋体" w:hAnsi="宋体" w:eastAsia="宋体" w:cs="宋体"/>
          <w:kern w:val="0"/>
          <w:sz w:val="24"/>
          <w:lang w:eastAsia="zh-CN"/>
        </w:rPr>
        <w:t>西安市经济技术开发区凤城十二路凯瑞B座906室</w:t>
      </w:r>
    </w:p>
    <w:p w14:paraId="2C7305D6">
      <w:pPr>
        <w:widowControl/>
        <w:spacing w:line="360" w:lineRule="auto"/>
        <w:ind w:firstLine="720" w:firstLineChars="300"/>
        <w:jc w:val="left"/>
        <w:rPr>
          <w:rFonts w:hint="default" w:ascii="宋体" w:hAnsi="宋体" w:eastAsia="宋体" w:cs="宋体"/>
          <w:kern w:val="0"/>
          <w:sz w:val="24"/>
          <w:lang w:val="en-US" w:eastAsia="zh-CN"/>
        </w:rPr>
      </w:pPr>
      <w:r>
        <w:rPr>
          <w:rFonts w:hint="eastAsia" w:ascii="宋体" w:hAnsi="宋体" w:eastAsia="宋体" w:cs="宋体"/>
          <w:kern w:val="0"/>
          <w:sz w:val="24"/>
        </w:rPr>
        <w:t>联系方式：</w:t>
      </w:r>
      <w:r>
        <w:rPr>
          <w:rFonts w:hint="eastAsia" w:ascii="宋体" w:hAnsi="宋体" w:eastAsia="宋体" w:cs="宋体"/>
          <w:kern w:val="0"/>
          <w:sz w:val="24"/>
          <w:lang w:val="en-US" w:eastAsia="zh-CN"/>
        </w:rPr>
        <w:t>18710794335</w:t>
      </w:r>
    </w:p>
    <w:p w14:paraId="3378F31F">
      <w:pPr>
        <w:widowControl/>
        <w:spacing w:line="360" w:lineRule="auto"/>
        <w:ind w:firstLine="420"/>
        <w:jc w:val="left"/>
        <w:rPr>
          <w:rFonts w:ascii="宋体" w:hAnsi="宋体" w:eastAsia="宋体" w:cs="宋体"/>
          <w:kern w:val="0"/>
          <w:sz w:val="24"/>
        </w:rPr>
      </w:pPr>
      <w:r>
        <w:rPr>
          <w:rFonts w:hint="eastAsia" w:ascii="宋体" w:hAnsi="宋体" w:eastAsia="宋体" w:cs="宋体"/>
          <w:kern w:val="0"/>
          <w:sz w:val="24"/>
        </w:rPr>
        <w:t>3.项目联系人</w:t>
      </w:r>
    </w:p>
    <w:p w14:paraId="1BD687FD">
      <w:pPr>
        <w:widowControl/>
        <w:spacing w:line="360" w:lineRule="auto"/>
        <w:ind w:firstLine="720" w:firstLineChars="300"/>
        <w:jc w:val="left"/>
        <w:rPr>
          <w:rFonts w:ascii="宋体" w:hAnsi="宋体" w:eastAsia="宋体" w:cs="宋体"/>
          <w:kern w:val="0"/>
          <w:sz w:val="24"/>
        </w:rPr>
      </w:pPr>
      <w:r>
        <w:rPr>
          <w:rFonts w:hint="eastAsia" w:ascii="宋体" w:hAnsi="宋体" w:eastAsia="宋体" w:cs="宋体"/>
          <w:kern w:val="0"/>
          <w:sz w:val="24"/>
        </w:rPr>
        <w:t>项目联系人：王龙、孙媛春</w:t>
      </w:r>
    </w:p>
    <w:p w14:paraId="5461F1ED">
      <w:pPr>
        <w:widowControl/>
        <w:spacing w:line="360" w:lineRule="auto"/>
        <w:ind w:firstLine="720" w:firstLineChars="300"/>
        <w:jc w:val="both"/>
        <w:rPr>
          <w:rFonts w:ascii="宋体" w:hAnsi="宋体" w:eastAsia="宋体" w:cs="宋体"/>
          <w:kern w:val="0"/>
          <w:sz w:val="24"/>
        </w:rPr>
      </w:pPr>
      <w:r>
        <w:rPr>
          <w:rFonts w:hint="eastAsia" w:ascii="宋体" w:hAnsi="宋体" w:eastAsia="宋体" w:cs="宋体"/>
          <w:kern w:val="0"/>
          <w:sz w:val="24"/>
        </w:rPr>
        <w:t>电话：</w:t>
      </w:r>
      <w:r>
        <w:rPr>
          <w:rFonts w:hint="eastAsia" w:ascii="宋体" w:hAnsi="宋体" w:eastAsia="宋体" w:cs="宋体"/>
          <w:kern w:val="0"/>
          <w:sz w:val="24"/>
          <w:lang w:val="en-US" w:eastAsia="zh-CN"/>
        </w:rPr>
        <w:t>18710794335</w:t>
      </w:r>
    </w:p>
    <w:p w14:paraId="19857650">
      <w:pPr>
        <w:rPr>
          <w:rFonts w:hint="eastAsia" w:ascii="宋体" w:hAnsi="宋体" w:eastAsia="宋体" w:cs="宋体"/>
        </w:rPr>
      </w:pPr>
      <w:r>
        <w:rPr>
          <w:rFonts w:hint="eastAsia" w:ascii="宋体" w:hAnsi="宋体" w:eastAsia="宋体" w:cs="宋体"/>
        </w:rPr>
        <w:br w:type="page"/>
      </w:r>
    </w:p>
    <w:p w14:paraId="0D752287">
      <w:pPr>
        <w:pStyle w:val="3"/>
        <w:spacing w:before="210" w:after="210"/>
        <w:rPr>
          <w:rFonts w:hint="eastAsia" w:ascii="宋体" w:hAnsi="宋体" w:eastAsia="宋体" w:cs="宋体"/>
        </w:rPr>
      </w:pPr>
      <w:r>
        <w:rPr>
          <w:rFonts w:hint="eastAsia" w:ascii="宋体" w:hAnsi="宋体" w:eastAsia="宋体" w:cs="宋体"/>
        </w:rPr>
        <w:t>第二章　</w:t>
      </w:r>
      <w:r>
        <w:rPr>
          <w:rFonts w:hint="eastAsia" w:ascii="宋体" w:hAnsi="宋体" w:eastAsia="宋体" w:cs="宋体"/>
          <w:lang w:eastAsia="zh-CN"/>
        </w:rPr>
        <w:t>投标人</w:t>
      </w:r>
      <w:r>
        <w:rPr>
          <w:rFonts w:hint="eastAsia" w:ascii="宋体" w:hAnsi="宋体" w:eastAsia="宋体" w:cs="宋体"/>
        </w:rPr>
        <w:t>须知</w:t>
      </w:r>
      <w:bookmarkEnd w:id="2"/>
      <w:bookmarkEnd w:id="3"/>
      <w:bookmarkEnd w:id="4"/>
      <w:bookmarkEnd w:id="5"/>
      <w:bookmarkEnd w:id="6"/>
      <w:bookmarkEnd w:id="7"/>
      <w:bookmarkEnd w:id="8"/>
      <w:bookmarkEnd w:id="9"/>
    </w:p>
    <w:p w14:paraId="3A7A2BF9">
      <w:pPr>
        <w:jc w:val="center"/>
        <w:outlineLvl w:val="1"/>
        <w:rPr>
          <w:rFonts w:hint="eastAsia" w:ascii="宋体" w:hAnsi="宋体" w:eastAsia="宋体" w:cs="宋体"/>
          <w:color w:val="auto"/>
          <w:lang w:val="en-US" w:eastAsia="zh-CN"/>
        </w:rPr>
      </w:pPr>
      <w:r>
        <w:rPr>
          <w:rFonts w:hint="eastAsia" w:ascii="宋体" w:hAnsi="宋体" w:eastAsia="宋体" w:cs="宋体"/>
          <w:color w:val="auto"/>
          <w:sz w:val="32"/>
          <w:szCs w:val="32"/>
          <w:lang w:val="en-US" w:eastAsia="zh-CN"/>
        </w:rPr>
        <w:t>前附表</w:t>
      </w:r>
    </w:p>
    <w:tbl>
      <w:tblPr>
        <w:tblStyle w:val="33"/>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05"/>
        <w:gridCol w:w="5771"/>
      </w:tblGrid>
      <w:tr w14:paraId="4BC89D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14:paraId="6F016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sz w:val="21"/>
              </w:rPr>
            </w:pPr>
            <w:r>
              <w:rPr>
                <w:rFonts w:hint="eastAsia" w:ascii="宋体" w:hAnsi="宋体" w:eastAsia="宋体" w:cs="宋体"/>
                <w:b/>
                <w:sz w:val="21"/>
              </w:rPr>
              <w:t>序号</w:t>
            </w:r>
          </w:p>
        </w:tc>
        <w:tc>
          <w:tcPr>
            <w:tcW w:w="2405" w:type="dxa"/>
            <w:tcBorders>
              <w:top w:val="single" w:color="auto" w:sz="12" w:space="0"/>
              <w:bottom w:val="single" w:color="auto" w:sz="2" w:space="0"/>
            </w:tcBorders>
            <w:shd w:val="clear" w:color="auto" w:fill="F1F1F1" w:themeFill="background1" w:themeFillShade="F2"/>
            <w:vAlign w:val="center"/>
          </w:tcPr>
          <w:p w14:paraId="25636C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sz w:val="21"/>
              </w:rPr>
            </w:pPr>
            <w:r>
              <w:rPr>
                <w:rFonts w:hint="eastAsia" w:ascii="宋体" w:hAnsi="宋体" w:eastAsia="宋体" w:cs="宋体"/>
                <w:b/>
                <w:sz w:val="21"/>
              </w:rPr>
              <w:t>内容</w:t>
            </w:r>
          </w:p>
        </w:tc>
        <w:tc>
          <w:tcPr>
            <w:tcW w:w="5771" w:type="dxa"/>
            <w:tcBorders>
              <w:top w:val="single" w:color="auto" w:sz="12" w:space="0"/>
              <w:bottom w:val="single" w:color="auto" w:sz="2" w:space="0"/>
            </w:tcBorders>
            <w:shd w:val="clear" w:color="auto" w:fill="F1F1F1" w:themeFill="background1" w:themeFillShade="F2"/>
            <w:vAlign w:val="center"/>
          </w:tcPr>
          <w:p w14:paraId="28E63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sz w:val="21"/>
              </w:rPr>
            </w:pPr>
            <w:r>
              <w:rPr>
                <w:rFonts w:hint="eastAsia" w:ascii="宋体" w:hAnsi="宋体" w:eastAsia="宋体" w:cs="宋体"/>
                <w:b/>
                <w:sz w:val="21"/>
              </w:rPr>
              <w:t>说明和要求</w:t>
            </w:r>
          </w:p>
        </w:tc>
      </w:tr>
      <w:tr w14:paraId="13FB38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tcBorders>
              <w:top w:val="single" w:color="auto" w:sz="2" w:space="0"/>
            </w:tcBorders>
            <w:shd w:val="clear" w:color="auto" w:fill="auto"/>
            <w:vAlign w:val="center"/>
          </w:tcPr>
          <w:p w14:paraId="0F387CAD">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1</w:t>
            </w:r>
          </w:p>
        </w:tc>
        <w:tc>
          <w:tcPr>
            <w:tcW w:w="2405" w:type="dxa"/>
            <w:tcBorders>
              <w:top w:val="single" w:color="auto" w:sz="2" w:space="0"/>
            </w:tcBorders>
            <w:shd w:val="clear" w:color="auto" w:fill="auto"/>
            <w:vAlign w:val="center"/>
          </w:tcPr>
          <w:p w14:paraId="767C6E13">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项目名称</w:t>
            </w:r>
          </w:p>
        </w:tc>
        <w:tc>
          <w:tcPr>
            <w:tcW w:w="5771" w:type="dxa"/>
            <w:tcBorders>
              <w:top w:val="single" w:color="auto" w:sz="2" w:space="0"/>
            </w:tcBorders>
            <w:shd w:val="clear" w:color="auto" w:fill="auto"/>
            <w:vAlign w:val="center"/>
          </w:tcPr>
          <w:p w14:paraId="67B9AF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lang w:val="en-US" w:eastAsia="zh-CN"/>
              </w:rPr>
              <w:t>经开区2025年直属公办中小学、幼儿园设施设备采购项目（标准化考场）</w:t>
            </w:r>
          </w:p>
        </w:tc>
      </w:tr>
      <w:tr w14:paraId="670932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2E84286C">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2</w:t>
            </w:r>
          </w:p>
        </w:tc>
        <w:tc>
          <w:tcPr>
            <w:tcW w:w="2405" w:type="dxa"/>
            <w:shd w:val="clear" w:color="auto" w:fill="auto"/>
            <w:vAlign w:val="center"/>
          </w:tcPr>
          <w:p w14:paraId="3FE87B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项目编号</w:t>
            </w:r>
          </w:p>
        </w:tc>
        <w:tc>
          <w:tcPr>
            <w:tcW w:w="5771" w:type="dxa"/>
            <w:shd w:val="clear" w:color="auto" w:fill="auto"/>
            <w:vAlign w:val="center"/>
          </w:tcPr>
          <w:p w14:paraId="0DF6FE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sz w:val="21"/>
                <w:lang w:val="en-US" w:eastAsia="zh-CN"/>
              </w:rPr>
            </w:pPr>
            <w:r>
              <w:rPr>
                <w:rFonts w:hint="eastAsia" w:ascii="宋体" w:hAnsi="宋体" w:eastAsia="宋体" w:cs="宋体"/>
                <w:sz w:val="21"/>
                <w:lang w:eastAsia="zh-CN"/>
              </w:rPr>
              <w:t>SXXP-2025-004</w:t>
            </w:r>
          </w:p>
        </w:tc>
      </w:tr>
      <w:tr w14:paraId="52EDF17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4A83A5CF">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3</w:t>
            </w:r>
          </w:p>
        </w:tc>
        <w:tc>
          <w:tcPr>
            <w:tcW w:w="2405" w:type="dxa"/>
            <w:shd w:val="clear" w:color="auto" w:fill="auto"/>
            <w:vAlign w:val="center"/>
          </w:tcPr>
          <w:p w14:paraId="7B8E15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预算执行书编号</w:t>
            </w:r>
          </w:p>
        </w:tc>
        <w:tc>
          <w:tcPr>
            <w:tcW w:w="5771" w:type="dxa"/>
            <w:shd w:val="clear" w:color="auto" w:fill="auto"/>
            <w:vAlign w:val="center"/>
          </w:tcPr>
          <w:p w14:paraId="2FAEF2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sz w:val="21"/>
                <w:highlight w:val="none"/>
                <w:lang w:val="en-US" w:eastAsia="zh-CN"/>
              </w:rPr>
            </w:pPr>
            <w:r>
              <w:rPr>
                <w:rFonts w:hint="default" w:ascii="宋体" w:hAnsi="宋体" w:eastAsia="宋体" w:cs="宋体"/>
                <w:sz w:val="21"/>
                <w:highlight w:val="none"/>
                <w:lang w:val="en-US" w:eastAsia="zh-CN"/>
              </w:rPr>
              <w:t>ZCBN-西安市经开区-2025-00033</w:t>
            </w:r>
          </w:p>
        </w:tc>
      </w:tr>
      <w:tr w14:paraId="488359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222423B">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4</w:t>
            </w:r>
          </w:p>
        </w:tc>
        <w:tc>
          <w:tcPr>
            <w:tcW w:w="2405" w:type="dxa"/>
            <w:shd w:val="clear" w:color="auto" w:fill="auto"/>
            <w:vAlign w:val="center"/>
          </w:tcPr>
          <w:p w14:paraId="2AB77F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是否预留份额专门面向中小企业采购</w:t>
            </w:r>
          </w:p>
        </w:tc>
        <w:tc>
          <w:tcPr>
            <w:tcW w:w="5771" w:type="dxa"/>
            <w:shd w:val="clear" w:color="auto" w:fill="auto"/>
            <w:vAlign w:val="center"/>
          </w:tcPr>
          <w:p w14:paraId="237961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rPr>
            </w:pPr>
            <w:sdt>
              <w:sdtPr>
                <w:rPr>
                  <w:rFonts w:hint="eastAsia" w:ascii="宋体" w:hAnsi="宋体" w:eastAsia="宋体" w:cs="宋体"/>
                  <w:sz w:val="21"/>
                  <w:highlight w:val="none"/>
                </w:rPr>
                <w:id w:val="2139916130"/>
                <w14:checkbox>
                  <w14:checked w14:val="0"/>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 xml:space="preserve">是  </w:t>
            </w:r>
            <w:sdt>
              <w:sdtPr>
                <w:rPr>
                  <w:rFonts w:hint="eastAsia" w:ascii="宋体" w:hAnsi="宋体" w:eastAsia="宋体" w:cs="宋体"/>
                  <w:sz w:val="21"/>
                  <w:highlight w:val="none"/>
                </w:rPr>
                <w:id w:val="-2072024220"/>
                <w14:checkbox>
                  <w14:checked w14:val="1"/>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否</w:t>
            </w:r>
          </w:p>
        </w:tc>
      </w:tr>
      <w:tr w14:paraId="164C890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vMerge w:val="restart"/>
            <w:shd w:val="clear" w:color="auto" w:fill="auto"/>
            <w:vAlign w:val="center"/>
          </w:tcPr>
          <w:p w14:paraId="7B8945D9">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5</w:t>
            </w:r>
          </w:p>
        </w:tc>
        <w:tc>
          <w:tcPr>
            <w:tcW w:w="2405" w:type="dxa"/>
            <w:shd w:val="clear" w:color="auto" w:fill="auto"/>
            <w:vAlign w:val="center"/>
          </w:tcPr>
          <w:p w14:paraId="5F2FDF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预算金额</w:t>
            </w:r>
          </w:p>
        </w:tc>
        <w:tc>
          <w:tcPr>
            <w:tcW w:w="5771" w:type="dxa"/>
            <w:shd w:val="clear" w:color="auto" w:fill="auto"/>
            <w:vAlign w:val="center"/>
          </w:tcPr>
          <w:p w14:paraId="1D7B10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color w:val="auto"/>
                <w:sz w:val="21"/>
                <w:highlight w:val="none"/>
                <w:lang w:val="en-US"/>
              </w:rPr>
            </w:pPr>
            <w:r>
              <w:rPr>
                <w:rFonts w:hint="eastAsia" w:ascii="宋体" w:hAnsi="宋体" w:eastAsia="宋体" w:cs="宋体"/>
                <w:color w:val="auto"/>
                <w:sz w:val="21"/>
                <w:highlight w:val="none"/>
                <w:lang w:val="en-US" w:eastAsia="zh-CN"/>
              </w:rPr>
              <w:t>6307450.00</w:t>
            </w:r>
            <w:r>
              <w:rPr>
                <w:rFonts w:hint="default" w:ascii="宋体" w:hAnsi="宋体" w:eastAsia="宋体" w:cs="宋体"/>
                <w:color w:val="auto"/>
                <w:sz w:val="21"/>
                <w:highlight w:val="none"/>
                <w:lang w:val="en-US"/>
              </w:rPr>
              <w:t>元</w:t>
            </w:r>
          </w:p>
        </w:tc>
      </w:tr>
      <w:tr w14:paraId="519033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vMerge w:val="continue"/>
            <w:shd w:val="clear" w:color="auto" w:fill="auto"/>
            <w:vAlign w:val="center"/>
          </w:tcPr>
          <w:p w14:paraId="5FE18778">
            <w:pPr>
              <w:pStyle w:val="7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p>
        </w:tc>
        <w:tc>
          <w:tcPr>
            <w:tcW w:w="2405" w:type="dxa"/>
            <w:shd w:val="clear" w:color="auto" w:fill="auto"/>
            <w:vAlign w:val="center"/>
          </w:tcPr>
          <w:p w14:paraId="0CF950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最高限价</w:t>
            </w:r>
          </w:p>
        </w:tc>
        <w:tc>
          <w:tcPr>
            <w:tcW w:w="5771" w:type="dxa"/>
            <w:shd w:val="clear" w:color="auto" w:fill="auto"/>
            <w:vAlign w:val="center"/>
          </w:tcPr>
          <w:p w14:paraId="5F3B9E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lang w:val="en-US" w:eastAsia="zh-CN"/>
              </w:rPr>
              <w:t>6307450.00</w:t>
            </w:r>
            <w:r>
              <w:rPr>
                <w:rFonts w:hint="default" w:ascii="宋体" w:hAnsi="宋体" w:eastAsia="宋体" w:cs="宋体"/>
                <w:sz w:val="21"/>
                <w:highlight w:val="none"/>
                <w:lang w:val="en-US" w:eastAsia="zh-CN"/>
              </w:rPr>
              <w:t>元</w:t>
            </w:r>
          </w:p>
        </w:tc>
      </w:tr>
      <w:tr w14:paraId="2D8F4F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7291BD6E">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4"/>
                <w:lang w:val="en-US" w:eastAsia="zh-CN" w:bidi="ar-SA"/>
              </w:rPr>
            </w:pPr>
            <w:r>
              <w:rPr>
                <w:rFonts w:hint="eastAsia" w:ascii="宋体" w:hAnsi="宋体" w:eastAsia="宋体" w:cs="宋体"/>
                <w:sz w:val="21"/>
                <w:lang w:val="en-US" w:eastAsia="zh-CN"/>
              </w:rPr>
              <w:t>6</w:t>
            </w:r>
          </w:p>
        </w:tc>
        <w:tc>
          <w:tcPr>
            <w:tcW w:w="2405" w:type="dxa"/>
            <w:shd w:val="clear" w:color="auto" w:fill="auto"/>
            <w:vAlign w:val="center"/>
          </w:tcPr>
          <w:p w14:paraId="2CD680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核心产品</w:t>
            </w:r>
          </w:p>
        </w:tc>
        <w:tc>
          <w:tcPr>
            <w:tcW w:w="5771" w:type="dxa"/>
            <w:shd w:val="clear" w:color="auto" w:fill="auto"/>
            <w:vAlign w:val="center"/>
          </w:tcPr>
          <w:p w14:paraId="37CFD7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color w:val="auto"/>
                <w:highlight w:val="none"/>
                <w:lang w:val="en-US" w:eastAsia="zh-CN"/>
              </w:rPr>
            </w:pPr>
            <w:r>
              <w:rPr>
                <w:rFonts w:hint="default" w:ascii="宋体" w:hAnsi="宋体" w:eastAsia="宋体" w:cs="宋体"/>
                <w:color w:val="auto"/>
                <w:sz w:val="21"/>
                <w:highlight w:val="none"/>
                <w:lang w:val="en-US" w:eastAsia="zh-CN"/>
              </w:rPr>
              <w:t>标考流媒体网络存储平台</w:t>
            </w:r>
            <w:r>
              <w:rPr>
                <w:rFonts w:hint="eastAsia" w:ascii="宋体" w:hAnsi="宋体" w:eastAsia="宋体" w:cs="宋体"/>
                <w:color w:val="auto"/>
                <w:sz w:val="21"/>
                <w:highlight w:val="none"/>
                <w:lang w:val="en-US" w:eastAsia="zh-CN"/>
              </w:rPr>
              <w:t>、学校级作弊防控服务器、系统服务器</w:t>
            </w:r>
          </w:p>
        </w:tc>
      </w:tr>
      <w:tr w14:paraId="214ED5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18919F9B">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4"/>
                <w:lang w:val="en-US" w:eastAsia="zh-CN" w:bidi="ar-SA"/>
              </w:rPr>
            </w:pPr>
            <w:r>
              <w:rPr>
                <w:rFonts w:hint="eastAsia" w:ascii="宋体" w:hAnsi="宋体" w:eastAsia="宋体" w:cs="宋体"/>
                <w:sz w:val="21"/>
                <w:lang w:val="en-US" w:eastAsia="zh-CN"/>
              </w:rPr>
              <w:t>7</w:t>
            </w:r>
          </w:p>
        </w:tc>
        <w:tc>
          <w:tcPr>
            <w:tcW w:w="2405" w:type="dxa"/>
            <w:shd w:val="clear" w:color="auto" w:fill="auto"/>
            <w:vAlign w:val="center"/>
          </w:tcPr>
          <w:p w14:paraId="21E2DF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是否接受联合体</w:t>
            </w:r>
          </w:p>
        </w:tc>
        <w:tc>
          <w:tcPr>
            <w:tcW w:w="5771" w:type="dxa"/>
            <w:shd w:val="clear" w:color="auto" w:fill="auto"/>
            <w:vAlign w:val="center"/>
          </w:tcPr>
          <w:p w14:paraId="3C107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sdt>
              <w:sdtPr>
                <w:rPr>
                  <w:rFonts w:hint="eastAsia" w:ascii="宋体" w:hAnsi="宋体" w:eastAsia="宋体" w:cs="宋体"/>
                  <w:sz w:val="21"/>
                </w:rPr>
                <w:id w:val="608160193"/>
                <w14:checkbox>
                  <w14:checked w14:val="0"/>
                  <w14:checkedState w14:val="2611" w14:font="MS Gothic"/>
                  <w14:uncheckedState w14:val="2610" w14:font="MS Gothic"/>
                </w14:checkbox>
              </w:sdtPr>
              <w:sdtEndPr>
                <w:rPr>
                  <w:rFonts w:hint="eastAsia" w:ascii="宋体" w:hAnsi="宋体" w:eastAsia="宋体" w:cs="宋体"/>
                  <w:sz w:val="21"/>
                </w:rPr>
              </w:sdtEndPr>
              <w:sdtContent>
                <w:r>
                  <w:rPr>
                    <w:rFonts w:hint="eastAsia" w:ascii="宋体" w:hAnsi="宋体" w:eastAsia="宋体" w:cs="宋体"/>
                    <w:sz w:val="21"/>
                  </w:rPr>
                  <w:t>☐</w:t>
                </w:r>
              </w:sdtContent>
            </w:sdt>
            <w:r>
              <w:rPr>
                <w:rFonts w:hint="eastAsia" w:ascii="宋体" w:hAnsi="宋体" w:eastAsia="宋体" w:cs="宋体"/>
                <w:sz w:val="21"/>
              </w:rPr>
              <w:t xml:space="preserve">是  </w:t>
            </w:r>
            <w:sdt>
              <w:sdtPr>
                <w:rPr>
                  <w:rFonts w:hint="eastAsia" w:ascii="宋体" w:hAnsi="宋体" w:eastAsia="宋体" w:cs="宋体"/>
                  <w:sz w:val="21"/>
                </w:rPr>
                <w:id w:val="1317929335"/>
                <w14:checkbox>
                  <w14:checked w14:val="1"/>
                  <w14:checkedState w14:val="2611" w14:font="MS Gothic"/>
                  <w14:uncheckedState w14:val="2610" w14:font="MS Gothic"/>
                </w14:checkbox>
              </w:sdtPr>
              <w:sdtEndPr>
                <w:rPr>
                  <w:rFonts w:hint="eastAsia" w:ascii="宋体" w:hAnsi="宋体" w:eastAsia="宋体" w:cs="宋体"/>
                  <w:sz w:val="21"/>
                </w:rPr>
              </w:sdtEndPr>
              <w:sdtContent>
                <w:r>
                  <w:rPr>
                    <w:rFonts w:hint="eastAsia" w:ascii="MS Gothic" w:hAnsi="MS Gothic" w:eastAsia="宋体" w:cs="宋体"/>
                    <w:sz w:val="21"/>
                    <w:szCs w:val="24"/>
                    <w:lang w:val="en-US" w:eastAsia="zh-CN" w:bidi="ar-SA"/>
                  </w:rPr>
                  <w:t>☑</w:t>
                </w:r>
              </w:sdtContent>
            </w:sdt>
            <w:r>
              <w:rPr>
                <w:rFonts w:hint="eastAsia" w:ascii="宋体" w:hAnsi="宋体" w:eastAsia="宋体" w:cs="宋体"/>
                <w:sz w:val="21"/>
              </w:rPr>
              <w:t>否</w:t>
            </w:r>
          </w:p>
        </w:tc>
      </w:tr>
      <w:tr w14:paraId="5F90616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3E16D4FC">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4"/>
                <w:lang w:val="en-US" w:eastAsia="zh-CN" w:bidi="ar-SA"/>
              </w:rPr>
            </w:pPr>
            <w:r>
              <w:rPr>
                <w:rFonts w:hint="eastAsia" w:ascii="宋体" w:hAnsi="宋体" w:eastAsia="宋体" w:cs="宋体"/>
                <w:sz w:val="21"/>
                <w:lang w:val="en-US" w:eastAsia="zh-CN"/>
              </w:rPr>
              <w:t>8</w:t>
            </w:r>
          </w:p>
        </w:tc>
        <w:tc>
          <w:tcPr>
            <w:tcW w:w="2405" w:type="dxa"/>
            <w:shd w:val="clear" w:color="auto" w:fill="auto"/>
            <w:vAlign w:val="center"/>
          </w:tcPr>
          <w:p w14:paraId="427C8C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是否允许进口产品</w:t>
            </w:r>
          </w:p>
        </w:tc>
        <w:tc>
          <w:tcPr>
            <w:tcW w:w="5771" w:type="dxa"/>
            <w:shd w:val="clear" w:color="auto" w:fill="auto"/>
            <w:vAlign w:val="center"/>
          </w:tcPr>
          <w:p w14:paraId="506676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sdt>
              <w:sdtPr>
                <w:rPr>
                  <w:rFonts w:hint="eastAsia" w:ascii="宋体" w:hAnsi="宋体" w:eastAsia="宋体" w:cs="宋体"/>
                  <w:sz w:val="21"/>
                </w:rPr>
                <w:id w:val="148570254"/>
                <w14:checkbox>
                  <w14:checked w14:val="0"/>
                  <w14:checkedState w14:val="2611" w14:font="MS Gothic"/>
                  <w14:uncheckedState w14:val="2610" w14:font="MS Gothic"/>
                </w14:checkbox>
              </w:sdtPr>
              <w:sdtEndPr>
                <w:rPr>
                  <w:rFonts w:hint="eastAsia" w:ascii="宋体" w:hAnsi="宋体" w:eastAsia="宋体" w:cs="宋体"/>
                  <w:sz w:val="21"/>
                </w:rPr>
              </w:sdtEndPr>
              <w:sdtContent>
                <w:r>
                  <w:rPr>
                    <w:rFonts w:hint="eastAsia" w:ascii="宋体" w:hAnsi="宋体" w:eastAsia="宋体" w:cs="宋体"/>
                    <w:sz w:val="21"/>
                  </w:rPr>
                  <w:t>☐</w:t>
                </w:r>
              </w:sdtContent>
            </w:sdt>
            <w:r>
              <w:rPr>
                <w:rFonts w:hint="eastAsia" w:ascii="宋体" w:hAnsi="宋体" w:eastAsia="宋体" w:cs="宋体"/>
                <w:sz w:val="21"/>
              </w:rPr>
              <w:t xml:space="preserve">是  </w:t>
            </w:r>
            <w:sdt>
              <w:sdtPr>
                <w:rPr>
                  <w:rFonts w:hint="eastAsia" w:ascii="宋体" w:hAnsi="宋体" w:eastAsia="宋体" w:cs="宋体"/>
                  <w:sz w:val="21"/>
                </w:rPr>
                <w:id w:val="-1689594843"/>
                <w14:checkbox>
                  <w14:checked w14:val="1"/>
                  <w14:checkedState w14:val="2611" w14:font="MS Gothic"/>
                  <w14:uncheckedState w14:val="2610" w14:font="MS Gothic"/>
                </w14:checkbox>
              </w:sdtPr>
              <w:sdtEndPr>
                <w:rPr>
                  <w:rFonts w:hint="eastAsia" w:ascii="宋体" w:hAnsi="宋体" w:eastAsia="宋体" w:cs="宋体"/>
                  <w:sz w:val="21"/>
                </w:rPr>
              </w:sdtEndPr>
              <w:sdtContent>
                <w:r>
                  <w:rPr>
                    <w:rFonts w:hint="eastAsia" w:ascii="MS Gothic" w:hAnsi="MS Gothic" w:eastAsia="宋体" w:cs="宋体"/>
                    <w:sz w:val="21"/>
                    <w:szCs w:val="24"/>
                    <w:lang w:val="en-US" w:eastAsia="zh-CN" w:bidi="ar-SA"/>
                  </w:rPr>
                  <w:t>☑</w:t>
                </w:r>
              </w:sdtContent>
            </w:sdt>
            <w:r>
              <w:rPr>
                <w:rFonts w:hint="eastAsia" w:ascii="宋体" w:hAnsi="宋体" w:eastAsia="宋体" w:cs="宋体"/>
                <w:sz w:val="21"/>
              </w:rPr>
              <w:t>否</w:t>
            </w:r>
          </w:p>
        </w:tc>
      </w:tr>
      <w:tr w14:paraId="414BFFF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F323676">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4"/>
                <w:lang w:val="en-US" w:eastAsia="zh-CN" w:bidi="ar-SA"/>
              </w:rPr>
            </w:pPr>
            <w:r>
              <w:rPr>
                <w:rFonts w:hint="eastAsia" w:ascii="宋体" w:hAnsi="宋体" w:eastAsia="宋体" w:cs="宋体"/>
                <w:sz w:val="21"/>
                <w:lang w:val="en-US" w:eastAsia="zh-CN"/>
              </w:rPr>
              <w:t>9</w:t>
            </w:r>
          </w:p>
        </w:tc>
        <w:tc>
          <w:tcPr>
            <w:tcW w:w="2405" w:type="dxa"/>
            <w:shd w:val="clear" w:color="auto" w:fill="auto"/>
            <w:vAlign w:val="center"/>
          </w:tcPr>
          <w:p w14:paraId="161233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是否允许大中企业向小微企业分包</w:t>
            </w:r>
          </w:p>
        </w:tc>
        <w:tc>
          <w:tcPr>
            <w:tcW w:w="5771" w:type="dxa"/>
            <w:shd w:val="clear" w:color="auto" w:fill="auto"/>
            <w:vAlign w:val="center"/>
          </w:tcPr>
          <w:p w14:paraId="42E395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sdt>
              <w:sdtPr>
                <w:rPr>
                  <w:rFonts w:hint="eastAsia" w:ascii="宋体" w:hAnsi="宋体" w:eastAsia="宋体" w:cs="宋体"/>
                  <w:sz w:val="21"/>
                </w:rPr>
                <w:id w:val="365725084"/>
                <w14:checkbox>
                  <w14:checked w14:val="0"/>
                  <w14:checkedState w14:val="2611" w14:font="MS Gothic"/>
                  <w14:uncheckedState w14:val="2610" w14:font="MS Gothic"/>
                </w14:checkbox>
              </w:sdtPr>
              <w:sdtEndPr>
                <w:rPr>
                  <w:rFonts w:hint="eastAsia" w:ascii="宋体" w:hAnsi="宋体" w:eastAsia="宋体" w:cs="宋体"/>
                  <w:sz w:val="21"/>
                </w:rPr>
              </w:sdtEndPr>
              <w:sdtContent>
                <w:r>
                  <w:rPr>
                    <w:rFonts w:hint="eastAsia" w:ascii="宋体" w:hAnsi="宋体" w:eastAsia="宋体" w:cs="宋体"/>
                    <w:sz w:val="21"/>
                  </w:rPr>
                  <w:t>☐</w:t>
                </w:r>
              </w:sdtContent>
            </w:sdt>
            <w:r>
              <w:rPr>
                <w:rFonts w:hint="eastAsia" w:ascii="宋体" w:hAnsi="宋体" w:eastAsia="宋体" w:cs="宋体"/>
                <w:sz w:val="21"/>
              </w:rPr>
              <w:t xml:space="preserve">是  </w:t>
            </w:r>
            <w:sdt>
              <w:sdtPr>
                <w:rPr>
                  <w:rFonts w:hint="eastAsia" w:ascii="宋体" w:hAnsi="宋体" w:eastAsia="宋体" w:cs="宋体"/>
                  <w:sz w:val="21"/>
                </w:rPr>
                <w:id w:val="-54473539"/>
                <w14:checkbox>
                  <w14:checked w14:val="1"/>
                  <w14:checkedState w14:val="2611" w14:font="MS Gothic"/>
                  <w14:uncheckedState w14:val="2610" w14:font="MS Gothic"/>
                </w14:checkbox>
              </w:sdtPr>
              <w:sdtEndPr>
                <w:rPr>
                  <w:rFonts w:hint="eastAsia" w:ascii="宋体" w:hAnsi="宋体" w:eastAsia="宋体" w:cs="宋体"/>
                  <w:sz w:val="21"/>
                </w:rPr>
              </w:sdtEndPr>
              <w:sdtContent>
                <w:r>
                  <w:rPr>
                    <w:rFonts w:hint="eastAsia" w:ascii="MS Gothic" w:hAnsi="MS Gothic" w:eastAsia="宋体" w:cs="宋体"/>
                    <w:sz w:val="21"/>
                    <w:szCs w:val="24"/>
                    <w:lang w:val="en-US" w:eastAsia="zh-CN" w:bidi="ar-SA"/>
                  </w:rPr>
                  <w:t>☑</w:t>
                </w:r>
              </w:sdtContent>
            </w:sdt>
            <w:r>
              <w:rPr>
                <w:rFonts w:hint="eastAsia" w:ascii="宋体" w:hAnsi="宋体" w:eastAsia="宋体" w:cs="宋体"/>
                <w:sz w:val="21"/>
              </w:rPr>
              <w:t>否</w:t>
            </w:r>
          </w:p>
        </w:tc>
      </w:tr>
      <w:tr w14:paraId="5C00DB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353671C8">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sz w:val="21"/>
                <w:szCs w:val="24"/>
                <w:lang w:val="en-US" w:eastAsia="zh-CN" w:bidi="ar-SA"/>
              </w:rPr>
            </w:pPr>
            <w:r>
              <w:rPr>
                <w:rFonts w:hint="eastAsia" w:ascii="宋体" w:hAnsi="宋体" w:eastAsia="宋体" w:cs="宋体"/>
                <w:sz w:val="21"/>
                <w:lang w:val="en-US" w:eastAsia="zh-CN"/>
              </w:rPr>
              <w:t>10</w:t>
            </w:r>
          </w:p>
        </w:tc>
        <w:tc>
          <w:tcPr>
            <w:tcW w:w="2405" w:type="dxa"/>
            <w:shd w:val="clear" w:color="auto" w:fill="auto"/>
            <w:vAlign w:val="center"/>
          </w:tcPr>
          <w:p w14:paraId="359E92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投标保证金</w:t>
            </w:r>
          </w:p>
        </w:tc>
        <w:tc>
          <w:tcPr>
            <w:tcW w:w="5771" w:type="dxa"/>
            <w:shd w:val="clear" w:color="auto" w:fill="auto"/>
            <w:vAlign w:val="center"/>
          </w:tcPr>
          <w:p w14:paraId="76CDA4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免交</w:t>
            </w:r>
          </w:p>
        </w:tc>
      </w:tr>
      <w:tr w14:paraId="465960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6639ABA">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11</w:t>
            </w:r>
          </w:p>
        </w:tc>
        <w:tc>
          <w:tcPr>
            <w:tcW w:w="2405" w:type="dxa"/>
            <w:shd w:val="clear" w:color="auto" w:fill="auto"/>
            <w:vAlign w:val="center"/>
          </w:tcPr>
          <w:p w14:paraId="160AB0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履约保证金</w:t>
            </w:r>
          </w:p>
        </w:tc>
        <w:tc>
          <w:tcPr>
            <w:tcW w:w="5771" w:type="dxa"/>
            <w:shd w:val="clear" w:color="auto" w:fill="auto"/>
            <w:vAlign w:val="center"/>
          </w:tcPr>
          <w:p w14:paraId="6270FF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rPr>
            </w:pPr>
            <w:r>
              <w:rPr>
                <w:rFonts w:hint="eastAsia" w:ascii="宋体" w:hAnsi="宋体" w:eastAsia="宋体" w:cs="宋体"/>
                <w:color w:val="auto"/>
                <w:sz w:val="21"/>
                <w:highlight w:val="none"/>
                <w:lang w:val="en-US" w:eastAsia="zh-CN"/>
              </w:rPr>
              <w:t>免交</w:t>
            </w:r>
          </w:p>
        </w:tc>
      </w:tr>
      <w:tr w14:paraId="759FFC1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921DC04">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12</w:t>
            </w:r>
          </w:p>
        </w:tc>
        <w:tc>
          <w:tcPr>
            <w:tcW w:w="2405" w:type="dxa"/>
            <w:shd w:val="clear" w:color="auto" w:fill="auto"/>
            <w:vAlign w:val="center"/>
          </w:tcPr>
          <w:p w14:paraId="198A74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投标文件份数</w:t>
            </w:r>
          </w:p>
        </w:tc>
        <w:tc>
          <w:tcPr>
            <w:tcW w:w="5771" w:type="dxa"/>
            <w:shd w:val="clear" w:color="auto" w:fill="auto"/>
            <w:vAlign w:val="center"/>
          </w:tcPr>
          <w:p w14:paraId="617AA8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lang w:val="en-US" w:eastAsia="zh-CN"/>
              </w:rPr>
              <w:t>未中标</w:t>
            </w:r>
            <w:r>
              <w:rPr>
                <w:rFonts w:hint="eastAsia" w:ascii="宋体" w:hAnsi="宋体" w:eastAsia="宋体" w:cs="宋体"/>
                <w:sz w:val="21"/>
                <w:highlight w:val="none"/>
                <w:lang w:eastAsia="zh-CN"/>
              </w:rPr>
              <w:t>投标人</w:t>
            </w:r>
            <w:r>
              <w:rPr>
                <w:rFonts w:hint="eastAsia" w:ascii="宋体" w:hAnsi="宋体" w:eastAsia="宋体" w:cs="宋体"/>
                <w:sz w:val="21"/>
                <w:highlight w:val="none"/>
              </w:rPr>
              <w:t>无需提供；</w:t>
            </w:r>
          </w:p>
          <w:p w14:paraId="058E48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eastAsia="zh-CN"/>
              </w:rPr>
            </w:pPr>
            <w:r>
              <w:rPr>
                <w:rFonts w:hint="eastAsia" w:ascii="宋体" w:hAnsi="宋体" w:eastAsia="宋体" w:cs="宋体"/>
                <w:sz w:val="21"/>
                <w:highlight w:val="none"/>
              </w:rPr>
              <w:t>中标</w:t>
            </w:r>
            <w:r>
              <w:rPr>
                <w:rFonts w:hint="eastAsia" w:ascii="宋体" w:hAnsi="宋体" w:eastAsia="宋体" w:cs="宋体"/>
                <w:sz w:val="21"/>
                <w:highlight w:val="none"/>
                <w:lang w:eastAsia="zh-CN"/>
              </w:rPr>
              <w:t>投标人</w:t>
            </w:r>
            <w:r>
              <w:rPr>
                <w:rFonts w:hint="eastAsia" w:ascii="宋体" w:hAnsi="宋体" w:eastAsia="宋体" w:cs="宋体"/>
                <w:sz w:val="21"/>
                <w:highlight w:val="none"/>
              </w:rPr>
              <w:t>在领取中标通知书时提供</w:t>
            </w:r>
            <w:r>
              <w:rPr>
                <w:rFonts w:hint="eastAsia" w:ascii="宋体" w:hAnsi="宋体" w:eastAsia="宋体" w:cs="宋体"/>
                <w:sz w:val="21"/>
                <w:highlight w:val="none"/>
                <w:lang w:val="en-US" w:eastAsia="zh-CN"/>
              </w:rPr>
              <w:t>正本一份，副本一份，电子版文件（U盘）壹份</w:t>
            </w:r>
            <w:r>
              <w:rPr>
                <w:rFonts w:hint="eastAsia" w:ascii="宋体" w:hAnsi="宋体" w:eastAsia="宋体" w:cs="宋体"/>
                <w:sz w:val="21"/>
                <w:highlight w:val="none"/>
              </w:rPr>
              <w:t>。</w:t>
            </w:r>
            <w:r>
              <w:rPr>
                <w:rFonts w:hint="eastAsia" w:ascii="宋体" w:hAnsi="宋体" w:eastAsia="宋体" w:cs="宋体"/>
                <w:sz w:val="21"/>
                <w:highlight w:val="none"/>
                <w:lang w:eastAsia="zh-CN"/>
              </w:rPr>
              <w:t>（</w:t>
            </w:r>
            <w:r>
              <w:rPr>
                <w:rFonts w:hint="eastAsia" w:ascii="宋体" w:hAnsi="宋体" w:eastAsia="宋体" w:cs="宋体"/>
                <w:sz w:val="21"/>
                <w:highlight w:val="none"/>
                <w:lang w:val="en-US" w:eastAsia="zh-CN"/>
              </w:rPr>
              <w:t>U盘中含投标文件word版及签字盖章后的pdf版</w:t>
            </w:r>
            <w:r>
              <w:rPr>
                <w:rFonts w:hint="eastAsia" w:ascii="宋体" w:hAnsi="宋体" w:eastAsia="宋体" w:cs="宋体"/>
                <w:sz w:val="21"/>
                <w:highlight w:val="none"/>
                <w:lang w:eastAsia="zh-CN"/>
              </w:rPr>
              <w:t>）</w:t>
            </w:r>
          </w:p>
        </w:tc>
      </w:tr>
      <w:tr w14:paraId="37279D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94DAE69">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13</w:t>
            </w:r>
          </w:p>
        </w:tc>
        <w:tc>
          <w:tcPr>
            <w:tcW w:w="2405" w:type="dxa"/>
            <w:shd w:val="clear" w:color="auto" w:fill="auto"/>
            <w:vAlign w:val="center"/>
          </w:tcPr>
          <w:p w14:paraId="6819B1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投标</w:t>
            </w:r>
            <w:r>
              <w:rPr>
                <w:rFonts w:hint="eastAsia" w:ascii="宋体" w:hAnsi="宋体" w:eastAsia="宋体" w:cs="宋体"/>
                <w:sz w:val="21"/>
              </w:rPr>
              <w:t>有效期</w:t>
            </w:r>
          </w:p>
        </w:tc>
        <w:tc>
          <w:tcPr>
            <w:tcW w:w="5771" w:type="dxa"/>
            <w:shd w:val="clear" w:color="auto" w:fill="auto"/>
            <w:vAlign w:val="center"/>
          </w:tcPr>
          <w:p w14:paraId="1F9C10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lang w:val="en-US" w:eastAsia="zh-CN"/>
              </w:rPr>
            </w:pPr>
            <w:r>
              <w:rPr>
                <w:rFonts w:hint="eastAsia" w:ascii="宋体" w:hAnsi="宋体" w:eastAsia="宋体" w:cs="宋体"/>
                <w:sz w:val="21"/>
              </w:rPr>
              <w:t>90日历天（自</w:t>
            </w:r>
            <w:r>
              <w:rPr>
                <w:rFonts w:hint="eastAsia" w:ascii="宋体" w:hAnsi="宋体" w:eastAsia="宋体" w:cs="宋体"/>
                <w:sz w:val="21"/>
                <w:lang w:val="en-US" w:eastAsia="zh-CN"/>
              </w:rPr>
              <w:t>投标</w:t>
            </w:r>
            <w:r>
              <w:rPr>
                <w:rFonts w:hint="eastAsia" w:ascii="宋体" w:hAnsi="宋体" w:eastAsia="宋体" w:cs="宋体"/>
                <w:sz w:val="21"/>
              </w:rPr>
              <w:t>截止之日算起）</w:t>
            </w:r>
          </w:p>
        </w:tc>
      </w:tr>
      <w:tr w14:paraId="47A827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3E61A6B4">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14</w:t>
            </w:r>
          </w:p>
        </w:tc>
        <w:tc>
          <w:tcPr>
            <w:tcW w:w="2405" w:type="dxa"/>
            <w:shd w:val="clear" w:color="auto" w:fill="auto"/>
            <w:vAlign w:val="center"/>
          </w:tcPr>
          <w:p w14:paraId="2AD239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现场踏勘和集中答疑</w:t>
            </w:r>
          </w:p>
        </w:tc>
        <w:tc>
          <w:tcPr>
            <w:tcW w:w="5771" w:type="dxa"/>
            <w:shd w:val="clear" w:color="auto" w:fill="auto"/>
            <w:vAlign w:val="center"/>
          </w:tcPr>
          <w:p w14:paraId="78390E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不组织</w:t>
            </w:r>
          </w:p>
        </w:tc>
      </w:tr>
      <w:tr w14:paraId="603B6E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656BA26B">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15</w:t>
            </w:r>
          </w:p>
        </w:tc>
        <w:tc>
          <w:tcPr>
            <w:tcW w:w="2405" w:type="dxa"/>
            <w:shd w:val="clear" w:color="auto" w:fill="auto"/>
            <w:vAlign w:val="center"/>
          </w:tcPr>
          <w:p w14:paraId="72663B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查看定制产品原样</w:t>
            </w:r>
          </w:p>
        </w:tc>
        <w:tc>
          <w:tcPr>
            <w:tcW w:w="5771" w:type="dxa"/>
            <w:shd w:val="clear" w:color="auto" w:fill="auto"/>
            <w:vAlign w:val="center"/>
          </w:tcPr>
          <w:p w14:paraId="46EB30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不要求</w:t>
            </w:r>
          </w:p>
        </w:tc>
      </w:tr>
      <w:tr w14:paraId="237FE5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718050C3">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16</w:t>
            </w:r>
          </w:p>
        </w:tc>
        <w:tc>
          <w:tcPr>
            <w:tcW w:w="2405" w:type="dxa"/>
            <w:shd w:val="clear" w:color="auto" w:fill="auto"/>
            <w:vAlign w:val="center"/>
          </w:tcPr>
          <w:p w14:paraId="38E6DC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lang w:eastAsia="zh-CN"/>
              </w:rPr>
            </w:pPr>
            <w:r>
              <w:rPr>
                <w:rFonts w:hint="eastAsia" w:ascii="宋体" w:hAnsi="宋体" w:eastAsia="宋体" w:cs="宋体"/>
                <w:sz w:val="21"/>
                <w:highlight w:val="none"/>
                <w:lang w:val="en-US" w:eastAsia="zh-CN"/>
              </w:rPr>
              <w:t>现场演示</w:t>
            </w:r>
          </w:p>
        </w:tc>
        <w:tc>
          <w:tcPr>
            <w:tcW w:w="5771" w:type="dxa"/>
            <w:shd w:val="clear" w:color="auto" w:fill="auto"/>
            <w:vAlign w:val="center"/>
          </w:tcPr>
          <w:p w14:paraId="01EDEB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本项目不需进行现场演示</w:t>
            </w:r>
          </w:p>
        </w:tc>
      </w:tr>
      <w:tr w14:paraId="10F3FC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3A9C87D">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17</w:t>
            </w:r>
          </w:p>
        </w:tc>
        <w:tc>
          <w:tcPr>
            <w:tcW w:w="2405" w:type="dxa"/>
            <w:shd w:val="clear" w:color="auto" w:fill="auto"/>
            <w:vAlign w:val="center"/>
          </w:tcPr>
          <w:p w14:paraId="39FBD5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标前测试</w:t>
            </w:r>
          </w:p>
        </w:tc>
        <w:tc>
          <w:tcPr>
            <w:tcW w:w="5771" w:type="dxa"/>
            <w:shd w:val="clear" w:color="auto" w:fill="auto"/>
            <w:vAlign w:val="center"/>
          </w:tcPr>
          <w:p w14:paraId="3B3A1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eastAsia="zh-CN"/>
              </w:rPr>
            </w:pPr>
            <w:r>
              <w:rPr>
                <w:rFonts w:hint="eastAsia" w:ascii="宋体" w:hAnsi="宋体" w:eastAsia="宋体" w:cs="宋体"/>
                <w:sz w:val="21"/>
                <w:highlight w:val="none"/>
                <w:lang w:val="en-US" w:eastAsia="zh-CN"/>
              </w:rPr>
              <w:t>/</w:t>
            </w:r>
          </w:p>
        </w:tc>
      </w:tr>
      <w:tr w14:paraId="09229E5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43113DF">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18</w:t>
            </w:r>
          </w:p>
        </w:tc>
        <w:tc>
          <w:tcPr>
            <w:tcW w:w="2405" w:type="dxa"/>
            <w:shd w:val="clear" w:color="auto" w:fill="auto"/>
            <w:vAlign w:val="center"/>
          </w:tcPr>
          <w:p w14:paraId="15AAE7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政府采购信息发布媒体（采购公告、采购结果公告、变更公告）</w:t>
            </w:r>
          </w:p>
        </w:tc>
        <w:tc>
          <w:tcPr>
            <w:tcW w:w="5771" w:type="dxa"/>
            <w:shd w:val="clear" w:color="auto" w:fill="auto"/>
            <w:vAlign w:val="center"/>
          </w:tcPr>
          <w:p w14:paraId="685BC6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1．陕西省政府采购网：仅提供项目公告，官网地址：http</w:t>
            </w:r>
            <w:r>
              <w:rPr>
                <w:rFonts w:hint="eastAsia" w:ascii="宋体" w:hAnsi="宋体" w:eastAsia="宋体" w:cs="宋体"/>
                <w:sz w:val="21"/>
                <w:lang w:eastAsia="zh-CN"/>
              </w:rPr>
              <w:t>：</w:t>
            </w:r>
            <w:r>
              <w:rPr>
                <w:rFonts w:hint="eastAsia" w:ascii="宋体" w:hAnsi="宋体" w:eastAsia="宋体" w:cs="宋体"/>
                <w:sz w:val="21"/>
              </w:rPr>
              <w:t>//ccgp-shaanxi.gov.cn/。</w:t>
            </w:r>
          </w:p>
          <w:p w14:paraId="144CBC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2．全国公共资源交易平台（陕西省·西安市）：即西安市公共资源交易平台，提供项目公告和采购文件下载。官网地址：http</w:t>
            </w:r>
            <w:r>
              <w:rPr>
                <w:rFonts w:hint="eastAsia" w:ascii="宋体" w:hAnsi="宋体" w:eastAsia="宋体" w:cs="宋体"/>
                <w:sz w:val="21"/>
                <w:lang w:eastAsia="zh-CN"/>
              </w:rPr>
              <w:t>：</w:t>
            </w:r>
            <w:r>
              <w:rPr>
                <w:rFonts w:hint="eastAsia" w:ascii="宋体" w:hAnsi="宋体" w:eastAsia="宋体" w:cs="宋体"/>
                <w:sz w:val="21"/>
              </w:rPr>
              <w:t>//sxggzyjy.xa.gov.cn/</w:t>
            </w:r>
          </w:p>
        </w:tc>
      </w:tr>
      <w:tr w14:paraId="47DCE3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58A400EE">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19</w:t>
            </w:r>
          </w:p>
        </w:tc>
        <w:tc>
          <w:tcPr>
            <w:tcW w:w="2405" w:type="dxa"/>
            <w:shd w:val="clear" w:color="auto" w:fill="auto"/>
            <w:vAlign w:val="center"/>
          </w:tcPr>
          <w:p w14:paraId="41865D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询问和质疑</w:t>
            </w:r>
          </w:p>
        </w:tc>
        <w:tc>
          <w:tcPr>
            <w:tcW w:w="5771" w:type="dxa"/>
            <w:shd w:val="clear" w:color="auto" w:fill="auto"/>
            <w:vAlign w:val="center"/>
          </w:tcPr>
          <w:p w14:paraId="4269D3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见</w:t>
            </w:r>
            <w:r>
              <w:rPr>
                <w:rFonts w:hint="eastAsia" w:ascii="宋体" w:hAnsi="宋体" w:eastAsia="宋体" w:cs="宋体"/>
                <w:sz w:val="21"/>
                <w:lang w:val="en-US" w:eastAsia="zh-CN"/>
              </w:rPr>
              <w:t>招标公告</w:t>
            </w:r>
            <w:r>
              <w:rPr>
                <w:rFonts w:hint="eastAsia" w:ascii="宋体" w:hAnsi="宋体" w:eastAsia="宋体" w:cs="宋体"/>
                <w:sz w:val="21"/>
              </w:rPr>
              <w:t>中的“联系方式”</w:t>
            </w:r>
          </w:p>
        </w:tc>
      </w:tr>
      <w:tr w14:paraId="5CA920D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E92DC79">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20</w:t>
            </w:r>
          </w:p>
        </w:tc>
        <w:tc>
          <w:tcPr>
            <w:tcW w:w="2405" w:type="dxa"/>
            <w:shd w:val="clear" w:color="auto" w:fill="auto"/>
            <w:vAlign w:val="center"/>
          </w:tcPr>
          <w:p w14:paraId="2D6030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投诉受理</w:t>
            </w:r>
          </w:p>
        </w:tc>
        <w:tc>
          <w:tcPr>
            <w:tcW w:w="5771" w:type="dxa"/>
            <w:shd w:val="clear" w:color="auto" w:fill="auto"/>
            <w:vAlign w:val="center"/>
          </w:tcPr>
          <w:p w14:paraId="1135F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1．受理单位：西安经济技术开发区财政金融局</w:t>
            </w:r>
          </w:p>
          <w:p w14:paraId="6EA1F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rPr>
              <w:t>2．联系电话：029-86522654</w:t>
            </w:r>
          </w:p>
          <w:p w14:paraId="08A17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rPr>
            </w:pPr>
            <w:r>
              <w:rPr>
                <w:rFonts w:hint="eastAsia" w:ascii="宋体" w:hAnsi="宋体" w:eastAsia="宋体" w:cs="宋体"/>
                <w:sz w:val="21"/>
                <w:highlight w:val="none"/>
              </w:rPr>
              <w:t>3．地址：西安市凤城十二</w:t>
            </w:r>
            <w:r>
              <w:rPr>
                <w:rFonts w:hint="eastAsia" w:ascii="宋体" w:hAnsi="宋体" w:eastAsia="宋体" w:cs="宋体"/>
                <w:sz w:val="21"/>
                <w:highlight w:val="none"/>
                <w:lang w:eastAsia="zh-CN"/>
              </w:rPr>
              <w:t>路</w:t>
            </w:r>
            <w:r>
              <w:rPr>
                <w:rFonts w:hint="eastAsia" w:ascii="宋体" w:hAnsi="宋体" w:eastAsia="宋体" w:cs="宋体"/>
                <w:sz w:val="21"/>
                <w:highlight w:val="none"/>
              </w:rPr>
              <w:t>凯瑞F座</w:t>
            </w:r>
          </w:p>
        </w:tc>
      </w:tr>
      <w:tr w14:paraId="01EDC1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7C1C7931">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21</w:t>
            </w:r>
          </w:p>
        </w:tc>
        <w:tc>
          <w:tcPr>
            <w:tcW w:w="2405" w:type="dxa"/>
            <w:shd w:val="clear" w:color="auto" w:fill="auto"/>
            <w:vAlign w:val="center"/>
          </w:tcPr>
          <w:p w14:paraId="659FDF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资格前审</w:t>
            </w:r>
          </w:p>
        </w:tc>
        <w:tc>
          <w:tcPr>
            <w:tcW w:w="5771" w:type="dxa"/>
            <w:shd w:val="clear" w:color="auto" w:fill="auto"/>
            <w:vAlign w:val="center"/>
          </w:tcPr>
          <w:p w14:paraId="12BB20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w:t>
            </w:r>
          </w:p>
        </w:tc>
      </w:tr>
      <w:tr w14:paraId="5DB7F4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694" w:type="dxa"/>
            <w:shd w:val="clear" w:color="auto" w:fill="auto"/>
            <w:vAlign w:val="center"/>
          </w:tcPr>
          <w:p w14:paraId="405720E7">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22</w:t>
            </w:r>
          </w:p>
        </w:tc>
        <w:tc>
          <w:tcPr>
            <w:tcW w:w="2405" w:type="dxa"/>
            <w:shd w:val="clear" w:color="auto" w:fill="auto"/>
            <w:vAlign w:val="center"/>
          </w:tcPr>
          <w:p w14:paraId="336967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信用信息查询截至时点</w:t>
            </w:r>
          </w:p>
        </w:tc>
        <w:tc>
          <w:tcPr>
            <w:tcW w:w="5771" w:type="dxa"/>
            <w:shd w:val="clear" w:color="auto" w:fill="auto"/>
            <w:vAlign w:val="center"/>
          </w:tcPr>
          <w:p w14:paraId="678340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同提交投标文件截止时间</w:t>
            </w:r>
          </w:p>
        </w:tc>
      </w:tr>
      <w:tr w14:paraId="3FB4D5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8376925">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23</w:t>
            </w:r>
          </w:p>
        </w:tc>
        <w:tc>
          <w:tcPr>
            <w:tcW w:w="2405" w:type="dxa"/>
            <w:shd w:val="clear" w:color="auto" w:fill="auto"/>
            <w:vAlign w:val="center"/>
          </w:tcPr>
          <w:p w14:paraId="61C52C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color w:val="auto"/>
                <w:sz w:val="21"/>
              </w:rPr>
            </w:pPr>
            <w:r>
              <w:rPr>
                <w:rFonts w:hint="eastAsia" w:ascii="宋体" w:hAnsi="宋体" w:eastAsia="宋体" w:cs="宋体"/>
                <w:color w:val="auto"/>
                <w:sz w:val="21"/>
              </w:rPr>
              <w:t>开标形式</w:t>
            </w:r>
          </w:p>
        </w:tc>
        <w:tc>
          <w:tcPr>
            <w:tcW w:w="5771" w:type="dxa"/>
            <w:shd w:val="clear" w:color="auto" w:fill="auto"/>
            <w:vAlign w:val="center"/>
          </w:tcPr>
          <w:p w14:paraId="5DAED7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rPr>
            </w:pPr>
            <w:sdt>
              <w:sdtPr>
                <w:rPr>
                  <w:rFonts w:hint="eastAsia" w:ascii="宋体" w:hAnsi="宋体" w:eastAsia="宋体" w:cs="宋体"/>
                  <w:color w:val="auto"/>
                  <w:sz w:val="21"/>
                </w:rPr>
                <w:id w:val="1077786224"/>
                <w14:checkbox>
                  <w14:checked w14:val="1"/>
                  <w14:checkedState w14:val="2611" w14:font="MS Gothic"/>
                  <w14:uncheckedState w14:val="2610" w14:font="MS Gothic"/>
                </w14:checkbox>
              </w:sdtPr>
              <w:sdtEndPr>
                <w:rPr>
                  <w:rFonts w:hint="eastAsia" w:ascii="宋体" w:hAnsi="宋体" w:eastAsia="宋体" w:cs="宋体"/>
                  <w:color w:val="auto"/>
                  <w:sz w:val="21"/>
                </w:rPr>
              </w:sdtEndPr>
              <w:sdtContent>
                <w:r>
                  <w:rPr>
                    <w:rFonts w:hint="eastAsia" w:ascii="MS Gothic" w:hAnsi="MS Gothic" w:eastAsia="宋体" w:cs="宋体"/>
                    <w:color w:val="auto"/>
                    <w:sz w:val="21"/>
                    <w:szCs w:val="24"/>
                    <w:lang w:val="en-US" w:eastAsia="zh-CN" w:bidi="ar-SA"/>
                  </w:rPr>
                  <w:t>☑</w:t>
                </w:r>
              </w:sdtContent>
            </w:sdt>
            <w:r>
              <w:rPr>
                <w:rFonts w:hint="eastAsia" w:ascii="宋体" w:hAnsi="宋体" w:eastAsia="宋体" w:cs="宋体"/>
                <w:color w:val="auto"/>
                <w:sz w:val="21"/>
              </w:rPr>
              <w:t xml:space="preserve">不见面开标  </w:t>
            </w:r>
            <w:sdt>
              <w:sdtPr>
                <w:rPr>
                  <w:rFonts w:hint="eastAsia" w:ascii="宋体" w:hAnsi="宋体" w:eastAsia="宋体" w:cs="宋体"/>
                  <w:color w:val="auto"/>
                  <w:sz w:val="21"/>
                </w:rPr>
                <w:id w:val="1553575034"/>
                <w14:checkbox>
                  <w14:checked w14:val="0"/>
                  <w14:checkedState w14:val="2611" w14:font="MS Gothic"/>
                  <w14:uncheckedState w14:val="2610" w14:font="MS Gothic"/>
                </w14:checkbox>
              </w:sdtPr>
              <w:sdtEndPr>
                <w:rPr>
                  <w:rFonts w:hint="eastAsia" w:ascii="宋体" w:hAnsi="宋体" w:eastAsia="宋体" w:cs="宋体"/>
                  <w:color w:val="auto"/>
                  <w:sz w:val="21"/>
                </w:rPr>
              </w:sdtEndPr>
              <w:sdtContent>
                <w:r>
                  <w:rPr>
                    <w:rFonts w:hint="eastAsia" w:ascii="宋体" w:hAnsi="宋体" w:eastAsia="宋体" w:cs="宋体"/>
                    <w:color w:val="auto"/>
                    <w:sz w:val="21"/>
                  </w:rPr>
                  <w:t>☐</w:t>
                </w:r>
              </w:sdtContent>
            </w:sdt>
            <w:r>
              <w:rPr>
                <w:rFonts w:hint="eastAsia" w:ascii="宋体" w:hAnsi="宋体" w:eastAsia="宋体" w:cs="宋体"/>
                <w:color w:val="auto"/>
                <w:sz w:val="21"/>
              </w:rPr>
              <w:t>见面开标</w:t>
            </w:r>
          </w:p>
          <w:p w14:paraId="2CE2D7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sz w:val="21"/>
              </w:rPr>
            </w:pPr>
            <w:r>
              <w:rPr>
                <w:rFonts w:hint="eastAsia" w:ascii="宋体" w:hAnsi="宋体" w:eastAsia="宋体" w:cs="宋体"/>
                <w:color w:val="auto"/>
                <w:sz w:val="21"/>
              </w:rPr>
              <w:t>详见本章“开标程序”有关内容。</w:t>
            </w:r>
          </w:p>
        </w:tc>
      </w:tr>
      <w:tr w14:paraId="0B7207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5D26919">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24</w:t>
            </w:r>
          </w:p>
        </w:tc>
        <w:tc>
          <w:tcPr>
            <w:tcW w:w="2405" w:type="dxa"/>
            <w:shd w:val="clear" w:color="auto" w:fill="auto"/>
            <w:vAlign w:val="center"/>
          </w:tcPr>
          <w:p w14:paraId="0E0BF5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是否允许递交多个备选投标方案</w:t>
            </w:r>
          </w:p>
        </w:tc>
        <w:tc>
          <w:tcPr>
            <w:tcW w:w="5771" w:type="dxa"/>
            <w:shd w:val="clear" w:color="auto" w:fill="auto"/>
            <w:vAlign w:val="center"/>
          </w:tcPr>
          <w:p w14:paraId="16982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rPr>
            </w:pPr>
            <w:sdt>
              <w:sdtPr>
                <w:rPr>
                  <w:rFonts w:hint="eastAsia" w:ascii="宋体" w:hAnsi="宋体" w:eastAsia="宋体" w:cs="宋体"/>
                  <w:sz w:val="21"/>
                  <w:highlight w:val="none"/>
                </w:rPr>
                <w:id w:val="1608857843"/>
                <w14:checkbox>
                  <w14:checked w14:val="0"/>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宋体" w:hAnsi="宋体" w:eastAsia="宋体" w:cs="宋体"/>
                    <w:sz w:val="21"/>
                    <w:highlight w:val="none"/>
                  </w:rPr>
                  <w:t>☐</w:t>
                </w:r>
              </w:sdtContent>
            </w:sdt>
            <w:r>
              <w:rPr>
                <w:rFonts w:hint="eastAsia" w:ascii="宋体" w:hAnsi="宋体" w:eastAsia="宋体" w:cs="宋体"/>
                <w:sz w:val="21"/>
                <w:highlight w:val="none"/>
              </w:rPr>
              <w:t xml:space="preserve">是  </w:t>
            </w:r>
            <w:sdt>
              <w:sdtPr>
                <w:rPr>
                  <w:rFonts w:hint="eastAsia" w:ascii="宋体" w:hAnsi="宋体" w:eastAsia="宋体" w:cs="宋体"/>
                  <w:sz w:val="21"/>
                  <w:highlight w:val="none"/>
                </w:rPr>
                <w:id w:val="618331253"/>
                <w14:checkbox>
                  <w14:checked w14:val="1"/>
                  <w14:checkedState w14:val="2611" w14:font="MS Gothic"/>
                  <w14:uncheckedState w14:val="2610" w14:font="MS Gothic"/>
                </w14:checkbox>
              </w:sdtPr>
              <w:sdtEndPr>
                <w:rPr>
                  <w:rFonts w:hint="eastAsia" w:ascii="宋体" w:hAnsi="宋体" w:eastAsia="宋体" w:cs="宋体"/>
                  <w:sz w:val="21"/>
                  <w:highlight w:val="none"/>
                </w:rPr>
              </w:sdtEndPr>
              <w:sdtContent>
                <w:r>
                  <w:rPr>
                    <w:rFonts w:hint="eastAsia" w:ascii="MS Gothic" w:hAnsi="MS Gothic" w:eastAsia="宋体" w:cs="宋体"/>
                    <w:sz w:val="21"/>
                    <w:szCs w:val="24"/>
                    <w:highlight w:val="none"/>
                    <w:lang w:val="en-US" w:eastAsia="zh-CN" w:bidi="ar-SA"/>
                  </w:rPr>
                  <w:t>☑</w:t>
                </w:r>
              </w:sdtContent>
            </w:sdt>
            <w:r>
              <w:rPr>
                <w:rFonts w:hint="eastAsia" w:ascii="宋体" w:hAnsi="宋体" w:eastAsia="宋体" w:cs="宋体"/>
                <w:sz w:val="21"/>
                <w:highlight w:val="none"/>
              </w:rPr>
              <w:t>否</w:t>
            </w:r>
          </w:p>
        </w:tc>
      </w:tr>
      <w:tr w14:paraId="60A699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298FB64">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25</w:t>
            </w:r>
          </w:p>
        </w:tc>
        <w:tc>
          <w:tcPr>
            <w:tcW w:w="2405" w:type="dxa"/>
            <w:shd w:val="clear" w:color="auto" w:fill="auto"/>
            <w:vAlign w:val="center"/>
          </w:tcPr>
          <w:p w14:paraId="189F3C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highlight w:val="none"/>
              </w:rPr>
            </w:pPr>
            <w:r>
              <w:rPr>
                <w:rFonts w:hint="eastAsia" w:ascii="宋体" w:hAnsi="宋体" w:eastAsia="宋体" w:cs="宋体"/>
                <w:sz w:val="21"/>
                <w:highlight w:val="none"/>
              </w:rPr>
              <w:t>中标通知书</w:t>
            </w:r>
          </w:p>
        </w:tc>
        <w:tc>
          <w:tcPr>
            <w:tcW w:w="5771" w:type="dxa"/>
            <w:shd w:val="clear" w:color="auto" w:fill="auto"/>
            <w:vAlign w:val="center"/>
          </w:tcPr>
          <w:p w14:paraId="368CF8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eastAsia="zh-CN"/>
              </w:rPr>
            </w:pPr>
            <w:r>
              <w:rPr>
                <w:rFonts w:hint="eastAsia" w:ascii="宋体" w:hAnsi="宋体" w:eastAsia="宋体" w:cs="宋体"/>
                <w:sz w:val="21"/>
                <w:highlight w:val="none"/>
              </w:rPr>
              <w:t>1．在公告中标结果的同时，采购代理机构将向中标</w:t>
            </w:r>
            <w:r>
              <w:rPr>
                <w:rFonts w:hint="eastAsia" w:ascii="宋体" w:hAnsi="宋体" w:eastAsia="宋体" w:cs="宋体"/>
                <w:sz w:val="21"/>
                <w:highlight w:val="none"/>
                <w:lang w:eastAsia="zh-CN"/>
              </w:rPr>
              <w:t>投标人</w:t>
            </w:r>
            <w:r>
              <w:rPr>
                <w:rFonts w:hint="eastAsia" w:ascii="宋体" w:hAnsi="宋体" w:eastAsia="宋体" w:cs="宋体"/>
                <w:sz w:val="21"/>
                <w:highlight w:val="none"/>
              </w:rPr>
              <w:t>发出中标通知书</w:t>
            </w:r>
            <w:r>
              <w:rPr>
                <w:rFonts w:hint="eastAsia" w:ascii="宋体" w:hAnsi="宋体" w:eastAsia="宋体" w:cs="宋体"/>
                <w:sz w:val="21"/>
                <w:highlight w:val="none"/>
                <w:lang w:eastAsia="zh-CN"/>
              </w:rPr>
              <w:t>。</w:t>
            </w:r>
          </w:p>
          <w:p w14:paraId="42AC8B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sz w:val="21"/>
                <w:highlight w:val="none"/>
                <w:lang w:val="en-US" w:eastAsia="zh-CN"/>
              </w:rPr>
            </w:pPr>
            <w:r>
              <w:rPr>
                <w:rFonts w:hint="eastAsia" w:ascii="宋体" w:hAnsi="宋体" w:eastAsia="宋体" w:cs="宋体"/>
                <w:sz w:val="21"/>
                <w:highlight w:val="none"/>
              </w:rPr>
              <w:t>2．联系电话：</w:t>
            </w:r>
            <w:r>
              <w:rPr>
                <w:rFonts w:hint="eastAsia" w:ascii="宋体" w:hAnsi="宋体" w:eastAsia="宋体" w:cs="宋体"/>
                <w:sz w:val="21"/>
                <w:highlight w:val="none"/>
                <w:lang w:val="en-US" w:eastAsia="zh-CN"/>
              </w:rPr>
              <w:t>18710794335</w:t>
            </w:r>
          </w:p>
          <w:p w14:paraId="7A53A9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rPr>
              <w:t>3．联系人：</w:t>
            </w:r>
            <w:r>
              <w:rPr>
                <w:rFonts w:hint="eastAsia" w:ascii="宋体" w:hAnsi="宋体" w:eastAsia="宋体" w:cs="宋体"/>
                <w:sz w:val="21"/>
                <w:highlight w:val="none"/>
                <w:lang w:val="en-US" w:eastAsia="zh-CN"/>
              </w:rPr>
              <w:t>王工</w:t>
            </w:r>
          </w:p>
        </w:tc>
      </w:tr>
      <w:tr w14:paraId="2507FE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D0DECCD">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26</w:t>
            </w:r>
          </w:p>
        </w:tc>
        <w:tc>
          <w:tcPr>
            <w:tcW w:w="2405" w:type="dxa"/>
            <w:shd w:val="clear" w:color="auto" w:fill="auto"/>
            <w:vAlign w:val="center"/>
          </w:tcPr>
          <w:p w14:paraId="242F6A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西安市公共资源交易中心电子化政府采购系统技术支持（软件开发商）</w:t>
            </w:r>
          </w:p>
        </w:tc>
        <w:tc>
          <w:tcPr>
            <w:tcW w:w="5771" w:type="dxa"/>
            <w:shd w:val="clear" w:color="auto" w:fill="auto"/>
            <w:vAlign w:val="center"/>
          </w:tcPr>
          <w:p w14:paraId="744E5D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国泰新点软件股份有限公司</w:t>
            </w:r>
          </w:p>
          <w:p w14:paraId="488393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1．技术支持热线：400-998-0000/400-928-0095</w:t>
            </w:r>
          </w:p>
          <w:p w14:paraId="271619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2．驻场技术人员：029-86510166/86510167转80310</w:t>
            </w:r>
          </w:p>
        </w:tc>
      </w:tr>
      <w:tr w14:paraId="7EEAC6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8FAF568">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27</w:t>
            </w:r>
          </w:p>
        </w:tc>
        <w:tc>
          <w:tcPr>
            <w:tcW w:w="2405" w:type="dxa"/>
            <w:shd w:val="clear" w:color="auto" w:fill="auto"/>
            <w:vAlign w:val="center"/>
          </w:tcPr>
          <w:p w14:paraId="297A64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CA业务网点</w:t>
            </w:r>
          </w:p>
        </w:tc>
        <w:tc>
          <w:tcPr>
            <w:tcW w:w="5771" w:type="dxa"/>
            <w:shd w:val="clear" w:color="auto" w:fill="auto"/>
            <w:vAlign w:val="center"/>
          </w:tcPr>
          <w:p w14:paraId="68698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陕西省数字证书认证中心股份有限公司</w:t>
            </w:r>
          </w:p>
          <w:p w14:paraId="7A149D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网点1：西安市高新三路信息港大厦1楼客服中心</w:t>
            </w:r>
          </w:p>
          <w:p w14:paraId="26CD33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客服电话：4006-369-888</w:t>
            </w:r>
          </w:p>
          <w:p w14:paraId="63A8A2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网点2：西安市长安北路14号省体育公寓B座一楼</w:t>
            </w:r>
          </w:p>
          <w:p w14:paraId="125FB2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咨询电话：029-88661241</w:t>
            </w:r>
          </w:p>
          <w:p w14:paraId="3AC9BA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网点3：西安市文景北路16号白桦林国际B座2楼11#窗口</w:t>
            </w:r>
          </w:p>
          <w:p w14:paraId="539DA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咨询电话：029-86510073转80211</w:t>
            </w:r>
          </w:p>
        </w:tc>
      </w:tr>
      <w:tr w14:paraId="4AF798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8067F55">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28</w:t>
            </w:r>
          </w:p>
        </w:tc>
        <w:tc>
          <w:tcPr>
            <w:tcW w:w="2405" w:type="dxa"/>
            <w:shd w:val="clear" w:color="auto" w:fill="auto"/>
            <w:vAlign w:val="center"/>
          </w:tcPr>
          <w:p w14:paraId="0FA5A4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rPr>
            </w:pPr>
            <w:r>
              <w:rPr>
                <w:rFonts w:hint="eastAsia" w:ascii="宋体" w:hAnsi="宋体" w:eastAsia="宋体" w:cs="宋体"/>
                <w:sz w:val="21"/>
              </w:rPr>
              <w:t>采购代理服务费</w:t>
            </w:r>
          </w:p>
        </w:tc>
        <w:tc>
          <w:tcPr>
            <w:tcW w:w="5771" w:type="dxa"/>
            <w:shd w:val="clear" w:color="auto" w:fill="auto"/>
            <w:vAlign w:val="center"/>
          </w:tcPr>
          <w:p w14:paraId="7D7D39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1、参照国家计委计价格[2002]1980号及发改办价格[2003]857号通知规定，由中标单位支付采购代理服务费。</w:t>
            </w:r>
          </w:p>
          <w:p w14:paraId="692819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2、支付方式：中标单位应在领取通知书前，向陕西信鹏项目管理有限公司交纳本项目采购代理服务费。</w:t>
            </w:r>
          </w:p>
          <w:p w14:paraId="4AECF0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缴纳方式：银行转账</w:t>
            </w:r>
          </w:p>
          <w:p w14:paraId="0E4C59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户    名：陕西信鹏项目管理有限公司</w:t>
            </w:r>
          </w:p>
          <w:p w14:paraId="120C3A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开户银行：中国民生银行股份有限公司西安文景路支行</w:t>
            </w:r>
          </w:p>
          <w:p w14:paraId="26CBF7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rPr>
            </w:pPr>
            <w:r>
              <w:rPr>
                <w:rFonts w:hint="eastAsia" w:ascii="宋体" w:hAnsi="宋体" w:eastAsia="宋体" w:cs="宋体"/>
                <w:sz w:val="21"/>
              </w:rPr>
              <w:t>账    号：171673847</w:t>
            </w:r>
          </w:p>
        </w:tc>
      </w:tr>
      <w:tr w14:paraId="6E6CF5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519725E">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29</w:t>
            </w:r>
          </w:p>
        </w:tc>
        <w:tc>
          <w:tcPr>
            <w:tcW w:w="2405" w:type="dxa"/>
            <w:shd w:val="clear" w:color="auto" w:fill="auto"/>
            <w:vAlign w:val="center"/>
          </w:tcPr>
          <w:p w14:paraId="457E59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投标报价</w:t>
            </w:r>
          </w:p>
        </w:tc>
        <w:tc>
          <w:tcPr>
            <w:tcW w:w="5771" w:type="dxa"/>
            <w:shd w:val="clear" w:color="auto" w:fill="auto"/>
            <w:vAlign w:val="center"/>
          </w:tcPr>
          <w:p w14:paraId="1598FD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总价及分项报价</w:t>
            </w:r>
          </w:p>
          <w:p w14:paraId="533100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1）报价应包含完成该项目工作所发生的全部费用以及投标人企业利润、税金和政策性文件规定及合同包含的所有风险、责任等一切费用；</w:t>
            </w:r>
          </w:p>
          <w:p w14:paraId="0B98A0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2）投标人必须对所投项目全部内容进行完整报价，并列出明细及价格组成。采购人不接受（将拒绝）只对项目部分内容进行报价的投标。</w:t>
            </w:r>
          </w:p>
        </w:tc>
      </w:tr>
      <w:tr w14:paraId="6E6A57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971ECC8">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30</w:t>
            </w:r>
          </w:p>
        </w:tc>
        <w:tc>
          <w:tcPr>
            <w:tcW w:w="2405" w:type="dxa"/>
            <w:shd w:val="clear" w:color="auto" w:fill="auto"/>
            <w:vAlign w:val="center"/>
          </w:tcPr>
          <w:p w14:paraId="5FC29C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项目交货的地点、期限</w:t>
            </w:r>
          </w:p>
        </w:tc>
        <w:tc>
          <w:tcPr>
            <w:tcW w:w="5771" w:type="dxa"/>
            <w:shd w:val="clear" w:color="auto" w:fill="auto"/>
            <w:vAlign w:val="center"/>
          </w:tcPr>
          <w:p w14:paraId="28DE44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1、交货地点：采购人指定地点</w:t>
            </w:r>
          </w:p>
          <w:p w14:paraId="678F18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2、交货期：合同签订后30日历天</w:t>
            </w:r>
          </w:p>
          <w:p w14:paraId="1DFB56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cs="Times New Roman" w:asciiTheme="minorHAnsi" w:hAnsiTheme="minorHAnsi" w:eastAsiaTheme="minorEastAsia"/>
                <w:sz w:val="24"/>
                <w:szCs w:val="24"/>
                <w:lang w:val="en-US" w:eastAsia="zh-CN" w:bidi="ar-SA"/>
              </w:rPr>
            </w:pPr>
            <w:r>
              <w:rPr>
                <w:rFonts w:hint="eastAsia" w:ascii="宋体" w:hAnsi="宋体" w:eastAsia="宋体" w:cs="宋体"/>
                <w:sz w:val="21"/>
                <w:lang w:val="en-US" w:eastAsia="zh-CN"/>
              </w:rPr>
              <w:t>3、质保期：自验收合格后两年</w:t>
            </w:r>
          </w:p>
        </w:tc>
      </w:tr>
      <w:tr w14:paraId="603F75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D3457C4">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31</w:t>
            </w:r>
          </w:p>
        </w:tc>
        <w:tc>
          <w:tcPr>
            <w:tcW w:w="2405" w:type="dxa"/>
            <w:shd w:val="clear" w:color="auto" w:fill="auto"/>
            <w:vAlign w:val="center"/>
          </w:tcPr>
          <w:p w14:paraId="617C0A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付款方式</w:t>
            </w:r>
          </w:p>
        </w:tc>
        <w:tc>
          <w:tcPr>
            <w:tcW w:w="5771" w:type="dxa"/>
            <w:shd w:val="clear" w:color="auto" w:fill="auto"/>
            <w:vAlign w:val="center"/>
          </w:tcPr>
          <w:p w14:paraId="57B0E1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1、结算单位：采购人结算，在付款前必须开具等额发票给采购人。</w:t>
            </w:r>
          </w:p>
          <w:p w14:paraId="63B06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sz w:val="21"/>
                <w:szCs w:val="24"/>
                <w:highlight w:val="none"/>
                <w:lang w:val="en-US" w:eastAsia="zh-CN" w:bidi="ar-SA"/>
              </w:rPr>
            </w:pPr>
            <w:r>
              <w:rPr>
                <w:rFonts w:hint="eastAsia" w:ascii="宋体" w:hAnsi="宋体" w:eastAsia="宋体" w:cs="宋体"/>
                <w:sz w:val="21"/>
                <w:highlight w:val="none"/>
                <w:lang w:val="en-US" w:eastAsia="zh-CN"/>
              </w:rPr>
              <w:t>2、结算方式：设备到货验收完成支付40%的合同款；设备安装调试完毕后，试运行、检测、仪器质量检查等最终验收合格且环境质量检测合格并出具检测报告后支付60%的合同款。</w:t>
            </w:r>
          </w:p>
        </w:tc>
      </w:tr>
      <w:tr w14:paraId="1E5E04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3F7C189">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宋体" w:hAnsi="宋体" w:eastAsia="宋体" w:cs="宋体"/>
                <w:sz w:val="21"/>
                <w:szCs w:val="24"/>
                <w:lang w:val="en-US" w:eastAsia="zh-CN" w:bidi="ar-SA"/>
              </w:rPr>
            </w:pPr>
            <w:r>
              <w:rPr>
                <w:rFonts w:hint="eastAsia" w:ascii="宋体" w:hAnsi="宋体" w:eastAsia="宋体" w:cs="宋体"/>
                <w:sz w:val="21"/>
                <w:lang w:val="en-US" w:eastAsia="zh-CN"/>
              </w:rPr>
              <w:t>32</w:t>
            </w:r>
          </w:p>
        </w:tc>
        <w:tc>
          <w:tcPr>
            <w:tcW w:w="2405" w:type="dxa"/>
            <w:shd w:val="clear" w:color="auto" w:fill="auto"/>
            <w:vAlign w:val="center"/>
          </w:tcPr>
          <w:p w14:paraId="3E400C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sz w:val="21"/>
                <w:lang w:val="en-US" w:eastAsia="zh-CN"/>
              </w:rPr>
            </w:pPr>
            <w:r>
              <w:rPr>
                <w:rFonts w:hint="default" w:ascii="宋体" w:hAnsi="宋体" w:eastAsia="宋体" w:cs="宋体"/>
                <w:sz w:val="21"/>
                <w:lang w:val="en-US" w:eastAsia="zh-CN"/>
              </w:rPr>
              <w:t>特殊情况处理</w:t>
            </w:r>
          </w:p>
        </w:tc>
        <w:tc>
          <w:tcPr>
            <w:tcW w:w="5771" w:type="dxa"/>
            <w:shd w:val="clear" w:color="auto" w:fill="auto"/>
            <w:vAlign w:val="center"/>
          </w:tcPr>
          <w:p w14:paraId="53A735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sz w:val="21"/>
                <w:lang w:val="en-US" w:eastAsia="zh-CN"/>
              </w:rPr>
            </w:pPr>
            <w:r>
              <w:rPr>
                <w:rFonts w:hint="default" w:ascii="宋体" w:hAnsi="宋体" w:eastAsia="宋体" w:cs="宋体"/>
                <w:sz w:val="21"/>
                <w:lang w:val="en-US" w:eastAsia="zh-CN"/>
              </w:rPr>
              <w:t>当</w:t>
            </w:r>
            <w:r>
              <w:rPr>
                <w:rFonts w:hint="eastAsia" w:ascii="宋体" w:hAnsi="宋体" w:eastAsia="宋体" w:cs="宋体"/>
                <w:sz w:val="21"/>
                <w:lang w:val="en-US" w:eastAsia="zh-CN"/>
              </w:rPr>
              <w:t>投标人</w:t>
            </w:r>
            <w:r>
              <w:rPr>
                <w:rFonts w:hint="default" w:ascii="宋体" w:hAnsi="宋体" w:eastAsia="宋体" w:cs="宋体"/>
                <w:sz w:val="21"/>
                <w:lang w:val="en-US" w:eastAsia="zh-CN"/>
              </w:rPr>
              <w:t>不足 3 家时，按照相关法律、法规及有关规定执行。</w:t>
            </w:r>
          </w:p>
        </w:tc>
      </w:tr>
      <w:tr w14:paraId="685F6CF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02ECB4E7">
            <w:pPr>
              <w:pStyle w:val="7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sz w:val="21"/>
                <w:lang w:val="en-US" w:eastAsia="zh-CN"/>
              </w:rPr>
            </w:pPr>
            <w:r>
              <w:rPr>
                <w:rFonts w:hint="eastAsia" w:ascii="宋体" w:hAnsi="宋体" w:eastAsia="宋体" w:cs="宋体"/>
                <w:sz w:val="21"/>
                <w:lang w:val="en-US" w:eastAsia="zh-CN"/>
              </w:rPr>
              <w:t>33</w:t>
            </w:r>
          </w:p>
        </w:tc>
        <w:tc>
          <w:tcPr>
            <w:tcW w:w="2405" w:type="dxa"/>
            <w:shd w:val="clear" w:color="auto" w:fill="auto"/>
            <w:vAlign w:val="center"/>
          </w:tcPr>
          <w:p w14:paraId="2A11E9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sz w:val="21"/>
                <w:highlight w:val="none"/>
                <w:lang w:val="en-US" w:eastAsia="zh-CN"/>
              </w:rPr>
            </w:pPr>
            <w:r>
              <w:rPr>
                <w:rFonts w:hint="default" w:ascii="宋体" w:hAnsi="宋体" w:eastAsia="宋体" w:cs="宋体"/>
                <w:sz w:val="21"/>
                <w:highlight w:val="none"/>
                <w:lang w:val="en-US" w:eastAsia="zh-CN"/>
              </w:rPr>
              <w:t>政府采购服务类中小企业说明</w:t>
            </w:r>
          </w:p>
        </w:tc>
        <w:tc>
          <w:tcPr>
            <w:tcW w:w="5771" w:type="dxa"/>
            <w:shd w:val="clear" w:color="auto" w:fill="auto"/>
            <w:vAlign w:val="center"/>
          </w:tcPr>
          <w:p w14:paraId="679B4C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《中小企业划型标准规定》（工信部联企业[2011]300号）</w:t>
            </w:r>
          </w:p>
          <w:p w14:paraId="1EC88A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一、根据《中华人民共和国中小企业促进法》和《国务院关于进一步促进中小企业发展的若干意见》（国发〔2009〕36号），制定本规定。</w:t>
            </w:r>
          </w:p>
          <w:p w14:paraId="2FC96C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二、中小企业划分为中型、小型、微型三种类型，具体标准根据企业从业人员、营业收入、资产总额等指标，结合行业特点制定。</w:t>
            </w:r>
          </w:p>
          <w:p w14:paraId="09DFFC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D4FD9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ascii="宋体" w:hAnsi="宋体" w:eastAsia="宋体" w:cs="宋体"/>
                <w:sz w:val="21"/>
                <w:highlight w:val="none"/>
                <w:lang w:val="en-US" w:eastAsia="zh-CN"/>
              </w:rPr>
            </w:pPr>
            <w:r>
              <w:rPr>
                <w:rFonts w:hint="default" w:ascii="宋体" w:hAnsi="宋体" w:eastAsia="宋体" w:cs="宋体"/>
                <w:sz w:val="21"/>
                <w:highlight w:val="none"/>
                <w:lang w:val="en-US" w:eastAsia="zh-CN"/>
              </w:rPr>
              <w:t>四、本项目划分标准</w:t>
            </w:r>
          </w:p>
          <w:p w14:paraId="79F791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rPr>
                <w:rFonts w:hint="default"/>
                <w:highlight w:val="none"/>
                <w:lang w:val="en-US" w:eastAsia="zh-CN"/>
              </w:rPr>
            </w:pPr>
            <w:r>
              <w:rPr>
                <w:rFonts w:hint="eastAsia" w:ascii="宋体" w:hAnsi="宋体" w:eastAsia="宋体" w:cs="宋体"/>
                <w:b/>
                <w:bCs/>
                <w:sz w:val="21"/>
                <w:highlight w:val="none"/>
                <w:lang w:val="en-US" w:eastAsia="zh-CN"/>
              </w:rPr>
              <w:t>工业</w:t>
            </w:r>
            <w:r>
              <w:rPr>
                <w:rFonts w:hint="default" w:ascii="宋体" w:hAnsi="宋体" w:eastAsia="宋体" w:cs="宋体"/>
                <w:b/>
                <w:bCs/>
                <w:sz w:val="21"/>
                <w:highlight w:val="none"/>
                <w:lang w:val="en-US"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bl>
    <w:p w14:paraId="7F02B463">
      <w:pPr>
        <w:rPr>
          <w:rFonts w:hint="eastAsia" w:ascii="宋体" w:hAnsi="宋体" w:eastAsia="宋体" w:cs="宋体"/>
        </w:rPr>
      </w:pPr>
      <w:r>
        <w:rPr>
          <w:rFonts w:hint="eastAsia" w:ascii="宋体" w:hAnsi="宋体" w:eastAsia="宋体" w:cs="宋体"/>
        </w:rPr>
        <w:br w:type="page"/>
      </w:r>
    </w:p>
    <w:p w14:paraId="47D3674C">
      <w:pPr>
        <w:pStyle w:val="4"/>
        <w:spacing w:line="360" w:lineRule="auto"/>
        <w:jc w:val="both"/>
        <w:rPr>
          <w:rFonts w:hint="eastAsia" w:ascii="宋体" w:hAnsi="宋体" w:eastAsia="宋体" w:cs="宋体"/>
        </w:rPr>
      </w:pPr>
      <w:r>
        <w:rPr>
          <w:rFonts w:hint="eastAsia" w:ascii="宋体" w:hAnsi="宋体" w:eastAsia="宋体" w:cs="宋体"/>
        </w:rPr>
        <w:t>一、有关定义</w:t>
      </w:r>
    </w:p>
    <w:p w14:paraId="42FF8881">
      <w:pPr>
        <w:spacing w:line="360" w:lineRule="auto"/>
        <w:ind w:firstLine="480" w:firstLineChars="200"/>
        <w:jc w:val="both"/>
        <w:rPr>
          <w:rFonts w:hint="eastAsia" w:ascii="宋体" w:hAnsi="宋体" w:eastAsia="宋体" w:cs="宋体"/>
        </w:rPr>
      </w:pPr>
      <w:r>
        <w:rPr>
          <w:rFonts w:hint="eastAsia" w:ascii="宋体" w:hAnsi="宋体" w:eastAsia="宋体" w:cs="宋体"/>
        </w:rPr>
        <w:t>1．采购人：依法进行政府采购的西安市市级机关、事业单位或团体组织。</w:t>
      </w:r>
    </w:p>
    <w:p w14:paraId="3042E49B">
      <w:pPr>
        <w:spacing w:line="360" w:lineRule="auto"/>
        <w:ind w:firstLine="48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投标人</w:t>
      </w:r>
      <w:r>
        <w:rPr>
          <w:rFonts w:hint="eastAsia" w:ascii="宋体" w:hAnsi="宋体" w:eastAsia="宋体" w:cs="宋体"/>
        </w:rPr>
        <w:t>：指向采购人提供货物、工程或者服务的法人、其他组织或者自然人。</w:t>
      </w:r>
    </w:p>
    <w:p w14:paraId="2652C784">
      <w:pPr>
        <w:spacing w:line="360" w:lineRule="auto"/>
        <w:ind w:firstLine="480" w:firstLineChars="200"/>
        <w:jc w:val="both"/>
        <w:rPr>
          <w:rFonts w:hint="eastAsia" w:ascii="宋体" w:hAnsi="宋体" w:eastAsia="宋体" w:cs="宋体"/>
        </w:rPr>
      </w:pPr>
      <w:r>
        <w:rPr>
          <w:rFonts w:hint="eastAsia" w:ascii="宋体" w:hAnsi="宋体" w:eastAsia="宋体" w:cs="宋体"/>
        </w:rPr>
        <w:t>3．同级政府采购监管部门：西安市财政局政府采购管理处。</w:t>
      </w:r>
    </w:p>
    <w:p w14:paraId="2388EA07">
      <w:pPr>
        <w:spacing w:line="360" w:lineRule="auto"/>
        <w:ind w:firstLine="480" w:firstLineChars="200"/>
        <w:jc w:val="both"/>
        <w:rPr>
          <w:rFonts w:hint="eastAsia" w:ascii="宋体" w:hAnsi="宋体" w:eastAsia="宋体" w:cs="宋体"/>
        </w:rPr>
      </w:pPr>
      <w:r>
        <w:rPr>
          <w:rFonts w:hint="eastAsia" w:ascii="宋体" w:hAnsi="宋体" w:eastAsia="宋体" w:cs="宋体"/>
        </w:rPr>
        <w:t>4．西安市公共资源交易平台：即【全国公共资源交易平台（陕西省·西安市）】的简称，官网地址</w:t>
      </w:r>
      <w:r>
        <w:rPr>
          <w:rFonts w:hint="eastAsia" w:ascii="宋体" w:hAnsi="宋体" w:eastAsia="宋体" w:cs="宋体"/>
        </w:rPr>
        <w:fldChar w:fldCharType="begin"/>
      </w:r>
      <w:r>
        <w:rPr>
          <w:rFonts w:hint="eastAsia" w:ascii="宋体" w:hAnsi="宋体" w:eastAsia="宋体" w:cs="宋体"/>
        </w:rPr>
        <w:instrText xml:space="preserve"> HYPERLINK "http://sxggzyjy.xa.gov.cn/" </w:instrText>
      </w:r>
      <w:r>
        <w:rPr>
          <w:rFonts w:hint="eastAsia" w:ascii="宋体" w:hAnsi="宋体" w:eastAsia="宋体" w:cs="宋体"/>
        </w:rPr>
        <w:fldChar w:fldCharType="separate"/>
      </w:r>
      <w:r>
        <w:rPr>
          <w:rStyle w:val="39"/>
          <w:rFonts w:hint="eastAsia" w:ascii="宋体" w:hAnsi="宋体" w:eastAsia="宋体" w:cs="宋体"/>
        </w:rPr>
        <w:t>http</w:t>
      </w:r>
      <w:r>
        <w:rPr>
          <w:rStyle w:val="39"/>
          <w:rFonts w:hint="eastAsia" w:ascii="宋体" w:hAnsi="宋体" w:eastAsia="宋体" w:cs="宋体"/>
          <w:lang w:eastAsia="zh-CN"/>
        </w:rPr>
        <w:t>：</w:t>
      </w:r>
      <w:r>
        <w:rPr>
          <w:rStyle w:val="39"/>
          <w:rFonts w:hint="eastAsia" w:ascii="宋体" w:hAnsi="宋体" w:eastAsia="宋体" w:cs="宋体"/>
        </w:rPr>
        <w:t>//sxggzyjy.xa.gov.cn/</w:t>
      </w:r>
      <w:r>
        <w:rPr>
          <w:rStyle w:val="39"/>
          <w:rFonts w:hint="eastAsia" w:ascii="宋体" w:hAnsi="宋体" w:eastAsia="宋体" w:cs="宋体"/>
        </w:rPr>
        <w:fldChar w:fldCharType="end"/>
      </w:r>
      <w:r>
        <w:rPr>
          <w:rFonts w:hint="eastAsia" w:ascii="宋体" w:hAnsi="宋体" w:eastAsia="宋体" w:cs="宋体"/>
        </w:rPr>
        <w:t>。</w:t>
      </w:r>
    </w:p>
    <w:p w14:paraId="7984B5B3">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rPr>
      </w:pPr>
      <w:r>
        <w:rPr>
          <w:rFonts w:hint="eastAsia" w:ascii="宋体" w:hAnsi="宋体" w:eastAsia="宋体" w:cs="宋体"/>
        </w:rPr>
        <w:t>5．企业端：指西安市公共资源交易平台〖首页〉电子交易平台〉陕西政府采购交易系统〉企业端〗，快捷登录网址</w:t>
      </w:r>
      <w:r>
        <w:rPr>
          <w:rFonts w:hint="eastAsia" w:ascii="宋体" w:hAnsi="宋体" w:eastAsia="宋体" w:cs="宋体"/>
        </w:rPr>
        <w:fldChar w:fldCharType="begin"/>
      </w:r>
      <w:r>
        <w:rPr>
          <w:rFonts w:hint="eastAsia" w:ascii="宋体" w:hAnsi="宋体" w:eastAsia="宋体" w:cs="宋体"/>
        </w:rPr>
        <w:instrText xml:space="preserve"> HYPERLINK "http://www.sxggzyjy.cn:9002/TPBidder/memberLogin" </w:instrText>
      </w:r>
      <w:r>
        <w:rPr>
          <w:rFonts w:hint="eastAsia" w:ascii="宋体" w:hAnsi="宋体" w:eastAsia="宋体" w:cs="宋体"/>
        </w:rPr>
        <w:fldChar w:fldCharType="separate"/>
      </w:r>
      <w:r>
        <w:rPr>
          <w:rStyle w:val="39"/>
          <w:rFonts w:hint="eastAsia" w:ascii="宋体" w:hAnsi="宋体" w:eastAsia="宋体" w:cs="宋体"/>
        </w:rPr>
        <w:t>http</w:t>
      </w:r>
      <w:r>
        <w:rPr>
          <w:rStyle w:val="39"/>
          <w:rFonts w:hint="eastAsia" w:ascii="宋体" w:hAnsi="宋体" w:eastAsia="宋体" w:cs="宋体"/>
          <w:lang w:eastAsia="zh-CN"/>
        </w:rPr>
        <w:t>：</w:t>
      </w:r>
      <w:r>
        <w:rPr>
          <w:rStyle w:val="39"/>
          <w:rFonts w:hint="eastAsia" w:ascii="宋体" w:hAnsi="宋体" w:eastAsia="宋体" w:cs="宋体"/>
        </w:rPr>
        <w:t>//www.sxggzyjy.cn</w:t>
      </w:r>
      <w:r>
        <w:rPr>
          <w:rStyle w:val="39"/>
          <w:rFonts w:hint="eastAsia" w:ascii="宋体" w:hAnsi="宋体" w:eastAsia="宋体" w:cs="宋体"/>
          <w:lang w:eastAsia="zh-CN"/>
        </w:rPr>
        <w:t>：</w:t>
      </w:r>
      <w:r>
        <w:rPr>
          <w:rStyle w:val="39"/>
          <w:rFonts w:hint="eastAsia" w:ascii="宋体" w:hAnsi="宋体" w:eastAsia="宋体" w:cs="宋体"/>
        </w:rPr>
        <w:t>9002/TPBidder/memberLogin</w:t>
      </w:r>
      <w:r>
        <w:rPr>
          <w:rStyle w:val="39"/>
          <w:rFonts w:hint="eastAsia" w:ascii="宋体" w:hAnsi="宋体" w:eastAsia="宋体" w:cs="宋体"/>
        </w:rPr>
        <w:fldChar w:fldCharType="end"/>
      </w:r>
      <w:r>
        <w:rPr>
          <w:rFonts w:hint="eastAsia" w:ascii="宋体" w:hAnsi="宋体" w:eastAsia="宋体" w:cs="宋体"/>
        </w:rPr>
        <w:t>。</w:t>
      </w:r>
    </w:p>
    <w:p w14:paraId="03E28A14">
      <w:pPr>
        <w:pStyle w:val="4"/>
        <w:spacing w:line="360" w:lineRule="auto"/>
        <w:jc w:val="both"/>
        <w:rPr>
          <w:rFonts w:hint="eastAsia" w:ascii="宋体" w:hAnsi="宋体" w:eastAsia="宋体" w:cs="宋体"/>
          <w:color w:val="auto"/>
        </w:rPr>
      </w:pPr>
      <w:r>
        <w:rPr>
          <w:rFonts w:hint="eastAsia" w:ascii="宋体" w:hAnsi="宋体" w:eastAsia="宋体" w:cs="宋体"/>
        </w:rPr>
        <w:t>二、</w:t>
      </w:r>
      <w:r>
        <w:rPr>
          <w:rFonts w:hint="eastAsia" w:ascii="宋体" w:hAnsi="宋体" w:eastAsia="宋体" w:cs="宋体"/>
          <w:color w:val="auto"/>
          <w:lang w:eastAsia="zh-CN"/>
        </w:rPr>
        <w:t>投标人</w:t>
      </w:r>
      <w:r>
        <w:rPr>
          <w:rFonts w:hint="eastAsia" w:ascii="宋体" w:hAnsi="宋体" w:eastAsia="宋体" w:cs="宋体"/>
          <w:color w:val="auto"/>
        </w:rPr>
        <w:t>注意事项</w:t>
      </w:r>
    </w:p>
    <w:p w14:paraId="1F48623F">
      <w:pPr>
        <w:pStyle w:val="7"/>
        <w:spacing w:line="360" w:lineRule="auto"/>
        <w:ind w:firstLine="482"/>
        <w:jc w:val="both"/>
        <w:rPr>
          <w:rFonts w:hint="eastAsia" w:ascii="宋体" w:hAnsi="宋体" w:eastAsia="宋体" w:cs="宋体"/>
          <w:color w:val="auto"/>
        </w:rPr>
      </w:pPr>
      <w:r>
        <w:rPr>
          <w:rFonts w:hint="eastAsia" w:ascii="宋体" w:hAnsi="宋体" w:eastAsia="宋体" w:cs="宋体"/>
          <w:color w:val="auto"/>
        </w:rPr>
        <w:t>（一）</w:t>
      </w:r>
      <w:r>
        <w:rPr>
          <w:rFonts w:hint="eastAsia" w:ascii="宋体" w:hAnsi="宋体" w:cs="宋体"/>
          <w:color w:val="auto"/>
          <w:lang w:eastAsia="zh-CN"/>
        </w:rPr>
        <w:t>投标人</w:t>
      </w:r>
      <w:r>
        <w:rPr>
          <w:rFonts w:hint="eastAsia" w:ascii="宋体" w:hAnsi="宋体" w:eastAsia="宋体" w:cs="宋体"/>
          <w:color w:val="auto"/>
        </w:rPr>
        <w:t>投</w:t>
      </w:r>
      <w:r>
        <w:rPr>
          <w:rFonts w:hint="eastAsia" w:ascii="宋体" w:hAnsi="宋体" w:eastAsia="宋体" w:cs="宋体"/>
          <w:color w:val="auto"/>
          <w:w w:val="1"/>
        </w:rPr>
        <w:t xml:space="preserve"> </w:t>
      </w:r>
      <w:r>
        <w:rPr>
          <w:rFonts w:hint="eastAsia" w:ascii="宋体" w:hAnsi="宋体" w:eastAsia="宋体" w:cs="宋体"/>
          <w:color w:val="auto"/>
        </w:rPr>
        <w:t>标流程</w:t>
      </w:r>
    </w:p>
    <w:p w14:paraId="6798795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使用电子交易系统的采购项目（即线上项目），将同时提供WORD\PDF格式（仅用于预览）和SXSZF格式（用于制作电子投标文件）两个版本，文件内容一致。</w:t>
      </w:r>
    </w:p>
    <w:p w14:paraId="4123577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1．预览采购文件：打开西安市公共资源交易平台〖首页</w:t>
      </w:r>
      <w:r>
        <w:rPr>
          <w:rFonts w:hint="eastAsia" w:ascii="宋体" w:hAnsi="宋体" w:eastAsia="宋体" w:cs="宋体"/>
          <w:color w:val="auto"/>
          <w:lang w:eastAsia="zh-CN"/>
        </w:rPr>
        <w:t>〉</w:t>
      </w:r>
      <w:r>
        <w:rPr>
          <w:rFonts w:hint="eastAsia" w:ascii="宋体" w:hAnsi="宋体" w:eastAsia="宋体" w:cs="宋体"/>
          <w:color w:val="auto"/>
        </w:rPr>
        <w:t>交易大厅</w:t>
      </w:r>
      <w:r>
        <w:rPr>
          <w:rFonts w:hint="eastAsia" w:ascii="宋体" w:hAnsi="宋体" w:eastAsia="宋体" w:cs="宋体"/>
          <w:color w:val="auto"/>
          <w:lang w:eastAsia="zh-CN"/>
        </w:rPr>
        <w:t>〉</w:t>
      </w:r>
      <w:r>
        <w:rPr>
          <w:rFonts w:hint="eastAsia" w:ascii="宋体" w:hAnsi="宋体" w:eastAsia="宋体" w:cs="宋体"/>
          <w:color w:val="auto"/>
        </w:rPr>
        <w:t>政府采购〗栏目，下载和阅读本项目采购文件的预览版本（WORD</w:t>
      </w:r>
      <w:r>
        <w:rPr>
          <w:rFonts w:hint="eastAsia" w:ascii="宋体" w:hAnsi="宋体" w:eastAsia="宋体" w:cs="宋体"/>
          <w:color w:val="auto"/>
          <w:lang w:val="en-US" w:eastAsia="zh-CN"/>
        </w:rPr>
        <w:t>\</w:t>
      </w:r>
      <w:r>
        <w:rPr>
          <w:rFonts w:hint="eastAsia" w:ascii="宋体" w:hAnsi="宋体" w:eastAsia="宋体" w:cs="宋体"/>
          <w:color w:val="auto"/>
        </w:rPr>
        <w:t>PDF格式）；</w:t>
      </w:r>
    </w:p>
    <w:p w14:paraId="19CF93A2">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2．办理注册登记（针对初次使用电子交易系统的用户）：</w:t>
      </w:r>
    </w:p>
    <w:p w14:paraId="0A6821F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（1）办理诚信入库注册：在决定参加本项目采购活动后，</w:t>
      </w:r>
      <w:r>
        <w:rPr>
          <w:rFonts w:hint="eastAsia" w:ascii="宋体" w:hAnsi="宋体" w:eastAsia="宋体" w:cs="宋体"/>
          <w:color w:val="auto"/>
          <w:lang w:eastAsia="zh-CN"/>
        </w:rPr>
        <w:t>投标人</w:t>
      </w:r>
      <w:r>
        <w:rPr>
          <w:rFonts w:hint="eastAsia" w:ascii="宋体" w:hAnsi="宋体" w:eastAsia="宋体" w:cs="宋体"/>
          <w:color w:val="auto"/>
        </w:rPr>
        <w:t>应先在西安市公共资源交易平台上完成“诚信入库登记”；</w:t>
      </w:r>
    </w:p>
    <w:p w14:paraId="33979C64">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24271EF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办理须知：http</w:t>
      </w:r>
      <w:r>
        <w:rPr>
          <w:rFonts w:hint="eastAsia" w:ascii="宋体" w:hAnsi="宋体" w:eastAsia="宋体" w:cs="宋体"/>
          <w:color w:val="auto"/>
          <w:lang w:eastAsia="zh-CN"/>
        </w:rPr>
        <w:t>：</w:t>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"http://www.snca.com.cn/channel/show/27.html" </w:instrText>
      </w:r>
      <w:r>
        <w:rPr>
          <w:rFonts w:hint="eastAsia" w:ascii="宋体" w:hAnsi="宋体" w:eastAsia="宋体" w:cs="宋体"/>
          <w:color w:val="auto"/>
        </w:rPr>
        <w:fldChar w:fldCharType="separate"/>
      </w:r>
      <w:r>
        <w:rPr>
          <w:rStyle w:val="39"/>
          <w:rFonts w:hint="eastAsia" w:ascii="宋体" w:hAnsi="宋体" w:eastAsia="宋体" w:cs="宋体"/>
          <w:color w:val="auto"/>
        </w:rPr>
        <w:t>www.snca.com.cn/channel/show/27.html</w:t>
      </w:r>
      <w:r>
        <w:rPr>
          <w:rStyle w:val="39"/>
          <w:rFonts w:hint="eastAsia" w:ascii="宋体" w:hAnsi="宋体" w:eastAsia="宋体" w:cs="宋体"/>
          <w:color w:val="auto"/>
        </w:rPr>
        <w:fldChar w:fldCharType="end"/>
      </w:r>
    </w:p>
    <w:p w14:paraId="26D953CA">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（3）绑定和激活CA：将数字证书与诚信库中的</w:t>
      </w:r>
      <w:r>
        <w:rPr>
          <w:rFonts w:hint="eastAsia" w:ascii="宋体" w:hAnsi="宋体" w:eastAsia="宋体" w:cs="宋体"/>
          <w:color w:val="auto"/>
          <w:lang w:eastAsia="zh-CN"/>
        </w:rPr>
        <w:t>投标人</w:t>
      </w:r>
      <w:r>
        <w:rPr>
          <w:rFonts w:hint="eastAsia" w:ascii="宋体" w:hAnsi="宋体" w:eastAsia="宋体" w:cs="宋体"/>
          <w:color w:val="auto"/>
        </w:rPr>
        <w:t>账户进行绑定。</w:t>
      </w:r>
    </w:p>
    <w:p w14:paraId="3F726578">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3．下载电子招标文件：</w:t>
      </w:r>
      <w:r>
        <w:rPr>
          <w:rFonts w:hint="eastAsia" w:ascii="宋体" w:hAnsi="宋体" w:eastAsia="宋体" w:cs="宋体"/>
          <w:color w:val="auto"/>
          <w:lang w:eastAsia="zh-CN"/>
        </w:rPr>
        <w:t>投标人</w:t>
      </w:r>
      <w:r>
        <w:rPr>
          <w:rFonts w:hint="eastAsia" w:ascii="宋体" w:hAnsi="宋体" w:eastAsia="宋体" w:cs="宋体"/>
          <w:color w:val="auto"/>
        </w:rPr>
        <w:t>应登录西安市公共资源交易平台〖首页</w:t>
      </w:r>
      <w:r>
        <w:rPr>
          <w:rFonts w:hint="eastAsia" w:ascii="宋体" w:hAnsi="宋体" w:eastAsia="宋体" w:cs="宋体"/>
          <w:color w:val="auto"/>
          <w:lang w:eastAsia="zh-CN"/>
        </w:rPr>
        <w:t>〉</w:t>
      </w:r>
      <w:r>
        <w:rPr>
          <w:rFonts w:hint="eastAsia" w:ascii="宋体" w:hAnsi="宋体" w:eastAsia="宋体" w:cs="宋体"/>
          <w:color w:val="auto"/>
        </w:rPr>
        <w:t>电子交易平台</w:t>
      </w:r>
      <w:r>
        <w:rPr>
          <w:rFonts w:hint="eastAsia" w:ascii="宋体" w:hAnsi="宋体" w:eastAsia="宋体" w:cs="宋体"/>
          <w:color w:val="auto"/>
          <w:lang w:eastAsia="zh-CN"/>
        </w:rPr>
        <w:t>〉</w:t>
      </w:r>
      <w:r>
        <w:rPr>
          <w:rFonts w:hint="eastAsia" w:ascii="宋体" w:hAnsi="宋体" w:eastAsia="宋体" w:cs="宋体"/>
          <w:color w:val="auto"/>
        </w:rPr>
        <w:t>陕西政府采购交易系统</w:t>
      </w:r>
      <w:r>
        <w:rPr>
          <w:rFonts w:hint="eastAsia" w:ascii="宋体" w:hAnsi="宋体" w:eastAsia="宋体" w:cs="宋体"/>
          <w:color w:val="auto"/>
          <w:lang w:eastAsia="zh-CN"/>
        </w:rPr>
        <w:t>〉</w:t>
      </w:r>
      <w:r>
        <w:rPr>
          <w:rFonts w:hint="eastAsia" w:ascii="宋体" w:hAnsi="宋体" w:eastAsia="宋体" w:cs="宋体"/>
          <w:color w:val="auto"/>
        </w:rPr>
        <w:t>企业端〗，在〖招</w:t>
      </w:r>
      <w:r>
        <w:rPr>
          <w:rFonts w:hint="eastAsia" w:ascii="宋体" w:hAnsi="宋体" w:eastAsia="宋体" w:cs="宋体"/>
          <w:color w:val="auto"/>
          <w:w w:val="1"/>
        </w:rPr>
        <w:t xml:space="preserve"> </w:t>
      </w:r>
      <w:r>
        <w:rPr>
          <w:rFonts w:hint="eastAsia" w:ascii="宋体" w:hAnsi="宋体" w:eastAsia="宋体" w:cs="宋体"/>
          <w:color w:val="auto"/>
        </w:rPr>
        <w:t>标公告/出让公告〗模块中预览全部可供参与的项目，然后选择有意向的项目点击〖我要投标〗，成功后切换到〖我的项目〗模块，依次点选〖项目流程</w:t>
      </w:r>
      <w:r>
        <w:rPr>
          <w:rFonts w:hint="eastAsia" w:ascii="宋体" w:hAnsi="宋体" w:eastAsia="宋体" w:cs="宋体"/>
          <w:color w:val="auto"/>
          <w:lang w:eastAsia="zh-CN"/>
        </w:rPr>
        <w:t>〉</w:t>
      </w:r>
      <w:r>
        <w:rPr>
          <w:rFonts w:hint="eastAsia" w:ascii="宋体" w:hAnsi="宋体" w:eastAsia="宋体" w:cs="宋体"/>
          <w:color w:val="auto"/>
        </w:rPr>
        <w:t>项目管理</w:t>
      </w:r>
      <w:r>
        <w:rPr>
          <w:rFonts w:hint="eastAsia" w:ascii="宋体" w:hAnsi="宋体" w:eastAsia="宋体" w:cs="宋体"/>
          <w:color w:val="auto"/>
          <w:lang w:eastAsia="zh-CN"/>
        </w:rPr>
        <w:t>〉</w:t>
      </w:r>
      <w:r>
        <w:rPr>
          <w:rFonts w:hint="eastAsia" w:ascii="宋体" w:hAnsi="宋体" w:eastAsia="宋体" w:cs="宋体"/>
          <w:color w:val="auto"/>
        </w:rPr>
        <w:t>交易文件下载〗免费获取本项目电子招标文件（*.SXSZF）。请务必在采购文件获取期限内及时下载电子招标文件并做好备份，逾期无法再下载！</w:t>
      </w:r>
    </w:p>
    <w:p w14:paraId="6A2C7287">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4．制作电子投标文件：需要使用专用制作软件“新点投</w:t>
      </w:r>
      <w:r>
        <w:rPr>
          <w:rFonts w:hint="eastAsia" w:ascii="宋体" w:hAnsi="宋体" w:eastAsia="宋体" w:cs="宋体"/>
          <w:color w:val="auto"/>
          <w:w w:val="1"/>
        </w:rPr>
        <w:t xml:space="preserve"> </w:t>
      </w:r>
      <w:r>
        <w:rPr>
          <w:rFonts w:hint="eastAsia" w:ascii="宋体" w:hAnsi="宋体" w:eastAsia="宋体" w:cs="宋体"/>
          <w:color w:val="auto"/>
        </w:rPr>
        <w:t>标文件制作软件（陕西公共资源）”进行编制，编制完成后使用CA锁对电子投标文件进行签章、加密。详见本章中的“投标文件”相关内容。</w:t>
      </w:r>
    </w:p>
    <w:p w14:paraId="3B6014AF">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5．提交电子投标文件：在提交投标文件截止时间前及时提交加密后电子投标文件，逾期提交的，系统将会拒收；</w:t>
      </w:r>
    </w:p>
    <w:p w14:paraId="5D4608B2">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6．在线参加开标大会：开标当日，</w:t>
      </w:r>
      <w:r>
        <w:rPr>
          <w:rFonts w:hint="eastAsia" w:ascii="宋体" w:hAnsi="宋体" w:eastAsia="宋体" w:cs="宋体"/>
          <w:color w:val="auto"/>
          <w:lang w:eastAsia="zh-CN"/>
        </w:rPr>
        <w:t>投标人</w:t>
      </w:r>
      <w:r>
        <w:rPr>
          <w:rFonts w:hint="eastAsia" w:ascii="宋体" w:hAnsi="宋体" w:eastAsia="宋体" w:cs="宋体"/>
          <w:color w:val="auto"/>
        </w:rPr>
        <w:t>法定代表人或其授权代表需提前登录“不见面开</w:t>
      </w:r>
      <w:r>
        <w:rPr>
          <w:rFonts w:hint="eastAsia" w:ascii="宋体" w:hAnsi="宋体" w:eastAsia="宋体" w:cs="宋体"/>
          <w:color w:val="auto"/>
          <w:w w:val="1"/>
        </w:rPr>
        <w:t xml:space="preserve"> </w:t>
      </w:r>
      <w:r>
        <w:rPr>
          <w:rFonts w:hint="eastAsia" w:ascii="宋体" w:hAnsi="宋体" w:eastAsia="宋体" w:cs="宋体"/>
          <w:color w:val="auto"/>
        </w:rPr>
        <w:t>标”系统，收到主持人“开始解密”指令后，使用CA锁（必须与加密文件时的CA锁为同一把锁）在线对电子投标文件进行解密。采用“不见面开</w:t>
      </w:r>
      <w:r>
        <w:rPr>
          <w:rFonts w:hint="eastAsia" w:ascii="宋体" w:hAnsi="宋体" w:eastAsia="宋体" w:cs="宋体"/>
          <w:color w:val="auto"/>
          <w:w w:val="1"/>
        </w:rPr>
        <w:t xml:space="preserve"> </w:t>
      </w:r>
      <w:r>
        <w:rPr>
          <w:rFonts w:hint="eastAsia" w:ascii="宋体" w:hAnsi="宋体" w:eastAsia="宋体" w:cs="宋体"/>
          <w:color w:val="auto"/>
        </w:rPr>
        <w:t>标”系统后，</w:t>
      </w:r>
      <w:r>
        <w:rPr>
          <w:rFonts w:hint="eastAsia" w:ascii="宋体" w:hAnsi="宋体" w:eastAsia="宋体" w:cs="宋体"/>
          <w:color w:val="auto"/>
          <w:lang w:eastAsia="zh-CN"/>
        </w:rPr>
        <w:t>投标人</w:t>
      </w:r>
      <w:r>
        <w:rPr>
          <w:rFonts w:hint="eastAsia" w:ascii="宋体" w:hAnsi="宋体" w:eastAsia="宋体" w:cs="宋体"/>
          <w:color w:val="auto"/>
        </w:rPr>
        <w:t>无需到达开标现场，即可在线参与整个开标过程。相关技术问题，请咨询软件开发商。</w:t>
      </w:r>
    </w:p>
    <w:p w14:paraId="21C6A5C3">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7．等待专家评审：评审期间，可能需要对评审专家提出的问题进行澄清或答复。在主持人宣布评审结束前，</w:t>
      </w:r>
      <w:r>
        <w:rPr>
          <w:rFonts w:hint="eastAsia" w:ascii="宋体" w:hAnsi="宋体" w:eastAsia="宋体" w:cs="宋体"/>
          <w:color w:val="auto"/>
          <w:lang w:eastAsia="zh-CN"/>
        </w:rPr>
        <w:t>投标人</w:t>
      </w:r>
      <w:r>
        <w:rPr>
          <w:rFonts w:hint="eastAsia" w:ascii="宋体" w:hAnsi="宋体" w:eastAsia="宋体" w:cs="宋体"/>
          <w:color w:val="auto"/>
        </w:rPr>
        <w:t>请勿擅自离席，否则由此造成的不利后果，由</w:t>
      </w:r>
      <w:r>
        <w:rPr>
          <w:rFonts w:hint="eastAsia" w:ascii="宋体" w:hAnsi="宋体" w:eastAsia="宋体" w:cs="宋体"/>
          <w:color w:val="auto"/>
          <w:lang w:eastAsia="zh-CN"/>
        </w:rPr>
        <w:t>投标人</w:t>
      </w:r>
      <w:r>
        <w:rPr>
          <w:rFonts w:hint="eastAsia" w:ascii="宋体" w:hAnsi="宋体" w:eastAsia="宋体" w:cs="宋体"/>
          <w:color w:val="auto"/>
        </w:rPr>
        <w:t>自行承担。</w:t>
      </w:r>
    </w:p>
    <w:p w14:paraId="52CEC485">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8．中标</w:t>
      </w:r>
      <w:r>
        <w:rPr>
          <w:rFonts w:hint="eastAsia" w:ascii="宋体" w:hAnsi="宋体" w:eastAsia="宋体" w:cs="宋体"/>
          <w:color w:val="auto"/>
          <w:lang w:eastAsia="zh-CN"/>
        </w:rPr>
        <w:t>投标人</w:t>
      </w:r>
      <w:r>
        <w:rPr>
          <w:rFonts w:hint="eastAsia" w:ascii="宋体" w:hAnsi="宋体" w:eastAsia="宋体" w:cs="宋体"/>
          <w:color w:val="auto"/>
        </w:rPr>
        <w:t>注册：按照陕西省政府采购监管部门的要求，采购代理机构在发布中标公告前，应由中标</w:t>
      </w:r>
      <w:r>
        <w:rPr>
          <w:rFonts w:hint="eastAsia" w:ascii="宋体" w:hAnsi="宋体" w:eastAsia="宋体" w:cs="宋体"/>
          <w:color w:val="auto"/>
          <w:lang w:eastAsia="zh-CN"/>
        </w:rPr>
        <w:t>投标人</w:t>
      </w:r>
      <w:r>
        <w:rPr>
          <w:rFonts w:hint="eastAsia" w:ascii="宋体" w:hAnsi="宋体" w:eastAsia="宋体" w:cs="宋体"/>
          <w:color w:val="auto"/>
        </w:rPr>
        <w:t>在陕西省政府采购网上完成注册。</w:t>
      </w:r>
    </w:p>
    <w:p w14:paraId="3FF12260">
      <w:pPr>
        <w:pStyle w:val="7"/>
        <w:spacing w:line="360" w:lineRule="auto"/>
        <w:ind w:firstLine="482"/>
        <w:jc w:val="both"/>
        <w:rPr>
          <w:rFonts w:hint="eastAsia" w:ascii="宋体" w:hAnsi="宋体" w:eastAsia="宋体" w:cs="宋体"/>
          <w:color w:val="auto"/>
        </w:rPr>
      </w:pPr>
      <w:r>
        <w:rPr>
          <w:rFonts w:hint="eastAsia" w:ascii="宋体" w:hAnsi="宋体" w:eastAsia="宋体" w:cs="宋体"/>
          <w:color w:val="auto"/>
        </w:rPr>
        <w:t>（二）关于询问、质疑和投诉</w:t>
      </w:r>
    </w:p>
    <w:p w14:paraId="26867558">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1</w:t>
      </w:r>
      <w:r>
        <w:rPr>
          <w:rFonts w:hint="eastAsia" w:ascii="宋体" w:hAnsi="宋体" w:eastAsia="宋体" w:cs="宋体"/>
          <w:color w:val="auto"/>
        </w:rPr>
        <w:t>．</w:t>
      </w:r>
      <w:r>
        <w:rPr>
          <w:rFonts w:hint="eastAsia" w:ascii="宋体" w:hAnsi="宋体" w:eastAsia="宋体" w:cs="宋体"/>
          <w:b/>
          <w:color w:val="auto"/>
        </w:rPr>
        <w:t>询问</w:t>
      </w:r>
    </w:p>
    <w:p w14:paraId="29EEA2EE">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lang w:eastAsia="zh-CN"/>
        </w:rPr>
        <w:t>投标人</w:t>
      </w:r>
      <w:r>
        <w:rPr>
          <w:rFonts w:hint="eastAsia" w:ascii="宋体" w:hAnsi="宋体" w:eastAsia="宋体" w:cs="宋体"/>
          <w:color w:val="auto"/>
        </w:rPr>
        <w:t>对政府采购活动事项有疑问的，可以向采购人或采购代理机构提出询问。采购人或采购代理机构将在3个工作日内对</w:t>
      </w:r>
      <w:r>
        <w:rPr>
          <w:rFonts w:hint="eastAsia" w:ascii="宋体" w:hAnsi="宋体" w:eastAsia="宋体" w:cs="宋体"/>
          <w:color w:val="auto"/>
          <w:lang w:eastAsia="zh-CN"/>
        </w:rPr>
        <w:t>投标人</w:t>
      </w:r>
      <w:r>
        <w:rPr>
          <w:rFonts w:hint="eastAsia" w:ascii="宋体" w:hAnsi="宋体" w:eastAsia="宋体" w:cs="宋体"/>
          <w:color w:val="auto"/>
        </w:rPr>
        <w:t>依法提出的询问作出答复。</w:t>
      </w:r>
    </w:p>
    <w:p w14:paraId="58068D56">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根据采购人和采购代理机构签订的《政府采购委托代理协议》，针对采购需求（包括采购内容、技术或服务要求、商务要求、合同条款、</w:t>
      </w:r>
      <w:r>
        <w:rPr>
          <w:rFonts w:hint="eastAsia" w:ascii="宋体" w:hAnsi="宋体" w:eastAsia="宋体" w:cs="宋体"/>
          <w:color w:val="auto"/>
          <w:lang w:eastAsia="zh-CN"/>
        </w:rPr>
        <w:t>投标人</w:t>
      </w:r>
      <w:r>
        <w:rPr>
          <w:rFonts w:hint="eastAsia" w:ascii="宋体" w:hAnsi="宋体" w:eastAsia="宋体" w:cs="宋体"/>
          <w:color w:val="auto"/>
        </w:rPr>
        <w:t>资格条件、评审要素及分值一览表）的询问请向采购人提出。</w:t>
      </w:r>
    </w:p>
    <w:p w14:paraId="1B32F56C">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color w:val="auto"/>
        </w:rPr>
        <w:t>．</w:t>
      </w:r>
      <w:r>
        <w:rPr>
          <w:rFonts w:hint="eastAsia" w:ascii="宋体" w:hAnsi="宋体" w:eastAsia="宋体" w:cs="宋体"/>
          <w:b/>
          <w:color w:val="auto"/>
        </w:rPr>
        <w:t>质疑</w:t>
      </w:r>
    </w:p>
    <w:p w14:paraId="36C1C6A4">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投标人</w:t>
      </w:r>
      <w:r>
        <w:rPr>
          <w:rFonts w:hint="eastAsia" w:ascii="宋体" w:hAnsi="宋体" w:eastAsia="宋体" w:cs="宋体"/>
          <w:color w:val="auto"/>
        </w:rPr>
        <w:t>认为采购文件、采购过程、成交结果使自己的权益受到损害的，可以在知道或应知其权益受到损害之日起7个工作日内以书面形式向采购人、采购代理机构提出。</w:t>
      </w:r>
    </w:p>
    <w:p w14:paraId="1ED50FEC">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（2）质疑方式：</w:t>
      </w:r>
    </w:p>
    <w:p w14:paraId="58943E24">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①在线质疑：</w:t>
      </w:r>
    </w:p>
    <w:p w14:paraId="1777B80F">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登录西安市公共资源交易平台〖首页</w:t>
      </w:r>
      <w:r>
        <w:rPr>
          <w:rFonts w:hint="eastAsia" w:ascii="宋体" w:hAnsi="宋体" w:eastAsia="宋体" w:cs="宋体"/>
          <w:color w:val="auto"/>
          <w:lang w:eastAsia="zh-CN"/>
        </w:rPr>
        <w:t>〉</w:t>
      </w:r>
      <w:r>
        <w:rPr>
          <w:rFonts w:hint="eastAsia" w:ascii="宋体" w:hAnsi="宋体" w:eastAsia="宋体" w:cs="宋体"/>
          <w:color w:val="auto"/>
        </w:rPr>
        <w:t>电子交易平台</w:t>
      </w:r>
      <w:r>
        <w:rPr>
          <w:rFonts w:hint="eastAsia" w:ascii="宋体" w:hAnsi="宋体" w:eastAsia="宋体" w:cs="宋体"/>
          <w:color w:val="auto"/>
          <w:lang w:eastAsia="zh-CN"/>
        </w:rPr>
        <w:t>〉</w:t>
      </w:r>
      <w:r>
        <w:rPr>
          <w:rFonts w:hint="eastAsia" w:ascii="宋体" w:hAnsi="宋体" w:eastAsia="宋体" w:cs="宋体"/>
          <w:color w:val="auto"/>
        </w:rPr>
        <w:t>企业端〗，在〖我的项目〗中点击“项目流程</w:t>
      </w:r>
      <w:r>
        <w:rPr>
          <w:rFonts w:hint="eastAsia" w:ascii="宋体" w:hAnsi="宋体" w:eastAsia="宋体" w:cs="宋体"/>
          <w:color w:val="auto"/>
          <w:lang w:eastAsia="zh-CN"/>
        </w:rPr>
        <w:t>〉</w:t>
      </w:r>
      <w:r>
        <w:rPr>
          <w:rFonts w:hint="eastAsia" w:ascii="宋体" w:hAnsi="宋体" w:eastAsia="宋体" w:cs="宋体"/>
          <w:color w:val="auto"/>
        </w:rPr>
        <w:t>提出质疑”，填写表单并提交质疑。</w:t>
      </w:r>
    </w:p>
    <w:p w14:paraId="073F09DF">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②书面质疑：</w:t>
      </w:r>
    </w:p>
    <w:p w14:paraId="21347A2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书面质疑函应按照财政部国库司制定的《政府采购供</w:t>
      </w:r>
      <w:r>
        <w:rPr>
          <w:rFonts w:hint="eastAsia" w:ascii="宋体" w:hAnsi="宋体" w:eastAsia="宋体" w:cs="宋体"/>
          <w:color w:val="auto"/>
          <w:w w:val="1"/>
        </w:rPr>
        <w:t xml:space="preserve"> </w:t>
      </w:r>
      <w:r>
        <w:rPr>
          <w:rFonts w:hint="eastAsia" w:ascii="宋体" w:hAnsi="宋体" w:eastAsia="宋体" w:cs="宋体"/>
          <w:color w:val="auto"/>
        </w:rPr>
        <w:t>应</w:t>
      </w:r>
      <w:r>
        <w:rPr>
          <w:rFonts w:hint="eastAsia" w:ascii="宋体" w:hAnsi="宋体" w:eastAsia="宋体" w:cs="宋体"/>
          <w:color w:val="auto"/>
          <w:w w:val="1"/>
        </w:rPr>
        <w:t xml:space="preserve"> </w:t>
      </w:r>
      <w:r>
        <w:rPr>
          <w:rFonts w:hint="eastAsia" w:ascii="宋体" w:hAnsi="宋体" w:eastAsia="宋体" w:cs="宋体"/>
          <w:color w:val="auto"/>
        </w:rPr>
        <w:t>商质疑函范本》（见下方链接）进行填写，签字、盖章后提交至采购人、采购代理机构。</w:t>
      </w:r>
    </w:p>
    <w:p w14:paraId="328FCE73">
      <w:pPr>
        <w:wordWrap w:val="0"/>
        <w:spacing w:line="360" w:lineRule="auto"/>
        <w:ind w:firstLine="480" w:firstLineChars="200"/>
        <w:jc w:val="both"/>
        <w:rPr>
          <w:rFonts w:hint="eastAsia" w:ascii="宋体" w:hAnsi="宋体" w:eastAsia="宋体" w:cs="宋体"/>
        </w:rPr>
      </w:pPr>
      <w:r>
        <w:rPr>
          <w:rFonts w:hint="eastAsia" w:ascii="宋体" w:hAnsi="宋体" w:eastAsia="宋体" w:cs="宋体"/>
          <w:color w:val="auto"/>
        </w:rPr>
        <w:t>质疑函范本地址：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"http://download.ccgp.gov.cn/2018/zhiyihanfanben.zip" </w:instrText>
      </w:r>
      <w:r>
        <w:rPr>
          <w:rFonts w:hint="eastAsia" w:ascii="宋体" w:hAnsi="宋体" w:eastAsia="宋体" w:cs="宋体"/>
          <w:color w:val="auto"/>
        </w:rPr>
        <w:fldChar w:fldCharType="separate"/>
      </w:r>
      <w:r>
        <w:rPr>
          <w:rStyle w:val="39"/>
          <w:rFonts w:hint="eastAsia" w:ascii="宋体" w:hAnsi="宋体" w:eastAsia="宋体" w:cs="宋体"/>
          <w:color w:val="auto"/>
        </w:rPr>
        <w:t>http</w:t>
      </w:r>
      <w:r>
        <w:rPr>
          <w:rStyle w:val="39"/>
          <w:rFonts w:hint="eastAsia" w:ascii="宋体" w:hAnsi="宋体" w:eastAsia="宋体" w:cs="宋体"/>
          <w:color w:val="auto"/>
          <w:lang w:eastAsia="zh-CN"/>
        </w:rPr>
        <w:t>：</w:t>
      </w:r>
      <w:r>
        <w:rPr>
          <w:rStyle w:val="39"/>
          <w:rFonts w:hint="eastAsia" w:ascii="宋体" w:hAnsi="宋体" w:eastAsia="宋体" w:cs="宋体"/>
          <w:color w:val="auto"/>
        </w:rPr>
        <w:t>//download.ccgp.gov.cn/2018/zhiyihanfanben.zip</w:t>
      </w:r>
      <w:r>
        <w:rPr>
          <w:rStyle w:val="39"/>
          <w:rFonts w:hint="eastAsia" w:ascii="宋体" w:hAnsi="宋体" w:eastAsia="宋体" w:cs="宋体"/>
          <w:color w:val="auto"/>
        </w:rPr>
        <w:fldChar w:fldCharType="end"/>
      </w:r>
    </w:p>
    <w:p w14:paraId="18EAAB8C">
      <w:pPr>
        <w:spacing w:line="360" w:lineRule="auto"/>
        <w:ind w:firstLine="480" w:firstLineChars="200"/>
        <w:jc w:val="both"/>
        <w:rPr>
          <w:rFonts w:hint="eastAsia" w:ascii="宋体" w:hAnsi="宋体" w:eastAsia="宋体" w:cs="宋体"/>
          <w:color w:val="auto"/>
        </w:rPr>
      </w:pPr>
      <w:r>
        <w:rPr>
          <w:rFonts w:hint="eastAsia" w:ascii="宋体" w:hAnsi="宋体" w:eastAsia="宋体" w:cs="宋体"/>
        </w:rPr>
        <w:t>（3）</w:t>
      </w:r>
      <w:r>
        <w:rPr>
          <w:rFonts w:hint="eastAsia" w:ascii="宋体" w:hAnsi="宋体" w:eastAsia="宋体" w:cs="宋体"/>
          <w:lang w:eastAsia="zh-CN"/>
        </w:rPr>
        <w:t>投标人</w:t>
      </w:r>
      <w:r>
        <w:rPr>
          <w:rFonts w:hint="eastAsia" w:ascii="宋体" w:hAnsi="宋体" w:eastAsia="宋体" w:cs="宋体"/>
        </w:rPr>
        <w:t>为自然人的，应当由本人签字；</w:t>
      </w:r>
      <w:r>
        <w:rPr>
          <w:rFonts w:hint="eastAsia" w:ascii="宋体" w:hAnsi="宋体" w:eastAsia="宋体" w:cs="宋体"/>
          <w:lang w:eastAsia="zh-CN"/>
        </w:rPr>
        <w:t>投标人</w:t>
      </w:r>
      <w:r>
        <w:rPr>
          <w:rFonts w:hint="eastAsia" w:ascii="宋体" w:hAnsi="宋体" w:eastAsia="宋体" w:cs="宋体"/>
        </w:rPr>
        <w:t>为法人或者其他组织的，应当由法定代表人、主要负责人，或者其授权代表签字或者盖章，并加盖单位公章，公章不得以合同章或其他印章代替。</w:t>
      </w:r>
      <w:r>
        <w:rPr>
          <w:rFonts w:hint="eastAsia" w:ascii="宋体" w:hAnsi="宋体" w:eastAsia="宋体" w:cs="宋体"/>
          <w:lang w:eastAsia="zh-CN"/>
        </w:rPr>
        <w:t>投标人</w:t>
      </w:r>
      <w:r>
        <w:rPr>
          <w:rFonts w:hint="eastAsia" w:ascii="宋体" w:hAnsi="宋体" w:eastAsia="宋体" w:cs="宋体"/>
        </w:rPr>
        <w:t>委托代理人提出质疑的</w:t>
      </w:r>
      <w:r>
        <w:rPr>
          <w:rFonts w:hint="eastAsia" w:ascii="宋体" w:hAnsi="宋体" w:eastAsia="宋体" w:cs="宋体"/>
          <w:color w:val="auto"/>
        </w:rPr>
        <w:t>，应当同时提交</w:t>
      </w:r>
      <w:r>
        <w:rPr>
          <w:rFonts w:hint="eastAsia" w:ascii="宋体" w:hAnsi="宋体" w:eastAsia="宋体" w:cs="宋体"/>
          <w:color w:val="auto"/>
          <w:lang w:eastAsia="zh-CN"/>
        </w:rPr>
        <w:t>投标人</w:t>
      </w:r>
      <w:r>
        <w:rPr>
          <w:rFonts w:hint="eastAsia" w:ascii="宋体" w:hAnsi="宋体" w:eastAsia="宋体" w:cs="宋体"/>
          <w:color w:val="auto"/>
        </w:rPr>
        <w:t>签署的授权委托书。</w:t>
      </w:r>
    </w:p>
    <w:p w14:paraId="4AFB751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（4）在法定质疑期内，针对同一采购程序环节的质疑应当一次性提出。采购人、采购代理机构将在收到书面质疑后7个工作日内做出答复，并以书面形式通知质疑人和其他有关</w:t>
      </w:r>
      <w:r>
        <w:rPr>
          <w:rFonts w:hint="eastAsia" w:ascii="宋体" w:hAnsi="宋体" w:eastAsia="宋体" w:cs="宋体"/>
          <w:color w:val="auto"/>
          <w:lang w:eastAsia="zh-CN"/>
        </w:rPr>
        <w:t>投标人</w:t>
      </w:r>
      <w:r>
        <w:rPr>
          <w:rFonts w:hint="eastAsia" w:ascii="宋体" w:hAnsi="宋体" w:eastAsia="宋体" w:cs="宋体"/>
          <w:color w:val="auto"/>
        </w:rPr>
        <w:t>。</w:t>
      </w:r>
    </w:p>
    <w:p w14:paraId="54260C0E">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（5）有下列情形之一的，属于无效质疑：</w:t>
      </w:r>
    </w:p>
    <w:p w14:paraId="1BFEA1A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①对采购文件提出质疑的质疑人不是依法获取采购文件的潜在</w:t>
      </w:r>
      <w:r>
        <w:rPr>
          <w:rFonts w:hint="eastAsia" w:ascii="宋体" w:hAnsi="宋体" w:eastAsia="宋体" w:cs="宋体"/>
          <w:color w:val="auto"/>
          <w:lang w:eastAsia="zh-CN"/>
        </w:rPr>
        <w:t>投标人</w:t>
      </w:r>
      <w:r>
        <w:rPr>
          <w:rFonts w:hint="eastAsia" w:ascii="宋体" w:hAnsi="宋体" w:eastAsia="宋体" w:cs="宋体"/>
          <w:color w:val="auto"/>
        </w:rPr>
        <w:t>；对采购过程、中标结果提出质疑的质疑人不是参与本次政府采购项目的</w:t>
      </w:r>
      <w:r>
        <w:rPr>
          <w:rFonts w:hint="eastAsia" w:ascii="宋体" w:hAnsi="宋体" w:eastAsia="宋体" w:cs="宋体"/>
          <w:color w:val="auto"/>
          <w:lang w:eastAsia="zh-CN"/>
        </w:rPr>
        <w:t>投标人</w:t>
      </w:r>
      <w:r>
        <w:rPr>
          <w:rFonts w:hint="eastAsia" w:ascii="宋体" w:hAnsi="宋体" w:eastAsia="宋体" w:cs="宋体"/>
          <w:color w:val="auto"/>
        </w:rPr>
        <w:t>；</w:t>
      </w:r>
    </w:p>
    <w:p w14:paraId="214EBC2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②超过法定期限或未以书面形式提出的；</w:t>
      </w:r>
    </w:p>
    <w:p w14:paraId="28E17C22">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③缺乏必要的证明材料，或捏造事实、提供虚假材料，或以非法手段取得证明材料的；</w:t>
      </w:r>
    </w:p>
    <w:p w14:paraId="62510B8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④质疑函没有合法有效的签字、盖章或委托授权书的（代理人提出质疑和投诉，应当提交</w:t>
      </w:r>
      <w:r>
        <w:rPr>
          <w:rFonts w:hint="eastAsia" w:ascii="宋体" w:hAnsi="宋体" w:eastAsia="宋体" w:cs="宋体"/>
          <w:color w:val="auto"/>
          <w:lang w:eastAsia="zh-CN"/>
        </w:rPr>
        <w:t>投标人</w:t>
      </w:r>
      <w:r>
        <w:rPr>
          <w:rFonts w:hint="eastAsia" w:ascii="宋体" w:hAnsi="宋体" w:eastAsia="宋体" w:cs="宋体"/>
          <w:color w:val="auto"/>
        </w:rPr>
        <w:t>签署的授权委托书）；</w:t>
      </w:r>
    </w:p>
    <w:p w14:paraId="27C1BAF5">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⑤针对同一采购程序环节又提出其他质疑事项的，或质疑答复后就同一事项再次提出质疑的；</w:t>
      </w:r>
    </w:p>
    <w:p w14:paraId="3EA51FD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⑥不符合法律、法规、规章和政府采购监管机构规定的其他条件的。</w:t>
      </w:r>
    </w:p>
    <w:p w14:paraId="4F7E4B2B">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3</w:t>
      </w:r>
      <w:r>
        <w:rPr>
          <w:rFonts w:hint="eastAsia" w:ascii="宋体" w:hAnsi="宋体" w:eastAsia="宋体" w:cs="宋体"/>
          <w:color w:val="auto"/>
        </w:rPr>
        <w:t>．</w:t>
      </w:r>
      <w:r>
        <w:rPr>
          <w:rFonts w:hint="eastAsia" w:ascii="宋体" w:hAnsi="宋体" w:eastAsia="宋体" w:cs="宋体"/>
          <w:b/>
          <w:color w:val="auto"/>
        </w:rPr>
        <w:t>投诉</w:t>
      </w:r>
    </w:p>
    <w:p w14:paraId="0E46FD1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（1）质疑</w:t>
      </w:r>
      <w:r>
        <w:rPr>
          <w:rFonts w:hint="eastAsia" w:ascii="宋体" w:hAnsi="宋体" w:eastAsia="宋体" w:cs="宋体"/>
          <w:color w:val="auto"/>
          <w:lang w:eastAsia="zh-CN"/>
        </w:rPr>
        <w:t>投标人</w:t>
      </w:r>
      <w:r>
        <w:rPr>
          <w:rFonts w:hint="eastAsia" w:ascii="宋体" w:hAnsi="宋体" w:eastAsia="宋体" w:cs="宋体"/>
          <w:color w:val="auto"/>
        </w:rPr>
        <w:t>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4FA3BFAD">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eastAsia="zh-CN"/>
        </w:rPr>
        <w:t>投标人</w:t>
      </w:r>
      <w:r>
        <w:rPr>
          <w:rFonts w:hint="eastAsia" w:ascii="宋体" w:hAnsi="宋体" w:eastAsia="宋体" w:cs="宋体"/>
          <w:color w:val="auto"/>
        </w:rPr>
        <w:t>投诉的事项不得超出已质疑事项的范围。</w:t>
      </w:r>
      <w:r>
        <w:rPr>
          <w:rFonts w:hint="eastAsia" w:ascii="宋体" w:hAnsi="宋体" w:eastAsia="宋体" w:cs="宋体"/>
          <w:color w:val="auto"/>
          <w:lang w:eastAsia="zh-CN"/>
        </w:rPr>
        <w:t>投标人</w:t>
      </w:r>
      <w:r>
        <w:rPr>
          <w:rFonts w:hint="eastAsia" w:ascii="宋体" w:hAnsi="宋体" w:eastAsia="宋体" w:cs="宋体"/>
          <w:color w:val="auto"/>
        </w:rPr>
        <w:t>提出投诉时，应当提交投诉书和必要的证明材料，并按财政部《投诉书范本》给定的格式进行填写。</w:t>
      </w:r>
    </w:p>
    <w:p w14:paraId="00498F1B">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投诉书范本地址：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"http://download.ccgp.gov.cn/2018/tousushufanben.zip" </w:instrText>
      </w:r>
      <w:r>
        <w:rPr>
          <w:rFonts w:hint="eastAsia" w:ascii="宋体" w:hAnsi="宋体" w:eastAsia="宋体" w:cs="宋体"/>
          <w:color w:val="auto"/>
        </w:rPr>
        <w:fldChar w:fldCharType="separate"/>
      </w:r>
      <w:r>
        <w:rPr>
          <w:rStyle w:val="39"/>
          <w:rFonts w:hint="eastAsia" w:ascii="宋体" w:hAnsi="宋体" w:eastAsia="宋体" w:cs="宋体"/>
          <w:color w:val="auto"/>
        </w:rPr>
        <w:t>http</w:t>
      </w:r>
      <w:r>
        <w:rPr>
          <w:rStyle w:val="39"/>
          <w:rFonts w:hint="eastAsia" w:ascii="宋体" w:hAnsi="宋体" w:eastAsia="宋体" w:cs="宋体"/>
          <w:color w:val="auto"/>
          <w:lang w:eastAsia="zh-CN"/>
        </w:rPr>
        <w:t>：</w:t>
      </w:r>
      <w:r>
        <w:rPr>
          <w:rStyle w:val="39"/>
          <w:rFonts w:hint="eastAsia" w:ascii="宋体" w:hAnsi="宋体" w:eastAsia="宋体" w:cs="宋体"/>
          <w:color w:val="auto"/>
        </w:rPr>
        <w:t>//download.ccgp.gov.cn/2018/tousushufanben.zip</w:t>
      </w:r>
      <w:r>
        <w:rPr>
          <w:rStyle w:val="39"/>
          <w:rFonts w:hint="eastAsia" w:ascii="宋体" w:hAnsi="宋体" w:eastAsia="宋体" w:cs="宋体"/>
          <w:color w:val="auto"/>
        </w:rPr>
        <w:fldChar w:fldCharType="end"/>
      </w:r>
    </w:p>
    <w:p w14:paraId="44501419">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4</w:t>
      </w:r>
      <w:r>
        <w:rPr>
          <w:rFonts w:hint="eastAsia" w:ascii="宋体" w:hAnsi="宋体" w:eastAsia="宋体" w:cs="宋体"/>
          <w:color w:val="auto"/>
        </w:rPr>
        <w:t>．</w:t>
      </w:r>
      <w:r>
        <w:rPr>
          <w:rFonts w:hint="eastAsia" w:ascii="宋体" w:hAnsi="宋体" w:eastAsia="宋体" w:cs="宋体"/>
          <w:b/>
          <w:color w:val="auto"/>
        </w:rPr>
        <w:t>恶意质疑、投诉的法律后果</w:t>
      </w:r>
    </w:p>
    <w:p w14:paraId="284DD062">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（1）对捏造事实、提供虚假材料进行质疑、投诉的行为予以严肃处理：</w:t>
      </w:r>
    </w:p>
    <w:p w14:paraId="5748CD5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176CE375">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（2）对捏造事实诬告陷害他人、诽谤他人的法律适用：</w:t>
      </w:r>
    </w:p>
    <w:p w14:paraId="01A5F9D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《中华人民共和国刑法》第243条【诬告陷害罪】捏造事实诬告陷害他人，意图使他人受刑事追究，情节严重的，处三年以下有期徒刑、拘役或者管制；造成严重后果的，处三年以上十年以下有期徒刑。</w:t>
      </w:r>
    </w:p>
    <w:p w14:paraId="11EE4F4A">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《中华人民共和国刑法》第246条【侮辱罪、诽谤罪】以暴力或者其他方法公然侮辱他人或者捏造事实诽谤他人，情节严重的，处三年以下有期徒刑、拘役、管制或者剥夺政治权利。</w:t>
      </w:r>
    </w:p>
    <w:p w14:paraId="238F9540">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（三）关于保证金</w:t>
      </w:r>
    </w:p>
    <w:p w14:paraId="44382B58">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1</w:t>
      </w:r>
      <w:r>
        <w:rPr>
          <w:rFonts w:hint="eastAsia" w:ascii="宋体" w:hAnsi="宋体" w:eastAsia="宋体" w:cs="宋体"/>
          <w:color w:val="auto"/>
        </w:rPr>
        <w:t>．</w:t>
      </w:r>
      <w:r>
        <w:rPr>
          <w:rFonts w:hint="eastAsia" w:ascii="宋体" w:hAnsi="宋体" w:eastAsia="宋体" w:cs="宋体"/>
          <w:b/>
          <w:color w:val="auto"/>
        </w:rPr>
        <w:t>西安市政府采购信用担保及信用融资政策</w:t>
      </w:r>
    </w:p>
    <w:p w14:paraId="72902AAF">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为发挥政府采购促进中小企业发展的政策功能，西安市财政局制定了《西安市政府采购信用担保及信用融资工作实施方案（试行）》（市财发〔2014〕167号，以下简称《实施方案》），为参与西安市市级政府采购项目的</w:t>
      </w:r>
      <w:r>
        <w:rPr>
          <w:rFonts w:hint="eastAsia" w:ascii="宋体" w:hAnsi="宋体" w:eastAsia="宋体" w:cs="宋体"/>
          <w:color w:val="auto"/>
          <w:lang w:eastAsia="zh-CN"/>
        </w:rPr>
        <w:t>投标人</w:t>
      </w:r>
      <w:r>
        <w:rPr>
          <w:rFonts w:hint="eastAsia" w:ascii="宋体" w:hAnsi="宋体" w:eastAsia="宋体" w:cs="宋体"/>
          <w:color w:val="auto"/>
        </w:rPr>
        <w:t>提供政府采购信用担保和融资服务。</w:t>
      </w:r>
      <w:r>
        <w:rPr>
          <w:rFonts w:hint="eastAsia" w:ascii="宋体" w:hAnsi="宋体" w:eastAsia="宋体" w:cs="宋体"/>
          <w:color w:val="auto"/>
          <w:lang w:eastAsia="zh-CN"/>
        </w:rPr>
        <w:t>投标人</w:t>
      </w:r>
      <w:r>
        <w:rPr>
          <w:rFonts w:hint="eastAsia" w:ascii="宋体" w:hAnsi="宋体" w:eastAsia="宋体" w:cs="宋体"/>
          <w:color w:val="auto"/>
        </w:rPr>
        <w:t>在交纳投</w:t>
      </w:r>
      <w:r>
        <w:rPr>
          <w:rFonts w:hint="eastAsia" w:ascii="宋体" w:hAnsi="宋体" w:eastAsia="宋体" w:cs="宋体"/>
          <w:color w:val="auto"/>
          <w:w w:val="1"/>
        </w:rPr>
        <w:t xml:space="preserve"> </w:t>
      </w:r>
      <w:r>
        <w:rPr>
          <w:rFonts w:hint="eastAsia" w:ascii="宋体" w:hAnsi="宋体" w:eastAsia="宋体" w:cs="宋体"/>
          <w:color w:val="auto"/>
        </w:rPr>
        <w:t>标保证金、履约保证金时可自愿选择通过担保函的形式交纳，</w:t>
      </w:r>
      <w:r>
        <w:rPr>
          <w:rFonts w:hint="eastAsia" w:ascii="宋体" w:hAnsi="宋体" w:eastAsia="宋体" w:cs="宋体"/>
          <w:color w:val="auto"/>
          <w:lang w:eastAsia="zh-CN"/>
        </w:rPr>
        <w:t>投标人</w:t>
      </w:r>
      <w:r>
        <w:rPr>
          <w:rFonts w:hint="eastAsia" w:ascii="宋体" w:hAnsi="宋体" w:eastAsia="宋体" w:cs="宋体"/>
          <w:color w:val="auto"/>
        </w:rPr>
        <w:t>违约，开具担保函单位承担连带责任。</w:t>
      </w:r>
    </w:p>
    <w:p w14:paraId="3BA81F14">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1C27FCA8">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《实施方案》链接地址：</w:t>
      </w:r>
    </w:p>
    <w:p w14:paraId="7E99B9DF">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"http://xaczj.xa.gov.cn/zfcg/cgfg/5db90552fd850863a9e4594d.html" </w:instrText>
      </w:r>
      <w:r>
        <w:rPr>
          <w:rFonts w:hint="eastAsia" w:ascii="宋体" w:hAnsi="宋体" w:eastAsia="宋体" w:cs="宋体"/>
          <w:color w:val="auto"/>
        </w:rPr>
        <w:fldChar w:fldCharType="separate"/>
      </w:r>
      <w:r>
        <w:rPr>
          <w:rStyle w:val="39"/>
          <w:rFonts w:hint="eastAsia" w:ascii="宋体" w:hAnsi="宋体" w:eastAsia="宋体" w:cs="宋体"/>
          <w:color w:val="auto"/>
        </w:rPr>
        <w:t>http</w:t>
      </w:r>
      <w:r>
        <w:rPr>
          <w:rStyle w:val="39"/>
          <w:rFonts w:hint="eastAsia" w:ascii="宋体" w:hAnsi="宋体" w:eastAsia="宋体" w:cs="宋体"/>
          <w:color w:val="auto"/>
          <w:lang w:eastAsia="zh-CN"/>
        </w:rPr>
        <w:t>：</w:t>
      </w:r>
      <w:r>
        <w:rPr>
          <w:rStyle w:val="39"/>
          <w:rFonts w:hint="eastAsia" w:ascii="宋体" w:hAnsi="宋体" w:eastAsia="宋体" w:cs="宋体"/>
          <w:color w:val="auto"/>
        </w:rPr>
        <w:t>//xaczj.xa.gov.cn/zfcg/cgfg/5db90552fd850863a9e4594d.html</w:t>
      </w:r>
      <w:r>
        <w:rPr>
          <w:rStyle w:val="39"/>
          <w:rFonts w:hint="eastAsia" w:ascii="宋体" w:hAnsi="宋体" w:eastAsia="宋体" w:cs="宋体"/>
          <w:color w:val="auto"/>
        </w:rPr>
        <w:fldChar w:fldCharType="end"/>
      </w:r>
    </w:p>
    <w:p w14:paraId="73F3073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《合作机构名单》链接地址：</w:t>
      </w:r>
    </w:p>
    <w:p w14:paraId="0B95C301">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"http://xaczj.xa.gov.cn/zfcg/cgfg/5db9054565cbd804f69e97e0.html" </w:instrText>
      </w:r>
      <w:r>
        <w:rPr>
          <w:rFonts w:hint="eastAsia" w:ascii="宋体" w:hAnsi="宋体" w:eastAsia="宋体" w:cs="宋体"/>
          <w:color w:val="auto"/>
        </w:rPr>
        <w:fldChar w:fldCharType="separate"/>
      </w:r>
      <w:r>
        <w:rPr>
          <w:rStyle w:val="39"/>
          <w:rFonts w:hint="eastAsia" w:ascii="宋体" w:hAnsi="宋体" w:eastAsia="宋体" w:cs="宋体"/>
          <w:color w:val="auto"/>
        </w:rPr>
        <w:t>http</w:t>
      </w:r>
      <w:r>
        <w:rPr>
          <w:rStyle w:val="39"/>
          <w:rFonts w:hint="eastAsia" w:ascii="宋体" w:hAnsi="宋体" w:eastAsia="宋体" w:cs="宋体"/>
          <w:color w:val="auto"/>
          <w:lang w:eastAsia="zh-CN"/>
        </w:rPr>
        <w:t>：</w:t>
      </w:r>
      <w:r>
        <w:rPr>
          <w:rStyle w:val="39"/>
          <w:rFonts w:hint="eastAsia" w:ascii="宋体" w:hAnsi="宋体" w:eastAsia="宋体" w:cs="宋体"/>
          <w:color w:val="auto"/>
        </w:rPr>
        <w:t>//xaczj.xa.gov.cn/zfcg/cgfg/5db9054565cbd804f69e97e0.html</w:t>
      </w:r>
      <w:r>
        <w:rPr>
          <w:rStyle w:val="39"/>
          <w:rFonts w:hint="eastAsia" w:ascii="宋体" w:hAnsi="宋体" w:eastAsia="宋体" w:cs="宋体"/>
          <w:color w:val="auto"/>
        </w:rPr>
        <w:fldChar w:fldCharType="end"/>
      </w:r>
    </w:p>
    <w:p w14:paraId="0FA089F1">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color w:val="auto"/>
        </w:rPr>
        <w:t>．</w:t>
      </w:r>
      <w:r>
        <w:rPr>
          <w:rFonts w:hint="eastAsia" w:ascii="宋体" w:hAnsi="宋体" w:eastAsia="宋体" w:cs="宋体"/>
          <w:b/>
          <w:color w:val="auto"/>
        </w:rPr>
        <w:t>投</w:t>
      </w:r>
      <w:r>
        <w:rPr>
          <w:rFonts w:hint="eastAsia" w:ascii="宋体" w:hAnsi="宋体" w:eastAsia="宋体" w:cs="宋体"/>
          <w:b/>
          <w:color w:val="auto"/>
          <w:w w:val="1"/>
        </w:rPr>
        <w:t xml:space="preserve"> </w:t>
      </w:r>
      <w:r>
        <w:rPr>
          <w:rFonts w:hint="eastAsia" w:ascii="宋体" w:hAnsi="宋体" w:eastAsia="宋体" w:cs="宋体"/>
          <w:b/>
          <w:color w:val="auto"/>
        </w:rPr>
        <w:t>标保证金</w:t>
      </w:r>
    </w:p>
    <w:p w14:paraId="58F7372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按照西安市财政局《关于促进政府采购公平竞争优化营商环境的通知》第三条规定，</w:t>
      </w:r>
      <w:r>
        <w:rPr>
          <w:rFonts w:hint="eastAsia" w:ascii="宋体" w:hAnsi="宋体" w:eastAsia="宋体" w:cs="宋体"/>
          <w:color w:val="auto"/>
          <w:lang w:eastAsia="zh-CN"/>
        </w:rPr>
        <w:t>投标人</w:t>
      </w:r>
      <w:r>
        <w:rPr>
          <w:rFonts w:hint="eastAsia" w:ascii="宋体" w:hAnsi="宋体" w:eastAsia="宋体" w:cs="宋体"/>
          <w:color w:val="auto"/>
        </w:rPr>
        <w:t>参与西安市政府采购活动时，免交投</w:t>
      </w:r>
      <w:r>
        <w:rPr>
          <w:rFonts w:hint="eastAsia" w:ascii="宋体" w:hAnsi="宋体" w:eastAsia="宋体" w:cs="宋体"/>
          <w:color w:val="auto"/>
          <w:w w:val="1"/>
        </w:rPr>
        <w:t xml:space="preserve"> </w:t>
      </w:r>
      <w:r>
        <w:rPr>
          <w:rFonts w:hint="eastAsia" w:ascii="宋体" w:hAnsi="宋体" w:eastAsia="宋体" w:cs="宋体"/>
          <w:color w:val="auto"/>
        </w:rPr>
        <w:t>标保证金。</w:t>
      </w:r>
    </w:p>
    <w:p w14:paraId="153C211D">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3</w:t>
      </w:r>
      <w:r>
        <w:rPr>
          <w:rFonts w:hint="eastAsia" w:ascii="宋体" w:hAnsi="宋体" w:eastAsia="宋体" w:cs="宋体"/>
          <w:color w:val="auto"/>
        </w:rPr>
        <w:t>．</w:t>
      </w:r>
      <w:r>
        <w:rPr>
          <w:rFonts w:hint="eastAsia" w:ascii="宋体" w:hAnsi="宋体" w:eastAsia="宋体" w:cs="宋体"/>
          <w:b/>
          <w:color w:val="auto"/>
        </w:rPr>
        <w:t>履约保证金</w:t>
      </w:r>
    </w:p>
    <w:p w14:paraId="1344F0B6">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（1）交纳履约保证金</w:t>
      </w:r>
    </w:p>
    <w:p w14:paraId="21C47A23">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招标文件要求</w:t>
      </w:r>
      <w:r>
        <w:rPr>
          <w:rFonts w:hint="eastAsia" w:ascii="宋体" w:hAnsi="宋体" w:eastAsia="宋体" w:cs="宋体"/>
          <w:color w:val="auto"/>
          <w:lang w:eastAsia="zh-CN"/>
        </w:rPr>
        <w:t>投标人</w:t>
      </w:r>
      <w:r>
        <w:rPr>
          <w:rFonts w:hint="eastAsia" w:ascii="宋体" w:hAnsi="宋体" w:eastAsia="宋体" w:cs="宋体"/>
          <w:color w:val="auto"/>
        </w:rPr>
        <w:t>提交履约保证金的，</w:t>
      </w:r>
      <w:r>
        <w:rPr>
          <w:rFonts w:hint="eastAsia" w:ascii="宋体" w:hAnsi="宋体" w:eastAsia="宋体" w:cs="宋体"/>
          <w:color w:val="auto"/>
          <w:lang w:eastAsia="zh-CN"/>
        </w:rPr>
        <w:t>投标人</w:t>
      </w:r>
      <w:r>
        <w:rPr>
          <w:rFonts w:hint="eastAsia" w:ascii="宋体" w:hAnsi="宋体" w:eastAsia="宋体" w:cs="宋体"/>
          <w:color w:val="auto"/>
        </w:rPr>
        <w:t>可通过支票、本票、汇票、网上银行支付等非现金形式交纳，也可通过履约担保函（包含纸质保函、电子保函）形式提交，其中采用纸质保函的，应当提交保函原件；采用电子保函的，可登录西安市公共资源交易平台〖首页</w:t>
      </w:r>
      <w:r>
        <w:rPr>
          <w:rFonts w:hint="eastAsia" w:ascii="宋体" w:hAnsi="宋体" w:eastAsia="宋体" w:cs="宋体"/>
          <w:color w:val="auto"/>
          <w:lang w:eastAsia="zh-CN"/>
        </w:rPr>
        <w:t>〉</w:t>
      </w:r>
      <w:r>
        <w:rPr>
          <w:rFonts w:hint="eastAsia" w:ascii="宋体" w:hAnsi="宋体" w:eastAsia="宋体" w:cs="宋体"/>
          <w:color w:val="auto"/>
        </w:rPr>
        <w:t>电子交易平台</w:t>
      </w:r>
      <w:r>
        <w:rPr>
          <w:rFonts w:hint="eastAsia" w:ascii="宋体" w:hAnsi="宋体" w:eastAsia="宋体" w:cs="宋体"/>
          <w:color w:val="auto"/>
          <w:lang w:eastAsia="zh-CN"/>
        </w:rPr>
        <w:t>〉</w:t>
      </w:r>
      <w:r>
        <w:rPr>
          <w:rFonts w:hint="eastAsia" w:ascii="宋体" w:hAnsi="宋体" w:eastAsia="宋体" w:cs="宋体"/>
          <w:color w:val="auto"/>
        </w:rPr>
        <w:t>陕西政府采购交易系统</w:t>
      </w:r>
      <w:r>
        <w:rPr>
          <w:rFonts w:hint="eastAsia" w:ascii="宋体" w:hAnsi="宋体" w:eastAsia="宋体" w:cs="宋体"/>
          <w:color w:val="auto"/>
          <w:lang w:eastAsia="zh-CN"/>
        </w:rPr>
        <w:t>〉</w:t>
      </w:r>
      <w:r>
        <w:rPr>
          <w:rFonts w:hint="eastAsia" w:ascii="宋体" w:hAnsi="宋体" w:eastAsia="宋体" w:cs="宋体"/>
          <w:color w:val="auto"/>
        </w:rPr>
        <w:t>企业端〗，登录后切换到〖我的项目〗模块下，即可选择电子履约保函申请（点击申请后系统将自动跳转至电子保函业务平台，选择对应金融机构后，按要求填写相应信息进行申请）。</w:t>
      </w:r>
    </w:p>
    <w:p w14:paraId="5B40E8DD">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（2）采用履约保函形式时应注意以下事项：</w:t>
      </w:r>
    </w:p>
    <w:p w14:paraId="5739137D">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①</w:t>
      </w:r>
      <w:r>
        <w:rPr>
          <w:rFonts w:hint="eastAsia" w:ascii="宋体" w:hAnsi="宋体" w:eastAsia="宋体" w:cs="宋体"/>
          <w:color w:val="auto"/>
          <w:lang w:val="en-US" w:eastAsia="zh-CN"/>
        </w:rPr>
        <w:t xml:space="preserve"> </w:t>
      </w:r>
      <w:r>
        <w:rPr>
          <w:rFonts w:hint="eastAsia" w:ascii="宋体" w:hAnsi="宋体" w:eastAsia="宋体" w:cs="宋体"/>
          <w:color w:val="auto"/>
        </w:rPr>
        <w:t>履约保函的受益人为采购人，</w:t>
      </w:r>
      <w:r>
        <w:rPr>
          <w:rFonts w:hint="eastAsia" w:ascii="宋体" w:hAnsi="宋体" w:eastAsia="宋体" w:cs="宋体"/>
          <w:color w:val="auto"/>
          <w:lang w:eastAsia="zh-CN"/>
        </w:rPr>
        <w:t>投标人</w:t>
      </w:r>
      <w:r>
        <w:rPr>
          <w:rFonts w:hint="eastAsia" w:ascii="宋体" w:hAnsi="宋体" w:eastAsia="宋体" w:cs="宋体"/>
          <w:color w:val="auto"/>
        </w:rPr>
        <w:t>未能按合同规定履行其义务时，采购人有权从履约保证金中取得补偿。</w:t>
      </w:r>
    </w:p>
    <w:p w14:paraId="345CA160">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②</w:t>
      </w:r>
      <w:r>
        <w:rPr>
          <w:rFonts w:hint="eastAsia" w:ascii="宋体" w:hAnsi="宋体" w:eastAsia="宋体" w:cs="宋体"/>
          <w:color w:val="auto"/>
          <w:lang w:val="en-US" w:eastAsia="zh-CN"/>
        </w:rPr>
        <w:t xml:space="preserve"> </w:t>
      </w:r>
      <w:r>
        <w:rPr>
          <w:rFonts w:hint="eastAsia" w:ascii="宋体" w:hAnsi="宋体" w:eastAsia="宋体" w:cs="宋体"/>
          <w:color w:val="auto"/>
        </w:rPr>
        <w:t>履约保函的内容包括但不限于保函申请人、项目名称（如分标段，还应写明所投</w:t>
      </w:r>
      <w:r>
        <w:rPr>
          <w:rFonts w:hint="eastAsia" w:ascii="宋体" w:hAnsi="宋体" w:eastAsia="宋体" w:cs="宋体"/>
          <w:color w:val="auto"/>
          <w:w w:val="1"/>
        </w:rPr>
        <w:t xml:space="preserve"> </w:t>
      </w:r>
      <w:r>
        <w:rPr>
          <w:rFonts w:hint="eastAsia" w:ascii="宋体" w:hAnsi="宋体" w:eastAsia="宋体" w:cs="宋体"/>
          <w:color w:val="auto"/>
        </w:rPr>
        <w:t>标段）、担保金额、保函有效期（履约保函的有效期至少应覆盖至合同验收之日，履约保函有效期不足的，</w:t>
      </w:r>
      <w:r>
        <w:rPr>
          <w:rFonts w:hint="eastAsia" w:ascii="宋体" w:hAnsi="宋体" w:eastAsia="宋体" w:cs="宋体"/>
          <w:color w:val="auto"/>
          <w:lang w:eastAsia="zh-CN"/>
        </w:rPr>
        <w:t>投标人</w:t>
      </w:r>
      <w:r>
        <w:rPr>
          <w:rFonts w:hint="eastAsia" w:ascii="宋体" w:hAnsi="宋体" w:eastAsia="宋体" w:cs="宋体"/>
          <w:color w:val="auto"/>
        </w:rPr>
        <w:t>应向履约保函签发机构办理担保续期手续）；</w:t>
      </w:r>
    </w:p>
    <w:p w14:paraId="4C244AF2">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③</w:t>
      </w:r>
      <w:r>
        <w:rPr>
          <w:rFonts w:hint="eastAsia" w:ascii="宋体" w:hAnsi="宋体" w:eastAsia="宋体" w:cs="宋体"/>
          <w:color w:val="auto"/>
          <w:lang w:val="en-US" w:eastAsia="zh-CN"/>
        </w:rPr>
        <w:t xml:space="preserve"> </w:t>
      </w:r>
      <w:r>
        <w:rPr>
          <w:rFonts w:hint="eastAsia" w:ascii="宋体" w:hAnsi="宋体" w:eastAsia="宋体" w:cs="宋体"/>
          <w:color w:val="auto"/>
        </w:rPr>
        <w:t>担保金额不少于《</w:t>
      </w:r>
      <w:r>
        <w:rPr>
          <w:rFonts w:hint="eastAsia" w:ascii="宋体" w:hAnsi="宋体" w:eastAsia="宋体" w:cs="宋体"/>
          <w:color w:val="auto"/>
          <w:lang w:eastAsia="zh-CN"/>
        </w:rPr>
        <w:t>招标公告</w:t>
      </w:r>
      <w:r>
        <w:rPr>
          <w:rFonts w:hint="eastAsia" w:ascii="宋体" w:hAnsi="宋体" w:eastAsia="宋体" w:cs="宋体"/>
          <w:color w:val="auto"/>
        </w:rPr>
        <w:t>》中规定的履约保证金交纳金额；</w:t>
      </w:r>
    </w:p>
    <w:p w14:paraId="1B8B0579">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④</w:t>
      </w:r>
      <w:r>
        <w:rPr>
          <w:rFonts w:hint="eastAsia" w:ascii="宋体" w:hAnsi="宋体" w:eastAsia="宋体" w:cs="宋体"/>
          <w:color w:val="auto"/>
          <w:lang w:val="en-US" w:eastAsia="zh-CN"/>
        </w:rPr>
        <w:t xml:space="preserve"> </w:t>
      </w:r>
      <w:r>
        <w:rPr>
          <w:rFonts w:hint="eastAsia" w:ascii="宋体" w:hAnsi="宋体" w:eastAsia="宋体" w:cs="宋体"/>
          <w:color w:val="auto"/>
        </w:rPr>
        <w:t>保函申请人须与</w:t>
      </w:r>
      <w:r>
        <w:rPr>
          <w:rFonts w:hint="eastAsia" w:ascii="宋体" w:hAnsi="宋体" w:eastAsia="宋体" w:cs="宋体"/>
          <w:color w:val="auto"/>
          <w:lang w:eastAsia="zh-CN"/>
        </w:rPr>
        <w:t>投标人</w:t>
      </w:r>
      <w:r>
        <w:rPr>
          <w:rFonts w:hint="eastAsia" w:ascii="宋体" w:hAnsi="宋体" w:eastAsia="宋体" w:cs="宋体"/>
          <w:color w:val="auto"/>
        </w:rPr>
        <w:t>名称一致。若</w:t>
      </w:r>
      <w:r>
        <w:rPr>
          <w:rFonts w:hint="eastAsia" w:ascii="宋体" w:hAnsi="宋体" w:eastAsia="宋体" w:cs="宋体"/>
          <w:color w:val="auto"/>
          <w:lang w:eastAsia="zh-CN"/>
        </w:rPr>
        <w:t>投标人</w:t>
      </w:r>
      <w:r>
        <w:rPr>
          <w:rFonts w:hint="eastAsia" w:ascii="宋体" w:hAnsi="宋体" w:eastAsia="宋体" w:cs="宋体"/>
          <w:color w:val="auto"/>
        </w:rPr>
        <w:t>为联合体形式，原则上可由联合体任意一方或多方作为保函申请人，然而对于电子保函，目前只能由下载电子招标文件的一方作为保函申请人。</w:t>
      </w:r>
    </w:p>
    <w:p w14:paraId="3E137275">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（3）退还履约保证金</w:t>
      </w:r>
    </w:p>
    <w:p w14:paraId="210956B5">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在采购项目验收合格后，中标</w:t>
      </w:r>
      <w:r>
        <w:rPr>
          <w:rFonts w:hint="eastAsia" w:ascii="宋体" w:hAnsi="宋体" w:eastAsia="宋体" w:cs="宋体"/>
          <w:color w:val="auto"/>
          <w:lang w:eastAsia="zh-CN"/>
        </w:rPr>
        <w:t>投标人</w:t>
      </w:r>
      <w:r>
        <w:rPr>
          <w:rFonts w:hint="eastAsia" w:ascii="宋体" w:hAnsi="宋体" w:eastAsia="宋体" w:cs="宋体"/>
          <w:color w:val="auto"/>
        </w:rPr>
        <w:t>持政府采购项目验收单，到履约保证金原收取人处办理退还手续，5个工作日内无息退还（针对支票、本票、汇票、网上银行等支付形式）\当场返还（针对纸质保函）\当场注销（针对电子保函）。</w:t>
      </w:r>
    </w:p>
    <w:p w14:paraId="77BE9069">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（四）关于联合体</w:t>
      </w:r>
    </w:p>
    <w:p w14:paraId="44918805">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2%-3%（工程项目为1%~2%）的扣除，用扣除后的价格参加评审。</w:t>
      </w:r>
    </w:p>
    <w:p w14:paraId="15E9B528">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lang w:eastAsia="zh-CN"/>
        </w:rPr>
        <w:t>招标公告</w:t>
      </w:r>
      <w:r>
        <w:rPr>
          <w:rFonts w:hint="eastAsia" w:ascii="宋体" w:hAnsi="宋体" w:eastAsia="宋体" w:cs="宋体"/>
          <w:color w:val="auto"/>
        </w:rPr>
        <w:t>中载明“接受联合体”时，两个以上</w:t>
      </w:r>
      <w:r>
        <w:rPr>
          <w:rFonts w:hint="eastAsia" w:ascii="宋体" w:hAnsi="宋体" w:eastAsia="宋体" w:cs="宋体"/>
          <w:color w:val="auto"/>
          <w:lang w:eastAsia="zh-CN"/>
        </w:rPr>
        <w:t>投标人</w:t>
      </w:r>
      <w:r>
        <w:rPr>
          <w:rFonts w:hint="eastAsia" w:ascii="宋体" w:hAnsi="宋体" w:eastAsia="宋体" w:cs="宋体"/>
          <w:color w:val="auto"/>
        </w:rPr>
        <w:t>可以组成一个联合体，以一个</w:t>
      </w:r>
      <w:r>
        <w:rPr>
          <w:rFonts w:hint="eastAsia" w:ascii="宋体" w:hAnsi="宋体" w:eastAsia="宋体" w:cs="宋体"/>
          <w:color w:val="auto"/>
          <w:lang w:eastAsia="zh-CN"/>
        </w:rPr>
        <w:t>投标人</w:t>
      </w:r>
      <w:r>
        <w:rPr>
          <w:rFonts w:hint="eastAsia" w:ascii="宋体" w:hAnsi="宋体" w:eastAsia="宋体" w:cs="宋体"/>
          <w:color w:val="auto"/>
        </w:rPr>
        <w:t>的身份参与投标；</w:t>
      </w:r>
      <w:r>
        <w:rPr>
          <w:rFonts w:hint="eastAsia" w:ascii="宋体" w:hAnsi="宋体" w:eastAsia="宋体" w:cs="宋体"/>
          <w:color w:val="auto"/>
          <w:lang w:eastAsia="zh-CN"/>
        </w:rPr>
        <w:t>招标公告</w:t>
      </w:r>
      <w:r>
        <w:rPr>
          <w:rFonts w:hint="eastAsia" w:ascii="宋体" w:hAnsi="宋体" w:eastAsia="宋体" w:cs="宋体"/>
          <w:color w:val="auto"/>
        </w:rPr>
        <w:t>未明确载明“不接受联合体”时，视同接受联合体。采购项目接受联合体时，组成联合体的大中型企业和其他自然人、法人或者其他组织，与小型、微型企业之间不得存在投资关系的。</w:t>
      </w:r>
    </w:p>
    <w:p w14:paraId="1B7630D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3．联合体各方之间应当签订《联合体协议书》，明确约定联合体各方承担的工作和相应的责任。联合体协议签订后，联合体各方不得再单独参加或者与其他</w:t>
      </w:r>
      <w:r>
        <w:rPr>
          <w:rFonts w:hint="eastAsia" w:ascii="宋体" w:hAnsi="宋体" w:eastAsia="宋体" w:cs="宋体"/>
          <w:color w:val="auto"/>
          <w:lang w:eastAsia="zh-CN"/>
        </w:rPr>
        <w:t>投标人</w:t>
      </w:r>
      <w:r>
        <w:rPr>
          <w:rFonts w:hint="eastAsia" w:ascii="宋体" w:hAnsi="宋体" w:eastAsia="宋体" w:cs="宋体"/>
          <w:color w:val="auto"/>
        </w:rPr>
        <w:t>另外组成联合体参加同一合同项下的政府采购活动。</w:t>
      </w:r>
    </w:p>
    <w:p w14:paraId="6D1913B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lang w:eastAsia="zh-CN"/>
        </w:rPr>
        <w:t>投标人</w:t>
      </w:r>
      <w:r>
        <w:rPr>
          <w:rFonts w:hint="eastAsia" w:ascii="宋体" w:hAnsi="宋体" w:eastAsia="宋体" w:cs="宋体"/>
          <w:color w:val="auto"/>
        </w:rPr>
        <w:t>以联合体形式参加政府采购活动时，遵循以下规则：</w:t>
      </w:r>
    </w:p>
    <w:p w14:paraId="008EB3F7">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① 联合体各方均应当具备</w:t>
      </w:r>
      <w:r>
        <w:rPr>
          <w:rFonts w:hint="eastAsia" w:ascii="宋体" w:hAnsi="宋体" w:eastAsia="宋体" w:cs="宋体"/>
          <w:color w:val="auto"/>
          <w:lang w:eastAsia="zh-CN"/>
        </w:rPr>
        <w:t>招标公告</w:t>
      </w:r>
      <w:r>
        <w:rPr>
          <w:rFonts w:hint="eastAsia" w:ascii="宋体" w:hAnsi="宋体" w:eastAsia="宋体" w:cs="宋体"/>
          <w:color w:val="auto"/>
        </w:rPr>
        <w:t>中前五项基本资格要求；第六项《法定代表人委托授权书》由联合体牵头人的法定代表人（法人单位）或负责人（非法人单位）代表联合体各方进行签字、盖章，并对联合体各方负责。</w:t>
      </w:r>
    </w:p>
    <w:p w14:paraId="277388DD">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② 采购人根据采购项目的特殊要求规定</w:t>
      </w:r>
      <w:r>
        <w:rPr>
          <w:rFonts w:hint="eastAsia" w:ascii="宋体" w:hAnsi="宋体" w:eastAsia="宋体" w:cs="宋体"/>
          <w:color w:val="auto"/>
          <w:lang w:eastAsia="zh-CN"/>
        </w:rPr>
        <w:t>投标人</w:t>
      </w:r>
      <w:r>
        <w:rPr>
          <w:rFonts w:hint="eastAsia" w:ascii="宋体" w:hAnsi="宋体" w:eastAsia="宋体" w:cs="宋体"/>
          <w:color w:val="auto"/>
        </w:rPr>
        <w:t>特定条件的，联合体各方中至少应当有一方符合采购人规定的特定条件。联合体中有同类资质的</w:t>
      </w:r>
      <w:r>
        <w:rPr>
          <w:rFonts w:hint="eastAsia" w:ascii="宋体" w:hAnsi="宋体" w:eastAsia="宋体" w:cs="宋体"/>
          <w:color w:val="auto"/>
          <w:lang w:eastAsia="zh-CN"/>
        </w:rPr>
        <w:t>投标人</w:t>
      </w:r>
      <w:r>
        <w:rPr>
          <w:rFonts w:hint="eastAsia" w:ascii="宋体" w:hAnsi="宋体" w:eastAsia="宋体" w:cs="宋体"/>
          <w:color w:val="auto"/>
        </w:rPr>
        <w:t>按照联合体分工承担相同工作的，应当按照资质等级较低的</w:t>
      </w:r>
      <w:r>
        <w:rPr>
          <w:rFonts w:hint="eastAsia" w:ascii="宋体" w:hAnsi="宋体" w:eastAsia="宋体" w:cs="宋体"/>
          <w:color w:val="auto"/>
          <w:lang w:eastAsia="zh-CN"/>
        </w:rPr>
        <w:t>投标人</w:t>
      </w:r>
      <w:r>
        <w:rPr>
          <w:rFonts w:hint="eastAsia" w:ascii="宋体" w:hAnsi="宋体" w:eastAsia="宋体" w:cs="宋体"/>
          <w:color w:val="auto"/>
        </w:rPr>
        <w:t>确定资质等级。</w:t>
      </w:r>
    </w:p>
    <w:p w14:paraId="67451E5A">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③ 采用资格前审的项目，联合体应当在提交资格前审申请文件前组成。资格前审后联合体不得增减、更换成员。</w:t>
      </w:r>
    </w:p>
    <w:p w14:paraId="362BF111">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④ 资格审查阶段，采购人将对所有联合体成员进行信用记录查询，联合体成员存在不良信用记录的，视同联合体存在不良信用记录。</w:t>
      </w:r>
    </w:p>
    <w:p w14:paraId="46BD61A4">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⑤ 招标文件要求</w:t>
      </w:r>
      <w:r>
        <w:rPr>
          <w:rFonts w:hint="eastAsia" w:ascii="宋体" w:hAnsi="宋体" w:eastAsia="宋体" w:cs="宋体"/>
          <w:color w:val="auto"/>
          <w:lang w:eastAsia="zh-CN"/>
        </w:rPr>
        <w:t>投标人</w:t>
      </w:r>
      <w:r>
        <w:rPr>
          <w:rFonts w:hint="eastAsia" w:ascii="宋体" w:hAnsi="宋体" w:eastAsia="宋体" w:cs="宋体"/>
          <w:color w:val="auto"/>
        </w:rPr>
        <w:t>交纳保证金的，可以由联合体中的一方或者多方共同交纳保证金，其交纳的保证金对联合体各方均具有约束力。</w:t>
      </w:r>
    </w:p>
    <w:p w14:paraId="2681790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⑥ 招标文件要求</w:t>
      </w:r>
      <w:r>
        <w:rPr>
          <w:rFonts w:hint="eastAsia" w:ascii="宋体" w:hAnsi="宋体" w:eastAsia="宋体" w:cs="宋体"/>
          <w:color w:val="auto"/>
          <w:lang w:eastAsia="zh-CN"/>
        </w:rPr>
        <w:t>投标人</w:t>
      </w:r>
      <w:r>
        <w:rPr>
          <w:rFonts w:hint="eastAsia" w:ascii="宋体" w:hAnsi="宋体" w:eastAsia="宋体" w:cs="宋体"/>
          <w:color w:val="auto"/>
        </w:rPr>
        <w:t>提供履约人员和设备情况的，联合体各方均应提供，以说明其作为独立</w:t>
      </w:r>
      <w:r>
        <w:rPr>
          <w:rFonts w:hint="eastAsia" w:ascii="宋体" w:hAnsi="宋体" w:eastAsia="宋体" w:cs="宋体"/>
          <w:color w:val="auto"/>
          <w:lang w:eastAsia="zh-CN"/>
        </w:rPr>
        <w:t>投标人</w:t>
      </w:r>
      <w:r>
        <w:rPr>
          <w:rFonts w:hint="eastAsia" w:ascii="宋体" w:hAnsi="宋体" w:eastAsia="宋体" w:cs="宋体"/>
          <w:color w:val="auto"/>
        </w:rPr>
        <w:t>所具有的能有效执行合同的能力和资源。</w:t>
      </w:r>
    </w:p>
    <w:p w14:paraId="387870B4">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⑦ 招标文件要求</w:t>
      </w:r>
      <w:r>
        <w:rPr>
          <w:rFonts w:hint="eastAsia" w:ascii="宋体" w:hAnsi="宋体" w:eastAsia="宋体" w:cs="宋体"/>
          <w:color w:val="auto"/>
          <w:lang w:eastAsia="zh-CN"/>
        </w:rPr>
        <w:t>投标人</w:t>
      </w:r>
      <w:r>
        <w:rPr>
          <w:rFonts w:hint="eastAsia" w:ascii="宋体" w:hAnsi="宋体" w:eastAsia="宋体" w:cs="宋体"/>
          <w:color w:val="auto"/>
        </w:rPr>
        <w:t>提供同类或类似项目业绩的，联合体各方符合招标文件要求的同类或类似业绩可以累计，但联合体一方或多方共同参与的同一业绩不重复计算。</w:t>
      </w:r>
    </w:p>
    <w:p w14:paraId="359B289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⑧ 投标文件中需要</w:t>
      </w:r>
      <w:r>
        <w:rPr>
          <w:rFonts w:hint="eastAsia" w:ascii="宋体" w:hAnsi="宋体" w:eastAsia="宋体" w:cs="宋体"/>
          <w:color w:val="auto"/>
          <w:lang w:eastAsia="zh-CN"/>
        </w:rPr>
        <w:t>投标人</w:t>
      </w:r>
      <w:r>
        <w:rPr>
          <w:rFonts w:hint="eastAsia" w:ascii="宋体" w:hAnsi="宋体" w:eastAsia="宋体" w:cs="宋体"/>
          <w:color w:val="auto"/>
        </w:rPr>
        <w:t>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7ED01644">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⑨ 对采购项目提出投诉时，应当由组成联合体的所有</w:t>
      </w:r>
      <w:r>
        <w:rPr>
          <w:rFonts w:hint="eastAsia" w:ascii="宋体" w:hAnsi="宋体" w:eastAsia="宋体" w:cs="宋体"/>
          <w:color w:val="auto"/>
          <w:lang w:eastAsia="zh-CN"/>
        </w:rPr>
        <w:t>投标人</w:t>
      </w:r>
      <w:r>
        <w:rPr>
          <w:rFonts w:hint="eastAsia" w:ascii="宋体" w:hAnsi="宋体" w:eastAsia="宋体" w:cs="宋体"/>
          <w:color w:val="auto"/>
        </w:rPr>
        <w:t>共同提出。</w:t>
      </w:r>
    </w:p>
    <w:p w14:paraId="714A23A0">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（5）联合体出现下列情形之一的，联合体投</w:t>
      </w:r>
      <w:r>
        <w:rPr>
          <w:rFonts w:hint="eastAsia" w:ascii="宋体" w:hAnsi="宋体" w:eastAsia="宋体" w:cs="宋体"/>
          <w:color w:val="auto"/>
          <w:w w:val="1"/>
        </w:rPr>
        <w:t xml:space="preserve"> </w:t>
      </w:r>
      <w:r>
        <w:rPr>
          <w:rFonts w:hint="eastAsia" w:ascii="宋体" w:hAnsi="宋体" w:eastAsia="宋体" w:cs="宋体"/>
          <w:color w:val="auto"/>
        </w:rPr>
        <w:t>标无效：</w:t>
      </w:r>
    </w:p>
    <w:p w14:paraId="3406E492">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① 没有提交有效的联合体协议的；</w:t>
      </w:r>
    </w:p>
    <w:p w14:paraId="1FE36E5E">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② 组成联合体的大中型企业和其他自然人、法人或者其他组织，与小型、微型企业之间存在投资关系的；</w:t>
      </w:r>
    </w:p>
    <w:p w14:paraId="25031415">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③ 联合体协议签订后，联合体成员单独参加或者与其他</w:t>
      </w:r>
      <w:r>
        <w:rPr>
          <w:rFonts w:hint="eastAsia" w:ascii="宋体" w:hAnsi="宋体" w:eastAsia="宋体" w:cs="宋体"/>
          <w:color w:val="auto"/>
          <w:lang w:eastAsia="zh-CN"/>
        </w:rPr>
        <w:t>投标人</w:t>
      </w:r>
      <w:r>
        <w:rPr>
          <w:rFonts w:hint="eastAsia" w:ascii="宋体" w:hAnsi="宋体" w:eastAsia="宋体" w:cs="宋体"/>
          <w:color w:val="auto"/>
        </w:rPr>
        <w:t>另外组成联合体参加同一合同项下的政府采购活动的；</w:t>
      </w:r>
    </w:p>
    <w:p w14:paraId="0910BB9E">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④ 资格前审后联合体增减、更换成员的；</w:t>
      </w:r>
    </w:p>
    <w:p w14:paraId="1CFE3B9B">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⑤ 联合体成员因存在不良信用记录，被拒绝其参与政府采购活动的。</w:t>
      </w:r>
    </w:p>
    <w:p w14:paraId="077104F8">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（五）关于进口产品</w:t>
      </w:r>
    </w:p>
    <w:p w14:paraId="235BEDF8">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w:t>
      </w:r>
      <w:r>
        <w:rPr>
          <w:rFonts w:hint="eastAsia" w:ascii="宋体" w:hAnsi="宋体" w:eastAsia="宋体" w:cs="宋体"/>
          <w:color w:val="auto"/>
          <w:lang w:eastAsia="zh-CN"/>
        </w:rPr>
        <w:t>投标人</w:t>
      </w:r>
      <w:r>
        <w:rPr>
          <w:rFonts w:hint="eastAsia" w:ascii="宋体" w:hAnsi="宋体" w:eastAsia="宋体" w:cs="宋体"/>
          <w:color w:val="auto"/>
        </w:rPr>
        <w:t>的进口产品。</w:t>
      </w:r>
    </w:p>
    <w:p w14:paraId="09E201D7">
      <w:pPr>
        <w:spacing w:line="360" w:lineRule="auto"/>
        <w:ind w:firstLine="480" w:firstLineChars="200"/>
        <w:jc w:val="both"/>
        <w:rPr>
          <w:rFonts w:hint="eastAsia" w:ascii="宋体" w:hAnsi="宋体" w:eastAsia="宋体" w:cs="宋体"/>
          <w:strike/>
          <w:color w:val="auto"/>
        </w:rPr>
      </w:pPr>
      <w:r>
        <w:rPr>
          <w:rFonts w:hint="eastAsia" w:ascii="宋体" w:hAnsi="宋体" w:eastAsia="宋体" w:cs="宋体"/>
          <w:color w:val="auto"/>
        </w:rPr>
        <w:t>2．根据《关于政府采购进口产品管理有关问题的通知》（财办库〔2008〕248号）有关规定，财政部门审核同意购买进口产品的，</w:t>
      </w:r>
      <w:r>
        <w:rPr>
          <w:rFonts w:hint="eastAsia" w:ascii="宋体" w:hAnsi="宋体" w:eastAsia="宋体" w:cs="宋体"/>
          <w:color w:val="auto"/>
          <w:lang w:eastAsia="zh-CN"/>
        </w:rPr>
        <w:t>招标公告</w:t>
      </w:r>
      <w:r>
        <w:rPr>
          <w:rFonts w:hint="eastAsia" w:ascii="宋体" w:hAnsi="宋体" w:eastAsia="宋体" w:cs="宋体"/>
          <w:color w:val="auto"/>
        </w:rPr>
        <w:t>将明确载明“允许进口产品参与”，此时满足招标文件要求的国产产品仍然可以参与竞争；否则，视为拒绝进口产品参与，</w:t>
      </w:r>
      <w:r>
        <w:rPr>
          <w:rFonts w:hint="eastAsia" w:ascii="宋体" w:hAnsi="宋体" w:eastAsia="宋体" w:cs="宋体"/>
          <w:color w:val="auto"/>
          <w:lang w:eastAsia="zh-CN"/>
        </w:rPr>
        <w:t>投标人</w:t>
      </w:r>
      <w:r>
        <w:rPr>
          <w:rFonts w:hint="eastAsia" w:ascii="宋体" w:hAnsi="宋体" w:eastAsia="宋体" w:cs="宋体"/>
          <w:color w:val="auto"/>
        </w:rPr>
        <w:t>以进口产品参与投标时，将作无效投标处理。</w:t>
      </w:r>
    </w:p>
    <w:p w14:paraId="2075AF85">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（六）关于政府采购政策</w:t>
      </w:r>
    </w:p>
    <w:p w14:paraId="7D2DC636">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1</w:t>
      </w:r>
      <w:r>
        <w:rPr>
          <w:rFonts w:hint="eastAsia" w:ascii="宋体" w:hAnsi="宋体" w:eastAsia="宋体" w:cs="宋体"/>
          <w:color w:val="auto"/>
        </w:rPr>
        <w:t>．</w:t>
      </w:r>
      <w:r>
        <w:rPr>
          <w:rFonts w:hint="eastAsia" w:ascii="宋体" w:hAnsi="宋体" w:eastAsia="宋体" w:cs="宋体"/>
          <w:b/>
          <w:color w:val="auto"/>
        </w:rPr>
        <w:t>对中小企业、监狱企业、残疾人福利性单位的优惠政策</w:t>
      </w:r>
    </w:p>
    <w:p w14:paraId="22987ED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w:t>
      </w:r>
      <w:r>
        <w:rPr>
          <w:rFonts w:hint="eastAsia" w:ascii="宋体" w:hAnsi="宋体" w:eastAsia="宋体" w:cs="宋体"/>
          <w:color w:val="auto"/>
          <w:lang w:eastAsia="zh-CN"/>
        </w:rPr>
        <w:t>投标人</w:t>
      </w:r>
      <w:r>
        <w:rPr>
          <w:rFonts w:hint="eastAsia" w:ascii="宋体" w:hAnsi="宋体" w:eastAsia="宋体" w:cs="宋体"/>
          <w:color w:val="auto"/>
        </w:rPr>
        <w:t>提供的货物既有中小企业制造货物，也有大型企业制造货物的，不享受中小企业扶持政策。</w:t>
      </w:r>
    </w:p>
    <w:p w14:paraId="0F03BEB5">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（2）根据财政部、司法部联合下发的《关于政府采购支持监狱企业发展有关问题的通知》（财库〔2014〕68号）的规定，监狱企业视同小型、微型企业。</w:t>
      </w:r>
    </w:p>
    <w:p w14:paraId="270DE51A">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78B054AD">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7F22A95F">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color w:val="auto"/>
        </w:rPr>
        <w:t>．</w:t>
      </w:r>
      <w:r>
        <w:rPr>
          <w:rFonts w:hint="eastAsia" w:ascii="宋体" w:hAnsi="宋体" w:eastAsia="宋体" w:cs="宋体"/>
          <w:b/>
          <w:color w:val="auto"/>
        </w:rPr>
        <w:t>节能、环保产品采购政策</w:t>
      </w:r>
    </w:p>
    <w:p w14:paraId="795FFE56">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7B200F8B">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21CF5325">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（3）《节能产品政府采购品目清单》见财政部、发展改革委《关于印发节能产品政府采购品目清单的通知》（财库〔2019〕19号）附件。</w:t>
      </w:r>
    </w:p>
    <w:p w14:paraId="0952BED8">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（4）《环境标志产品政府采购品目清单》见财政部、生态环境部《关于印发环境标志产品政府采购品目清单的通知》（财库〔2019〕18号）附件。</w:t>
      </w:r>
    </w:p>
    <w:p w14:paraId="5E29B5C8">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（5）“国家确定的认证机构”名单见市场监管总局《关于发布参与实施政府采购节能产品、环境标志产品认证机构名录的公告》（2019年第16号）。</w:t>
      </w:r>
    </w:p>
    <w:p w14:paraId="57B3986F">
      <w:pPr>
        <w:spacing w:line="360" w:lineRule="auto"/>
        <w:ind w:firstLine="480" w:firstLineChars="200"/>
        <w:jc w:val="both"/>
        <w:rPr>
          <w:rFonts w:hint="eastAsia" w:ascii="宋体" w:hAnsi="宋体" w:eastAsia="宋体" w:cs="宋体"/>
          <w:b/>
          <w:color w:val="auto"/>
        </w:rPr>
      </w:pPr>
      <w:r>
        <w:rPr>
          <w:rFonts w:hint="eastAsia" w:ascii="宋体" w:hAnsi="宋体" w:eastAsia="宋体" w:cs="宋体"/>
          <w:b/>
          <w:color w:val="auto"/>
        </w:rPr>
        <w:t>3</w:t>
      </w:r>
      <w:r>
        <w:rPr>
          <w:rFonts w:hint="eastAsia" w:ascii="宋体" w:hAnsi="宋体" w:eastAsia="宋体" w:cs="宋体"/>
          <w:color w:val="auto"/>
        </w:rPr>
        <w:t>．</w:t>
      </w:r>
      <w:r>
        <w:rPr>
          <w:rFonts w:hint="eastAsia" w:ascii="宋体" w:hAnsi="宋体" w:eastAsia="宋体" w:cs="宋体"/>
          <w:b/>
          <w:color w:val="auto"/>
        </w:rPr>
        <w:t>陕西省中小企业政府采购信用融资办法</w:t>
      </w:r>
    </w:p>
    <w:p w14:paraId="1714396F">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397969DA">
      <w:pPr>
        <w:wordWrap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链接地址：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"http://www.ccgp-shaanxi.gov.cn/zcdservice/zcd/shanxi/article/zcdt/1390497710741917696" </w:instrText>
      </w:r>
      <w:r>
        <w:rPr>
          <w:rFonts w:hint="eastAsia" w:ascii="宋体" w:hAnsi="宋体" w:eastAsia="宋体" w:cs="宋体"/>
          <w:color w:val="auto"/>
        </w:rPr>
        <w:fldChar w:fldCharType="separate"/>
      </w:r>
      <w:r>
        <w:rPr>
          <w:rStyle w:val="39"/>
          <w:rFonts w:hint="eastAsia" w:ascii="宋体" w:hAnsi="宋体" w:eastAsia="宋体" w:cs="宋体"/>
          <w:color w:val="auto"/>
        </w:rPr>
        <w:t>http</w:t>
      </w:r>
      <w:r>
        <w:rPr>
          <w:rStyle w:val="39"/>
          <w:rFonts w:hint="eastAsia" w:ascii="宋体" w:hAnsi="宋体" w:eastAsia="宋体" w:cs="宋体"/>
          <w:color w:val="auto"/>
          <w:lang w:eastAsia="zh-CN"/>
        </w:rPr>
        <w:t>：</w:t>
      </w:r>
      <w:r>
        <w:rPr>
          <w:rStyle w:val="39"/>
          <w:rFonts w:hint="eastAsia" w:ascii="宋体" w:hAnsi="宋体" w:eastAsia="宋体" w:cs="宋体"/>
          <w:color w:val="auto"/>
        </w:rPr>
        <w:t>//www.ccgp-shaanxi.gov.cn/zcdservice/zcd/shanxi/article/zcdt/1390497710741917696</w:t>
      </w:r>
      <w:r>
        <w:rPr>
          <w:rStyle w:val="39"/>
          <w:rFonts w:hint="eastAsia" w:ascii="宋体" w:hAnsi="宋体" w:eastAsia="宋体" w:cs="宋体"/>
          <w:color w:val="auto"/>
        </w:rPr>
        <w:fldChar w:fldCharType="end"/>
      </w:r>
    </w:p>
    <w:p w14:paraId="1F8C3CA8">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（七）关于现场踏勘和集中答疑</w:t>
      </w:r>
    </w:p>
    <w:p w14:paraId="26994AB2">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采购人可以根据项目实际情况决定是否组织现场踏勘\标前集中答疑。</w:t>
      </w:r>
      <w:r>
        <w:rPr>
          <w:rFonts w:hint="eastAsia" w:ascii="宋体" w:hAnsi="宋体" w:eastAsia="宋体" w:cs="宋体"/>
          <w:color w:val="auto"/>
          <w:lang w:eastAsia="zh-CN"/>
        </w:rPr>
        <w:t>招标公告</w:t>
      </w:r>
      <w:r>
        <w:rPr>
          <w:rFonts w:hint="eastAsia" w:ascii="宋体" w:hAnsi="宋体" w:eastAsia="宋体" w:cs="宋体"/>
          <w:color w:val="auto"/>
        </w:rPr>
        <w:t>中明确载明安排上述活动的，各</w:t>
      </w:r>
      <w:r>
        <w:rPr>
          <w:rFonts w:hint="eastAsia" w:ascii="宋体" w:hAnsi="宋体" w:eastAsia="宋体" w:cs="宋体"/>
          <w:color w:val="auto"/>
          <w:lang w:eastAsia="zh-CN"/>
        </w:rPr>
        <w:t>投标人</w:t>
      </w:r>
      <w:r>
        <w:rPr>
          <w:rFonts w:hint="eastAsia" w:ascii="宋体" w:hAnsi="宋体" w:eastAsia="宋体" w:cs="宋体"/>
          <w:color w:val="auto"/>
        </w:rPr>
        <w:t>应派出技术、预算等相关人员，在招标文件约定的时间、地点参加现场踏勘\标前集中答疑。</w:t>
      </w:r>
    </w:p>
    <w:p w14:paraId="6EAE087A">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lang w:eastAsia="zh-CN"/>
        </w:rPr>
        <w:t>投标人</w:t>
      </w:r>
      <w:r>
        <w:rPr>
          <w:rFonts w:hint="eastAsia" w:ascii="宋体" w:hAnsi="宋体" w:eastAsia="宋体" w:cs="宋体"/>
          <w:color w:val="auto"/>
        </w:rPr>
        <w:t>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2DE04D9F">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凡未参加现场踏勘和集中答疑的</w:t>
      </w:r>
      <w:r>
        <w:rPr>
          <w:rFonts w:hint="eastAsia" w:ascii="宋体" w:hAnsi="宋体" w:eastAsia="宋体" w:cs="宋体"/>
          <w:color w:val="auto"/>
          <w:lang w:eastAsia="zh-CN"/>
        </w:rPr>
        <w:t>投标人</w:t>
      </w:r>
      <w:r>
        <w:rPr>
          <w:rFonts w:hint="eastAsia" w:ascii="宋体" w:hAnsi="宋体" w:eastAsia="宋体" w:cs="宋体"/>
          <w:color w:val="auto"/>
        </w:rPr>
        <w:t>，由此带来的不利后果由该</w:t>
      </w:r>
      <w:r>
        <w:rPr>
          <w:rFonts w:hint="eastAsia" w:ascii="宋体" w:hAnsi="宋体" w:eastAsia="宋体" w:cs="宋体"/>
          <w:color w:val="auto"/>
          <w:lang w:eastAsia="zh-CN"/>
        </w:rPr>
        <w:t>投标人</w:t>
      </w:r>
      <w:r>
        <w:rPr>
          <w:rFonts w:hint="eastAsia" w:ascii="宋体" w:hAnsi="宋体" w:eastAsia="宋体" w:cs="宋体"/>
          <w:color w:val="auto"/>
        </w:rPr>
        <w:t>自行承担。</w:t>
      </w:r>
    </w:p>
    <w:p w14:paraId="7FB480CC">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（八）关于同一品牌产品的处理</w:t>
      </w:r>
    </w:p>
    <w:p w14:paraId="730CBA58">
      <w:pPr>
        <w:wordWrap w:val="0"/>
        <w:spacing w:line="360" w:lineRule="auto"/>
        <w:ind w:firstLine="480" w:firstLineChars="200"/>
        <w:jc w:val="both"/>
        <w:rPr>
          <w:rFonts w:hint="eastAsia" w:ascii="宋体" w:hAnsi="宋体" w:eastAsia="宋体" w:cs="宋体"/>
        </w:rPr>
      </w:pPr>
      <w:r>
        <w:rPr>
          <w:rFonts w:hint="eastAsia" w:ascii="宋体" w:hAnsi="宋体" w:eastAsia="宋体" w:cs="宋体"/>
          <w:color w:val="auto"/>
        </w:rPr>
        <w:t>1．采用最低评标价法的采购项目，提供相同品牌产品的不同</w:t>
      </w:r>
      <w:r>
        <w:rPr>
          <w:rFonts w:hint="eastAsia" w:ascii="宋体" w:hAnsi="宋体" w:eastAsia="宋体" w:cs="宋体"/>
          <w:color w:val="auto"/>
          <w:lang w:eastAsia="zh-CN"/>
        </w:rPr>
        <w:t>投标人</w:t>
      </w:r>
      <w:r>
        <w:rPr>
          <w:rFonts w:hint="eastAsia" w:ascii="宋体" w:hAnsi="宋体" w:eastAsia="宋体" w:cs="宋体"/>
          <w:color w:val="auto"/>
        </w:rPr>
        <w:t>参加同一合同项下投标的，以其中通过资格审查、符合性审查且报价最低的参加评标；报价相同的，由采购人或者采购人委托评审委员会按照</w:t>
      </w:r>
      <w:r>
        <w:rPr>
          <w:rFonts w:hint="eastAsia" w:ascii="宋体" w:hAnsi="宋体" w:eastAsia="宋体" w:cs="宋体"/>
        </w:rPr>
        <w:t>采购文件规定的方式确定一个参加评标的</w:t>
      </w:r>
      <w:r>
        <w:rPr>
          <w:rFonts w:hint="eastAsia" w:ascii="宋体" w:hAnsi="宋体" w:eastAsia="宋体" w:cs="宋体"/>
          <w:lang w:eastAsia="zh-CN"/>
        </w:rPr>
        <w:t>投标人</w:t>
      </w:r>
      <w:r>
        <w:rPr>
          <w:rFonts w:hint="eastAsia" w:ascii="宋体" w:hAnsi="宋体" w:eastAsia="宋体" w:cs="宋体"/>
        </w:rPr>
        <w:t>，采购文件未规定的采取随机抽取方式确定，其他投标无效。</w:t>
      </w:r>
    </w:p>
    <w:p w14:paraId="2D24FA0D">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2．使用综合评分法的采购项目，提供相同品牌产品且通过资格审查、符合性审查的不同</w:t>
      </w:r>
      <w:r>
        <w:rPr>
          <w:rFonts w:hint="eastAsia" w:ascii="宋体" w:hAnsi="宋体" w:eastAsia="宋体" w:cs="宋体"/>
          <w:lang w:eastAsia="zh-CN"/>
        </w:rPr>
        <w:t>投标人</w:t>
      </w:r>
      <w:r>
        <w:rPr>
          <w:rFonts w:hint="eastAsia" w:ascii="宋体" w:hAnsi="宋体" w:eastAsia="宋体" w:cs="宋体"/>
        </w:rPr>
        <w:t>参加同一合同项下投标的，按一家</w:t>
      </w:r>
      <w:r>
        <w:rPr>
          <w:rFonts w:hint="eastAsia" w:ascii="宋体" w:hAnsi="宋体" w:eastAsia="宋体" w:cs="宋体"/>
          <w:lang w:eastAsia="zh-CN"/>
        </w:rPr>
        <w:t>投标人</w:t>
      </w:r>
      <w:r>
        <w:rPr>
          <w:rFonts w:hint="eastAsia" w:ascii="宋体" w:hAnsi="宋体" w:eastAsia="宋体" w:cs="宋体"/>
        </w:rPr>
        <w:t>计算，评审后得分最高的同品牌</w:t>
      </w:r>
      <w:r>
        <w:rPr>
          <w:rFonts w:hint="eastAsia" w:ascii="宋体" w:hAnsi="宋体" w:eastAsia="宋体" w:cs="宋体"/>
          <w:lang w:eastAsia="zh-CN"/>
        </w:rPr>
        <w:t>投标人</w:t>
      </w:r>
      <w:r>
        <w:rPr>
          <w:rFonts w:hint="eastAsia" w:ascii="宋体" w:hAnsi="宋体" w:eastAsia="宋体" w:cs="宋体"/>
        </w:rPr>
        <w:t>获得中标</w:t>
      </w:r>
      <w:r>
        <w:rPr>
          <w:rFonts w:hint="eastAsia" w:ascii="宋体" w:hAnsi="宋体" w:eastAsia="宋体" w:cs="宋体"/>
          <w:lang w:eastAsia="zh-CN"/>
        </w:rPr>
        <w:t>投标人</w:t>
      </w:r>
      <w:r>
        <w:rPr>
          <w:rFonts w:hint="eastAsia" w:ascii="宋体" w:hAnsi="宋体" w:eastAsia="宋体" w:cs="宋体"/>
        </w:rPr>
        <w:t>推荐资格；评审得分相同的，由采购人或者采购人委托评审委员会按照采购文件规定的方式确定一个</w:t>
      </w:r>
      <w:r>
        <w:rPr>
          <w:rFonts w:hint="eastAsia" w:ascii="宋体" w:hAnsi="宋体" w:eastAsia="宋体" w:cs="宋体"/>
          <w:lang w:eastAsia="zh-CN"/>
        </w:rPr>
        <w:t>投标人</w:t>
      </w:r>
      <w:r>
        <w:rPr>
          <w:rFonts w:hint="eastAsia" w:ascii="宋体" w:hAnsi="宋体" w:eastAsia="宋体" w:cs="宋体"/>
        </w:rPr>
        <w:t>获得中标</w:t>
      </w:r>
      <w:r>
        <w:rPr>
          <w:rFonts w:hint="eastAsia" w:ascii="宋体" w:hAnsi="宋体" w:eastAsia="宋体" w:cs="宋体"/>
          <w:lang w:eastAsia="zh-CN"/>
        </w:rPr>
        <w:t>投标人</w:t>
      </w:r>
      <w:r>
        <w:rPr>
          <w:rFonts w:hint="eastAsia" w:ascii="宋体" w:hAnsi="宋体" w:eastAsia="宋体" w:cs="宋体"/>
        </w:rPr>
        <w:t>推荐资格，采购文件未规定的采取随机抽取方式确定，其他同品牌</w:t>
      </w:r>
      <w:r>
        <w:rPr>
          <w:rFonts w:hint="eastAsia" w:ascii="宋体" w:hAnsi="宋体" w:eastAsia="宋体" w:cs="宋体"/>
          <w:lang w:eastAsia="zh-CN"/>
        </w:rPr>
        <w:t>投标人</w:t>
      </w:r>
      <w:r>
        <w:rPr>
          <w:rFonts w:hint="eastAsia" w:ascii="宋体" w:hAnsi="宋体" w:eastAsia="宋体" w:cs="宋体"/>
        </w:rPr>
        <w:t>不作为中标候选人。</w:t>
      </w:r>
    </w:p>
    <w:p w14:paraId="2B89F43D">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3．非单一产品采购项目，采购人将根据采购项目技术构成、产品价格比重等因素确定核心产品（可能不止一种），并在采购文件中载明。多家</w:t>
      </w:r>
      <w:r>
        <w:rPr>
          <w:rFonts w:hint="eastAsia" w:ascii="宋体" w:hAnsi="宋体" w:eastAsia="宋体" w:cs="宋体"/>
          <w:lang w:eastAsia="zh-CN"/>
        </w:rPr>
        <w:t>投标人</w:t>
      </w:r>
      <w:r>
        <w:rPr>
          <w:rFonts w:hint="eastAsia" w:ascii="宋体" w:hAnsi="宋体" w:eastAsia="宋体" w:cs="宋体"/>
        </w:rPr>
        <w:t>提供的核心产品有部分采用或全部采用相同品牌的，按一家</w:t>
      </w:r>
      <w:r>
        <w:rPr>
          <w:rFonts w:hint="eastAsia" w:ascii="宋体" w:hAnsi="宋体" w:eastAsia="宋体" w:cs="宋体"/>
          <w:lang w:eastAsia="zh-CN"/>
        </w:rPr>
        <w:t>投标人</w:t>
      </w:r>
      <w:r>
        <w:rPr>
          <w:rFonts w:hint="eastAsia" w:ascii="宋体" w:hAnsi="宋体" w:eastAsia="宋体" w:cs="宋体"/>
        </w:rPr>
        <w:t>计算。</w:t>
      </w:r>
    </w:p>
    <w:p w14:paraId="535DC495">
      <w:pPr>
        <w:pStyle w:val="7"/>
        <w:spacing w:line="360" w:lineRule="auto"/>
        <w:ind w:firstLine="482"/>
        <w:rPr>
          <w:rFonts w:hint="eastAsia" w:ascii="宋体" w:hAnsi="宋体" w:eastAsia="宋体" w:cs="宋体"/>
        </w:rPr>
      </w:pPr>
      <w:r>
        <w:rPr>
          <w:rFonts w:hint="eastAsia" w:ascii="宋体" w:hAnsi="宋体" w:eastAsia="宋体" w:cs="宋体"/>
        </w:rPr>
        <w:t>（九）关于知识产权和保密事项</w:t>
      </w:r>
    </w:p>
    <w:p w14:paraId="14BE4E99">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1．所有涉及知识产权的产品及设计，</w:t>
      </w:r>
      <w:r>
        <w:rPr>
          <w:rFonts w:hint="eastAsia" w:ascii="宋体" w:hAnsi="宋体" w:eastAsia="宋体" w:cs="宋体"/>
          <w:lang w:eastAsia="zh-CN"/>
        </w:rPr>
        <w:t>投标人</w:t>
      </w:r>
      <w:r>
        <w:rPr>
          <w:rFonts w:hint="eastAsia" w:ascii="宋体" w:hAnsi="宋体" w:eastAsia="宋体" w:cs="宋体"/>
        </w:rPr>
        <w:t>必须确保委托人、采购人拥有其合法的、不受限制的无偿使用权，并免受任何侵权诉讼或索偿；否则，由此产生的一切经济损失和法律责任由</w:t>
      </w:r>
      <w:r>
        <w:rPr>
          <w:rFonts w:hint="eastAsia" w:ascii="宋体" w:hAnsi="宋体" w:eastAsia="宋体" w:cs="宋体"/>
          <w:lang w:eastAsia="zh-CN"/>
        </w:rPr>
        <w:t>投标人</w:t>
      </w:r>
      <w:r>
        <w:rPr>
          <w:rFonts w:hint="eastAsia" w:ascii="宋体" w:hAnsi="宋体" w:eastAsia="宋体" w:cs="宋体"/>
        </w:rPr>
        <w:t>承担。</w:t>
      </w:r>
    </w:p>
    <w:p w14:paraId="04E16594">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2．由采购人向</w:t>
      </w:r>
      <w:r>
        <w:rPr>
          <w:rFonts w:hint="eastAsia" w:ascii="宋体" w:hAnsi="宋体" w:eastAsia="宋体" w:cs="宋体"/>
          <w:lang w:eastAsia="zh-CN"/>
        </w:rPr>
        <w:t>投标人</w:t>
      </w:r>
      <w:r>
        <w:rPr>
          <w:rFonts w:hint="eastAsia" w:ascii="宋体" w:hAnsi="宋体" w:eastAsia="宋体" w:cs="宋体"/>
        </w:rPr>
        <w:t>提供的用户需求书、图纸、样品、模型、模件和所有资料，</w:t>
      </w:r>
      <w:r>
        <w:rPr>
          <w:rFonts w:hint="eastAsia" w:ascii="宋体" w:hAnsi="宋体" w:eastAsia="宋体" w:cs="宋体"/>
          <w:lang w:eastAsia="zh-CN"/>
        </w:rPr>
        <w:t>投标人</w:t>
      </w:r>
      <w:r>
        <w:rPr>
          <w:rFonts w:hint="eastAsia" w:ascii="宋体" w:hAnsi="宋体" w:eastAsia="宋体" w:cs="宋体"/>
        </w:rPr>
        <w:t>获得后，应对其保密。除非采购人同意，</w:t>
      </w:r>
      <w:r>
        <w:rPr>
          <w:rFonts w:hint="eastAsia" w:ascii="宋体" w:hAnsi="宋体" w:eastAsia="宋体" w:cs="宋体"/>
          <w:lang w:eastAsia="zh-CN"/>
        </w:rPr>
        <w:t>投标人</w:t>
      </w:r>
      <w:r>
        <w:rPr>
          <w:rFonts w:hint="eastAsia" w:ascii="宋体" w:hAnsi="宋体" w:eastAsia="宋体" w:cs="宋体"/>
        </w:rPr>
        <w:t>不得向第三方透露或将其用于本次投</w:t>
      </w:r>
      <w:r>
        <w:rPr>
          <w:rFonts w:hint="eastAsia" w:ascii="宋体" w:hAnsi="宋体" w:eastAsia="宋体" w:cs="宋体"/>
          <w:w w:val="1"/>
        </w:rPr>
        <w:t xml:space="preserve"> </w:t>
      </w:r>
      <w:r>
        <w:rPr>
          <w:rFonts w:hint="eastAsia" w:ascii="宋体" w:hAnsi="宋体" w:eastAsia="宋体" w:cs="宋体"/>
        </w:rPr>
        <w:t>标以外的任何用途。开标后，若采购人有要求，</w:t>
      </w:r>
      <w:r>
        <w:rPr>
          <w:rFonts w:hint="eastAsia" w:ascii="宋体" w:hAnsi="宋体" w:eastAsia="宋体" w:cs="宋体"/>
          <w:lang w:eastAsia="zh-CN"/>
        </w:rPr>
        <w:t>投标人</w:t>
      </w:r>
      <w:r>
        <w:rPr>
          <w:rFonts w:hint="eastAsia" w:ascii="宋体" w:hAnsi="宋体" w:eastAsia="宋体" w:cs="宋体"/>
        </w:rPr>
        <w:t>须归还采购人认为需保密的文件和资料，并销毁所有相应的备份文件及资料。</w:t>
      </w:r>
    </w:p>
    <w:p w14:paraId="4429F1FA">
      <w:pPr>
        <w:pStyle w:val="7"/>
        <w:spacing w:line="360" w:lineRule="auto"/>
        <w:ind w:firstLine="482"/>
        <w:rPr>
          <w:rFonts w:hint="eastAsia" w:ascii="宋体" w:hAnsi="宋体" w:eastAsia="宋体" w:cs="宋体"/>
        </w:rPr>
      </w:pPr>
      <w:r>
        <w:rPr>
          <w:rFonts w:hint="eastAsia" w:ascii="宋体" w:hAnsi="宋体" w:eastAsia="宋体" w:cs="宋体"/>
        </w:rPr>
        <w:t>（十）关于信用记录的查询和使用</w:t>
      </w:r>
    </w:p>
    <w:p w14:paraId="304A41FB">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rPr>
        <w:t>1．根据财政部《关于在政府采购活动中查询及使</w:t>
      </w:r>
      <w:r>
        <w:rPr>
          <w:rFonts w:hint="eastAsia" w:ascii="宋体" w:hAnsi="宋体" w:eastAsia="宋体" w:cs="宋体"/>
          <w:color w:val="auto"/>
        </w:rPr>
        <w:t>用信用记录有关问题的通知》（财库〔2016〕125号）第二条有关要求，采购人将在资格审查阶段通过【信用中国】（</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"https://www.creditchina.gov.cn" </w:instrText>
      </w:r>
      <w:r>
        <w:rPr>
          <w:rFonts w:hint="eastAsia" w:ascii="宋体" w:hAnsi="宋体" w:eastAsia="宋体" w:cs="宋体"/>
          <w:color w:val="auto"/>
        </w:rPr>
        <w:fldChar w:fldCharType="separate"/>
      </w:r>
      <w:r>
        <w:rPr>
          <w:rStyle w:val="39"/>
          <w:rFonts w:hint="eastAsia" w:ascii="宋体" w:hAnsi="宋体" w:eastAsia="宋体" w:cs="宋体"/>
          <w:color w:val="auto"/>
        </w:rPr>
        <w:t>https</w:t>
      </w:r>
      <w:r>
        <w:rPr>
          <w:rStyle w:val="39"/>
          <w:rFonts w:hint="eastAsia" w:ascii="宋体" w:hAnsi="宋体" w:eastAsia="宋体" w:cs="宋体"/>
          <w:color w:val="auto"/>
          <w:lang w:eastAsia="zh-CN"/>
        </w:rPr>
        <w:t>：</w:t>
      </w:r>
      <w:r>
        <w:rPr>
          <w:rStyle w:val="39"/>
          <w:rFonts w:hint="eastAsia" w:ascii="宋体" w:hAnsi="宋体" w:eastAsia="宋体" w:cs="宋体"/>
          <w:color w:val="auto"/>
        </w:rPr>
        <w:t>//www.creditchina.gov.cn</w:t>
      </w:r>
      <w:r>
        <w:rPr>
          <w:rStyle w:val="39"/>
          <w:rFonts w:hint="eastAsia" w:ascii="宋体" w:hAnsi="宋体" w:eastAsia="宋体" w:cs="宋体"/>
          <w:color w:val="auto"/>
        </w:rPr>
        <w:fldChar w:fldCharType="end"/>
      </w:r>
      <w:r>
        <w:rPr>
          <w:rFonts w:hint="eastAsia" w:ascii="宋体" w:hAnsi="宋体" w:eastAsia="宋体" w:cs="宋体"/>
          <w:color w:val="auto"/>
        </w:rPr>
        <w:t>/）和【中国政府采购网】（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"http://www.ccgp.gov.cn/" </w:instrText>
      </w:r>
      <w:r>
        <w:rPr>
          <w:rFonts w:hint="eastAsia" w:ascii="宋体" w:hAnsi="宋体" w:eastAsia="宋体" w:cs="宋体"/>
          <w:color w:val="auto"/>
        </w:rPr>
        <w:fldChar w:fldCharType="separate"/>
      </w:r>
      <w:r>
        <w:rPr>
          <w:rStyle w:val="39"/>
          <w:rFonts w:hint="eastAsia" w:ascii="宋体" w:hAnsi="宋体" w:eastAsia="宋体" w:cs="宋体"/>
          <w:color w:val="auto"/>
        </w:rPr>
        <w:t>http</w:t>
      </w:r>
      <w:r>
        <w:rPr>
          <w:rStyle w:val="39"/>
          <w:rFonts w:hint="eastAsia" w:ascii="宋体" w:hAnsi="宋体" w:eastAsia="宋体" w:cs="宋体"/>
          <w:color w:val="auto"/>
          <w:lang w:eastAsia="zh-CN"/>
        </w:rPr>
        <w:t>：</w:t>
      </w:r>
      <w:r>
        <w:rPr>
          <w:rStyle w:val="39"/>
          <w:rFonts w:hint="eastAsia" w:ascii="宋体" w:hAnsi="宋体" w:eastAsia="宋体" w:cs="宋体"/>
          <w:color w:val="auto"/>
        </w:rPr>
        <w:t>//www.ccgp.gov.cn/）</w:t>
      </w:r>
      <w:r>
        <w:rPr>
          <w:rStyle w:val="39"/>
          <w:rFonts w:hint="eastAsia" w:ascii="宋体" w:hAnsi="宋体" w:eastAsia="宋体" w:cs="宋体"/>
          <w:color w:val="auto"/>
        </w:rPr>
        <w:fldChar w:fldCharType="end"/>
      </w:r>
      <w:r>
        <w:rPr>
          <w:rFonts w:hint="eastAsia" w:ascii="宋体" w:hAnsi="宋体" w:eastAsia="宋体" w:cs="宋体"/>
          <w:color w:val="auto"/>
        </w:rPr>
        <w:t>对</w:t>
      </w:r>
      <w:r>
        <w:rPr>
          <w:rFonts w:hint="eastAsia" w:ascii="宋体" w:hAnsi="宋体" w:eastAsia="宋体" w:cs="宋体"/>
          <w:color w:val="auto"/>
          <w:lang w:eastAsia="zh-CN"/>
        </w:rPr>
        <w:t>投标人</w:t>
      </w:r>
      <w:r>
        <w:rPr>
          <w:rFonts w:hint="eastAsia" w:ascii="宋体" w:hAnsi="宋体" w:eastAsia="宋体" w:cs="宋体"/>
          <w:color w:val="auto"/>
        </w:rPr>
        <w:t>的信用情况进行甄别。</w:t>
      </w:r>
    </w:p>
    <w:p w14:paraId="1E2F8887">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2．对列入失信被执行人、</w:t>
      </w:r>
      <w:r>
        <w:rPr>
          <w:rFonts w:hint="eastAsia" w:ascii="宋体" w:hAnsi="宋体" w:eastAsia="宋体" w:cs="宋体"/>
          <w:color w:val="auto"/>
          <w:lang w:eastAsia="zh-CN"/>
        </w:rPr>
        <w:t>重大税收违法失信主体</w:t>
      </w:r>
      <w:r>
        <w:rPr>
          <w:rFonts w:hint="eastAsia" w:ascii="宋体" w:hAnsi="宋体" w:eastAsia="宋体" w:cs="宋体"/>
          <w:color w:val="auto"/>
        </w:rPr>
        <w:t>、政府采购严重违法失信行为记录名单及其他不符合《中华人民共和国政府采购法》第二十二条规定条件的</w:t>
      </w:r>
      <w:r>
        <w:rPr>
          <w:rFonts w:hint="eastAsia" w:ascii="宋体" w:hAnsi="宋体" w:eastAsia="宋体" w:cs="宋体"/>
          <w:color w:val="auto"/>
          <w:lang w:eastAsia="zh-CN"/>
        </w:rPr>
        <w:t>投标人</w:t>
      </w:r>
      <w:r>
        <w:rPr>
          <w:rFonts w:hint="eastAsia" w:ascii="宋体" w:hAnsi="宋体" w:eastAsia="宋体" w:cs="宋体"/>
          <w:color w:val="auto"/>
        </w:rPr>
        <w:t>，将拒绝其参与政府采购活动。</w:t>
      </w:r>
    </w:p>
    <w:p w14:paraId="16173F17">
      <w:pPr>
        <w:spacing w:line="360" w:lineRule="auto"/>
        <w:ind w:firstLine="480" w:firstLineChars="200"/>
        <w:jc w:val="both"/>
        <w:rPr>
          <w:rFonts w:hint="eastAsia" w:ascii="宋体" w:hAnsi="宋体" w:eastAsia="宋体" w:cs="宋体"/>
        </w:rPr>
      </w:pPr>
      <w:r>
        <w:rPr>
          <w:rFonts w:hint="eastAsia" w:ascii="宋体" w:hAnsi="宋体" w:eastAsia="宋体" w:cs="宋体"/>
          <w:color w:val="auto"/>
        </w:rPr>
        <w:t>3．</w:t>
      </w:r>
      <w:r>
        <w:rPr>
          <w:rFonts w:hint="eastAsia" w:ascii="宋体" w:hAnsi="宋体" w:eastAsia="宋体" w:cs="宋体"/>
          <w:color w:val="auto"/>
          <w:lang w:eastAsia="zh-CN"/>
        </w:rPr>
        <w:t>投标人</w:t>
      </w:r>
      <w:r>
        <w:rPr>
          <w:rFonts w:hint="eastAsia" w:ascii="宋体" w:hAnsi="宋体" w:eastAsia="宋体" w:cs="宋体"/>
          <w:color w:val="auto"/>
        </w:rPr>
        <w:t>在参加政府采购活动前3年内因违法经营被禁止在一定期限内参加政府</w:t>
      </w:r>
      <w:r>
        <w:rPr>
          <w:rFonts w:hint="eastAsia" w:ascii="宋体" w:hAnsi="宋体" w:eastAsia="宋体" w:cs="宋体"/>
        </w:rPr>
        <w:t>采购活动，期限届满的，可以参加政府采购活动的，但</w:t>
      </w:r>
      <w:r>
        <w:rPr>
          <w:rFonts w:hint="eastAsia" w:ascii="宋体" w:hAnsi="宋体" w:eastAsia="宋体" w:cs="宋体"/>
          <w:lang w:eastAsia="zh-CN"/>
        </w:rPr>
        <w:t>投标人</w:t>
      </w:r>
      <w:r>
        <w:rPr>
          <w:rFonts w:hint="eastAsia" w:ascii="宋体" w:hAnsi="宋体" w:eastAsia="宋体" w:cs="宋体"/>
        </w:rPr>
        <w:t>应提供相关证明材料。</w:t>
      </w:r>
    </w:p>
    <w:p w14:paraId="68F3CA57">
      <w:pPr>
        <w:spacing w:line="360" w:lineRule="auto"/>
        <w:ind w:firstLine="480" w:firstLineChars="200"/>
        <w:jc w:val="both"/>
        <w:rPr>
          <w:rFonts w:hint="eastAsia" w:ascii="宋体" w:hAnsi="宋体" w:eastAsia="宋体" w:cs="宋体"/>
        </w:rPr>
      </w:pPr>
      <w:r>
        <w:rPr>
          <w:rFonts w:hint="eastAsia" w:ascii="宋体" w:hAnsi="宋体" w:eastAsia="宋体" w:cs="宋体"/>
        </w:rPr>
        <w:t>4．信用记录查询结果打印后，将与其他采购文件一并保存。</w:t>
      </w:r>
    </w:p>
    <w:p w14:paraId="75C32191">
      <w:pPr>
        <w:pStyle w:val="7"/>
        <w:spacing w:line="360" w:lineRule="auto"/>
        <w:ind w:firstLine="482"/>
        <w:rPr>
          <w:rFonts w:hint="eastAsia" w:ascii="宋体" w:hAnsi="宋体" w:eastAsia="宋体" w:cs="宋体"/>
        </w:rPr>
      </w:pPr>
      <w:r>
        <w:rPr>
          <w:rFonts w:hint="eastAsia" w:ascii="宋体" w:hAnsi="宋体" w:eastAsia="宋体" w:cs="宋体"/>
        </w:rPr>
        <w:t>（十一）其他重要事项</w:t>
      </w:r>
    </w:p>
    <w:p w14:paraId="613572DF">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1．招标文件内所附网络链接仅供参考，不保证其长期有效性。</w:t>
      </w:r>
    </w:p>
    <w:p w14:paraId="337AB50A">
      <w:pPr>
        <w:wordWrap w:val="0"/>
        <w:spacing w:line="360" w:lineRule="auto"/>
        <w:ind w:firstLine="480" w:firstLineChars="20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投标人</w:t>
      </w:r>
      <w:r>
        <w:rPr>
          <w:rFonts w:hint="eastAsia" w:ascii="宋体" w:hAnsi="宋体" w:eastAsia="宋体" w:cs="宋体"/>
        </w:rPr>
        <w:t>的投标费用自理。</w:t>
      </w:r>
    </w:p>
    <w:p w14:paraId="1103435B">
      <w:pPr>
        <w:pStyle w:val="4"/>
        <w:spacing w:before="210" w:beforeLines="50" w:line="360" w:lineRule="auto"/>
        <w:jc w:val="both"/>
        <w:rPr>
          <w:rFonts w:hint="eastAsia" w:ascii="宋体" w:hAnsi="宋体" w:eastAsia="宋体" w:cs="宋体"/>
        </w:rPr>
      </w:pPr>
      <w:r>
        <w:rPr>
          <w:rFonts w:hint="eastAsia" w:ascii="宋体" w:hAnsi="宋体" w:eastAsia="宋体" w:cs="宋体"/>
        </w:rPr>
        <w:t>三、招标文件</w:t>
      </w:r>
    </w:p>
    <w:p w14:paraId="02B0F68D">
      <w:pPr>
        <w:pStyle w:val="7"/>
        <w:spacing w:line="360" w:lineRule="auto"/>
        <w:ind w:firstLine="482"/>
        <w:rPr>
          <w:rFonts w:hint="eastAsia" w:ascii="宋体" w:hAnsi="宋体" w:eastAsia="宋体" w:cs="宋体"/>
        </w:rPr>
      </w:pPr>
      <w:r>
        <w:rPr>
          <w:rFonts w:hint="eastAsia" w:ascii="宋体" w:hAnsi="宋体" w:eastAsia="宋体" w:cs="宋体"/>
        </w:rPr>
        <w:t>（一）招标文件的解释权</w:t>
      </w:r>
    </w:p>
    <w:p w14:paraId="36ACD85E">
      <w:pPr>
        <w:spacing w:line="360" w:lineRule="auto"/>
        <w:ind w:firstLine="480" w:firstLineChars="200"/>
        <w:jc w:val="both"/>
        <w:rPr>
          <w:rFonts w:hint="eastAsia" w:ascii="宋体" w:hAnsi="宋体" w:eastAsia="宋体" w:cs="宋体"/>
        </w:rPr>
      </w:pPr>
      <w:r>
        <w:rPr>
          <w:rFonts w:hint="eastAsia" w:ascii="宋体" w:hAnsi="宋体" w:eastAsia="宋体" w:cs="宋体"/>
        </w:rPr>
        <w:t>本项目招标文件的解释权归采购代理机构，评标委员会成员应根据政府采购法律法规和招标文件所载明的评审方法、标准进行评审。</w:t>
      </w:r>
    </w:p>
    <w:p w14:paraId="0CE9C0A8">
      <w:pPr>
        <w:pStyle w:val="7"/>
        <w:spacing w:line="360" w:lineRule="auto"/>
        <w:ind w:firstLine="482"/>
        <w:rPr>
          <w:rFonts w:hint="eastAsia" w:ascii="宋体" w:hAnsi="宋体" w:eastAsia="宋体" w:cs="宋体"/>
        </w:rPr>
      </w:pPr>
      <w:r>
        <w:rPr>
          <w:rFonts w:hint="eastAsia" w:ascii="宋体" w:hAnsi="宋体" w:eastAsia="宋体" w:cs="宋体"/>
        </w:rPr>
        <w:t>（二）招标文件主要内容</w:t>
      </w:r>
    </w:p>
    <w:p w14:paraId="2F3F103C">
      <w:pPr>
        <w:spacing w:line="360" w:lineRule="auto"/>
        <w:ind w:firstLine="480" w:firstLineChars="200"/>
        <w:jc w:val="both"/>
        <w:rPr>
          <w:rFonts w:hint="eastAsia" w:ascii="宋体" w:hAnsi="宋体" w:eastAsia="宋体" w:cs="宋体"/>
          <w:lang w:eastAsia="zh-CN"/>
        </w:rPr>
      </w:pPr>
      <w:r>
        <w:rPr>
          <w:rFonts w:hint="eastAsia" w:ascii="宋体" w:hAnsi="宋体" w:eastAsia="宋体" w:cs="宋体"/>
        </w:rPr>
        <w:t>第</w:t>
      </w:r>
      <w:r>
        <w:rPr>
          <w:rFonts w:hint="eastAsia" w:ascii="宋体" w:hAnsi="宋体" w:eastAsia="宋体" w:cs="宋体"/>
          <w:b/>
        </w:rPr>
        <w:t>1</w:t>
      </w:r>
      <w:r>
        <w:rPr>
          <w:rFonts w:hint="eastAsia" w:ascii="宋体" w:hAnsi="宋体" w:eastAsia="宋体" w:cs="宋体"/>
        </w:rPr>
        <w:t>章　</w:t>
      </w:r>
      <w:r>
        <w:rPr>
          <w:rFonts w:hint="eastAsia" w:ascii="宋体" w:hAnsi="宋体" w:eastAsia="宋体" w:cs="宋体"/>
          <w:lang w:eastAsia="zh-CN"/>
        </w:rPr>
        <w:t>招标公告</w:t>
      </w:r>
    </w:p>
    <w:p w14:paraId="5F6ED4A8">
      <w:pPr>
        <w:spacing w:line="360" w:lineRule="auto"/>
        <w:ind w:firstLine="480" w:firstLineChars="200"/>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2</w:t>
      </w:r>
      <w:r>
        <w:rPr>
          <w:rFonts w:hint="eastAsia" w:ascii="宋体" w:hAnsi="宋体" w:eastAsia="宋体" w:cs="宋体"/>
        </w:rPr>
        <w:t>章　</w:t>
      </w:r>
      <w:r>
        <w:rPr>
          <w:rFonts w:hint="eastAsia" w:ascii="宋体" w:hAnsi="宋体" w:eastAsia="宋体" w:cs="宋体"/>
          <w:lang w:eastAsia="zh-CN"/>
        </w:rPr>
        <w:t>投标人</w:t>
      </w:r>
      <w:r>
        <w:rPr>
          <w:rFonts w:hint="eastAsia" w:ascii="宋体" w:hAnsi="宋体" w:eastAsia="宋体" w:cs="宋体"/>
        </w:rPr>
        <w:t>须知</w:t>
      </w:r>
    </w:p>
    <w:p w14:paraId="42C0609C">
      <w:pPr>
        <w:spacing w:line="360" w:lineRule="auto"/>
        <w:ind w:firstLine="480" w:firstLineChars="200"/>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3</w:t>
      </w:r>
      <w:r>
        <w:rPr>
          <w:rFonts w:hint="eastAsia" w:ascii="宋体" w:hAnsi="宋体" w:eastAsia="宋体" w:cs="宋体"/>
        </w:rPr>
        <w:t>章　招标内容及要求</w:t>
      </w:r>
    </w:p>
    <w:p w14:paraId="31F8263A">
      <w:pPr>
        <w:spacing w:line="360" w:lineRule="auto"/>
        <w:ind w:firstLine="480" w:firstLineChars="200"/>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4</w:t>
      </w:r>
      <w:r>
        <w:rPr>
          <w:rFonts w:hint="eastAsia" w:ascii="宋体" w:hAnsi="宋体" w:eastAsia="宋体" w:cs="宋体"/>
        </w:rPr>
        <w:t>章　合同文本</w:t>
      </w:r>
    </w:p>
    <w:p w14:paraId="2FE4687A">
      <w:pPr>
        <w:spacing w:line="360" w:lineRule="auto"/>
        <w:ind w:firstLine="480" w:firstLineChars="200"/>
        <w:jc w:val="both"/>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5</w:t>
      </w:r>
      <w:r>
        <w:rPr>
          <w:rFonts w:hint="eastAsia" w:ascii="宋体" w:hAnsi="宋体" w:eastAsia="宋体" w:cs="宋体"/>
        </w:rPr>
        <w:t>章　投标文件构成及格式</w:t>
      </w:r>
    </w:p>
    <w:p w14:paraId="7B296B6C">
      <w:pPr>
        <w:pStyle w:val="7"/>
        <w:spacing w:line="360" w:lineRule="auto"/>
        <w:ind w:firstLine="482"/>
        <w:rPr>
          <w:rFonts w:hint="eastAsia" w:ascii="宋体" w:hAnsi="宋体" w:eastAsia="宋体" w:cs="宋体"/>
        </w:rPr>
      </w:pPr>
      <w:r>
        <w:rPr>
          <w:rFonts w:hint="eastAsia" w:ascii="宋体" w:hAnsi="宋体" w:eastAsia="宋体" w:cs="宋体"/>
        </w:rPr>
        <w:t>（三）招标文件的检查及阅读</w:t>
      </w:r>
    </w:p>
    <w:p w14:paraId="36539996">
      <w:pPr>
        <w:spacing w:line="360" w:lineRule="auto"/>
        <w:ind w:firstLine="480" w:firstLineChars="200"/>
        <w:jc w:val="both"/>
        <w:rPr>
          <w:rFonts w:hint="eastAsia" w:ascii="宋体" w:hAnsi="宋体" w:eastAsia="宋体" w:cs="宋体"/>
          <w:color w:val="auto"/>
        </w:rPr>
      </w:pPr>
      <w:r>
        <w:rPr>
          <w:rFonts w:hint="eastAsia" w:ascii="宋体" w:hAnsi="宋体" w:eastAsia="宋体" w:cs="宋体"/>
          <w:lang w:eastAsia="zh-CN"/>
        </w:rPr>
        <w:t>投标人</w:t>
      </w:r>
      <w:r>
        <w:rPr>
          <w:rFonts w:hint="eastAsia" w:ascii="宋体" w:hAnsi="宋体" w:eastAsia="宋体" w:cs="宋体"/>
        </w:rPr>
        <w:t>应认真阅读和充分理解招标文件中所有的事项、格式条款和规范要求，在投标文件中对招标文件做</w:t>
      </w:r>
      <w:r>
        <w:rPr>
          <w:rFonts w:hint="eastAsia" w:ascii="宋体" w:hAnsi="宋体" w:eastAsia="宋体" w:cs="宋体"/>
          <w:color w:val="auto"/>
        </w:rPr>
        <w:t>出全面响</w:t>
      </w:r>
      <w:r>
        <w:rPr>
          <w:rFonts w:hint="eastAsia" w:ascii="宋体" w:hAnsi="宋体" w:eastAsia="宋体" w:cs="宋体"/>
          <w:color w:val="auto"/>
          <w:w w:val="1"/>
        </w:rPr>
        <w:t xml:space="preserve"> </w:t>
      </w:r>
      <w:r>
        <w:rPr>
          <w:rFonts w:hint="eastAsia" w:ascii="宋体" w:hAnsi="宋体" w:eastAsia="宋体" w:cs="宋体"/>
          <w:color w:val="auto"/>
        </w:rPr>
        <w:t>应，并按招标文件的要求提交全部资料。</w:t>
      </w:r>
    </w:p>
    <w:p w14:paraId="4ED87583">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项目废标后重新组织招标的，采购代理机构将重新编制、发布新版招标文件，</w:t>
      </w:r>
      <w:r>
        <w:rPr>
          <w:rFonts w:hint="eastAsia" w:ascii="宋体" w:hAnsi="宋体" w:eastAsia="宋体" w:cs="宋体"/>
          <w:color w:val="auto"/>
          <w:lang w:eastAsia="zh-CN"/>
        </w:rPr>
        <w:t>投标人</w:t>
      </w:r>
      <w:r>
        <w:rPr>
          <w:rFonts w:hint="eastAsia" w:ascii="宋体" w:hAnsi="宋体" w:eastAsia="宋体" w:cs="宋体"/>
          <w:color w:val="auto"/>
        </w:rPr>
        <w:t>应按新版招标文件重新编制投标文件。原招标文件及投标文件失效。</w:t>
      </w:r>
    </w:p>
    <w:p w14:paraId="533964CC">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（四）招标文件的修改、澄清</w:t>
      </w:r>
    </w:p>
    <w:p w14:paraId="739D5F62">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1．提交投标文件截止之日前，采购人或采购代理机构可能对已发出的招标文件进行澄清或者修改，澄清或者修改的内容为招标文件的组成部分。</w:t>
      </w:r>
    </w:p>
    <w:p w14:paraId="262DB0D9">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2．当需要澄清或修改时，采购代理机构将在提交投标文件截止之日15日前，在财政部门指定的“政府采购信息发布媒体”上发布变更公告；不足15日的，将顺延提交投标文件截止时间。</w:t>
      </w:r>
    </w:p>
    <w:p w14:paraId="2CD1ED91">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3．澄清或修改的内容可能影响投标文件编制时，采购代理机构将在发布变更公告的同时，提醒</w:t>
      </w:r>
      <w:r>
        <w:rPr>
          <w:rFonts w:hint="eastAsia" w:ascii="宋体" w:hAnsi="宋体" w:eastAsia="宋体" w:cs="宋体"/>
          <w:color w:val="auto"/>
          <w:lang w:eastAsia="zh-CN"/>
        </w:rPr>
        <w:t>投标人</w:t>
      </w:r>
      <w:r>
        <w:rPr>
          <w:rFonts w:hint="eastAsia" w:ascii="宋体" w:hAnsi="宋体" w:eastAsia="宋体" w:cs="宋体"/>
          <w:color w:val="auto"/>
        </w:rPr>
        <w:t>下载答疑文件（*.SXSCF，即更新后的电子招标文件）。</w:t>
      </w:r>
      <w:r>
        <w:rPr>
          <w:rFonts w:hint="eastAsia" w:ascii="宋体" w:hAnsi="宋体" w:eastAsia="宋体" w:cs="宋体"/>
          <w:color w:val="auto"/>
          <w:lang w:eastAsia="zh-CN"/>
        </w:rPr>
        <w:t>投标人</w:t>
      </w:r>
      <w:r>
        <w:rPr>
          <w:rFonts w:hint="eastAsia" w:ascii="宋体" w:hAnsi="宋体" w:eastAsia="宋体" w:cs="宋体"/>
          <w:color w:val="auto"/>
        </w:rPr>
        <w:t>应及时从西安市公共资源交易平台〖首页</w:t>
      </w:r>
      <w:r>
        <w:rPr>
          <w:rFonts w:hint="eastAsia" w:ascii="宋体" w:hAnsi="宋体" w:eastAsia="宋体" w:cs="宋体"/>
          <w:color w:val="auto"/>
          <w:lang w:eastAsia="zh-CN"/>
        </w:rPr>
        <w:t>〉</w:t>
      </w:r>
      <w:r>
        <w:rPr>
          <w:rFonts w:hint="eastAsia" w:ascii="宋体" w:hAnsi="宋体" w:eastAsia="宋体" w:cs="宋体"/>
          <w:color w:val="auto"/>
        </w:rPr>
        <w:t>电子交易平台</w:t>
      </w:r>
      <w:r>
        <w:rPr>
          <w:rFonts w:hint="eastAsia" w:ascii="宋体" w:hAnsi="宋体" w:eastAsia="宋体" w:cs="宋体"/>
          <w:color w:val="auto"/>
          <w:lang w:eastAsia="zh-CN"/>
        </w:rPr>
        <w:t>〉</w:t>
      </w:r>
      <w:r>
        <w:rPr>
          <w:rFonts w:hint="eastAsia" w:ascii="宋体" w:hAnsi="宋体" w:eastAsia="宋体" w:cs="宋体"/>
          <w:color w:val="auto"/>
        </w:rPr>
        <w:t>陕西政府采购交易系统</w:t>
      </w:r>
      <w:r>
        <w:rPr>
          <w:rFonts w:hint="eastAsia" w:ascii="宋体" w:hAnsi="宋体" w:eastAsia="宋体" w:cs="宋体"/>
          <w:color w:val="auto"/>
          <w:lang w:eastAsia="zh-CN"/>
        </w:rPr>
        <w:t>〉</w:t>
      </w:r>
      <w:r>
        <w:rPr>
          <w:rFonts w:hint="eastAsia" w:ascii="宋体" w:hAnsi="宋体" w:eastAsia="宋体" w:cs="宋体"/>
          <w:color w:val="auto"/>
        </w:rPr>
        <w:t>企业端〗登录，登录后切换到〖我的项目〗模块，从〖项目流程</w:t>
      </w:r>
      <w:r>
        <w:rPr>
          <w:rFonts w:hint="eastAsia" w:ascii="宋体" w:hAnsi="宋体" w:eastAsia="宋体" w:cs="宋体"/>
          <w:color w:val="auto"/>
          <w:lang w:eastAsia="zh-CN"/>
        </w:rPr>
        <w:t>〉</w:t>
      </w:r>
      <w:r>
        <w:rPr>
          <w:rFonts w:hint="eastAsia" w:ascii="宋体" w:hAnsi="宋体" w:eastAsia="宋体" w:cs="宋体"/>
          <w:color w:val="auto"/>
        </w:rPr>
        <w:t>项目管理</w:t>
      </w:r>
      <w:r>
        <w:rPr>
          <w:rFonts w:hint="eastAsia" w:ascii="宋体" w:hAnsi="宋体" w:eastAsia="宋体" w:cs="宋体"/>
          <w:color w:val="auto"/>
          <w:lang w:eastAsia="zh-CN"/>
        </w:rPr>
        <w:t>〉</w:t>
      </w:r>
      <w:r>
        <w:rPr>
          <w:rFonts w:hint="eastAsia" w:ascii="宋体" w:hAnsi="宋体" w:eastAsia="宋体" w:cs="宋体"/>
          <w:color w:val="auto"/>
        </w:rPr>
        <w:t>答</w:t>
      </w:r>
      <w:r>
        <w:rPr>
          <w:rFonts w:hint="eastAsia" w:ascii="宋体" w:hAnsi="宋体" w:eastAsia="宋体" w:cs="宋体"/>
        </w:rPr>
        <w:t>疑文件下载〗获取</w:t>
      </w:r>
      <w:r>
        <w:rPr>
          <w:rFonts w:hint="eastAsia" w:ascii="宋体" w:hAnsi="宋体" w:eastAsia="宋体" w:cs="宋体"/>
          <w:color w:val="auto"/>
        </w:rPr>
        <w:t>更新后的电子招标文件（*.SXSCF），使用旧版电子招标文件制作的电子投标文件（*.SXSTF），系统将拒绝接收。</w:t>
      </w:r>
    </w:p>
    <w:p w14:paraId="0030E712">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4．请各</w:t>
      </w:r>
      <w:r>
        <w:rPr>
          <w:rFonts w:hint="eastAsia" w:ascii="宋体" w:hAnsi="宋体" w:eastAsia="宋体" w:cs="宋体"/>
          <w:color w:val="auto"/>
          <w:lang w:eastAsia="zh-CN"/>
        </w:rPr>
        <w:t>投标人</w:t>
      </w:r>
      <w:r>
        <w:rPr>
          <w:rFonts w:hint="eastAsia" w:ascii="宋体" w:hAnsi="宋体" w:eastAsia="宋体" w:cs="宋体"/>
          <w:color w:val="auto"/>
        </w:rPr>
        <w:t>在提交投标文件截止时间之前，务必随时关注“政府采购信息发布媒体”上发布的变更公告，采购代理机构不再另行通知，因</w:t>
      </w:r>
      <w:r>
        <w:rPr>
          <w:rFonts w:hint="eastAsia" w:ascii="宋体" w:hAnsi="宋体" w:eastAsia="宋体" w:cs="宋体"/>
          <w:color w:val="auto"/>
          <w:lang w:eastAsia="zh-CN"/>
        </w:rPr>
        <w:t>投标人</w:t>
      </w:r>
      <w:r>
        <w:rPr>
          <w:rFonts w:hint="eastAsia" w:ascii="宋体" w:hAnsi="宋体" w:eastAsia="宋体" w:cs="宋体"/>
          <w:color w:val="auto"/>
        </w:rPr>
        <w:t>未及时关注所造成的一切后果由</w:t>
      </w:r>
      <w:r>
        <w:rPr>
          <w:rFonts w:hint="eastAsia" w:ascii="宋体" w:hAnsi="宋体" w:eastAsia="宋体" w:cs="宋体"/>
          <w:color w:val="auto"/>
          <w:lang w:eastAsia="zh-CN"/>
        </w:rPr>
        <w:t>投标人</w:t>
      </w:r>
      <w:r>
        <w:rPr>
          <w:rFonts w:hint="eastAsia" w:ascii="宋体" w:hAnsi="宋体" w:eastAsia="宋体" w:cs="宋体"/>
          <w:color w:val="auto"/>
        </w:rPr>
        <w:t>自行承担：</w:t>
      </w:r>
    </w:p>
    <w:p w14:paraId="5DFEA566">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"http://www.ccgp-shaanxi.gov.cn" </w:instrText>
      </w:r>
      <w:r>
        <w:rPr>
          <w:rFonts w:hint="eastAsia" w:ascii="宋体" w:hAnsi="宋体" w:eastAsia="宋体" w:cs="宋体"/>
          <w:color w:val="auto"/>
        </w:rPr>
        <w:fldChar w:fldCharType="separate"/>
      </w:r>
      <w:r>
        <w:rPr>
          <w:rFonts w:hint="eastAsia" w:ascii="宋体" w:hAnsi="宋体" w:eastAsia="宋体" w:cs="宋体"/>
          <w:color w:val="auto"/>
        </w:rPr>
        <w:t>陕西省政府采购网</w:t>
      </w:r>
      <w:r>
        <w:rPr>
          <w:rFonts w:hint="eastAsia" w:ascii="宋体" w:hAnsi="宋体" w:eastAsia="宋体" w:cs="宋体"/>
          <w:color w:val="auto"/>
        </w:rPr>
        <w:fldChar w:fldCharType="end"/>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"http://www.ccgp-shaanxi.gov.cn/" </w:instrText>
      </w:r>
      <w:r>
        <w:rPr>
          <w:rFonts w:hint="eastAsia" w:ascii="宋体" w:hAnsi="宋体" w:eastAsia="宋体" w:cs="宋体"/>
          <w:color w:val="auto"/>
        </w:rPr>
        <w:fldChar w:fldCharType="separate"/>
      </w:r>
      <w:r>
        <w:rPr>
          <w:rStyle w:val="39"/>
          <w:rFonts w:hint="eastAsia" w:ascii="宋体" w:hAnsi="宋体" w:eastAsia="宋体" w:cs="宋体"/>
          <w:color w:val="auto"/>
        </w:rPr>
        <w:t>http</w:t>
      </w:r>
      <w:r>
        <w:rPr>
          <w:rStyle w:val="39"/>
          <w:rFonts w:hint="eastAsia" w:ascii="宋体" w:hAnsi="宋体" w:eastAsia="宋体" w:cs="宋体"/>
          <w:color w:val="auto"/>
          <w:lang w:eastAsia="zh-CN"/>
        </w:rPr>
        <w:t>：</w:t>
      </w:r>
      <w:r>
        <w:rPr>
          <w:rStyle w:val="39"/>
          <w:rFonts w:hint="eastAsia" w:ascii="宋体" w:hAnsi="宋体" w:eastAsia="宋体" w:cs="宋体"/>
          <w:color w:val="auto"/>
        </w:rPr>
        <w:t>//www.ccgp-shaanxi.gov.cn/</w:t>
      </w:r>
      <w:r>
        <w:rPr>
          <w:rStyle w:val="39"/>
          <w:rFonts w:hint="eastAsia" w:ascii="宋体" w:hAnsi="宋体" w:eastAsia="宋体" w:cs="宋体"/>
          <w:color w:val="auto"/>
        </w:rPr>
        <w:fldChar w:fldCharType="end"/>
      </w:r>
      <w:r>
        <w:rPr>
          <w:rFonts w:hint="eastAsia" w:ascii="宋体" w:hAnsi="宋体" w:eastAsia="宋体" w:cs="宋体"/>
          <w:color w:val="auto"/>
        </w:rPr>
        <w:t>）中的〖首页</w:t>
      </w:r>
      <w:r>
        <w:rPr>
          <w:rFonts w:hint="eastAsia" w:ascii="宋体" w:hAnsi="宋体" w:eastAsia="宋体" w:cs="宋体"/>
          <w:color w:val="auto"/>
          <w:lang w:eastAsia="zh-CN"/>
        </w:rPr>
        <w:t>〉</w:t>
      </w:r>
      <w:r>
        <w:rPr>
          <w:rFonts w:hint="eastAsia" w:ascii="宋体" w:hAnsi="宋体" w:eastAsia="宋体" w:cs="宋体"/>
          <w:color w:val="auto"/>
        </w:rPr>
        <w:t>信息公告</w:t>
      </w:r>
      <w:r>
        <w:rPr>
          <w:rFonts w:hint="eastAsia" w:ascii="宋体" w:hAnsi="宋体" w:eastAsia="宋体" w:cs="宋体"/>
          <w:color w:val="auto"/>
          <w:lang w:eastAsia="zh-CN"/>
        </w:rPr>
        <w:t>〉</w:t>
      </w:r>
      <w:r>
        <w:rPr>
          <w:rFonts w:hint="eastAsia" w:ascii="宋体" w:hAnsi="宋体" w:eastAsia="宋体" w:cs="宋体"/>
          <w:color w:val="auto"/>
        </w:rPr>
        <w:t>市级</w:t>
      </w:r>
      <w:r>
        <w:rPr>
          <w:rFonts w:hint="eastAsia" w:ascii="宋体" w:hAnsi="宋体" w:eastAsia="宋体" w:cs="宋体"/>
          <w:color w:val="auto"/>
          <w:lang w:eastAsia="zh-CN"/>
        </w:rPr>
        <w:t>〉</w:t>
      </w:r>
      <w:r>
        <w:rPr>
          <w:rFonts w:hint="eastAsia" w:ascii="宋体" w:hAnsi="宋体" w:eastAsia="宋体" w:cs="宋体"/>
          <w:color w:val="auto"/>
        </w:rPr>
        <w:t>西安市〗；</w:t>
      </w:r>
    </w:p>
    <w:p w14:paraId="581826FE">
      <w:pPr>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"http://xa.sxggzyjy.cn/" </w:instrText>
      </w:r>
      <w:r>
        <w:rPr>
          <w:rFonts w:hint="eastAsia" w:ascii="宋体" w:hAnsi="宋体" w:eastAsia="宋体" w:cs="宋体"/>
          <w:color w:val="auto"/>
        </w:rPr>
        <w:fldChar w:fldCharType="separate"/>
      </w:r>
      <w:r>
        <w:rPr>
          <w:rFonts w:hint="eastAsia" w:ascii="宋体" w:hAnsi="宋体" w:eastAsia="宋体" w:cs="宋体"/>
          <w:color w:val="auto"/>
        </w:rPr>
        <w:t>全国公共资源交易网（陕西省·西安市）</w:t>
      </w:r>
      <w:r>
        <w:rPr>
          <w:rFonts w:hint="eastAsia" w:ascii="宋体" w:hAnsi="宋体" w:eastAsia="宋体" w:cs="宋体"/>
          <w:color w:val="auto"/>
        </w:rPr>
        <w:fldChar w:fldCharType="end"/>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"http://sxggzyjy.xa.gov.cn/" </w:instrText>
      </w:r>
      <w:r>
        <w:rPr>
          <w:rFonts w:hint="eastAsia" w:ascii="宋体" w:hAnsi="宋体" w:eastAsia="宋体" w:cs="宋体"/>
          <w:color w:val="auto"/>
        </w:rPr>
        <w:fldChar w:fldCharType="separate"/>
      </w:r>
      <w:r>
        <w:rPr>
          <w:rStyle w:val="39"/>
          <w:rFonts w:hint="eastAsia" w:ascii="宋体" w:hAnsi="宋体" w:eastAsia="宋体" w:cs="宋体"/>
          <w:color w:val="auto"/>
        </w:rPr>
        <w:t>http</w:t>
      </w:r>
      <w:r>
        <w:rPr>
          <w:rStyle w:val="39"/>
          <w:rFonts w:hint="eastAsia" w:ascii="宋体" w:hAnsi="宋体" w:eastAsia="宋体" w:cs="宋体"/>
          <w:color w:val="auto"/>
          <w:lang w:eastAsia="zh-CN"/>
        </w:rPr>
        <w:t>：</w:t>
      </w:r>
      <w:r>
        <w:rPr>
          <w:rStyle w:val="39"/>
          <w:rFonts w:hint="eastAsia" w:ascii="宋体" w:hAnsi="宋体" w:eastAsia="宋体" w:cs="宋体"/>
          <w:color w:val="auto"/>
        </w:rPr>
        <w:t>//sxggzyjy.xa.gov.cn/</w:t>
      </w:r>
      <w:r>
        <w:rPr>
          <w:rStyle w:val="39"/>
          <w:rFonts w:hint="eastAsia" w:ascii="宋体" w:hAnsi="宋体" w:eastAsia="宋体" w:cs="宋体"/>
          <w:color w:val="auto"/>
        </w:rPr>
        <w:fldChar w:fldCharType="end"/>
      </w:r>
      <w:r>
        <w:rPr>
          <w:rFonts w:hint="eastAsia" w:ascii="宋体" w:hAnsi="宋体" w:eastAsia="宋体" w:cs="宋体"/>
          <w:color w:val="auto"/>
        </w:rPr>
        <w:t>）中的〖首页</w:t>
      </w:r>
      <w:r>
        <w:rPr>
          <w:rFonts w:hint="eastAsia" w:ascii="宋体" w:hAnsi="宋体" w:eastAsia="宋体" w:cs="宋体"/>
          <w:color w:val="auto"/>
          <w:lang w:eastAsia="zh-CN"/>
        </w:rPr>
        <w:t>〉</w:t>
      </w:r>
      <w:r>
        <w:rPr>
          <w:rFonts w:hint="eastAsia" w:ascii="宋体" w:hAnsi="宋体" w:eastAsia="宋体" w:cs="宋体"/>
          <w:color w:val="auto"/>
        </w:rPr>
        <w:t>交易大厅</w:t>
      </w:r>
      <w:r>
        <w:rPr>
          <w:rFonts w:hint="eastAsia" w:ascii="宋体" w:hAnsi="宋体" w:eastAsia="宋体" w:cs="宋体"/>
          <w:color w:val="auto"/>
          <w:lang w:eastAsia="zh-CN"/>
        </w:rPr>
        <w:t>〉</w:t>
      </w:r>
      <w:r>
        <w:rPr>
          <w:rFonts w:hint="eastAsia" w:ascii="宋体" w:hAnsi="宋体" w:eastAsia="宋体" w:cs="宋体"/>
          <w:color w:val="auto"/>
        </w:rPr>
        <w:t>政府采购〗。</w:t>
      </w:r>
    </w:p>
    <w:p w14:paraId="1B254BB7">
      <w:pPr>
        <w:pStyle w:val="4"/>
        <w:spacing w:line="360" w:lineRule="auto"/>
        <w:rPr>
          <w:rFonts w:hint="eastAsia" w:ascii="宋体" w:hAnsi="宋体" w:eastAsia="宋体" w:cs="宋体"/>
          <w:color w:val="auto"/>
        </w:rPr>
      </w:pPr>
      <w:r>
        <w:rPr>
          <w:rFonts w:hint="eastAsia" w:ascii="宋体" w:hAnsi="宋体" w:eastAsia="宋体" w:cs="宋体"/>
          <w:color w:val="auto"/>
        </w:rPr>
        <w:t>四、投标文件</w:t>
      </w:r>
    </w:p>
    <w:p w14:paraId="291E9FE8">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（一）投标文件的式样</w:t>
      </w:r>
    </w:p>
    <w:p w14:paraId="68316322">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1．组成及格式</w:t>
      </w:r>
    </w:p>
    <w:p w14:paraId="5A2AA9A7">
      <w:pPr>
        <w:pStyle w:val="89"/>
        <w:spacing w:line="360" w:lineRule="auto"/>
        <w:ind w:firstLine="480"/>
        <w:rPr>
          <w:rFonts w:hint="eastAsia" w:ascii="宋体" w:hAnsi="宋体" w:eastAsia="宋体" w:cs="宋体"/>
          <w:color w:val="auto"/>
        </w:rPr>
      </w:pPr>
      <w:r>
        <w:rPr>
          <w:rFonts w:hint="eastAsia" w:ascii="宋体" w:hAnsi="宋体" w:cs="宋体"/>
          <w:color w:val="auto"/>
          <w:lang w:eastAsia="zh-CN"/>
        </w:rPr>
        <w:t>投标人</w:t>
      </w:r>
      <w:r>
        <w:rPr>
          <w:rFonts w:hint="eastAsia" w:ascii="宋体" w:hAnsi="宋体" w:eastAsia="宋体" w:cs="宋体"/>
          <w:color w:val="auto"/>
        </w:rPr>
        <w:t>依照招标文件第五章《投标文件构成及格式》给定形式进行编制投标文件。项目分标段的，应按所投</w:t>
      </w:r>
      <w:r>
        <w:rPr>
          <w:rFonts w:hint="eastAsia" w:ascii="宋体" w:hAnsi="宋体" w:eastAsia="宋体" w:cs="宋体"/>
          <w:color w:val="auto"/>
          <w:w w:val="1"/>
        </w:rPr>
        <w:t xml:space="preserve"> </w:t>
      </w:r>
      <w:r>
        <w:rPr>
          <w:rFonts w:hint="eastAsia" w:ascii="宋体" w:hAnsi="宋体" w:eastAsia="宋体" w:cs="宋体"/>
          <w:color w:val="auto"/>
        </w:rPr>
        <w:t>标段分别准备投标文件。</w:t>
      </w:r>
    </w:p>
    <w:p w14:paraId="02D8D1CD">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2．语言</w:t>
      </w:r>
    </w:p>
    <w:p w14:paraId="5E7E9BA7">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招标活动的所有文件、资料、函电文字均使用简体中文，确需提交用其他语言形成的资料，必须翻译成简体中文，如有差异，以简体中文为准。</w:t>
      </w:r>
    </w:p>
    <w:p w14:paraId="017A1901">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3．计量单位</w:t>
      </w:r>
    </w:p>
    <w:p w14:paraId="09E29442">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投标文件的计量单位应使用中华人民共和国法定计量单位，但招标文件另有规定的除外。</w:t>
      </w:r>
    </w:p>
    <w:p w14:paraId="45580C51">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（二）投标文件的有效期</w:t>
      </w:r>
    </w:p>
    <w:p w14:paraId="58C768F0">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投标文件有效期为自开标之日起不少于90个日历日。如中标，延长至合同执行完毕时止。</w:t>
      </w:r>
    </w:p>
    <w:p w14:paraId="03354575">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（三）投标报价</w:t>
      </w:r>
    </w:p>
    <w:p w14:paraId="41643B03">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投标报价是</w:t>
      </w:r>
      <w:r>
        <w:rPr>
          <w:rFonts w:hint="eastAsia" w:ascii="宋体" w:hAnsi="宋体" w:cs="宋体"/>
          <w:color w:val="auto"/>
          <w:lang w:eastAsia="zh-CN"/>
        </w:rPr>
        <w:t>投标人</w:t>
      </w:r>
      <w:r>
        <w:rPr>
          <w:rFonts w:hint="eastAsia" w:ascii="宋体" w:hAnsi="宋体" w:eastAsia="宋体" w:cs="宋体"/>
          <w:color w:val="auto"/>
        </w:rPr>
        <w:t>响</w:t>
      </w:r>
      <w:r>
        <w:rPr>
          <w:rFonts w:hint="eastAsia" w:ascii="宋体" w:hAnsi="宋体" w:eastAsia="宋体" w:cs="宋体"/>
          <w:color w:val="auto"/>
          <w:w w:val="1"/>
        </w:rPr>
        <w:t xml:space="preserve"> </w:t>
      </w:r>
      <w:r>
        <w:rPr>
          <w:rFonts w:hint="eastAsia" w:ascii="宋体" w:hAnsi="宋体" w:eastAsia="宋体" w:cs="宋体"/>
          <w:color w:val="auto"/>
        </w:rPr>
        <w:t>应采购项目要求的全部工作内容的价格体现，包括完成采购内容所需的直接费、间接费、利润、税金及其它相关的一切费用。</w:t>
      </w:r>
    </w:p>
    <w:p w14:paraId="762192DC">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eastAsia="zh-CN"/>
        </w:rPr>
        <w:t>投标人</w:t>
      </w:r>
      <w:r>
        <w:rPr>
          <w:rFonts w:hint="eastAsia" w:ascii="宋体" w:hAnsi="宋体" w:eastAsia="宋体" w:cs="宋体"/>
          <w:color w:val="auto"/>
        </w:rPr>
        <w:t>在报价时应充分考虑所有可能发生的费用，招标文件未列明，而</w:t>
      </w:r>
      <w:r>
        <w:rPr>
          <w:rFonts w:hint="eastAsia" w:ascii="宋体" w:hAnsi="宋体" w:cs="宋体"/>
          <w:color w:val="auto"/>
          <w:lang w:eastAsia="zh-CN"/>
        </w:rPr>
        <w:t>投标人</w:t>
      </w:r>
      <w:r>
        <w:rPr>
          <w:rFonts w:hint="eastAsia" w:ascii="宋体" w:hAnsi="宋体" w:eastAsia="宋体" w:cs="宋体"/>
          <w:color w:val="auto"/>
        </w:rPr>
        <w:t>认为应当计取的费用均应列入报价中。报价时不论是否计取，采购人均按已计取对待。</w:t>
      </w:r>
    </w:p>
    <w:p w14:paraId="1E8DDD23">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eastAsia="zh-CN"/>
        </w:rPr>
        <w:t>投标人</w:t>
      </w:r>
      <w:r>
        <w:rPr>
          <w:rFonts w:hint="eastAsia" w:ascii="宋体" w:hAnsi="宋体" w:eastAsia="宋体" w:cs="宋体"/>
          <w:color w:val="auto"/>
        </w:rPr>
        <w:t>应严格按照《投标文件构成及格式》第二部分《开标一览表》中的相关要求填写分类报价及其他需要响</w:t>
      </w:r>
      <w:r>
        <w:rPr>
          <w:rFonts w:hint="eastAsia" w:ascii="宋体" w:hAnsi="宋体" w:eastAsia="宋体" w:cs="宋体"/>
          <w:color w:val="auto"/>
          <w:w w:val="1"/>
        </w:rPr>
        <w:t xml:space="preserve"> </w:t>
      </w:r>
      <w:r>
        <w:rPr>
          <w:rFonts w:hint="eastAsia" w:ascii="宋体" w:hAnsi="宋体" w:eastAsia="宋体" w:cs="宋体"/>
          <w:color w:val="auto"/>
        </w:rPr>
        <w:t>应的内容。投标报价只能提交唯一报价，任何有选择的报价将不予接受，按无效投标处理。</w:t>
      </w:r>
    </w:p>
    <w:p w14:paraId="2B5597E8">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3．投标报价货币：人民币；单位：元。</w:t>
      </w:r>
    </w:p>
    <w:p w14:paraId="3F50E3D8">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4．投标文件报价出现前后不一致的，除招标文件另有规定外，按照下列规则修正：</w:t>
      </w:r>
    </w:p>
    <w:p w14:paraId="2FCEB850">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（1）投标文件中开标一览表内容与投标文件中其他位置相应内容表述不一致的，以开标一览表为准；</w:t>
      </w:r>
    </w:p>
    <w:p w14:paraId="0979124C">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（2）大写金额和小写金额不一致的，以大写金额为准；</w:t>
      </w:r>
    </w:p>
    <w:p w14:paraId="18DA33B5">
      <w:pPr>
        <w:pStyle w:val="89"/>
        <w:spacing w:line="360" w:lineRule="auto"/>
        <w:ind w:firstLine="480"/>
        <w:rPr>
          <w:rFonts w:hint="eastAsia" w:ascii="宋体" w:hAnsi="宋体" w:eastAsia="宋体" w:cs="宋体"/>
        </w:rPr>
      </w:pPr>
      <w:r>
        <w:rPr>
          <w:rFonts w:hint="eastAsia" w:ascii="宋体" w:hAnsi="宋体" w:eastAsia="宋体" w:cs="宋体"/>
          <w:color w:val="auto"/>
        </w:rPr>
        <w:t>（3）单价金额小数点或者百</w:t>
      </w:r>
      <w:r>
        <w:rPr>
          <w:rFonts w:hint="eastAsia" w:ascii="宋体" w:hAnsi="宋体" w:eastAsia="宋体" w:cs="宋体"/>
        </w:rPr>
        <w:t>分比有明显错位的，以开标一览表的总价为准，并修改单价；</w:t>
      </w:r>
    </w:p>
    <w:p w14:paraId="22729DD6">
      <w:pPr>
        <w:pStyle w:val="89"/>
        <w:spacing w:line="360" w:lineRule="auto"/>
        <w:ind w:firstLine="480"/>
        <w:rPr>
          <w:rFonts w:hint="eastAsia" w:ascii="宋体" w:hAnsi="宋体" w:eastAsia="宋体" w:cs="宋体"/>
        </w:rPr>
      </w:pPr>
      <w:r>
        <w:rPr>
          <w:rFonts w:hint="eastAsia" w:ascii="宋体" w:hAnsi="宋体" w:eastAsia="宋体" w:cs="宋体"/>
        </w:rPr>
        <w:t>（4）总价金额与按单价汇总金额不一致的，以单价金额计算结果为准。</w:t>
      </w:r>
    </w:p>
    <w:p w14:paraId="142AA1FD">
      <w:pPr>
        <w:pStyle w:val="89"/>
        <w:spacing w:line="360" w:lineRule="auto"/>
        <w:ind w:firstLine="480"/>
        <w:rPr>
          <w:rFonts w:hint="eastAsia" w:ascii="宋体" w:hAnsi="宋体" w:eastAsia="宋体" w:cs="宋体"/>
        </w:rPr>
      </w:pPr>
      <w:r>
        <w:rPr>
          <w:rFonts w:hint="eastAsia" w:ascii="宋体" w:hAnsi="宋体" w:eastAsia="宋体" w:cs="宋体"/>
        </w:rPr>
        <w:t>同时出现两种以上不一致的，按照前款规定的顺序修正。修正后的报价经</w:t>
      </w:r>
      <w:r>
        <w:rPr>
          <w:rFonts w:hint="eastAsia" w:ascii="宋体" w:hAnsi="宋体" w:cs="宋体"/>
          <w:lang w:eastAsia="zh-CN"/>
        </w:rPr>
        <w:t>投标人</w:t>
      </w:r>
      <w:r>
        <w:rPr>
          <w:rFonts w:hint="eastAsia" w:ascii="宋体" w:hAnsi="宋体" w:eastAsia="宋体" w:cs="宋体"/>
        </w:rPr>
        <w:t>确认后产生约束力，</w:t>
      </w:r>
      <w:r>
        <w:rPr>
          <w:rFonts w:hint="eastAsia" w:ascii="宋体" w:hAnsi="宋体" w:cs="宋体"/>
          <w:lang w:eastAsia="zh-CN"/>
        </w:rPr>
        <w:t>投标人</w:t>
      </w:r>
      <w:r>
        <w:rPr>
          <w:rFonts w:hint="eastAsia" w:ascii="宋体" w:hAnsi="宋体" w:eastAsia="宋体" w:cs="宋体"/>
        </w:rPr>
        <w:t>不确认的，其投标无效。</w:t>
      </w:r>
    </w:p>
    <w:p w14:paraId="78F15605">
      <w:pPr>
        <w:pStyle w:val="89"/>
        <w:spacing w:line="360" w:lineRule="auto"/>
        <w:ind w:firstLine="480"/>
        <w:rPr>
          <w:rFonts w:hint="eastAsia" w:ascii="宋体" w:hAnsi="宋体" w:eastAsia="宋体" w:cs="宋体"/>
        </w:rPr>
      </w:pPr>
      <w:r>
        <w:rPr>
          <w:rFonts w:hint="eastAsia" w:ascii="宋体" w:hAnsi="宋体" w:eastAsia="宋体" w:cs="宋体"/>
        </w:rPr>
        <w:t>5</w:t>
      </w:r>
      <w:r>
        <w:rPr>
          <w:rFonts w:hint="eastAsia" w:ascii="宋体" w:hAnsi="宋体" w:eastAsia="宋体" w:cs="宋体"/>
          <w:color w:val="auto"/>
        </w:rPr>
        <w:t>．</w:t>
      </w:r>
      <w:r>
        <w:rPr>
          <w:rFonts w:hint="eastAsia" w:ascii="宋体" w:hAnsi="宋体" w:eastAsia="宋体" w:cs="宋体"/>
        </w:rPr>
        <w:t>因</w:t>
      </w:r>
      <w:r>
        <w:rPr>
          <w:rFonts w:hint="eastAsia" w:ascii="宋体" w:hAnsi="宋体" w:cs="宋体"/>
          <w:lang w:eastAsia="zh-CN"/>
        </w:rPr>
        <w:t>投标人</w:t>
      </w:r>
      <w:r>
        <w:rPr>
          <w:rFonts w:hint="eastAsia" w:ascii="宋体" w:hAnsi="宋体" w:eastAsia="宋体" w:cs="宋体"/>
        </w:rPr>
        <w:t>对招标文件理解不透、误解、疏漏或对市场行情了解不清造成的后果和风险，均由</w:t>
      </w:r>
      <w:r>
        <w:rPr>
          <w:rFonts w:hint="eastAsia" w:ascii="宋体" w:hAnsi="宋体" w:cs="宋体"/>
          <w:lang w:eastAsia="zh-CN"/>
        </w:rPr>
        <w:t>投标人</w:t>
      </w:r>
      <w:r>
        <w:rPr>
          <w:rFonts w:hint="eastAsia" w:ascii="宋体" w:hAnsi="宋体" w:eastAsia="宋体" w:cs="宋体"/>
        </w:rPr>
        <w:t>自己负责。</w:t>
      </w:r>
    </w:p>
    <w:p w14:paraId="17EA7EA7">
      <w:pPr>
        <w:pStyle w:val="7"/>
        <w:spacing w:line="360" w:lineRule="auto"/>
        <w:ind w:firstLine="482"/>
        <w:rPr>
          <w:rFonts w:hint="eastAsia" w:ascii="宋体" w:hAnsi="宋体" w:eastAsia="宋体" w:cs="宋体"/>
          <w:color w:val="auto"/>
        </w:rPr>
      </w:pPr>
      <w:r>
        <w:rPr>
          <w:rFonts w:hint="eastAsia" w:ascii="宋体" w:hAnsi="宋体" w:eastAsia="宋体" w:cs="宋体"/>
        </w:rPr>
        <w:t>（四）投标文件的制作和签</w:t>
      </w:r>
      <w:r>
        <w:rPr>
          <w:rFonts w:hint="eastAsia" w:ascii="宋体" w:hAnsi="宋体" w:eastAsia="宋体" w:cs="宋体"/>
          <w:color w:val="auto"/>
        </w:rPr>
        <w:t>章</w:t>
      </w:r>
    </w:p>
    <w:p w14:paraId="292E58A7">
      <w:pPr>
        <w:pStyle w:val="89"/>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1．电子投标文件（*.SXSTF）需要使用专用制作软件—“新点投</w:t>
      </w:r>
      <w:r>
        <w:rPr>
          <w:rFonts w:hint="eastAsia" w:ascii="宋体" w:hAnsi="宋体" w:eastAsia="宋体" w:cs="宋体"/>
          <w:color w:val="auto"/>
          <w:w w:val="1"/>
        </w:rPr>
        <w:t xml:space="preserve"> </w:t>
      </w:r>
      <w:r>
        <w:rPr>
          <w:rFonts w:hint="eastAsia" w:ascii="宋体" w:hAnsi="宋体" w:eastAsia="宋体" w:cs="宋体"/>
          <w:color w:val="auto"/>
        </w:rPr>
        <w:t>标文件制作软件（陕西公共资源）”进行编制。软件下载地址及操作手册：见西安市公共资源交易平台〖首页〉服务指南〉下载专区〗中的《政府采购项目投</w:t>
      </w:r>
      <w:r>
        <w:rPr>
          <w:rFonts w:hint="eastAsia" w:ascii="宋体" w:hAnsi="宋体" w:eastAsia="宋体" w:cs="宋体"/>
          <w:color w:val="auto"/>
          <w:w w:val="1"/>
        </w:rPr>
        <w:t xml:space="preserve"> </w:t>
      </w:r>
      <w:r>
        <w:rPr>
          <w:rFonts w:hint="eastAsia" w:ascii="宋体" w:hAnsi="宋体" w:eastAsia="宋体" w:cs="宋体"/>
          <w:color w:val="auto"/>
        </w:rPr>
        <w:t>标文件制作软件及操作手册》。</w:t>
      </w:r>
    </w:p>
    <w:p w14:paraId="5FAA64FE">
      <w:pPr>
        <w:pStyle w:val="89"/>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链接地址：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"http://sxggzyjy.xa.gov.cn/fwzn/004003/20181115/4d59c184-e8f6-4d5a-a416-c2f6b0601e66.html" </w:instrText>
      </w:r>
      <w:r>
        <w:rPr>
          <w:rFonts w:hint="eastAsia" w:ascii="宋体" w:hAnsi="宋体" w:eastAsia="宋体" w:cs="宋体"/>
          <w:color w:val="auto"/>
        </w:rPr>
        <w:fldChar w:fldCharType="separate"/>
      </w:r>
      <w:r>
        <w:rPr>
          <w:rStyle w:val="39"/>
          <w:rFonts w:hint="eastAsia" w:ascii="宋体" w:hAnsi="宋体" w:eastAsia="宋体" w:cs="宋体"/>
          <w:color w:val="auto"/>
        </w:rPr>
        <w:t>http</w:t>
      </w:r>
      <w:r>
        <w:rPr>
          <w:rStyle w:val="39"/>
          <w:rFonts w:hint="eastAsia" w:ascii="宋体" w:hAnsi="宋体" w:cs="宋体"/>
          <w:color w:val="auto"/>
          <w:lang w:eastAsia="zh-CN"/>
        </w:rPr>
        <w:t>：</w:t>
      </w:r>
      <w:r>
        <w:rPr>
          <w:rStyle w:val="39"/>
          <w:rFonts w:hint="eastAsia" w:ascii="宋体" w:hAnsi="宋体" w:eastAsia="宋体" w:cs="宋体"/>
          <w:color w:val="auto"/>
        </w:rPr>
        <w:t>//sxggzyjy.xa.gov.cn/fwzn/004003/20181115/4d59c184-e8f6-4d5a-a416-c2f6b0601e66.html</w:t>
      </w:r>
      <w:r>
        <w:rPr>
          <w:rStyle w:val="39"/>
          <w:rFonts w:hint="eastAsia" w:ascii="宋体" w:hAnsi="宋体" w:eastAsia="宋体" w:cs="宋体"/>
          <w:color w:val="auto"/>
        </w:rPr>
        <w:fldChar w:fldCharType="end"/>
      </w:r>
    </w:p>
    <w:p w14:paraId="30C5193F">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2．编制电子投标文件前，</w:t>
      </w:r>
      <w:r>
        <w:rPr>
          <w:rFonts w:hint="eastAsia" w:ascii="宋体" w:hAnsi="宋体" w:eastAsia="宋体" w:cs="宋体"/>
          <w:b/>
          <w:color w:val="auto"/>
        </w:rPr>
        <w:t>务必先做好电子招标文件的备份工作</w:t>
      </w:r>
      <w:r>
        <w:rPr>
          <w:rFonts w:hint="eastAsia" w:ascii="宋体" w:hAnsi="宋体" w:eastAsia="宋体" w:cs="宋体"/>
          <w:color w:val="auto"/>
        </w:rPr>
        <w:t>。然后按操作手册中给出的方法将电子招标文件（*.SXSZF）或答疑文件（*.SXSCF，即更新后的电子招标文件）导入制作软件，最后按照章节分别编制投标文件各个部分。</w:t>
      </w:r>
    </w:p>
    <w:p w14:paraId="11136FC9">
      <w:pPr>
        <w:pStyle w:val="89"/>
        <w:spacing w:line="360" w:lineRule="auto"/>
        <w:ind w:firstLine="482"/>
        <w:rPr>
          <w:rFonts w:hint="eastAsia" w:ascii="宋体" w:hAnsi="宋体" w:eastAsia="宋体" w:cs="宋体"/>
          <w:color w:val="auto"/>
        </w:rPr>
      </w:pPr>
      <w:r>
        <w:rPr>
          <w:rFonts w:hint="eastAsia" w:ascii="宋体" w:hAnsi="宋体" w:eastAsia="宋体" w:cs="宋体"/>
          <w:b/>
          <w:color w:val="auto"/>
        </w:rPr>
        <w:t>再次提醒：</w:t>
      </w:r>
      <w:r>
        <w:rPr>
          <w:rFonts w:hint="eastAsia" w:ascii="宋体" w:hAnsi="宋体" w:eastAsia="宋体" w:cs="宋体"/>
          <w:color w:val="auto"/>
        </w:rPr>
        <w:t>提交投标文件截止时间前，</w:t>
      </w:r>
      <w:r>
        <w:rPr>
          <w:rFonts w:hint="eastAsia" w:ascii="宋体" w:hAnsi="宋体" w:cs="宋体"/>
          <w:color w:val="auto"/>
          <w:lang w:eastAsia="zh-CN"/>
        </w:rPr>
        <w:t>投标人</w:t>
      </w:r>
      <w:r>
        <w:rPr>
          <w:rFonts w:hint="eastAsia" w:ascii="宋体" w:hAnsi="宋体" w:eastAsia="宋体" w:cs="宋体"/>
          <w:color w:val="auto"/>
        </w:rPr>
        <w:t>应随时留意“政府采购信息发布媒体”上可能发布的变更公告。若变更公告中明确注明本项目伴有变更文件的，</w:t>
      </w:r>
      <w:r>
        <w:rPr>
          <w:rFonts w:hint="eastAsia" w:ascii="宋体" w:hAnsi="宋体" w:cs="宋体"/>
          <w:color w:val="auto"/>
          <w:lang w:eastAsia="zh-CN"/>
        </w:rPr>
        <w:t>投标人</w:t>
      </w:r>
      <w:r>
        <w:rPr>
          <w:rFonts w:hint="eastAsia" w:ascii="宋体" w:hAnsi="宋体" w:eastAsia="宋体" w:cs="宋体"/>
          <w:color w:val="auto"/>
        </w:rPr>
        <w:t>应登录企业端后，从〖项目流程</w:t>
      </w:r>
      <w:r>
        <w:rPr>
          <w:rFonts w:hint="eastAsia" w:ascii="宋体" w:hAnsi="宋体" w:cs="宋体"/>
          <w:color w:val="auto"/>
          <w:lang w:eastAsia="zh-CN"/>
        </w:rPr>
        <w:t>〉</w:t>
      </w:r>
      <w:r>
        <w:rPr>
          <w:rFonts w:hint="eastAsia" w:ascii="宋体" w:hAnsi="宋体" w:eastAsia="宋体" w:cs="宋体"/>
          <w:color w:val="auto"/>
        </w:rPr>
        <w:t>项目管理</w:t>
      </w:r>
      <w:r>
        <w:rPr>
          <w:rFonts w:hint="eastAsia" w:ascii="宋体" w:hAnsi="宋体" w:cs="宋体"/>
          <w:color w:val="auto"/>
          <w:lang w:eastAsia="zh-CN"/>
        </w:rPr>
        <w:t>〉</w:t>
      </w:r>
      <w:r>
        <w:rPr>
          <w:rFonts w:hint="eastAsia" w:ascii="宋体" w:hAnsi="宋体" w:eastAsia="宋体" w:cs="宋体"/>
          <w:color w:val="auto"/>
        </w:rPr>
        <w:t>答疑文件下载〗获取更新后的电子招标文件（*.SXSCF），使用旧版电子招标文件制作的电子投标文件（*.SXSTF），系统将拒绝接收。</w:t>
      </w:r>
    </w:p>
    <w:p w14:paraId="0E0556AE">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3．电子投标文件制作过程中，需要法定代表人签字或盖章的地方，请使用“法人CA锁”进行签章；需要加盖</w:t>
      </w:r>
      <w:r>
        <w:rPr>
          <w:rFonts w:hint="eastAsia" w:ascii="宋体" w:hAnsi="宋体" w:cs="宋体"/>
          <w:color w:val="auto"/>
          <w:lang w:eastAsia="zh-CN"/>
        </w:rPr>
        <w:t>投标人</w:t>
      </w:r>
      <w:r>
        <w:rPr>
          <w:rFonts w:hint="eastAsia" w:ascii="宋体" w:hAnsi="宋体" w:eastAsia="宋体" w:cs="宋体"/>
          <w:color w:val="auto"/>
        </w:rPr>
        <w:t>公章的地方，请使用“企业CA锁”进行签章。</w:t>
      </w:r>
    </w:p>
    <w:p w14:paraId="7C25B805">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若导出的PDF文件里看不到签章，请尝试使用专用制作软件中的“查看投标文件工具”打开未加密的电子投标文件重新导出。在制作过程中，如有其他技术性问题，请先翻阅操作手册，或致电软件开发商。</w:t>
      </w:r>
    </w:p>
    <w:p w14:paraId="75AFB7DD">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（五）投标文件的加密和提交</w:t>
      </w:r>
    </w:p>
    <w:p w14:paraId="20327E85">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1．在生成电子投标文件时，需要使用CA锁对投标文件进行加密。</w:t>
      </w:r>
    </w:p>
    <w:p w14:paraId="758BD123">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注意：加密投标文件和开标时解密投标文件应当使用同一CA，否则将会导致解密失败。</w:t>
      </w:r>
    </w:p>
    <w:p w14:paraId="17EECAD1">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2．电子投标文件可于提交投标文件截止时间前任意时段，登录西安市公共资源交易平台〖首页</w:t>
      </w:r>
      <w:r>
        <w:rPr>
          <w:rFonts w:hint="eastAsia" w:ascii="宋体" w:hAnsi="宋体" w:cs="宋体"/>
          <w:color w:val="auto"/>
          <w:lang w:eastAsia="zh-CN"/>
        </w:rPr>
        <w:t>〉</w:t>
      </w:r>
      <w:r>
        <w:rPr>
          <w:rFonts w:hint="eastAsia" w:ascii="宋体" w:hAnsi="宋体" w:eastAsia="宋体" w:cs="宋体"/>
          <w:color w:val="auto"/>
        </w:rPr>
        <w:t>电子交易平台</w:t>
      </w:r>
      <w:r>
        <w:rPr>
          <w:rFonts w:hint="eastAsia" w:ascii="宋体" w:hAnsi="宋体" w:cs="宋体"/>
          <w:color w:val="auto"/>
          <w:lang w:eastAsia="zh-CN"/>
        </w:rPr>
        <w:t>〉</w:t>
      </w:r>
      <w:r>
        <w:rPr>
          <w:rFonts w:hint="eastAsia" w:ascii="宋体" w:hAnsi="宋体" w:eastAsia="宋体" w:cs="宋体"/>
          <w:color w:val="auto"/>
        </w:rPr>
        <w:t>企业端〗，登录后切换到〖我的项目〗模块下，依次点选〖项目流程</w:t>
      </w:r>
      <w:r>
        <w:rPr>
          <w:rFonts w:hint="eastAsia" w:ascii="宋体" w:hAnsi="宋体" w:cs="宋体"/>
          <w:color w:val="auto"/>
          <w:lang w:eastAsia="zh-CN"/>
        </w:rPr>
        <w:t>〉</w:t>
      </w:r>
      <w:r>
        <w:rPr>
          <w:rFonts w:hint="eastAsia" w:ascii="宋体" w:hAnsi="宋体" w:eastAsia="宋体" w:cs="宋体"/>
          <w:color w:val="auto"/>
        </w:rPr>
        <w:t>项目管理</w:t>
      </w:r>
      <w:r>
        <w:rPr>
          <w:rFonts w:hint="eastAsia" w:ascii="宋体" w:hAnsi="宋体" w:cs="宋体"/>
          <w:color w:val="auto"/>
          <w:lang w:eastAsia="zh-CN"/>
        </w:rPr>
        <w:t>〉</w:t>
      </w:r>
      <w:r>
        <w:rPr>
          <w:rFonts w:hint="eastAsia" w:ascii="宋体" w:hAnsi="宋体" w:eastAsia="宋体" w:cs="宋体"/>
          <w:color w:val="auto"/>
        </w:rPr>
        <w:t>上传响</w:t>
      </w:r>
      <w:r>
        <w:rPr>
          <w:rFonts w:hint="eastAsia" w:ascii="宋体" w:hAnsi="宋体" w:eastAsia="宋体" w:cs="宋体"/>
          <w:color w:val="auto"/>
          <w:w w:val="1"/>
        </w:rPr>
        <w:t xml:space="preserve"> </w:t>
      </w:r>
      <w:r>
        <w:rPr>
          <w:rFonts w:hint="eastAsia" w:ascii="宋体" w:hAnsi="宋体" w:eastAsia="宋体" w:cs="宋体"/>
          <w:color w:val="auto"/>
        </w:rPr>
        <w:t>应文件〗，上传加密后的电子投标文件（*.SXSTF）。上传成功后，西安市公共资源交易平台政府采购系统将予以记录。</w:t>
      </w:r>
    </w:p>
    <w:p w14:paraId="522C15D9">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3．上传文件有误或需要重新提交的，可先撤销已经上传的文件，然后重新上传新文件。</w:t>
      </w:r>
    </w:p>
    <w:p w14:paraId="4AD94881">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（六）投标文件的补充、修改和撤回</w:t>
      </w:r>
    </w:p>
    <w:p w14:paraId="58032C55">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eastAsia="zh-CN"/>
        </w:rPr>
        <w:t>投标人</w:t>
      </w:r>
      <w:r>
        <w:rPr>
          <w:rFonts w:hint="eastAsia" w:ascii="宋体" w:hAnsi="宋体" w:eastAsia="宋体" w:cs="宋体"/>
          <w:color w:val="auto"/>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6EC8E4CA">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eastAsia="zh-CN"/>
        </w:rPr>
        <w:t>投标人</w:t>
      </w:r>
      <w:r>
        <w:rPr>
          <w:rFonts w:hint="eastAsia" w:ascii="宋体" w:hAnsi="宋体" w:eastAsia="宋体" w:cs="宋体"/>
          <w:color w:val="auto"/>
        </w:rPr>
        <w:t>在提交投标文件截止时间后，撤回投标文件的，投</w:t>
      </w:r>
      <w:r>
        <w:rPr>
          <w:rFonts w:hint="eastAsia" w:ascii="宋体" w:hAnsi="宋体" w:eastAsia="宋体" w:cs="宋体"/>
          <w:color w:val="auto"/>
          <w:w w:val="1"/>
        </w:rPr>
        <w:t xml:space="preserve"> </w:t>
      </w:r>
      <w:r>
        <w:rPr>
          <w:rFonts w:hint="eastAsia" w:ascii="宋体" w:hAnsi="宋体" w:eastAsia="宋体" w:cs="宋体"/>
          <w:color w:val="auto"/>
        </w:rPr>
        <w:t>标保证金不予退还。</w:t>
      </w:r>
    </w:p>
    <w:p w14:paraId="2E91B567">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7814E12F">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（七）关于投标文件的雷同性分析</w:t>
      </w:r>
    </w:p>
    <w:p w14:paraId="0DB3B002">
      <w:pPr>
        <w:pStyle w:val="89"/>
        <w:spacing w:line="360" w:lineRule="auto"/>
        <w:ind w:firstLine="480"/>
        <w:rPr>
          <w:rFonts w:hint="eastAsia" w:ascii="宋体" w:hAnsi="宋体" w:eastAsia="宋体" w:cs="宋体"/>
        </w:rPr>
      </w:pPr>
      <w:r>
        <w:rPr>
          <w:rFonts w:hint="eastAsia" w:ascii="宋体" w:hAnsi="宋体" w:eastAsia="宋体" w:cs="宋体"/>
          <w:color w:val="auto"/>
        </w:rPr>
        <w:t>根据陕西省公共资源交易中心2021年7月22日印发的《关于在政府采购交易系统中开通标书雷同性分析功能的通知》，在符合性审查环节，将由评标委员会在评标系统中对</w:t>
      </w:r>
      <w:r>
        <w:rPr>
          <w:rFonts w:hint="eastAsia" w:ascii="宋体" w:hAnsi="宋体" w:cs="宋体"/>
          <w:color w:val="auto"/>
          <w:lang w:eastAsia="zh-CN"/>
        </w:rPr>
        <w:t>投标人</w:t>
      </w:r>
      <w:r>
        <w:rPr>
          <w:rFonts w:hint="eastAsia" w:ascii="宋体" w:hAnsi="宋体" w:eastAsia="宋体" w:cs="宋体"/>
          <w:color w:val="auto"/>
        </w:rPr>
        <w:t>的电子投标文件进行雷同性分析</w:t>
      </w:r>
      <w:r>
        <w:rPr>
          <w:rFonts w:hint="eastAsia" w:ascii="宋体" w:hAnsi="宋体" w:eastAsia="宋体" w:cs="宋体"/>
        </w:rPr>
        <w:t>。</w:t>
      </w:r>
    </w:p>
    <w:p w14:paraId="49C4BFE4">
      <w:pPr>
        <w:pStyle w:val="89"/>
        <w:spacing w:line="360" w:lineRule="auto"/>
        <w:ind w:firstLine="480"/>
        <w:rPr>
          <w:rFonts w:hint="eastAsia" w:ascii="宋体" w:hAnsi="宋体" w:eastAsia="宋体" w:cs="宋体"/>
          <w:color w:val="auto"/>
        </w:rPr>
      </w:pPr>
      <w:r>
        <w:rPr>
          <w:rFonts w:hint="eastAsia" w:ascii="宋体" w:hAnsi="宋体" w:eastAsia="宋体" w:cs="宋体"/>
        </w:rPr>
        <w:t>雷同性分析由两项指标组成，分别是“文件制作机器码”和“文件创建</w:t>
      </w:r>
      <w:r>
        <w:rPr>
          <w:rFonts w:hint="eastAsia" w:ascii="宋体" w:hAnsi="宋体" w:eastAsia="宋体" w:cs="宋体"/>
          <w:color w:val="auto"/>
        </w:rPr>
        <w:t>标识码”。其中，前者通过验证电子投标文件制作设备的特征信息（如MAC地址、硬盘序列号、CPU编号、主板号等），判断电子投标文件是否出自同一台设备。</w:t>
      </w:r>
    </w:p>
    <w:p w14:paraId="6C5FBCE3">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若“文件制作机器码”一致，则表明不同</w:t>
      </w:r>
      <w:r>
        <w:rPr>
          <w:rFonts w:hint="eastAsia" w:ascii="宋体" w:hAnsi="宋体" w:cs="宋体"/>
          <w:color w:val="auto"/>
          <w:lang w:eastAsia="zh-CN"/>
        </w:rPr>
        <w:t>投标人</w:t>
      </w:r>
      <w:r>
        <w:rPr>
          <w:rFonts w:hint="eastAsia" w:ascii="宋体" w:hAnsi="宋体" w:eastAsia="宋体" w:cs="宋体"/>
          <w:color w:val="auto"/>
        </w:rPr>
        <w:t>的电子投标文件出自同一台制作设备，根据《陕西省财政厅关于政府采购有关政策的复函》（陕财办采函〔2019〕18号），该情形可以视为</w:t>
      </w:r>
      <w:r>
        <w:rPr>
          <w:rFonts w:hint="eastAsia" w:ascii="宋体" w:hAnsi="宋体" w:cs="宋体"/>
          <w:color w:val="auto"/>
          <w:lang w:eastAsia="zh-CN"/>
        </w:rPr>
        <w:t>投标人</w:t>
      </w:r>
      <w:r>
        <w:rPr>
          <w:rFonts w:hint="eastAsia" w:ascii="宋体" w:hAnsi="宋体" w:eastAsia="宋体" w:cs="宋体"/>
          <w:color w:val="auto"/>
        </w:rPr>
        <w:t>串通投标，其投标无效。</w:t>
      </w:r>
    </w:p>
    <w:p w14:paraId="72825744">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若“文件创建标识码”一致，则表示不同</w:t>
      </w:r>
      <w:r>
        <w:rPr>
          <w:rFonts w:hint="eastAsia" w:ascii="宋体" w:hAnsi="宋体" w:cs="宋体"/>
          <w:color w:val="auto"/>
          <w:lang w:eastAsia="zh-CN"/>
        </w:rPr>
        <w:t>投标人</w:t>
      </w:r>
      <w:r>
        <w:rPr>
          <w:rFonts w:hint="eastAsia" w:ascii="宋体" w:hAnsi="宋体" w:eastAsia="宋体" w:cs="宋体"/>
          <w:color w:val="auto"/>
        </w:rPr>
        <w:t>使用投标文件制作软件时，使用同一源工程文件，该情形建议由评标委员会结合项目情况综合判定。</w:t>
      </w:r>
    </w:p>
    <w:p w14:paraId="6D52CA15">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（八）投标文件被拒绝接收的情形</w:t>
      </w:r>
    </w:p>
    <w:p w14:paraId="10CFA2F0">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1．误投的或采用旧版电子招标文件制作的；</w:t>
      </w:r>
    </w:p>
    <w:p w14:paraId="589F973F">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2．逾期提交电子投标文件的。</w:t>
      </w:r>
    </w:p>
    <w:p w14:paraId="215F28EF">
      <w:pPr>
        <w:pStyle w:val="4"/>
        <w:spacing w:line="360" w:lineRule="auto"/>
        <w:rPr>
          <w:rFonts w:hint="eastAsia" w:ascii="宋体" w:hAnsi="宋体" w:eastAsia="宋体" w:cs="宋体"/>
          <w:color w:val="auto"/>
        </w:rPr>
      </w:pPr>
      <w:r>
        <w:rPr>
          <w:rFonts w:hint="eastAsia" w:ascii="宋体" w:hAnsi="宋体" w:eastAsia="宋体" w:cs="宋体"/>
          <w:color w:val="auto"/>
        </w:rPr>
        <w:t>五、开标程序</w:t>
      </w:r>
    </w:p>
    <w:p w14:paraId="167C547E">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开标工作由采购代理机构组织实施，整个过程受同级政府采购监管机构的监督、管理。</w:t>
      </w:r>
    </w:p>
    <w:p w14:paraId="793D0320">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（一）“不见面开</w:t>
      </w:r>
      <w:r>
        <w:rPr>
          <w:rFonts w:hint="eastAsia" w:ascii="宋体" w:hAnsi="宋体" w:eastAsia="宋体" w:cs="宋体"/>
          <w:color w:val="auto"/>
          <w:w w:val="1"/>
        </w:rPr>
        <w:t xml:space="preserve"> </w:t>
      </w:r>
      <w:r>
        <w:rPr>
          <w:rFonts w:hint="eastAsia" w:ascii="宋体" w:hAnsi="宋体" w:eastAsia="宋体" w:cs="宋体"/>
          <w:color w:val="auto"/>
        </w:rPr>
        <w:t>标”基本流程</w:t>
      </w:r>
    </w:p>
    <w:p w14:paraId="094D2F92">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“不见面开标”是依托政府采购云平台实现的</w:t>
      </w:r>
      <w:r>
        <w:rPr>
          <w:rFonts w:hint="eastAsia" w:ascii="宋体" w:hAnsi="宋体" w:cs="宋体"/>
          <w:color w:val="auto"/>
          <w:lang w:eastAsia="zh-CN"/>
        </w:rPr>
        <w:t>投标人</w:t>
      </w:r>
      <w:r>
        <w:rPr>
          <w:rFonts w:hint="eastAsia" w:ascii="宋体" w:hAnsi="宋体" w:eastAsia="宋体" w:cs="宋体"/>
          <w:color w:val="auto"/>
        </w:rPr>
        <w:t>在线参与开标的一种组织形式。</w:t>
      </w:r>
      <w:r>
        <w:rPr>
          <w:rFonts w:hint="eastAsia" w:ascii="宋体" w:hAnsi="宋体" w:cs="宋体"/>
          <w:color w:val="auto"/>
          <w:lang w:eastAsia="zh-CN"/>
        </w:rPr>
        <w:t>投标人</w:t>
      </w:r>
      <w:r>
        <w:rPr>
          <w:rFonts w:hint="eastAsia" w:ascii="宋体" w:hAnsi="宋体" w:eastAsia="宋体" w:cs="宋体"/>
          <w:color w:val="auto"/>
        </w:rPr>
        <w:t>无需抵达开标现场，即可在线实现开标、解密、澄清等操作。</w:t>
      </w:r>
    </w:p>
    <w:p w14:paraId="75A234C8">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eastAsia="zh-CN"/>
        </w:rPr>
        <w:t>投标人</w:t>
      </w:r>
      <w:r>
        <w:rPr>
          <w:rFonts w:hint="eastAsia" w:ascii="宋体" w:hAnsi="宋体" w:eastAsia="宋体" w:cs="宋体"/>
          <w:color w:val="auto"/>
        </w:rPr>
        <w:t>登录：开标前，请各</w:t>
      </w:r>
      <w:r>
        <w:rPr>
          <w:rFonts w:hint="eastAsia" w:ascii="宋体" w:hAnsi="宋体" w:cs="宋体"/>
          <w:color w:val="auto"/>
          <w:lang w:eastAsia="zh-CN"/>
        </w:rPr>
        <w:t>投标人</w:t>
      </w:r>
      <w:r>
        <w:rPr>
          <w:rFonts w:hint="eastAsia" w:ascii="宋体" w:hAnsi="宋体" w:eastAsia="宋体" w:cs="宋体"/>
          <w:color w:val="auto"/>
        </w:rPr>
        <w:t>至少提前半小时登录西安市公共资源交易平台〖首页</w:t>
      </w:r>
      <w:r>
        <w:rPr>
          <w:rFonts w:hint="eastAsia" w:ascii="宋体" w:hAnsi="宋体" w:cs="宋体"/>
          <w:color w:val="auto"/>
          <w:lang w:eastAsia="zh-CN"/>
        </w:rPr>
        <w:t>〉</w:t>
      </w:r>
      <w:r>
        <w:rPr>
          <w:rFonts w:hint="eastAsia" w:ascii="宋体" w:hAnsi="宋体" w:eastAsia="宋体" w:cs="宋体"/>
          <w:color w:val="auto"/>
        </w:rPr>
        <w:t>不见面开标〗系统。</w:t>
      </w:r>
    </w:p>
    <w:p w14:paraId="4C9C7A24">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2．主持人宣布开标：提交投标文件截止时间过后，系统将不再接收任何投标文件。</w:t>
      </w:r>
    </w:p>
    <w:p w14:paraId="5DD12C87">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3．解密投标文件：</w:t>
      </w:r>
      <w:r>
        <w:rPr>
          <w:rFonts w:hint="eastAsia" w:ascii="宋体" w:hAnsi="宋体" w:cs="宋体"/>
          <w:color w:val="auto"/>
          <w:lang w:eastAsia="zh-CN"/>
        </w:rPr>
        <w:t>投标人</w:t>
      </w:r>
      <w:r>
        <w:rPr>
          <w:rFonts w:hint="eastAsia" w:ascii="宋体" w:hAnsi="宋体" w:eastAsia="宋体" w:cs="宋体"/>
          <w:color w:val="auto"/>
        </w:rPr>
        <w:t>在收到主持人“开始解密”指令后，应使用“加密该投标文件的CA锁（必须是同一把锁）”在线完成投标文件解密。除因【西安市公共资源交易中心】断电、断网、系统故障及其他不可抗力等因素，导致“不见面开标”系统无法正常运行外，</w:t>
      </w:r>
      <w:r>
        <w:rPr>
          <w:rFonts w:hint="eastAsia" w:ascii="宋体" w:hAnsi="宋体" w:cs="宋体"/>
          <w:color w:val="auto"/>
          <w:lang w:eastAsia="zh-CN"/>
        </w:rPr>
        <w:t>投标人</w:t>
      </w:r>
      <w:r>
        <w:rPr>
          <w:rFonts w:hint="eastAsia" w:ascii="宋体" w:hAnsi="宋体" w:eastAsia="宋体" w:cs="宋体"/>
          <w:color w:val="auto"/>
        </w:rPr>
        <w:t>应在规定的解密时间内完成解密。</w:t>
      </w:r>
    </w:p>
    <w:p w14:paraId="74FC0BAF">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4．唱标：对于公开招标项目，“不见面开标”系统将自动展示</w:t>
      </w:r>
      <w:r>
        <w:rPr>
          <w:rFonts w:hint="eastAsia" w:ascii="宋体" w:hAnsi="宋体" w:cs="宋体"/>
          <w:color w:val="auto"/>
          <w:lang w:eastAsia="zh-CN"/>
        </w:rPr>
        <w:t>投标人</w:t>
      </w:r>
      <w:r>
        <w:rPr>
          <w:rFonts w:hint="eastAsia" w:ascii="宋体" w:hAnsi="宋体" w:eastAsia="宋体" w:cs="宋体"/>
          <w:color w:val="auto"/>
        </w:rPr>
        <w:t>名单及其投标报价。</w:t>
      </w:r>
    </w:p>
    <w:p w14:paraId="1C7C0033">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5．开标结束：进入评审环节。</w:t>
      </w:r>
      <w:r>
        <w:rPr>
          <w:rFonts w:hint="eastAsia" w:ascii="宋体" w:hAnsi="宋体" w:cs="宋体"/>
          <w:color w:val="auto"/>
          <w:lang w:eastAsia="zh-CN"/>
        </w:rPr>
        <w:t>投标人</w:t>
      </w:r>
      <w:r>
        <w:rPr>
          <w:rFonts w:hint="eastAsia" w:ascii="宋体" w:hAnsi="宋体" w:eastAsia="宋体" w:cs="宋体"/>
          <w:color w:val="auto"/>
        </w:rPr>
        <w:t>请保持在线，评审期间评标委员会可能会要求</w:t>
      </w:r>
      <w:r>
        <w:rPr>
          <w:rFonts w:hint="eastAsia" w:ascii="宋体" w:hAnsi="宋体" w:cs="宋体"/>
          <w:color w:val="auto"/>
          <w:lang w:eastAsia="zh-CN"/>
        </w:rPr>
        <w:t>投标人</w:t>
      </w:r>
      <w:r>
        <w:rPr>
          <w:rFonts w:hint="eastAsia" w:ascii="宋体" w:hAnsi="宋体" w:eastAsia="宋体" w:cs="宋体"/>
          <w:color w:val="auto"/>
        </w:rPr>
        <w:t>做相应的澄清。因</w:t>
      </w:r>
      <w:r>
        <w:rPr>
          <w:rFonts w:hint="eastAsia" w:ascii="宋体" w:hAnsi="宋体" w:cs="宋体"/>
          <w:color w:val="auto"/>
          <w:lang w:eastAsia="zh-CN"/>
        </w:rPr>
        <w:t>投标人</w:t>
      </w:r>
      <w:r>
        <w:rPr>
          <w:rFonts w:hint="eastAsia" w:ascii="宋体" w:hAnsi="宋体" w:eastAsia="宋体" w:cs="宋体"/>
          <w:color w:val="auto"/>
        </w:rPr>
        <w:t>擅自离席造成的不利后果，由</w:t>
      </w:r>
      <w:r>
        <w:rPr>
          <w:rFonts w:hint="eastAsia" w:ascii="宋体" w:hAnsi="宋体" w:cs="宋体"/>
          <w:color w:val="auto"/>
          <w:lang w:eastAsia="zh-CN"/>
        </w:rPr>
        <w:t>投标人</w:t>
      </w:r>
      <w:r>
        <w:rPr>
          <w:rFonts w:hint="eastAsia" w:ascii="宋体" w:hAnsi="宋体" w:eastAsia="宋体" w:cs="宋体"/>
          <w:color w:val="auto"/>
        </w:rPr>
        <w:t>自行承担。</w:t>
      </w:r>
    </w:p>
    <w:p w14:paraId="0457E8CE">
      <w:pPr>
        <w:pStyle w:val="89"/>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“不见面开标”系统操作说明：详见西安市公共资源交易平台〖首页</w:t>
      </w:r>
      <w:r>
        <w:rPr>
          <w:rFonts w:hint="eastAsia" w:ascii="宋体" w:hAnsi="宋体" w:cs="宋体"/>
          <w:color w:val="auto"/>
          <w:lang w:eastAsia="zh-CN"/>
        </w:rPr>
        <w:t>〉</w:t>
      </w:r>
      <w:r>
        <w:rPr>
          <w:rFonts w:hint="eastAsia" w:ascii="宋体" w:hAnsi="宋体" w:eastAsia="宋体" w:cs="宋体"/>
          <w:color w:val="auto"/>
        </w:rPr>
        <w:t>服务指南</w:t>
      </w:r>
      <w:r>
        <w:rPr>
          <w:rFonts w:hint="eastAsia" w:ascii="宋体" w:hAnsi="宋体" w:cs="宋体"/>
          <w:color w:val="auto"/>
          <w:lang w:eastAsia="zh-CN"/>
        </w:rPr>
        <w:t>〉</w:t>
      </w:r>
      <w:r>
        <w:rPr>
          <w:rFonts w:hint="eastAsia" w:ascii="宋体" w:hAnsi="宋体" w:eastAsia="宋体" w:cs="宋体"/>
          <w:color w:val="auto"/>
        </w:rPr>
        <w:t>下载专区〗中的《西安公共资源交易不见面开标大厅</w:t>
      </w:r>
      <w:r>
        <w:rPr>
          <w:rFonts w:hint="eastAsia" w:ascii="宋体" w:hAnsi="宋体" w:cs="宋体"/>
          <w:color w:val="auto"/>
          <w:lang w:eastAsia="zh-CN"/>
        </w:rPr>
        <w:t>投标人</w:t>
      </w:r>
      <w:r>
        <w:rPr>
          <w:rFonts w:hint="eastAsia" w:ascii="宋体" w:hAnsi="宋体" w:eastAsia="宋体" w:cs="宋体"/>
          <w:color w:val="auto"/>
        </w:rPr>
        <w:t>操作手册》。</w:t>
      </w:r>
    </w:p>
    <w:p w14:paraId="68EA5460">
      <w:pPr>
        <w:pStyle w:val="89"/>
        <w:keepNext w:val="0"/>
        <w:keepLines w:val="0"/>
        <w:pageBreakBefore w:val="0"/>
        <w:widowControl/>
        <w:kinsoku/>
        <w:wordWrap w:val="0"/>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链接地址：</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"http://sxggzyjy.xa.gov.cn/fwzn/004003/20200426/bc8b2c1e-abe2-4168-913c-68ff93345faf.html" </w:instrText>
      </w:r>
      <w:r>
        <w:rPr>
          <w:rFonts w:hint="eastAsia" w:ascii="宋体" w:hAnsi="宋体" w:eastAsia="宋体" w:cs="宋体"/>
          <w:color w:val="auto"/>
        </w:rPr>
        <w:fldChar w:fldCharType="separate"/>
      </w:r>
      <w:r>
        <w:rPr>
          <w:rStyle w:val="39"/>
          <w:rFonts w:hint="eastAsia" w:ascii="宋体" w:hAnsi="宋体" w:eastAsia="宋体" w:cs="宋体"/>
          <w:color w:val="auto"/>
        </w:rPr>
        <w:t>http</w:t>
      </w:r>
      <w:r>
        <w:rPr>
          <w:rStyle w:val="39"/>
          <w:rFonts w:hint="eastAsia" w:ascii="宋体" w:hAnsi="宋体" w:cs="宋体"/>
          <w:color w:val="auto"/>
          <w:lang w:eastAsia="zh-CN"/>
        </w:rPr>
        <w:t>：</w:t>
      </w:r>
      <w:r>
        <w:rPr>
          <w:rStyle w:val="39"/>
          <w:rFonts w:hint="eastAsia" w:ascii="宋体" w:hAnsi="宋体" w:eastAsia="宋体" w:cs="宋体"/>
          <w:color w:val="auto"/>
        </w:rPr>
        <w:t>//sxggzyjy.xa.gov.cn/fwzn/004003/20200426/bc8b2c1e-abe2-4168-913c-68ff93345faf.html</w:t>
      </w:r>
      <w:r>
        <w:rPr>
          <w:rStyle w:val="39"/>
          <w:rFonts w:hint="eastAsia" w:ascii="宋体" w:hAnsi="宋体" w:eastAsia="宋体" w:cs="宋体"/>
          <w:color w:val="auto"/>
        </w:rPr>
        <w:fldChar w:fldCharType="end"/>
      </w:r>
    </w:p>
    <w:p w14:paraId="4650206B">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（二）开标环节投标文件视为无效的情形</w:t>
      </w:r>
    </w:p>
    <w:p w14:paraId="33FCE88A">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eastAsia="zh-CN"/>
        </w:rPr>
        <w:t>投标人</w:t>
      </w:r>
      <w:r>
        <w:rPr>
          <w:rFonts w:hint="eastAsia" w:ascii="宋体" w:hAnsi="宋体" w:eastAsia="宋体" w:cs="宋体"/>
          <w:color w:val="auto"/>
        </w:rPr>
        <w:t>放弃或拒绝对电子投标文件进行解密的；</w:t>
      </w:r>
    </w:p>
    <w:p w14:paraId="7F066533">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2．因</w:t>
      </w:r>
      <w:r>
        <w:rPr>
          <w:rFonts w:hint="eastAsia" w:ascii="宋体" w:hAnsi="宋体" w:cs="宋体"/>
          <w:color w:val="auto"/>
          <w:lang w:eastAsia="zh-CN"/>
        </w:rPr>
        <w:t>投标人</w:t>
      </w:r>
      <w:r>
        <w:rPr>
          <w:rFonts w:hint="eastAsia" w:ascii="宋体" w:hAnsi="宋体" w:eastAsia="宋体" w:cs="宋体"/>
          <w:color w:val="auto"/>
        </w:rPr>
        <w:t>自身原因，导致未在规定的解密时限内完整解密的，如忘带CA锁、或携带的CA锁与加密文件的CA锁不同、或使用旧版招标文件编制投标文件等情形；</w:t>
      </w:r>
    </w:p>
    <w:p w14:paraId="66550780">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3．上传的电子投标文件无法正常打开的；</w:t>
      </w:r>
    </w:p>
    <w:p w14:paraId="791E6A06">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4．政府采购法律法规规定的其他无效情形。</w:t>
      </w:r>
    </w:p>
    <w:p w14:paraId="2CFF7909">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（三）突发状况的应急处置</w:t>
      </w:r>
    </w:p>
    <w:p w14:paraId="21770769">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在开评标过程中，如因停电、断网、电子化系统故障等特殊原因导致电子化开、评标工作无法正常进行时，采购代理机构将及时汇报政府采购监管部门，并等待或中止后续活动。</w:t>
      </w:r>
    </w:p>
    <w:p w14:paraId="08A73A10">
      <w:pPr>
        <w:pStyle w:val="4"/>
        <w:spacing w:line="360" w:lineRule="auto"/>
        <w:rPr>
          <w:rFonts w:hint="eastAsia" w:ascii="宋体" w:hAnsi="宋体" w:eastAsia="宋体" w:cs="宋体"/>
        </w:rPr>
      </w:pPr>
      <w:r>
        <w:rPr>
          <w:rFonts w:hint="eastAsia" w:ascii="宋体" w:hAnsi="宋体" w:eastAsia="宋体" w:cs="宋体"/>
        </w:rPr>
        <w:t>六、资格审查</w:t>
      </w:r>
    </w:p>
    <w:p w14:paraId="22430E89">
      <w:pPr>
        <w:pStyle w:val="89"/>
        <w:spacing w:line="360" w:lineRule="auto"/>
        <w:ind w:firstLine="480"/>
        <w:rPr>
          <w:rFonts w:hint="eastAsia" w:ascii="宋体" w:hAnsi="宋体" w:eastAsia="宋体" w:cs="宋体"/>
          <w:color w:val="auto"/>
        </w:rPr>
      </w:pPr>
      <w:r>
        <w:rPr>
          <w:rFonts w:hint="eastAsia" w:ascii="宋体" w:hAnsi="宋体" w:eastAsia="宋体" w:cs="宋体"/>
        </w:rPr>
        <w:t>开标结束后，由</w:t>
      </w:r>
      <w:r>
        <w:rPr>
          <w:rFonts w:hint="eastAsia" w:ascii="宋体" w:hAnsi="宋体" w:eastAsia="宋体" w:cs="宋体"/>
          <w:color w:val="auto"/>
        </w:rPr>
        <w:t>采购人委派的资格审查小组按照《政府采购货物和服务招</w:t>
      </w:r>
      <w:r>
        <w:rPr>
          <w:rFonts w:hint="eastAsia" w:ascii="宋体" w:hAnsi="宋体" w:eastAsia="宋体" w:cs="宋体"/>
          <w:color w:val="auto"/>
          <w:w w:val="1"/>
        </w:rPr>
        <w:t xml:space="preserve"> </w:t>
      </w:r>
      <w:r>
        <w:rPr>
          <w:rFonts w:hint="eastAsia" w:ascii="宋体" w:hAnsi="宋体" w:eastAsia="宋体" w:cs="宋体"/>
          <w:color w:val="auto"/>
        </w:rPr>
        <w:t>标投</w:t>
      </w:r>
      <w:r>
        <w:rPr>
          <w:rFonts w:hint="eastAsia" w:ascii="宋体" w:hAnsi="宋体" w:eastAsia="宋体" w:cs="宋体"/>
          <w:color w:val="auto"/>
          <w:w w:val="1"/>
        </w:rPr>
        <w:t xml:space="preserve"> </w:t>
      </w:r>
      <w:r>
        <w:rPr>
          <w:rFonts w:hint="eastAsia" w:ascii="宋体" w:hAnsi="宋体" w:eastAsia="宋体" w:cs="宋体"/>
          <w:color w:val="auto"/>
        </w:rPr>
        <w:t>标管理办法》（财政部第87号令）有关规定，对投标文件中的</w:t>
      </w:r>
      <w:r>
        <w:rPr>
          <w:rFonts w:hint="eastAsia" w:ascii="宋体" w:hAnsi="宋体" w:cs="宋体"/>
          <w:color w:val="auto"/>
          <w:lang w:eastAsia="zh-CN"/>
        </w:rPr>
        <w:t>投标人</w:t>
      </w:r>
      <w:r>
        <w:rPr>
          <w:rFonts w:hint="eastAsia" w:ascii="宋体" w:hAnsi="宋体" w:eastAsia="宋体" w:cs="宋体"/>
          <w:color w:val="auto"/>
        </w:rPr>
        <w:t>资格证明文件进行审查，并对</w:t>
      </w:r>
      <w:r>
        <w:rPr>
          <w:rFonts w:hint="eastAsia" w:ascii="宋体" w:hAnsi="宋体" w:cs="宋体"/>
          <w:color w:val="auto"/>
          <w:lang w:eastAsia="zh-CN"/>
        </w:rPr>
        <w:t>投标人</w:t>
      </w:r>
      <w:r>
        <w:rPr>
          <w:rFonts w:hint="eastAsia" w:ascii="宋体" w:hAnsi="宋体" w:eastAsia="宋体" w:cs="宋体"/>
          <w:color w:val="auto"/>
        </w:rPr>
        <w:t>信用记录进行核查。资格审查小组由3人以上单数组成，采购人应出具书面授权函，并指定组长。</w:t>
      </w:r>
    </w:p>
    <w:p w14:paraId="33A60530">
      <w:pPr>
        <w:pStyle w:val="89"/>
        <w:spacing w:line="360" w:lineRule="auto"/>
        <w:ind w:firstLine="480"/>
        <w:rPr>
          <w:rFonts w:hint="eastAsia" w:ascii="宋体" w:hAnsi="宋体" w:eastAsia="宋体" w:cs="宋体"/>
          <w:color w:val="auto"/>
        </w:rPr>
      </w:pPr>
      <w:r>
        <w:rPr>
          <w:rFonts w:hint="eastAsia" w:ascii="宋体" w:hAnsi="宋体" w:cs="宋体"/>
          <w:color w:val="auto"/>
          <w:lang w:eastAsia="zh-CN"/>
        </w:rPr>
        <w:t>投标人</w:t>
      </w:r>
      <w:r>
        <w:rPr>
          <w:rFonts w:hint="eastAsia" w:ascii="宋体" w:hAnsi="宋体" w:eastAsia="宋体" w:cs="宋体"/>
          <w:color w:val="auto"/>
        </w:rPr>
        <w:t>提供的资格证明文件缺少任何一项或有任何一项不满足，都将被视为无效投标。</w:t>
      </w:r>
      <w:r>
        <w:rPr>
          <w:rFonts w:hint="eastAsia" w:ascii="宋体" w:hAnsi="宋体" w:cs="宋体"/>
          <w:color w:val="auto"/>
          <w:lang w:eastAsia="zh-CN"/>
        </w:rPr>
        <w:t>投标人</w:t>
      </w:r>
      <w:r>
        <w:rPr>
          <w:rFonts w:hint="eastAsia" w:ascii="宋体" w:hAnsi="宋体" w:eastAsia="宋体" w:cs="宋体"/>
          <w:color w:val="auto"/>
        </w:rPr>
        <w:t>所提供的资格证明文件应图文清晰、易于辨识，否则由此带来的不利后果由</w:t>
      </w:r>
      <w:r>
        <w:rPr>
          <w:rFonts w:hint="eastAsia" w:ascii="宋体" w:hAnsi="宋体" w:cs="宋体"/>
          <w:color w:val="auto"/>
          <w:lang w:eastAsia="zh-CN"/>
        </w:rPr>
        <w:t>投标人</w:t>
      </w:r>
      <w:r>
        <w:rPr>
          <w:rFonts w:hint="eastAsia" w:ascii="宋体" w:hAnsi="宋体" w:eastAsia="宋体" w:cs="宋体"/>
          <w:color w:val="auto"/>
        </w:rPr>
        <w:t>自行承担。</w:t>
      </w:r>
    </w:p>
    <w:p w14:paraId="5D3DCC7C">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资格审查结束后，资格审查小组成员应当对审查结果进行签字确认；对未通过资格审查的</w:t>
      </w:r>
      <w:r>
        <w:rPr>
          <w:rFonts w:hint="eastAsia" w:ascii="宋体" w:hAnsi="宋体" w:cs="宋体"/>
          <w:color w:val="auto"/>
          <w:lang w:eastAsia="zh-CN"/>
        </w:rPr>
        <w:t>投标人</w:t>
      </w:r>
      <w:r>
        <w:rPr>
          <w:rFonts w:hint="eastAsia" w:ascii="宋体" w:hAnsi="宋体" w:eastAsia="宋体" w:cs="宋体"/>
          <w:color w:val="auto"/>
        </w:rPr>
        <w:t>，资格审查小组应当场告知其未通过的原因。</w:t>
      </w:r>
    </w:p>
    <w:p w14:paraId="6B9DCFE7">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合格</w:t>
      </w:r>
      <w:r>
        <w:rPr>
          <w:rFonts w:hint="eastAsia" w:ascii="宋体" w:hAnsi="宋体" w:cs="宋体"/>
          <w:color w:val="auto"/>
          <w:lang w:eastAsia="zh-CN"/>
        </w:rPr>
        <w:t>投标人</w:t>
      </w:r>
      <w:r>
        <w:rPr>
          <w:rFonts w:hint="eastAsia" w:ascii="宋体" w:hAnsi="宋体" w:eastAsia="宋体" w:cs="宋体"/>
          <w:color w:val="auto"/>
        </w:rPr>
        <w:t>不足3家的，不得评标。</w:t>
      </w:r>
    </w:p>
    <w:p w14:paraId="315FDCC7">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3777B3D9">
      <w:pPr>
        <w:keepNext/>
        <w:spacing w:before="210" w:beforeLines="50" w:after="210" w:afterLines="50" w:line="360" w:lineRule="auto"/>
        <w:jc w:val="center"/>
        <w:outlineLvl w:val="3"/>
        <w:rPr>
          <w:rFonts w:hint="eastAsia" w:ascii="宋体" w:hAnsi="宋体" w:eastAsia="宋体" w:cs="宋体"/>
          <w:color w:val="auto"/>
          <w:sz w:val="32"/>
          <w:szCs w:val="32"/>
        </w:rPr>
      </w:pPr>
      <w:r>
        <w:rPr>
          <w:rFonts w:hint="eastAsia" w:ascii="宋体" w:hAnsi="宋体" w:eastAsia="宋体" w:cs="宋体"/>
          <w:color w:val="auto"/>
          <w:sz w:val="32"/>
          <w:szCs w:val="32"/>
        </w:rPr>
        <w:t>〖资格性审查表〗</w:t>
      </w:r>
    </w:p>
    <w:tbl>
      <w:tblPr>
        <w:tblStyle w:val="32"/>
        <w:tblW w:w="909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344"/>
        <w:gridCol w:w="6045"/>
      </w:tblGrid>
      <w:tr w14:paraId="2FC47E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themeFill="background1" w:themeFillShade="F2"/>
            <w:vAlign w:val="center"/>
          </w:tcPr>
          <w:p w14:paraId="5B5F5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344" w:type="dxa"/>
            <w:tcBorders>
              <w:top w:val="single" w:color="auto" w:sz="12" w:space="0"/>
              <w:bottom w:val="single" w:color="auto" w:sz="2" w:space="0"/>
            </w:tcBorders>
            <w:shd w:val="clear" w:color="auto" w:fill="F1F1F1" w:themeFill="background1" w:themeFillShade="F2"/>
            <w:vAlign w:val="center"/>
          </w:tcPr>
          <w:p w14:paraId="36416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资格项</w:t>
            </w:r>
          </w:p>
        </w:tc>
        <w:tc>
          <w:tcPr>
            <w:tcW w:w="6045" w:type="dxa"/>
            <w:tcBorders>
              <w:top w:val="single" w:color="auto" w:sz="12" w:space="0"/>
              <w:bottom w:val="single" w:color="auto" w:sz="2" w:space="0"/>
            </w:tcBorders>
            <w:shd w:val="clear" w:color="auto" w:fill="F1F1F1" w:themeFill="background1" w:themeFillShade="F2"/>
            <w:vAlign w:val="center"/>
          </w:tcPr>
          <w:p w14:paraId="4F3D1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审查内容</w:t>
            </w:r>
          </w:p>
        </w:tc>
      </w:tr>
      <w:tr w14:paraId="0D4EC4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shd w:val="clear" w:color="auto" w:fill="auto"/>
            <w:vAlign w:val="center"/>
          </w:tcPr>
          <w:p w14:paraId="64D4B8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一</w:t>
            </w:r>
          </w:p>
        </w:tc>
        <w:tc>
          <w:tcPr>
            <w:tcW w:w="8389" w:type="dxa"/>
            <w:gridSpan w:val="2"/>
            <w:tcBorders>
              <w:top w:val="single" w:color="auto" w:sz="2" w:space="0"/>
            </w:tcBorders>
            <w:shd w:val="clear" w:color="auto" w:fill="auto"/>
            <w:vAlign w:val="center"/>
          </w:tcPr>
          <w:p w14:paraId="60A9E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基本资格条件</w:t>
            </w:r>
          </w:p>
        </w:tc>
      </w:tr>
      <w:tr w14:paraId="52D9A57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2262D29E">
            <w:pPr>
              <w:pStyle w:val="76"/>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rPr>
            </w:pPr>
          </w:p>
        </w:tc>
        <w:tc>
          <w:tcPr>
            <w:tcW w:w="2344" w:type="dxa"/>
            <w:vAlign w:val="center"/>
          </w:tcPr>
          <w:p w14:paraId="39A3EF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有效的主体资格证明</w:t>
            </w:r>
          </w:p>
        </w:tc>
        <w:tc>
          <w:tcPr>
            <w:tcW w:w="6045" w:type="dxa"/>
            <w:vAlign w:val="center"/>
          </w:tcPr>
          <w:p w14:paraId="2037C1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投标人为具有独立承担民事责任能力的法人或其他组织。企业法人应提供合法有效的标识有统一社会信用代码的营业执照；事业法人应提供事业单位法人证书；其他组织应提供合法登记证明文件</w:t>
            </w:r>
          </w:p>
        </w:tc>
      </w:tr>
      <w:tr w14:paraId="27D192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0F1C9F7">
            <w:pPr>
              <w:pStyle w:val="76"/>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rPr>
            </w:pPr>
          </w:p>
        </w:tc>
        <w:tc>
          <w:tcPr>
            <w:tcW w:w="2344" w:type="dxa"/>
            <w:vAlign w:val="center"/>
          </w:tcPr>
          <w:p w14:paraId="69CE39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财务状况报告</w:t>
            </w:r>
          </w:p>
        </w:tc>
        <w:tc>
          <w:tcPr>
            <w:tcW w:w="6045" w:type="dxa"/>
            <w:vAlign w:val="center"/>
          </w:tcPr>
          <w:p w14:paraId="3C397D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提供2023年或2024年经审计的财务报告或开标前三个月内开户银行开具的资信证明</w:t>
            </w:r>
          </w:p>
        </w:tc>
      </w:tr>
      <w:tr w14:paraId="3C8E87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7DE64CD">
            <w:pPr>
              <w:pStyle w:val="76"/>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rPr>
            </w:pPr>
          </w:p>
        </w:tc>
        <w:tc>
          <w:tcPr>
            <w:tcW w:w="2344" w:type="dxa"/>
            <w:vAlign w:val="center"/>
          </w:tcPr>
          <w:p w14:paraId="77F2A3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税收缴纳证明</w:t>
            </w:r>
          </w:p>
        </w:tc>
        <w:tc>
          <w:tcPr>
            <w:tcW w:w="6045" w:type="dxa"/>
            <w:vAlign w:val="center"/>
          </w:tcPr>
          <w:p w14:paraId="24450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提供2024年10月至今已缴纳的至少一个月的纳税证明或完税证明（任意税种），依法免税的单位应提供相关证明材料</w:t>
            </w:r>
          </w:p>
        </w:tc>
      </w:tr>
      <w:tr w14:paraId="7EEE94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559A264">
            <w:pPr>
              <w:pStyle w:val="76"/>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rPr>
            </w:pPr>
          </w:p>
        </w:tc>
        <w:tc>
          <w:tcPr>
            <w:tcW w:w="2344" w:type="dxa"/>
            <w:vAlign w:val="center"/>
          </w:tcPr>
          <w:p w14:paraId="11C70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社保资金缴纳证明</w:t>
            </w:r>
          </w:p>
        </w:tc>
        <w:tc>
          <w:tcPr>
            <w:tcW w:w="6045" w:type="dxa"/>
            <w:vAlign w:val="center"/>
          </w:tcPr>
          <w:p w14:paraId="16FC8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提供2024年10月至今已缴存的至少一个月的社会保障资金缴存单据或社保机构开具的社会保险参保缴费情况证明，依法不需要缴纳社会保障资金的单位应提供相关证明材料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sz w:val="24"/>
                <w:szCs w:val="24"/>
              </w:rPr>
              <w:t>。</w:t>
            </w:r>
          </w:p>
        </w:tc>
      </w:tr>
      <w:tr w14:paraId="5436FC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80BA171">
            <w:pPr>
              <w:pStyle w:val="76"/>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rPr>
            </w:pPr>
          </w:p>
        </w:tc>
        <w:tc>
          <w:tcPr>
            <w:tcW w:w="2344" w:type="dxa"/>
            <w:vAlign w:val="center"/>
          </w:tcPr>
          <w:p w14:paraId="20FE40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具有履行本合同所必需的设备和专业技术能力</w:t>
            </w:r>
          </w:p>
        </w:tc>
        <w:tc>
          <w:tcPr>
            <w:tcW w:w="6045" w:type="dxa"/>
            <w:vAlign w:val="center"/>
          </w:tcPr>
          <w:p w14:paraId="60B3D3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提供具有履行本合同所必需的设备和专业技术能力的声明。</w:t>
            </w:r>
          </w:p>
        </w:tc>
      </w:tr>
      <w:tr w14:paraId="4645F34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3EF37719">
            <w:pPr>
              <w:pStyle w:val="76"/>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rPr>
            </w:pPr>
          </w:p>
        </w:tc>
        <w:tc>
          <w:tcPr>
            <w:tcW w:w="2344" w:type="dxa"/>
            <w:vAlign w:val="center"/>
          </w:tcPr>
          <w:p w14:paraId="73637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无重大违法记录声明</w:t>
            </w:r>
          </w:p>
        </w:tc>
        <w:tc>
          <w:tcPr>
            <w:tcW w:w="6045" w:type="dxa"/>
            <w:vAlign w:val="center"/>
          </w:tcPr>
          <w:p w14:paraId="72585F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参加本次政府采购活动前3年内在经营活动中没有重大违纪，以及未被列入失信被执行人、重大税收违法失信主体、政府采购严重违法失信行为记录名单的书面声明</w:t>
            </w:r>
            <w:r>
              <w:rPr>
                <w:rFonts w:hint="eastAsia" w:ascii="宋体" w:hAnsi="宋体" w:eastAsia="宋体" w:cs="宋体"/>
                <w:sz w:val="24"/>
                <w:szCs w:val="24"/>
              </w:rPr>
              <w:t>。</w:t>
            </w:r>
          </w:p>
        </w:tc>
      </w:tr>
      <w:tr w14:paraId="44C858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4FE423A1">
            <w:pPr>
              <w:pStyle w:val="76"/>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rPr>
            </w:pPr>
          </w:p>
        </w:tc>
        <w:tc>
          <w:tcPr>
            <w:tcW w:w="2344" w:type="dxa"/>
            <w:vAlign w:val="center"/>
          </w:tcPr>
          <w:p w14:paraId="41808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法定代表人（主要负责人）委托授权书\身份证明</w:t>
            </w:r>
          </w:p>
        </w:tc>
        <w:tc>
          <w:tcPr>
            <w:tcW w:w="6045" w:type="dxa"/>
            <w:vAlign w:val="center"/>
          </w:tcPr>
          <w:p w14:paraId="5E3463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投标单位应授权合法的人员参加投标全过程，其中法定代表人直接参加投标的，须出具法人身份证，并与营业执照上信息一致。法定代表人授权代表参加投标的，须出具法定代表人授权书及授权代表身份证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宋体" w:hAnsi="宋体" w:eastAsia="宋体" w:cs="宋体"/>
                <w:bCs/>
                <w:sz w:val="24"/>
                <w:szCs w:val="24"/>
              </w:rPr>
              <w:t>。</w:t>
            </w:r>
          </w:p>
        </w:tc>
      </w:tr>
      <w:tr w14:paraId="6B84D1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697131AE">
            <w:pPr>
              <w:pStyle w:val="76"/>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rPr>
            </w:pPr>
          </w:p>
        </w:tc>
        <w:tc>
          <w:tcPr>
            <w:tcW w:w="2344" w:type="dxa"/>
            <w:vAlign w:val="center"/>
          </w:tcPr>
          <w:p w14:paraId="3450D7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企业关联关系</w:t>
            </w:r>
          </w:p>
        </w:tc>
        <w:tc>
          <w:tcPr>
            <w:tcW w:w="6045" w:type="dxa"/>
            <w:vAlign w:val="center"/>
          </w:tcPr>
          <w:p w14:paraId="4E0D9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投标单位负责人不得为同一人或者存在控股、管理关系。</w:t>
            </w:r>
          </w:p>
        </w:tc>
      </w:tr>
      <w:tr w14:paraId="5D0D0E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3667FA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w:t>
            </w:r>
          </w:p>
        </w:tc>
        <w:tc>
          <w:tcPr>
            <w:tcW w:w="8389" w:type="dxa"/>
            <w:gridSpan w:val="2"/>
            <w:vAlign w:val="center"/>
          </w:tcPr>
          <w:p w14:paraId="17E9A4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特定资格条件</w:t>
            </w:r>
          </w:p>
        </w:tc>
      </w:tr>
      <w:tr w14:paraId="626E8B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1EF89371">
            <w:pPr>
              <w:pStyle w:val="76"/>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highlight w:val="none"/>
              </w:rPr>
            </w:pPr>
          </w:p>
        </w:tc>
        <w:tc>
          <w:tcPr>
            <w:tcW w:w="2344" w:type="dxa"/>
            <w:vAlign w:val="center"/>
          </w:tcPr>
          <w:p w14:paraId="3A59D6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见</w:t>
            </w:r>
            <w:r>
              <w:rPr>
                <w:rFonts w:hint="eastAsia" w:ascii="宋体" w:hAnsi="宋体" w:eastAsia="宋体" w:cs="宋体"/>
                <w:bCs/>
                <w:sz w:val="24"/>
                <w:szCs w:val="24"/>
                <w:highlight w:val="none"/>
                <w:lang w:eastAsia="zh-CN"/>
              </w:rPr>
              <w:t>招标公告</w:t>
            </w:r>
          </w:p>
        </w:tc>
        <w:tc>
          <w:tcPr>
            <w:tcW w:w="6045" w:type="dxa"/>
            <w:vAlign w:val="center"/>
          </w:tcPr>
          <w:p w14:paraId="50CB86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sz w:val="24"/>
                <w:szCs w:val="24"/>
                <w:highlight w:val="none"/>
              </w:rPr>
            </w:pPr>
          </w:p>
        </w:tc>
      </w:tr>
      <w:tr w14:paraId="08EEC02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03729615">
            <w:pPr>
              <w:pStyle w:val="76"/>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highlight w:val="none"/>
              </w:rPr>
            </w:pPr>
          </w:p>
        </w:tc>
        <w:tc>
          <w:tcPr>
            <w:tcW w:w="2344" w:type="dxa"/>
            <w:vAlign w:val="center"/>
          </w:tcPr>
          <w:p w14:paraId="1B62EF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w:t>
            </w:r>
          </w:p>
        </w:tc>
        <w:tc>
          <w:tcPr>
            <w:tcW w:w="6045" w:type="dxa"/>
            <w:vAlign w:val="center"/>
          </w:tcPr>
          <w:p w14:paraId="3B949E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sz w:val="24"/>
                <w:szCs w:val="24"/>
                <w:highlight w:val="none"/>
              </w:rPr>
            </w:pPr>
          </w:p>
        </w:tc>
      </w:tr>
      <w:tr w14:paraId="2AA440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7397A3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w:t>
            </w:r>
          </w:p>
        </w:tc>
        <w:tc>
          <w:tcPr>
            <w:tcW w:w="8389" w:type="dxa"/>
            <w:gridSpan w:val="2"/>
            <w:vAlign w:val="center"/>
          </w:tcPr>
          <w:p w14:paraId="52B72B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其他</w:t>
            </w:r>
          </w:p>
        </w:tc>
      </w:tr>
      <w:tr w14:paraId="58758A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vAlign w:val="center"/>
          </w:tcPr>
          <w:p w14:paraId="42579621">
            <w:pPr>
              <w:pStyle w:val="76"/>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60" w:lineRule="auto"/>
              <w:ind w:left="0" w:right="0" w:firstLine="240" w:firstLineChars="100"/>
              <w:jc w:val="center"/>
              <w:textAlignment w:val="auto"/>
              <w:rPr>
                <w:rFonts w:hint="eastAsia" w:ascii="宋体" w:hAnsi="宋体" w:eastAsia="宋体" w:cs="宋体"/>
                <w:bCs/>
                <w:sz w:val="24"/>
                <w:szCs w:val="24"/>
                <w:highlight w:val="none"/>
              </w:rPr>
            </w:pPr>
          </w:p>
        </w:tc>
        <w:tc>
          <w:tcPr>
            <w:tcW w:w="2344" w:type="dxa"/>
            <w:vAlign w:val="center"/>
          </w:tcPr>
          <w:p w14:paraId="76ADA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信用记录审查结果</w:t>
            </w:r>
          </w:p>
        </w:tc>
        <w:tc>
          <w:tcPr>
            <w:tcW w:w="6045" w:type="dxa"/>
            <w:vAlign w:val="center"/>
          </w:tcPr>
          <w:p w14:paraId="36AF90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sz w:val="24"/>
                <w:szCs w:val="24"/>
                <w:highlight w:val="none"/>
              </w:rPr>
            </w:pPr>
            <w:r>
              <w:rPr>
                <w:rFonts w:hint="eastAsia" w:ascii="宋体" w:hAnsi="宋体" w:eastAsia="宋体" w:cs="宋体"/>
                <w:bCs/>
                <w:sz w:val="24"/>
                <w:szCs w:val="24"/>
                <w:highlight w:val="none"/>
                <w:lang w:val="en-US" w:eastAsia="zh-CN"/>
              </w:rPr>
              <w:t>符合《财政部关于在政府采购活动中查询及使用信用记录有关问题的通知》（财库【2016】125号）文件中信用查询的要求；（此项由采购人与采购代理单位在开标时查询，以现场查询为准）。</w:t>
            </w:r>
          </w:p>
        </w:tc>
      </w:tr>
      <w:tr w14:paraId="2B549C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3"/>
            <w:vAlign w:val="center"/>
          </w:tcPr>
          <w:p w14:paraId="589BAF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注意事项：</w:t>
            </w:r>
          </w:p>
          <w:p w14:paraId="3CB07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hanging="360" w:hangingChars="150"/>
              <w:jc w:val="both"/>
              <w:textAlignment w:val="auto"/>
              <w:rPr>
                <w:rFonts w:hint="eastAsia" w:ascii="宋体" w:hAnsi="宋体" w:eastAsia="宋体" w:cs="宋体"/>
                <w:bCs/>
                <w:sz w:val="24"/>
                <w:szCs w:val="24"/>
              </w:rPr>
            </w:pPr>
            <w:r>
              <w:rPr>
                <w:rFonts w:hint="eastAsia" w:ascii="宋体" w:hAnsi="宋体" w:eastAsia="宋体" w:cs="宋体"/>
                <w:bCs/>
                <w:sz w:val="24"/>
                <w:szCs w:val="24"/>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4FEEF0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hanging="360" w:hangingChars="150"/>
              <w:jc w:val="both"/>
              <w:textAlignment w:val="auto"/>
              <w:rPr>
                <w:rFonts w:hint="eastAsia" w:ascii="宋体" w:hAnsi="宋体" w:eastAsia="宋体" w:cs="宋体"/>
                <w:bCs/>
                <w:sz w:val="24"/>
                <w:szCs w:val="24"/>
              </w:rPr>
            </w:pPr>
            <w:r>
              <w:rPr>
                <w:rFonts w:hint="eastAsia" w:ascii="宋体" w:hAnsi="宋体" w:eastAsia="宋体" w:cs="宋体"/>
                <w:bCs/>
                <w:sz w:val="24"/>
                <w:szCs w:val="24"/>
              </w:rPr>
              <w:t>2．事业单位参与投标时，可不提供财务状况报告、社会保障资金和税收缴纳证明；依法免税或不需要缴纳社会保障资金的</w:t>
            </w:r>
            <w:r>
              <w:rPr>
                <w:rFonts w:hint="eastAsia" w:ascii="宋体" w:hAnsi="宋体" w:eastAsia="宋体" w:cs="宋体"/>
                <w:bCs/>
                <w:sz w:val="24"/>
                <w:szCs w:val="24"/>
                <w:lang w:eastAsia="zh-CN"/>
              </w:rPr>
              <w:t>投标人</w:t>
            </w:r>
            <w:r>
              <w:rPr>
                <w:rFonts w:hint="eastAsia" w:ascii="宋体" w:hAnsi="宋体" w:eastAsia="宋体" w:cs="宋体"/>
                <w:bCs/>
                <w:sz w:val="24"/>
                <w:szCs w:val="24"/>
              </w:rPr>
              <w:t>，应提供相应证明文件，证明其依法免税或不需要缴纳社会保障资金；自然人（仅限中国公民）参与投标时，只须提供身份证复印件。</w:t>
            </w:r>
          </w:p>
          <w:p w14:paraId="015E99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hanging="360" w:hangingChars="150"/>
              <w:jc w:val="both"/>
              <w:textAlignment w:val="auto"/>
              <w:rPr>
                <w:rFonts w:hint="eastAsia" w:ascii="宋体" w:hAnsi="宋体" w:eastAsia="宋体" w:cs="宋体"/>
                <w:bCs/>
                <w:sz w:val="24"/>
                <w:szCs w:val="24"/>
              </w:rPr>
            </w:pPr>
            <w:r>
              <w:rPr>
                <w:rFonts w:hint="eastAsia" w:ascii="宋体" w:hAnsi="宋体" w:eastAsia="宋体" w:cs="宋体"/>
                <w:bCs/>
                <w:sz w:val="24"/>
                <w:szCs w:val="24"/>
              </w:rPr>
              <w:t>3．以联合体形式参与投标时，应提供有效的《联合体协议书》，并遵循招标文件第二章中“关于联合体”的相关规定。</w:t>
            </w:r>
          </w:p>
          <w:p w14:paraId="1C8B3D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hanging="360" w:hangingChars="150"/>
              <w:jc w:val="both"/>
              <w:textAlignment w:val="auto"/>
              <w:rPr>
                <w:rFonts w:hint="eastAsia" w:ascii="宋体" w:hAnsi="宋体" w:eastAsia="宋体" w:cs="宋体"/>
                <w:bCs/>
                <w:sz w:val="24"/>
                <w:szCs w:val="24"/>
              </w:rPr>
            </w:pPr>
            <w:r>
              <w:rPr>
                <w:rFonts w:hint="eastAsia" w:ascii="宋体" w:hAnsi="宋体" w:eastAsia="宋体" w:cs="宋体"/>
                <w:bCs/>
                <w:sz w:val="24"/>
                <w:szCs w:val="24"/>
              </w:rPr>
              <w:t>4．《基本存款账户信息》、《无重大违法记录声明》、《法定代表人委托授权书》、《法定代表人身份证明书》、《联合体协议书》应按第五章《投标文件构成及格式》中给定的格式填写，并按要求签字、盖章。</w:t>
            </w:r>
          </w:p>
          <w:p w14:paraId="6F724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hanging="360" w:hangingChars="150"/>
              <w:jc w:val="both"/>
              <w:textAlignment w:val="auto"/>
              <w:rPr>
                <w:rFonts w:hint="eastAsia" w:ascii="宋体" w:hAnsi="宋体" w:eastAsia="宋体" w:cs="宋体"/>
                <w:bCs/>
                <w:sz w:val="24"/>
                <w:szCs w:val="24"/>
              </w:rPr>
            </w:pPr>
            <w:r>
              <w:rPr>
                <w:rFonts w:hint="eastAsia" w:ascii="宋体" w:hAnsi="宋体" w:eastAsia="宋体" w:cs="宋体"/>
                <w:bCs/>
                <w:sz w:val="24"/>
                <w:szCs w:val="24"/>
              </w:rPr>
              <w:t>5．按照财政部《关于在政府采购活动中查询及使用信用记录有关问题的通知》（财库〔2016〕125号）要求，在资格审查阶段，采购人将对</w:t>
            </w:r>
            <w:r>
              <w:rPr>
                <w:rFonts w:hint="eastAsia" w:ascii="宋体" w:hAnsi="宋体" w:eastAsia="宋体" w:cs="宋体"/>
                <w:bCs/>
                <w:sz w:val="24"/>
                <w:szCs w:val="24"/>
                <w:lang w:eastAsia="zh-CN"/>
              </w:rPr>
              <w:t>投标人</w:t>
            </w:r>
            <w:r>
              <w:rPr>
                <w:rFonts w:hint="eastAsia" w:ascii="宋体" w:hAnsi="宋体" w:eastAsia="宋体" w:cs="宋体"/>
                <w:bCs/>
                <w:sz w:val="24"/>
                <w:szCs w:val="24"/>
              </w:rPr>
              <w:t>的信用记录进行核查，出现招标文件第二章中“关于信用记录的查询和使用”所列失信行为的，将拒绝其参与政府采购活动。</w:t>
            </w:r>
          </w:p>
        </w:tc>
      </w:tr>
    </w:tbl>
    <w:p w14:paraId="5B842C91">
      <w:pPr>
        <w:pStyle w:val="4"/>
        <w:spacing w:line="360" w:lineRule="auto"/>
        <w:rPr>
          <w:rFonts w:hint="eastAsia" w:ascii="宋体" w:hAnsi="宋体" w:eastAsia="宋体" w:cs="宋体"/>
        </w:rPr>
      </w:pPr>
      <w:r>
        <w:rPr>
          <w:rFonts w:hint="eastAsia" w:ascii="宋体" w:hAnsi="宋体" w:eastAsia="宋体" w:cs="宋体"/>
        </w:rPr>
        <w:t>七、评审方法和程序</w:t>
      </w:r>
    </w:p>
    <w:p w14:paraId="5A0BE65F">
      <w:pPr>
        <w:pStyle w:val="7"/>
        <w:spacing w:line="360" w:lineRule="auto"/>
        <w:ind w:firstLine="482"/>
        <w:rPr>
          <w:rFonts w:hint="eastAsia" w:ascii="宋体" w:hAnsi="宋体" w:eastAsia="宋体" w:cs="宋体"/>
        </w:rPr>
      </w:pPr>
      <w:r>
        <w:rPr>
          <w:rFonts w:hint="eastAsia" w:ascii="宋体" w:hAnsi="宋体" w:eastAsia="宋体" w:cs="宋体"/>
        </w:rPr>
        <w:t>（一）评标方法</w:t>
      </w:r>
    </w:p>
    <w:p w14:paraId="65A2B1CB">
      <w:pPr>
        <w:pStyle w:val="89"/>
        <w:spacing w:line="360" w:lineRule="auto"/>
        <w:ind w:firstLine="480"/>
        <w:rPr>
          <w:rFonts w:hint="eastAsia" w:ascii="宋体" w:hAnsi="宋体" w:eastAsia="宋体" w:cs="宋体"/>
          <w:color w:val="auto"/>
        </w:rPr>
      </w:pPr>
      <w:r>
        <w:rPr>
          <w:rFonts w:hint="eastAsia" w:ascii="宋体" w:hAnsi="宋体" w:eastAsia="宋体" w:cs="宋体"/>
        </w:rPr>
        <w:t>本项</w:t>
      </w:r>
      <w:r>
        <w:rPr>
          <w:rFonts w:hint="eastAsia" w:ascii="宋体" w:hAnsi="宋体" w:eastAsia="宋体" w:cs="宋体"/>
          <w:color w:val="auto"/>
        </w:rPr>
        <w:t>目采用综合评分法，即投标文件满足招标文件全部实质性要求，且按照评审因素的量化指标评审得分最高的</w:t>
      </w:r>
      <w:r>
        <w:rPr>
          <w:rFonts w:hint="eastAsia" w:ascii="宋体" w:hAnsi="宋体" w:cs="宋体"/>
          <w:color w:val="auto"/>
          <w:lang w:eastAsia="zh-CN"/>
        </w:rPr>
        <w:t>投标人</w:t>
      </w:r>
      <w:r>
        <w:rPr>
          <w:rFonts w:hint="eastAsia" w:ascii="宋体" w:hAnsi="宋体" w:eastAsia="宋体" w:cs="宋体"/>
          <w:color w:val="auto"/>
        </w:rPr>
        <w:t>为中标候选人。</w:t>
      </w:r>
    </w:p>
    <w:p w14:paraId="7932D490">
      <w:pPr>
        <w:pStyle w:val="7"/>
        <w:spacing w:line="360" w:lineRule="auto"/>
        <w:ind w:firstLine="482"/>
        <w:rPr>
          <w:rFonts w:hint="eastAsia" w:ascii="宋体" w:hAnsi="宋体" w:eastAsia="宋体" w:cs="宋体"/>
          <w:color w:val="auto"/>
        </w:rPr>
      </w:pPr>
      <w:r>
        <w:rPr>
          <w:rFonts w:hint="eastAsia" w:ascii="宋体" w:hAnsi="宋体" w:eastAsia="宋体" w:cs="宋体"/>
          <w:color w:val="auto"/>
        </w:rPr>
        <w:t>（二）评标程序</w:t>
      </w:r>
    </w:p>
    <w:p w14:paraId="0AB576E9">
      <w:pPr>
        <w:pStyle w:val="89"/>
        <w:spacing w:line="360" w:lineRule="auto"/>
        <w:ind w:firstLine="482"/>
        <w:rPr>
          <w:rFonts w:hint="eastAsia" w:ascii="宋体" w:hAnsi="宋体" w:eastAsia="宋体" w:cs="宋体"/>
          <w:b/>
        </w:rPr>
      </w:pPr>
      <w:r>
        <w:rPr>
          <w:rFonts w:hint="eastAsia" w:ascii="宋体" w:hAnsi="宋体" w:eastAsia="宋体" w:cs="宋体"/>
          <w:b/>
        </w:rPr>
        <w:t>1</w:t>
      </w:r>
      <w:r>
        <w:rPr>
          <w:rFonts w:hint="eastAsia" w:ascii="宋体" w:hAnsi="宋体" w:eastAsia="宋体" w:cs="宋体"/>
          <w:b/>
          <w:color w:val="auto"/>
        </w:rPr>
        <w:t>．</w:t>
      </w:r>
      <w:r>
        <w:rPr>
          <w:rFonts w:hint="eastAsia" w:ascii="宋体" w:hAnsi="宋体" w:eastAsia="宋体" w:cs="宋体"/>
          <w:b/>
        </w:rPr>
        <w:t>组建评标委员会</w:t>
      </w:r>
    </w:p>
    <w:p w14:paraId="01D430D4">
      <w:pPr>
        <w:pStyle w:val="89"/>
        <w:spacing w:line="360" w:lineRule="auto"/>
        <w:ind w:firstLine="480"/>
        <w:rPr>
          <w:rFonts w:hint="eastAsia" w:ascii="宋体" w:hAnsi="宋体" w:eastAsia="宋体" w:cs="宋体"/>
        </w:rPr>
      </w:pPr>
      <w:r>
        <w:rPr>
          <w:rFonts w:hint="eastAsia" w:ascii="宋体" w:hAnsi="宋体" w:eastAsia="宋体" w:cs="宋体"/>
        </w:rPr>
        <w:t>为了确保</w:t>
      </w:r>
      <w:r>
        <w:rPr>
          <w:rFonts w:hint="eastAsia" w:ascii="宋体" w:hAnsi="宋体" w:eastAsia="宋体" w:cs="宋体"/>
          <w:highlight w:val="none"/>
        </w:rPr>
        <w:t>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w:t>
      </w:r>
      <w:r>
        <w:rPr>
          <w:rFonts w:hint="eastAsia" w:ascii="宋体" w:hAnsi="宋体" w:eastAsia="宋体" w:cs="宋体"/>
        </w:rPr>
        <w:t>采购评审专家库内相关专业的专家名单中随机抽取</w:t>
      </w:r>
      <w:r>
        <w:rPr>
          <w:rFonts w:hint="eastAsia" w:ascii="宋体" w:hAnsi="宋体" w:cs="宋体"/>
          <w:lang w:eastAsia="zh-CN"/>
        </w:rPr>
        <w:t>（本项目评标委员会由5人组成，其中采购人代表1人，评审专家4人。采购人代表须持有授权书。专家人选在省级财政部门设立的政府采购评审专家库中随机抽取，评标委员会按照招标文件规定的评标方法独立进行评标工作）</w:t>
      </w:r>
      <w:r>
        <w:rPr>
          <w:rFonts w:hint="eastAsia" w:ascii="宋体" w:hAnsi="宋体" w:eastAsia="宋体" w:cs="宋体"/>
        </w:rPr>
        <w:t>。</w:t>
      </w:r>
    </w:p>
    <w:p w14:paraId="23F7509A">
      <w:pPr>
        <w:pStyle w:val="89"/>
        <w:spacing w:line="360" w:lineRule="auto"/>
        <w:ind w:firstLine="480"/>
        <w:rPr>
          <w:rFonts w:hint="eastAsia" w:ascii="宋体" w:hAnsi="宋体" w:eastAsia="宋体" w:cs="宋体"/>
        </w:rPr>
      </w:pPr>
      <w:r>
        <w:rPr>
          <w:rFonts w:hint="eastAsia" w:ascii="宋体" w:hAnsi="宋体" w:eastAsia="宋体" w:cs="宋体"/>
        </w:rPr>
        <w:t>由采购代理机构组织评标委员会推选评标组长，采购人代表不得担任组长。</w:t>
      </w:r>
    </w:p>
    <w:p w14:paraId="30945DE6">
      <w:pPr>
        <w:pStyle w:val="89"/>
        <w:spacing w:line="360" w:lineRule="auto"/>
        <w:ind w:firstLine="482"/>
        <w:rPr>
          <w:rFonts w:hint="eastAsia" w:ascii="宋体" w:hAnsi="宋体" w:eastAsia="宋体" w:cs="宋体"/>
          <w:b/>
        </w:rPr>
      </w:pPr>
      <w:r>
        <w:rPr>
          <w:rFonts w:hint="eastAsia" w:ascii="宋体" w:hAnsi="宋体" w:eastAsia="宋体" w:cs="宋体"/>
          <w:b/>
        </w:rPr>
        <w:t>2</w:t>
      </w:r>
      <w:r>
        <w:rPr>
          <w:rFonts w:hint="eastAsia" w:ascii="宋体" w:hAnsi="宋体" w:eastAsia="宋体" w:cs="宋体"/>
          <w:b/>
          <w:color w:val="auto"/>
        </w:rPr>
        <w:t>．</w:t>
      </w:r>
      <w:r>
        <w:rPr>
          <w:rFonts w:hint="eastAsia" w:ascii="宋体" w:hAnsi="宋体" w:eastAsia="宋体" w:cs="宋体"/>
          <w:b/>
        </w:rPr>
        <w:t>投标文件的符合性审查</w:t>
      </w:r>
    </w:p>
    <w:p w14:paraId="0C17B577">
      <w:pPr>
        <w:pStyle w:val="89"/>
        <w:spacing w:line="360" w:lineRule="auto"/>
        <w:ind w:firstLine="480"/>
        <w:rPr>
          <w:rFonts w:hint="eastAsia" w:ascii="宋体" w:hAnsi="宋体" w:eastAsia="宋体" w:cs="宋体"/>
          <w:bCs/>
          <w:color w:val="auto"/>
        </w:rPr>
      </w:pPr>
      <w:r>
        <w:rPr>
          <w:rFonts w:hint="eastAsia" w:ascii="宋体" w:hAnsi="宋体" w:cs="宋体"/>
          <w:lang w:eastAsia="zh-CN"/>
        </w:rPr>
        <w:t>投标人</w:t>
      </w:r>
      <w:r>
        <w:rPr>
          <w:rFonts w:hint="eastAsia" w:ascii="宋体" w:hAnsi="宋体" w:eastAsia="宋体" w:cs="宋体"/>
        </w:rPr>
        <w:t>资格性审查通过后，</w:t>
      </w:r>
      <w:r>
        <w:rPr>
          <w:rFonts w:hint="eastAsia" w:ascii="宋体" w:hAnsi="宋体" w:eastAsia="宋体" w:cs="宋体"/>
          <w:bCs/>
        </w:rPr>
        <w:t>评标委员会对符合资格的投标人的投标文件进行符合性审查，以确定其是否满足</w:t>
      </w:r>
      <w:r>
        <w:rPr>
          <w:rFonts w:hint="eastAsia" w:ascii="宋体" w:hAnsi="宋体" w:eastAsia="宋体" w:cs="宋体"/>
          <w:bCs/>
          <w:color w:val="auto"/>
        </w:rPr>
        <w:t>招标文件的实质性要求。</w:t>
      </w:r>
    </w:p>
    <w:p w14:paraId="2D861BDB">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对于投标文件中含义不明确、同类问题表述不一致或者有明显文字和计算错误的内容，评标委员会应当以书面形式要求投标人作出必要的澄清、说明或者补正。</w:t>
      </w:r>
    </w:p>
    <w:p w14:paraId="1F066E01">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投标人的澄清、说明或者补正应当采用书面形式，并加盖公章，或者由法定代表人或其授权的代表签字。投标人的澄清、说明或者补正不得超出投标文件的范围或者改变投标文件的实质性内容。</w:t>
      </w:r>
    </w:p>
    <w:p w14:paraId="5EB1A302">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38BFE3FA">
      <w:pPr>
        <w:keepNext/>
        <w:spacing w:before="210" w:beforeLines="50" w:after="210" w:afterLines="50" w:line="360" w:lineRule="auto"/>
        <w:jc w:val="center"/>
        <w:outlineLvl w:val="3"/>
        <w:rPr>
          <w:rFonts w:hint="eastAsia" w:ascii="宋体" w:hAnsi="宋体" w:eastAsia="宋体" w:cs="宋体"/>
          <w:color w:val="auto"/>
          <w:sz w:val="32"/>
          <w:szCs w:val="32"/>
        </w:rPr>
      </w:pPr>
      <w:r>
        <w:rPr>
          <w:rFonts w:hint="eastAsia" w:ascii="宋体" w:hAnsi="宋体" w:eastAsia="宋体" w:cs="宋体"/>
          <w:color w:val="auto"/>
          <w:sz w:val="32"/>
          <w:szCs w:val="32"/>
        </w:rPr>
        <w:t>〖符合性审查表〗</w:t>
      </w:r>
    </w:p>
    <w:tbl>
      <w:tblPr>
        <w:tblStyle w:val="32"/>
        <w:tblW w:w="895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7"/>
        <w:gridCol w:w="2279"/>
        <w:gridCol w:w="5973"/>
      </w:tblGrid>
      <w:tr w14:paraId="7B5215A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5" w:hRule="atLeast"/>
          <w:jc w:val="center"/>
        </w:trPr>
        <w:tc>
          <w:tcPr>
            <w:tcW w:w="707" w:type="dxa"/>
            <w:tcBorders>
              <w:top w:val="single" w:color="auto" w:sz="12" w:space="0"/>
              <w:bottom w:val="single" w:color="auto" w:sz="2" w:space="0"/>
            </w:tcBorders>
            <w:shd w:val="clear" w:color="auto" w:fill="F1F1F1" w:themeFill="background1" w:themeFillShade="F2"/>
            <w:vAlign w:val="center"/>
          </w:tcPr>
          <w:p w14:paraId="192A30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279" w:type="dxa"/>
            <w:tcBorders>
              <w:top w:val="single" w:color="auto" w:sz="12" w:space="0"/>
              <w:bottom w:val="single" w:color="auto" w:sz="2" w:space="0"/>
            </w:tcBorders>
            <w:shd w:val="clear" w:color="auto" w:fill="F1F1F1" w:themeFill="background1" w:themeFillShade="F2"/>
            <w:vAlign w:val="center"/>
          </w:tcPr>
          <w:p w14:paraId="14F12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符合性审查项</w:t>
            </w:r>
          </w:p>
        </w:tc>
        <w:tc>
          <w:tcPr>
            <w:tcW w:w="5973" w:type="dxa"/>
            <w:tcBorders>
              <w:top w:val="single" w:color="auto" w:sz="12" w:space="0"/>
              <w:bottom w:val="single" w:color="auto" w:sz="2" w:space="0"/>
            </w:tcBorders>
            <w:shd w:val="clear" w:color="auto" w:fill="F1F1F1" w:themeFill="background1" w:themeFillShade="F2"/>
            <w:vAlign w:val="center"/>
          </w:tcPr>
          <w:p w14:paraId="223ABC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通过条件</w:t>
            </w:r>
          </w:p>
        </w:tc>
      </w:tr>
      <w:tr w14:paraId="3F83DC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9" w:hRule="atLeast"/>
          <w:jc w:val="center"/>
        </w:trPr>
        <w:tc>
          <w:tcPr>
            <w:tcW w:w="707" w:type="dxa"/>
            <w:tcBorders>
              <w:top w:val="single" w:color="auto" w:sz="2" w:space="0"/>
            </w:tcBorders>
            <w:vAlign w:val="center"/>
          </w:tcPr>
          <w:p w14:paraId="18FD1467">
            <w:pPr>
              <w:pStyle w:val="7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contextualSpacing w:val="0"/>
              <w:jc w:val="both"/>
              <w:textAlignment w:val="auto"/>
              <w:rPr>
                <w:rFonts w:hint="eastAsia" w:ascii="宋体" w:hAnsi="宋体" w:eastAsia="宋体" w:cs="宋体"/>
                <w:bCs/>
                <w:color w:val="auto"/>
                <w:sz w:val="24"/>
                <w:szCs w:val="24"/>
              </w:rPr>
            </w:pPr>
          </w:p>
        </w:tc>
        <w:tc>
          <w:tcPr>
            <w:tcW w:w="2279" w:type="dxa"/>
            <w:tcBorders>
              <w:top w:val="single" w:color="auto" w:sz="2" w:space="0"/>
            </w:tcBorders>
            <w:vAlign w:val="center"/>
          </w:tcPr>
          <w:p w14:paraId="62EAA1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与项目的一致性</w:t>
            </w:r>
          </w:p>
        </w:tc>
        <w:tc>
          <w:tcPr>
            <w:tcW w:w="5973" w:type="dxa"/>
            <w:tcBorders>
              <w:top w:val="single" w:color="auto" w:sz="2" w:space="0"/>
            </w:tcBorders>
            <w:vAlign w:val="center"/>
          </w:tcPr>
          <w:p w14:paraId="253BE9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至少以下三处的项目名称、项目编号、</w:t>
            </w:r>
            <w:r>
              <w:rPr>
                <w:rFonts w:hint="eastAsia" w:ascii="宋体" w:hAnsi="宋体" w:eastAsia="宋体" w:cs="宋体"/>
                <w:bCs/>
                <w:color w:val="auto"/>
                <w:sz w:val="24"/>
                <w:szCs w:val="24"/>
                <w:lang w:val="en-US" w:eastAsia="zh-CN"/>
              </w:rPr>
              <w:t>合同包号</w:t>
            </w:r>
            <w:r>
              <w:rPr>
                <w:rFonts w:hint="eastAsia" w:ascii="宋体" w:hAnsi="宋体" w:eastAsia="宋体" w:cs="宋体"/>
                <w:bCs/>
                <w:color w:val="auto"/>
                <w:sz w:val="24"/>
                <w:szCs w:val="24"/>
              </w:rPr>
              <w:t>与本项目完全一致：</w:t>
            </w:r>
          </w:p>
          <w:p w14:paraId="56E01F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（1）投标文件封面</w:t>
            </w:r>
          </w:p>
          <w:p w14:paraId="5F6394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（2）投标函</w:t>
            </w:r>
          </w:p>
          <w:p w14:paraId="06155F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（3）法定代表人（主要负责人）委托授权书\身份证明</w:t>
            </w:r>
          </w:p>
        </w:tc>
      </w:tr>
      <w:tr w14:paraId="134F5BA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9" w:hRule="atLeast"/>
          <w:jc w:val="center"/>
        </w:trPr>
        <w:tc>
          <w:tcPr>
            <w:tcW w:w="707" w:type="dxa"/>
            <w:vAlign w:val="center"/>
          </w:tcPr>
          <w:p w14:paraId="2D020328">
            <w:pPr>
              <w:pStyle w:val="7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14:paraId="2A7CE3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投标文件组成</w:t>
            </w:r>
          </w:p>
        </w:tc>
        <w:tc>
          <w:tcPr>
            <w:tcW w:w="5973" w:type="dxa"/>
            <w:vAlign w:val="center"/>
          </w:tcPr>
          <w:p w14:paraId="2A8657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Cs/>
                <w:sz w:val="24"/>
                <w:szCs w:val="24"/>
              </w:rPr>
              <w:t>投标文件</w:t>
            </w:r>
            <w:r>
              <w:rPr>
                <w:rFonts w:hint="eastAsia" w:ascii="宋体" w:hAnsi="宋体" w:eastAsia="宋体" w:cs="宋体"/>
                <w:sz w:val="24"/>
                <w:szCs w:val="24"/>
              </w:rPr>
              <w:t>应包含以下部分：</w:t>
            </w:r>
          </w:p>
          <w:p w14:paraId="7A0143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lang w:val="en-AU"/>
              </w:rPr>
              <w:t>投标</w:t>
            </w:r>
            <w:r>
              <w:rPr>
                <w:rFonts w:hint="eastAsia" w:ascii="宋体" w:hAnsi="宋体" w:eastAsia="宋体" w:cs="宋体"/>
                <w:bCs/>
                <w:sz w:val="24"/>
                <w:szCs w:val="24"/>
              </w:rPr>
              <w:t>函</w:t>
            </w:r>
          </w:p>
          <w:p w14:paraId="385220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sz w:val="24"/>
                <w:szCs w:val="24"/>
                <w:lang w:val="en-AU"/>
              </w:rPr>
              <w:t>开标一览表</w:t>
            </w:r>
          </w:p>
          <w:p w14:paraId="317E4B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Cs/>
                <w:sz w:val="24"/>
                <w:szCs w:val="24"/>
              </w:rPr>
              <w:t>（3）</w:t>
            </w:r>
            <w:r>
              <w:rPr>
                <w:rFonts w:hint="eastAsia" w:ascii="宋体" w:hAnsi="宋体" w:eastAsia="宋体" w:cs="宋体"/>
                <w:sz w:val="24"/>
                <w:szCs w:val="24"/>
              </w:rPr>
              <w:t>资格证明文件</w:t>
            </w:r>
          </w:p>
          <w:p w14:paraId="3DFA29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lang w:eastAsia="zh-CN"/>
              </w:rPr>
              <w:t>投标人</w:t>
            </w:r>
            <w:r>
              <w:rPr>
                <w:rFonts w:hint="eastAsia" w:ascii="宋体" w:hAnsi="宋体" w:eastAsia="宋体" w:cs="宋体"/>
                <w:bCs/>
                <w:sz w:val="24"/>
                <w:szCs w:val="24"/>
              </w:rPr>
              <w:t>概况</w:t>
            </w:r>
          </w:p>
          <w:p w14:paraId="3C1A97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lang w:eastAsia="zh-CN"/>
              </w:rPr>
              <w:t>投标人</w:t>
            </w:r>
            <w:r>
              <w:rPr>
                <w:rFonts w:hint="eastAsia" w:ascii="宋体" w:hAnsi="宋体" w:eastAsia="宋体" w:cs="宋体"/>
                <w:bCs/>
                <w:sz w:val="24"/>
                <w:szCs w:val="24"/>
              </w:rPr>
              <w:t>参加政府采购活动承诺书</w:t>
            </w:r>
          </w:p>
          <w:p w14:paraId="0B2C14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（6）投标方案</w:t>
            </w:r>
          </w:p>
        </w:tc>
      </w:tr>
      <w:tr w14:paraId="10E40C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07" w:type="dxa"/>
            <w:vAlign w:val="center"/>
          </w:tcPr>
          <w:p w14:paraId="6B599EAE">
            <w:pPr>
              <w:pStyle w:val="7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14:paraId="45FA3C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签章</w:t>
            </w:r>
          </w:p>
        </w:tc>
        <w:tc>
          <w:tcPr>
            <w:tcW w:w="5973" w:type="dxa"/>
            <w:vAlign w:val="center"/>
          </w:tcPr>
          <w:p w14:paraId="78855B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sz w:val="24"/>
                <w:szCs w:val="24"/>
              </w:rPr>
              <w:t>签章均符合招标文件要求，且无遗漏。</w:t>
            </w:r>
          </w:p>
        </w:tc>
      </w:tr>
      <w:tr w14:paraId="4BF44E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07" w:type="dxa"/>
            <w:vAlign w:val="center"/>
          </w:tcPr>
          <w:p w14:paraId="1243357B">
            <w:pPr>
              <w:pStyle w:val="7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14:paraId="3D9170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语言和计量单位</w:t>
            </w:r>
          </w:p>
        </w:tc>
        <w:tc>
          <w:tcPr>
            <w:tcW w:w="5973" w:type="dxa"/>
            <w:vAlign w:val="center"/>
          </w:tcPr>
          <w:p w14:paraId="5A1FC4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符合招标文件的要求</w:t>
            </w:r>
          </w:p>
        </w:tc>
      </w:tr>
      <w:tr w14:paraId="461D01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8" w:hRule="atLeast"/>
          <w:jc w:val="center"/>
        </w:trPr>
        <w:tc>
          <w:tcPr>
            <w:tcW w:w="707" w:type="dxa"/>
            <w:vAlign w:val="center"/>
          </w:tcPr>
          <w:p w14:paraId="6048F2C9">
            <w:pPr>
              <w:pStyle w:val="7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14:paraId="7CD51B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投标文件有效期</w:t>
            </w:r>
          </w:p>
        </w:tc>
        <w:tc>
          <w:tcPr>
            <w:tcW w:w="5973" w:type="dxa"/>
            <w:vAlign w:val="center"/>
          </w:tcPr>
          <w:p w14:paraId="574DB6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
                <w:bCs/>
                <w:sz w:val="24"/>
                <w:szCs w:val="24"/>
              </w:rPr>
            </w:pPr>
            <w:r>
              <w:rPr>
                <w:rFonts w:hint="eastAsia" w:ascii="宋体" w:hAnsi="宋体" w:eastAsia="宋体" w:cs="宋体"/>
                <w:sz w:val="24"/>
                <w:szCs w:val="24"/>
              </w:rPr>
              <w:t>符合招标文件的要求</w:t>
            </w:r>
          </w:p>
        </w:tc>
      </w:tr>
      <w:tr w14:paraId="53B866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9" w:hRule="atLeast"/>
          <w:jc w:val="center"/>
        </w:trPr>
        <w:tc>
          <w:tcPr>
            <w:tcW w:w="707" w:type="dxa"/>
            <w:vAlign w:val="center"/>
          </w:tcPr>
          <w:p w14:paraId="00E096A5">
            <w:pPr>
              <w:pStyle w:val="7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14:paraId="27D153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投标报价</w:t>
            </w:r>
          </w:p>
        </w:tc>
        <w:tc>
          <w:tcPr>
            <w:tcW w:w="5973" w:type="dxa"/>
            <w:vAlign w:val="center"/>
          </w:tcPr>
          <w:p w14:paraId="40EF1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同时满足以下条款：</w:t>
            </w:r>
          </w:p>
          <w:p w14:paraId="4B4464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（1）货币单位符合招标文件要求</w:t>
            </w:r>
          </w:p>
          <w:p w14:paraId="2A4FF7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（2）报价符合唯一性要求</w:t>
            </w:r>
          </w:p>
          <w:p w14:paraId="46EB79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（3）未超出采购预算或最高限价</w:t>
            </w:r>
          </w:p>
          <w:p w14:paraId="00C976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（4）符合《开标一览表》的填报要求</w:t>
            </w:r>
          </w:p>
        </w:tc>
      </w:tr>
      <w:tr w14:paraId="5F0BC8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07" w:type="dxa"/>
            <w:vAlign w:val="center"/>
          </w:tcPr>
          <w:p w14:paraId="36DF9554">
            <w:pPr>
              <w:pStyle w:val="7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14:paraId="76A86A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实质性条款响</w:t>
            </w:r>
            <w:r>
              <w:rPr>
                <w:rFonts w:hint="eastAsia" w:ascii="宋体" w:hAnsi="宋体" w:eastAsia="宋体" w:cs="宋体"/>
                <w:bCs/>
                <w:w w:val="1"/>
                <w:sz w:val="24"/>
                <w:szCs w:val="24"/>
              </w:rPr>
              <w:t xml:space="preserve"> </w:t>
            </w:r>
            <w:r>
              <w:rPr>
                <w:rFonts w:hint="eastAsia" w:ascii="宋体" w:hAnsi="宋体" w:eastAsia="宋体" w:cs="宋体"/>
                <w:bCs/>
                <w:sz w:val="24"/>
                <w:szCs w:val="24"/>
              </w:rPr>
              <w:t>应</w:t>
            </w:r>
          </w:p>
        </w:tc>
        <w:tc>
          <w:tcPr>
            <w:tcW w:w="5973" w:type="dxa"/>
            <w:vAlign w:val="center"/>
          </w:tcPr>
          <w:p w14:paraId="0B39F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w:t>
            </w:r>
            <w:r>
              <w:rPr>
                <w:rFonts w:hint="eastAsia" w:ascii="宋体" w:hAnsi="宋体" w:eastAsia="宋体" w:cs="宋体"/>
                <w:color w:val="auto"/>
                <w:w w:val="1"/>
                <w:sz w:val="24"/>
                <w:szCs w:val="24"/>
              </w:rPr>
              <w:t xml:space="preserve"> </w:t>
            </w:r>
            <w:r>
              <w:rPr>
                <w:rFonts w:hint="eastAsia" w:ascii="宋体" w:hAnsi="宋体" w:eastAsia="宋体" w:cs="宋体"/>
                <w:color w:val="auto"/>
                <w:sz w:val="24"/>
                <w:szCs w:val="24"/>
              </w:rPr>
              <w:t>应招标文件要求的各项技术（服务）、商务实质性条款。</w:t>
            </w:r>
            <w:r>
              <w:rPr>
                <w:rFonts w:hint="eastAsia" w:ascii="宋体" w:hAnsi="宋体" w:eastAsia="宋体" w:cs="宋体"/>
                <w:bCs/>
                <w:color w:val="auto"/>
                <w:sz w:val="24"/>
                <w:szCs w:val="24"/>
              </w:rPr>
              <w:t>（见第三章标注★的条款）</w:t>
            </w:r>
          </w:p>
        </w:tc>
      </w:tr>
      <w:tr w14:paraId="2324C3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07" w:type="dxa"/>
            <w:vAlign w:val="center"/>
          </w:tcPr>
          <w:p w14:paraId="39A452A7">
            <w:pPr>
              <w:pStyle w:val="7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14:paraId="5BC56F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合同条款响</w:t>
            </w:r>
            <w:r>
              <w:rPr>
                <w:rFonts w:hint="eastAsia" w:ascii="宋体" w:hAnsi="宋体" w:eastAsia="宋体" w:cs="宋体"/>
                <w:bCs/>
                <w:w w:val="1"/>
                <w:sz w:val="24"/>
                <w:szCs w:val="24"/>
              </w:rPr>
              <w:t xml:space="preserve"> </w:t>
            </w:r>
            <w:r>
              <w:rPr>
                <w:rFonts w:hint="eastAsia" w:ascii="宋体" w:hAnsi="宋体" w:eastAsia="宋体" w:cs="宋体"/>
                <w:bCs/>
                <w:sz w:val="24"/>
                <w:szCs w:val="24"/>
              </w:rPr>
              <w:t>应</w:t>
            </w:r>
          </w:p>
        </w:tc>
        <w:tc>
          <w:tcPr>
            <w:tcW w:w="5973" w:type="dxa"/>
            <w:vAlign w:val="center"/>
          </w:tcPr>
          <w:p w14:paraId="4F97FE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完全理解并响</w:t>
            </w:r>
            <w:r>
              <w:rPr>
                <w:rFonts w:hint="eastAsia" w:ascii="宋体" w:hAnsi="宋体" w:eastAsia="宋体" w:cs="宋体"/>
                <w:color w:val="auto"/>
                <w:w w:val="1"/>
                <w:sz w:val="24"/>
                <w:szCs w:val="24"/>
              </w:rPr>
              <w:t xml:space="preserve"> </w:t>
            </w:r>
            <w:r>
              <w:rPr>
                <w:rFonts w:hint="eastAsia" w:ascii="宋体" w:hAnsi="宋体" w:eastAsia="宋体" w:cs="宋体"/>
                <w:color w:val="auto"/>
                <w:sz w:val="24"/>
                <w:szCs w:val="24"/>
              </w:rPr>
              <w:t>应招标文件合同条款的要求，且未含有采购人不能接受的附加条件的。</w:t>
            </w:r>
          </w:p>
        </w:tc>
      </w:tr>
      <w:tr w14:paraId="2675A3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07" w:type="dxa"/>
            <w:vAlign w:val="center"/>
          </w:tcPr>
          <w:p w14:paraId="67AAFE6C">
            <w:pPr>
              <w:pStyle w:val="7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contextualSpacing w:val="0"/>
              <w:jc w:val="both"/>
              <w:textAlignment w:val="auto"/>
              <w:rPr>
                <w:rFonts w:hint="eastAsia" w:ascii="宋体" w:hAnsi="宋体" w:eastAsia="宋体" w:cs="宋体"/>
                <w:bCs/>
                <w:sz w:val="24"/>
                <w:szCs w:val="24"/>
              </w:rPr>
            </w:pPr>
          </w:p>
        </w:tc>
        <w:tc>
          <w:tcPr>
            <w:tcW w:w="2279" w:type="dxa"/>
            <w:vAlign w:val="center"/>
          </w:tcPr>
          <w:p w14:paraId="172FD1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color w:val="000000"/>
                <w:sz w:val="24"/>
                <w:szCs w:val="24"/>
              </w:rPr>
              <w:t>电子投标文件雷同性分析</w:t>
            </w:r>
          </w:p>
        </w:tc>
        <w:tc>
          <w:tcPr>
            <w:tcW w:w="5973" w:type="dxa"/>
            <w:vAlign w:val="center"/>
          </w:tcPr>
          <w:p w14:paraId="57C29B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bCs/>
                <w:color w:val="000000"/>
                <w:sz w:val="24"/>
                <w:szCs w:val="24"/>
              </w:rPr>
              <w:t>电子投标文件的“文件制作机器码”和“文件创建标识码”通过评标系统的雷同性分析。</w:t>
            </w:r>
          </w:p>
        </w:tc>
      </w:tr>
      <w:tr w14:paraId="0E628E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6" w:hRule="atLeast"/>
          <w:jc w:val="center"/>
        </w:trPr>
        <w:tc>
          <w:tcPr>
            <w:tcW w:w="707" w:type="dxa"/>
            <w:vAlign w:val="center"/>
          </w:tcPr>
          <w:p w14:paraId="11CC818E">
            <w:pPr>
              <w:pStyle w:val="76"/>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240" w:lineRule="auto"/>
              <w:ind w:left="0" w:right="0" w:firstLine="240" w:firstLineChars="100"/>
              <w:contextualSpacing w:val="0"/>
              <w:jc w:val="both"/>
              <w:textAlignment w:val="auto"/>
              <w:rPr>
                <w:rFonts w:hint="eastAsia" w:ascii="宋体" w:hAnsi="宋体" w:eastAsia="宋体" w:cs="宋体"/>
                <w:sz w:val="24"/>
                <w:szCs w:val="24"/>
              </w:rPr>
            </w:pPr>
          </w:p>
        </w:tc>
        <w:tc>
          <w:tcPr>
            <w:tcW w:w="2279" w:type="dxa"/>
            <w:vAlign w:val="center"/>
          </w:tcPr>
          <w:p w14:paraId="12620C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rPr>
              <w:t>其他</w:t>
            </w:r>
          </w:p>
        </w:tc>
        <w:tc>
          <w:tcPr>
            <w:tcW w:w="5973" w:type="dxa"/>
            <w:vAlign w:val="center"/>
          </w:tcPr>
          <w:p w14:paraId="707B8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完全理解并接受法律法规和招标文件对</w:t>
            </w:r>
            <w:r>
              <w:rPr>
                <w:rFonts w:hint="eastAsia" w:ascii="宋体" w:hAnsi="宋体" w:eastAsia="宋体" w:cs="宋体"/>
                <w:sz w:val="24"/>
                <w:szCs w:val="24"/>
                <w:lang w:eastAsia="zh-CN"/>
              </w:rPr>
              <w:t>投标人</w:t>
            </w:r>
            <w:r>
              <w:rPr>
                <w:rFonts w:hint="eastAsia" w:ascii="宋体" w:hAnsi="宋体" w:eastAsia="宋体" w:cs="宋体"/>
                <w:sz w:val="24"/>
                <w:szCs w:val="24"/>
              </w:rPr>
              <w:t>合法经营的各类规约和责任义务要求，没有出现法律法规或招标文件规定的其他无效情形。</w:t>
            </w:r>
          </w:p>
        </w:tc>
      </w:tr>
    </w:tbl>
    <w:p w14:paraId="4C482DEA">
      <w:pPr>
        <w:pStyle w:val="89"/>
        <w:spacing w:line="360" w:lineRule="auto"/>
        <w:ind w:firstLine="482"/>
        <w:rPr>
          <w:rFonts w:hint="eastAsia" w:ascii="宋体" w:hAnsi="宋体" w:eastAsia="宋体" w:cs="宋体"/>
          <w:b/>
        </w:rPr>
      </w:pPr>
      <w:r>
        <w:rPr>
          <w:rFonts w:hint="eastAsia" w:ascii="宋体" w:hAnsi="宋体" w:eastAsia="宋体" w:cs="宋体"/>
          <w:b/>
        </w:rPr>
        <w:t>3</w:t>
      </w:r>
      <w:r>
        <w:rPr>
          <w:rFonts w:hint="eastAsia" w:ascii="宋体" w:hAnsi="宋体" w:eastAsia="宋体" w:cs="宋体"/>
          <w:b/>
          <w:color w:val="auto"/>
        </w:rPr>
        <w:t>．</w:t>
      </w:r>
      <w:r>
        <w:rPr>
          <w:rFonts w:hint="eastAsia" w:ascii="宋体" w:hAnsi="宋体" w:eastAsia="宋体" w:cs="宋体"/>
          <w:b/>
        </w:rPr>
        <w:t>综合比较与评价</w:t>
      </w:r>
    </w:p>
    <w:p w14:paraId="6F5ECEE7">
      <w:pPr>
        <w:pStyle w:val="89"/>
        <w:spacing w:line="360" w:lineRule="auto"/>
        <w:ind w:firstLine="480"/>
        <w:rPr>
          <w:rFonts w:hint="eastAsia" w:ascii="宋体" w:hAnsi="宋体" w:eastAsia="宋体" w:cs="宋体"/>
        </w:rPr>
      </w:pPr>
      <w:r>
        <w:rPr>
          <w:rFonts w:hint="eastAsia" w:ascii="宋体" w:hAnsi="宋体" w:eastAsia="宋体" w:cs="宋体"/>
        </w:rPr>
        <w:t>评标委员会按《评审要素及分值一览表》中规定的评标方法和标准，对通过符合性审查的投标文件进行商务和技术评估，综合比较与评价。</w:t>
      </w:r>
    </w:p>
    <w:p w14:paraId="53BE326F">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出现下列情形的，</w:t>
      </w:r>
      <w:r>
        <w:rPr>
          <w:rFonts w:hint="eastAsia" w:ascii="宋体" w:hAnsi="宋体" w:cs="宋体"/>
          <w:color w:val="auto"/>
          <w:lang w:eastAsia="zh-CN"/>
        </w:rPr>
        <w:t>投标人</w:t>
      </w:r>
      <w:r>
        <w:rPr>
          <w:rFonts w:hint="eastAsia" w:ascii="宋体" w:hAnsi="宋体" w:eastAsia="宋体" w:cs="宋体"/>
          <w:color w:val="auto"/>
        </w:rPr>
        <w:t>投标无效：</w:t>
      </w:r>
    </w:p>
    <w:p w14:paraId="66756FFC">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（1）投标文件报价出现本章第五小节“投标报价”所列需要修正情形，但</w:t>
      </w:r>
      <w:r>
        <w:rPr>
          <w:rFonts w:hint="eastAsia" w:ascii="宋体" w:hAnsi="宋体" w:cs="宋体"/>
          <w:color w:val="auto"/>
          <w:lang w:eastAsia="zh-CN"/>
        </w:rPr>
        <w:t>投标人</w:t>
      </w:r>
      <w:r>
        <w:rPr>
          <w:rFonts w:hint="eastAsia" w:ascii="宋体" w:hAnsi="宋体" w:eastAsia="宋体" w:cs="宋体"/>
          <w:color w:val="auto"/>
        </w:rPr>
        <w:t>对修正后的报价不予确认的；</w:t>
      </w:r>
    </w:p>
    <w:p w14:paraId="7ACE314D">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（2）评标委员会认为</w:t>
      </w:r>
      <w:r>
        <w:rPr>
          <w:rFonts w:hint="eastAsia" w:ascii="宋体" w:hAnsi="宋体" w:cs="宋体"/>
          <w:color w:val="auto"/>
          <w:lang w:eastAsia="zh-CN"/>
        </w:rPr>
        <w:t>投标人</w:t>
      </w:r>
      <w:r>
        <w:rPr>
          <w:rFonts w:hint="eastAsia" w:ascii="宋体" w:hAnsi="宋体" w:eastAsia="宋体" w:cs="宋体"/>
          <w:color w:val="auto"/>
        </w:rPr>
        <w:t>的报价明显低于其他通过符合性审查</w:t>
      </w:r>
      <w:r>
        <w:rPr>
          <w:rFonts w:hint="eastAsia" w:ascii="宋体" w:hAnsi="宋体" w:cs="宋体"/>
          <w:color w:val="auto"/>
          <w:lang w:eastAsia="zh-CN"/>
        </w:rPr>
        <w:t>投标人</w:t>
      </w:r>
      <w:r>
        <w:rPr>
          <w:rFonts w:hint="eastAsia" w:ascii="宋体" w:hAnsi="宋体" w:eastAsia="宋体" w:cs="宋体"/>
          <w:color w:val="auto"/>
        </w:rPr>
        <w:t>的报价，有可能影响产品质量或者不能诚信履约的，要求</w:t>
      </w:r>
      <w:r>
        <w:rPr>
          <w:rFonts w:hint="eastAsia" w:ascii="宋体" w:hAnsi="宋体" w:cs="宋体"/>
          <w:color w:val="auto"/>
          <w:lang w:eastAsia="zh-CN"/>
        </w:rPr>
        <w:t>投标人</w:t>
      </w:r>
      <w:r>
        <w:rPr>
          <w:rFonts w:hint="eastAsia" w:ascii="宋体" w:hAnsi="宋体" w:eastAsia="宋体" w:cs="宋体"/>
          <w:color w:val="auto"/>
        </w:rPr>
        <w:t>在评标现场合理的时间内提供书面说明（必要时提交相关证明材料），</w:t>
      </w:r>
      <w:r>
        <w:rPr>
          <w:rFonts w:hint="eastAsia" w:ascii="宋体" w:hAnsi="宋体" w:cs="宋体"/>
          <w:color w:val="auto"/>
          <w:lang w:eastAsia="zh-CN"/>
        </w:rPr>
        <w:t>投标人</w:t>
      </w:r>
      <w:r>
        <w:rPr>
          <w:rFonts w:hint="eastAsia" w:ascii="宋体" w:hAnsi="宋体" w:eastAsia="宋体" w:cs="宋体"/>
          <w:color w:val="auto"/>
        </w:rPr>
        <w:t>不能证明其报价合理性的。</w:t>
      </w:r>
    </w:p>
    <w:p w14:paraId="7430E77C">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77295D77">
      <w:pPr>
        <w:keepNext/>
        <w:spacing w:before="210" w:beforeLines="50" w:after="210" w:afterLines="50" w:line="360" w:lineRule="auto"/>
        <w:jc w:val="center"/>
        <w:outlineLvl w:val="3"/>
        <w:rPr>
          <w:rFonts w:hint="eastAsia" w:ascii="宋体" w:hAnsi="宋体" w:eastAsia="宋体" w:cs="宋体"/>
          <w:color w:val="auto"/>
          <w:sz w:val="32"/>
          <w:szCs w:val="32"/>
        </w:rPr>
      </w:pPr>
      <w:r>
        <w:rPr>
          <w:rFonts w:hint="eastAsia" w:ascii="宋体" w:hAnsi="宋体" w:eastAsia="宋体" w:cs="宋体"/>
          <w:color w:val="auto"/>
          <w:sz w:val="32"/>
          <w:szCs w:val="32"/>
        </w:rPr>
        <w:t>〖评审要素及分值一览表〗</w:t>
      </w:r>
    </w:p>
    <w:tbl>
      <w:tblPr>
        <w:tblStyle w:val="32"/>
        <w:tblW w:w="98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66"/>
        <w:gridCol w:w="933"/>
        <w:gridCol w:w="6300"/>
        <w:gridCol w:w="1723"/>
      </w:tblGrid>
      <w:tr w14:paraId="583DC4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3" w:hRule="atLeast"/>
          <w:jc w:val="center"/>
        </w:trPr>
        <w:tc>
          <w:tcPr>
            <w:tcW w:w="866" w:type="dxa"/>
            <w:vMerge w:val="restart"/>
            <w:tcBorders>
              <w:top w:val="single" w:color="auto" w:sz="12" w:space="0"/>
              <w:bottom w:val="single" w:color="auto" w:sz="2" w:space="0"/>
            </w:tcBorders>
            <w:shd w:val="clear" w:color="auto" w:fill="F1F1F1" w:themeFill="background1" w:themeFillShade="F2"/>
            <w:vAlign w:val="center"/>
          </w:tcPr>
          <w:p w14:paraId="02427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项别</w:t>
            </w:r>
          </w:p>
        </w:tc>
        <w:tc>
          <w:tcPr>
            <w:tcW w:w="933" w:type="dxa"/>
            <w:tcBorders>
              <w:top w:val="single" w:color="auto" w:sz="12" w:space="0"/>
              <w:bottom w:val="single" w:color="auto" w:sz="2" w:space="0"/>
            </w:tcBorders>
            <w:shd w:val="clear" w:color="auto" w:fill="F1F1F1" w:themeFill="background1" w:themeFillShade="F2"/>
            <w:vAlign w:val="center"/>
          </w:tcPr>
          <w:p w14:paraId="4E88F0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总分值</w:t>
            </w:r>
          </w:p>
        </w:tc>
        <w:tc>
          <w:tcPr>
            <w:tcW w:w="6300" w:type="dxa"/>
            <w:vMerge w:val="restart"/>
            <w:tcBorders>
              <w:top w:val="single" w:color="auto" w:sz="12" w:space="0"/>
              <w:bottom w:val="single" w:color="auto" w:sz="2" w:space="0"/>
            </w:tcBorders>
            <w:shd w:val="clear" w:color="auto" w:fill="F1F1F1" w:themeFill="background1" w:themeFillShade="F2"/>
            <w:vAlign w:val="center"/>
          </w:tcPr>
          <w:p w14:paraId="44D5C3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评审要素</w:t>
            </w:r>
          </w:p>
        </w:tc>
        <w:tc>
          <w:tcPr>
            <w:tcW w:w="1723" w:type="dxa"/>
            <w:vMerge w:val="restart"/>
            <w:tcBorders>
              <w:top w:val="single" w:color="auto" w:sz="12" w:space="0"/>
              <w:bottom w:val="single" w:color="auto" w:sz="2" w:space="0"/>
            </w:tcBorders>
            <w:shd w:val="clear" w:color="auto" w:fill="F1F1F1" w:themeFill="background1" w:themeFillShade="F2"/>
            <w:vAlign w:val="center"/>
          </w:tcPr>
          <w:p w14:paraId="26703E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p>
        </w:tc>
      </w:tr>
      <w:tr w14:paraId="113206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6" w:hRule="atLeast"/>
          <w:jc w:val="center"/>
        </w:trPr>
        <w:tc>
          <w:tcPr>
            <w:tcW w:w="866" w:type="dxa"/>
            <w:vMerge w:val="continue"/>
            <w:tcBorders>
              <w:top w:val="single" w:color="auto" w:sz="2" w:space="0"/>
              <w:bottom w:val="single" w:color="auto" w:sz="2" w:space="0"/>
            </w:tcBorders>
            <w:shd w:val="clear" w:color="auto" w:fill="F1F1F1" w:themeFill="background1" w:themeFillShade="F2"/>
            <w:vAlign w:val="center"/>
          </w:tcPr>
          <w:p w14:paraId="0137D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p>
        </w:tc>
        <w:tc>
          <w:tcPr>
            <w:tcW w:w="933" w:type="dxa"/>
            <w:tcBorders>
              <w:top w:val="single" w:color="auto" w:sz="2" w:space="0"/>
              <w:bottom w:val="single" w:color="auto" w:sz="2" w:space="0"/>
            </w:tcBorders>
            <w:shd w:val="clear" w:color="auto" w:fill="F1F1F1" w:themeFill="background1" w:themeFillShade="F2"/>
            <w:vAlign w:val="center"/>
          </w:tcPr>
          <w:p w14:paraId="691983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100</w:t>
            </w:r>
          </w:p>
        </w:tc>
        <w:tc>
          <w:tcPr>
            <w:tcW w:w="6300" w:type="dxa"/>
            <w:vMerge w:val="continue"/>
            <w:tcBorders>
              <w:top w:val="single" w:color="auto" w:sz="2" w:space="0"/>
              <w:bottom w:val="single" w:color="auto" w:sz="2" w:space="0"/>
            </w:tcBorders>
            <w:shd w:val="clear" w:color="auto" w:fill="F1F1F1" w:themeFill="background1" w:themeFillShade="F2"/>
            <w:vAlign w:val="center"/>
          </w:tcPr>
          <w:p w14:paraId="55B067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p>
        </w:tc>
        <w:tc>
          <w:tcPr>
            <w:tcW w:w="1723" w:type="dxa"/>
            <w:vMerge w:val="continue"/>
            <w:tcBorders>
              <w:top w:val="single" w:color="auto" w:sz="2" w:space="0"/>
              <w:bottom w:val="single" w:color="auto" w:sz="2" w:space="0"/>
            </w:tcBorders>
            <w:shd w:val="clear" w:color="auto" w:fill="F1F1F1" w:themeFill="background1" w:themeFillShade="F2"/>
            <w:vAlign w:val="center"/>
          </w:tcPr>
          <w:p w14:paraId="233119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p>
        </w:tc>
      </w:tr>
      <w:tr w14:paraId="190D98B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17" w:hRule="atLeast"/>
          <w:jc w:val="center"/>
        </w:trPr>
        <w:tc>
          <w:tcPr>
            <w:tcW w:w="866" w:type="dxa"/>
            <w:tcBorders>
              <w:top w:val="single" w:color="auto" w:sz="2" w:space="0"/>
            </w:tcBorders>
            <w:shd w:val="clear" w:color="auto" w:fill="auto"/>
            <w:vAlign w:val="center"/>
          </w:tcPr>
          <w:p w14:paraId="61CE99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r>
              <w:rPr>
                <w:rFonts w:hint="eastAsia" w:ascii="宋体" w:hAnsi="宋体" w:eastAsia="宋体" w:cs="宋体"/>
                <w:bCs/>
                <w:sz w:val="24"/>
                <w:szCs w:val="24"/>
              </w:rPr>
              <w:t>投标报价</w:t>
            </w:r>
          </w:p>
        </w:tc>
        <w:tc>
          <w:tcPr>
            <w:tcW w:w="933" w:type="dxa"/>
            <w:tcBorders>
              <w:top w:val="single" w:color="auto" w:sz="2" w:space="0"/>
            </w:tcBorders>
            <w:shd w:val="clear" w:color="auto" w:fill="auto"/>
            <w:vAlign w:val="center"/>
          </w:tcPr>
          <w:p w14:paraId="05717C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30</w:t>
            </w:r>
          </w:p>
        </w:tc>
        <w:tc>
          <w:tcPr>
            <w:tcW w:w="6300" w:type="dxa"/>
            <w:tcBorders>
              <w:top w:val="single" w:color="auto" w:sz="2" w:space="0"/>
            </w:tcBorders>
            <w:shd w:val="clear" w:color="auto" w:fill="auto"/>
            <w:vAlign w:val="center"/>
          </w:tcPr>
          <w:p w14:paraId="58CFF3F7">
            <w:pPr>
              <w:keepNext w:val="0"/>
              <w:keepLines w:val="0"/>
              <w:pageBreakBefore w:val="0"/>
              <w:widowControl/>
              <w:suppressLineNumbers w:val="0"/>
              <w:tabs>
                <w:tab w:val="left" w:pos="547"/>
              </w:tabs>
              <w:kinsoku/>
              <w:wordWrap/>
              <w:overflowPunct/>
              <w:topLinePunct w:val="0"/>
              <w:autoSpaceDE/>
              <w:autoSpaceDN/>
              <w:bidi w:val="0"/>
              <w:adjustRightInd/>
              <w:snapToGrid/>
              <w:spacing w:before="0" w:beforeAutospacing="0" w:after="0" w:afterAutospacing="0" w:line="440" w:lineRule="exact"/>
              <w:ind w:left="0" w:right="0" w:firstLine="422"/>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报价得分＝（基准价/投标报价）*30</w:t>
            </w:r>
          </w:p>
          <w:p w14:paraId="0191784D">
            <w:pPr>
              <w:keepNext w:val="0"/>
              <w:keepLines w:val="0"/>
              <w:pageBreakBefore w:val="0"/>
              <w:widowControl/>
              <w:suppressLineNumbers w:val="0"/>
              <w:tabs>
                <w:tab w:val="left" w:pos="547"/>
              </w:tabs>
              <w:kinsoku/>
              <w:wordWrap/>
              <w:overflowPunct/>
              <w:topLinePunct w:val="0"/>
              <w:autoSpaceDE/>
              <w:autoSpaceDN/>
              <w:bidi w:val="0"/>
              <w:adjustRightInd/>
              <w:snapToGrid/>
              <w:spacing w:before="0" w:beforeAutospacing="0" w:after="0" w:afterAutospacing="0" w:line="440" w:lineRule="exact"/>
              <w:ind w:left="0" w:right="0" w:firstLine="42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评标基准价为满足招标文件要求且投标价格最低的投标报价</w:t>
            </w:r>
          </w:p>
          <w:p w14:paraId="03E27366">
            <w:pPr>
              <w:keepNext w:val="0"/>
              <w:keepLines w:val="0"/>
              <w:pageBreakBefore w:val="0"/>
              <w:widowControl/>
              <w:suppressLineNumbers w:val="0"/>
              <w:tabs>
                <w:tab w:val="left" w:pos="547"/>
              </w:tabs>
              <w:kinsoku/>
              <w:wordWrap/>
              <w:overflowPunct/>
              <w:topLinePunct w:val="0"/>
              <w:autoSpaceDE/>
              <w:autoSpaceDN/>
              <w:bidi w:val="0"/>
              <w:adjustRightInd/>
              <w:snapToGrid/>
              <w:spacing w:before="0" w:beforeAutospacing="0" w:after="0" w:afterAutospacing="0" w:line="440" w:lineRule="exact"/>
              <w:ind w:left="0" w:right="0" w:firstLine="42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若投标单位的报价明显低于成本价，或报价明显无法达到服务要求，评标委员会有权要求投标单位做出报价澄清并提供相关证明，若在限定时间内无法澄清或无法出具合理的证明，经评标委员会二分之一以上成员认定，该报价为无效报价。</w:t>
            </w:r>
          </w:p>
          <w:p w14:paraId="43899AD9">
            <w:pPr>
              <w:keepNext w:val="0"/>
              <w:keepLines w:val="0"/>
              <w:pageBreakBefore w:val="0"/>
              <w:widowControl/>
              <w:suppressLineNumbers w:val="0"/>
              <w:tabs>
                <w:tab w:val="left" w:pos="547"/>
              </w:tabs>
              <w:kinsoku/>
              <w:wordWrap/>
              <w:overflowPunct/>
              <w:topLinePunct w:val="0"/>
              <w:autoSpaceDE/>
              <w:autoSpaceDN/>
              <w:bidi w:val="0"/>
              <w:adjustRightInd/>
              <w:snapToGrid/>
              <w:spacing w:before="0" w:beforeAutospacing="0" w:after="0" w:afterAutospacing="0" w:line="440" w:lineRule="exact"/>
              <w:ind w:left="0" w:right="0" w:firstLine="42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②符合招标文件规定的小微企业价格给予10%的扣除，用扣除后的价格参与评审。</w:t>
            </w:r>
          </w:p>
          <w:p w14:paraId="04688D5F">
            <w:pPr>
              <w:keepNext w:val="0"/>
              <w:keepLines w:val="0"/>
              <w:pageBreakBefore w:val="0"/>
              <w:widowControl/>
              <w:suppressLineNumbers w:val="0"/>
              <w:tabs>
                <w:tab w:val="left" w:pos="547"/>
              </w:tabs>
              <w:kinsoku/>
              <w:wordWrap/>
              <w:overflowPunct/>
              <w:topLinePunct w:val="0"/>
              <w:autoSpaceDE/>
              <w:autoSpaceDN/>
              <w:bidi w:val="0"/>
              <w:adjustRightInd/>
              <w:snapToGrid/>
              <w:spacing w:before="0" w:beforeAutospacing="0" w:after="0" w:afterAutospacing="0" w:line="440" w:lineRule="exact"/>
              <w:ind w:left="0" w:right="0" w:firstLine="42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③监狱、残疾人、福利企业企业优惠条件的投标单位，价格给予10%的扣除，用扣除后的价格参与评审。</w:t>
            </w:r>
          </w:p>
        </w:tc>
        <w:tc>
          <w:tcPr>
            <w:tcW w:w="1723" w:type="dxa"/>
            <w:tcBorders>
              <w:top w:val="single" w:color="auto" w:sz="2" w:space="0"/>
            </w:tcBorders>
            <w:shd w:val="clear" w:color="auto" w:fill="auto"/>
            <w:vAlign w:val="center"/>
          </w:tcPr>
          <w:p w14:paraId="5E782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sz w:val="24"/>
                <w:szCs w:val="24"/>
              </w:rPr>
            </w:pPr>
          </w:p>
        </w:tc>
      </w:tr>
      <w:tr w14:paraId="6386D83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1" w:hRule="atLeast"/>
          <w:jc w:val="center"/>
        </w:trPr>
        <w:tc>
          <w:tcPr>
            <w:tcW w:w="866" w:type="dxa"/>
            <w:shd w:val="clear" w:color="auto" w:fill="auto"/>
            <w:vAlign w:val="center"/>
          </w:tcPr>
          <w:p w14:paraId="429D6F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r>
              <w:rPr>
                <w:rFonts w:hint="eastAsia" w:ascii="宋体" w:hAnsi="宋体" w:eastAsia="宋体" w:cs="宋体"/>
                <w:bCs/>
                <w:sz w:val="24"/>
                <w:szCs w:val="24"/>
              </w:rPr>
              <w:t>技术参数</w:t>
            </w:r>
          </w:p>
        </w:tc>
        <w:tc>
          <w:tcPr>
            <w:tcW w:w="933" w:type="dxa"/>
            <w:shd w:val="clear" w:color="auto" w:fill="auto"/>
            <w:vAlign w:val="center"/>
          </w:tcPr>
          <w:p w14:paraId="418872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30</w:t>
            </w:r>
          </w:p>
        </w:tc>
        <w:tc>
          <w:tcPr>
            <w:tcW w:w="6300" w:type="dxa"/>
            <w:shd w:val="clear" w:color="auto" w:fill="auto"/>
            <w:vAlign w:val="center"/>
          </w:tcPr>
          <w:p w14:paraId="336B40BA">
            <w:pPr>
              <w:pStyle w:val="31"/>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ind w:left="0" w:leftChars="0" w:right="0" w:firstLine="480" w:firstLineChars="200"/>
              <w:jc w:val="left"/>
              <w:textAlignment w:val="baseline"/>
              <w:rPr>
                <w:rFonts w:hint="default" w:eastAsiaTheme="minorEastAsia"/>
                <w:highlight w:val="none"/>
                <w:lang w:val="en-US" w:eastAsia="zh-CN"/>
              </w:rPr>
            </w:pPr>
            <w:r>
              <w:rPr>
                <w:rFonts w:hint="default" w:eastAsiaTheme="minorEastAsia"/>
                <w:highlight w:val="none"/>
                <w:lang w:val="en-US" w:eastAsia="zh-CN"/>
              </w:rPr>
              <w:t>投标人</w:t>
            </w:r>
            <w:r>
              <w:rPr>
                <w:rFonts w:hint="eastAsia"/>
                <w:highlight w:val="none"/>
                <w:lang w:val="en-US" w:eastAsia="zh-CN"/>
              </w:rPr>
              <w:t>应如实填写“技术响应偏离表”，并</w:t>
            </w:r>
            <w:r>
              <w:rPr>
                <w:rFonts w:hint="default" w:eastAsiaTheme="minorEastAsia"/>
                <w:highlight w:val="none"/>
                <w:lang w:val="en-US" w:eastAsia="zh-CN"/>
              </w:rPr>
              <w:t>提供所投产品的</w:t>
            </w:r>
            <w:r>
              <w:rPr>
                <w:rFonts w:hint="eastAsia"/>
                <w:highlight w:val="none"/>
                <w:lang w:val="en-US" w:eastAsia="zh-CN"/>
              </w:rPr>
              <w:t>主要</w:t>
            </w:r>
            <w:r>
              <w:rPr>
                <w:rFonts w:hint="default" w:eastAsiaTheme="minorEastAsia"/>
                <w:highlight w:val="none"/>
                <w:lang w:val="en-US" w:eastAsia="zh-CN"/>
              </w:rPr>
              <w:t>技术指标（参数）的相应证明材料（包括但不限于产品检测报告、官网、公告和功能截图等</w:t>
            </w:r>
            <w:r>
              <w:rPr>
                <w:rFonts w:hint="eastAsia"/>
                <w:highlight w:val="none"/>
                <w:lang w:val="en-US" w:eastAsia="zh-CN"/>
              </w:rPr>
              <w:t>），</w:t>
            </w:r>
            <w:r>
              <w:rPr>
                <w:rFonts w:hint="default" w:eastAsiaTheme="minorEastAsia"/>
                <w:highlight w:val="none"/>
                <w:lang w:val="en-US" w:eastAsia="zh-CN"/>
              </w:rPr>
              <w:t>其他技术参数也应尽量提供证明材料，</w:t>
            </w:r>
            <w:r>
              <w:rPr>
                <w:rFonts w:hint="eastAsia"/>
                <w:highlight w:val="none"/>
                <w:lang w:val="en-US" w:eastAsia="zh-CN"/>
              </w:rPr>
              <w:t>证</w:t>
            </w:r>
            <w:r>
              <w:rPr>
                <w:rFonts w:hint="default" w:eastAsiaTheme="minorEastAsia"/>
                <w:highlight w:val="none"/>
                <w:lang w:val="en-US" w:eastAsia="zh-CN"/>
              </w:rPr>
              <w:t>明材料完全可以支撑并且全面体现所投设备参数性能。</w:t>
            </w:r>
          </w:p>
          <w:p w14:paraId="78854181">
            <w:pPr>
              <w:pStyle w:val="31"/>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ind w:left="0" w:leftChars="0" w:right="0" w:firstLine="480" w:firstLineChars="200"/>
              <w:jc w:val="left"/>
              <w:textAlignment w:val="baseline"/>
              <w:rPr>
                <w:rFonts w:hint="eastAsia"/>
                <w:highlight w:val="none"/>
                <w:lang w:val="en-US" w:eastAsia="zh-CN"/>
              </w:rPr>
            </w:pPr>
            <w:r>
              <w:rPr>
                <w:rFonts w:hint="default" w:eastAsiaTheme="minorEastAsia"/>
                <w:highlight w:val="none"/>
                <w:lang w:val="en-US" w:eastAsia="zh-CN"/>
              </w:rPr>
              <w:t>评标委员会参照“技术响应偏离表”</w:t>
            </w:r>
            <w:r>
              <w:rPr>
                <w:rFonts w:hint="eastAsia"/>
                <w:highlight w:val="none"/>
                <w:lang w:val="en-US" w:eastAsia="zh-CN"/>
              </w:rPr>
              <w:t>和投标人提供的证明材料</w:t>
            </w:r>
            <w:r>
              <w:rPr>
                <w:rFonts w:hint="default" w:eastAsiaTheme="minorEastAsia"/>
                <w:highlight w:val="none"/>
                <w:lang w:val="en-US" w:eastAsia="zh-CN"/>
              </w:rPr>
              <w:t>进行评分</w:t>
            </w:r>
            <w:r>
              <w:rPr>
                <w:rFonts w:hint="eastAsia"/>
                <w:highlight w:val="none"/>
                <w:lang w:val="en-US" w:eastAsia="zh-CN"/>
              </w:rPr>
              <w:t>。</w:t>
            </w:r>
          </w:p>
          <w:p w14:paraId="57023BB8">
            <w:pPr>
              <w:pStyle w:val="31"/>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ind w:left="0" w:leftChars="0" w:right="0" w:firstLine="480" w:firstLineChars="200"/>
              <w:jc w:val="left"/>
              <w:textAlignment w:val="baseline"/>
              <w:rPr>
                <w:rFonts w:hint="eastAsia"/>
                <w:highlight w:val="none"/>
                <w:lang w:val="en-US" w:eastAsia="zh-CN"/>
              </w:rPr>
            </w:pPr>
            <w:r>
              <w:rPr>
                <w:rFonts w:hint="eastAsia"/>
                <w:highlight w:val="none"/>
                <w:lang w:val="en-US" w:eastAsia="zh-CN"/>
              </w:rPr>
              <w:t>投标产品技术参数</w:t>
            </w:r>
            <w:r>
              <w:rPr>
                <w:rFonts w:hint="default" w:eastAsiaTheme="minorEastAsia"/>
                <w:highlight w:val="none"/>
                <w:lang w:val="en-US" w:eastAsia="zh-CN"/>
              </w:rPr>
              <w:t>完全符合/无偏离采购文件要求得</w:t>
            </w:r>
            <w:r>
              <w:rPr>
                <w:rFonts w:hint="eastAsia"/>
                <w:highlight w:val="none"/>
                <w:lang w:val="en-US" w:eastAsia="zh-CN"/>
              </w:rPr>
              <w:t>30</w:t>
            </w:r>
            <w:r>
              <w:rPr>
                <w:rFonts w:hint="default" w:eastAsiaTheme="minorEastAsia"/>
                <w:highlight w:val="none"/>
                <w:lang w:val="en-US" w:eastAsia="zh-CN"/>
              </w:rPr>
              <w:t>分</w:t>
            </w:r>
            <w:r>
              <w:rPr>
                <w:rFonts w:hint="eastAsia"/>
                <w:highlight w:val="none"/>
                <w:lang w:val="en-US" w:eastAsia="zh-CN"/>
              </w:rPr>
              <w:t>；</w:t>
            </w:r>
          </w:p>
          <w:p w14:paraId="4EBC87FA">
            <w:pPr>
              <w:pStyle w:val="31"/>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ind w:left="0" w:leftChars="0" w:right="0" w:firstLine="480" w:firstLineChars="200"/>
              <w:jc w:val="left"/>
              <w:textAlignment w:val="baseline"/>
              <w:rPr>
                <w:rFonts w:hint="default" w:eastAsiaTheme="minorEastAsia"/>
                <w:highlight w:val="none"/>
                <w:lang w:val="en-US" w:eastAsia="zh-CN"/>
              </w:rPr>
            </w:pPr>
            <w:r>
              <w:rPr>
                <w:rFonts w:hint="eastAsia"/>
                <w:highlight w:val="none"/>
                <w:lang w:val="en-US" w:eastAsia="zh-CN"/>
              </w:rPr>
              <w:t>投标产品“★”参数每低于/负偏离一项扣2分，“▲”参数每低于/</w:t>
            </w:r>
            <w:r>
              <w:rPr>
                <w:rFonts w:hint="default" w:eastAsiaTheme="minorEastAsia"/>
                <w:highlight w:val="none"/>
                <w:lang w:val="en-US" w:eastAsia="zh-CN"/>
              </w:rPr>
              <w:t>负偏离一项扣</w:t>
            </w:r>
            <w:r>
              <w:rPr>
                <w:rFonts w:hint="eastAsia"/>
                <w:highlight w:val="none"/>
                <w:lang w:val="en-US" w:eastAsia="zh-CN"/>
              </w:rPr>
              <w:t>1.5</w:t>
            </w:r>
            <w:r>
              <w:rPr>
                <w:rFonts w:hint="default" w:eastAsiaTheme="minorEastAsia"/>
                <w:highlight w:val="none"/>
                <w:lang w:val="en-US" w:eastAsia="zh-CN"/>
              </w:rPr>
              <w:t>分，一般参数负偏离一项扣1分，扣完为止</w:t>
            </w:r>
            <w:r>
              <w:rPr>
                <w:rFonts w:hint="eastAsia"/>
                <w:highlight w:val="none"/>
                <w:lang w:val="en-US" w:eastAsia="zh-CN"/>
              </w:rPr>
              <w:t>；</w:t>
            </w:r>
          </w:p>
        </w:tc>
        <w:tc>
          <w:tcPr>
            <w:tcW w:w="1723" w:type="dxa"/>
            <w:shd w:val="clear" w:color="auto" w:fill="auto"/>
            <w:vAlign w:val="center"/>
          </w:tcPr>
          <w:p w14:paraId="07C7E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投标人应尽可能多提供相关佐证材料，未提供或不齐全将存在负偏离风险。</w:t>
            </w:r>
          </w:p>
        </w:tc>
      </w:tr>
      <w:tr w14:paraId="74DE8B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6" w:type="dxa"/>
            <w:shd w:val="clear" w:color="auto" w:fill="auto"/>
            <w:vAlign w:val="center"/>
          </w:tcPr>
          <w:p w14:paraId="340F10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实施方案</w:t>
            </w:r>
          </w:p>
        </w:tc>
        <w:tc>
          <w:tcPr>
            <w:tcW w:w="933" w:type="dxa"/>
            <w:shd w:val="clear" w:color="auto" w:fill="auto"/>
            <w:vAlign w:val="center"/>
          </w:tcPr>
          <w:p w14:paraId="7755AE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jc w:val="center"/>
              <w:textAlignment w:val="auto"/>
              <w:rPr>
                <w:rFonts w:hint="default" w:ascii="宋体" w:hAnsi="宋体" w:eastAsia="宋体" w:cs="宋体"/>
                <w:bCs/>
                <w:sz w:val="24"/>
                <w:szCs w:val="24"/>
                <w:lang w:val="en-US" w:eastAsia="zh-CN" w:bidi="ar-SA"/>
              </w:rPr>
            </w:pPr>
            <w:r>
              <w:rPr>
                <w:rFonts w:hint="eastAsia" w:ascii="宋体" w:hAnsi="宋体" w:eastAsia="宋体" w:cs="宋体"/>
                <w:bCs/>
                <w:sz w:val="24"/>
                <w:szCs w:val="24"/>
                <w:lang w:val="en-US" w:eastAsia="zh-CN"/>
              </w:rPr>
              <w:t>12</w:t>
            </w:r>
          </w:p>
        </w:tc>
        <w:tc>
          <w:tcPr>
            <w:tcW w:w="6300" w:type="dxa"/>
            <w:shd w:val="clear" w:color="auto" w:fill="auto"/>
            <w:vAlign w:val="center"/>
          </w:tcPr>
          <w:p w14:paraId="0480CE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根据投标人针对本项目制定的实施方案响应情况进行赋分</w:t>
            </w:r>
            <w:r>
              <w:rPr>
                <w:rFonts w:hint="eastAsia" w:ascii="宋体" w:hAnsi="宋体" w:eastAsia="宋体" w:cs="宋体"/>
                <w:sz w:val="24"/>
                <w:szCs w:val="24"/>
                <w:highlight w:val="none"/>
                <w:lang w:eastAsia="zh-CN"/>
              </w:rPr>
              <w:t>，方案内容</w:t>
            </w:r>
            <w:r>
              <w:rPr>
                <w:rFonts w:hint="eastAsia" w:ascii="宋体" w:hAnsi="宋体" w:eastAsia="宋体" w:cs="宋体"/>
                <w:sz w:val="24"/>
                <w:szCs w:val="24"/>
                <w:highlight w:val="none"/>
              </w:rPr>
              <w:t>包括</w:t>
            </w:r>
            <w:r>
              <w:rPr>
                <w:rFonts w:hint="eastAsia" w:ascii="宋体" w:hAnsi="宋体" w:eastAsia="宋体" w:cs="宋体"/>
                <w:sz w:val="24"/>
                <w:szCs w:val="24"/>
                <w:highlight w:val="none"/>
                <w:lang w:val="en-US" w:eastAsia="zh-CN"/>
              </w:rPr>
              <w:t>①</w:t>
            </w:r>
            <w:r>
              <w:rPr>
                <w:rFonts w:hint="eastAsia" w:ascii="宋体" w:hAnsi="宋体" w:eastAsia="宋体" w:cs="宋体"/>
                <w:sz w:val="24"/>
                <w:szCs w:val="24"/>
                <w:highlight w:val="none"/>
              </w:rPr>
              <w:t>项目整体目标</w:t>
            </w: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供货</w:t>
            </w:r>
            <w:r>
              <w:rPr>
                <w:rFonts w:hint="eastAsia" w:ascii="宋体" w:hAnsi="宋体" w:eastAsia="宋体" w:cs="宋体"/>
                <w:sz w:val="24"/>
                <w:szCs w:val="24"/>
                <w:highlight w:val="none"/>
                <w:lang w:eastAsia="zh-CN"/>
              </w:rPr>
              <w:t>进度</w:t>
            </w:r>
            <w:r>
              <w:rPr>
                <w:rFonts w:hint="eastAsia" w:ascii="宋体" w:hAnsi="宋体" w:eastAsia="宋体" w:cs="宋体"/>
                <w:sz w:val="24"/>
                <w:szCs w:val="24"/>
                <w:highlight w:val="none"/>
              </w:rPr>
              <w:t>计划</w:t>
            </w: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安装</w:t>
            </w:r>
            <w:r>
              <w:rPr>
                <w:rFonts w:hint="eastAsia" w:ascii="宋体" w:hAnsi="宋体" w:eastAsia="宋体" w:cs="宋体"/>
                <w:sz w:val="24"/>
                <w:szCs w:val="24"/>
                <w:highlight w:val="none"/>
                <w:lang w:val="en-US" w:eastAsia="zh-CN"/>
              </w:rPr>
              <w:t>运输</w:t>
            </w:r>
            <w:r>
              <w:rPr>
                <w:rFonts w:hint="eastAsia" w:ascii="宋体" w:hAnsi="宋体" w:eastAsia="宋体" w:cs="宋体"/>
                <w:sz w:val="24"/>
                <w:szCs w:val="24"/>
                <w:highlight w:val="none"/>
              </w:rPr>
              <w:t>调试</w:t>
            </w:r>
            <w:r>
              <w:rPr>
                <w:rFonts w:hint="eastAsia" w:ascii="宋体" w:hAnsi="宋体" w:eastAsia="宋体" w:cs="宋体"/>
                <w:sz w:val="24"/>
                <w:szCs w:val="24"/>
                <w:highlight w:val="none"/>
                <w:lang w:eastAsia="zh-CN"/>
              </w:rPr>
              <w:t>方案</w:t>
            </w:r>
            <w:r>
              <w:rPr>
                <w:rFonts w:hint="eastAsia" w:ascii="宋体" w:hAnsi="宋体" w:eastAsia="宋体" w:cs="宋体"/>
                <w:sz w:val="24"/>
                <w:szCs w:val="24"/>
                <w:highlight w:val="none"/>
                <w:lang w:val="en-US" w:eastAsia="zh-CN"/>
              </w:rPr>
              <w:t>④人员配备⑤</w:t>
            </w:r>
            <w:r>
              <w:rPr>
                <w:rFonts w:hint="eastAsia" w:ascii="宋体" w:hAnsi="宋体" w:eastAsia="宋体" w:cs="宋体"/>
                <w:sz w:val="24"/>
                <w:szCs w:val="24"/>
                <w:highlight w:val="none"/>
              </w:rPr>
              <w:t>物流保障</w:t>
            </w:r>
            <w:r>
              <w:rPr>
                <w:rFonts w:hint="eastAsia" w:ascii="宋体" w:hAnsi="宋体" w:eastAsia="宋体" w:cs="宋体"/>
                <w:sz w:val="24"/>
                <w:szCs w:val="24"/>
                <w:highlight w:val="none"/>
                <w:lang w:eastAsia="zh-CN"/>
              </w:rPr>
              <w:t>措施；</w:t>
            </w:r>
          </w:p>
          <w:p w14:paraId="1E25B8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方案各部分内容全面详细、阐述条例清晰详尽、符合本项目采购需求得12分；评审内容每缺一项扣2.4分；评审内容有缺陷未完全响应评审标准的扣1-2分。</w:t>
            </w:r>
          </w:p>
        </w:tc>
        <w:tc>
          <w:tcPr>
            <w:tcW w:w="1723" w:type="dxa"/>
            <w:shd w:val="clear" w:color="auto" w:fill="auto"/>
            <w:vAlign w:val="center"/>
          </w:tcPr>
          <w:p w14:paraId="46AF49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sz w:val="24"/>
                <w:szCs w:val="24"/>
              </w:rPr>
            </w:pPr>
          </w:p>
        </w:tc>
      </w:tr>
      <w:tr w14:paraId="2A2ADE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6" w:type="dxa"/>
            <w:shd w:val="clear" w:color="auto" w:fill="auto"/>
            <w:vAlign w:val="center"/>
          </w:tcPr>
          <w:p w14:paraId="604B98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r>
              <w:rPr>
                <w:rFonts w:hint="eastAsia" w:ascii="宋体" w:hAnsi="宋体" w:eastAsia="宋体" w:cs="宋体"/>
                <w:bCs/>
                <w:sz w:val="24"/>
                <w:szCs w:val="24"/>
              </w:rPr>
              <w:t>应急处理</w:t>
            </w:r>
          </w:p>
          <w:p w14:paraId="08982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r>
              <w:rPr>
                <w:rFonts w:hint="eastAsia" w:ascii="宋体" w:hAnsi="宋体" w:eastAsia="宋体" w:cs="宋体"/>
                <w:bCs/>
                <w:sz w:val="24"/>
                <w:szCs w:val="24"/>
              </w:rPr>
              <w:t>方案</w:t>
            </w:r>
          </w:p>
        </w:tc>
        <w:tc>
          <w:tcPr>
            <w:tcW w:w="933" w:type="dxa"/>
            <w:shd w:val="clear" w:color="auto" w:fill="auto"/>
            <w:vAlign w:val="center"/>
          </w:tcPr>
          <w:p w14:paraId="2A65BE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8</w:t>
            </w:r>
          </w:p>
        </w:tc>
        <w:tc>
          <w:tcPr>
            <w:tcW w:w="6300" w:type="dxa"/>
            <w:shd w:val="clear" w:color="auto" w:fill="auto"/>
            <w:vAlign w:val="center"/>
          </w:tcPr>
          <w:p w14:paraId="59BAF4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投标人针对本项目提出具体的应急处理方案，方案内容包含：①</w:t>
            </w:r>
            <w:r>
              <w:rPr>
                <w:rFonts w:hint="eastAsia" w:ascii="宋体" w:hAnsi="宋体" w:eastAsia="宋体" w:cs="宋体"/>
                <w:sz w:val="24"/>
                <w:szCs w:val="24"/>
                <w:highlight w:val="none"/>
                <w:lang w:val="en-US" w:eastAsia="zh-CN"/>
              </w:rPr>
              <w:t>突发应急预案②应急响应承诺</w:t>
            </w:r>
            <w:r>
              <w:rPr>
                <w:rFonts w:hint="eastAsia" w:ascii="宋体" w:hAnsi="宋体" w:eastAsia="宋体" w:cs="宋体"/>
                <w:sz w:val="24"/>
                <w:szCs w:val="24"/>
                <w:highlight w:val="none"/>
                <w:lang w:eastAsia="zh-CN"/>
              </w:rPr>
              <w:t>；</w:t>
            </w:r>
          </w:p>
          <w:p w14:paraId="38ED0B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方案各部分内容全面详细、阐述条理清晰详尽、符合本项目采购需求得8分；评审内容每缺一项扣4分，评审内容有缺陷未完全响应评审标准的扣1-3分。</w:t>
            </w:r>
          </w:p>
        </w:tc>
        <w:tc>
          <w:tcPr>
            <w:tcW w:w="1723" w:type="dxa"/>
            <w:shd w:val="clear" w:color="auto" w:fill="auto"/>
            <w:vAlign w:val="center"/>
          </w:tcPr>
          <w:p w14:paraId="602D89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sz w:val="24"/>
                <w:szCs w:val="24"/>
              </w:rPr>
            </w:pPr>
          </w:p>
        </w:tc>
      </w:tr>
      <w:tr w14:paraId="0BE48D4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6" w:type="dxa"/>
            <w:shd w:val="clear" w:color="auto" w:fill="auto"/>
            <w:vAlign w:val="center"/>
          </w:tcPr>
          <w:p w14:paraId="055ABD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r>
              <w:rPr>
                <w:rFonts w:hint="eastAsia" w:ascii="宋体" w:hAnsi="宋体" w:eastAsia="宋体" w:cs="宋体"/>
                <w:bCs/>
                <w:sz w:val="24"/>
                <w:szCs w:val="24"/>
              </w:rPr>
              <w:t>质量保证</w:t>
            </w:r>
          </w:p>
        </w:tc>
        <w:tc>
          <w:tcPr>
            <w:tcW w:w="933" w:type="dxa"/>
            <w:shd w:val="clear" w:color="auto" w:fill="auto"/>
            <w:vAlign w:val="center"/>
          </w:tcPr>
          <w:p w14:paraId="710945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8</w:t>
            </w:r>
          </w:p>
        </w:tc>
        <w:tc>
          <w:tcPr>
            <w:tcW w:w="6300" w:type="dxa"/>
            <w:shd w:val="clear" w:color="auto" w:fill="auto"/>
            <w:vAlign w:val="center"/>
          </w:tcPr>
          <w:p w14:paraId="6BAF44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产品供应渠道正常，无假货、水货，无不良市场反馈，检验手续合法有效、无产权纠纷，投标人提供产品渠道合法的证明文件，</w:t>
            </w:r>
            <w:r>
              <w:rPr>
                <w:rFonts w:hint="eastAsia" w:ascii="宋体" w:hAnsi="宋体" w:eastAsia="宋体" w:cs="宋体"/>
                <w:sz w:val="24"/>
                <w:szCs w:val="24"/>
                <w:highlight w:val="none"/>
                <w:lang w:val="en-US" w:eastAsia="zh-CN"/>
              </w:rPr>
              <w:t>包括但不限于厂家授权书、系统的计算机软件著作权证书等，齐全计（6-8]分，资料比较齐全或表述基本一致计（3-6]分，资料短缺、表述不一致或未提供计[0-3]分。</w:t>
            </w:r>
          </w:p>
        </w:tc>
        <w:tc>
          <w:tcPr>
            <w:tcW w:w="1723" w:type="dxa"/>
            <w:shd w:val="clear" w:color="auto" w:fill="auto"/>
            <w:vAlign w:val="center"/>
          </w:tcPr>
          <w:p w14:paraId="426613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sz w:val="24"/>
                <w:szCs w:val="24"/>
              </w:rPr>
            </w:pPr>
          </w:p>
        </w:tc>
      </w:tr>
      <w:tr w14:paraId="63A7CC0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6" w:type="dxa"/>
            <w:shd w:val="clear" w:color="auto" w:fill="auto"/>
            <w:vAlign w:val="center"/>
          </w:tcPr>
          <w:p w14:paraId="17CECD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r>
              <w:rPr>
                <w:rFonts w:hint="eastAsia" w:ascii="宋体" w:hAnsi="宋体" w:eastAsia="宋体" w:cs="宋体"/>
                <w:bCs/>
                <w:sz w:val="24"/>
                <w:szCs w:val="24"/>
              </w:rPr>
              <w:t>售后服务</w:t>
            </w:r>
          </w:p>
          <w:p w14:paraId="42164D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r>
              <w:rPr>
                <w:rFonts w:hint="eastAsia" w:ascii="宋体" w:hAnsi="宋体" w:eastAsia="宋体" w:cs="宋体"/>
                <w:bCs/>
                <w:sz w:val="24"/>
                <w:szCs w:val="24"/>
              </w:rPr>
              <w:t>方案</w:t>
            </w:r>
          </w:p>
        </w:tc>
        <w:tc>
          <w:tcPr>
            <w:tcW w:w="933" w:type="dxa"/>
            <w:shd w:val="clear" w:color="auto" w:fill="auto"/>
            <w:vAlign w:val="center"/>
          </w:tcPr>
          <w:p w14:paraId="4C02A5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6300" w:type="dxa"/>
            <w:shd w:val="clear" w:color="auto" w:fill="auto"/>
            <w:vAlign w:val="center"/>
          </w:tcPr>
          <w:p w14:paraId="6D217C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投标人针对本项目提出具体的售后服务方案，方案内容包含：①售后服务人员组织</w:t>
            </w: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lang w:eastAsia="zh-CN"/>
              </w:rPr>
              <w:t>售后服务保障措施</w:t>
            </w: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产品交付采购方后出现质量问题的响应时间</w:t>
            </w:r>
            <w:r>
              <w:rPr>
                <w:rFonts w:hint="eastAsia" w:ascii="宋体" w:hAnsi="宋体" w:eastAsia="宋体" w:cs="宋体"/>
                <w:sz w:val="24"/>
                <w:szCs w:val="24"/>
                <w:highlight w:val="none"/>
                <w:lang w:val="en-US" w:eastAsia="zh-CN"/>
              </w:rPr>
              <w:t>④对所投产品的培训计划及方案⑤</w:t>
            </w:r>
            <w:r>
              <w:rPr>
                <w:rFonts w:hint="eastAsia" w:ascii="宋体" w:hAnsi="宋体" w:eastAsia="宋体" w:cs="宋体"/>
                <w:sz w:val="24"/>
                <w:szCs w:val="24"/>
                <w:highlight w:val="none"/>
              </w:rPr>
              <w:t>售后服务</w:t>
            </w:r>
            <w:r>
              <w:rPr>
                <w:rFonts w:hint="eastAsia" w:ascii="宋体" w:hAnsi="宋体" w:eastAsia="宋体" w:cs="宋体"/>
                <w:sz w:val="24"/>
                <w:szCs w:val="24"/>
                <w:highlight w:val="none"/>
                <w:lang w:eastAsia="zh-CN"/>
              </w:rPr>
              <w:t>承诺；</w:t>
            </w:r>
          </w:p>
          <w:p w14:paraId="1B215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方案各部分内容全面详细、阐述条理清晰详尽、符合本项目采购需求得5分；评审内容每缺一项扣1分，评审内容有缺陷未完全响应评审标准的扣0.5-1分。</w:t>
            </w:r>
          </w:p>
        </w:tc>
        <w:tc>
          <w:tcPr>
            <w:tcW w:w="1723" w:type="dxa"/>
            <w:shd w:val="clear" w:color="auto" w:fill="auto"/>
            <w:vAlign w:val="center"/>
          </w:tcPr>
          <w:p w14:paraId="7C3FF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sz w:val="24"/>
                <w:szCs w:val="24"/>
              </w:rPr>
            </w:pPr>
          </w:p>
        </w:tc>
      </w:tr>
      <w:tr w14:paraId="2228E5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6" w:type="dxa"/>
            <w:shd w:val="clear" w:color="auto" w:fill="auto"/>
            <w:vAlign w:val="center"/>
          </w:tcPr>
          <w:p w14:paraId="37252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节能环保</w:t>
            </w:r>
          </w:p>
        </w:tc>
        <w:tc>
          <w:tcPr>
            <w:tcW w:w="933" w:type="dxa"/>
            <w:shd w:val="clear" w:color="auto" w:fill="auto"/>
            <w:vAlign w:val="center"/>
          </w:tcPr>
          <w:p w14:paraId="3AD63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2</w:t>
            </w:r>
          </w:p>
        </w:tc>
        <w:tc>
          <w:tcPr>
            <w:tcW w:w="6300" w:type="dxa"/>
            <w:shd w:val="clear" w:color="auto" w:fill="auto"/>
            <w:vAlign w:val="center"/>
          </w:tcPr>
          <w:p w14:paraId="4BFAA0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投标产品中每有一项为节能产品的得0.5分，每有一项为环境标志产品的得0.5分，</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所投产品中每有一项产品同时为节能产品和环境标志产品的得1分，最多得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分。（须提供相应产品的国家确定的认证机构出具的、处于有效期内的节能产品、环境标志产品认证证书）</w:t>
            </w:r>
          </w:p>
        </w:tc>
        <w:tc>
          <w:tcPr>
            <w:tcW w:w="1723" w:type="dxa"/>
            <w:shd w:val="clear" w:color="auto" w:fill="auto"/>
            <w:vAlign w:val="center"/>
          </w:tcPr>
          <w:p w14:paraId="7A679E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sz w:val="24"/>
                <w:szCs w:val="24"/>
              </w:rPr>
            </w:pPr>
          </w:p>
        </w:tc>
      </w:tr>
      <w:tr w14:paraId="12DACF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6" w:type="dxa"/>
            <w:shd w:val="clear" w:color="auto" w:fill="auto"/>
            <w:vAlign w:val="center"/>
          </w:tcPr>
          <w:p w14:paraId="18543B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sz w:val="24"/>
                <w:szCs w:val="24"/>
              </w:rPr>
            </w:pPr>
            <w:r>
              <w:rPr>
                <w:rFonts w:hint="eastAsia" w:ascii="宋体" w:hAnsi="宋体" w:eastAsia="宋体" w:cs="宋体"/>
                <w:bCs/>
                <w:sz w:val="24"/>
                <w:szCs w:val="24"/>
              </w:rPr>
              <w:t>业绩</w:t>
            </w:r>
          </w:p>
        </w:tc>
        <w:tc>
          <w:tcPr>
            <w:tcW w:w="933" w:type="dxa"/>
            <w:shd w:val="clear" w:color="auto" w:fill="auto"/>
            <w:vAlign w:val="center"/>
          </w:tcPr>
          <w:p w14:paraId="4013B9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6300" w:type="dxa"/>
            <w:shd w:val="clear" w:color="auto" w:fill="auto"/>
            <w:vAlign w:val="center"/>
          </w:tcPr>
          <w:p w14:paraId="67BF1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w:t>
            </w:r>
            <w:r>
              <w:rPr>
                <w:rFonts w:hint="eastAsia" w:ascii="宋体" w:hAnsi="宋体" w:eastAsia="宋体" w:cs="宋体"/>
                <w:sz w:val="24"/>
                <w:szCs w:val="24"/>
                <w:highlight w:val="none"/>
                <w:lang w:val="en-US" w:eastAsia="zh-CN"/>
              </w:rPr>
              <w:t>2021年1月1日</w:t>
            </w:r>
            <w:r>
              <w:rPr>
                <w:rFonts w:hint="eastAsia" w:ascii="宋体" w:hAnsi="宋体" w:eastAsia="宋体" w:cs="宋体"/>
                <w:sz w:val="24"/>
                <w:szCs w:val="24"/>
                <w:highlight w:val="none"/>
              </w:rPr>
              <w:t>以来类似项目的业绩证明文件（即合同</w:t>
            </w:r>
            <w:r>
              <w:rPr>
                <w:rFonts w:hint="eastAsia" w:ascii="宋体" w:hAnsi="宋体" w:eastAsia="宋体" w:cs="宋体"/>
                <w:sz w:val="24"/>
                <w:szCs w:val="24"/>
                <w:highlight w:val="none"/>
                <w:lang w:val="en-US" w:eastAsia="zh-CN"/>
              </w:rPr>
              <w:t>或中标通知书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以合同签订时间或中标通知书落款时间为准</w:t>
            </w:r>
            <w:r>
              <w:rPr>
                <w:rFonts w:hint="eastAsia" w:ascii="宋体" w:hAnsi="宋体" w:eastAsia="宋体" w:cs="宋体"/>
                <w:sz w:val="24"/>
                <w:szCs w:val="24"/>
                <w:highlight w:val="none"/>
              </w:rPr>
              <w:t>），评审时以投标文件中的扫描件为计分依据，每出具一份业绩证明文件得</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分，满分</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1723" w:type="dxa"/>
            <w:shd w:val="clear" w:color="auto" w:fill="auto"/>
            <w:vAlign w:val="center"/>
          </w:tcPr>
          <w:p w14:paraId="2B53A6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sz w:val="24"/>
                <w:szCs w:val="24"/>
              </w:rPr>
            </w:pPr>
          </w:p>
        </w:tc>
      </w:tr>
      <w:tr w14:paraId="0D396F9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6" w:type="dxa"/>
            <w:shd w:val="clear" w:color="auto" w:fill="auto"/>
            <w:vAlign w:val="center"/>
          </w:tcPr>
          <w:p w14:paraId="5C48D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sz w:val="24"/>
                <w:szCs w:val="24"/>
              </w:rPr>
            </w:pPr>
            <w:r>
              <w:rPr>
                <w:rFonts w:hint="eastAsia" w:ascii="宋体" w:hAnsi="宋体" w:eastAsia="宋体" w:cs="宋体"/>
                <w:sz w:val="24"/>
                <w:szCs w:val="24"/>
              </w:rPr>
              <w:t>说明</w:t>
            </w:r>
          </w:p>
        </w:tc>
        <w:tc>
          <w:tcPr>
            <w:tcW w:w="8956" w:type="dxa"/>
            <w:gridSpan w:val="3"/>
            <w:shd w:val="clear" w:color="auto" w:fill="auto"/>
            <w:vAlign w:val="center"/>
          </w:tcPr>
          <w:p w14:paraId="511D1A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1．评标委员会成员必须按照本评审要素据实打分，各类数字计算均按“四舍五入”保留小数点后两位；</w:t>
            </w:r>
          </w:p>
          <w:p w14:paraId="6D724A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sz w:val="24"/>
                <w:szCs w:val="24"/>
              </w:rPr>
              <w:t>2．本表分值区间符号“［”、“］”表示包含本数，“（”、“）”表示不包含本数。</w:t>
            </w:r>
          </w:p>
        </w:tc>
      </w:tr>
    </w:tbl>
    <w:p w14:paraId="22405305">
      <w:pPr>
        <w:rPr>
          <w:rFonts w:hint="eastAsia" w:ascii="宋体" w:hAnsi="宋体" w:eastAsia="宋体" w:cs="宋体"/>
          <w:b/>
        </w:rPr>
      </w:pPr>
      <w:r>
        <w:rPr>
          <w:rFonts w:hint="eastAsia" w:ascii="宋体" w:hAnsi="宋体" w:eastAsia="宋体" w:cs="宋体"/>
          <w:b/>
        </w:rPr>
        <w:br w:type="page"/>
      </w:r>
    </w:p>
    <w:p w14:paraId="462309C3">
      <w:pPr>
        <w:pStyle w:val="3"/>
        <w:spacing w:before="210" w:after="210" w:line="360" w:lineRule="auto"/>
        <w:rPr>
          <w:rFonts w:hint="eastAsia" w:ascii="宋体" w:hAnsi="宋体" w:eastAsia="宋体" w:cs="宋体"/>
        </w:rPr>
      </w:pPr>
      <w:bookmarkStart w:id="10" w:name="_Toc100219614"/>
      <w:r>
        <w:rPr>
          <w:rFonts w:hint="eastAsia" w:ascii="宋体" w:hAnsi="宋体" w:eastAsia="宋体" w:cs="宋体"/>
        </w:rPr>
        <w:t>第三章　招标内容及要求</w:t>
      </w:r>
      <w:bookmarkEnd w:id="10"/>
    </w:p>
    <w:p w14:paraId="76EAE716">
      <w:pPr>
        <w:bidi w:val="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商务要求★</w:t>
      </w:r>
    </w:p>
    <w:p w14:paraId="11678DC1">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1、交货地点：采购人指定地点</w:t>
      </w:r>
    </w:p>
    <w:p w14:paraId="1937DA6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2、交货期：合同签订后30日历天</w:t>
      </w:r>
    </w:p>
    <w:p w14:paraId="63ADD71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3、质保期：自验收合格后两年</w:t>
      </w:r>
    </w:p>
    <w:p w14:paraId="4EE99B27">
      <w:pPr>
        <w:keepNext w:val="0"/>
        <w:keepLines w:val="0"/>
        <w:pageBreakBefore w:val="0"/>
        <w:widowControl w:val="0"/>
        <w:kinsoku/>
        <w:wordWrap/>
        <w:overflowPunct/>
        <w:topLinePunct/>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二、技术（服务）要求★</w:t>
      </w:r>
    </w:p>
    <w:p w14:paraId="316000A7">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（一）包装、运输、安装、调试及培训要求：</w:t>
      </w:r>
    </w:p>
    <w:p w14:paraId="1CFCF9AA">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1、包装：应采取防潮、防晒、防腐蚀、防震动及防止其它损坏的必要措施。中标人应承担由于其包装或防护措施不妥而引起的货物锈蚀、损坏和丢失等任何损失造成的责任或费用。 </w:t>
      </w:r>
    </w:p>
    <w:p w14:paraId="2CCF41A6">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2、运输：选择运输风险小、运费低、距离短的运输路线。运杂费一次包死在总价内，包括生产厂到施工现场所需的装卸、运输（含保险费）、现场保管费、二次倒运费、吊装费等费用。 </w:t>
      </w:r>
    </w:p>
    <w:p w14:paraId="1D93484D">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安装、调试及培训：中标人负责所有设备的安装、调试、培训工作，所有费用一次包死在总价内。每套设备安装调试完毕后，中标人必须安排技术人员对使用单位的设备管理人员进行操作应用及维护保养方面的技能培训，使其掌握基本技能。</w:t>
      </w:r>
    </w:p>
    <w:p w14:paraId="50BED962">
      <w:pPr>
        <w:pStyle w:val="5"/>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（二）验收要求：</w:t>
      </w:r>
    </w:p>
    <w:p w14:paraId="10AFC5FA">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1、产品运抵采购人所在地现场后，采购人与中标人共同验收，验收结果双方认可。</w:t>
      </w:r>
    </w:p>
    <w:p w14:paraId="5BD87D27">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2、必须保证投标商品的完整性，能满足全部功能的使用。</w:t>
      </w:r>
    </w:p>
    <w:p w14:paraId="74024A5B">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的产品（技术指标除另作规定外）均应符合行业相关标准。必须对供货的的商品进行检验。由采购人组织验收，并出具验收结果和意见，中标人负责向验收组提交验收所需文件和相关资料（如检测报告等）。</w:t>
      </w:r>
    </w:p>
    <w:p w14:paraId="47795B21">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bCs/>
          <w:iCs/>
          <w:kern w:val="32"/>
          <w:sz w:val="24"/>
          <w:szCs w:val="24"/>
          <w:lang w:val="en-US" w:eastAsia="zh-CN" w:bidi="ar-SA"/>
        </w:rPr>
      </w:pPr>
      <w:r>
        <w:rPr>
          <w:rFonts w:hint="eastAsia" w:ascii="宋体" w:hAnsi="宋体" w:eastAsia="宋体" w:cs="宋体"/>
          <w:sz w:val="24"/>
          <w:szCs w:val="24"/>
          <w:lang w:val="en-US" w:eastAsia="zh-CN"/>
        </w:rPr>
        <w:t>4、产品的包装应为生产厂商出产时的原包装，包装箱内必须附有详细的装箱清单。</w:t>
      </w:r>
    </w:p>
    <w:p w14:paraId="0047CD4A">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三、违约责任</w:t>
      </w:r>
    </w:p>
    <w:p w14:paraId="080979FF">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1、按《中华人民共和国民法典》中的相关条款执行。</w:t>
      </w:r>
    </w:p>
    <w:p w14:paraId="18C951CB">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2、未按合同要求提供产品或产品质量不能满足技术要求，采购人有权终止合同，并对供方违约行为进行追究，同时按《政府采购法》的有关规定进行处罚。</w:t>
      </w:r>
    </w:p>
    <w:p w14:paraId="6C71AC23">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四、技术参数及配置（以下所列参数应提供相应的证明资料，包含但不限于检测报告、产品彩页、功能截图等）。</w:t>
      </w:r>
    </w:p>
    <w:p w14:paraId="216DE827">
      <w:pPr>
        <w:pStyle w:val="16"/>
        <w:rPr>
          <w:rFonts w:hint="eastAsia" w:ascii="宋体" w:hAnsi="宋体" w:eastAsia="宋体" w:cs="宋体"/>
          <w:lang w:val="en-US" w:eastAsia="zh-CN"/>
        </w:rPr>
      </w:pPr>
    </w:p>
    <w:p w14:paraId="46F102C2">
      <w:pPr>
        <w:rPr>
          <w:rFonts w:hint="eastAsia" w:ascii="宋体" w:hAnsi="宋体" w:eastAsia="宋体" w:cs="宋体"/>
          <w:lang w:val="en-US" w:eastAsia="zh-CN"/>
        </w:rPr>
        <w:sectPr>
          <w:headerReference r:id="rId8" w:type="default"/>
          <w:footerReference r:id="rId9" w:type="default"/>
          <w:pgSz w:w="11906" w:h="16838"/>
          <w:pgMar w:top="1418" w:right="1304" w:bottom="1418" w:left="1701" w:header="851" w:footer="992" w:gutter="0"/>
          <w:pgBorders>
            <w:top w:val="none" w:sz="0" w:space="0"/>
            <w:left w:val="none" w:sz="0" w:space="0"/>
            <w:bottom w:val="none" w:sz="0" w:space="0"/>
            <w:right w:val="none" w:sz="0" w:space="0"/>
          </w:pgBorders>
          <w:pgNumType w:fmt="decimal" w:start="1"/>
          <w:cols w:space="425" w:num="1"/>
          <w:docGrid w:type="linesAndChars" w:linePitch="420" w:charSpace="0"/>
        </w:sectPr>
      </w:pPr>
    </w:p>
    <w:p w14:paraId="530EC028">
      <w:pPr>
        <w:rPr>
          <w:rFonts w:hint="eastAsia" w:ascii="宋体" w:hAnsi="宋体" w:eastAsia="宋体" w:cs="宋体"/>
          <w:b/>
          <w:bCs/>
        </w:rPr>
      </w:pPr>
      <w:r>
        <w:rPr>
          <w:rFonts w:hint="eastAsia" w:ascii="宋体" w:hAnsi="宋体" w:eastAsia="宋体" w:cs="宋体"/>
          <w:b/>
          <w:bCs/>
          <w:lang w:val="en-US" w:eastAsia="zh-CN"/>
        </w:rPr>
        <w:t>1、</w:t>
      </w:r>
      <w:r>
        <w:rPr>
          <w:rFonts w:hint="eastAsia" w:ascii="宋体" w:hAnsi="宋体" w:eastAsia="宋体" w:cs="宋体"/>
          <w:b/>
          <w:bCs/>
        </w:rPr>
        <w:t>西安市经开第五学校</w:t>
      </w:r>
    </w:p>
    <w:tbl>
      <w:tblPr>
        <w:tblStyle w:val="32"/>
        <w:tblW w:w="14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1"/>
        <w:gridCol w:w="1114"/>
        <w:gridCol w:w="11140"/>
        <w:gridCol w:w="640"/>
        <w:gridCol w:w="640"/>
      </w:tblGrid>
      <w:tr w14:paraId="02C1E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51F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CC2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名称</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BE5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技术参数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E4C3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数量</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829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单位</w:t>
            </w:r>
          </w:p>
        </w:tc>
      </w:tr>
      <w:tr w14:paraId="38AA9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DFAA2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一、考场端</w:t>
            </w:r>
          </w:p>
        </w:tc>
      </w:tr>
      <w:tr w14:paraId="32744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7"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D97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B76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标考红外高清半球摄像机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051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符合《国家教育考试网上巡查系统视频标准技术规范（2017版）》；</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1.≥200万(1920×1080) 像素，1/2.8英寸CMOS图像传感器；镜头焦距：2.7mm~12mm；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2.支持H.264、H.265、MPEG-4视频编码，支持MPEG Layer II、G711和AAC音频编码标准；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3.支持三码流，ACF（活动帧率控制）；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 ROI，支持多达 20 路连接；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6.支持IP67，IK10防护等级，防浪涌，防静电，防雷设计；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7.支持大容量存储卡，不小于 64GB，录像可断网续传；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8.支持人脸侦测；支持音频侦测；支持区域入侵，拌线入侵，物品遗留/消失，虚焦侦测，场景变更的侦测，并且可以与报警联动；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A14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7F2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7C47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7EE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D31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919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B3E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30F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2A3A0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0E3C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16B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拾音器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9F4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1、内置数字语音处理电路和微处理芯片，两级动态数字降噪处理；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2、自适应动态降噪处理技术，内置高速DSP数字信号处理器；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3、拾音半径不小于6m；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4、信噪比≥88dB；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5、内置雷击保护、电源极性反转保护；</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6、经过防潮技术处理；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7、超长线路的拾音头音频传输专利技术，采用屏蔽电缆传输≥3000米不失真；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8、防电磁干扰；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9、频率响应20Hz ～ 20kHz，动态范围≥104dB；</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2DF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D81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只</w:t>
            </w:r>
          </w:p>
        </w:tc>
      </w:tr>
      <w:tr w14:paraId="1FA41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5C6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56E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电波钟</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A04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≥16英寸电波钟，静音扫描智能电波石英钟，具有自动校正及时间记忆功能；具备夜间停秒及静音扫描功能；产品材质：HIPS环保工程塑料。温度范围：-10--50℃；电压范围：DC2.6V--3.4V；</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930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3FB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只</w:t>
            </w:r>
          </w:p>
        </w:tc>
      </w:tr>
      <w:tr w14:paraId="311E5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93FC47">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二、保密室</w:t>
            </w:r>
          </w:p>
        </w:tc>
      </w:tr>
      <w:tr w14:paraId="6832A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BFB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7C9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标考红外高清半球摄像机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6057">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符合《国家教育考试网上巡查系统视频标准技术规范（2017版）》；</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1.≥200万(1920×1080) 像素，1/2.8英寸CMOS图像传感器；镜头焦距：2.7mm~12mm；；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2.支持H.264、H.265、MPEG-4视频编码，支持MPEG Layer II、G711和AAC音频编码标准；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3.支持三码流，ACF（活动帧率控制）；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 ROI，支持多达 20 路连接；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6.支持IP67，IK10防护等级，防浪涌，防静电，防雷设计；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7.支持大容量存储卡，不小于 64GB，录像可断网续传；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8.支持人脸侦测；支持音频侦测；支持区域入侵，拌线入侵，物品遗留/消失，虚焦侦测，场景变更的侦测，并且可以与报警联动；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661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CC5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64FA0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65B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649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5D9C0">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324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3E4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13CEE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DAB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7C0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拾音器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638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1、内置数字语音处理电路和微处理芯片，两级动态数字降噪处理；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2、ClearSpeech自适应动态降噪处理技术，内置高速DSP数字信号处理器；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3、拾音半径不小于6m；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4、信噪比≥88dB；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5、内置雷击保护、电源极性反转保护；</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6、经过防潮技术处理；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7、超长线路的拾音头音频传输专利技术，采用屏蔽电缆传输≥3000米不失真；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8、防电磁干扰；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9、频率响应 20Hz ～ 20kHz，动态范围≥ 104dB ；</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8EB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579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只</w:t>
            </w:r>
          </w:p>
        </w:tc>
      </w:tr>
      <w:tr w14:paraId="415DF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2FF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8E2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电波钟</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1137">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≥16英寸电波钟，静音扫描智能电波石英钟，具有自动校正及时间记忆功能；具备夜间停秒及静音扫描功能；产品材质：HIPS环保工程塑料。温度范围：-10--50℃；电压范围：DC2.6V--3.4V；</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249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A87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只</w:t>
            </w:r>
          </w:p>
        </w:tc>
      </w:tr>
      <w:tr w14:paraId="2912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B9B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7B0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保密柜</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23F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材质：冷轧钢板；外层：静电喷塑；尺寸：（高1850*宽900*深430mm）±10mm；开锁方式：密码、钥匙等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69C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824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14:paraId="76ED8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5BB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EF0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防盗门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7E64">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工艺：门扇约67mm，带防撬槽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规格尺寸：约2050x960mm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表面处理：木纹转印色漆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门框配置：1.5mm冷轧钢板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门面配置：外包约0.8mm，内板约0.6mm冷轧钢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门 槛：约0.8mm 厚，不锈钢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配置：b级机械锁具，11锁点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密封：PU耐候性密封条</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406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39D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项</w:t>
            </w:r>
          </w:p>
        </w:tc>
      </w:tr>
      <w:tr w14:paraId="3A01C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AD6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EC1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灭火器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4DC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绿消4公斤干粉灭火器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3C6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33A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14:paraId="69009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A44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FA4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室内改造</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288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窗户使用木工板封堵，面积约2m*7m，腻子找平刷白14m²</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B9B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7D2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项</w:t>
            </w:r>
          </w:p>
        </w:tc>
      </w:tr>
      <w:tr w14:paraId="5A107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7DD04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三、考务办（1间）</w:t>
            </w:r>
          </w:p>
        </w:tc>
      </w:tr>
      <w:tr w14:paraId="143B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219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11A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标考红外高清半球摄像机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C365">
            <w:pPr>
              <w:pStyle w:val="2"/>
              <w:keepNext w:val="0"/>
              <w:keepLines w:val="0"/>
              <w:widowControl/>
              <w:suppressLineNumbers w:val="0"/>
              <w:spacing w:before="0" w:beforeAutospacing="0" w:after="0" w:afterAutospacing="0"/>
              <w:ind w:left="0" w:right="0"/>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符合《国家教育考试网上巡查系统视频标准技术规范（2017版）》；</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1.≥200万(1920×1080) 像素，1/2.8英寸CMOS图像传感器；镜头焦距：2.7mm~12mm；；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2.支持H.264、H.265、MPEG-4视频编码，支持MPEG Layer II、G711和AAC音频编码标准；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3.支持三码流，ACF（活动帧率控制）；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 ROI，支持多达 20 路连接；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6.支持IP67，IK10防护等级，防浪涌，防静电，防雷设计；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7.支持大容量存储卡，不小于 64GB，录像可断网续传；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8.支持人脸侦测；支持音频侦测；支持区域入侵，拌线入侵，物品遗留/消失，虚焦侦测，场景变更的侦测，并且可以与报警联动；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5F5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F81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1CE2D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512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BDE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6933">
            <w:pPr>
              <w:pStyle w:val="2"/>
              <w:keepNext w:val="0"/>
              <w:keepLines w:val="0"/>
              <w:widowControl/>
              <w:suppressLineNumbers w:val="0"/>
              <w:spacing w:before="0" w:beforeAutospacing="0" w:after="0" w:afterAutospacing="0"/>
              <w:ind w:left="0" w:right="0"/>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744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4CC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005D2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EAC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9FB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拾音器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0986">
            <w:pPr>
              <w:pStyle w:val="2"/>
              <w:keepNext w:val="0"/>
              <w:keepLines w:val="0"/>
              <w:widowControl/>
              <w:suppressLineNumbers w:val="0"/>
              <w:spacing w:before="0" w:beforeAutospacing="0" w:after="0" w:afterAutospacing="0"/>
              <w:ind w:left="0" w:right="0"/>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1、内置数字语音处理电路和微处理芯片，两级动态数字降噪处理；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2、自适应动态降噪处理技术，内置高速DSP数字信号处理器；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3、拾音半径不小于6m；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4、信噪比≥88dB；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5、内置雷击保护、电源极性反转保护；</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6、经过防潮技术处理；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7、超长线路的拾音头音频传输专利技术，采用屏蔽电缆传输≥3000米不失真；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8、防电磁干扰；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9、频率响应 20Hz ～ 20kHz，动态范围 ≥104dB；</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2E3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27A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只</w:t>
            </w:r>
          </w:p>
        </w:tc>
      </w:tr>
      <w:tr w14:paraId="5E0BE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58E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59CA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电波钟</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0B3C">
            <w:pPr>
              <w:pStyle w:val="2"/>
              <w:keepNext w:val="0"/>
              <w:keepLines w:val="0"/>
              <w:widowControl/>
              <w:suppressLineNumbers w:val="0"/>
              <w:spacing w:before="0" w:beforeAutospacing="0" w:after="0" w:afterAutospacing="0"/>
              <w:ind w:left="0" w:right="0"/>
              <w:jc w:val="both"/>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≥16英寸电波钟，静音扫描智能电波石英钟，具有自动校正及时间记忆功能；具备夜间停秒及静音扫描功能；产品材质：HIPS环保工程塑料。温度范围：-10--50℃；电压范围：DC2.6V--3.4V；</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DA4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53E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只</w:t>
            </w:r>
          </w:p>
        </w:tc>
      </w:tr>
      <w:tr w14:paraId="517E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05BF9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四、校门口</w:t>
            </w:r>
          </w:p>
        </w:tc>
      </w:tr>
      <w:tr w14:paraId="31BEB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AAE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FB5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标考红外高清网络球型摄像机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AAB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1）符合《国家教育考试网上巡查系统视频标准技术规范（2017版）》相关技术规范；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2）嵌入式设备，具备实时操作系统，本身具有抗病毒和抗攻击能力；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3）采用≥200万（1920×1080）像素，1/2.8英寸 CMOS高性能图像传感器，低照度环境的完美展现；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4）最大支持1920×1080@30fps实时视频输出；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5）支持16 倍数字变倍，20倍光学变倍；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6）支持三码流，最大20路用户登陆；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7）采用标准MPEG-4 视频压缩技术，最大图像尺寸：1920×1080；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8）支持MPEG-4 和H.264视频编码、支持MPEG  Layer II、G711和AAC音频编码标准，并支持PS系统流和TS传输流的封装；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9）设备具有日志功能；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10）支持IP单播技术；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11）具有可设定的点对点、点对多点传输能力；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12）具有视频移动侦测能力，可根据设置策略实现相应的编码、传输、存储或视频报警；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14）支持自动跟踪和手动跟踪；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15）支持单场景跟踪及多场景巡航跟踪；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16）支持绊线入侵、区域入侵、物品遗留与物品消失多种行为检测，支持人脸检测；</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17）创新的跟踪算法，自动锁定目标，并自动调整云台焦距，以获得最佳监控图像；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18）MAC白名单、多级用户管理，监控保密和权限管理功能；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19）低码流传输；</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20）超级宽动态效果，图像降噪功能；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21）电子图像防抖动功能；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22）快装结构，防掉落设计；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23）独特的FD三维定位功能；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24）垂直旋转 -20°～90°自动翻转180°后连续监视；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25）水平旋转 0°～360°连续旋转；</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26）键控速度 水平：0.1°～200°/s 垂直：0.1°～120°/s；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27）多种网络监控方式相结合(WEB、客户端)，使用更方便；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28）灵活的网络扩展能力，适应各种网络平台监控系统；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29）SD卡本地存储，解决网络异常状态的监控存储问题，支持 FTP 存储录像，录像可断网续传；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30）内置红外灯补光，补光距离≥220米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31）高性能红外灯；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32）支持24V±25%宽电压输入；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33）支持ONVIF、CGI等等各种网络协议，组网更方便。</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5B0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35A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2EF07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054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3F9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标考红外高清枪式摄像机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F22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 像素，1/3英寸CMOS图像传感器；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4.采用H.264/265编码；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5.支持三码流；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6.支持宽动态，3D降噪、强光抑制、背光补偿；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7.具有SD卡存储、报警等接口及录像断网续传功能；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8.具备红外补光功能，满足光线较暗环境使用；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10.支持区域入侵，拌线入侵，物品遗留/消失，虚焦侦测，场景变更的侦测，并且可以与报警联动；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11.支持无SD卡、SD卡空间不足、SD卡出错、网络断开、IP冲突、移动检测、视频遮挡智能报警。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12.支持标准SIP2.0，SIP地址解析、信令转发，统一命名规则以及分级命名等；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459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0E5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6370B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91B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41A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B728">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19E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9CA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378D1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5B29E8">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五、监控中心1个及听力广播室（2个）</w:t>
            </w:r>
          </w:p>
        </w:tc>
      </w:tr>
      <w:tr w14:paraId="01D53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E32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71E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标考红外高清半球摄像机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096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符合《国家教育考试网上巡查系统视频标准技术规范（2017版）》；</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1.≥200万(1920×1080) 像素，1/2.8英寸CMOS图像传感器；镜头焦距：2.7mm~12mm；；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2.支持H.264、H.265、MPEG-4视频编码，支持MPEG Layer II、G711和AAC音频编码标准；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3.支持三码流，ACF（活动帧率控制）；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 ROI，支持多达 20 路连接；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6.支持IP67，IK10防护等级，防浪涌，防静电，防雷设计；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7.支持大容量存储卡，不小于 64GB，录像可断网续传；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8.支持人脸侦测；支持音频侦测；支持区域入侵，拌线入侵，物品遗留/消失，虚焦侦测，场景变更的侦测，并且可以与报警联动；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F29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86C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5E3B1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2B9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786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04A4">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0F7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954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4A22F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D3F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E13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拾音器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19D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1、内置数字语音处理电路和微处理芯片，两级动态数字降噪处理；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2、自适应动态降噪处理技术，内置高速DSP数字信号处理器；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3、拾音半径不小于6m；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4、信噪比≥88dB；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5、内置雷击保护、电源极性反转保护；</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6、经过防潮技术处理；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7、超长线路的拾音头音频传输专利技术，采用屏蔽电缆传输≥3000米不失真；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8、防电磁干扰；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9、频率响应 20Hz ～ 20kHz，动态范围≥ 104dB ；</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784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4DE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只</w:t>
            </w:r>
          </w:p>
        </w:tc>
      </w:tr>
      <w:tr w14:paraId="74A3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09C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27F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电波钟</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ED0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≥16英寸电波钟，静音扫描智能电波石英钟，具有自动校正及时间记忆功能；具备夜间停秒及静音扫描功能；产品材质：HIPS环保工程塑料。温度范围：-10--50℃；电压范围：DC2.6V--3.4V；</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219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EE7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只</w:t>
            </w:r>
          </w:p>
        </w:tc>
      </w:tr>
      <w:tr w14:paraId="120D5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B7AE7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六、试卷流转通道（①试卷车自3-4号楼东侧门进入后右转至3号楼西侧保密室）</w:t>
            </w:r>
          </w:p>
        </w:tc>
      </w:tr>
      <w:tr w14:paraId="1F053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DB8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AF7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标考红外高清网络球型摄像机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147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1）符合《国家教育考试网上巡查系统视频标准技术规范（2017版）》相关技术规范；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2）嵌入式设备，具备实时操作系统，本身具有抗病毒和抗攻击能力；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3）采用≥200万（1920×1080）像素，1/2.8英寸 CMOS高性能图像传感器，低照度环境的完美展现；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4）最大支持1920×1080@30fps实时视频输出；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5）支持16 倍数字变倍，20倍光学变倍；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6）支持三码流，最大20路用户登陆；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7）采用标准MPEG-4 视频压缩技术，最大图像尺寸：1920×1080；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8）支持MPEG-4 和H.264视频编码、支持MPEG  Layer II、G711和AAC音频编码标准，并支持PS系统流和TS传输流的封装；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9）设备具有日志功能；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10）支持IP单播技术；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11）具有可设定的点对点、点对多点传输能力；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12）具有视频移动侦测能力，可根据设置策略实现相应的编码、传输、存储或视频报警；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14）支持自动跟踪和手动跟踪；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15）支持单场景跟踪及多场景巡航跟踪；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16）支持绊线入侵、区域入侵、物品遗留与物品消失多种行为检测，支持人脸检测；</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17）创新的跟踪算法，自动锁定目标，并自动调整云台焦距，以获得最佳监控图像；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18）MAC白名单、多级用户管理，监控保密和权限管理功能；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19）低码流传输；</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20）超级宽动态效果，图像降噪功能；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21）电子图像防抖动功能；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22）快装结构，防掉落设计；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23）独特的FD三维定位功能；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24）垂直旋转 -20°～90°自动翻转180°后连续监视；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25）水平旋转 0°～360°连续旋转；</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26）键控速度 水平：0.1°～200°/s 垂直：0.1°～120°/s；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27）多种网络监控方式相结合(WEB、客户端)，使用更方便；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28）灵活的网络扩展能力，适应各种网络平台监控系统；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29）SD卡本地存储，解决网络异常状态的监控存储问题，支持 FTP 存储录像，录像可断网续传；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30）内置红外灯补光，补光距离≥220米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31）选用高性能红外灯；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32）支持24V±25%宽电压输入；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33）支持ONVIF、CGI等等各种网络协议，组网更方便.。</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9CD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F34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6259D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227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EC8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标考红外高清枪式摄像机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EB7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 像素，1/3英寸CMOS图像传感器；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4.采用H.264/265编码；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5.支持三码流；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6.支持宽动态，3D降噪、强光抑制、背光补偿；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7.具有SD卡存储、报警等接口及录像断网续传功能；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8.具备红外补光功能，满足光线较暗环境使用；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10.支持区域入侵，拌线入侵，物品遗留/消失，虚焦侦测，场景变更的侦测，并且可以与报警联动；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11.支持无SD卡、SD卡空间不足、SD卡出错、网络断开、IP冲突、移动检测、视频遮挡智能报警。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12.支持标准SIP2.0，SIP地址解析、信令转发，统一命名规则以及分级命名等；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80F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10D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45D07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4DA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96D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BF6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D81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CF1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71CA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81D5F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②（2号楼走廊；1层考务办外1个；2、3、4层每层2个且每层厕所前2个；）</w:t>
            </w:r>
          </w:p>
        </w:tc>
      </w:tr>
      <w:tr w14:paraId="05A6E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85C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B1C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标考红外高清枪式摄像机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418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 像素，1/3英寸CMOS图像传感器；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4.采用H.264/265编码；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5.支持三码流；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6.支持宽动态，3D降噪、强光抑制、背光补偿；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7.具有SD卡存储、报警等接口及录像断网续传功能；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8.具备红外补光功能，满足光线较暗环境使用；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10.支持区域入侵，拌线入侵，物品遗留/消失，虚焦侦测，场景变更的侦测，并且可以与报警联动；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11.支持无SD卡、SD卡空间不足、SD卡出错、网络断开、IP冲突、移动检测、视频遮挡智能报警。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12.支持标准SIP2.0，SIP地址解析、信令转发，统一命名规则以及分级命名等；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D2C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975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309C0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A5B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CF5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A7C4">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F68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E9A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77924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66789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③（2号楼楼梯；两侧2个楼梯：1-2层楼梯三折叠2个；2、3、4层每层1个；1层西端有小厅1个；2号楼门前个枪机）</w:t>
            </w:r>
          </w:p>
        </w:tc>
      </w:tr>
      <w:tr w14:paraId="1D2C2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E59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277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标考红外高清枪式摄像机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778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 像素，1/3英寸CMOS图像传感器；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4.采用H.264/265编码；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5.支持三码流；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6.支持宽动态，3D降噪、强光抑制、背光补偿；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7.具有SD卡存储、报警等接口及录像断网续传功能；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8.具备红外补光功能，满足光线较暗环境使用；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10.支持区域入侵，拌线入侵，物品遗留/消失，虚焦侦测，场景变更的侦测，并且可以与报警联动；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11.支持无SD卡、SD卡空间不足、SD卡出错、网络断开、IP冲突、移动检测、视频遮挡智能报警。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12.支持标准SIP2.0，SIP地址解析、信令转发，统一命名规则以及分级命名等；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53F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58D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20D2E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F35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E91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标考红外高清半球摄像机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BB2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符合《国家教育考试网上巡查系统视频标准技术规范（2017版）》；</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1.≥200万(1920×1080) 像素，1/2.8英寸CMOS图像传感器；镜头焦距：2.7mm~12mm；；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2.支持H.264、H.265、MPEG-4视频编码，支持MPEG Layer II、G711和AAC音频编码标准；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3.支持三码流，ACF（活动帧率控制）；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 ROI，支持多达 20 路连接；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6.支持IP67，IK10防护等级，防浪涌，防静电，防雷设计；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7.支持大容量存储卡，不小于 64GB，录像可断网续传；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8.支持人脸侦测；支持音频侦测；支持区域入侵，拌线入侵，物品遗留/消失，虚焦侦测，场景变更的侦测，并且可以与报警联动；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3C1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3375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49B81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7B4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3BC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74A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BBD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324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34376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F3D85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④（3号楼走廊；1、2、3、4层每层2个；厕所门前2个；）</w:t>
            </w:r>
          </w:p>
        </w:tc>
      </w:tr>
      <w:tr w14:paraId="28E62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87F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36C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标考红外高清枪式摄像机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A5F4">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 像素，1/3英寸CMOS图像传感器；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4.采用H.264/265编码；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5.支持三码流；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6.支持宽动态，3D降噪、强光抑制、背光补偿；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7.具有SD卡存储、报警等接口及录像断网续传功能；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8.具备红外补光功能，满足光线较暗环境使用；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10.支持区域入侵，拌线入侵，物品遗留/消失，虚焦侦测，场景变更的侦测，并且可以与报警联动；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11.支持无SD卡、SD卡空间不足、SD卡出错、网络断开、IP冲突、移动检测、视频遮挡智能报警。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12.支持标准SIP2.0，SIP地址解析、信令转发，统一命名规则以及分级命名等；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FEC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3A4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20F30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4D8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5B3A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88C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C27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A5C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52742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AF9FE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⑤（3号楼2个楼梯；1、2、3、4层每层1个；2层西端小厅2个；2号--3号走廊楼门前1个）</w:t>
            </w:r>
          </w:p>
        </w:tc>
      </w:tr>
      <w:tr w14:paraId="6BD74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03E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01A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标考红外高清枪式摄像机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AA8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 像素，1/3英寸CMOS图像传感器；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4.采用H.264/265编码；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5.支持三码流；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6.支持宽动态，3D降噪、强光抑制、背光补偿；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7.具有SD卡存储、报警等接口及录像断网续传功能；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8.具备红外补光功能，满足光线较暗环境使用；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10.支持区域入侵，拌线入侵，物品遗留/消失，虚焦侦测，场景变更的侦测，并且可以与报警联动；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11.支持无SD卡、SD卡空间不足、SD卡出错、网络断开、IP冲突、移动检测、视频遮挡智能报警。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12.支持标准SIP2.0，SIP地址解析、信令转发，统一命名规则以及分级命名等；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B01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B52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7BAC6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D6D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8C1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标考红外高清半球摄像机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3FA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符合《国家教育考试网上巡查系统视频标准技术规范（2017版）》；</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1.≥200万(1920×1080) 像素，1/2.8英寸CMOS图像传感器；镜头焦距：2.7mm~12mm；；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2.支持H.264、H.265、MPEG-4视频编码，支持MPEG Layer II、G711和AAC音频编码标准；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3.支持三码流，ACF（活动帧率控制）；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 ROI，支持多达 20 路连接；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6.支持IP67，IK10防护等级，防浪涌，防静电，防雷设计；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7.支持大容量存储卡，不小于 64GB，录像可断网续传；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8.支持人脸侦测；支持音频侦测；支持区域入侵，拌线入侵，物品遗留/消失，虚焦侦测，场景变更的侦测，并且可以与报警联动；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F4D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20C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3055F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16A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F20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3BC7">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1F6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0C8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0769C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CD2F9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⑥（5号楼走廊；1、2、3、4层每层2个；厕所门前1个；）</w:t>
            </w:r>
          </w:p>
        </w:tc>
      </w:tr>
      <w:tr w14:paraId="2353D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D31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D92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标考红外高清枪式摄像机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94C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 像素，1/3英寸CMOS图像传感器；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4.采用H.264/265编码；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5.支持三码流；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6.支持宽动态，3D降噪、强光抑制、背光补偿；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7.具有SD卡存储、报警等接口及录像断网续传功能；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8.具备红外补光功能，满足光线较暗环境使用；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10.支持区域入侵，拌线入侵，物品遗留/消失，虚焦侦测，场景变更的侦测，并且可以与报警联动；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11.支持无SD卡、SD卡空间不足、SD卡出错、网络断开、IP冲突、移动检测、视频遮挡智能报警。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12.支持标准SIP2.0，SIP地址解析、信令转发，统一命名规则以及分级命名等；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7C8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AD9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530E0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43B8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D05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5EA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DDC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5ED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086C4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EBC7A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⑦（5号2个楼梯；1、2、3、4层每层1个；1层西端小厅1个；5号--3号走廊楼门前1个半球，1个球）</w:t>
            </w:r>
          </w:p>
        </w:tc>
      </w:tr>
      <w:tr w14:paraId="3FB7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C48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462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标考红外高清枪式摄像机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0F5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 像素，1/3英寸CMOS图像传感器；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4.采用H.264/265编码；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5.支持三码流；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6.支持宽动态，3D降噪、强光抑制、背光补偿；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7.具有SD卡存储、报警等接口及录像断网续传功能；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8.具备红外补光功能，满足光线较暗环境使用；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10.支持区域入侵，拌线入侵，物品遗留/消失，虚焦侦测，场景变更的侦测，并且可以与报警联动；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11.支持无SD卡、SD卡空间不足、SD卡出错、网络断开、IP冲突、移动检测、视频遮挡智能报警。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12.支持标准SIP2.0，SIP地址解析、信令转发，统一命名规则以及分级命名等；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05F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266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0823A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4F4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B7E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标考红外高清半球摄像机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8A4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符合《国家教育考试网上巡查系统视频标准技术规范（2017版）》；</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1.≥200万(1920×1080) 像素，1/2.8英寸CMOS图像传感器；镜头焦距：2.7mm~12mm；；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2.支持H.264、H.265、MPEG-4视频编码，支持MPEG Layer II、G711和AAC音频编码标准；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3.支持三码流，ACF（活动帧率控制）；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 ROI，支持多达 20 路连接；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6.支持IP67，IK10防护等级，防浪涌，防静电，防雷设计；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7.支持大容量存储卡，不小于 64GB，录像可断网续传；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8.支持人脸侦测；支持音频侦测；支持区域入侵，拌线入侵，物品遗留/消失，虚焦侦测，场景变更的侦测，并且可以与报警联动；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67D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483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1C038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FD5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139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标考红外高清网络球型摄像机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3328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1）符合《国家教育考试网上巡查系统视频标准技术规范（2017版）》相关技术规范；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2）嵌入式设备，具备实时操作系统，本身具有抗病毒和抗攻击能力；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3）采用≥200万（1920×1080）像素，1/2.8英寸 CMOS高性能图像传感器，低照度环境的完美展现；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4）最大支持1920×1080@30fps实时视频输出；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5）支持16 倍数字变倍，20倍光学变倍；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6）支持三码流，最大20路用户登陆；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7）采用标准MPEG-4 视频压缩技术，最大图像尺寸：1920×1080；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8）支持MPEG-4 和H.264视频编码、支持MPEG  Layer II、G711和AAC音频编码标准，并支持PS系统流和TS传输流的封装；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9）设备具有日志功能；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10）支持IP单播技术；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11）具有可设定的点对点、点对多点传输能力；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12）具有视频移动侦测能力，可根据设置策略实现相应的编码、传输、存储或视频报警；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14）支持自动跟踪和手动跟踪；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15）支持单场景跟踪及多场景巡航跟踪；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16）支持绊线入侵、区域入侵、物品遗留与物品消失多种行为检测，支持人脸检测；</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17）创新的跟踪算法，自动锁定目标，并自动调整云台焦距，以获得最佳监控图像；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18）MAC白名单、多级用户管理，监控保密和权限管理功能；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19）低码流传输；</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20）超级宽动态效果，图像降噪功能；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21）电子图像防抖动功能；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22）快装结构，防掉落设计；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23）独特的FD三维定位功能；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24）垂直旋转 -20°～90°自动翻转180°后连续监视；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25）水平旋转 0°～360°连续旋转；</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26）键控速度 水平：0.1°～200°/s 垂直：0.1°～120°/s；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27）多种网络监控方式相结合(WEB、客户端)，使用更方便；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28）灵活的网络扩展能力，适应各种网络平台监控系统；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29）SD卡本地存储，解决网络异常状态的监控存储问题，支持 FTP 存储录像，录像可断网续传；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30）内置红外灯补光，补光距离≥220米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31）选用高性能红外灯；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32）支持24V±25%宽电压输入；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33）支持ONVIF、CGI等等各种网络协议，组网更方便.。</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88F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596B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1FE4D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AAC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69C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4CF0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4A5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150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7F0DB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FBC457">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七、巡查指挥监控系统</w:t>
            </w:r>
          </w:p>
        </w:tc>
      </w:tr>
      <w:tr w14:paraId="231A8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28B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149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标考高清SIP转发管理三合一平台</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F52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符合《国家教育考试网上巡查系统视频标准技术规范（2017版）》相关技术规范；须实现与西安经济技术开发区教育体育局区级标准化考场系统平台互通对接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1、具备实时操作系统，支持Linux系统、微软嵌入式系统；设备国产嵌入式CPU，主频≥2.5GHz，单颗CPU核心数不少于8核；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2、支持标准SIP2.0，支持SIP代理功能，信令转发和路由；</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3、具备实时追踪SIP连接、认证状态功能，支持反向通道技术；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4、具备SIP向上级的主动注册与多级注册的管理功能；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5、SIP终端访问呼叫过程控制；SIP终端远程访问权限控制；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★6、视频转发格式需支持MPEG4、H264、H265，其中H264需支持BP、EP、MP、HP画质级别中的至少三种，转发需支持PS、TS流封装；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7、可按照考试计划自动下发的OSD设置规则进行OSD一键设置，支持考后一键快速恢复OSD设置为常规教学模式；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8、支持路由控制功能，视频访问呼叫过程、视频远程访问权限控制功能；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9、支持配置转发服务模块，支持多级转发级联，并支持多转发分布式部署协同工作；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10、支持TCP/IP、UDP、RTP、RTCP、SIP网络协议；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★11、支持多种工作模式，在考试模式下需要有安全狗，且加密狗的序列号在平台注册登记后，输入正确的账号密码后才能登录巡查系统，调看视频图像；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12、支持点播、组播、广播，支持视频多路复用，支持媒体流的分发和汇聚；</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D1B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05D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48A7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6DA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D2B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标准化考场安全管理软件</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87D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1）网上巡查通道图像智检助手软件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1.符合《国家教育考试网上巡查系统视频标准技术规范（2017版）》相关技术规范；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2.支持程序运行自动注册、掉线重连、用户验证功能，并支持SIP2.0协议，且提供注册错误提示功能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3.支持≥16路通道同时检测；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4.支持系统运行参数设置，如平台登录参数、间隔时长、并发拉流通道数；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5.支持对静态列表增删改、导入；支持多种策略自主选择进行配置，如增量添加节点、替换节点、更新节点；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6.支持一键批量巡检、巡检暂停、巡检结果详情查看、巡检结果统计功能等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2）远程运维工具软件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1.支持多网卡设备、手动设置静态IP地址、DHCP自动获取地址、远程代理配置；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2.支持日志重定向输出以及远程加密下载备份；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3.支持对平台系统运行服务相关，包括服务管理、基础信息、升级程序、流量检测；</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4.支持远程控制服务器之间指定端口的网络测速，并能查看丢包情况、测试TCP或UDP端口网络速度；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5.支持集成多种调试模块，包括网络检测模块、网速测试模块、网络抓包模块、以及其他相关模块。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3）网上巡查智维平台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1.支持设备信息管理，包括导入、导出、查询、录入、扫描添加等信息管理操作；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2.支持手动添加设备信息，包括IP地址、端口号、用户名、密码、类型等设备信息；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3.支持设备通用参数配置及通用参数的复制粘贴，如IPC的基本属性、OSD的公共显示属性、录像计划、图像设置、设备维护；存储平台支持录像计划、设备维护、录像锁定等；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4.支持存储检测设置，支持获取设备硬盘状态（总空间，占用率，录像状态）；支持通道在线状态及录像状态查看；</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5.支持设备批量配置功能，如IPC的OSD批量配置；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6.支持自动方案设置功能，如IPC标签方案的自动切换；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7.支持系统基本设置功能，包括网络设置、版本信息查看；</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8.支持嵌入设备WEB配置重定向。</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9.支持批量自动或手动开启摄像机TF卡录像功能以及对TF卡格式化功能</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CFF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95F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3CB84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599D">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8923">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标考流媒体网络存储平台</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（核心产品）</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E4B1">
            <w:pPr>
              <w:pStyle w:val="2"/>
              <w:keepNext w:val="0"/>
              <w:keepLines w:val="0"/>
              <w:widowControl/>
              <w:suppressLineNumbers w:val="0"/>
              <w:spacing w:before="0" w:beforeAutospacing="0" w:after="0" w:afterAutospacing="0"/>
              <w:ind w:left="0" w:right="0"/>
              <w:jc w:val="left"/>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1、符合《国家教育考试网上巡查系统视频标准技术规范（2017版）》（JY/T-KS-JS-2017-1）技术规范；</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2、嵌入式设备，采用国产化芯片；；</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★3、不少于32路网络视频接入，最大转发码流≥1280Mbps；</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4、可自适应接入H.265、H.264、MPEG4视频编码格式，MPEG LayerⅡ、G711和AAC音频编码格式，系统流和传输流封装格式的网络视频，并对接入的网络视频进行存储、解码和转发</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5、操作界面远程WEB、本地GUI；</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6、支持添加数字水印，防止录像被篡改；</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7、支持不少于16个SATA接口（可热插拔），单盘容量支持不低于8TB，支持Raid0、Raid1、Raid5、Raid6、Raid10、JBOD等多种数据模式；支持独立的eSATA扩展，支持录像和备份；</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8、支持独立的eSATA扩展；支持根据考试计划自动锁定录像功能，支持考试录像本机同步双备份</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9、板板之间采用高速总线连接。</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10、支持双HMDI异源输出，支持VGA、1个HDMI同步输出；</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★11、具有不少于4个RJ4510/100/1000Mbps自适应以太网口，支持负载均衡和四网分离，支持容错模式，可将4个网络接口绑定为1个IP地址，当其中1个网络接口损坏时仍能正常工作，支持不少于2个光口；</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12、不少于4个千兆以太网口，2个光口，1个RS232接口，1个RS485接口，1个VGA接口、6个HDMI接口、1个RC音频输入接口、1个RC输出接口、4个USB接口、16个SATA接口、1个eSATA接口、16个报警输入接口、8个报警输出接口</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34D3">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9CAD">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台</w:t>
            </w:r>
          </w:p>
        </w:tc>
      </w:tr>
      <w:tr w14:paraId="050B7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96F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49E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智能巡查行为分析平台</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939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1)符合《国家教育考试网上巡查系统视频标准技术规范（2017版）》相关技术规范；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2)采用嵌入式开源操作系统；本身具有抗病毒和抗攻击能力；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3)用户和权限管理，设定管辖范围内用户、组、角色的权限。用户管理可包括用户注册、用户查询、用户增加删除、用户访问权限管理、用户锁定和解锁、用户分组管理、用户访问记录查看功能等；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4)系统管理员，可对远程用户设定视频浏览权限以及前端设备控制权限和历史数据的删除、复制、浏览等操作权限，权限可被收回；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5)支持用户的接入认证以及安全锁定；故障诊断及定位分析；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6)支持图形化操作入口；支持图形化机构拓扑呈现、设备拓扑呈现；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7)远程用户对考场图像的访问、控制、历史数据播放精确到每一个教室，添加、删除、修改组、用户、设备；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8)可通过web端无需安装任何播放插件的情况下直接播放实时音视频图像；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9)能实现系统核心数据库的备份；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10)支持日志管理查询，系统日志、告警日志、操作日志的搜索查看等；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11)智能分析并发能力：可同时实现50路视频流的行为智能分析；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行为智能分析类别：支持多种考试异常行为识别，包含考生举手、传递可疑物品、捡可疑物品、考生站立、考生旁窥、手放桌下并埋头、考后继续作答、监考员在考位停留过长、两个监考员在固定区域时间过长、监考员发卷、考生群体举手、考生群体站立、考生群体交头接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13)支持对考试全过程的监测行为进行规则配置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14)支持对考试计划模版完成配置，用于后续一键调用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15)支持绑定监测业务和智能分析设备关系</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16)支持对考试计划的管理，完成对考试基础信息、监考视频源、审核员及审核任务分配四个环节的配置。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17)支持查询告警记录，可根据考试计划、场次、判定结果、考场名称等维度进行筛选，包括告警事件类型、事件时间、所属考场、审核过程、截图、录像等数据。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18)支持查询考务规范记录，可根据考试计划、考务规范动作名称维度进行筛选，包括考场名称、场次科目、监测时段、监测结果、审核员。</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19)支持考试异常告警事件的统计，可根据告警行为统计、按场次统计、按考场统计、按审核员统计四个维度进行统计，可根据需要导出报表。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20)支持视频审核，包括考务规范监测、考试行为监测，审核包括初审和复审两个环节。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21)支持对分析状态进行监控，如设备使用情况、接入分析路数、算力利用率等数据。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22)支持查看当次考试计划的数据看板，包括考试信息、审核员处理情况统计、考务规范完成率、异常行为统计四类可视化数据统计。</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1C9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58D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258AE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5FA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FE26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硬盘</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E85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4T硬盘容量≥5400转</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62F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2F0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块</w:t>
            </w:r>
          </w:p>
        </w:tc>
      </w:tr>
      <w:tr w14:paraId="1B16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EB9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01B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机柜</w:t>
            </w:r>
          </w:p>
        </w:tc>
        <w:tc>
          <w:tcPr>
            <w:tcW w:w="1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B7E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专用服务器机柜尺寸：600*1000*2000mm。带4层托盘（隔板）2个PDU电源</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D43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92A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7761C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4D2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BEE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标考高清电视墙管理平台（16路）</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2B6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1、符合《国家教育考试网上巡查系统视频标准技术规范（2017版）》（JY/T-KS-JS-2017-1）技术规范；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2、采用嵌入式设备，Linux操作系统，采用模块化设计，并支持双风扇、双电源冗余设计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3、支持H.265、H.264、MPEG4等格式的视频解码，支持MPEG LayerⅡ、G711a、G711u、AAC格式的音频解码，支持系统流和传输流封装格式的视频流解码；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4、支持板卡热插拔，支持HDMI、DVI、VGA等多种接口类型板卡，支持板卡数量≥12块；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5、单张解码卡不少于6路高清数字视频接口输出，支持D1、720P、1080p、4K解码输出，高清输出接口支持：4000×3000、3840×2160、1080P、@30Hz、1280*720@30Hz、1024*768@30Hz；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6、单张解码卡支持≥8路3840*2160@16fps，≥32路1080p@30fps（H.264、H.265），≥72路720p@30fps，≥150路D1解码；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7、具有移动侦测报警，报警时自动切换到对应视频通道，并可联动上墙；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8、支持实时监测设备运作情况，可在本地界面实时显示机箱温度、风扇转速、子板信息、电源模块信息、网络使用信息，发生IP/MAC地址冲突时，可在本地界面上进行提示；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9、支持接入≥4000×3000、3296×2472、2592×2048、2048×1536、1920×1080、1280×720等分辨率的视频，支持60帧/秒的视频，且支持100路视频（码率不低于8Mbps）同时进行接收和转发；</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10、不少于4个千兆带宽网络接口，具有多网口绑定功能，并支持容错网络模式、多网络模式、负载均衡网络模式、链路聚合网络模式；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11、支持大屏拼接，支持开窗和漫游功能，单屏和融合窗口都支持1/4/9/16画面分割显示；</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5CC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AD6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51B3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7D8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6EF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解码管理软件</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0DB4">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 支持控制巡查图像以及设置巡查图像轮巡显示和编码通道上墙显示；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 支持屏幕随意排列融合大屏，分屏模式包括1分屏、4分屏、9分屏、16分屏，屏幕自由组合模式，可以对单个屏幕自由开窗、放缩、漫游功能；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 支持设置多种自定义的巡查轮巡，多种自定义的巡查轮巡设置；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 独立轮巡和组合轮巡，同步轮巡和异步轮巡，定点轮巡和定长轮巡；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 支持控制拉取图像和载入与保存方案等功能，可支持多种不同方案；支持拉取不同巡查图像，并设置巡查轮巡、屏幕融合、屏幕分割模式方案的功能；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 具有视频丢失检测报警，系统自诊断功能和网络中断报警，可以接收到平台发出的各种报警信息，进行上墙以及弹窗提示；支持报警联动；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 支持通过辅助工具生成历史数据，并可手动导入；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 支持对历史刷新以及导入的列表可以进行模糊搜索、精确定位；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 支持手动自定义巡查列表，启用该列表可以进行获取轮巡上墙操作；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 通过双击列表通道进行视频预览功能。</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D34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E24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510A1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3DE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C64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电视墙管理主机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EA9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2.支持控制巡查图像以及设置巡查图像轮巡显示和编码通道上墙显示；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3.码率自适应：分屏窗口数量大于9时，可自动切换成低码率的视频流，节约带宽占用；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4.切换设备：支持同时对多个解码设备进行远程控制，并可随意切换、控制解码设备；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5.屏幕自由组合模式，可以对单个屏幕自由开窗、放缩、漫游功能；</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B0E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6D5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78C40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8F0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8D2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管理电脑</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7A14">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配置不低于：台式/I5-12500/16G/1T固态/2G独显/21.5寸显示器/键鼠套，win10以上</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7E1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2ED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656A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8F8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01D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LED横屏</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02C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大屏顶部专用LED会标屏，含接收/卡控制卡/电源系统；一体化边框设计；信息发布系统，高刷新率显示高度不得高于375，尺寸：4864×376</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855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969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1991E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BC9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C4C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拼接显示单元</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96D2">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1.液晶背光源采用点阵式LED灯排列，有较好的均匀性和色彩还原性，无黑边和暗影现象。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2.外形尺寸约1022x576.6；点距约0.530mm*0.530mm；显示比例：16:9；背光源：直下式LED；可视角度（H/V）：178/178；具有智能多阶、多模式色差调整功能；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3.投标产品标准和技术要求符合GB 17625.1-2022；GB 4943.1-2022；GB/T 9254.1-2021。</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4.★显示屏最高有效分辨率：1920*1080，最高色位深度：16.7M(8-bit)，亮度、色饱和度：500cd/m²(Typ.)、97%。</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5.显示单元必须确保24小时连续运行，具有稳定性和可扩充性等特点，操作简单，工作稳定可靠。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6.显示单元具有自动显示格式匹配手动白平衡调节功能；具有色彩校准工具、软件，并能保证校准后的色彩一致性。</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7.投标产品开关电源认证标准符合GB 17625.1-2022；GB 4943.1-2022；GB/T 9254.1-2021标准要求。</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9C4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BA1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单元</w:t>
            </w:r>
          </w:p>
        </w:tc>
      </w:tr>
      <w:tr w14:paraId="1D530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6A6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AE9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拼接屏专用线材</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67B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1.拼接显示系统内全套辅材；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2.各拼接单元串联的网线，以及232控制线；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3.含12根高清信4K无氧铜信号传输线揽及插板</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D9A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B46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批</w:t>
            </w:r>
          </w:p>
        </w:tc>
      </w:tr>
      <w:tr w14:paraId="10DA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943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2F2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大屏专用箱体</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AFA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1.符合力学承重设计要求，厚度为1.5-4mm；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2.高强度冷轧钢材；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3.自带引流设备使用之中产生的静电；</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4.走线槽黑色；</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5.背景墙为实体墙，不含墙面装修</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422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439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单元</w:t>
            </w:r>
          </w:p>
        </w:tc>
      </w:tr>
      <w:tr w14:paraId="540BD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DEE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751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电源集配器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883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1.额定工作电压110~250V宽电压输入，最大承受电流30A，冲击耐受电压6KV，限流等级3级，最大输出电压2500W；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2.16组220V航空电源输出：供≤16个拼接单元使用，航空电源接口，保证每一个拼接显示单元都具有独立的延时电源开关控制；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3.各路以间隔0.5秒的延时顺序启动，避免突然断电/来电时瞬间脉冲电压冲击，且具有短路、漏电、过流、防雷等保护措施。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★4.可实时提供电压显示                                                                                                                                                                                                                                                      为了系统稳的定性，与大屏同一品牌</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EDB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F93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72262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C28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F80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拼接控制软件</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F7E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1.基于Windows平台的控制软件，软件通过RS232串行通信协议；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2.对显示屏幕、矩阵以及拼接图像处理器进行控制；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3.实现对整套大屏幕显示系统进行整体统一的控制操作；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4.可实现整屏显示方式，单屏显示，组合显示，全屏显示，图像切换等功能；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5.具有中华人民共和国国家知识版权局颁发的：计算机软件著作权登记证书；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为了系统稳的定性，与大屏同一品牌。</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F5F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9BC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41DDE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BB9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D7A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操作控制台</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D45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三联操作台，冷轧钢板与木头组成；木板厚度：20MM；及配套椅子*3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9D3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78E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11961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8033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E19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UPS</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1C8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在线式15KVA，电池12V100AH，2组，含电池柜</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219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395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5907E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FA2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3001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装饰隔墙</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FAF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定制2*2.61*2m；木工板腻子找平刷白10m²，并留门作为检修口。</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126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D48B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项</w:t>
            </w:r>
          </w:p>
        </w:tc>
      </w:tr>
      <w:tr w14:paraId="55FE9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9BF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C98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空调</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88C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匹数：大3P；能效等级：一级能效；冷暖变频，具备智能调节，电辅加热，自清洁功能，含安装</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F08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FEC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项</w:t>
            </w:r>
          </w:p>
        </w:tc>
      </w:tr>
      <w:tr w14:paraId="6AAD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827CE0">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八、网络设备及网络安全设备</w:t>
            </w:r>
          </w:p>
        </w:tc>
      </w:tr>
      <w:tr w14:paraId="445C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7CE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E55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核心交换机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EE9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1、主控引擎与业务板卡完全物理分离，采用全分布式转发处理架构，独立主控引擎插槽≥2个，独立业务插槽数≥3个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2、要求所投产品系统电源槽位≥2个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3、满足USB接口，满足U盘作为存储介质扩展</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4、交换容量≥160T，包转发性能≥36，000Mpps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5、N:1虚拟化：可将2台物理设备虚拟化为1台逻辑设备，虚拟组内设备具备统一的二层及三层转发表项，统一的管理界面，并可实现跨设备链路聚合</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6.支持多对一镜像，基于流的镜像，一对多镜像。支持SPAN、RSPAN远程镜像，支持VLAN的镜像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7、支持IPv6静态路由、RIPng、OSPF v3、BGP4+等路由协议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8、采用模块化操作系统，支持多进程备份及ISSU不中断业务升级特性</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9、本次配置：主控引擎≥2；电源模块≥2；千兆以太网光口≥24个，千兆以太网复用电口≥12个，万兆以太网光口≥4个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E2C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F8B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5EF9A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4FA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142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交换机光模块</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E37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企业级千兆单模SFP光纤模块</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A9D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B5E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14:paraId="637AF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205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C27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汇聚交换机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0CC8">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 固化10/100/1000M以太网端口≥28，复用100/1000M SFP光口≥4个，固化10G/1G SFP+光接口≥4个；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 交换容量≥598Gbps，包转发率≥222Mpps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 支持RIP，OSPF，BGP，RIPng，OSPFv3，BGP4+</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 支持IGMP v1/v2/v3，IGMP v1/v2/v3 Snooping，支持PIM-DM，PIM-SM，PIM-SSM，PIM for IPv6</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 支持并实配可拔插双模块化电源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 提供交换机进网许可证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 配置电源模块≥2个</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FB8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EDC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404A8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216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374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楼层交换机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1B7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 交换容量≥330Gbps，包转发率≥126Mpps/51Mpps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 固化10/100/1000M以太网端口≥24，固化1G SFP光接口≥4个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 要求设备采用静音无风扇节能设计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 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 提供交换机进网许可证</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907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516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12882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25C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C62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光纤收发器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C60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千兆</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085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316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14:paraId="73E67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6A3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BDC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光纤</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CCB0">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层绞式单模双铠双护直埋铠装阻燃光缆 GYTZA53-24B1.3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514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A67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3CD4A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A61B04">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九、线缆及辅助材料</w:t>
            </w:r>
          </w:p>
        </w:tc>
      </w:tr>
      <w:tr w14:paraId="62298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660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4C8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主干电源线</w:t>
            </w:r>
          </w:p>
        </w:tc>
        <w:tc>
          <w:tcPr>
            <w:tcW w:w="1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C55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用RVV3*4线，统一供电方便管理，具体视监控中心到前端楼宇距离计算，楼宇强电到监控中心（具体视实际距离定）</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14C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2000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5DC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6BAFB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21D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48C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摄像机专用SD卡</w:t>
            </w:r>
          </w:p>
        </w:tc>
        <w:tc>
          <w:tcPr>
            <w:tcW w:w="1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DC8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摄像机专用SD卡，容量≥64G</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28F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128</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AF9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3983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327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375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电源线支线</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D98F0">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电源线，摄像机、拾音器用RVV3*1线，统一供电方便管理，（每个点位预计70米）</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49F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8960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3F5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1A3A0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DF4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329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网线</w:t>
            </w:r>
          </w:p>
        </w:tc>
        <w:tc>
          <w:tcPr>
            <w:tcW w:w="1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359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六类双绞线，网线及控制线，(每个点位预计70米)</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45A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160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箱</w:t>
            </w:r>
          </w:p>
        </w:tc>
      </w:tr>
      <w:tr w14:paraId="68CED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E53190">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十、施工</w:t>
            </w:r>
          </w:p>
        </w:tc>
      </w:tr>
      <w:tr w14:paraId="23549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825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9CC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施工、安装费</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A442">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1.施工安装费用：施工、运输卸货搬运均为夜间，时间为23:00至凌晨5:30，人工（含夜间费用、高空作业、工伤保险等）费用，设备租赁包括脚手架若干、吊车等，运输卸货搬运为夜间运输搬运卸货。</w:t>
            </w:r>
          </w:p>
          <w:p w14:paraId="31FBA78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2.设备调试费用：请省、市考试院行业专家和厂家工程师至少3人以上进行设备调试，并与省市平台实现数据互联互通。</w:t>
            </w:r>
          </w:p>
          <w:p w14:paraId="41103172">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3.培训费用：设备安装到位调试完成后进行首次涉岗全员培训，由至少3个厂家的不同工程师进行全员培训。设备质保期见每年至少6次以上重大考试考前培训每次培训工程师2人以上。</w:t>
            </w:r>
          </w:p>
          <w:p w14:paraId="57665C4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运维保障费用：每月日常运维费，质保期内至少24次巡检，每次巡检人数至少1人，至少四次重大考试保障期间，每校配备不少于4人，派驻天数至少5天，质保期内巡查系统设备备品备件至少按照设备总额1.5%准备库存以保证设备及时更换。</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814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128</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0A6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1A86E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C8A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C17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管材及辅料</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153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线管，线槽，插板、PVC线槽，空开，塑料胀管，自攻螺丝，水晶头、小网络机柜、理线架、空开、电箱等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887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128</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1D4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批</w:t>
            </w:r>
          </w:p>
        </w:tc>
      </w:tr>
      <w:tr w14:paraId="0BCF3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76E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CD6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制度牌</w:t>
            </w:r>
          </w:p>
        </w:tc>
        <w:tc>
          <w:tcPr>
            <w:tcW w:w="1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3BC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铝合金框KT板（600*900mm）</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56A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1E3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14:paraId="39F74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EE1A78">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二、标准化考场无线电作弊防控系统</w:t>
            </w:r>
          </w:p>
        </w:tc>
      </w:tr>
      <w:tr w14:paraId="167C9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D9F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904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名称</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795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技术参数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6A4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数量</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811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单位</w:t>
            </w:r>
          </w:p>
        </w:tc>
      </w:tr>
      <w:tr w14:paraId="238F6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2E1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E6F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无线电屏蔽终端</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057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符合《陕西省国家教育考试综合管理平台建设规划》（陕教考办〔2018〕4号）相关规范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1、阻断工作频率范围：50MHz-5850MHz；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2、侦测引导阻断频率范围：无缝覆盖300MHz-3000MHz（支持扩展）；</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3、手机信号屏蔽：能够屏蔽电信、移动、联通等的2G/3G/4G/5G手机信号(考场内信号强度≤-65dBm时，可有效屏蔽)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4、蓝牙/WIFI信号屏蔽：能够屏蔽不限于2400MHz-2483.5MHz（2.4G）蓝牙信号以及2400MHz-2483.5MHz（2.4G）、5725MHz-5850MHz（5.8G）WIFI信号等；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5、阻断方式：对侦测引导阻断频率范围内的专业作弊信号，实现点对点的精准阻断；对2G/3G/4G各种制式的手机信号和蓝牙/WIFI信号采用直接阻断方式；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智能绿色阻断控制：根据专业作弊信号的带宽、调制方式及功率等特征自动调整阻断信号带宽和功率，确保对作弊信号的有效阻断。根据作弊信号持续时间，自动调整屏蔽时长，减少非必辐射，符合节能环保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★7、并发阻断：专业作弊信号（手机信号/WIFI/蓝牙信号通道除外）支持≥22路并发阻断；</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8、点频阻断：支持对专业作弊信号采用瞄准式点频精准阻断方式，阻断信号3dB带宽≤200KHz；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9、欺骗式干扰：具备数传作弊设备接收答案的远程清除功能；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10、批量升级：支持通过考点级管理平台对高科技屏蔽终端软件进行一键式整体集中批量升级；</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11、考试计划：可根据考点级管理平台的考试计划，提供考前、考中及考后自动工作模式，实现无人值守式管理；也可支持手动操作；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12、远程管理：支持通过考点级管理平台实现远程集中控制；可远程对工作模块进行开关控制；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13、扩展机制：设备具备扩展模块插槽，通过扩展模块可对系统功能和性能进行扩展升级；</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14、一体化设计：天线和电源内置，避免触电、烫伤等风险；</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15、状态显示：前面板有工作指示灯，可直观指示设备上电、模块开关、网络连通等状态并显示；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16、数据接口：RJ-45接口，支持与考点级管理平台及侦测服务器组网；</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★17、可靠性：MTBF≥3000小时；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18、符合国家《电磁环境控制限值(GB8702-2014)》标准；符合国家《声环境质量标准（GB3096-2008）》中的零类标准。</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ADB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6A2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53829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3CA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CA5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手机信号屏蔽仪</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4170">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针对国内高考、成人高考、自学考试及各类大专院校在考试过程中，手机信号屏蔽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1、支持屏蔽 GSM/DCS/CDMA/PHS/3G(TD-SCDMA/CDMA2000/WCDMA)/4G/5G/2.4G 频段</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2、采用一体金属外壳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3、有效屏蔽距离 0-12 米</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29E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EA7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14:paraId="7757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0F09">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7BB6">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学校级作弊防控服务器</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（核心产品）</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E9C2">
            <w:pPr>
              <w:pStyle w:val="2"/>
              <w:keepNext w:val="0"/>
              <w:keepLines w:val="0"/>
              <w:widowControl/>
              <w:suppressLineNumbers w:val="0"/>
              <w:spacing w:before="0" w:beforeAutospacing="0" w:after="0" w:afterAutospacing="0"/>
              <w:ind w:left="0" w:right="0"/>
              <w:jc w:val="left"/>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设符合《陕西省国家教育考试综合管理平台建设规划》（陕教考办〔2018〕4号）相关规范</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1.作弊信号查看：可对考点作弊信号信息进行查看和回放；</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2.作弊信号展示：可统计本次考试作弊信号频点分布情况并进行展示；</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3.设备状态查看：可对系统设备的运行状态、开关状态、网络情况等信息进行查看；</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4.日志查询：可记录和管理关键日志，提供日志查询、浏览等管理功能；</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5.黑白名单：在专业作弊信号频段内，可任意设置黑白名单频点/频段。在黑名单频点/频段上作弊信号出现时优先发射阻断信号；在白名单频点/频段上不主动发射阻断信号，不干扰其正常通信；</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6.黑白名单同步：各级管理平台之间和黑白名单能够进行同步；</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7.考试计划：可设置考试计划，在考试计划时间开始时系统自动进入工作状态，考试计划时间结束时系统自动停止工作，提供考前、考中及考后自动工作模式，实现无人值守式管理；</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8.考试计划同步：考试计划能够集中管理，各级管理平台之间考试计划能够进行同步；</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9.系统自检：可检测当前所辖设备的工作状态并输出自检结果信息；</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10.设备升级：可通过平台对侦测服务器、高科技屏蔽终端和作弊防控管理平台相关软件进行集中升级；</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11.安全加密：作弊信号答案文件存储和传输时均经过加密处理，文件脱离本系统后采用通用播放工具无法正确播放，保证涉密数据安全；</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12.集中控制：支持对系统设备进行集中调试、查看和管理；</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13.远程控制：支持对高科技屏蔽终端进行远程开关工作模块等操作。支持集中、分组、单台等多种方式对高科技屏蔽终端进行远程控制；</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14.与上级对接：可根据上级管理平台的要求，开发数据接口，自动下载考试计划、黑白名单等，并上传作弊信号信息结果；</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15.数据接口：RJ-45接口，支持与侦测服务器及高科技屏蔽终端组网；</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16.可靠性：MTBF≥3000小时。</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9E0B">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0BCB">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套</w:t>
            </w:r>
          </w:p>
        </w:tc>
      </w:tr>
      <w:tr w14:paraId="4F2A4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66A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D49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作弊侦测服务器(含外置模块、天线、馈线)</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F36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符合《陕西省国家教育考试综合管理平台建设规划》（陕教考办〔2018〕4号）相关规范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1、侦测频率范围：无缝覆盖30MHz-3000MHz；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★2、侦测引导阻断频率范围：50MHz-1800MHz；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3、扩展升级：支持频段扩展，应对未来新型作弊信号；</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4、工作模式：支持无人值守式侦测引导阻断工作模式；支持自动保存捕获信号文件和还原内容生成，自动保存；</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5、双通道：采用双通道技术，侦测扫描/引导阻断和作弊信号还原并行工作，互不影响；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6、语音信号还原能力：支持对语音类作弊信号的内容还原，包含广播电台、对讲机信号和语音作弊信号等；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★7、数传信号还原能力：支持对数传类作弊信号的内容还原，包含采用不限于FSK、LoRa等调制方式的数传作弊信号；</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8、实时监听：在持续开展频谱扫描和侦测引导阻断的同时能对语音作弊信号进行实时监听；倒谱监听：在持续开展频谱扫描和侦测引导阻断的同时支持对信号进行倒谱监听，可自动保存；</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9、背景学习：系统自动进行无线电频谱背景采集分析，并可存储多个无线电频谱背景模板供作弊信号分析使用及保存；</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10、频谱显示：可实时显示侦测频率范围内的频谱图，支持频谱显示放大缩小、测量频率与强度等操作；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11、安全加密：作弊信号答案文件存储和传输时均经过加密处理，文件脱离本系统后采用通用播放工具无法正确播放，保证涉密数据安全；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12、黑白名单：可手动设置黑白名单，也可接收考点级管理平台下发的黑白名单库。</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13、考试计划：可设置考试计划，实现无人值守式管理；也可支持手动操作；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14、故障检测：支持运行过程中故障自动检测并实时反馈至考点级管理平台；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15、数据上报：支持与考点级管理平台连接，支持对可疑作弊信号频点信息的平台上传及管理；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16、远程管理：支持平台远程管理，查看工作状态等；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17、数据接口：RJ-45接口，支持与考点级管理平台及高科技屏蔽终端组网；</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★18、可靠性：MTBF≥3000小时。</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DF2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737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7796C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30D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D1B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作弊防控管理中心软件</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6BA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支持机构、虚拟机构管理，多级管理； 支持多级及树形管理； 支持设置用户类型； 支持域名统一命名规则，分级命名，联合定位； 支持远程用户的接入认证； 支持系统基本参数设置，上级平台IP地址、端口设置等； 支持基本信息维护，如用户的密码、单位、联系方式等；支持作弊信息的汇总统计和逐级上报，</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0E7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96D3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7BA2F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0A3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325B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管理电脑</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F98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配置不低于：台式/I5-12500/16G/1T固态/2G独显/21.5寸显示器/键鼠套，win10以上</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4D4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596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575E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F7F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2E8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汇聚交换机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531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 固化10/100/1000M以太网端口≥28，复用100/1000M SFP光口≥4个，固化10G/1G SFP+光接口≥4个；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 交换容量≥598Gbps，包转发率≥222Mpps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 支持RIP，OSPF，BGP，RIPng，OSPFv3，BGP4+</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 支持IGMP v1/v2/v3，IGMP v1/v2/v3 Snooping，支持PIM-DM，PIM-SM，PIM-SSM，PIM for IPv6</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 支持并实配可拔插双模块化电源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 提供工信部三层交换机进网许可证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 配置电源模块≥2个</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962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90E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5816B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FE9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A26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楼层交换机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6EA7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 交换容量≥330Gbps，包转发率≥126Mpps/51Mpps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 固化10/100/1000M以太网端口≥24，固化1G SFP光接口≥4个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 要求设备采用静音无风扇节能设计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 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 提供工信部交换机进网许可证</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6EE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BD9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643D3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E14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FEC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交换机光模块</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781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企业级千兆单模SFP光纤模块</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AE8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F0BA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14:paraId="616EA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621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701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网线</w:t>
            </w:r>
          </w:p>
        </w:tc>
        <w:tc>
          <w:tcPr>
            <w:tcW w:w="1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867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六类双绞线，网线及控制线</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38E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EA9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箱</w:t>
            </w:r>
          </w:p>
        </w:tc>
      </w:tr>
      <w:tr w14:paraId="4220B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A31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27A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电源线</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741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RVV2*2.0</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736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6160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010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0A6AD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AB5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429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管材及辅料</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2377">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线管，线槽，插板、PVC线槽，，空开，塑料胀管，自攻螺丝，水晶头、小网络机柜、理线架、空开、电箱等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C08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649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批</w:t>
            </w:r>
          </w:p>
        </w:tc>
      </w:tr>
      <w:tr w14:paraId="0E0F5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D1C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FDF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施工、安装费</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B3B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1.施工安装费用：施工、运输卸货搬运均为夜间，时间为23:00至凌晨5:30，人工（含夜间费用、高空作业、工伤保险等）费用，设备租赁包括脚手架若干、吊车等，运输卸货搬运为夜间运输搬运卸货。</w:t>
            </w:r>
          </w:p>
          <w:p w14:paraId="343E49E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2.设备调试费用：请省、市考试院行业专家和厂家工程师至少3人以上进行设备调试，并与省市平台实现数据互联互通。</w:t>
            </w:r>
          </w:p>
          <w:p w14:paraId="5AA5B68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3.培训费用：设备安装到位调试完成后进行首次涉岗全员培训，由至少3个厂家的不同工程师进行全员培训。设备质保期见每年至少6次以上重大考试考前培训每次培训工程师2人以上。</w:t>
            </w:r>
          </w:p>
          <w:p w14:paraId="63CCDFF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运维保障费用：每月日常运维费，质保期内至少24次巡检，每次巡检人数至少1人，至少四次重大考试保障期间，每校配备不少于4人，派驻天数至少5天，质保期内巡查系统设备备品备件至少按照设备总额1.5%准备库存以保证设备及时更换。</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1F8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7DD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1E3E2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FFC464">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三、标准化考场身份认证系统</w:t>
            </w:r>
          </w:p>
        </w:tc>
      </w:tr>
      <w:tr w14:paraId="53CA0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842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9DCA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名称</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CD8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技术参数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DCD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数量</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5E3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单位</w:t>
            </w:r>
          </w:p>
        </w:tc>
      </w:tr>
      <w:tr w14:paraId="78635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7BA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1C7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身份验证终端</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8E1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1.认证方式：支持人脸识别+身份证验证。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2.屏幕：人脸识别认证设备屏幕尺寸≥8英寸，分辨率≥1280×720，可触控，文字、图片显示清晰。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3.CPU：不低于4核，主频≥1.8GHz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4.存储：运行内存≥4GB，保证软件运行速度；存储容量≥64GB。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5.摄像头：≥500W像素，带有面光源补光组件，具有自动对焦功能。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6.扬声器：身份认证设备自带扬声器，能够进行语音提示，声音清晰，音量可调，最大音量不低于100分贝。</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7.供电：电池容量≥6500mAH。</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8.联网功能：支持WiFi和以太网。</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9.认证速度：≥6人/分钟。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10.启动时间：身份认证设备开机时间≤30秒（正常开机或因故障重启，从开机到能够进入身份认证状态）。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11.身份证阅读模块：符合公安部《手持式居民身份证阅读器》（GA 1153-2014）或符合公安部《台式居民身份证阅读器通用技术要求》（GA450-2013），可读取二代身份证信息，包括姓名、证件照片、指纹信息、证件有效期等。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12.指纹采集模块：必须符合公安部GA/T 1011-2012《居民身份证指纹采集器通用技术要求》，能够采集手指指纹信息，只对活体指纹进行识别。指纹图片清晰，不得进行插值处理；对干手指、粗糙手指、指纹较浅的手指有较好适应性，采集成功率高；采集用时小于1秒。</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13.数据交换模块：身份认证系统能够进行数据交换。数据交换方式包括专网实时传输数据和离线导入导出数据。终端接入专网方式包括有线网连接和无线网连接，能够无缝接入综合管理平台。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EE0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D9A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64616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3AB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9BA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人脸识别配套设备</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8827">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验证终端支架+电源插板+电缆+扣板</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9C9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551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03A51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19E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D75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管理电脑</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FD4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配置不低于：台式/I5-12500/16G/1T固态/2G独显/21.5寸显示器/键鼠套，win10以上</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7A6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7ED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47329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180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4A3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学校级身份验证管理信息系统软件</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028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1、符合陕西省国家教育考试身份认证系统建设技术要求；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2、须实现与陕西省考试院综合管理平台互联互通，实现数据交换。数据交换方式包括专网实时传输数据和离线导入导出数据。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3、满足陕西省考试院的接口要求，系统具备数据上传、数据下发、缺考统计、数据查询等功能。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4、平台产品具有考点管理功能，包括考点的基本信息管理，考点信息的批量导入，可查询、添加、修改、删除考点信息。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5、软件具备高并发技术性：支持2000以上并发访问/秒。</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6、具备多场次关联功能：支持多场次的考试验证，支持数据的接收，支持考生数据打包。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7、具备考生信息查询功能：可查询考生的信息，包括考生的基本信息（证件号码，性别等）以及考试相关的信息。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8、具备设备管理功能，支持对验证终端的在线状态查看、数据下发、数据上传参数的管理。</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865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0F4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6616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2D0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638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专用充电柜</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1A0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1、材质：铝钢塑结构，柜体采用铝型材横梁，冷轧钢主体及门板，塑料侧板组成。门板可以270度打开，便于用户取用平板及散热。</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2、外观：内嵌式一体推拉把手，一体成型的塑料侧板及防撞脚设计；内置通风、走线的ABS塑料隔板；采用4寸万向静音脚轮，便于移动。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   （1）门板可以270度打开，取拿方便；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   （2）外露2位三插电源接口，方便用户取电；</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   （3）内置智能电源管理模块，具备时序供电，漏电保护等功能；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   （4）标配漏电保护系统、电源管理系统和充电舱彻底分离；自动刀闸和使用闸刀分离；</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   （5）36位USB充电接口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   （6）LCD灯显示充电状态，显示设备的充电状态；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   （7）标配2组6寸散热风扇，散热强力，风扇转速温控可调；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4、AC110-250V，50/60hz，10A，每个USB 接口5V/2.0A；</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5、充电平板尺寸：≤D280*H190*W32 mm</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4E8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BBB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4FBF2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8FC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DE2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汇聚交换机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58F6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 固化10/100/1000M以太网端口≥28，复用100/1000M SFP光口≥4个，固化10G/1G SFP+光接口≥4个；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 交换容量≥598Gbps，包转发率≥222Mpps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 支持RIP，OSPF，BGP，RIPng，OSPFv3，BGP4+</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 支持IGMP v1/v2/v3，IGMP v1/v2/v3 Snooping，支持PIM-DM，PIM-SM，PIM-SSM，PIM for IPv6</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 支持并实配可拔插双模块化电源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 提供工信部三层交换机进网许可证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 配置电源模块≥2个</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105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303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54302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605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C7D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楼层交换机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9C3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 交换容量≥330Gbps，包转发率≥126Mpps/51Mpps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 固化10/100/1000M以太网端口≥24，固化1G SFP光接口≥4个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 要求设备采用静音无风扇节能设计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 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 提供工信部交换机进网许可证</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FB21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D45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3B401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85D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2D5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交换机光模块</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857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企业级千兆单模SFP光纤模块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B07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B3E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14:paraId="4835F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FCF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AB6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网线</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D068">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六类双绞线，网线及控制线</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C38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A6F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箱</w:t>
            </w:r>
          </w:p>
        </w:tc>
      </w:tr>
      <w:tr w14:paraId="64F73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B1F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5A0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电源线</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43B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RVV2*2.0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698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A27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481C1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1CB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A0A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管材及辅料</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E8D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线管，线槽，插板、PVC线槽，空开，塑料胀管，自攻螺丝，水晶头、小网络机柜、理线架、空开、电箱等</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DFE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03D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批</w:t>
            </w:r>
          </w:p>
        </w:tc>
      </w:tr>
      <w:tr w14:paraId="4BB46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6D1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72B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施工、安装费</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0044">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1.施工安装费用：施工、运输卸货搬运均为夜间，时间为23:00至凌晨5:30，人工（含夜间费用、高空作业、工伤保险等）费用，设备租赁包括脚手架若干、吊车等，运输卸货搬运为夜间运输搬运卸货。</w:t>
            </w:r>
          </w:p>
          <w:p w14:paraId="2834DFA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2.设备调试费用：请省、市考试院行业专家和厂家工程师至少3人以上进行设备调试，并与省市平台实现数据互联互通。</w:t>
            </w:r>
          </w:p>
          <w:p w14:paraId="1C04A28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3.培训费用：设备安装到位调试完成后进行首次涉岗全员培训，由至少3个厂家的不同工程师进行全员培训。设备质保期见每年至少6次以上重大考试考前培训每次培训工程师2人以上。</w:t>
            </w:r>
          </w:p>
          <w:p w14:paraId="2FC593C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运维保障费用：每月日常运维费，质保期内至少24次巡检，每次巡检人数至少1人，至少四次重大考试保障期间，每校配备不少于4人，派驻天数至少5天，质保期内巡查系统设备备品备件至少按照设备总额1.5%准备库存以保证设备及时更换。</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EB5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FA20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68E35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B0B9A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四、高考英语听力广播系统</w:t>
            </w:r>
          </w:p>
        </w:tc>
      </w:tr>
      <w:tr w14:paraId="08506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896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序号</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3D3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名称</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68E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技术参数</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E60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数量</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1E5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单位</w:t>
            </w:r>
          </w:p>
        </w:tc>
      </w:tr>
      <w:tr w14:paraId="72CCB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6516">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8CC7">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系统服务器</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（核心产品）</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CCE9">
            <w:pPr>
              <w:pStyle w:val="2"/>
              <w:keepNext w:val="0"/>
              <w:keepLines w:val="0"/>
              <w:widowControl/>
              <w:suppressLineNumbers w:val="0"/>
              <w:spacing w:before="0" w:beforeAutospacing="0" w:after="0" w:afterAutospacing="0"/>
              <w:ind w:left="0" w:right="0"/>
              <w:jc w:val="left"/>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1.≥19英寸标准机架式设计，≥7U铝合金面板、钢结构材质。</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2.可兼容 TCP/IP、RTP、RTSP、UDP 等多种流媒体网络协议，实施跨网关设备控制以及状态实时监控；</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3.内嵌播控软件，具备丰富的节目源，支持多套节目同时播放，并对每套节目可进行独立控制；</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4.主机应采用工业级主板设计，支持24小时长时间运行工作。</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5.▲具有可抽拉隐藏式键盘、触摸板鼠标，简单易用的触摸屏操控。</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6.具备强大的控制功能，可及时对终端设备进行单点、区域控制；</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7.可对网络终端进行独立分区、IP、音量控制，终端设备状态一目了然；</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8.支持广播监听功能，支持远程分控讲话；</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9.支持持系统自动开关机；</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10.系统信息采用数据库存储模式，保证数据安全性；</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11.操作系统可支持安装部署windows 或 server2012 操作平台；</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12.支持全屏幕快捷操作，可编程分区；可以按照星期、月、天等方式对节目进行编程控制，编程方式灵活易懂；</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13.采用全数字信号传输及处理；</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14.可实现任意分区广播、全体广播、定时定点广播；</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15.支持报警联动，报警强插功能等；</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16.▲自带功放、扬声器，具备专业拾音器接口，在没有外设的条件下可方便实现本地扩声和声音采集。</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17.▲设备支持选配内置校时模块，可接收北斗、GPS校时信号，确保系统时间准确。</w:t>
            </w:r>
            <w:r>
              <w:rPr>
                <w:rFonts w:hint="eastAsia" w:ascii="宋体" w:hAnsi="宋体" w:eastAsia="宋体" w:cs="宋体"/>
                <w:b/>
                <w:bCs/>
                <w:color w:val="auto"/>
                <w:sz w:val="18"/>
                <w:szCs w:val="18"/>
                <w:lang w:val="en-US" w:eastAsia="zh-CN"/>
              </w:rPr>
              <w:br w:type="textWrapping"/>
            </w:r>
            <w:r>
              <w:rPr>
                <w:rFonts w:hint="eastAsia" w:ascii="宋体" w:hAnsi="宋体" w:eastAsia="宋体" w:cs="宋体"/>
                <w:b/>
                <w:bCs/>
                <w:color w:val="auto"/>
                <w:sz w:val="18"/>
                <w:szCs w:val="18"/>
                <w:lang w:val="en-US" w:eastAsia="zh-CN"/>
              </w:rPr>
              <w:t>18.系统配置：采用工业级处理器，CPU不低于4核心2GHz、内存≥4G，≥15.6寸可触摸液晶显示屏。</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1F86">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3A3B">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lang w:val="en-US" w:eastAsia="zh-CN"/>
              </w:rPr>
              <w:t>台</w:t>
            </w:r>
          </w:p>
        </w:tc>
      </w:tr>
      <w:tr w14:paraId="6870D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10B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043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网络广播软件</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B39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 xml:space="preserve">1、系统服务管理软件，支持双向通讯设备的权限分配。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2、支持单点播放：可以对任意单点、组群、分区或全区广播。</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3、支持自动打铃：能设置个性化的音乐铃声，按照编排好的时间表自动播放。</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4、支持远程广播喊话：无需到服务器广播中心，通过与连接的任意一台电脑，便可以实现广播的远程控制，从而实现领导、广播员通过电脑远程对全区、分区、分组广播喊话。</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音频实时采播：能够将自用电台、录音机卡座、CD播放器、MP3播放器、麦克风等节目实时采播实时压缩成高音质数据流存储到服务器，并可按要求同时转播到指定的广播终端，用于播放外接设备广播及广播通知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8、分区自由点播：可通过软件控制在每个广播点的广播终端完成服务器中资料库的任意点播。</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9、定时节目播放：每个广播终端可以单独接收服务器的个性化定时播放节目，也可以通过电脑在网上远程设置或者在终端直接按键操作。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11、寻呼对讲功能：终端可以对其他单个或多个终端实现呼叫，终端与终端之间还可以双向对讲。</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12、会话心跳：通过服务和会话客户端之间心跳机制功能，避免客户端异常退出，僵死会话长期占用终端。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13、服务看门狗：当被监控的系统服务意外停止运行时，看门狗将自动重新启动该服务的功能。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14、广播监听：在广播管理中心或者领导办公室，可以实时监听到所有的广播节目。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15、本地扩音及备份广播：广播点内IP广播、本地扩音、备份定压广播三合一共用音箱，实现广播点内声音的智能切换。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16、紧急备份广播：在网络不通或其他故障情况下，要求能够采用备份定压广播直接对广播点进行广播。备份广播与IP广播的切换是自动完成的。</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17、节目源和数据不受限制：系统采用采集、编码、压缩技术，使各类节目源均不受限制；IP网络广播在不同终端所播出的不同节目数量亦不受限制。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18、站点无限，扩容简便：基于IP数据网络每个终端都有独立的IP地址，只需将分控电脑或网络终端接入IP数据网络，就成功扩容了新的站点。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19、支持文件播放：用户可以向不同终端同时播放不同节目，终端支持自动功放电源开关。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20、支持大比特率播放：音质达到CD级(音频文件位速为128kbps)并能播放高音质发烧级别的音频文件（音频文件位速320kbps）；</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4A9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0B0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06C61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E61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18D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电源时序器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2B8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1.采用标准2U机架式设计，方便上机柜。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2.≥2路直通电源输出接口，≥16路受控电源输出接口，可依次开启与关闭。</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3、每路电源均有配套电源指示灯显示工作状态。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3.每路电源输出电流≥10A，总输出功率≥6000W。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4.配套≥4路拔码开关，支持地址码选址，可实现多台并机工作。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5.停电恢复时支持继续依次按顺序开启16路输出。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6.具备短路触发输入接口与输出接口，方便与外部智能设备对接使用.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7.支持掉线提醒功能。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8.支持断电记忆功能，每路电源间隔1S开启。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9.≥1路RJ45接口，可实现远程启动控制。</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64D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6FD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1AC91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352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BB7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IP网络寻呼话筒</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7B6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功能要求：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1.支持免提和非免提双模式通话：外接鹅颈式话筒，内置喇叭，支持免提通话；带话筒接口，可接专业话筒，进行非免提通话。</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2.带≥7英寸真彩LCD显示屏，支持触控操作，可直接配置IP地址和查看终端状态。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3.支持网络搜索配置，无需知道终端 IP地址，可直接寻址配置。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4.支持寻呼、会议。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5.支持双向对讲功能：双向终端之间实现两两双向对讲。</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6.具有30以上一键呼叫触控按钮，便于呼叫不同的分区。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7.支持网络在线升级。</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8.具有监听功能，用于监听其他终端采集到的环境声音。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9.支持静态IP和DHCP两种方式，跨网段，跨路由，配置使用方便。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10.具有3.5mm的标准音频接口，可连接专用话筒，便于扩展非免提通话，用于私密通话。</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11.支持一路本地线路输出，可外扩功放。</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12.支持U盘点播，可点播U盘上的文件到其他终端播放。</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技术参数：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1.电源：DC12V/2A</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2.额定功率(Max.Po@1KHz 0dB)：3W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3.音频位率：8Kbps～320Kbps自适应</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4.频率响应：40Hz～20KHz（±3dB）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5.总谐波失真（THD@1W）：≤1%</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6.信噪比：&gt;80dB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7.采样率：8K～48KHz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8.最大功耗：5W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9.输入电平：400mV（标准3.5mm音频接口）</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10.输出电平：0.775V（标准3.5mm音频接口）</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11.内置扬声器输出阻抗&amp;功率：8Ω/5W</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4F3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C5E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10ABE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B46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AA9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音频处理调音台</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BF4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1.≥4路平衡式卡侬输入接口、≥4路立体声输入接口、≥2路主输出接口、≥2路编组输出接口。</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2.支持≥16路可调DELY和REPEAT效果处理器，≥7段图示均衡器，可根据不同使用场景调用对应的扩声效果。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3.具备多格式MP3播放器，支持歌词及曲目显示。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4.支持多段参数均衡、图示均衡、混响回声效果处理、立体声通道均衡、高低通滤波等电子立体声音效调节功能.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5.音频通道具备哑音选择开关，支持独立监听功能。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6.≥6路母线（BUS）：含主输出、两编组、与监听输出通道。</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7.采用≥100MM长行程推子控制。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8.每路输入内置48V幻象供电，可支持每路幻像供电独立可控。</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9.内置80V-240V宽电压工作电源。</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3DC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287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796DF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D70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E61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听力考试音频监听终端</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BFC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功能要求：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1.壁挂式设计，黑色塑胶注塑成型，终端采用嵌入式技术和DSP音频处理技术；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2.配置≥4.3英寸真彩触摸电容显示屏，触控精准，反馈灵敏，高速工业级芯片，启动时间小于1s；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3.超强抗干扰性能，避免红外信号操作的不稳定因素；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4.内置2×25W定阻输出D类功放模块，内置网络硬件音频解码模块，支持TCP/IP、UDP、IGMP(组播)协议，支持音频格式MP3/MP2；</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5.实现网络化传输16位立体声CD音质的音频信号，立体声音频路输出，可外接功率放大器或有源音箱；</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6.支持终端新配置注册时智能语音提示功能（如设备已连接）；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7.具有1000级自定义音频优先级默音控制功能；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8.具有服务器统一授权操作管理功能，统一配置管理用户及密码；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9.具有数字音频时光流逝的断点播放功能；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10.具有PSTN电话广播，支持短信语音广播功能；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11.具有手机WIFI点播，支持无线遥控器点播功能；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12.支持DHCP，兼容路由器、交换机、网桥网关、Modem、Internet、2G、3G、4G、组播、单播等任意网络结构；</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13.支持协议：TCP/IP，UDP，IGMP（组播）</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14.内置模拟音频信号备份模块，支持定压70V/100V备份音频信号输入，满足教育听力考试要求；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接口要求：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1.1路立体声线路输入，1路话筒输入，具有独立音量调节开关；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2.1路U盘输入接口，可实现本地U盘播放功能；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3.1路短路信号输入，可接入联动触发信号，有紧急情况时可触发终端报警；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4.1路短路信号输出，紧急情况时可联动触发其它设备；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5.网络接口：标准RJ45输入；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6.70/100V备份音频输入接口</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技术参数：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1.输出功率：2×25W定阻；</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2.频率响应：50Hz~18KHz；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3.采样率：8K～48KHz；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4.传输速率：100Mbps；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5.音频模式：16位立体声CD音质；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6.谐波失真：≤0.3%；</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7.信噪比：＞70dB；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8.音源输出电平：1000mV工业标准压线接线端子；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9.音源输出阻抗：470Ω；</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D21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FBB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66061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A93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DC9C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扩声音箱</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AEE0">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1.木质音箱（10mm密度板材）多角度壁挂安装。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2.适用于室内广播终端扩声。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技术参数：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1.额定功率：10-20W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2.阻抗：8Ω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3.频响范围：90Hz-18KHz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4.灵敏度：≥90dB</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C8C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3AE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14:paraId="7B8F3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07C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403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考试专用音频备份主机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E5B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1.透明带灯按键。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2.最大80秒延时，最小40毫秒延时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3.可调节延时后输出音频音量大小，输出音频±7DB功能。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4.开机倒计时延时时间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5.卡侬和立体声莲花输入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6.卡侬和立体声莲花输出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7.输入输出平衡非平衡混合输入输出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8.平衡非平衡转换功能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9.断电直通功能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10.宽电压输入90-260V</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11.断电自动记忆保存功能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12.音频双声道平衡分配器提供丰富的电源状态、音频链路状态、输入输出等，有效指示功能使用户安装调试方便。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13.音频双声道平衡分配器使用全工业级别宽温度范围设计，工业级芯片、全表面贴装技术，开关电源，耐高温、严寒，可以有效防止电磁波辐射干扰，雷电冲击和电源浪涌，通信质量稳定可靠。</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DFE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73A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77E9D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4C9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116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紧急音频备份终端</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4C2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1.带铃声提式，麦克风与叮咚音量可调。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2.具有MP3播放功能。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3.抗手机、电磁干扰.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4.支持外置音源输入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技术参数：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1.换能方式：电容式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2.指向性：心型</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3.频率响应：40Hz-16kHz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4.输出阻坑：200Ω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5.灵敏度：-40dB±2dB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6.供电电压：DC3V/DC5V</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7.输出、指示：非平衡、管灯</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10F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BBD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19047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88F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42E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主备功放切换器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220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 xml:space="preserve">1.标准机箱设计，2U铝合金面板。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2.具备≥4个独立工作通道，支持≥6台主/备功放接入。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3.支持故障自动切换。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4.支持手动切换功能。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5.具备LED工作状态显示灯，可指示各通道工作状态。</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4ED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A8B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6ED9A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C6D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995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主功率放大器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09B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 xml:space="preserve">1.标准机箱设计，2U铝合金拉丝面板；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2.具备输入输出XLR音频插口供方便环接；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3.采用5单元LED电平指示工作状态；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4.具备压限功能，保证声音不失真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5.具备100V定压输出接口，额定输出功率：≥1500W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6.▲设备支持短路、过压、过热、过流等保护功能。</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015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16F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284D6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D0D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36E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备用功率放大器</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104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 xml:space="preserve">1.标准机箱设计，2U铝合金拉丝面板；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2.具备输入输出XLR音频插口供方便环接；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3.采用5单元LED电平指示工作状态；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4.具备压限功能，保证声音不失真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5.具备100V定压输出接口，额定输出功率：≥1500W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6.▲设备支持短路、过压、过热、过流等保护功能。</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649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C6D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5B029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C35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5A3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IP壁挂式解码终端</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177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功能要求：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1.壁挂式设计，黑色塑胶注塑成型，终端采用嵌入式技术和DSP音频处理技术；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2.配置4.3英寸真彩触摸电容显示屏，触控精准，反馈灵敏，采用高速工业级芯片，启动时间小于1s；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3.超强抗干扰性能，避免红外信号操作的不稳定因素；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4.内置2×25W定阻输出D类功放模块，内置网络硬件音频解码模块，支持TCP/IP、UDP、IGMP(组播)协议，支持音频格式MP3/MP2；</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5.实现网络化传输16位立体声CD音质的音频信号，立体声音频路输出，可外接功率放大器或有源音箱；</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6.支持终端新配置注册时智能语音提示功能（如设备已连接）；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7.具有1000级自定义音频优先级默音控制功能；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8.具有服务器统一授权操作管理功能，统一配置管理用户及密码；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9.具有数字音频时光流逝的断点播放功能；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10.具有PSTN电话广播，支持短信语音广播功能；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11.具有手机WIFI点播，支持无线遥控器点播功能；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12.支持DHCP，兼容路由器、交换机、网桥网关、Modem、Internet、2G、3G、4G、组播、单播等任意网络结构；</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13.支持协议：TCP/IP，UDP，IGMP（组播）</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14.内置模拟音频信号备份模块，支持定压70V/100V备份音频信号输入，满足教育听力考试要求。；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接口说明：</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1.1路立体声线路输入，1路话筒输入，具有独立音量调节开关；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2.1路U盘输入接口，可实现本地U盘播放功能；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3.1路短路信号输入，可接入联动触发信号，有紧急情况时可触发终端报警；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4.1路短路信号输出，紧急情况时可联动触发其它设备；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5.网络接口：标准RJ45输入；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6.70/100V备份音频输入接口</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技术参数：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1.输出功率：2×25W定阻；</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2.频率响应：50Hz~18KHz；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3.采样率：8K～48KHz；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4.传输速率：100Mbps；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5.音频模式：16位立体声CD音质；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6.谐波失真：≤0.3%；</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7.信噪比：＞70dB；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8.音源输出电平：1000mV工业标准压线接线端子；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9.音源输出阻抗：470Ω；</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C21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507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0DC60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1AC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17F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扩声音箱</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5BA4">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1.木质音箱（10mm密度板材）多角度壁挂安装。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2.适用于室内广播终端扩声。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技术参数：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1.额定功率：10-20W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2.阻抗：8Ω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3.频响范围：90Hz-18KHz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4.灵敏度：≥90dB</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0E7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32A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14:paraId="5B0C9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9E1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A6A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广播室机柜</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D4E7">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42U标准网络机柜</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F28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A56E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55D09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F92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046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UPS</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863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在线式10KVA，电池12V100AH，1组，含电池柜</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09E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633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2CBC3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2B9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0E5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音源备份电脑主机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5E60">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配置不低于：台式/I5-12500/16G/1T固态/2G独显/21.5寸显示器/键鼠套，win10以上</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EEC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7D6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6E5C2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857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8FE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主干电源线</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671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用RVV3*4线，统一供电方便管理，具体视广播中心到前端楼宇距离计算，楼宇强电到广播中心。</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CAE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0BB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465B1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59F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40A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电源线支线</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037D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RVV2*2.0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F48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3AD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18336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3B5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787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音箱线</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823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RVVP2*2.5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377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24B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102FA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44A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4A7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音箱线</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B93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RVVP2*1.0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8F6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EE9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608FC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E64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22</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FC2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交换机光模块</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C3B7">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企业级千兆单模SFP光纤模块</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022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8B0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14:paraId="714E0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E15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23</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D5A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楼层交换机</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298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 交换容量≥330Gbps，包转发率≥126Mpps/51Mpps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 固化10/100/1000M以太网端口≥24，固化1G SFP光接口≥4个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 要求设备采用静音无风扇节能设计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 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 提供工信部交换机进网许可证</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4F7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D67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1973D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A0C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24</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DB7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网线</w:t>
            </w:r>
          </w:p>
        </w:tc>
        <w:tc>
          <w:tcPr>
            <w:tcW w:w="1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03A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六类双绞线，网线及控制线</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CE2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928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箱</w:t>
            </w:r>
          </w:p>
        </w:tc>
      </w:tr>
      <w:tr w14:paraId="1B43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3C1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25</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E57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管材及辅料</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525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线管，线槽，插板、PVC线槽，空开，塑料胀管，自攻螺丝，水晶头、小网络机柜</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BC9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EDB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批</w:t>
            </w:r>
          </w:p>
        </w:tc>
      </w:tr>
      <w:tr w14:paraId="4B862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567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26</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4A4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施工、安装费</w:t>
            </w:r>
          </w:p>
        </w:tc>
        <w:tc>
          <w:tcPr>
            <w:tcW w:w="1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B47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1.施工安装费用：施工、运输卸货搬运均为夜间，时间为23:00至凌晨5:30，人工（含夜间费用、高空作业、工伤保险等）费用，设备租赁包括脚手架若干、吊车等，运输卸货搬运为夜间运输搬运卸货。</w:t>
            </w:r>
          </w:p>
          <w:p w14:paraId="62E59F8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2.设备调试费用：请省、市考试院行业专家和厂家工程师至少3人以上进行设备调试，并与省市平台实现数据互联互通。</w:t>
            </w:r>
          </w:p>
          <w:p w14:paraId="37616B5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3.培训费用：设备安装到位调试完成后进行首次涉岗全员培训，由至少3个厂家的不同工程师进行全员培训。设备质保期见每年至少6次以上重大考试考前培训每次培训工程师2人以上。</w:t>
            </w:r>
          </w:p>
          <w:p w14:paraId="572E01D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运维保障费用：每月日常运维费，质保期内至少24次巡检，每次巡检人数至少1人，至少四次重大考试保障期间，每校配备不少于4人，派驻天数至少5天，质保期内巡查系统设备备品备件至少按照设备总额1.5%准备库存以保证设备及时更换。</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F5D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788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bl>
    <w:p w14:paraId="77195876">
      <w:pPr>
        <w:pStyle w:val="2"/>
        <w:rPr>
          <w:rFonts w:hint="eastAsia" w:ascii="宋体" w:hAnsi="宋体" w:eastAsia="宋体" w:cs="宋体"/>
        </w:rPr>
      </w:pPr>
    </w:p>
    <w:p w14:paraId="1179B3C1">
      <w:pPr>
        <w:rPr>
          <w:rFonts w:hint="eastAsia" w:ascii="宋体" w:hAnsi="宋体" w:eastAsia="宋体" w:cs="宋体"/>
        </w:rPr>
      </w:pPr>
      <w:r>
        <w:rPr>
          <w:rFonts w:hint="eastAsia" w:ascii="宋体" w:hAnsi="宋体" w:eastAsia="宋体" w:cs="宋体"/>
        </w:rPr>
        <w:br w:type="page"/>
      </w:r>
    </w:p>
    <w:p w14:paraId="3BBCB07B">
      <w:pPr>
        <w:pStyle w:val="2"/>
        <w:rPr>
          <w:rFonts w:hint="eastAsia"/>
          <w:b/>
          <w:bCs/>
          <w:color w:val="auto"/>
        </w:rPr>
      </w:pPr>
      <w:r>
        <w:rPr>
          <w:rFonts w:hint="eastAsia"/>
          <w:b/>
          <w:bCs/>
          <w:color w:val="auto"/>
          <w:lang w:val="en-US" w:eastAsia="zh-CN"/>
        </w:rPr>
        <w:t>2、</w:t>
      </w:r>
      <w:r>
        <w:rPr>
          <w:rFonts w:hint="eastAsia"/>
          <w:b/>
          <w:bCs/>
          <w:color w:val="auto"/>
        </w:rPr>
        <w:t>西安市第一实验学校</w:t>
      </w:r>
    </w:p>
    <w:tbl>
      <w:tblPr>
        <w:tblStyle w:val="32"/>
        <w:tblW w:w="14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1069"/>
        <w:gridCol w:w="11064"/>
        <w:gridCol w:w="696"/>
        <w:gridCol w:w="696"/>
      </w:tblGrid>
      <w:tr w14:paraId="2DBCD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927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序号</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8CE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名称</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56D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技术参数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8B8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533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单位</w:t>
            </w:r>
          </w:p>
        </w:tc>
      </w:tr>
      <w:tr w14:paraId="10A9A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18E15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一、考场端</w:t>
            </w:r>
          </w:p>
        </w:tc>
      </w:tr>
      <w:tr w14:paraId="5EE82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31F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DCE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标考红外高清半球摄像机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842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符合《国家教育考试网上巡查系统视频标准技术规范（2017版）》；</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1.≥200万(1920×1080) 像素，1/2.8英寸CMOS图像传感器；镜头焦距：2.7mm~12mm；；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2.支持H.264、H.265、MPEG-4视频编码，支持MPEG Layer II、G711和AAC音频编码标准；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3.支持三码流，ACF（活动帧率控制）；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 ROI，支持多达 20 路连接；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6.支持IP67，IK10防护等级，防浪涌，防静电，防雷设计；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7.支持大容量存储卡，不小于 64GB，录像可断网续传；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8.支持人脸侦测；支持音频侦测；支持区域入侵，拌线入侵，物品遗留/消失，虚焦侦测，场景变更的侦测，并且可以与报警联动；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EE4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276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5A55A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587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091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900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F2B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97D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7E15C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0EB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A66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拾音器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B892">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1、内置数字语音处理电路和微处理芯片，两级动态数字降噪处理；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2、自适应动态降噪处理技术，内置高速DSP数字信号处理器；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3、拾音半径不小于6m；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4、信噪比≥88dB；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5、内置雷击保护、电源极性反转保护；</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6、经过防潮技术处理；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7、超长线路的拾音头音频传输专利技术，采用屏蔽电缆传输≥3000米不失真；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8、防电磁干扰；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9、频率响应 20Hz ～ 20kHz，动态范围≥104dB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060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BEF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只</w:t>
            </w:r>
          </w:p>
        </w:tc>
      </w:tr>
      <w:tr w14:paraId="2AF41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E15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8FE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电波钟</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6E1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≥16英寸电波钟，静音扫描智能电波石英钟，具有自动校正及时间记忆功能；具备夜间停秒及静音扫描功能；产品材质：HIPS环保工程塑料。温度范围：-10--50℃；电压范围：DC2.6V--3.4V；</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9F9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29C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只</w:t>
            </w:r>
          </w:p>
        </w:tc>
      </w:tr>
      <w:tr w14:paraId="31341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EA84B4">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二、保密室</w:t>
            </w:r>
          </w:p>
        </w:tc>
      </w:tr>
      <w:tr w14:paraId="72858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5FD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2AF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标考红外高清半球摄像机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355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符合《国家教育考试网上巡查系统视频标准技术规范（2017版）》；</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1.≥200万(1920×1080) 像素，1/2.8英寸CMOS图像传感器；镜头焦距：2.7mm~12mm；；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2.支持H.264、H.265、MPEG-4视频编码，支持MPEG Layer II、G711和AAC音频编码标准；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3.支持三码流，ACF（活动帧率控制）；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 ROI，支持多达 20 路连接；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6.支持IP67，IK10防护等级，防浪涌，防静电，防雷设计；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7.支持大容量存储卡，不小于 64GB，录像可断网续传；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8.支持人脸侦测；支持音频侦测；支持区域入侵，拌线入侵，物品遗留/消失，虚焦侦测，场景变更的侦测，并且可以与报警联动；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399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892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02520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761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5AB4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4BF8">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A15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858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339EA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160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931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拾音器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3917">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1、内置数字语音处理电路和微处理芯片，两级动态数字降噪处理；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2、自适应动态降噪处理技术，内置高速DSP数字信号处理器；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3、拾音半径不小于6m；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4、信噪比≥88dB；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5、内置雷击保护、电源极性反转保护；</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6、经过防潮技术处理，寿命提高两倍以上；</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7、超长线路的拾音头音频传输专利技术，采用屏蔽电缆传输≥3000米不失真；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8、防电磁干扰；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9、频率响应 20Hz ～ 20kHz，动态范围≥ 104dB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995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122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只</w:t>
            </w:r>
          </w:p>
        </w:tc>
      </w:tr>
      <w:tr w14:paraId="3ECC9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E77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CAF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电波钟</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DB37">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≥16英寸电波钟，静音扫描智能电波石英钟，具有自动校正及时间记忆功能；具备夜间停秒及静音扫描功能；产品材质：HIPS环保工程塑料。温度范围：-10--50℃；电压范围：DC2.6V--3.4V；</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9EA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943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只</w:t>
            </w:r>
          </w:p>
        </w:tc>
      </w:tr>
      <w:tr w14:paraId="17D68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E3D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4BA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保密柜</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3DB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材质：冷轧钢板；外层：静电喷塑；尺寸：约（高1850*宽900*深430mm）±10mm；开锁方式：密码、钥匙等</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6B2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D94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14:paraId="35B26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3F2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AB0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防盗门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1CE0">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工 艺：门扇约67㎜，带防撬槽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规格尺寸：约2050x960mm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表面处理：木纹转印色漆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门框配置：1.5mm冷轧钢板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门面配置：外包约0.8mm ，内板约0.6㎜冷轧钢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门 槛：约0.8mm厚，不锈钢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配置：b级机械锁具，11锁点。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密封：PU耐候性密封条</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43D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89C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项</w:t>
            </w:r>
          </w:p>
        </w:tc>
      </w:tr>
      <w:tr w14:paraId="2D727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23A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A4FA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灭火器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3FD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绿消4公斤干粉灭火器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6B4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E46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14:paraId="18848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E39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681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室内改造</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6690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窗户使用木工板封堵，面积约2m*7m，腻子找平刷白14m²</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C2F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7EA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项</w:t>
            </w:r>
          </w:p>
        </w:tc>
      </w:tr>
      <w:tr w14:paraId="2955B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DD76C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三、考务办（1间）</w:t>
            </w:r>
          </w:p>
        </w:tc>
      </w:tr>
      <w:tr w14:paraId="3711A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426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B51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标考红外高清半球摄像机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41C8">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符合《国家教育考试网上巡查系统视频标准技术规范（2017版）》；</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1.≥200万(1920×1080) 像素，1/2.8英寸CMOS图像传感器；镜头焦距：2.7mm~12mm；；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2.支持H.264、H.265、MPEG-4视频编码，支持MPEG Layer II、G711和AAC音频编码标准；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3.支持三码流，ACF（活动帧率控制）；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 ROI，支持多达 20 路连接；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6.支持IP67，IK10防护等级，防浪涌，防静电，防雷设计；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7.支持大容量存储卡，不小于 64GB，录像可断网续传；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8.支持人脸侦测；支持音频侦测；支持区域入侵，拌线入侵，物品遗留/消失，虚焦侦测，场景变更的侦测，并且可以与报警联动；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BF6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846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2D434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787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E25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555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608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B2C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77059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E76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84B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拾音器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6BF2">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1、内置数字语音处理电路和微处理芯片，两级动态数字降噪处理；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2、自适应动态降噪处理技术，内置高速DSP数字信号处理器；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3、拾音半径不小于6m；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4、信噪比≥88dB；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5、内置雷击保护、电源极性反转保护；</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6、经过防潮技术处理，寿命提高两倍以上；</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7、超长线路的拾音头音频传输专利技术，采用屏蔽电缆传输≥3000米不失真；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8、防电磁干扰；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9、频率响应 20Hz ～ 20kHz，动态范围 ≥104dB；</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49B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E6D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只</w:t>
            </w:r>
          </w:p>
        </w:tc>
      </w:tr>
      <w:tr w14:paraId="653AE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1B9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B8D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电波钟</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8B1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≥16英寸电波钟，静音扫描智能电波石英钟，具有自动校正及时间记忆功能；具备夜间停秒及静音扫描功能；产品材质：HIPS环保工程塑料。温度范围：-10--50℃；电压范围：DC2.6V--3.4V；</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35C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0CE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只</w:t>
            </w:r>
          </w:p>
        </w:tc>
      </w:tr>
      <w:tr w14:paraId="54595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AF446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四、校门口</w:t>
            </w:r>
          </w:p>
        </w:tc>
      </w:tr>
      <w:tr w14:paraId="6891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DFC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F3A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标考红外高清网络球型摄像机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771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1）符合《国家教育考试网上巡查系统视频标准技术规范（2017版）》相关技术规范；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2）嵌入式设备，具备实时操作系统，本身具有抗病毒和抗攻击能力；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3）采用≥200万（1920×1080）像素，1/2.8英寸 CMOS高性能图像传感器，低照度环境的完美展现；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4）最大支持1920×1080@30fps实时视频输出；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5）支持16 倍数字变倍，20倍光学变倍；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6）支持三码流，最大20路用户登陆；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7）采用标准MPEG-4 视频压缩技术，最大图像尺寸：1920×1080；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8）支持MPEG-4 和H.264视频编码、支持MPEG  Layer II、G711和AAC音频编码标准，并支持PS系统流和TS传输流的封装；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9）设备具有日志功能；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10）支持IP单播技术；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11）具有可设定的点对点、点对多点传输能力；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12）具有视频移动侦测能力，可根据设置策略实现相应的编码、传输、存储或视频报警；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14）支持自动跟踪和手动跟踪；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15）支持单场景跟踪及多场景巡航跟踪；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16）支持绊线入侵、区域入侵、物品遗留与物品消失多种行为检测，支持人脸检测；</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17）创新的跟踪算法，自动锁定目标，并自动调整云台焦距，以获得最佳监控图像；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18）MAC白名单、多级用户管理，监控保密和权限管理功能；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19）低码流传输；</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20）超级宽动态效果，图像降噪功能；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21）电子图像防抖动功能；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22）快装结构，防掉落设计；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23）独特的FD三维定位功能；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24）垂直旋转 -20°～90°自动翻转180°后连续监视；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25）水平旋转 0°～360°连续旋转；</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26）键控速度 水平：0.1°～200°/s 垂直：0.1°～120°/s；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27）多种网络监控方式相结合(WEB、客户端)，使用更方便；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28）灵活的网络扩展能力，适应各种网络平台监控系统；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29）SD卡本地存储，解决网络异常状态的监控存储问题，支持 FTP 存储录像，录像可断网续传；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30）内置红外灯补光，补光距离≥220米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31）选用高性能红外灯；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32）支持24V±25%宽电压输入；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33）支持ONVIF、CGI等等各种网络协议，组网更方便。</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F44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D6C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6234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EB1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D19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标考红外高清枪式摄像机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A97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3.采用超低照度200万(1920×1080) 像素，1/3英寸CMOS图像传感器；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4.采用H.264/265编码；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5.支持三码流；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6.支持宽动态，3D降噪、强光抑制、背光补偿；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7.具有SD卡存储、报警等接口及录像断网续传功能；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8.具备红外补光功能，满足光线较暗环境使用；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10.支持区域入侵，拌线入侵，物品遗留/消失，虚焦侦测，场景变更的侦测，并且可以与报警联动；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11.支持无SD卡、SD卡空间不足、SD卡出错、网络断开、IP冲突、移动检测、视频遮挡智能报警。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12.支持标准SIP2.0，SIP地址解析、信令转发，统一命名规则以及分级命名等；</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17D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808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14FA5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79D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3BC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8FE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8B5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C3F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54A38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9D9E18">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五、监控中心1个及听力广播室（2个）</w:t>
            </w:r>
          </w:p>
        </w:tc>
      </w:tr>
      <w:tr w14:paraId="7274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BBA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33A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标考红外高清半球摄像机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B81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符合《国家教育考试网上巡查系统视频标准技术规范（2017版）》；</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1.≥200万(1920×1080) 像素，1/2.8英寸CMOS图像传感器；镜头焦距：2.7mm~12mm；；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2.支持H.264、H.265、MPEG-4视频编码，支持MPEG Layer II、G711和AAC音频编码标准；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3.支持三码流，ACF（活动帧率控制）；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 ROI，支持多达 20 路连接；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6.支持IP67，IK10防护等级，防浪涌，防静电，防雷设计；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7.支持大容量存储卡，不小于 64GB，录像可断网续传；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8.支持人脸侦测；支持音频侦测；支持区域入侵，拌线入侵，物品遗留/消失，虚焦侦测，场景变更的侦测，并且可以与报警联动；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95B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484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3D972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D00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796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B25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57D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C90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7F48E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617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04D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拾音器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859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1、内置数字语音处理电路和微处理芯片，两级动态数字降噪处理；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2、自适应动态降噪处理技术，内置高速DSP数字信号处理器；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3、拾音半径不小于6m；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4、信噪比≥88dB；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5、内置雷击保护、电源极性反转保护；</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6、经过防潮技术处理；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7、超长线路的拾音头音频传输专利技术，采用屏蔽电缆传输≥3000米不失真；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8、防电磁干扰；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9、频率响应 20Hz ～ 20kHz，动态范围≥ 104dB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B41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115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只</w:t>
            </w:r>
          </w:p>
        </w:tc>
      </w:tr>
      <w:tr w14:paraId="00B62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4BB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655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电波钟</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858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≥16英寸电波钟，静音扫描智能电波石英钟，具有自动校正及时间记忆功能；具备夜间停秒及静音扫描功能；产品材质：HIPS环保工程塑料。温度范围：-10--50℃；电压范围：DC2.6V--3.4V；</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2EF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AAC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只</w:t>
            </w:r>
          </w:p>
        </w:tc>
      </w:tr>
      <w:tr w14:paraId="532EA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10E70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六、试卷流转通道（①试卷车自综合楼西侧消防通道进入学校，至小学部D座）</w:t>
            </w:r>
          </w:p>
        </w:tc>
      </w:tr>
      <w:tr w14:paraId="4B358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C18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077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标考红外高清网络球型摄像机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FAE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1）符合《国家教育考试网上巡查系统视频标准技术规范（2017版）》相关技术规范；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2）嵌入式设备，具备实时操作系统，本身具有抗病毒和抗攻击能力；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3）采用≥200万（1920×1080）像素，1/2.8英寸 CMOS高性能图像传感器，低照度环境的完美展现；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4）最大支持1920×1080@30fps实时视频输出；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5）支持16 倍数字变倍，20倍光学变倍；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6）支持三码流，最大20路用户登陆；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7）采用标准MPEG-4 视频压缩技术，最大图像尺寸：1920×1080；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8）支持MPEG-4 和H.264视频编码、支持MPEG  Layer II、G711和AAC音频编码标准，并支持PS系统流和TS传输流的封装；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9）设备具有日志功能；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10）支持IP单播技术；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11）具有可设定的点对点、点对多点传输能力；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12）具有视频移动侦测能力，可根据设置策略实现相应的编码、传输、存储或视频报警；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14）支持自动跟踪和手动跟踪；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15）支持单场景跟踪及多场景巡航跟踪；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16）支持绊线入侵、区域入侵、物品遗留与物品消失多种行为检测，支持人脸检测；</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17）创新的跟踪算法，自动锁定目标，并自动调整云台焦距，以获得最佳监控图像；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18）MAC白名单、多级用户管理，监控保密和权限管理功能；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19）低码流传输；</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20）超级宽动态效果，图像降噪功能；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21）电子图像防抖动功能；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22）快装结构，防掉落设计；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23）独特的FD三维定位功能；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24）垂直旋转 -20°～90°自动翻转180°后连续监视；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25）水平旋转 0°～360°连续旋转；</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26）键控速度 水平：0.1°～200°/s 垂直：0.1°～120°/s；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27）多种网络监控方式相结合(WEB、客户端)，使用更方便；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28）灵活的网络扩展能力，适应各种网络平台监控系统；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29）SD卡本地存储，解决网络异常状态的监控存储问题，支持 FTP 存储录像，录像可断网续传；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30）内置红外灯补光，补光距离≥220米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31）选用高性能红外灯；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32）支持24V±25%宽电压输入；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33）支持ONVIF、CGI等等各种网络协议，组网更方便。</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E0E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06D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66A5E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920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EF4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C34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751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536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17238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E8C510">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②（（小学部D栋，试卷入楼；1、2楼走廊各1个；楼梯2个））</w:t>
            </w:r>
          </w:p>
        </w:tc>
      </w:tr>
      <w:tr w14:paraId="09ABB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A06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707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标考红外高清枪式摄像机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23A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 像素，1/3英寸CMOS图像传感器；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4.采用H.264/265编码；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5.支持三码流；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6.支持宽动态，3D降噪、强光抑制、背光补偿；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7.具有SD卡存储、报警等接口及录像断网续传功能；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8.具备红外补光功能，满足光线较暗环境使用；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10.支持区域入侵，拌线入侵，物品遗留/消失，虚焦侦测，场景变更的侦测，并且可以与报警联动；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11.支持无SD卡、SD卡空间不足、SD卡出错、网络断开、IP冲突、移动检测、视频遮挡智能报警。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12.支持标准SIP2.0，SIP地址解析、信令转发，统一命名规则以及分级命名等；</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A44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393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5D648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1BF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F2E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F038">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F11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F61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054FF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F3CD2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③（初中部A栋走廊；1、2、3层，每层走廊2个；两端拐角处厕所1枪1半球；3层楼梯3个，2个楼梯）</w:t>
            </w:r>
          </w:p>
        </w:tc>
      </w:tr>
      <w:tr w14:paraId="3FAC1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A7F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7BE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标考红外高清枪式摄像机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AD1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 像素，1/3英寸CMOS图像传感器；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4.采用H.264/265编码；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5.支持三码流；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6.支持宽动态，3D降噪、强光抑制、背光补偿；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7.具有SD卡存储、报警等接口及录像断网续传功能；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8.具备红外补光功能，满足光线较暗环境使用；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10.支持区域入侵，拌线入侵，物品遗留/消失，虚焦侦测，场景变更的侦测，并且可以与报警联动；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11.支持无SD卡、SD卡空间不足、SD卡出错、网络断开、IP冲突、移动检测、视频遮挡智能报警。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12.支持标准SIP2.0，SIP地址解析、信令转发，统一命名规则以及分级命名等；</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889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35A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75B81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01B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E51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标考红外高清半球摄像机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48B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符合《国家教育考试网上巡查系统视频标准技术规范（2017版）》；</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1.≥200万(1920×1080) 像素，1/2.8英寸CMOS图像传感器；镜头焦距：2.7mm~12mm；；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2.支持H.264、H.265、MPEG-4视频编码，支持MPEG Layer II、G711和AAC音频编码标准；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3.支持三码流，ACF（活动帧率控制）；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 ROI，支持多达 20 路连接；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6.支持IP67，IK10防护等级，防浪涌，防静电，防雷设计；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7.支持大容量存储卡，不小于 64GB，录像可断网续传；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8.支持人脸侦测；支持音频侦测；支持区域入侵，拌线入侵，物品遗留/消失，虚焦侦测，场景变更的侦测，并且可以与报警联动；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BF8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26B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2D331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09A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1C0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CD0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785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E7A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720E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76532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④（小学部B栋走廊；1、2、3层每层2个；厕所门前2个；3层楼梯3个，2个楼梯）</w:t>
            </w:r>
          </w:p>
        </w:tc>
      </w:tr>
      <w:tr w14:paraId="01136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977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443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标考红外高清枪式摄像机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171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 像素，1/3英寸CMOS图像传感器；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4.采用H.264/265编码；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5.支持三码流；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6.支持宽动态，3D降噪、强光抑制、背光补偿；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7.具有SD卡存储、报警等接口及录像断网续传功能；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8.具备红外补光功能，满足光线较暗环境使用；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10.支持区域入侵，拌线入侵，物品遗留/消失，虚焦侦测，场景变更的侦测，并且可以与报警联动；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11.支持无SD卡、SD卡空间不足、SD卡出错、网络断开、IP冲突、移动检测、视频遮挡智能报警。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12.支持标准SIP2.0，SIP地址解析、信令转发，统一命名规则以及分级命名等；</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22B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4EB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2B00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C93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908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0532">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AEC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935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09ECD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DA6C22">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⑤（小学部C栋走廊；1、2、3层每层3个；1、2层小厅2个半球；3层楼梯3个，2个楼梯）</w:t>
            </w:r>
          </w:p>
        </w:tc>
      </w:tr>
      <w:tr w14:paraId="182C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3A2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A67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标考红外高清枪式摄像机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F812">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 像素，1/3英寸CMOS图像传感器；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4.采用H.264/265编码；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5.支持三码流；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6.支持宽动态，3D降噪、强光抑制、背光补偿；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7.具有SD卡存储、报警等接口及录像断网续传功能；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8.具备红外补光功能，满足光线较暗环境使用；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10.支持区域入侵，拌线入侵，物品遗留/消失，虚焦侦测，场景变更的侦测，并且可以与报警联动；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11.支持无SD卡、SD卡空间不足、SD卡出错、网络断开、IP冲突、移动检测、视频遮挡智能报警。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12.支持标准SIP2.0，SIP地址解析、信令转发，统一命名规则以及分级命名等；</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A6D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900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1D64C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191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2C4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标考红外高清半球摄像机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0688">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符合《国家教育考试网上巡查系统视频标准技术规范（2017版）》；</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1.≥200万(1920×1080) 像素，1/2.8英寸CMOS图像传感器；镜头焦距：2.7mm~12mm；；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2.支持H.264、H.265、MPEG-4视频编码，支持MPEG Layer II、G711和AAC音频编码标准；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3.支持三码流，ACF（活动帧率控制）；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 ROI，支持多达 20 路连接；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6.支持IP67，IK10防护等级，防浪涌，防静电，防雷设计；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7.支持大容量存储卡，不小于 64GB，录像可断网续传；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8.支持人脸侦测；支持音频侦测；支持区域入侵，拌线入侵，物品遗留/消失，虚焦侦测，场景变更的侦测，并且可以与报警联动；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C8D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F01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5BA0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0E4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2AF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447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E97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150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5F16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0F319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⑥（小学部D栋-C栋-B栋-A栋；自二层经转：D-C1个；B-A2个；自三层经转：D-C1个；C-B2个；B-A2个；）</w:t>
            </w:r>
          </w:p>
        </w:tc>
      </w:tr>
      <w:tr w14:paraId="3FA73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6C0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B1E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标考红外高清枪式摄像机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F654">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 像素，1/3英寸CMOS图像传感器；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4.采用H.264/265编码；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5.支持三码流；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6.支持宽动态，3D降噪、强光抑制、背光补偿；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7.具有SD卡存储、报警等接口及录像断网续传功能；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8.具备红外补光功能，满足光线较暗环境使用；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10.支持区域入侵，拌线入侵，物品遗留/消失，虚焦侦测，场景变更的侦测，并且可以与报警联动；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11.支持无SD卡、SD卡空间不足、SD卡出错、网络断开、IP冲突、移动检测、视频遮挡智能报警。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12.支持标准SIP2.0，SIP地址解析、信令转发，统一命名规则以及分级命名等；</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30C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C28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5339C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0AA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D28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F87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9A6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DE2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3CEEF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DFC2B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⑦学生入场通道综合楼东侧路径1个球机</w:t>
            </w:r>
          </w:p>
        </w:tc>
      </w:tr>
      <w:tr w14:paraId="6A162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271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87A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标考红外高清网络球型摄像机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806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1）符合《国家教育考试网上巡查系统视频标准技术规范（2017版）》相关技术规范；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2）嵌入式设备，具备实时操作系统，本身具有抗病毒和抗攻击能力；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3）采用≥200万（1920×1080）像素，1/2.8英寸 CMOS高性能图像传感器，低照度环境的完美展现；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4）最大支持1920×1080@30fps实时视频输出；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5）支持16 倍数字变倍，20倍光学变倍；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6）支持三码流，最大20路用户登陆；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7）采用标准MPEG-4 视频压缩技术，最大图像尺寸：1920×1080；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8）支持MPEG-4 和H.264视频编码、支持MPEG  Layer II、G711和AAC音频编码标准，并支持PS系统流和TS传输流的封装；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9）设备具有日志功能；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10）支持IP单播技术；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11）具有可设定的点对点、点对多点传输能力；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12）具有视频移动侦测能力，可根据设置策略实现相应的编码、传输、存储或视频报警；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14）支持自动跟踪和手动跟踪；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15）支持单场景跟踪及多场景巡航跟踪；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16）支持绊线入侵、区域入侵、物品遗留与物品消失多种行为检测，支持人脸检测；</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17）创新的跟踪算法，自动锁定目标，并自动调整云台焦距，以获得最佳监控图像；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18）MAC白名单、多级用户管理，监控保密和权限管理功能；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19）低码流传输；</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20）超级宽动态效果，图像降噪功能；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21）电子图像防抖动功能；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22）快装结构，防掉落设计；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23）独特的FD三维定位功能；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24）垂直旋转 -20°～90°自动翻转180°后连续监视；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25）水平旋转 0°～360°连续旋转；</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26）键控速度 水平：0.1°～200°/s 垂直：0.1°～120°/s；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27）多种网络监控方式相结合(WEB、客户端)，使用更方便；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28）灵活的网络扩展能力，适应各种网络平台监控系统；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29）SD卡本地存储，解决网络异常状态的监控存储问题，支持 FTP 存储录像，录像可断网续传；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30）内置红外灯补光，补光距离≥220米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31）选用高性能红外灯；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32）支持24V±25%宽电压输入；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33）支持ONVIF、CGI等等各种网络协议，组网更方便。</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BD8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C20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2F211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5FD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6B0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D69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1B7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5BB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730B8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nil"/>
            </w:tcBorders>
            <w:shd w:val="clear" w:color="auto" w:fill="auto"/>
            <w:vAlign w:val="center"/>
          </w:tcPr>
          <w:p w14:paraId="3F546C3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⑧（初中部A栋门口1个半球，1个枪机）</w:t>
            </w:r>
          </w:p>
        </w:tc>
      </w:tr>
      <w:tr w14:paraId="0AD6E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50F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19D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标考红外高清枪式摄像机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9347">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 像素，1/3英寸CMOS图像传感器；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4.采用H.264/265编码；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5.支持三码流；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6.支持宽动态，3D降噪、强光抑制、背光补偿；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7.具有SD卡存储、报警等接口及录像断网续传功能；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8.具备红外补光功能，满足光线较暗环境使用；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10.支持区域入侵，拌线入侵，物品遗留/消失，虚焦侦测，场景变更的侦测，并且可以与报警联动；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11.支持无SD卡、SD卡空间不足、SD卡出错、网络断开、IP冲突、移动检测、视频遮挡智能报警。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12.支持标准SIP2.0，SIP地址解析、信令转发，统一命名规则以及分级命名等；</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FFA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8C0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1D014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6F3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2B8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标考红外高清半球摄像机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128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符合《国家教育考试网上巡查系统视频标准技术规范（2017版）》；</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1.≥200万(1920×1080) 像素，1/2.8英寸CMOS图像传感器；镜头焦距：2.7mm~12mm；；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2.支持H.264、H.265、MPEG-4视频编码，支持MPEG Layer II、G711和AAC音频编码标准；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3.支持三码流，ACF（活动帧率控制）；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 ROI，支持多达 20 路连接；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6.支持IP67，IK10防护等级，防浪涌，防静电，防雷设计；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7.支持大容量存储卡，不小于 64GB，录像可断网续传；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8.支持人脸侦测；支持音频侦测；支持区域入侵，拌线入侵，物品遗留/消失，虚焦侦测，场景变更的侦测，并且可以与报警联动；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CB6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4AD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3A44C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33F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DC5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B6E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C73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061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3C4DB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nil"/>
            </w:tcBorders>
            <w:shd w:val="clear" w:color="auto" w:fill="auto"/>
            <w:vAlign w:val="center"/>
          </w:tcPr>
          <w:p w14:paraId="2059FCA0">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⑨（小学部B-C花园区域1个球机）</w:t>
            </w:r>
          </w:p>
        </w:tc>
      </w:tr>
      <w:tr w14:paraId="662E2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302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B24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标考红外高清网络球型摄像机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70B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1）符合《国家教育考试网上巡查系统视频标准技术规范（2017版）》相关技术规范；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2）嵌入式设备，具备实时操作系统，本身具有抗病毒和抗攻击能力；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3）采用≥200万（1920×1080）像素，1/2.8英寸 CMOS高性能图像传感器，低照度环境的完美展现；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4）最大支持1920×1080@30fps实时视频输出；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5）支持16 倍数字变倍，20倍光学变倍；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6）支持三码流，最大20路用户登陆；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7）采用标准MPEG-4 视频压缩技术，最大图像尺寸：1920×1080；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8）支持MPEG-4 和H.264视频编码、支持MPEG  Layer II、G711和AAC音频编码标准，并支持PS系统流和TS传输流的封装；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9）设备具有日志功能；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10）支持IP单播技术；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11）具有可设定的点对点、点对多点传输能力；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12）具有视频移动侦测能力，可根据设置策略实现相应的编码、传输、存储或视频报警；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14）支持自动跟踪和手动跟踪；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15）支持单场景跟踪及多场景巡航跟踪；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16）支持绊线入侵、区域入侵、物品遗留与物品消失多种行为检测，支持人脸检测；</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17）创新的跟踪算法，自动锁定目标，并自动调整云台焦距，以获得最佳监控图像；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18）MAC白名单、多级用户管理，监控保密和权限管理功能；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19）低码流传输；</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20）超级宽动态效果，图像降噪功能；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21）电子图像防抖动功能；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22）快装结构，防掉落设计；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23）独特的FD三维定位功能；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24）垂直旋转 -20°～90°自动翻转180°后连续监视；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25）水平旋转 0°～360°连续旋转；</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26）键控速度 水平：0.1°～200°/s 垂直：0.1°～120°/s；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27）多种网络监控方式相结合(WEB、客户端)，使用更方便；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28）灵活的网络扩展能力，适应各种网络平台监控系统；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29）SD卡本地存储，解决网络异常状态的监控存储问题，支持 FTP 存储录像，录像可断网续传；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30）内置红外灯补光，补光距离≥220米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31）选用高性能红外灯；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32）支持24V±25%宽电压输入；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33）支持ONVIF、CGI等等各种网络协议，组网更方便。</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45C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34A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2DE73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DDA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121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35F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08C8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DC5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301CE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0C8E8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七、巡查指挥监控系统</w:t>
            </w:r>
          </w:p>
        </w:tc>
      </w:tr>
      <w:tr w14:paraId="47716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585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629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标考高清SIP转发管理三合一平台</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0DF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符合《国家教育考试网上巡查系统视频标准技术规范（2017版）》相关技术规范；须实现与西安经济技术开发区教育体育局区级标准化考场系统平台互通对接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1、具备实时操作系统，支持Linux系统、微软嵌入式系统；设备国产嵌入式CPU，主频≥2.5GHz，单颗CPU核心数不少于8核；</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2、支持标准SIP2.0，支持SIP代理功能，信令转发和路由；</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3、具备实时追踪SIP连接、认证状态功能，支持反向通道技术；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4、具备SIP向上级的主动注册与多级注册的管理功能；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5、SIP终端访问呼叫过程控制；SIP终端远程访问权限控制；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★6、视频转发格式需支持MPEG4、H264、H265，其中H264需支持BP、EP、MP、HP画质级别中的至少三种，转发需支持PS、TS流封装；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7、可按照考试计划自动下发的OSD设置规则进行OSD一键设置，支持考后一键快速恢复OSD设置为常规教学模式；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8、支持路由控制功能，视频访问呼叫过程、视频远程访问权限控制功能；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9、支持配置转发服务模块，支持多级转发级联，并支持多转发分布式部署协同工作；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10、支持TCP/IP、UDP、RTP、RTCP、SIP网络协议；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★11、支持多种工作模式，在考试模式下需要有安全狗，且加密狗的序列号在平台注册登记后，输入正确的账号密码后才能登录巡查系统，调看视频图像；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12、支持点播、组播、广播，支持视频多路复用，支持媒体流的分发和汇聚；</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BFB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FF4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4D5BE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789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CA3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标准化考场安全管理软件</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1C74">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1）网上巡查通道图像智检助手软件  功能要求：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1.符合《国家教育考试网上巡查系统视频标准技术规范（2017版）》相关技术规范；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2.支持程序运行自动注册、掉线重连、用户验证功能，并支持SIP2.0协议，且提供注册错误提示功能；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3.支持≥16路通道同时检测；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4.支持系统运行参数设置，如平台登录参数、间隔时长、并发拉流通道数；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5.支持对静态列表增删改、导入；支持多种策略自主选择进行配置，如增量添加节点、替换节点、更新节点；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6.支持一键批量巡检、巡检暂停、巡检结果详情查看、巡检结果统计功能等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2）远程运维工具软件  功能要求：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1.支持多网卡设备、手动设置静态IP地址、DHCP自动获取地址、远程代理配置；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2.支持日志重定向输出以及远程加密下载备份；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3.支持对平台系统运行服务相关，包括服务管理、基础信息、升级程序、流量检测；</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4.支持远程控制服务器之间指定端口的网络测速，并能查看丢包情况、测试TCP或UDP端口网络速度；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5.支持集成多种调试模块，包括网络检测模块、网速测试模块、网络抓包模块、以及其他相关模块。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3）网上巡查智维平台  功能要求：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1.支持设备信息管理，包括导入、导出、查询、录入、扫描添加等信息管理操作；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2.支持手动添加设备信息，包括IP地址、端口号、用户名、密码、类型等设备信息；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3.支持设备通用参数配置及通用参数的复制粘贴，如IPC的基本属性、OSD的公共显示属性、录像计划、图像设置、设备维护；存储平台支持录像计划、设备维护、录像锁定等；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4.支持存储检测设置，支持获取设备硬盘状态（总空间，占用率，录像状态）；支持通道在线状态及录像状态查看；</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5.支持设备批量配置功能，如IPC的OSD批量配置；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6.支持自动方案设置功能，如IPC标签方案的自动切换；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7.支持系统基本设置功能，包括网络设置、版本信息查看；</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8.支持嵌入设备WEB配置重定向。</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9.支持批量自动或手动开启摄像机TF卡录像功能以及对TF卡格式化功能</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C56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535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710E1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B88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34B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标考流媒体网络存储平台</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CC9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1、符合《国家教育考试网上巡查系统视频标准技术规范（2017版）》（JY/T-KS-JS-2017-1）技术规范；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2、嵌入式设备，采用国产化芯片；；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★3、不少于32路网络视频接入，最大转发码流≥1280Mbps；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4、可自适应接入H.265、H.264、MPEG4视频编码格式，MPEG LayerⅡ、G711和AAC音频编码格式，系统流和传输流封装格式的网络视频，并对接入的网络视频进行存储、解码和转发</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5、操作界面远程WEB、本地GUI；</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6、支持添加数字水印，防止录像被篡改；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7、支持不少于16个SATA接口（可热插拔），单盘容量支持不低于8TB，支持Raid0、Raid1、Raid5、Raid6、Raid10、JBOD等多种数据模式：支持独立的eSATA扩展，支持录像和备份；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8、支持独立的eSATA扩展；支持根据考试计划自动锁定录像功能，支持考试录像本机同步双备份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9、板板之间采用高速总线连接，无线缆设计。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10、支持双HMDI异源输出，支持VGA、1个HDMI同步输出；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★11、具有不少于4个RJ4510/100/1000Mbps自适应以太网口，支持负载均衡和四网分离，支持容错模式，可将4个网络接口绑定为1个IP地址，当其中1个网络接口损坏时仍能正常工作，支持不少于2个光口；</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12、不少于4个千兆以太网口，2个光口，1个RS232接口，1个RS485接口，1个VGA接口、6个HDMI接口、1个RC音频输入接口、1个RC输出接口、4个USB接口、16个SATA接口、1个eSATA接口、16个报警输入接口、8个报警输出接口</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E2B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F70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123D9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75E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2BC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智能巡查行为分析平台</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2884">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1)符合《国家教育考试网上巡查系统视频标准技术规范（2017版）》相关技术规范；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2)采用嵌入式开源操作系统；本身具有抗病毒和抗攻击能力；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3)用户和权限管理，设定管辖范围内用户、组、角色的权限。用户管理可包括用户注册、用户查询、用户增加删除、用户访问权限管理、用户锁定和解锁、用户分组管理、用户访问记录查看功能等；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4)系统管理员，可对远程用户设定视频浏览权限以及前端设备控制权限和历史数据的删除、复制、浏览等操作权限，权限可被收回；</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5)支持用户的接入认证以及安全锁定；故障诊断及定位分析；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6)支持图形化操作入口；支持图形化机构拓扑呈现、设备拓扑呈现；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7)远程用户对考场图像的访问、控制、历史数据播放精确到每一个教室，添加、删除、修改组、用户、设备；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8)可通过web端无需安装任何播放插件的情况下直接播放实时音视频图像；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9)能实现系统核心数据库的备份；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10)支持日志管理查询，系统日志、告警日志、操作日志的搜索查看等；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11)智能分析并发能力：可同时实现50路视频流的行为智能分析；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行为智能分析类别：支持多种考试异常行为识别，包含考生举手、传递可疑物品、捡可疑物品、考生站立、考生旁窥、手放桌下并埋头、考后继续作答、监考员在考位停留过长、两个监考员在固定区域时间过长、监考员发卷、考生群体举手、考生群体站立、考生群体交头接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13)支持对考试全过程的监测行为进行规则配置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14)支持对考试计划模版完成配置，用于后续一键调用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15)支持绑定监测业务和智能分析设备关系</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16)支持对考试计划的管理，完成对考试基础信息、监考视频源、审核员及审核任务分配四个环节的配置。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17)支持查询告警记录，可根据考试计划、场次、判定结果、考场名称等维度进行筛选，包括告警事件类型、事件时间、所属考场、审核过程、截图、录像等数据。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18)支持查询考务规范记录，可根据考试计划、考务规范动作名称维度进行筛选，包括考场名称、场次科目、监测时段、监测结果、审核员。</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19)支持考试异常告警事件的统计，可根据告警行为统计、按场次统计、按考场统计、按审核员统计四个维度进行统计，可根据需要导出报表。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20)支持视频审核，包括考务规范监测、考试行为监测，审核包括初审和复审两个环节。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21)支持对分析状态进行监控，如设备使用情况、接入分析路数、算力利用率等数据。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22)支持查看当次考试计划的数据看板，包括考试信息、审核员处理情况统计、考务规范完成率、异常行为统计四类可视化数据统计。</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1EF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8C4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73DB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13D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7AB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硬盘</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3DF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4T硬盘容量≥5400转</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AB9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1B4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块</w:t>
            </w:r>
          </w:p>
        </w:tc>
      </w:tr>
      <w:tr w14:paraId="76F76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A17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027A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机柜</w:t>
            </w:r>
          </w:p>
        </w:tc>
        <w:tc>
          <w:tcPr>
            <w:tcW w:w="1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BDD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专用服务器机柜尺寸：600*1000*2000mm。带4层托盘（隔板）2个PDU电源</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20C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B7C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1A30C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0E1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00C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标考高清电视墙管理平台（16路）</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6EC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1、符合《国家教育考试网上巡查系统视频标准技术规范（2017版）》（JY/T-KS-JS-2017-1）技术规范；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2、采用嵌入式设备，Linux操作系统，采用模块化设计，并支持双风扇、双电源冗余设计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3、支持H.265、H.264、MPEG4等格式的视频解码，支持MPEG LayerⅡ、G711a、G711u、AAC格式的音频解码，支持系统流和传输流封装格式的视频流解码；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4、支持板卡热插拔，支持HDMI、DVI、VGA等多种接口类型板卡，支持板卡数量≥12块；</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5、单张解码卡不少于6路高清数字视频接口输出，支持D1、720P、1080p、4K解码输出，高清输出接口支持：4000×3000、3840×2160、1080P、@30Hz、1280*720@30Hz、1024*768@30Hz；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6、单张解码卡支持≥8路3840*2160@16fps，≥32路1080p@30fps（H.264、H.265），≥72路720p@30fps，≥150路D1解码；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7、具有移动侦测报警，报警时自动切换到对应视频通道，并可联动上墙；</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8、支持实时监测设备运作情况，可在本地界面实时显示机箱温度、风扇转速、子板信息、电源模块信息、网络使用信息，发生IP/MAC地址冲突时，可在本地界面上进行提示；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9、支持接入≥4000×3000、3296×2472、2592×2048、2048×1536、1920×1080、1280×720等分辨率的视频，支持60帧/秒的视频，且支持100路视频（码率不低于8Mbps）同时进行接收和转发；</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10、不少于4个千兆带宽网络接口，具有多网口绑定功能，并支持容错网络模式、多网络模式、负载均衡网络模式、链路聚合网络模式；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11、支持大屏拼接，支持开窗和漫游功能，单屏和融合窗口都支持1/4/9/16画面分割显示；</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B6B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D84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19398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777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1E0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解码管理软件</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6A5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 支持控制巡查图像以及设置巡查图像轮巡显示和编码通道上墙显示；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 支持屏幕随意排列融合大屏，分屏模式包括1分屏、4分屏、9分屏、16分屏，屏幕自由组合模式，可以对单个屏幕自由开窗、放缩、漫游功能；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 支持设置多种自定义的巡查轮巡，多种自定义的巡查轮巡设置；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 独立轮巡和组合轮巡，同步轮巡和异步轮巡，定点轮巡和定长轮巡；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 支持控制拉取图像和载入与保存方案等功能，可支持多种不同方案；支持拉取不同巡查图像，并设置巡查轮巡、屏幕融合、屏幕分割模式方案的功能；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 具有视频丢失检测报警，系统自诊断功能和网络中断报警，可以接收到平台发出的各种报警信息，进行上墙以及弹窗提示；支持报警联动；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 支持通过辅助工具生成历史数据，并可手动导入；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 支持对历史刷新以及导入的列表可以进行模糊搜索、精确定位；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 支持手动自定义巡查列表，启用该列表可以进行获取轮巡上墙操作；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 通过双击列表通道进行视频预览功能。</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07A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C9F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251FD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2F1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F04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电视墙管理主机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2CC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2.支持控制巡查图像以及设置巡查图像轮巡显示和编码通道上墙显示；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3.码率自适应：分屏窗口数量大于9时，可自动切换成低码率的视频流，节约带宽占用；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4.切换设备：支持同时对多个解码设备进行远程控制，并可随意切换、控制解码设备；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5.屏幕自由组合模式，可以对单个屏幕自由开窗、放缩、漫游功能；</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08D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867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5BDAD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F5D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00D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管理电脑</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B4B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配置不低于：台式/I5-12500/16G/1T固态/2G独显/21.5寸显示器/键鼠套，win10以上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70E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942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5152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41D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4CF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LED横屏</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5E6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大屏顶部专用LED会标屏，含接收/卡控制卡/电源系统；一体化边框设计；信息发布系统，高刷新率显示高度不得高于375，尺寸：4864×376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F5D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8DA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41656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85A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0D4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拼接显示单元</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940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1.液晶背光源采用点阵式LED灯排列，有较好的均匀性和色彩还原性，无黑边和暗影现象。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2.外形尺寸约1022x576.6；点距约0.530mm*0.530mm；显示比例：16:9；背光源：直下式LED；可视角度（H/V）：178/178；具有智能多阶、多模式色差调整功能；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3.投标产品标准和技术要求符合GB 17625.1-2022；GB 4943.1-2022；GB/T 9254.1-2021。</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4.★显示屏最高有效分辨率：1920*1080，最高色位深度：16.7M(8-bit)，亮度、色饱和度：500cd/m²(Typ.)、97%。</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5.显示单元必须确保24小时连续运行，具有稳定性和可扩充性等特点，操作简单，工作稳定可靠。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6.显示单元具有自动显示格式匹配手动白平衡调节功能；具有色彩校准工具、软件，并能保证校准后的色彩一致性。</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7.投标产品开关电源认证标准符合GB 17625.1-2022；GB 4943.1-2022；GB/T 9254.1-2021标准要求。</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642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DEC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单元</w:t>
            </w:r>
          </w:p>
        </w:tc>
      </w:tr>
      <w:tr w14:paraId="530C5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722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BBF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拼接屏专用线材</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4B5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1.拼接显示系统内全套辅材：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2.各拼接单元串联的网线，以及232控制线：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3.含12根高清信4K无氧铜信号传输线揽及插板</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B5C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E6F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批</w:t>
            </w:r>
          </w:p>
        </w:tc>
      </w:tr>
      <w:tr w14:paraId="0CB8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1BF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4A2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大屏专用箱体</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C27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1.符合力学承重设计要求，厚度为1.5-4mm；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2.高强度冷轧钢材制作；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3.自带引流设备使用之中产生的静电；</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4.走线槽黑色；</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5.背景墙为实体墙，不含墙面装修</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6F9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E6B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单元</w:t>
            </w:r>
          </w:p>
        </w:tc>
      </w:tr>
      <w:tr w14:paraId="5A502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E07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70F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电源集配器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7882">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1.额定工作电压110~250V宽电压输入，最大承受电流30A，冲击耐受电压6KV，限流等级3级，最大输出电压2500W，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2.16组220V航空电源输出：供≤16个拼接单元使用，航空电源接口，保证每一个拼接显示单元都具有独立的延时电源开关控制；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3.各路以间隔0.5秒的延时顺序启动，避免突然断电/来电时瞬间脉冲电压冲击，且具有短路、漏电、过流、防雷等保护措施。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★4.可实时提供电压显示                                                                                                                                                                                                                                                      为了系统稳的定性，与大屏同一品牌</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A9BE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1CB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62AF2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7BE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FDA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拼接控制软件</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A9A0">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1.基于Windows平台的控制软件，软件通过RS232串行通信协议：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2.对显示屏幕、矩阵以及拼接图像处理器进行控制；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3.实现对整套大屏幕显示系统进行整体统一的控制操作；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4.可实现整屏显示方式，单屏显示，组合显示，全屏显示，图像切换等功能；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5.具有中华人民共和国国家知识版权局颁发的：计算机软件著作权登记证书；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6.为了系统稳的定性，与大屏同一品牌；</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9A3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35F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47E01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B6E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78C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操作控制台</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0CC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三联操作台，冷轧钢板与木头组成；木板厚度：20MM；及配套椅子*3</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5DD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E27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4051F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736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2FA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UPS</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6664">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在线式15KVA，电池12V100AH，2组，含电池柜</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130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D39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37A2B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613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280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装饰隔墙</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C24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定制2*2.5*2m；木工板腻子找平刷白10m²，并留门作为检修口。</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29C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182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项</w:t>
            </w:r>
          </w:p>
        </w:tc>
      </w:tr>
      <w:tr w14:paraId="3DAB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5D3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82F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空调</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1E6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匹数：大3P；能效等级：一级能效；冷暖变频，具备智能调节，电辅加热，自清洁功能，含安装</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237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731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项</w:t>
            </w:r>
          </w:p>
        </w:tc>
      </w:tr>
      <w:tr w14:paraId="3CFC5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1B2CE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八、网络设备及网络安全设备</w:t>
            </w:r>
          </w:p>
        </w:tc>
      </w:tr>
      <w:tr w14:paraId="61220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CAB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794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核心交换机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E12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1、主控引擎与业务板卡完全物理分离，采用全分布式转发处理架构，独立主控引擎插槽≥2个，独立业务插槽数≥3个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2、要求所投产品系统电源槽位≥2个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3、满足USB接口，满足U盘作为存储介质扩展</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4、交换容量≥160T，包转发性能≥36，000Mpps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5、N:1虚拟化：可将2台物理设备虚拟化为1台逻辑设备，虚拟组内设备具备统一的二层及三层转发表项，统一的管理界面，并可实现跨设备链路聚合</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6.支持多对一镜像，基于流的镜像，一对多镜像。支持SPAN、RSPAN远程镜像，支持VLAN的镜像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7、支持IPv6静态路由、RIPng、OSPF v3、BGP4+等路由协议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8、采用模块化操作系统，支持多进程备份及ISSU不中断业务升级特性</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9、本次配置：主控引擎≥2；电源模块≥2；千兆以太网光口≥24个，千兆以太网复用电口≥12个，万兆以太网光口≥4个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B60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F71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1950A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18F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072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交换机光模块</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2B98">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企业级千兆单模SFP光纤模块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9C2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A7C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14:paraId="33879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5BC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958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汇聚交换机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E84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 固化10/100/1000M以太网端口≥28，复用100/1000M SFP光口≥4个，固化10G/1G SFP+光接口≥4个；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 交换容量≥598Gbps，包转发率≥222Mpps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 支持RIP，OSPF，BGP，RIPng，OSPFv3，BGP4+</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 支持IGMP v1/v2/v3，IGMP v1/v2/v3 Snooping，支持PIM-DM，PIM-SM，PIM-SSM，PIM for IPv6</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 支持并实配可拔插双模块化电源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 提供交换机进网许可证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 配置电源模块≥2个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F8B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A0F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33889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379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4AB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楼层交换机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8232">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 交换容量≥330Gbps，包转发率≥126Mpps/51Mpps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 固化10/100/1000M以太网端口≥24，固化1G SFP光接口≥4个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 要求设备采用静音无风扇节能设计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 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 提供交换机进网许可证</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D06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51A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23033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D2C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B3F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光纤收发器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ADB9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千兆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E35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F42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14:paraId="42F53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B65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B57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光纤</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296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层绞式单模双铠双护直埋铠装阻燃光缆 GYTZA53-24B1.3</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59B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F52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763C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20B2D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九、线缆及辅助材料</w:t>
            </w:r>
          </w:p>
        </w:tc>
      </w:tr>
      <w:tr w14:paraId="7831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5C5E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056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主干电源线</w:t>
            </w:r>
          </w:p>
        </w:tc>
        <w:tc>
          <w:tcPr>
            <w:tcW w:w="1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C8C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用RVV3*4线，统一供电方便管理，具体视监控中心到前端楼宇距离计算，楼宇强电到监控中心（具体视实际距离定）</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185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481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00F22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583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9AA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摄像机专用SD卡</w:t>
            </w:r>
          </w:p>
        </w:tc>
        <w:tc>
          <w:tcPr>
            <w:tcW w:w="1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B924">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摄像机专用SD卡，容量≥64G</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B73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127</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032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1420F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BA0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C84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电源线支线</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DFD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电源线，摄像机、拾音器用RVV3*1线，统一供电方便管理（每个点位预计70米）</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432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8890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02C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21C59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5BB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BEF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网线</w:t>
            </w:r>
          </w:p>
        </w:tc>
        <w:tc>
          <w:tcPr>
            <w:tcW w:w="1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32C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六类双绞线，网线及控制线，(每个点位预计70米)</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791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CA6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箱</w:t>
            </w:r>
          </w:p>
        </w:tc>
      </w:tr>
      <w:tr w14:paraId="2E490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27981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十、施工</w:t>
            </w:r>
          </w:p>
        </w:tc>
      </w:tr>
      <w:tr w14:paraId="32871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FBA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BDA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施工、安装费</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4DE7">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1.施工安装费用：施工、运输卸货搬运均为夜间，时间为23:00至凌晨5:30，人工（含夜间费用、高空作业、工伤保险等）费用，设备租赁包括脚手架若干、吊车等，运输卸货搬运为夜间运输搬运卸货。</w:t>
            </w:r>
          </w:p>
          <w:p w14:paraId="00AA733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2.设备调试费用：请省、市考试院行业专家和厂家工程师至少3人以上进行设备调试，并与省市平台实现数据互联互通。</w:t>
            </w:r>
          </w:p>
          <w:p w14:paraId="3F96DE5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3.培训费用：设备安装到位调试完成后进行首次涉岗全员培训，由至少3个厂家的不同工程师进行全员培训。设备质保期见每年至少6次以上重大考试考前培训每次培训工程师2人以上。</w:t>
            </w:r>
          </w:p>
          <w:p w14:paraId="262DEE0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运维保障费用：每月日常运维费，质保期内至少24次巡检，每次巡检人数至少1人，至少四次重大考试保障期间，每校配备不少以4人，派驻天数至少5天，质保期内巡查系统设备备品备件至少按照设备总额1.5%准备库存以保证设备及时更换。</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134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127</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D31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4F6E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4D1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465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管材及辅料</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720B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线管，线槽，插板、PVC线槽，空开，塑料胀管，自攻螺丝，水晶头、小网络机柜、理线架、空开、电箱等</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8A9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127</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D74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批</w:t>
            </w:r>
          </w:p>
        </w:tc>
      </w:tr>
      <w:tr w14:paraId="4BFFB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1AE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E34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制度牌</w:t>
            </w:r>
          </w:p>
        </w:tc>
        <w:tc>
          <w:tcPr>
            <w:tcW w:w="1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7E9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铝合金框KT板（600*900mm）</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009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FED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14:paraId="24255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F1829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二、标准化考场无线电作弊防控系统</w:t>
            </w:r>
          </w:p>
        </w:tc>
      </w:tr>
      <w:tr w14:paraId="52DD1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E6D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序号</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94A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名称</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5DB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技术参数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17CB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F34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单位</w:t>
            </w:r>
          </w:p>
        </w:tc>
      </w:tr>
      <w:tr w14:paraId="4EE71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9E6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FA1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无线电屏蔽终端</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4A64">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符合《陕西省国家教育考试综合管理平台建设规划》（陕教考办〔2018〕4号）相关规范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1、阻断工作频率范围：50MHz-5850MHz；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2、侦测引导阻断频率范围：无缝覆盖300MHz-3000MHz（支持扩展）；</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3、手机信号屏蔽：能够屏蔽电信、移动、联通等的2G/3G/4G/5G手机信号(考场内信号强度≤-65dBm时，可有效屏蔽)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4、蓝牙/WIFI信号屏蔽：能够屏蔽不限于2400MHz-2483.5MHz（2.4G）蓝牙信号以及2400MHz-2483.5MHz（2.4G）、5725MHz-5850MHz（5.8G）WIFI信号等；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5、阻断方式：对侦测引导阻断频率范围内的专业作弊信号，实现点对点的精准阻断；对2G/3G/4G各种制式的手机信号和蓝牙/WIFI信号采用直接阻断方式；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智能绿色阻断控制：根据专业作弊信号的带宽、调制方式及功率等特征自动调整阻断信号带宽和功率，确保对作弊信号的有效阻断。根据作弊信号持续时间，自动调整屏蔽时长，减少非必辐射，符合节能环保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★7、并发阻断：专业作弊信号（手机信号/WIFI/蓝牙信号通道除外）支持≥22路并发阻断；</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8、点频阻断：支持对专业作弊信号采用瞄准式点频精准阻断方式，阻断信号3dB带宽≤200KHz；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9、欺骗式干扰：具备数传作弊设备接收答案的远程清除功能；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10、批量升级：支持通过考点级管理平台对高科技屏蔽终端软件进行一键式整体集中批量升级；</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11、考试计划：可根据考点级管理平台的考试计划，提供考前、考中及考后自动工作模式，实现无人值守式管理；也可支持手动操作；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12、远程管理：支持通过考点级管理平台实现远程集中控制；可远程对工作模块进行开关控制；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13、扩展机制：设备具备扩展模块插槽，通过扩展模块可对系统功能和性能进行扩展升级；</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14、一体化设计：天线和电源内置，避免触电、烫伤等风险；</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15、状态显示：前面板有工作指示灯，可直观指示设备上电、模块开关、网络连通等状态并显示；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16、数据接口：RJ-45接口，支持与考点级管理平台及侦测服务器组网；</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★17、可靠性：MTBF≥3000小时；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18、符合国家《电磁环境控制限值(GB8702-2014)》标准；符合国家《声环境质量标准（GB3096-2008）》中的零类标准。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79C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2C3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262A8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57D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C1C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手机信号屏蔽仪</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FAF0">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针对国内高考、成人高考、自学考试及各类大专院校在考试过程中，手机信号屏蔽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1、支持屏蔽 GSM/DCS/CDMA/PHS/3G(TD-SCDMA/CDMA2000/WCDMA)/4G/5G/2.4G 频段</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2、采用一体金属外壳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3、有效屏蔽距离 0-12 米</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4B7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46C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14:paraId="0662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1D4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4A6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学校级作弊防控服务器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668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设符合《陕西省国家教育考试综合管理平台建设规划》（陕教考办〔2018〕4号）相关规范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1.作弊信号查看：可对考点作弊信号信息进行查看和回放；</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2.作弊信号展示：可统计本次考试作弊信号频点分布情况并进行展示；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3.设备状态查看：可对系统设备的运行状态、开关状态、网络情况等信息进行查看；</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4.日志查询：可记录和管理关键日志，提供日志查询、浏览等管理功能；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5.黑白名单：在专业作弊信号频段内，可任意设置黑白名单频点/频段。在黑名单频点/频段上作弊信号出现时优先发射阻断信号；在白名单频点/频段上不主动发射阻断信号，不干扰其正常通信；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6.黑白名单同步：各级管理平台之间和黑白名单能够进行同步；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7.考试计划：可设置考试计划，在考试计划时间开始时系统自动进入工作状态，考试计划时间结束时系统自动停止工作，提供考前、考中及考后自动工作模式，实现无人值守式管理；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8.考试计划同步：考试计划能够集中管理，各级管理平台之间考试计划能够进行同步；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9.系统自检：可检测当前所辖设备的工作状态并输出自检结果信息；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10.设备升级：可通过平台对侦测服务器、高科技屏蔽终端和作弊防控管理平台相关软件进行集中升级；</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11.安全加密：作弊信号答案文件存储和传输时均经过加密处理，文件脱离本系统后采用通用播放工具无法正确播放，保证涉密数据安全；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12.集中控制：支持对系统设备进行集中调试、查看和管理；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13.远程控制：支持对高科技屏蔽终端进行远程开关工作模块等操作。支持集中、分组、单台等多种方式对高科技屏蔽终端进行远程控制；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14.与上级对接：可根据上级管理平台的要求，开发数据接口，自动下载考试计划、黑白名单等，并上传作弊信号信息结果；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15.数据接口：RJ-45接口，支持与侦测服务器及高科技屏蔽终端组网；</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16.可靠性：MTBF≥3000小时。</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B9C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055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225C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A00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5C1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作弊侦测服务器(含外置模块、天线、馈线)</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694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符合《陕西省国家教育考试综合管理平台建设规划》（陕教考办〔2018〕4号）相关规范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1、侦测频率范围：无缝覆盖30MHz-3000MHz；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★2、侦测引导阻断频率范围：50MHz-1800MHz；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3、扩展升级：支持频段扩展，应对未来新型作弊信号；</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4、工作模式：支持无人值守式侦测引导阻断工作模式；支持自动保存捕获信号文件和还原内容生成，自动保存；</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5、双通道：采用双通道技术，侦测扫描/引导阻断和作弊信号还原并行工作，互不影响；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6、语音信号还原能力：支持对语音类作弊信号的内容还原，包含广播电台、对讲机信号和语音作弊信号等；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★7、数传信号还原能力：支持对数传类作弊信号的内容还原，包含采用不限于FSK、LoRa等调制方式的数传作弊信号；</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8、实时监听：在持续开展频谱扫描和侦测引导阻断的同时能对语音作弊信号进行实时监听；倒谱监听：在持续开展频谱扫描和侦测引导阻断的同时支持对信号进行倒谱监听，可自动保存；</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9、背景学习：系统自动进行无线电频谱背景采集分析，并可存储多个无线电频谱背景模板供作弊信号分析使用及保存；</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10、频谱显示：可实时显示侦测频率范围内的频谱图，支持频谱显示放大缩小、测量频率与强度等操作；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11、安全加密：作弊信号答案文件存储和传输时均经过加密处理，文件脱离本系统后采用通用播放工具无法正确播放，保证涉密数据安全；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12、黑白名单：可手动设置黑白名单，也可接收考点级管理平台下发的黑白名单库。</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13、考试计划：可设置考试计划，实现无人值守式管理；也可支持手动操作；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14、故障检测：支持运行过程中故障自动检测并实时反馈至考点级管理平台；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15、数据上报：支持与考点级管理平台连接，支持对可疑作弊信号频点信息的平台上传及管理；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16、远程管理：支持平台远程管理，查看工作状态等；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17、数据接口：RJ-45接口，支持与考点级管理平台及高科技屏蔽终端组网；</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★18、可靠性：MTBF≥3000小时。</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0D2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D91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3E71D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0E9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728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作弊防控管理中心软件</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84B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支持机构、虚拟机构管理，多级管理； 支持多级及树形管理； 支持设置用户类型； 支持域名统一命名规则，分级命名，联合定位； 支持远程用户的接入认证； 支持系统基本参数设置，上级平台IP地址、端口设置等； 支持基本信息维护，如用户的密码、单位、联系方式等；支持作弊信息的汇总统计和逐级上报，</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AED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611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0F6AA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912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695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管理电脑</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2A6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配置不低于：台式/I5-12500/16G/1T固态/2G独显/21.5寸显示器/键鼠套，win10以上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776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B16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3CC5C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2E3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480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汇聚交换机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2B1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 固化10/100/1000M以太网端口≥28，复用100/1000M SFP光口≥4个，固化10G/1G SFP+光接口≥4个；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 交换容量≥598Gbps，包转发率≥222Mpps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 支持RIP，OSPF，BGP，RIPng，OSPFv3，BGP4+</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 支持IGMP v1/v2/v3，IGMP v1/v2/v3 Snooping，支持PIM-DM，PIM-SM，PIM-SSM，PIM for IPv6</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 支持并实配可拔插双模块化电源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 提供工信部三层交换机进网许可证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 配置电源模块≥2个</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3EC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7AC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1B836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F72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5FF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楼层交换机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5BE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 交换容量≥330Gbps，包转发率≥126Mpps/51Mpps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 固化10/100/1000M以太网端口≥24，固化1G SFP光接口≥4个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 要求设备采用静音无风扇节能设计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 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 提供工信部交换机进网许可证</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DDD5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D7E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3E08E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E34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1DB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交换机光模块</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367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企业级千兆单模SFP光纤模块</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B5B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D9D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14:paraId="4A970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FB6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4C4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网线</w:t>
            </w:r>
          </w:p>
        </w:tc>
        <w:tc>
          <w:tcPr>
            <w:tcW w:w="1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C69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六类双绞线，网线及控制线</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E80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EE8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箱</w:t>
            </w:r>
          </w:p>
        </w:tc>
      </w:tr>
      <w:tr w14:paraId="5B3FB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C2E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F35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电源线</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0FED7">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RVV2*2.0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359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6160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4AD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42B1E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67B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B09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管材及辅料</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2218">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线管，线槽，插板、PVC线槽，空开，塑料胀管，自攻螺丝，水晶头、小网络机柜、理线架、空开、电箱等</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722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6C9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批</w:t>
            </w:r>
          </w:p>
        </w:tc>
      </w:tr>
      <w:tr w14:paraId="538A2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665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8A5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施工、安装费</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E873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1.施工安装费用：施工、运输卸货搬运均为夜间，时间为23:00至凌晨5:30，人工（含夜间费用、高空作业、工伤保险等）费用，设备租赁包括脚手架若干、吊车等，运输卸货搬运为夜间运输搬运卸货。</w:t>
            </w:r>
          </w:p>
          <w:p w14:paraId="1D9BCB8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2.设备调试费用：请省、市考试院行业专家和厂家工程师至少3人以上进行设备调试，并与省市平台实现数据互联互通。</w:t>
            </w:r>
          </w:p>
          <w:p w14:paraId="759113E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3.培训费用：设备安装到位调试完成后进行首次涉岗全员培训，由至少3个厂家的不同工程师进行全员培训。设备质保期见每年至少6次以上重大考试考前培训每次培训工程师2人以上。</w:t>
            </w:r>
          </w:p>
          <w:p w14:paraId="4399FDF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运维保障费用：每月日常运维费，质保期内至少24次巡检，每次巡检人数至少1人，至少四次重大考试保障期间，每校配备不少于4人，派驻天数至少5天，质保期内巡查系统设备备品备件至少按照设备总额1.5%准备库存以保证设备及时更换。</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0A5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826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0A43C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01B46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三、标准化考场身份认证系统</w:t>
            </w:r>
          </w:p>
        </w:tc>
      </w:tr>
      <w:tr w14:paraId="7806A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A47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序号</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998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名称</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06B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技术参数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862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CA8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单位</w:t>
            </w:r>
          </w:p>
        </w:tc>
      </w:tr>
      <w:tr w14:paraId="1958B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1CB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FB6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身份验证终端</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B8D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1.认证方式：支持人脸识别+身份证验证。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2.屏幕：人脸识别认证设备屏幕尺寸≥8英寸，分辨率≥1280×720，可触控，文字、图片显示清晰。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3.CPU：≥4核，主频≥1.8GHz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4.存储：运行内存≥4GB，保证软件运行速度；存储容量≥64GB。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5.摄像头：≥500W像素，带有面光源补光组件，具有自动对焦功能。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6.扬声器：身份认证设备自带扬声器，能够进行语音提示，声音清晰，音量可调，最大音量≥100分贝。</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7.供电：电池容量≥6500mAH。</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8.联网功能：支持WiFi和以太网。</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9.认证速度：≥6人/分钟。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10.启动时间：身份认证设备开机时间≤30秒（正常开机或因故障重启，从开机到能够进入身份认证状态）。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11.身份证阅读模块：符合公安部《手持式居民身份证阅读器》（GA 1153-2014）或符合公安部《台式居民身份证阅读器通用技术要求》（GA450-2013），可读取二代身份证信息，包括姓名、证件照片、指纹信息、证件有效期等。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12.指纹采集模块：必须符合公安部GA/T 1011-2012《居民身份证指纹采集器通用技术要求》，能够采集手指指纹信息，只对活体指纹进行识别。指纹图片清晰，不得进行插值处理；对干手指、粗糙手指、指纹较浅的手指有较好适应性，采集成功率高；采集用时小于1秒。</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13.数据交换模块：身份认证系统能够进行数据交换。数据交换方式包括专网实时传输数据和离线导入导出数据。终端接入专网方式包括有线网连接和无线网连接，能够无缝接入综合管理平台。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99E0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E03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2E138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130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153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人脸识别配套设备</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D0E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验证终端支架+电源插板+电缆+扣板</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F4B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010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0BFA5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2F0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F1E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管理电脑</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75D0">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配置不低于：台式/I5-12500/16G/1T固态/2G独显/21.5寸显示器/键鼠套，win10以上</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4CD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472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39FF5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49C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7CE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学校级身份验证管理信息系统软件</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18F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1、符合陕西省国家教育考试身份认证系统建设技术要求；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2、须实现与陕西省考试院综合管理平台互联互通，实现数据交换。数据交换方式包括专网实时传输数据和离线导入导出数据。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3、满足陕西省考试院的接口要求，系统具备数据上传、数据下发、缺考统计、数据查询等功能。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4、平台产品具有考点管理功能，包括考点的基本信息管理，考点信息的批量导入，可查询、添加、修改、删除考点信息。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5、软件具备高并发技术性：支持2000以上并发访问/秒。</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6、具备多场次关联功能：支持多场次的考试验证，支持数据的接收，支持考生数据打包。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7、具备考生信息查询功能：可查询考生的信息，包括考生的基本信息（证件号码，性别等）以及考试相关的信息。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8、具备设备管理功能，支持对验证终端的在线状态查看、数据下发、数据上传参数的管理。</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B0E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A42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2460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4A3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011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专用充电柜</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038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1、材质：铝钢塑结构，柜体采用铝型材横梁，冷轧钢主体及门板，塑料侧板组成。门板可以270度打开，便于用户取用平板及散热。</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2、外观：内嵌式一体推拉把手，一体成型的塑料侧板及防撞脚设计；内置通风、走线的ABS塑料隔板；采用4寸万向静音脚轮，便于移动。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   （1）门板可以270度打开，取拿方便；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   （2）外露2位三插电源接口，方便用户取电；</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   （3）内置智能电源管理模块，具备时序供电，漏电保护等功能；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   （4）标配漏电保护系统、电源管理系统和充电舱彻底分离；自动刀闸和使用闸刀分离；</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   （5）36位USB充电接口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   （6）LCD灯显示充电状态，显示设备的充电状态；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   （7）标配2组6寸散热风扇，散热强力，风扇转速温控可调；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4、AC110-250V，50/60hz，10A，每个USB 接口5V/2.0A；</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5、充电平板尺寸：≤D280*H190*W32 mm</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56E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51F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47663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5AE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CBA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汇聚交换机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AA4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 固化10/100/1000M以太网端口≥28，复用100/1000M SFP光口≥4个，固化10G/1G SFP+光接口≥4个；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 交换容量≥598Gbps，包转发率≥222Mpps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 支持RIP，OSPF，BGP，RIPng，OSPFv3，BGP4+</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 支持IGMP v1/v2/v3，IGMP v1/v2/v3 Snooping，支持PIM-DM，PIM-SM，PIM-SSM，PIM for IPv6</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 支持并实配可拔插双模块化电源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 提供工信部三层交换机进网许可证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 配置电源模块≥2个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2CC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CE8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13A75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175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43E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楼层交换机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FE3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 交换容量≥330Gbps，包转发率≥126Mpps/51Mpps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 固化10/100/1000M以太网端口≥24，固化1G SFP光接口≥4个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 要求设备采用静音无风扇节能设计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 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 提供工信部交换机进网许可证</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22C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8A6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7EF4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A4F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A9F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交换机光模块</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BAC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企业级千兆单模SFP光纤模块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390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58E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14:paraId="0458F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78F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63B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网线</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D67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六类双绞线，网线及控制线</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754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939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箱</w:t>
            </w:r>
          </w:p>
        </w:tc>
      </w:tr>
      <w:tr w14:paraId="1EAA2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8F3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9A2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电源线</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63C4">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RVV2*2.0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CA3F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BAF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1D193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9A2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073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管材及辅料</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55A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线管，线槽，插板、PVC线槽，空开，塑料胀管，自攻螺丝，水晶头、小网络机柜、理线架、空开、电箱等</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E86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744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批</w:t>
            </w:r>
          </w:p>
        </w:tc>
      </w:tr>
      <w:tr w14:paraId="2C5EC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604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50C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施工、安装费</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C980">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1.施工安装费用：施工、运输卸货搬运均为夜间，时间为23:00至凌晨5:30，人工（含夜间费用、高空作业、工伤保险等）费用，设备租赁包括脚手架若干、吊车等，运输卸货搬运为夜间运输搬运卸货。</w:t>
            </w:r>
          </w:p>
          <w:p w14:paraId="2C4F23B7">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2.设备调试费用：请省、市考试院行业专家和厂家工程师至少3人以上进行设备调试，并与省市平台实现数据互联互通。</w:t>
            </w:r>
          </w:p>
          <w:p w14:paraId="11A207B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3.培训费用：设备安装到位调试完成后进行首次涉岗全员培训，由至少3个厂家的不同工程师进行全员培训。设备质保期见每年至少6次以上重大考试考前培训每次培训工程师2人以上。</w:t>
            </w:r>
          </w:p>
          <w:p w14:paraId="33F88DA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运维保障费用：每月日常运维费，质保期内至少24次巡检，每次巡检人数至少1人，至少四次重大考试保障期间，每校配备不少于4人，派驻天数至少5天，质保期内巡查系统设备备品备件至少按照设备总额1.5%准备库存以保证设备及时更换。</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31E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748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4EAA1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CBC42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四、高考英语听力广播系统</w:t>
            </w:r>
          </w:p>
        </w:tc>
      </w:tr>
      <w:tr w14:paraId="0504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F58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序号</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ACF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名称</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397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技术参数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F1C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数量</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4C4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单位</w:t>
            </w:r>
          </w:p>
        </w:tc>
      </w:tr>
      <w:tr w14:paraId="6203D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6E13">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B1B8">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系统服务器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9192">
            <w:pPr>
              <w:pStyle w:val="2"/>
              <w:keepNext w:val="0"/>
              <w:keepLines w:val="0"/>
              <w:widowControl/>
              <w:suppressLineNumbers w:val="0"/>
              <w:spacing w:before="0" w:beforeAutospacing="0" w:after="0" w:afterAutospacing="0"/>
              <w:ind w:left="0" w:right="0"/>
              <w:jc w:val="left"/>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1.≥19英寸标准机架式设计，≥7U铝合金面板、钢结构材质。</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2.可兼容 TCP/IP、RTP、RTSP、UDP 等多种流媒体网络协议，实施跨网关设备控制以及状态实时监控；</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3.内嵌播控软件，具备丰富的节目源，支持多套节目同时播放，并对每套节目可进行独立控制；</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4.主机应采用工业级主板设计，支持24小时长时间运行工作。</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5.▲具有可抽拉隐藏式键盘、触摸板鼠标，简单易用的触摸屏操控。</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6.具备强大的控制功能，可及时对终端设备进行单点、区域控制；</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7.可对网络终端进行独立分区、IP、音量控制，终端设备状态一目了然；</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8.支持广播监听功能，支持远程分控讲话；</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9.支持持系统自动开关机；</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10.系统信息采用数据库存储模式，保证数据安全性；</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11.操作系统可支持安装部署windows 或 server2012 操作平台；</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12.支持全屏幕快捷操作，可编程分区；可以按照星期、月、天等方式对节目进行编程控制，编程方式灵活易懂；</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13.采用全数字信号传输及处理；</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14.可实现任意分区广播、全体广播、定时定点广播；</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15.支持报警联动，报警强插功能等；</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16.▲自带功放、扬声器，具备专业拾音器接口，在没有外设的条件下可方便实现本地扩声和声音采集。</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17.▲设备支持选配内置校时模块，可接收北斗、GPS校时信号，确保系统时间准确。</w:t>
            </w:r>
            <w:r>
              <w:rPr>
                <w:rFonts w:hint="eastAsia" w:ascii="宋体" w:hAnsi="宋体" w:eastAsia="宋体" w:cs="宋体"/>
                <w:b w:val="0"/>
                <w:bCs w:val="0"/>
                <w:color w:val="auto"/>
                <w:sz w:val="18"/>
                <w:szCs w:val="18"/>
                <w:lang w:val="en-US" w:eastAsia="zh-CN"/>
              </w:rPr>
              <w:br w:type="textWrapping"/>
            </w:r>
            <w:r>
              <w:rPr>
                <w:rFonts w:hint="eastAsia" w:ascii="宋体" w:hAnsi="宋体" w:eastAsia="宋体" w:cs="宋体"/>
                <w:b w:val="0"/>
                <w:bCs w:val="0"/>
                <w:color w:val="auto"/>
                <w:sz w:val="18"/>
                <w:szCs w:val="18"/>
                <w:lang w:val="en-US" w:eastAsia="zh-CN"/>
              </w:rPr>
              <w:t>18.系统配置：采用工业级处理器，CPU不低于4核心2GHz、内存≥4G，≥15.6寸可触摸液晶显示屏。</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9015">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539C">
            <w:pPr>
              <w:pStyle w:val="2"/>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台</w:t>
            </w:r>
          </w:p>
        </w:tc>
      </w:tr>
      <w:tr w14:paraId="6CAF9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175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946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网络广播软件</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9F98">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 xml:space="preserve">1、系统服务管理软件，支持双向通讯设备的权限分配。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2、支持单点播放：可以对任意单点、组群、分区或全区广播。</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3、支持自动打铃：能设置个性化的音乐铃声，按照编排好的时间表自动播放。</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4、支持远程广播喊话：无需到服务器广播中心，通过与连接的任意一台电脑，便可以实现广播的远程控制，从而实现领导、广播员通过电脑远程对全区、分区、分组广播喊话。</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音频实时采播：能够将自用电台、录音机卡座、CD播放器、MP3播放器、麦克风等节目实时采播实时压缩成高音质数据流存储到服务器，并可按要求同时转播到指定的广播终端，用于播放外接设备广播及广播通知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8、分区自由点播：可通过软件控制在每个广播点的广播终端完成服务器中资料库的任意点播。</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9、定时节目播放：每个广播终端可以单独接收服务器的个性化定时播放节目，也可以通过电脑在网上远程设置或者在终端直接按键操作。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11、寻呼对讲功能：终端可以对其他单个或多个终端实现呼叫，终端与终端之间还可以双向对讲。</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12、会话心跳：通过服务和会话客户端之间心跳机制功能，避免客户端异常退出，僵死会话长期占用终端。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13、服务看门狗：当被监控的系统服务意外停止运行时，看门狗将自动重新启动该服务的功能。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14、广播监听：在广播管理中心或者领导办公室，可以实时监听到所有的广播节目。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15、本地扩音及备份广播：广播点内IP广播、本地扩音、备份定压广播三合一共用音箱，实现广播点内声音的智能切换。</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16、紧急备份广播：在网络不通或其他故障情况下，要求能够采用备份定压广播直接对广播点进行广播。备份广播与IP广播的切换是自动完成的。</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17、节目源和数据不受限制：系统采用采集、编码、压缩技术，使各类节目源均不受限制；IP网络广播在不同终端所播出的不同节目数量亦不受限制。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18、站点无限，扩容简便：基于IP数据网络每个终端都有独立的IP地址，只需将分控电脑或网络终端接入IP数据网络，就成功扩容了新的站点。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19、支持文件播放：用户可以向不同终端同时播放不同节目，终端支持自动功放电源开关。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20、支持大比特率播放：音质达到CD级(音频文件位速为128kbps)并能播放高音质发烧级别的音频文件（音频文件位速320kbps）；</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050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95C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33817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157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94A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电源时序器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FB9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1.采用标准2U机架式设计。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2.≥2路直通电源输出接口，≥16路受控电源输出接口，可依次开启与关闭。</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3、每路电源均有配套电源指示灯显示工作状态。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3.每路电源输出电流≥10A，总输出功率≥6000W。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4.配套≥4路拔码开关，支持地址码选址，可实现多台并机工作。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5.停电恢复时支持继续依次按顺序开启16路输出。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6.具备短路触发输入接口与输出接口，方便与外部智能设备对接使用；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7.支持掉线提醒功能。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8.支持断电记忆功能，每路电源间隔1S开启。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9.≥1路RJ45接口，可实现远程启动控制。</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71A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F17D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30247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C65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18C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IP网络寻呼话筒</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FD4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功能要求：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1.支持免提和非免提双模式通话：外接鹅颈式话筒，内置喇叭，支持免提通话；带话筒接口，可接专业话筒，进行非免提通话。</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2.带7英寸真彩LCD显示屏，支持触控操作，可直接配置IP地址和查看终端状态。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3.支持网络搜索配置，无需知道终端 IP地址，可直接寻址配置。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4.支持寻呼、会议。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5.支持双向对讲功能：双向终端之间实现两两双向对讲。</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6.具有30以上一键呼叫触控按钮，便于呼叫不同的分区。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7.支持网络在线升级。</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8.具有监听功能，用于监听其他终端采集到的环境声音。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9.支持静态IP和DHCP两种方式，跨网段，跨路由，配置使用方便。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10.具有3.5mm的标准音频接口，可连接专用话筒，便于扩展非免提通话，用于私密通话。</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11.支持一路本地线路输出，可外扩功放。</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12.支持U盘点播，可点播U盘上的文件到其他终端播放。</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技术参数：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1.电源：DC12V/2A</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2.额定功率(Max.Po@1KHz 0dB)：3W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3.音频位率：8Kbps～320Kbps自适应</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4.频率响应：40Hz～20KHz（±3dB）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5.总谐波失真（THD@1W）：≤1%</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6.信噪比：&gt;80dB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7.采样率：8K～48KHz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8.最大功耗：5W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9.输入电平：400mV（标准3.5mm音频接口）</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10.输出电平：0.775V（标准3.5mm音频接口）</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11.内置扬声器输出阻抗&amp;功率：8Ω/5W</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C56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7CA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64A6F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2CC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DC0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音频处理调音台</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3EA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1.≥4路平衡式卡侬输入接口、≥4路立体声输入接口、≥2路主输出接口、≥2路编组输出接口。</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2.支持≥16路可调DELY和REPEAT效果处理器，≥7段图示均衡器，可根据不同使用场景调用对应的扩声效果。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3.具备多格式MP3播放器，支持歌词及曲目显示。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4.支持多段参数均衡、图示均衡、混响回声效果处理、立体声通道均衡、高低通滤波等电子立体声音效调节功能.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5.音频通道具备哑音选择开关，支持独立监听功能。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6.≥6路母线（BUS）：含主输出、两编组、与监听输出通道。</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7.采用≥100MM长行程推子控制。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8.每路输入内置48V幻象供电，可支持每路幻像供电独立可控。</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9.内置80V-240V宽电压工作电源。</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E88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EEC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4335D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A95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055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听力考试音频监听终端</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A11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功能要求：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1.壁挂式设计，黑色塑胶注塑成型，终端采用嵌入式技术和DSP音频处理技术；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2.配置4.3英寸真彩触摸电容显示屏，触控精准，反馈灵敏，采用高速工业级芯片，启动时间小于1s；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3.超强抗干扰性能，避免红外信号操作的不稳定因素；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4.内置2×25W定阻输出D类功放模块，内置网络硬件音频解码模块，支持TCP/IP、UDP、IGMP(组播)协议，支持音频格式MP3/MP2；</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5.实现网络化传输16位立体声CD音质的音频信号，立体声音频路输出，可外接功率放大器或有源音箱；</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6.支持终端新配置注册时智能语音提示功能（如设备已连接）；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7.具有1000级自定义音频优先级默音控制功能；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8.具有服务器统一授权操作管理功能，统一配置管理用户及密码；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9.具有数字音频时光流逝的断点播放功能，确保广播同步效果；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10.具有PSTN电话广播，支持短信语音广播功能；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11.具有手机WIFI点播，支持无线遥控器点播功能；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12.支持DHCP，兼容路由器、交换机、网桥网关、Modem、Internet、2G、3G、4G、组播、单播等任意网络结构；</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13.支持协议：TCP/IP，UDP，IGMP（组播）</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14.内置模拟音频信号备份模块，支持定压70V/100V备份音频信号输入，满足教育听力考试要求。；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接口要求：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1.1路立体声线路输入，1路话筒输入，具有独立音量调节开关；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2.1路U盘输入接口，可实现本地U盘播放功能；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3.1路短路信号输入，可接入联动触发信号，有紧急情况时可触发终端报警；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4.1路短路信号输出，紧急情况时可联动触发其它设备；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5.网络接口：标准RJ45输入；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6.70/100V备份音频输入接口</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技术参数：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1.输出功率：2×25W定阻；</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2.频率响应：50Hz~18KHz：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3.采样率：8K～48KHz；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4.传输速率：100Mbps；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5.音频模式：16位立体声CD音质；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6.谐波失真：≤0.3%；</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7.信噪比：＞70dB；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8.音源输出电平：1000mV工业标准压线接线端子；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9.音源输出阻抗：470Ω；</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F6F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0B9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539A6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3AE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7FE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扩声音箱</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178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1.木质音箱（10mm密度板材）多角度壁挂安装。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2.适用于室内广播终端扩声。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技术参数：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1.额定功率：10-20W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2.阻抗：8Ω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3.频响范围：90Hz-18KHz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4.灵敏度：≥90dB</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4C7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B7C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14:paraId="2E2A3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302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3D5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考试专用音频备份主机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544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1.透明带灯按键。</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2.最大80秒延时，最小40毫秒延时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3.可调节延时后输出音频音量大小，输出音频±7DB功能。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4.开机倒计时延时时间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5.卡侬和立体声莲花输入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6.卡侬和立体声莲花输出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7.输入输出平衡非平衡混合输入输出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8.平衡非平衡转换功能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9.断电直通功能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10.宽电压输入90-260V</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11.断电自动记忆保存功能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12.音频双声道平衡分配器提供丰富的电源状态、音频链路状态、输入输出等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有效指示功能使得用户安装调试十分方便。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13.音频双声道平衡分配器使用全工业级别宽温度范围设计，工业级芯片、全表面贴装技术，先进的开关电源，性能卓越，耐高温、严寒，可以有效防止电磁波辐射干扰，雷电冲击和电源浪涌，通信质量稳定可靠。</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F84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DA9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76AF5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1D5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097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紧急音频备份终端</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E90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1.带铃声提式，麦克风与叮咚音量可调。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2.具有MP3播放功能。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3.抗手机、电磁干扰.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4.支持外置音源输入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技术参数：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1.换能方式：电容式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2.指向性：心型</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3.频率响应：40Hz-16kHz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4.输出阻坑：200Ω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5.灵敏度：-40dB±2dB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6.供电电压：DC3V/DC5V</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7.输出、指示：非平衡、管灯</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BC7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9E1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5C95F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8F3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BDF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主备功放切换器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8692">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 xml:space="preserve">1.标准机箱设计，2U铝合金面板。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2.具备≥4个独立工作通道，支持≥6台主/备功放接入。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3.支持故障自动切换。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4.支持手动切换功能。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5.具备LED工作状态显示灯，可指示各通道工作状态。</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BD5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ECE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1439A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D49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DBE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主功率放大器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F46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 xml:space="preserve">1.标准机箱设计，2U铝合金拉丝面板；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2.具备输入输出XLR音频插口供方便环接；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3.采用5单元LED电平指示工作状态；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4.具备压限功能，保证声音不失真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5.具备100V定压输出接口，额定输出功率：≥1500W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6.▲设备支持短路、过压、过热、过流等保护功能。</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9A3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44D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32CF5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B4A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8F7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备用功率放大器</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6EF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 xml:space="preserve">1.标准机箱设计，2U铝合金拉丝面板；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2.具备输入输出XLR音频插口供方便环接；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3.采用5单元LED电平指示工作状态；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4.具备压限功能，保证声音不失真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5.具备100V定压输出接口，额定输出功率：≥1500W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6.▲设备支持短路、过压、过热、过流等保护功能。</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C46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88C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77D56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65D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A7F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IP壁挂式解码终端</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CA0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功能要求：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1.壁挂式设计，黑色塑胶注塑成型，终端采用嵌入式技术和DSP音频处理技术；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2.配置4.3英寸真彩触摸电容显示屏，触控精准，反馈灵敏，采用高速工业级芯片，启动时间小于1s；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3.超强抗干扰性能，避免红外信号操作的不稳定因素；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4.内置2×25W定阻输出D类功放模块，内置网络硬件音频解码模块，支持TCP/IP、UDP、IGMP(组播)协议，支持音频格式MP3/MP2；</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5.实现网络化传输16位立体声CD音质的音频信号，立体声音频路输出，可外接功率放大器或有源音箱；</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6.支持终端新配置注册时智能语音提示功能（如设备已连接）；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7.具有1000级自定义音频优先级默音控制功能；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8.具有服务器统一授权操作管理功能，统一配置管理用户及密码；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9.具有数字音频时光流逝的断点播放功能，确保广播同步效果；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10.具有PSTN电话广播，支持短信语音广播功能；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11.具有手机WIFI点播，支持无线遥控器点播功能；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12.支持DHCP，兼容路由器、交换机、网桥网关、Modem、Internet、2G、3G、4G、组播、单播等任意网络结构；</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13.支持协议：TCP/IP，UDP，IGMP（组播）</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14.内置模拟音频信号备份模块，支持定压70V/100V备份音频信号输入，满足教育听力考试要求。；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接口要求：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1.1路立体声线路输入，1路话筒输入，具有独立音量调节开关；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2.1路U盘输入接口，可实现本地U盘播放功能；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3.1路短路信号输入，可接入联动触发信号，有紧急情况时可触发终端报警；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4.1路短路信号输出，紧急情况时可联动触发其它设备；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5.网络接口：标准RJ45输入；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6.70/100V备份音频输入接口</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技术参数：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1.输出功率：2×25W定阻；</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2.频率响应：50Hz~18KHz：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3.采样率：8K～48KHz；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4.传输速率：100Mbps；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5.音频模式：16位立体声CD音质；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6.谐波失真：≤0.3%；</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7.信噪比：＞70dB；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8.音源输出电平：1000mV工业标准压线接线端子；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9.音源输出阻抗：470Ω；</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5DC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54E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7E53C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28C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0B9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扩声音箱</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F02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1.木质音箱（10mm密度板材）多角度壁挂安装。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2.适用于室内广播终端扩声。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技术参数：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1.额定功率：10-20W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2.阻抗：8Ω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3.频响范围：90Hz-18KHz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4.灵敏度：≥90dB</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BDF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4F4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14:paraId="5791C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344D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8F1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广播室机柜</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FE5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42U标准网络机柜</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913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57D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21280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B75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222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UPS</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E2E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在线式10KVA，电池12V100AH，1组，含电池柜</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6A2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4BD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344E8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296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982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音源备份电脑主机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8FB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配置不低于：台式/I5-12500/16G/1T固态/2G独显/21.5寸显示器/键鼠套，win10以上</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525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CD9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6FB69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3B5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B5F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主干电源线</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295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用RVV3*4线，统一供电方便管理，具体视广播中心到前端楼宇距离计算，楼宇强电到广播中心。</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26F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ED2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65FAD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31E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A535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电源线支线</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5B6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RVV2*2.0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3D2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2800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7FB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17896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CF1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960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音箱线</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BDE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RVVP2*2.5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6E1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449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197AF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CB2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07A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音箱线</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69A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RVVP2*1.0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990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7F8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1C08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911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5B8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交换机光模块</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885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企业级千兆单模SFP光纤模块</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CD1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A2A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14:paraId="510B4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00D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8BC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楼层交换机</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2F0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 交换容量≥330Gbps，包转发率≥126Mpps/51Mpps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 固化10/100/1000M以太网端口≥24，固化1G SFP光接口≥4个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 要求设备采用静音无风扇节能设计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 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 提供工信部交换机进网许可证</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5A7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01C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0BB99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31C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9FE9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网线</w:t>
            </w:r>
          </w:p>
        </w:tc>
        <w:tc>
          <w:tcPr>
            <w:tcW w:w="1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AFB7">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六类双绞线，网线及控制线</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E05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8DC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箱</w:t>
            </w:r>
          </w:p>
        </w:tc>
      </w:tr>
      <w:tr w14:paraId="10C99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4D2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7D5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管材及辅料</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C86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线管，线槽，插板、PVC线槽，空开，塑料胀管，自攻螺丝，水晶头、小网络机柜</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C20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F9B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批</w:t>
            </w:r>
          </w:p>
        </w:tc>
      </w:tr>
      <w:tr w14:paraId="7DE9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271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768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施工、安装费</w:t>
            </w:r>
          </w:p>
        </w:tc>
        <w:tc>
          <w:tcPr>
            <w:tcW w:w="110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520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1.施工安装费用：施工、运输卸货搬运均为夜间，时间为23:00至凌晨5:30，人工（含夜间费用、高空作业、工伤保险等）费用，设备租赁包括脚手架若干、吊车等，运输卸货搬运为夜间运输搬运卸货。</w:t>
            </w:r>
          </w:p>
          <w:p w14:paraId="51C82A9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2.设备调试费用：请省、市考试院行业专家和厂家工程师至少3人以上进行设备调试，并与省市平台实现数据互联互通。</w:t>
            </w:r>
          </w:p>
          <w:p w14:paraId="32D92E0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3.培训费用：设备安装到位调试完成后进行首次涉岗全员培训，由至少3个厂家的不同工程师进行全员培训。设备质保期见每年至少6次以上重大考试考前培训每次培训工程师2人以上。</w:t>
            </w:r>
          </w:p>
          <w:p w14:paraId="3B0BA29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运维保障费用：每月日常运维费，质保期内至少24次巡检，每次巡检人数至少1人，至少四次重大考试保障期间，每校配备不少于4人，派驻天数至少5天，质保期内巡查系统设备备品备件至少按照设备总额1.5%准备库存以保证设备及时更换。</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8BA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7FD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bl>
    <w:p w14:paraId="0565B04E">
      <w:pPr>
        <w:rPr>
          <w:rFonts w:hint="eastAsia" w:ascii="宋体" w:hAnsi="宋体" w:eastAsia="宋体" w:cs="宋体"/>
        </w:rPr>
      </w:pPr>
      <w:r>
        <w:rPr>
          <w:rFonts w:hint="eastAsia" w:ascii="宋体" w:hAnsi="宋体" w:eastAsia="宋体" w:cs="宋体"/>
        </w:rPr>
        <w:br w:type="page"/>
      </w:r>
    </w:p>
    <w:p w14:paraId="1D09829E">
      <w:pPr>
        <w:rPr>
          <w:rFonts w:hint="eastAsia" w:ascii="宋体" w:hAnsi="宋体" w:eastAsia="宋体" w:cs="宋体"/>
          <w:b/>
          <w:bCs/>
        </w:rPr>
      </w:pPr>
      <w:r>
        <w:rPr>
          <w:rFonts w:hint="eastAsia" w:ascii="宋体" w:hAnsi="宋体" w:eastAsia="宋体" w:cs="宋体"/>
          <w:b/>
          <w:bCs/>
          <w:lang w:val="en-US" w:eastAsia="zh-CN"/>
        </w:rPr>
        <w:t>3、</w:t>
      </w:r>
      <w:r>
        <w:rPr>
          <w:rFonts w:hint="eastAsia" w:ascii="宋体" w:hAnsi="宋体" w:eastAsia="宋体" w:cs="宋体"/>
          <w:b/>
          <w:bCs/>
        </w:rPr>
        <w:t>西安市经开第二学校</w:t>
      </w:r>
    </w:p>
    <w:tbl>
      <w:tblPr>
        <w:tblStyle w:val="32"/>
        <w:tblW w:w="14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7"/>
        <w:gridCol w:w="1268"/>
        <w:gridCol w:w="10845"/>
        <w:gridCol w:w="683"/>
        <w:gridCol w:w="692"/>
      </w:tblGrid>
      <w:tr w14:paraId="7FC6D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320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序号</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B62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名称</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087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技术参数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404B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数量</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0CB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单位</w:t>
            </w:r>
          </w:p>
        </w:tc>
      </w:tr>
      <w:tr w14:paraId="6E7D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68F47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一、考场端</w:t>
            </w:r>
          </w:p>
        </w:tc>
      </w:tr>
      <w:tr w14:paraId="4A4AD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B22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490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标考红外高清半球摄像机</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8EB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符合《国家教育考试网上巡查系统视频标准技术规范（2017版）》；</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1.≥200万(1920×1080) 像素，1/2.8英寸CMOS图像传感器；镜头焦距：2.7mm~12mm；；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2.支持H.264、H.265、MPEG-4视频编码，支持MPEG Layer II、G711和AAC音频编码标准；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3.支持三码流，ACF（活动帧率控制）；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4.支持 ROI，支持多达 20 路连接；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6.支持IP67，IK10防护等级，防浪涌，防静电，防雷设计；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7.支持大容量存储卡，不小于 64GB，录像可断网续传；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8.支持人脸侦测；支持音频侦测；支持区域入侵，拌线入侵，物品遗留/消失，虚焦侦测，场景变更的侦测，并且可以与报警联动；</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821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BD1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4110B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0F8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30A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C2C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8EA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2D6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4FF7C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523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E35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拾音器</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315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1、内置数字语音处理电路和微处理芯片，两级动态数字降噪处理；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2、自适应动态降噪处理技术，内置高速DSP数字信号处理器；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3、拾音半径不小于6m；</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4、信噪比≥88dB；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5、内置雷击保护、电源极性反转保护；</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6、经过防潮技术处理；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7、超长线路的拾音头音频传输专利技术，采用屏蔽电缆传输≥3000米不失真；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8、防电磁干扰；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9、频率响应 20Hz ～ 20kHz，动态范围 ≥104dB ；</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A05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4E5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只</w:t>
            </w:r>
          </w:p>
        </w:tc>
      </w:tr>
      <w:tr w14:paraId="291B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293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14F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电波钟</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FFD4">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≥16英寸电波钟，静音扫描智能电波石英钟，具有自动校正及时间记忆功能；具备夜间停秒及静音扫描功能；产品材质：HIPS环保工程塑料。温度范围：-10--50℃；电压范围：DC2.6V--3.4V；</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E61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A90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只</w:t>
            </w:r>
          </w:p>
        </w:tc>
      </w:tr>
      <w:tr w14:paraId="5CD7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2E839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二、试卷流转通道（①试卷 自行政楼中间至K楼）</w:t>
            </w:r>
          </w:p>
        </w:tc>
      </w:tr>
      <w:tr w14:paraId="7995F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3E9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3B6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标考红外高清网络球型摄像机</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C5A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1）符合《国家教育考试网上巡查系统视频标准技术规范（2017版）》相关技术规范；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2）嵌入式设备，具备实时操作系统，本身具有抗病毒和抗攻击能力；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3）采用≥200万（1920×1080）像素，1/2.8英寸 CMOS高性能图像传感器，低照度环境的完美展现；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4）最大支持1920×1080@30fps实时视频输出；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5）支持16 倍数字变倍，20倍光学变倍；</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6）支持三码流，最大20路用户登陆；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7）采用标准MPEG-4 视频压缩技术，最大图像尺寸：1920×1080；</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8）支持MPEG-4 和H.264视频编码、支持MPEG  Layer II、G711和AAC音频编码标准，并支持PS系统流和TS传输流的封装；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9）设备具有日志功能；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10）支持IP单播技术；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11）具有可设定的点对点、点对多点传输能力；</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12）具有视频移动侦测能力，可根据设置策略实现相应的编码、传输、存储或视频报警；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14）支持自动跟踪和手动跟踪；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15）支持单场景跟踪及多场景巡航跟踪；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16）支持绊线入侵、区域入侵、物品遗留与物品消失多种行为检测，支持人脸检测；</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17）创新的跟踪算法，自动锁定目标，并自动调整云台焦距，以获得最佳监控图像；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18）MAC白名单、多级用户管理，监控保密和权限管理功能；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19）低码流传输；</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20）超级宽动态效果，图像降噪功能；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21）电子图像防抖动功能；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22）快装结构，防掉落设计；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23）独特的FD三维定位功能；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24）垂直旋转 -20°～90°自动翻转180°后连续监视；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25）水平旋转 0°～360°连续旋转；</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26）键控速度 水平：0.1°～200°/s 垂直：0.1°～120°/s；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27）多种网络监控方式相结合(WEB、客户端)，使用更方便；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28）灵活的网络扩展能力，适应各种网络平台监控系统；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29）SD卡本地存储，解决网络异常状态的监控存储问题，支持 FTP 存储录像，录像可断网续传；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30）内置红外灯补光，补光距离≥220米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31）选用高性能红外灯；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32）支持24V±25%宽电压输入；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33）支持ONVIF、CGI等等各种网络协议，组网更方便。</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147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47D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39EBB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D4D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9F3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标考红外高清枪式摄像机</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1E44">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 像素，1/3英寸CMOS图像传感器；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4.采用H.264/265编码；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5.支持三码流；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6.支持宽动态，3D降噪、强光抑制、背光补偿；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7.具有SD卡存储、报警等接口及录像断网续传功能；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8.具备红外补光功能，满足光线较暗环境使用；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10.支持区域入侵，拌线入侵，物品遗留/消失，虚焦侦测，场景变更的侦测，并且可以与报警联动；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11.支持无SD卡、SD卡空间不足、SD卡出错、网络断开、IP冲突、移动检测、视频遮挡智能报警。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12.支持标准SIP2.0，SIP地址解析、信令转发，统一命名规则以及分级命名等；</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BC5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9D4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0D665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6FE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B64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D170">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2FA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2F8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534D1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D6CB10">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②（小学部K栋走廊；1、2、3层，每层走廊2个；2个楼梯，3层）</w:t>
            </w:r>
          </w:p>
        </w:tc>
      </w:tr>
      <w:tr w14:paraId="64CA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252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47F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标考红外高清枪式摄像机</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7FE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2.嵌入式设备，具备实时操作系统；</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3.采用≥200万(1920×1080) 像素，1/3英寸CMOS图像传感器；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4.采用H.264/265编码；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5.支持三码流；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6.支持宽动态，3D降噪、强光抑制、背光补偿；</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7.具有SD卡存储、报警等接口及录像断网续传功能；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8.具备红外补光功能，满足光线较暗环境使用；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9.支持设备认证功能、加密传输能力及数字水印加密，防数据被篡改；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10.支持区域入侵，拌线入侵，物品遗留/消失，虚焦侦测，场景变更的侦测，并且可以与报警联动；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11.支持无SD卡、SD卡空间不足、SD卡出错、网络断开、IP冲突、移动检测、视频遮挡智能报警。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12.支持标准SIP2.0，SIP地址解析、信令转发，统一命名规则以及分级命名等；</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A9C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9CE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6F05D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822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72F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支架及电源适配器</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364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标考摄像机专用标准支架+电源适配器</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CC5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E79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1B6FB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5072F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三、巡查指挥监控系统</w:t>
            </w:r>
          </w:p>
        </w:tc>
      </w:tr>
      <w:tr w14:paraId="580B1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508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78C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标考流媒体网络存储平台</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16C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1、符合《国家教育考试网上巡查系统视频标准技术规范（2017版）》（JY/T-KS-JS-2017-1）技术规范；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2、嵌入式设备，采用国产化芯片；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★3、不少于32路网络视频接入，最大转发码流≥1280Mbps；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4、可自适应接入H.265、H.264、MPEG4视频编码格式，MPEG LayerⅡ、G711和AAC音频编码格式，系统流和传输流封装格式的网络视频，并对接入的网络视频进行存储、解码和转发</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5、操作界面远程WEB、本地GUI；</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6、支持添加数字水印，防止录像被篡改；</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7、支持不少于16个SATA接口（可热插拔），单盘容量支持不低于8TB，支持Raid0、Raid1、Raid5、Raid6、Raid10、JBOD等多种数据模式；支持独立的eSATA扩展，支持录像和备份；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8、支持独立的eSATA扩展；支持根据考试计划自动锁定录像功能，支持考试录像本机同步双备份；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9、板板之间采用高速总线连接，无线缆设计。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10、支持双HMDI异源输出，支持VGA、1个HDMI同步输出；</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★11、具有不少于4个RJ4510/100/1000Mbps自适应以太网口，支持负载均衡和四网分离，支持容错模式，可将4个网络接口绑定为1个IP地址，当其中1个网络接口损坏时仍能正常工作，支持不少于2个光口；</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12、不少于4个千兆以太网口，2个光口，1个RS232接口，1个RS485接口，1个VGA接口、6个HDMI接口、1个RC音频输入接口、1个RC输出接口、4个USB接口、16个SATA接口、1个eSATA接口、16个报警输入接口、8个报警输出接口；</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13、须实现与经开二校已安装运行的标准化考场系统平台完全匹配。</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0C7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450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20E08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935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2DB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硬盘</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BEA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4T硬盘容量≥5400转</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0E4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7D8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块</w:t>
            </w:r>
          </w:p>
        </w:tc>
      </w:tr>
      <w:tr w14:paraId="7B9B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63E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C14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机柜</w:t>
            </w:r>
          </w:p>
        </w:tc>
        <w:tc>
          <w:tcPr>
            <w:tcW w:w="10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583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专用服务器机柜尺寸：600*1000*2000mm。带4层托盘（隔板）2个PDU电源</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572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441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4CF02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1158E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四、网络设备及网络安全设备</w:t>
            </w:r>
          </w:p>
        </w:tc>
      </w:tr>
      <w:tr w14:paraId="33EE6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C2B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379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交换机光模块</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31D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企业级千兆单模SFP光纤模块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678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0A4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14:paraId="45291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6A87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E4C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楼层交换机</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9B52">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 交换容量≥330Gbps，包转发率≥126Mpps/51Mpps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 固化10/100/1000M以太网端口≥24，固化1G SFP光接口≥4个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 要求设备采用静音无风扇节能设计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 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 提供交换机进网许可证</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894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D3D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774FA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381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180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光纤收发器</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6C7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千兆</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593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811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14:paraId="79240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A52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0F5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光纤</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7437">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层绞式单模双铠双护直埋铠装阻燃光缆 GYTZA53-24B1.3</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BE6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C6F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4FE43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EE8DF0">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五、线缆及辅助材料</w:t>
            </w:r>
          </w:p>
        </w:tc>
      </w:tr>
      <w:tr w14:paraId="5B3F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3AB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823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主干电源线</w:t>
            </w:r>
          </w:p>
        </w:tc>
        <w:tc>
          <w:tcPr>
            <w:tcW w:w="10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A7A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用RVV3*4线，统一供电方便管理，具体视监控中心到前端楼宇距离计算，楼宇强电到监控中心.（具体视实际距离定）</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B2A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70F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219C6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89A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1E7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摄像机专用SD卡</w:t>
            </w:r>
          </w:p>
        </w:tc>
        <w:tc>
          <w:tcPr>
            <w:tcW w:w="10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184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摄像机专用SD卡，容量≥64G</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0B3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34</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123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4F8DE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338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F08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电源线支线</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5B0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电源线，摄像机、拾音器用RVV3*1线，统一供电方便管理，（每个点位预计70米）</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CE8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1500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F56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7A302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04E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5FC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网线</w:t>
            </w:r>
          </w:p>
        </w:tc>
        <w:tc>
          <w:tcPr>
            <w:tcW w:w="10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BCE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六类双绞线，网线及控制线，(每个点位预计70米)</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526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5E7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箱</w:t>
            </w:r>
          </w:p>
        </w:tc>
      </w:tr>
      <w:tr w14:paraId="42A4B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48C5F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六、施工</w:t>
            </w:r>
          </w:p>
        </w:tc>
      </w:tr>
      <w:tr w14:paraId="42F6B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024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29B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施工、安装费</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6E51">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1.施工安装费用：施工、运输卸货搬运均为夜间，时间为23:00至凌晨5:30，人工（含夜间费用、高空作业、工伤保险等）费用，设备租赁包括脚手架若干、吊车等，运输卸货搬运为夜间运输搬运卸货。</w:t>
            </w:r>
          </w:p>
          <w:p w14:paraId="44C9A75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2.设备调试费用：请省、市考试院行业专家和厂家工程师至少3人以上进行设备调试，并与省市平台实现数据互联互通。</w:t>
            </w:r>
          </w:p>
          <w:p w14:paraId="16EC738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3.培训费用：设备安装到位调试完成后进行首次涉岗全员培训，由至少3个厂家的不同工程师进行全员培训。设备质保期见每年至少6次以上重大考试考前培训每次培训工程师2人以上。</w:t>
            </w:r>
          </w:p>
          <w:p w14:paraId="77EDFAE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运维保障费用：每月日常运维费，质保期内至少24次巡检，每次巡检人数至少1人，至少四次重大考试保障期间，每校配备不少于4人，派驻天数至少5天，质保期内巡查系统设备备品备件至少按照设备总额1.5%准备库存以保证设备及时更换。</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E64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34</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F5B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7EEA4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093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DFF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管材及辅料</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E04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线管，线槽，插板、PVC线槽，空开，塑料胀管，自攻螺丝，水晶头、小网络机柜、理线架、空开、电箱等</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4C9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34</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9A5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批</w:t>
            </w:r>
          </w:p>
        </w:tc>
      </w:tr>
      <w:tr w14:paraId="0A75E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0A06B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二、标准化考场无线电作弊防控系统</w:t>
            </w:r>
          </w:p>
        </w:tc>
      </w:tr>
      <w:tr w14:paraId="1FBD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CC8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序号</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03C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名称</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9DD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技术参数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7FB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数量</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F62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单位</w:t>
            </w:r>
          </w:p>
        </w:tc>
      </w:tr>
      <w:tr w14:paraId="08CE0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A43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18F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无线电屏蔽终端</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149E">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符合《陕西省国家教育考试综合管理平台建设规划》（陕教考办〔2018〕4号）相关规范</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1.阻断工作频率范围：50MHz-5850MHz；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2.侦测引导阻断频率范围：无缝覆盖300MHz-3000MHz（支持扩展）；</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3.手机信号屏蔽：能够屏蔽电信、移动、联通的2G/3G/4G/5G手机信号(考场内信号强度≤-65dBm时，可有效屏蔽)；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4.蓝牙/WIFI信号屏蔽：能够屏蔽2400MHz-2483.5MHz（2.4G）蓝牙信号以及2400MHz-2483.5MHz（2.4G）、5725MHz-5850MHz（5.8G）WIFI信号；</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5.阻断方式：对侦测引导阻断频率范围内的专业作弊信号，采用侦测引导阻断方式，对专业作弊信号实现点对点的精准阻断；对2G/3G/4G各种制式的手机信号和蓝牙/WIFI信号采用直接阻断方式；</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智能绿色阻断控制：根据专业作弊信号的带宽、调制方式及功率等特征自动调整阻断信号带宽和功率，确保对作弊信号的有效阻断。根据作弊信号持续时间，自动调整屏蔽时长，减少非必要辐射，符合节能环保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7.并发阻断：专业作弊信号（手机信号/WIFI/蓝牙信号通道除外）支持不少于22路并发阻断；</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8.点频阻断：支持对专业作弊信号采用瞄准式点频精准阻断方式，阻断信号3dB带宽≤200KHz；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9.欺骗式干扰：具备数传作弊设备接收答案的远程清除功能；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10.批量升级：支持通过考点级管理平台对高科技屏蔽终端软件进行一键式集中批量升级；</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11.考试计划：可根据考点级管理平台的考试计划，提供考前、考中及考后自动工作模式，实现无人值守式管理；也可支持手动操作；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12.远程管理：支持通过考点级管理平台实现远程集中控制；可远程对工作模块进行开关控制；</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13.扩展机制：设备具备扩展模块插槽，通过扩展模块可对系统功能和性能进行扩展升级；</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14.温度监控：支持远程对设备的工作温度进行监控；</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15.数据接口：RJ-45接口，支持与考点级管理平台及侦测服务器组网；</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16.可靠性：MTBF≥3000小时；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17.安全设计：绝缘外壳，无金属部件裸露，避免触电、烫伤等风险；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18.一体化设计：天线和电源内置，避免触电、烫伤等风险；</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19.符合国家《电磁环境控制限值(GB8702-2014)》标准；符合国家《声环境质量标准（GB3096-2008）》中的零类标准。</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20.须接入经开二校已建无线电作弊防控管理平台；</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0AB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967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5EE8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1CC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503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手机信号屏蔽仪</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818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针对国内高考、成人高考、自学考试及各类大专院校在考试过程中，手机信号屏蔽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1、支持屏蔽 GSM/DCS/CDMA/PHS/3G(TD-SCDMA/CDMA2000/WCDMA)/4G/5G/2.4G 频段</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2、采用一体金属外壳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3、有效屏蔽距离 0-12 米</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720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0AC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个</w:t>
            </w:r>
          </w:p>
        </w:tc>
      </w:tr>
      <w:tr w14:paraId="4422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493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D1A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楼层交换机</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C0D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 交换容量≥330Gbps，包转发率≥126Mpps/51Mpps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 固化10/100/1000M以太网端口≥24，固化1G SFP光接口≥4个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 要求设备采用静音无风扇节能设计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 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 提供工信部交换机进网许可证</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7B1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B6E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6258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52B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6B0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交换机光模块</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831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企业级千兆单模SFP光纤模块</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E92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77C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14:paraId="75FD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B75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4AB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网线</w:t>
            </w:r>
          </w:p>
        </w:tc>
        <w:tc>
          <w:tcPr>
            <w:tcW w:w="10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B74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六类双绞线，网线及控制线</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806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859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箱</w:t>
            </w:r>
          </w:p>
        </w:tc>
      </w:tr>
      <w:tr w14:paraId="0BDC7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5ED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B52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电源线</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CA7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RVV2*2.0</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4A2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1500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4D5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6CE39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FFB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20F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管材及辅料</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F7C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线管，线槽，插板、PVC线槽，空开，塑料胀管，自攻螺丝，水晶头、小网络机柜、理线架、空开、电箱等</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B63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3B1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批</w:t>
            </w:r>
          </w:p>
        </w:tc>
      </w:tr>
      <w:tr w14:paraId="78E60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3B2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DA7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施工、安装费</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B6F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1.施工安装费用：施工、运输卸货搬运均为夜间，时间为23:00至凌晨5:30，人工（含夜间费用、高空作业、工伤保险等）费用，设备租赁包括脚手架若干、吊车等，运输卸货搬运为夜间运输搬运卸货。</w:t>
            </w:r>
          </w:p>
          <w:p w14:paraId="285153D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2.设备调试费用：请省、市考试院行业专家和厂家工程师至少3人以上进行设备调试，并与省市平台实现数据互联互通。</w:t>
            </w:r>
          </w:p>
          <w:p w14:paraId="3E4A6A6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3.培训费用：设备安装到位调试完成后进行首次涉岗全员培训，由至少3个厂家的不同工程师进行全员培训。设备质保期见每年至少6次以上重大考试考前培训每次培训工程师2人以上。</w:t>
            </w:r>
          </w:p>
          <w:p w14:paraId="21DF828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运维保障费用：每月日常运维费，质保期内至少24次巡检，每次巡检人数至少1人，至少四次重大考试保障期间，每校配备不少于4人，派驻天数至少5天，质保期内巡查系统设备备品备件至少按照设备总额1.5%准备库存以保证设备及时更换。</w:t>
            </w:r>
          </w:p>
        </w:tc>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879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21F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0739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B312A9">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四、高考英语听力广播系统</w:t>
            </w:r>
          </w:p>
        </w:tc>
      </w:tr>
      <w:tr w14:paraId="07398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6A0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序号</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3E9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名称</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F06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技术参数</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A35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数量</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257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单位</w:t>
            </w:r>
          </w:p>
        </w:tc>
      </w:tr>
      <w:tr w14:paraId="6D479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C78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7C4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主功率放大器</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8C4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 xml:space="preserve">1.标准机箱设计，2U铝合金拉丝面板；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2.具备输入输出XLR音频插口供方便环接；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3.采用5单元LED电平指示工作状态；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4.具备压限功能，保证声音不失真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5.具备100V定压输出接口，额定输出功率：≥1500W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6.▲设备支持短路、过压、过热、过流等保护功能。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726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64B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1052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AC1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0D4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备用功率放大器</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C52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 xml:space="preserve">1.标准机箱设计，2U铝合金拉丝面板；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2.具备输入输出XLR音频插口供方便环接；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3.采用5单元LED电平指示工作状态；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4.具备压限功能，保证声音不失真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 xml:space="preserve">5.具备100V定压输出接口，额定输出功率：≥1500W             </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6.▲设备支持短路、过压、过热、过流等保护功能。</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B65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4D48">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台</w:t>
            </w:r>
          </w:p>
        </w:tc>
      </w:tr>
      <w:tr w14:paraId="52D11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D80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9DE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IP壁挂式解码终端</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1EC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功能要求：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1.壁挂式设计，黑色塑胶注塑成型，终端采用嵌入式技术和DSP音频处理技术；</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2.配置4.3英寸真彩触摸电容显示屏，触控精准，反馈灵敏，采用高速工业级芯片，启动时间小于1s；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3.超强抗干扰性能，避免红外信号操作的不稳定因素；</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4.内置2×25W定阻输出D类功放模块，内置网络硬件音频解码模块，支持TCP/IP、UDP、IGMP(组播)协议，支持音频格式MP3/MP2；</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5.实现网络化传输16位立体声CD音质的音频信号，立体声音频路输出，可外接功率放大器或有源音箱；</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6.支持终端新配置注册时智能语音提示功能（如设备已连接）；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7.具有1000级自定义音频优先级默音控制功能；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8.具有服务器统一授权操作管理功能，统一配置管理用户及密码；</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9.具有数字音频时光流逝的断点播放功能，确保广播同步效果；</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10.具有PSTN电话广播，支持短信语音广播功能；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11.具有手机WIFI点播，支持无线遥控器点播功能；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12.支持DHCP，兼容路由器、交换机、网桥网关、Modem、Internet、2G、3G、4G、组播、单播等任意网络结构；</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13.支持协议：TCP/IP，UDP，IGMP（组播）</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14.内置模拟音频信号备份模块，支持定压70V/100V备份音频信号输入，满足教育听力考试要求；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接口要求：</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1.1路立体声线路输入，1路话筒输入，具有独立音量调节开关；</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2.1路U盘输入接口，可实现本地U盘播放功能；</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3.1路短路信号输入，可接入联动触发信号，有紧急情况时可触发终端报警；</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4.1路短路信号输出，紧急情况时可联动触发其它设备；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5.网络接口：标准RJ45输入；</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6.70/100V备份音频输入接口</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技术参数：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1.输出功率：2×25W定阻；</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2.频率响应：50Hz~18KHz：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3.采样率：8K～48KHz；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4.传输速率：100Mbps；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5.音频模式：16位立体声CD音质；</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6.谐波失真：≤0.3%；</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7.信噪比：＞70dB；</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8.音源输出电平：1000mV工业标准压线接线端子；</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9.音源输出阻抗：470Ω；</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B67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CB0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4A537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9BD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8C4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扩声音箱</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29EC">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1.木质音箱（10mm密度板材）多角度壁挂安装。</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2.适用于室内广播终端扩声。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技术参数：</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1.额定功率：10-20W</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2.阻抗：8Ω</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3.频响范围：90Hz-18KHz</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4.灵敏度：≥90dB</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E00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926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14:paraId="1141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29C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A37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主干电源线</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93D8">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用RVV3*4线，统一供电方便管理，具体视广播中心到前端楼宇距离计算，楼宇强电到广播中心。</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61C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400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E43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1681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9BF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5B7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电源线支线</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A1B0">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RVV2*2.0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A9B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700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ED6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5E88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AB9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7A5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音箱线</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28ECA">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RVVP2*2.5</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9FF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600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C34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7F7D2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6D96">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8</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EFB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音箱线</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22D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RVVP2*1.0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BBC1">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300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FC0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米</w:t>
            </w:r>
          </w:p>
        </w:tc>
      </w:tr>
      <w:tr w14:paraId="67A2D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E1B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9</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65DD">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交换机光模块</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42BD">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企业级千兆单模SFP光纤模块</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AE4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72EF">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对</w:t>
            </w:r>
          </w:p>
        </w:tc>
      </w:tr>
      <w:tr w14:paraId="6085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2F93">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A34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楼层交换机</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A49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 交换容量≥330Gbps，包转发率≥126Mpps/51Mpps</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2. 固化10/100/1000M以太网端口≥24，固化1G SFP光接口≥4个</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3. 要求设备采用静音无风扇节能设计</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4. 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color w:val="auto"/>
                <w:sz w:val="18"/>
                <w:szCs w:val="18"/>
                <w:lang w:val="en-US" w:eastAsia="zh-CN"/>
              </w:rPr>
              <w:br w:type="textWrapping"/>
            </w:r>
            <w:r>
              <w:rPr>
                <w:rFonts w:hint="eastAsia" w:ascii="宋体" w:hAnsi="宋体" w:eastAsia="宋体" w:cs="宋体"/>
                <w:color w:val="auto"/>
                <w:sz w:val="18"/>
                <w:szCs w:val="18"/>
                <w:lang w:val="en-US" w:eastAsia="zh-CN"/>
              </w:rPr>
              <w:t>5. 提供工信部交换机进网许可证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DA4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691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r w14:paraId="7B9D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DB82">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76E7">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网线</w:t>
            </w:r>
          </w:p>
        </w:tc>
        <w:tc>
          <w:tcPr>
            <w:tcW w:w="10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AC2F">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六类双绞线，网线及控制线</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FAF5">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BEAE">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箱</w:t>
            </w:r>
          </w:p>
        </w:tc>
      </w:tr>
      <w:tr w14:paraId="59C03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1B94">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417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管材及辅料</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0B13">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线管，线槽，插板、PVC线槽，空开，塑料胀管，自攻螺丝，水晶头、小网络机柜</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B51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692C">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批</w:t>
            </w:r>
          </w:p>
        </w:tc>
      </w:tr>
      <w:tr w14:paraId="2AB00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C630">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BCA9">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施工、安装费</w:t>
            </w:r>
          </w:p>
        </w:tc>
        <w:tc>
          <w:tcPr>
            <w:tcW w:w="10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BDC5">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1.施工安装费用：施工、运输卸货搬运均为夜间，时间为23:00至凌晨5:30，人工（含夜间费用、高空作业、工伤保险等）费用，设备租赁包括脚手架若干、吊车等，运输卸货搬运为夜间运输搬运卸货。</w:t>
            </w:r>
          </w:p>
          <w:p w14:paraId="64369006">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2.设备调试费用：请省、市考试院行业专家和厂家工程师至少3人以上进行设备调试，并与省市平台实现数据互联互通。</w:t>
            </w:r>
          </w:p>
          <w:p w14:paraId="1E92BEBB">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3.培训费用：设备安装到位调试完成后进行首次涉岗全员培训，由至少3个厂家的不同工程师进行全员培训。设备质保期见每年至少6次以上重大考试考前培训每次培训工程师2人以上。</w:t>
            </w:r>
          </w:p>
          <w:p w14:paraId="381BC3D2">
            <w:pPr>
              <w:pStyle w:val="2"/>
              <w:keepNext w:val="0"/>
              <w:keepLines w:val="0"/>
              <w:widowControl/>
              <w:suppressLineNumbers w:val="0"/>
              <w:spacing w:before="0" w:beforeAutospacing="0" w:after="0" w:afterAutospacing="0"/>
              <w:ind w:left="0" w:right="0"/>
              <w:jc w:val="left"/>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运维保障费用：每月日常运维费，质保期内至少24次巡检，每次巡检人数至少1人，至少四次重大考试保障期间，每校配备不少于4人，派驻天数至少5天，质保期内巡查系统设备备品备件至少按照设备总额1.5%准备库存以保证设备及时更换。</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485A">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FF5B">
            <w:pPr>
              <w:pStyle w:val="2"/>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套</w:t>
            </w:r>
          </w:p>
        </w:tc>
      </w:tr>
    </w:tbl>
    <w:p w14:paraId="077C40DA">
      <w:pPr>
        <w:pStyle w:val="2"/>
        <w:rPr>
          <w:rFonts w:hint="eastAsia"/>
        </w:rPr>
      </w:pPr>
    </w:p>
    <w:p w14:paraId="0401A3E2">
      <w:pPr>
        <w:rPr>
          <w:rFonts w:hint="eastAsia"/>
        </w:rPr>
      </w:pPr>
    </w:p>
    <w:p w14:paraId="329893ED">
      <w:pPr>
        <w:pStyle w:val="3"/>
        <w:spacing w:before="210" w:after="210" w:line="360" w:lineRule="auto"/>
        <w:rPr>
          <w:rFonts w:hint="eastAsia" w:ascii="宋体" w:hAnsi="宋体" w:eastAsia="宋体" w:cs="宋体"/>
        </w:rPr>
        <w:sectPr>
          <w:headerReference r:id="rId10" w:type="default"/>
          <w:footerReference r:id="rId11" w:type="default"/>
          <w:pgSz w:w="16838" w:h="11906" w:orient="landscape"/>
          <w:pgMar w:top="1701" w:right="1418" w:bottom="1304" w:left="1418"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bookmarkStart w:id="11" w:name="_Toc100219615"/>
    </w:p>
    <w:p w14:paraId="4F07E91C">
      <w:pPr>
        <w:pStyle w:val="3"/>
        <w:spacing w:before="210" w:after="210" w:line="360" w:lineRule="auto"/>
        <w:rPr>
          <w:rFonts w:hint="eastAsia" w:ascii="宋体" w:hAnsi="宋体" w:eastAsia="宋体" w:cs="宋体"/>
        </w:rPr>
      </w:pPr>
      <w:r>
        <w:rPr>
          <w:rFonts w:hint="eastAsia" w:ascii="宋体" w:hAnsi="宋体" w:eastAsia="宋体" w:cs="宋体"/>
        </w:rPr>
        <w:t>第四章　合同文本</w:t>
      </w:r>
      <w:bookmarkEnd w:id="11"/>
    </w:p>
    <w:p w14:paraId="3834AE93">
      <w:pPr>
        <w:spacing w:line="360" w:lineRule="auto"/>
        <w:ind w:firstLine="480" w:firstLineChars="200"/>
        <w:jc w:val="center"/>
        <w:rPr>
          <w:rFonts w:hint="eastAsia" w:ascii="宋体" w:hAnsi="宋体" w:eastAsia="宋体" w:cs="宋体"/>
        </w:rPr>
      </w:pPr>
      <w:r>
        <w:rPr>
          <w:rFonts w:hint="eastAsia" w:ascii="宋体" w:hAnsi="宋体" w:eastAsia="宋体" w:cs="宋体"/>
        </w:rPr>
        <w:t>（本采购</w:t>
      </w:r>
      <w:r>
        <w:rPr>
          <w:rFonts w:hint="eastAsia" w:ascii="宋体" w:hAnsi="宋体" w:eastAsia="宋体" w:cs="宋体"/>
          <w:color w:val="auto"/>
        </w:rPr>
        <w:t>合同为非预留份额专门面向中</w:t>
      </w:r>
      <w:r>
        <w:rPr>
          <w:rFonts w:hint="eastAsia" w:ascii="宋体" w:hAnsi="宋体" w:eastAsia="宋体" w:cs="宋体"/>
        </w:rPr>
        <w:t>小企业合同）</w:t>
      </w:r>
    </w:p>
    <w:p w14:paraId="51D1DD4A">
      <w:pPr>
        <w:pageBreakBefore w:val="0"/>
        <w:widowControl w:val="0"/>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采购人（</w:t>
      </w:r>
      <w:r>
        <w:rPr>
          <w:rFonts w:hint="eastAsia" w:ascii="宋体" w:hAnsi="宋体" w:eastAsia="宋体" w:cs="宋体"/>
          <w:b/>
          <w:kern w:val="2"/>
          <w:sz w:val="24"/>
          <w:szCs w:val="24"/>
          <w:highlight w:val="none"/>
          <w:lang w:val="en-US" w:eastAsia="zh-CN"/>
        </w:rPr>
        <w:t>甲方</w:t>
      </w:r>
      <w:r>
        <w:rPr>
          <w:rFonts w:hint="eastAsia" w:ascii="宋体" w:hAnsi="宋体" w:eastAsia="宋体" w:cs="宋体"/>
          <w:b/>
          <w:kern w:val="2"/>
          <w:sz w:val="24"/>
          <w:szCs w:val="24"/>
          <w:highlight w:val="none"/>
        </w:rPr>
        <w:t>）：</w:t>
      </w:r>
      <w:r>
        <w:rPr>
          <w:rFonts w:hint="eastAsia" w:ascii="宋体" w:hAnsi="宋体" w:eastAsia="宋体" w:cs="宋体"/>
          <w:b/>
          <w:kern w:val="2"/>
          <w:sz w:val="24"/>
          <w:szCs w:val="24"/>
          <w:highlight w:val="none"/>
          <w:u w:val="single"/>
          <w:lang w:val="en-US" w:eastAsia="zh-CN"/>
        </w:rPr>
        <w:t xml:space="preserve">            </w:t>
      </w:r>
      <w:r>
        <w:rPr>
          <w:rFonts w:hint="eastAsia" w:ascii="宋体" w:hAnsi="宋体" w:eastAsia="宋体" w:cs="宋体"/>
          <w:b/>
          <w:kern w:val="2"/>
          <w:sz w:val="24"/>
          <w:szCs w:val="24"/>
          <w:highlight w:val="none"/>
          <w:u w:val="single"/>
        </w:rPr>
        <w:t xml:space="preserve">                      </w:t>
      </w:r>
    </w:p>
    <w:p w14:paraId="0C3B076B">
      <w:pPr>
        <w:pageBreakBefore w:val="0"/>
        <w:widowControl w:val="0"/>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lang w:val="en-US" w:eastAsia="zh-CN"/>
        </w:rPr>
        <w:t>中标人</w:t>
      </w:r>
      <w:r>
        <w:rPr>
          <w:rFonts w:hint="eastAsia" w:ascii="宋体" w:hAnsi="宋体" w:eastAsia="宋体" w:cs="宋体"/>
          <w:b/>
          <w:kern w:val="2"/>
          <w:sz w:val="24"/>
          <w:szCs w:val="24"/>
          <w:highlight w:val="none"/>
        </w:rPr>
        <w:t>（</w:t>
      </w:r>
      <w:r>
        <w:rPr>
          <w:rFonts w:hint="eastAsia" w:ascii="宋体" w:hAnsi="宋体" w:eastAsia="宋体" w:cs="宋体"/>
          <w:b/>
          <w:kern w:val="2"/>
          <w:sz w:val="24"/>
          <w:szCs w:val="24"/>
          <w:highlight w:val="none"/>
          <w:lang w:val="en-US" w:eastAsia="zh-CN"/>
        </w:rPr>
        <w:t>乙方</w:t>
      </w:r>
      <w:r>
        <w:rPr>
          <w:rFonts w:hint="eastAsia" w:ascii="宋体" w:hAnsi="宋体" w:eastAsia="宋体" w:cs="宋体"/>
          <w:b/>
          <w:kern w:val="2"/>
          <w:sz w:val="24"/>
          <w:szCs w:val="24"/>
          <w:highlight w:val="none"/>
        </w:rPr>
        <w:t>）：</w:t>
      </w:r>
      <w:r>
        <w:rPr>
          <w:rFonts w:hint="eastAsia" w:ascii="宋体" w:hAnsi="宋体" w:eastAsia="宋体" w:cs="宋体"/>
          <w:b/>
          <w:kern w:val="2"/>
          <w:sz w:val="24"/>
          <w:szCs w:val="24"/>
          <w:highlight w:val="none"/>
          <w:u w:val="single"/>
        </w:rPr>
        <w:t xml:space="preserve">                                  </w:t>
      </w:r>
    </w:p>
    <w:p w14:paraId="6D60DA15">
      <w:pPr>
        <w:pageBreakBefore w:val="0"/>
        <w:widowControl w:val="0"/>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2"/>
          <w:sz w:val="24"/>
          <w:szCs w:val="24"/>
          <w:highlight w:val="none"/>
          <w:u w:val="single"/>
        </w:rPr>
      </w:pPr>
      <w:r>
        <w:rPr>
          <w:rFonts w:hint="eastAsia" w:ascii="宋体" w:hAnsi="宋体" w:eastAsia="宋体" w:cs="宋体"/>
          <w:kern w:val="2"/>
          <w:sz w:val="24"/>
          <w:szCs w:val="24"/>
          <w:highlight w:val="none"/>
        </w:rPr>
        <w:t>根据《中华人民共和国</w:t>
      </w:r>
      <w:r>
        <w:rPr>
          <w:rFonts w:hint="eastAsia" w:ascii="宋体" w:hAnsi="宋体" w:eastAsia="宋体" w:cs="宋体"/>
          <w:kern w:val="2"/>
          <w:sz w:val="24"/>
          <w:szCs w:val="24"/>
          <w:highlight w:val="none"/>
          <w:lang w:val="en-US" w:eastAsia="zh-CN"/>
        </w:rPr>
        <w:t>民法典</w:t>
      </w:r>
      <w:r>
        <w:rPr>
          <w:rFonts w:hint="eastAsia" w:ascii="宋体" w:hAnsi="宋体" w:eastAsia="宋体" w:cs="宋体"/>
          <w:kern w:val="2"/>
          <w:sz w:val="24"/>
          <w:szCs w:val="24"/>
          <w:highlight w:val="none"/>
        </w:rPr>
        <w:t>》及其他有关法律、法规，遵循平等、自愿、公平和诚信的原则，双方就下述项目范围与相关服务事项协商一致，订立本合同。</w:t>
      </w:r>
    </w:p>
    <w:p w14:paraId="7B1E181B">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一、项目概况</w:t>
      </w:r>
    </w:p>
    <w:p w14:paraId="47FD6F1B">
      <w:pPr>
        <w:pageBreakBefore w:val="0"/>
        <w:widowControl w:val="0"/>
        <w:wordWrap/>
        <w:overflowPunct/>
        <w:topLinePunct w:val="0"/>
        <w:autoSpaceDE/>
        <w:autoSpaceDN/>
        <w:bidi w:val="0"/>
        <w:adjustRightInd w:val="0"/>
        <w:snapToGrid w:val="0"/>
        <w:spacing w:line="360" w:lineRule="auto"/>
        <w:ind w:left="720" w:leftChars="200" w:hanging="240" w:hangingChars="1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1.项目名称：</w:t>
      </w:r>
      <w:r>
        <w:rPr>
          <w:rFonts w:hint="eastAsia" w:ascii="宋体" w:hAnsi="宋体" w:eastAsia="宋体" w:cs="宋体"/>
          <w:kern w:val="2"/>
          <w:sz w:val="24"/>
          <w:szCs w:val="24"/>
          <w:highlight w:val="none"/>
          <w:u w:val="single"/>
          <w:lang w:val="en-US" w:eastAsia="zh-CN"/>
        </w:rPr>
        <w:t xml:space="preserve">                                        </w:t>
      </w:r>
      <w:r>
        <w:rPr>
          <w:rFonts w:hint="eastAsia" w:ascii="宋体" w:hAnsi="宋体" w:eastAsia="宋体" w:cs="宋体"/>
          <w:kern w:val="2"/>
          <w:sz w:val="24"/>
          <w:szCs w:val="24"/>
          <w:highlight w:val="none"/>
        </w:rPr>
        <w:t>；</w:t>
      </w:r>
    </w:p>
    <w:p w14:paraId="57B51EE8">
      <w:pPr>
        <w:pageBreakBefore w:val="0"/>
        <w:widowControl w:val="0"/>
        <w:wordWrap/>
        <w:overflowPunct/>
        <w:topLinePunct w:val="0"/>
        <w:autoSpaceDE/>
        <w:autoSpaceDN/>
        <w:bidi w:val="0"/>
        <w:adjustRightInd w:val="0"/>
        <w:snapToGrid w:val="0"/>
        <w:spacing w:line="360" w:lineRule="auto"/>
        <w:ind w:left="720" w:leftChars="200" w:hanging="240" w:hangingChars="1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2.项目地点：</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14:paraId="489FA09D">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二、组成本合同的文件</w:t>
      </w:r>
    </w:p>
    <w:p w14:paraId="474DAE10">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1.协议书；</w:t>
      </w:r>
    </w:p>
    <w:p w14:paraId="4C222182">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eastAsia="宋体" w:cs="宋体"/>
          <w:kern w:val="2"/>
          <w:sz w:val="24"/>
          <w:szCs w:val="24"/>
          <w:highlight w:val="none"/>
          <w:lang w:val="en-US" w:eastAsia="zh-CN"/>
        </w:rPr>
        <w:t>中标</w:t>
      </w:r>
      <w:r>
        <w:rPr>
          <w:rFonts w:hint="eastAsia" w:ascii="宋体" w:hAnsi="宋体" w:eastAsia="宋体" w:cs="宋体"/>
          <w:kern w:val="2"/>
          <w:sz w:val="24"/>
          <w:szCs w:val="24"/>
          <w:highlight w:val="none"/>
        </w:rPr>
        <w:t>通知书、</w:t>
      </w:r>
      <w:r>
        <w:rPr>
          <w:rFonts w:hint="eastAsia" w:ascii="宋体" w:hAnsi="宋体" w:eastAsia="宋体" w:cs="宋体"/>
          <w:kern w:val="2"/>
          <w:sz w:val="24"/>
          <w:szCs w:val="24"/>
          <w:highlight w:val="none"/>
          <w:lang w:val="en-US" w:eastAsia="zh-CN"/>
        </w:rPr>
        <w:t>招标</w:t>
      </w:r>
      <w:r>
        <w:rPr>
          <w:rFonts w:hint="eastAsia" w:ascii="宋体" w:hAnsi="宋体" w:eastAsia="宋体" w:cs="宋体"/>
          <w:kern w:val="2"/>
          <w:sz w:val="24"/>
          <w:szCs w:val="24"/>
          <w:highlight w:val="none"/>
        </w:rPr>
        <w:t>文件、</w:t>
      </w:r>
      <w:r>
        <w:rPr>
          <w:rFonts w:hint="eastAsia" w:ascii="宋体" w:hAnsi="宋体" w:eastAsia="宋体" w:cs="宋体"/>
          <w:kern w:val="2"/>
          <w:sz w:val="24"/>
          <w:szCs w:val="24"/>
          <w:highlight w:val="none"/>
          <w:lang w:val="en-US" w:eastAsia="zh-CN"/>
        </w:rPr>
        <w:t>投标</w:t>
      </w:r>
      <w:r>
        <w:rPr>
          <w:rFonts w:hint="eastAsia" w:ascii="宋体" w:hAnsi="宋体" w:eastAsia="宋体" w:cs="宋体"/>
          <w:kern w:val="2"/>
          <w:sz w:val="24"/>
          <w:szCs w:val="24"/>
          <w:highlight w:val="none"/>
        </w:rPr>
        <w:t>文件、澄清、</w:t>
      </w:r>
      <w:r>
        <w:rPr>
          <w:rFonts w:hint="eastAsia" w:ascii="宋体" w:hAnsi="宋体" w:eastAsia="宋体" w:cs="宋体"/>
          <w:kern w:val="2"/>
          <w:sz w:val="24"/>
          <w:szCs w:val="24"/>
          <w:highlight w:val="none"/>
          <w:lang w:val="en-US" w:eastAsia="zh-CN"/>
        </w:rPr>
        <w:t>投标</w:t>
      </w:r>
      <w:r>
        <w:rPr>
          <w:rFonts w:hint="eastAsia" w:ascii="宋体" w:hAnsi="宋体" w:eastAsia="宋体" w:cs="宋体"/>
          <w:kern w:val="2"/>
          <w:sz w:val="24"/>
          <w:szCs w:val="24"/>
          <w:highlight w:val="none"/>
        </w:rPr>
        <w:t>补充文件；</w:t>
      </w:r>
    </w:p>
    <w:p w14:paraId="5AFC86EB">
      <w:pPr>
        <w:pageBreakBefore w:val="0"/>
        <w:widowControl w:val="0"/>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3</w:t>
      </w:r>
      <w:r>
        <w:rPr>
          <w:rFonts w:hint="eastAsia" w:ascii="宋体" w:hAnsi="宋体" w:eastAsia="宋体" w:cs="宋体"/>
          <w:kern w:val="2"/>
          <w:sz w:val="24"/>
          <w:szCs w:val="24"/>
          <w:highlight w:val="none"/>
        </w:rPr>
        <w:t>.附录，即：附表内相关</w:t>
      </w:r>
      <w:r>
        <w:rPr>
          <w:rFonts w:hint="eastAsia" w:ascii="宋体" w:hAnsi="宋体" w:eastAsia="宋体" w:cs="宋体"/>
          <w:kern w:val="2"/>
          <w:sz w:val="24"/>
          <w:szCs w:val="24"/>
          <w:highlight w:val="none"/>
          <w:lang w:val="en-US" w:eastAsia="zh-CN"/>
        </w:rPr>
        <w:t>货物及服务</w:t>
      </w:r>
      <w:r>
        <w:rPr>
          <w:rFonts w:hint="eastAsia" w:ascii="宋体" w:hAnsi="宋体" w:eastAsia="宋体" w:cs="宋体"/>
          <w:kern w:val="2"/>
          <w:sz w:val="24"/>
          <w:szCs w:val="24"/>
          <w:highlight w:val="none"/>
        </w:rPr>
        <w:t>的范围和内容；</w:t>
      </w:r>
    </w:p>
    <w:p w14:paraId="55731F98">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本合同签订后，双方依法签订的补充协议也是本合同文件的组成部分。</w:t>
      </w:r>
    </w:p>
    <w:p w14:paraId="17B72823">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三、合同金额</w:t>
      </w:r>
    </w:p>
    <w:p w14:paraId="5BBDB3CF">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合同金额（大写）：</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        ）。</w:t>
      </w:r>
    </w:p>
    <w:p w14:paraId="22EAC95B">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合同总价即中标价，为一次性报价，不受市场价变化或实际工作量变化的影响。合同价格为含税价，</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提供产品所发生的一切税（包括增值税）费等都已包含于合同价款中。</w:t>
      </w:r>
    </w:p>
    <w:p w14:paraId="5AD45BC5">
      <w:pPr>
        <w:pageBreakBefore w:val="0"/>
        <w:widowControl w:val="0"/>
        <w:wordWrap/>
        <w:overflowPunct/>
        <w:topLinePunct w:val="0"/>
        <w:autoSpaceDE/>
        <w:autoSpaceDN/>
        <w:bidi w:val="0"/>
        <w:adjustRightInd w:val="0"/>
        <w:snapToGrid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四、结算方式</w:t>
      </w:r>
    </w:p>
    <w:p w14:paraId="7CC13534">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1.结算单位：采购人结算，在付款前必须开具等额发票给采购人。</w:t>
      </w:r>
    </w:p>
    <w:p w14:paraId="172E8DB7">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yellow"/>
        </w:rPr>
      </w:pPr>
      <w:r>
        <w:rPr>
          <w:rFonts w:hint="eastAsia" w:ascii="宋体" w:hAnsi="宋体" w:eastAsia="宋体" w:cs="宋体"/>
          <w:kern w:val="2"/>
          <w:sz w:val="24"/>
          <w:szCs w:val="24"/>
          <w:highlight w:val="none"/>
          <w:lang w:val="en-US" w:eastAsia="zh-CN"/>
        </w:rPr>
        <w:t>2.结算方式：设备到货验收完成支付40%的合同款；设备安装调试完毕后，试运行、检测、仪器质量检查等最终验收合格且环境质量检测合格并出具检测报告后支付60%的合同款。</w:t>
      </w:r>
    </w:p>
    <w:p w14:paraId="744013D5">
      <w:pPr>
        <w:pageBreakBefore w:val="0"/>
        <w:widowControl w:val="0"/>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kern w:val="2"/>
          <w:sz w:val="24"/>
          <w:szCs w:val="24"/>
          <w:highlight w:val="none"/>
          <w:lang w:val="en-US" w:eastAsia="zh-CN"/>
        </w:rPr>
      </w:pPr>
      <w:r>
        <w:rPr>
          <w:rFonts w:hint="eastAsia" w:ascii="宋体" w:hAnsi="宋体" w:eastAsia="宋体" w:cs="宋体"/>
          <w:b/>
          <w:kern w:val="2"/>
          <w:sz w:val="24"/>
          <w:szCs w:val="24"/>
          <w:highlight w:val="none"/>
        </w:rPr>
        <w:t>五、</w:t>
      </w:r>
      <w:r>
        <w:rPr>
          <w:rFonts w:hint="eastAsia" w:ascii="宋体" w:hAnsi="宋体" w:eastAsia="宋体" w:cs="宋体"/>
          <w:b/>
          <w:kern w:val="2"/>
          <w:sz w:val="24"/>
          <w:szCs w:val="24"/>
          <w:highlight w:val="none"/>
          <w:lang w:val="en-US" w:eastAsia="zh-CN"/>
        </w:rPr>
        <w:t>供货</w:t>
      </w:r>
      <w:r>
        <w:rPr>
          <w:rFonts w:hint="eastAsia" w:ascii="宋体" w:hAnsi="宋体" w:eastAsia="宋体" w:cs="宋体"/>
          <w:b/>
          <w:kern w:val="2"/>
          <w:sz w:val="24"/>
          <w:szCs w:val="24"/>
          <w:highlight w:val="none"/>
        </w:rPr>
        <w:t>期</w:t>
      </w:r>
      <w:r>
        <w:rPr>
          <w:rFonts w:hint="eastAsia" w:ascii="宋体" w:hAnsi="宋体" w:eastAsia="宋体" w:cs="宋体"/>
          <w:b/>
          <w:kern w:val="2"/>
          <w:sz w:val="24"/>
          <w:szCs w:val="24"/>
          <w:highlight w:val="none"/>
          <w:lang w:eastAsia="zh-CN"/>
        </w:rPr>
        <w:t>：</w:t>
      </w:r>
      <w:r>
        <w:rPr>
          <w:rFonts w:hint="eastAsia" w:ascii="宋体" w:hAnsi="宋体" w:eastAsia="宋体" w:cs="宋体"/>
          <w:b w:val="0"/>
          <w:bCs/>
          <w:kern w:val="2"/>
          <w:sz w:val="24"/>
          <w:szCs w:val="24"/>
          <w:highlight w:val="none"/>
          <w:lang w:val="en-US" w:eastAsia="zh-CN"/>
        </w:rPr>
        <w:t>自合同签订之日起</w:t>
      </w:r>
      <w:r>
        <w:rPr>
          <w:rFonts w:hint="eastAsia" w:ascii="宋体" w:hAnsi="宋体" w:eastAsia="宋体" w:cs="宋体"/>
          <w:b w:val="0"/>
          <w:bCs/>
          <w:kern w:val="2"/>
          <w:sz w:val="24"/>
          <w:szCs w:val="24"/>
          <w:highlight w:val="none"/>
          <w:u w:val="single"/>
          <w:lang w:val="en-US" w:eastAsia="zh-CN"/>
        </w:rPr>
        <w:t xml:space="preserve">       </w:t>
      </w:r>
      <w:r>
        <w:rPr>
          <w:rFonts w:hint="eastAsia" w:ascii="宋体" w:hAnsi="宋体" w:eastAsia="宋体" w:cs="宋体"/>
          <w:b w:val="0"/>
          <w:bCs/>
          <w:kern w:val="2"/>
          <w:sz w:val="24"/>
          <w:szCs w:val="24"/>
          <w:highlight w:val="none"/>
          <w:lang w:val="en-US" w:eastAsia="zh-CN"/>
        </w:rPr>
        <w:t xml:space="preserve"> 个日历日内完成供货及安装。</w:t>
      </w:r>
    </w:p>
    <w:p w14:paraId="655EA959">
      <w:pPr>
        <w:pageBreakBefore w:val="0"/>
        <w:widowControl w:val="0"/>
        <w:wordWrap/>
        <w:overflowPunct/>
        <w:topLinePunct w:val="0"/>
        <w:autoSpaceDE/>
        <w:autoSpaceDN/>
        <w:bidi w:val="0"/>
        <w:adjustRightInd w:val="0"/>
        <w:snapToGrid w:val="0"/>
        <w:spacing w:line="360" w:lineRule="auto"/>
        <w:jc w:val="both"/>
        <w:textAlignment w:val="auto"/>
        <w:rPr>
          <w:rFonts w:hint="eastAsia" w:ascii="宋体" w:hAnsi="宋体" w:eastAsia="宋体" w:cs="宋体"/>
          <w:b w:val="0"/>
          <w:bCs w:val="0"/>
          <w:kern w:val="2"/>
          <w:sz w:val="24"/>
          <w:szCs w:val="24"/>
          <w:highlight w:val="yellow"/>
          <w:lang w:val="en-US" w:eastAsia="zh-CN"/>
        </w:rPr>
      </w:pPr>
      <w:r>
        <w:rPr>
          <w:rFonts w:hint="eastAsia" w:ascii="宋体" w:hAnsi="宋体" w:eastAsia="宋体" w:cs="宋体"/>
          <w:b/>
          <w:kern w:val="2"/>
          <w:sz w:val="24"/>
          <w:szCs w:val="24"/>
          <w:highlight w:val="none"/>
        </w:rPr>
        <w:t>六、质保期</w:t>
      </w:r>
      <w:r>
        <w:rPr>
          <w:rFonts w:hint="eastAsia" w:ascii="宋体" w:hAnsi="宋体" w:eastAsia="宋体" w:cs="宋体"/>
          <w:b/>
          <w:kern w:val="2"/>
          <w:sz w:val="24"/>
          <w:szCs w:val="24"/>
          <w:highlight w:val="none"/>
          <w:lang w:eastAsia="zh-CN"/>
        </w:rPr>
        <w:t>：</w:t>
      </w:r>
      <w:r>
        <w:rPr>
          <w:rFonts w:hint="eastAsia" w:ascii="宋体" w:hAnsi="宋体" w:eastAsia="宋体" w:cs="宋体"/>
          <w:b w:val="0"/>
          <w:bCs w:val="0"/>
          <w:kern w:val="2"/>
          <w:sz w:val="24"/>
          <w:szCs w:val="24"/>
          <w:highlight w:val="none"/>
          <w:lang w:val="en-US" w:eastAsia="zh-CN"/>
        </w:rPr>
        <w:t>设备自验收合格之日起</w:t>
      </w:r>
      <w:r>
        <w:rPr>
          <w:rFonts w:hint="eastAsia" w:ascii="宋体" w:hAnsi="宋体" w:eastAsia="宋体" w:cs="宋体"/>
          <w:b w:val="0"/>
          <w:bCs w:val="0"/>
          <w:kern w:val="2"/>
          <w:sz w:val="24"/>
          <w:szCs w:val="24"/>
          <w:highlight w:val="none"/>
          <w:u w:val="single"/>
          <w:lang w:val="en-US" w:eastAsia="zh-CN"/>
        </w:rPr>
        <w:t xml:space="preserve">        </w:t>
      </w:r>
      <w:r>
        <w:rPr>
          <w:rFonts w:hint="eastAsia" w:ascii="宋体" w:hAnsi="宋体" w:eastAsia="宋体" w:cs="宋体"/>
          <w:b w:val="0"/>
          <w:bCs w:val="0"/>
          <w:kern w:val="2"/>
          <w:sz w:val="24"/>
          <w:szCs w:val="24"/>
          <w:highlight w:val="none"/>
          <w:lang w:val="en-US" w:eastAsia="zh-CN"/>
        </w:rPr>
        <w:t>年免费质保。</w:t>
      </w:r>
    </w:p>
    <w:p w14:paraId="381B31AE">
      <w:pPr>
        <w:pageBreakBefore w:val="0"/>
        <w:widowControl w:val="0"/>
        <w:wordWrap/>
        <w:overflowPunct/>
        <w:topLinePunct w:val="0"/>
        <w:autoSpaceDE/>
        <w:autoSpaceDN/>
        <w:bidi w:val="0"/>
        <w:adjustRightInd w:val="0"/>
        <w:snapToGrid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七、内容及要求</w:t>
      </w:r>
    </w:p>
    <w:p w14:paraId="36395C25">
      <w:pPr>
        <w:pageBreakBefore w:val="0"/>
        <w:widowControl w:val="0"/>
        <w:wordWrap/>
        <w:overflowPunct/>
        <w:topLinePunct w:val="0"/>
        <w:autoSpaceDE/>
        <w:autoSpaceDN/>
        <w:bidi w:val="0"/>
        <w:spacing w:line="360" w:lineRule="auto"/>
        <w:jc w:val="center"/>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供货内容一览表</w:t>
      </w:r>
    </w:p>
    <w:tbl>
      <w:tblPr>
        <w:tblStyle w:val="32"/>
        <w:tblW w:w="95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5"/>
        <w:gridCol w:w="960"/>
        <w:gridCol w:w="1955"/>
        <w:gridCol w:w="1225"/>
        <w:gridCol w:w="825"/>
        <w:gridCol w:w="735"/>
        <w:gridCol w:w="1050"/>
        <w:gridCol w:w="1215"/>
        <w:gridCol w:w="903"/>
      </w:tblGrid>
      <w:tr w14:paraId="1DB79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center"/>
          </w:tcPr>
          <w:p w14:paraId="38DBA4F8">
            <w:pPr>
              <w:keepNext/>
              <w:keepLines/>
              <w:pageBreakBefore w:val="0"/>
              <w:widowControl w:val="0"/>
              <w:suppressLineNumbers w:val="0"/>
              <w:wordWrap/>
              <w:overflowPunct/>
              <w:topLinePunct w:val="0"/>
              <w:autoSpaceDE/>
              <w:autoSpaceDN/>
              <w:bidi w:val="0"/>
              <w:spacing w:before="0" w:beforeLines="0" w:beforeAutospacing="0" w:after="0" w:afterLines="0" w:afterAutospacing="0" w:line="360" w:lineRule="auto"/>
              <w:ind w:left="0" w:leftChars="0" w:right="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序号</w:t>
            </w:r>
          </w:p>
        </w:tc>
        <w:tc>
          <w:tcPr>
            <w:tcW w:w="960" w:type="dxa"/>
            <w:noWrap w:val="0"/>
            <w:vAlign w:val="center"/>
          </w:tcPr>
          <w:p w14:paraId="3F77C588">
            <w:pPr>
              <w:keepNext/>
              <w:keepLines/>
              <w:pageBreakBefore w:val="0"/>
              <w:widowControl w:val="0"/>
              <w:suppressLineNumbers w:val="0"/>
              <w:wordWrap/>
              <w:overflowPunct/>
              <w:topLinePunct w:val="0"/>
              <w:autoSpaceDE/>
              <w:autoSpaceDN/>
              <w:bidi w:val="0"/>
              <w:spacing w:before="0" w:beforeLines="0" w:beforeAutospacing="0" w:after="0" w:afterLines="0" w:afterAutospacing="0" w:line="360" w:lineRule="auto"/>
              <w:ind w:left="0" w:leftChars="0" w:right="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名称</w:t>
            </w:r>
          </w:p>
        </w:tc>
        <w:tc>
          <w:tcPr>
            <w:tcW w:w="1955" w:type="dxa"/>
            <w:tcBorders>
              <w:right w:val="single" w:color="auto" w:sz="4" w:space="0"/>
            </w:tcBorders>
            <w:noWrap w:val="0"/>
            <w:vAlign w:val="center"/>
          </w:tcPr>
          <w:p w14:paraId="121E5A43">
            <w:pPr>
              <w:keepNext/>
              <w:keepLines/>
              <w:pageBreakBefore w:val="0"/>
              <w:widowControl w:val="0"/>
              <w:suppressLineNumbers w:val="0"/>
              <w:wordWrap/>
              <w:overflowPunct/>
              <w:topLinePunct w:val="0"/>
              <w:autoSpaceDE/>
              <w:autoSpaceDN/>
              <w:bidi w:val="0"/>
              <w:spacing w:before="0" w:beforeLines="0" w:beforeAutospacing="0" w:after="0" w:afterLines="0" w:afterAutospacing="0" w:line="360" w:lineRule="auto"/>
              <w:ind w:left="0" w:leftChars="0" w:right="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品牌、规格及型号</w:t>
            </w:r>
          </w:p>
        </w:tc>
        <w:tc>
          <w:tcPr>
            <w:tcW w:w="1225" w:type="dxa"/>
            <w:tcBorders>
              <w:left w:val="single" w:color="auto" w:sz="4" w:space="0"/>
            </w:tcBorders>
            <w:noWrap w:val="0"/>
            <w:vAlign w:val="center"/>
          </w:tcPr>
          <w:p w14:paraId="62283180">
            <w:pPr>
              <w:keepNext/>
              <w:keepLines/>
              <w:pageBreakBefore w:val="0"/>
              <w:widowControl w:val="0"/>
              <w:suppressLineNumbers w:val="0"/>
              <w:wordWrap/>
              <w:overflowPunct/>
              <w:topLinePunct w:val="0"/>
              <w:autoSpaceDE/>
              <w:autoSpaceDN/>
              <w:bidi w:val="0"/>
              <w:spacing w:before="0" w:beforeLines="0" w:beforeAutospacing="0" w:after="0" w:afterLines="0" w:afterAutospacing="0" w:line="360" w:lineRule="auto"/>
              <w:ind w:left="0" w:leftChars="0" w:right="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原产地及 制造厂名</w:t>
            </w:r>
          </w:p>
        </w:tc>
        <w:tc>
          <w:tcPr>
            <w:tcW w:w="825" w:type="dxa"/>
            <w:tcBorders>
              <w:right w:val="single" w:color="auto" w:sz="4" w:space="0"/>
            </w:tcBorders>
            <w:noWrap w:val="0"/>
            <w:vAlign w:val="center"/>
          </w:tcPr>
          <w:p w14:paraId="005A9768">
            <w:pPr>
              <w:keepNext/>
              <w:keepLines/>
              <w:pageBreakBefore w:val="0"/>
              <w:widowControl w:val="0"/>
              <w:suppressLineNumbers w:val="0"/>
              <w:wordWrap/>
              <w:overflowPunct/>
              <w:topLinePunct w:val="0"/>
              <w:autoSpaceDE/>
              <w:autoSpaceDN/>
              <w:bidi w:val="0"/>
              <w:spacing w:before="0" w:beforeLines="0" w:beforeAutospacing="0" w:after="0" w:afterLines="0" w:afterAutospacing="0" w:line="360" w:lineRule="auto"/>
              <w:ind w:left="0" w:leftChars="0" w:right="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单价</w:t>
            </w:r>
          </w:p>
        </w:tc>
        <w:tc>
          <w:tcPr>
            <w:tcW w:w="735" w:type="dxa"/>
            <w:tcBorders>
              <w:left w:val="single" w:color="auto" w:sz="4" w:space="0"/>
              <w:right w:val="single" w:color="auto" w:sz="4" w:space="0"/>
            </w:tcBorders>
            <w:noWrap w:val="0"/>
            <w:vAlign w:val="center"/>
          </w:tcPr>
          <w:p w14:paraId="4054F92A">
            <w:pPr>
              <w:keepNext/>
              <w:keepLines/>
              <w:pageBreakBefore w:val="0"/>
              <w:widowControl w:val="0"/>
              <w:suppressLineNumbers w:val="0"/>
              <w:wordWrap/>
              <w:overflowPunct/>
              <w:topLinePunct w:val="0"/>
              <w:autoSpaceDE/>
              <w:autoSpaceDN/>
              <w:bidi w:val="0"/>
              <w:spacing w:before="0" w:beforeLines="0" w:beforeAutospacing="0" w:after="0" w:afterLines="0" w:afterAutospacing="0" w:line="360" w:lineRule="auto"/>
              <w:ind w:left="0" w:leftChars="0" w:right="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数量</w:t>
            </w:r>
          </w:p>
        </w:tc>
        <w:tc>
          <w:tcPr>
            <w:tcW w:w="1050" w:type="dxa"/>
            <w:tcBorders>
              <w:left w:val="single" w:color="auto" w:sz="4" w:space="0"/>
            </w:tcBorders>
            <w:noWrap w:val="0"/>
            <w:vAlign w:val="center"/>
          </w:tcPr>
          <w:p w14:paraId="0DE517F5">
            <w:pPr>
              <w:keepNext/>
              <w:keepLines/>
              <w:pageBreakBefore w:val="0"/>
              <w:widowControl w:val="0"/>
              <w:suppressLineNumbers w:val="0"/>
              <w:wordWrap/>
              <w:overflowPunct/>
              <w:topLinePunct w:val="0"/>
              <w:autoSpaceDE/>
              <w:autoSpaceDN/>
              <w:bidi w:val="0"/>
              <w:spacing w:before="0" w:beforeLines="0" w:beforeAutospacing="0" w:after="0" w:afterLines="0" w:afterAutospacing="0" w:line="360" w:lineRule="auto"/>
              <w:ind w:left="0" w:leftChars="0" w:right="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交付地点</w:t>
            </w:r>
          </w:p>
        </w:tc>
        <w:tc>
          <w:tcPr>
            <w:tcW w:w="1215" w:type="dxa"/>
            <w:tcBorders>
              <w:right w:val="single" w:color="auto" w:sz="4" w:space="0"/>
            </w:tcBorders>
            <w:noWrap w:val="0"/>
            <w:vAlign w:val="center"/>
          </w:tcPr>
          <w:p w14:paraId="3CF7BA07">
            <w:pPr>
              <w:keepNext/>
              <w:keepLines/>
              <w:pageBreakBefore w:val="0"/>
              <w:widowControl w:val="0"/>
              <w:suppressLineNumbers w:val="0"/>
              <w:wordWrap/>
              <w:overflowPunct/>
              <w:topLinePunct w:val="0"/>
              <w:autoSpaceDE/>
              <w:autoSpaceDN/>
              <w:bidi w:val="0"/>
              <w:spacing w:before="0" w:beforeLines="0" w:beforeAutospacing="0" w:after="0" w:afterLines="0" w:afterAutospacing="0" w:line="360" w:lineRule="auto"/>
              <w:ind w:left="0" w:leftChars="0" w:right="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交付时间</w:t>
            </w:r>
          </w:p>
        </w:tc>
        <w:tc>
          <w:tcPr>
            <w:tcW w:w="903" w:type="dxa"/>
            <w:tcBorders>
              <w:right w:val="single" w:color="auto" w:sz="4" w:space="0"/>
            </w:tcBorders>
            <w:noWrap w:val="0"/>
            <w:vAlign w:val="center"/>
          </w:tcPr>
          <w:p w14:paraId="07613E01">
            <w:pPr>
              <w:keepNext/>
              <w:keepLines/>
              <w:pageBreakBefore w:val="0"/>
              <w:widowControl w:val="0"/>
              <w:suppressLineNumbers w:val="0"/>
              <w:wordWrap/>
              <w:overflowPunct/>
              <w:topLinePunct w:val="0"/>
              <w:autoSpaceDE/>
              <w:autoSpaceDN/>
              <w:bidi w:val="0"/>
              <w:spacing w:before="0" w:beforeLines="0" w:beforeAutospacing="0" w:after="0" w:afterLines="0" w:afterAutospacing="0" w:line="360" w:lineRule="auto"/>
              <w:ind w:left="0" w:leftChars="0" w:right="0" w:firstLine="0" w:firstLineChars="0"/>
              <w:jc w:val="center"/>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备注</w:t>
            </w:r>
          </w:p>
        </w:tc>
      </w:tr>
      <w:tr w14:paraId="11AA08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14:paraId="5F56FEFB">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960" w:type="dxa"/>
            <w:noWrap w:val="0"/>
            <w:vAlign w:val="top"/>
          </w:tcPr>
          <w:p w14:paraId="4C673788">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955" w:type="dxa"/>
            <w:tcBorders>
              <w:right w:val="single" w:color="auto" w:sz="4" w:space="0"/>
            </w:tcBorders>
            <w:noWrap w:val="0"/>
            <w:vAlign w:val="top"/>
          </w:tcPr>
          <w:p w14:paraId="3BB48AFA">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225" w:type="dxa"/>
            <w:tcBorders>
              <w:left w:val="single" w:color="auto" w:sz="4" w:space="0"/>
            </w:tcBorders>
            <w:noWrap w:val="0"/>
            <w:vAlign w:val="top"/>
          </w:tcPr>
          <w:p w14:paraId="725CC8A3">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825" w:type="dxa"/>
            <w:tcBorders>
              <w:right w:val="single" w:color="auto" w:sz="4" w:space="0"/>
            </w:tcBorders>
            <w:noWrap w:val="0"/>
            <w:vAlign w:val="top"/>
          </w:tcPr>
          <w:p w14:paraId="1C7023CD">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735" w:type="dxa"/>
            <w:tcBorders>
              <w:left w:val="single" w:color="auto" w:sz="4" w:space="0"/>
              <w:right w:val="single" w:color="auto" w:sz="4" w:space="0"/>
            </w:tcBorders>
            <w:noWrap w:val="0"/>
            <w:vAlign w:val="top"/>
          </w:tcPr>
          <w:p w14:paraId="0C9AA421">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050" w:type="dxa"/>
            <w:tcBorders>
              <w:left w:val="single" w:color="auto" w:sz="4" w:space="0"/>
            </w:tcBorders>
            <w:noWrap w:val="0"/>
            <w:vAlign w:val="top"/>
          </w:tcPr>
          <w:p w14:paraId="4ED7ABFA">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215" w:type="dxa"/>
            <w:tcBorders>
              <w:right w:val="single" w:color="auto" w:sz="4" w:space="0"/>
            </w:tcBorders>
            <w:noWrap w:val="0"/>
            <w:vAlign w:val="top"/>
          </w:tcPr>
          <w:p w14:paraId="1AB0C6E5">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903" w:type="dxa"/>
            <w:tcBorders>
              <w:right w:val="single" w:color="auto" w:sz="4" w:space="0"/>
            </w:tcBorders>
            <w:noWrap w:val="0"/>
            <w:vAlign w:val="top"/>
          </w:tcPr>
          <w:p w14:paraId="08315451">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r>
      <w:tr w14:paraId="1789CF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14:paraId="1A21493A">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960" w:type="dxa"/>
            <w:noWrap w:val="0"/>
            <w:vAlign w:val="top"/>
          </w:tcPr>
          <w:p w14:paraId="77CB765E">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955" w:type="dxa"/>
            <w:tcBorders>
              <w:right w:val="single" w:color="auto" w:sz="4" w:space="0"/>
            </w:tcBorders>
            <w:noWrap w:val="0"/>
            <w:vAlign w:val="top"/>
          </w:tcPr>
          <w:p w14:paraId="73B57A17">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225" w:type="dxa"/>
            <w:tcBorders>
              <w:left w:val="single" w:color="auto" w:sz="4" w:space="0"/>
            </w:tcBorders>
            <w:noWrap w:val="0"/>
            <w:vAlign w:val="top"/>
          </w:tcPr>
          <w:p w14:paraId="49630E62">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825" w:type="dxa"/>
            <w:tcBorders>
              <w:right w:val="single" w:color="auto" w:sz="4" w:space="0"/>
            </w:tcBorders>
            <w:noWrap w:val="0"/>
            <w:vAlign w:val="top"/>
          </w:tcPr>
          <w:p w14:paraId="5C5DFFE2">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735" w:type="dxa"/>
            <w:tcBorders>
              <w:left w:val="single" w:color="auto" w:sz="4" w:space="0"/>
              <w:right w:val="single" w:color="auto" w:sz="4" w:space="0"/>
            </w:tcBorders>
            <w:noWrap w:val="0"/>
            <w:vAlign w:val="top"/>
          </w:tcPr>
          <w:p w14:paraId="5706FAB7">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050" w:type="dxa"/>
            <w:tcBorders>
              <w:left w:val="single" w:color="auto" w:sz="4" w:space="0"/>
            </w:tcBorders>
            <w:noWrap w:val="0"/>
            <w:vAlign w:val="top"/>
          </w:tcPr>
          <w:p w14:paraId="09800F7F">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215" w:type="dxa"/>
            <w:tcBorders>
              <w:right w:val="single" w:color="auto" w:sz="4" w:space="0"/>
            </w:tcBorders>
            <w:noWrap w:val="0"/>
            <w:vAlign w:val="top"/>
          </w:tcPr>
          <w:p w14:paraId="38704D17">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903" w:type="dxa"/>
            <w:tcBorders>
              <w:right w:val="single" w:color="auto" w:sz="4" w:space="0"/>
            </w:tcBorders>
            <w:noWrap w:val="0"/>
            <w:vAlign w:val="top"/>
          </w:tcPr>
          <w:p w14:paraId="1CB6E690">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r>
      <w:tr w14:paraId="076A95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14:paraId="026C3944">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960" w:type="dxa"/>
            <w:noWrap w:val="0"/>
            <w:vAlign w:val="top"/>
          </w:tcPr>
          <w:p w14:paraId="3169658E">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955" w:type="dxa"/>
            <w:tcBorders>
              <w:right w:val="single" w:color="auto" w:sz="4" w:space="0"/>
            </w:tcBorders>
            <w:noWrap w:val="0"/>
            <w:vAlign w:val="top"/>
          </w:tcPr>
          <w:p w14:paraId="3ABA667A">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225" w:type="dxa"/>
            <w:tcBorders>
              <w:left w:val="single" w:color="auto" w:sz="4" w:space="0"/>
            </w:tcBorders>
            <w:noWrap w:val="0"/>
            <w:vAlign w:val="top"/>
          </w:tcPr>
          <w:p w14:paraId="59E43390">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825" w:type="dxa"/>
            <w:tcBorders>
              <w:right w:val="single" w:color="auto" w:sz="4" w:space="0"/>
            </w:tcBorders>
            <w:noWrap w:val="0"/>
            <w:vAlign w:val="top"/>
          </w:tcPr>
          <w:p w14:paraId="01D384C5">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735" w:type="dxa"/>
            <w:tcBorders>
              <w:left w:val="single" w:color="auto" w:sz="4" w:space="0"/>
              <w:right w:val="single" w:color="auto" w:sz="4" w:space="0"/>
            </w:tcBorders>
            <w:noWrap w:val="0"/>
            <w:vAlign w:val="top"/>
          </w:tcPr>
          <w:p w14:paraId="01FF5AEA">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050" w:type="dxa"/>
            <w:tcBorders>
              <w:left w:val="single" w:color="auto" w:sz="4" w:space="0"/>
            </w:tcBorders>
            <w:noWrap w:val="0"/>
            <w:vAlign w:val="top"/>
          </w:tcPr>
          <w:p w14:paraId="6F25910E">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215" w:type="dxa"/>
            <w:tcBorders>
              <w:right w:val="single" w:color="auto" w:sz="4" w:space="0"/>
            </w:tcBorders>
            <w:noWrap w:val="0"/>
            <w:vAlign w:val="top"/>
          </w:tcPr>
          <w:p w14:paraId="2D3DAD82">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903" w:type="dxa"/>
            <w:tcBorders>
              <w:right w:val="single" w:color="auto" w:sz="4" w:space="0"/>
            </w:tcBorders>
            <w:noWrap w:val="0"/>
            <w:vAlign w:val="top"/>
          </w:tcPr>
          <w:p w14:paraId="46E0A7C8">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r>
      <w:tr w14:paraId="5CAB5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675" w:type="dxa"/>
            <w:noWrap w:val="0"/>
            <w:vAlign w:val="top"/>
          </w:tcPr>
          <w:p w14:paraId="62124A68">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960" w:type="dxa"/>
            <w:noWrap w:val="0"/>
            <w:vAlign w:val="top"/>
          </w:tcPr>
          <w:p w14:paraId="37C21214">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955" w:type="dxa"/>
            <w:tcBorders>
              <w:right w:val="single" w:color="auto" w:sz="4" w:space="0"/>
            </w:tcBorders>
            <w:noWrap w:val="0"/>
            <w:vAlign w:val="top"/>
          </w:tcPr>
          <w:p w14:paraId="352EB2CC">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225" w:type="dxa"/>
            <w:tcBorders>
              <w:left w:val="single" w:color="auto" w:sz="4" w:space="0"/>
            </w:tcBorders>
            <w:noWrap w:val="0"/>
            <w:vAlign w:val="top"/>
          </w:tcPr>
          <w:p w14:paraId="7AD8CF90">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825" w:type="dxa"/>
            <w:tcBorders>
              <w:right w:val="single" w:color="auto" w:sz="4" w:space="0"/>
            </w:tcBorders>
            <w:noWrap w:val="0"/>
            <w:vAlign w:val="top"/>
          </w:tcPr>
          <w:p w14:paraId="5C01DDD7">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735" w:type="dxa"/>
            <w:tcBorders>
              <w:left w:val="single" w:color="auto" w:sz="4" w:space="0"/>
              <w:right w:val="single" w:color="auto" w:sz="4" w:space="0"/>
            </w:tcBorders>
            <w:noWrap w:val="0"/>
            <w:vAlign w:val="top"/>
          </w:tcPr>
          <w:p w14:paraId="06193C64">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050" w:type="dxa"/>
            <w:tcBorders>
              <w:left w:val="single" w:color="auto" w:sz="4" w:space="0"/>
            </w:tcBorders>
            <w:noWrap w:val="0"/>
            <w:vAlign w:val="top"/>
          </w:tcPr>
          <w:p w14:paraId="43CAD6AB">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1215" w:type="dxa"/>
            <w:tcBorders>
              <w:right w:val="single" w:color="auto" w:sz="4" w:space="0"/>
            </w:tcBorders>
            <w:noWrap w:val="0"/>
            <w:vAlign w:val="top"/>
          </w:tcPr>
          <w:p w14:paraId="6755F083">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c>
          <w:tcPr>
            <w:tcW w:w="903" w:type="dxa"/>
            <w:tcBorders>
              <w:right w:val="single" w:color="auto" w:sz="4" w:space="0"/>
            </w:tcBorders>
            <w:noWrap w:val="0"/>
            <w:vAlign w:val="top"/>
          </w:tcPr>
          <w:p w14:paraId="5C6468D1">
            <w:pPr>
              <w:keepNext w:val="0"/>
              <w:keepLines w:val="0"/>
              <w:pageBreakBefore w:val="0"/>
              <w:widowControl w:val="0"/>
              <w:suppressLineNumbers w:val="0"/>
              <w:wordWrap/>
              <w:overflowPunct/>
              <w:topLinePunct w:val="0"/>
              <w:autoSpaceDE/>
              <w:autoSpaceDN/>
              <w:bidi w:val="0"/>
              <w:spacing w:before="0" w:beforeAutospacing="0" w:after="0" w:afterAutospacing="0" w:line="360" w:lineRule="auto"/>
              <w:ind w:left="0" w:right="0"/>
              <w:jc w:val="center"/>
              <w:textAlignment w:val="auto"/>
              <w:rPr>
                <w:rFonts w:hint="eastAsia" w:ascii="宋体" w:hAnsi="宋体" w:eastAsia="宋体" w:cs="宋体"/>
                <w:kern w:val="2"/>
                <w:sz w:val="24"/>
                <w:szCs w:val="24"/>
                <w:highlight w:val="none"/>
              </w:rPr>
            </w:pPr>
          </w:p>
        </w:tc>
      </w:tr>
    </w:tbl>
    <w:p w14:paraId="6A7E999C">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rPr>
        <w:t xml:space="preserve">八、运输、安装、调试要求 </w:t>
      </w:r>
    </w:p>
    <w:p w14:paraId="2FC5C3AA">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1.运输方式由乙方及制造厂商自行选择，运输和装卸等风险由乙方承担</w:t>
      </w:r>
      <w:r>
        <w:rPr>
          <w:rFonts w:hint="eastAsia" w:ascii="宋体" w:hAnsi="宋体" w:eastAsia="宋体" w:cs="宋体"/>
          <w:kern w:val="2"/>
          <w:sz w:val="24"/>
          <w:szCs w:val="24"/>
          <w:highlight w:val="none"/>
        </w:rPr>
        <w:t>。</w:t>
      </w:r>
    </w:p>
    <w:p w14:paraId="3675DE33">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2.</w:t>
      </w:r>
      <w:r>
        <w:rPr>
          <w:rFonts w:hint="eastAsia" w:ascii="宋体" w:hAnsi="宋体" w:eastAsia="宋体" w:cs="宋体"/>
          <w:color w:val="auto"/>
          <w:kern w:val="2"/>
          <w:sz w:val="24"/>
          <w:szCs w:val="24"/>
          <w:highlight w:val="none"/>
          <w:u w:val="none"/>
          <w:lang w:val="en-US" w:eastAsia="zh-CN"/>
        </w:rPr>
        <w:t>自合同签订之日起</w:t>
      </w:r>
      <w:r>
        <w:rPr>
          <w:rFonts w:hint="eastAsia" w:ascii="宋体" w:hAnsi="宋体" w:eastAsia="宋体" w:cs="宋体"/>
          <w:color w:val="auto"/>
          <w:kern w:val="2"/>
          <w:sz w:val="24"/>
          <w:szCs w:val="24"/>
          <w:highlight w:val="none"/>
          <w:u w:val="single"/>
          <w:lang w:val="en-US" w:eastAsia="zh-CN"/>
        </w:rPr>
        <w:t xml:space="preserve">          </w:t>
      </w:r>
      <w:r>
        <w:rPr>
          <w:rFonts w:hint="eastAsia" w:ascii="宋体" w:hAnsi="宋体" w:eastAsia="宋体" w:cs="宋体"/>
          <w:color w:val="auto"/>
          <w:kern w:val="2"/>
          <w:sz w:val="24"/>
          <w:szCs w:val="24"/>
          <w:highlight w:val="none"/>
          <w:u w:val="none"/>
          <w:lang w:val="en-US" w:eastAsia="zh-CN"/>
        </w:rPr>
        <w:t>个日历日内</w:t>
      </w:r>
      <w:r>
        <w:rPr>
          <w:rFonts w:hint="eastAsia" w:ascii="宋体" w:hAnsi="宋体" w:eastAsia="宋体" w:cs="宋体"/>
          <w:kern w:val="2"/>
          <w:sz w:val="24"/>
          <w:szCs w:val="24"/>
          <w:highlight w:val="none"/>
          <w:lang w:val="en-US" w:eastAsia="zh-CN"/>
        </w:rPr>
        <w:t>，交货安装，验收合格，并交付使用。</w:t>
      </w:r>
    </w:p>
    <w:p w14:paraId="28FA0AB6">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3.乙方向甲方交货时应移交每套设备的全套档案资料（包括产品合格证、使用说明书、保修卡、技术资料等），并为用户免费指导和培训设备的操作与维护。</w:t>
      </w:r>
    </w:p>
    <w:p w14:paraId="66C3DB02">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4.乙方应积极保持与甲方、最终用户及原厂商的良好沟通，保证合同的正常履行，并承担合同义务的履行责任。</w:t>
      </w:r>
    </w:p>
    <w:p w14:paraId="04C6DA72">
      <w:pPr>
        <w:pageBreakBefore w:val="0"/>
        <w:widowControl w:val="0"/>
        <w:numPr>
          <w:ilvl w:val="0"/>
          <w:numId w:val="0"/>
        </w:numP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九、质保及维保服务</w:t>
      </w:r>
    </w:p>
    <w:p w14:paraId="1E4BAF7C">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1.乙方</w:t>
      </w:r>
      <w:r>
        <w:rPr>
          <w:rFonts w:hint="eastAsia" w:ascii="宋体" w:hAnsi="宋体" w:eastAsia="宋体" w:cs="宋体"/>
          <w:color w:val="auto"/>
          <w:kern w:val="2"/>
          <w:sz w:val="24"/>
          <w:szCs w:val="24"/>
          <w:highlight w:val="none"/>
        </w:rPr>
        <w:t>应提供可承担维修职能的公司、全资分公司或办事处，并驻守稳定的技术服务小组，提供长期良好的售后服务，随时解答各种疑问，确保本设备</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产品</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正常运行，（提供人员名单、职务、联系电话等）。</w:t>
      </w:r>
    </w:p>
    <w:p w14:paraId="0DDDA88E">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服务方式</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现场服务及远程服务。</w:t>
      </w:r>
    </w:p>
    <w:p w14:paraId="0F478496">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对于存在质量缺陷问题或者短少的设备，</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应在接到</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的通知2个日历日内负责更换或补齐，否则</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有权予以处罚，不及时进行缺陷处理的甲方有权</w:t>
      </w:r>
      <w:r>
        <w:rPr>
          <w:rFonts w:hint="eastAsia" w:ascii="宋体" w:hAnsi="宋体" w:eastAsia="宋体" w:cs="宋体"/>
          <w:color w:val="auto"/>
          <w:kern w:val="2"/>
          <w:sz w:val="24"/>
          <w:szCs w:val="24"/>
          <w:highlight w:val="none"/>
          <w:lang w:eastAsia="zh-CN"/>
        </w:rPr>
        <w:t>终止</w:t>
      </w:r>
      <w:r>
        <w:rPr>
          <w:rFonts w:hint="eastAsia" w:ascii="宋体" w:hAnsi="宋体" w:eastAsia="宋体" w:cs="宋体"/>
          <w:color w:val="auto"/>
          <w:kern w:val="2"/>
          <w:sz w:val="24"/>
          <w:szCs w:val="24"/>
          <w:highlight w:val="none"/>
        </w:rPr>
        <w:t>合同，</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须无条件退回</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所付全部款项，并可向</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进行索赔，</w:t>
      </w:r>
      <w:r>
        <w:rPr>
          <w:rFonts w:hint="eastAsia" w:ascii="宋体" w:hAnsi="宋体" w:eastAsia="宋体" w:cs="宋体"/>
          <w:color w:val="auto"/>
          <w:kern w:val="2"/>
          <w:sz w:val="24"/>
          <w:szCs w:val="24"/>
          <w:highlight w:val="none"/>
          <w:lang w:val="en-US" w:eastAsia="zh-CN"/>
        </w:rPr>
        <w:t>甲方</w:t>
      </w:r>
      <w:r>
        <w:rPr>
          <w:rFonts w:hint="eastAsia" w:ascii="宋体" w:hAnsi="宋体" w:eastAsia="宋体" w:cs="宋体"/>
          <w:color w:val="auto"/>
          <w:kern w:val="2"/>
          <w:sz w:val="24"/>
          <w:szCs w:val="24"/>
          <w:highlight w:val="none"/>
        </w:rPr>
        <w:t>对已交付安装产品的损耗无须承担任何责任和赔偿。</w:t>
      </w:r>
    </w:p>
    <w:p w14:paraId="1AF045C7">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质量保修期内，</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应按照有关管理规定及双方约定承担质量保修责任。</w:t>
      </w:r>
    </w:p>
    <w:p w14:paraId="4510A810">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在设备</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产品</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rPr>
        <w:t>最终验收后的质量保证期内，</w:t>
      </w:r>
      <w:r>
        <w:rPr>
          <w:rFonts w:hint="eastAsia" w:ascii="宋体" w:hAnsi="宋体" w:eastAsia="宋体" w:cs="宋体"/>
          <w:color w:val="auto"/>
          <w:kern w:val="2"/>
          <w:sz w:val="24"/>
          <w:szCs w:val="24"/>
          <w:highlight w:val="none"/>
          <w:lang w:val="en-US" w:eastAsia="zh-CN"/>
        </w:rPr>
        <w:t>乙方</w:t>
      </w:r>
      <w:r>
        <w:rPr>
          <w:rFonts w:hint="eastAsia" w:ascii="宋体" w:hAnsi="宋体" w:eastAsia="宋体" w:cs="宋体"/>
          <w:color w:val="auto"/>
          <w:kern w:val="2"/>
          <w:sz w:val="24"/>
          <w:szCs w:val="24"/>
          <w:highlight w:val="none"/>
        </w:rPr>
        <w:t>应对设计、工艺或材料的缺陷而产生的故障负责（负责解决并承担全部费用）。质保期满后如出现此类问题亦应负责。</w:t>
      </w:r>
    </w:p>
    <w:p w14:paraId="396D8215">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6.提供全年7×24小时的技术咨询服务，设备（产品）出现故障时，30分钟内电话响应，1小时内电话解决问题，未解决4小时内到达故障现场解决问题</w:t>
      </w:r>
      <w:r>
        <w:rPr>
          <w:rFonts w:hint="eastAsia" w:ascii="宋体" w:hAnsi="宋体" w:eastAsia="宋体" w:cs="宋体"/>
          <w:color w:val="auto"/>
          <w:kern w:val="2"/>
          <w:sz w:val="24"/>
          <w:szCs w:val="24"/>
          <w:highlight w:val="none"/>
        </w:rPr>
        <w:t>。</w:t>
      </w:r>
    </w:p>
    <w:p w14:paraId="1A043BFB">
      <w:pPr>
        <w:pageBreakBefore w:val="0"/>
        <w:widowControl w:val="0"/>
        <w:numPr>
          <w:ilvl w:val="0"/>
          <w:numId w:val="0"/>
        </w:numP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lang w:val="en-US" w:eastAsia="zh-CN"/>
        </w:rPr>
      </w:pPr>
      <w:r>
        <w:rPr>
          <w:rFonts w:hint="eastAsia" w:ascii="宋体" w:hAnsi="宋体" w:eastAsia="宋体" w:cs="宋体"/>
          <w:b/>
          <w:kern w:val="2"/>
          <w:sz w:val="24"/>
          <w:szCs w:val="24"/>
          <w:highlight w:val="none"/>
          <w:lang w:val="en-US" w:eastAsia="zh-CN"/>
        </w:rPr>
        <w:t>十、质量保证及技术培训</w:t>
      </w:r>
    </w:p>
    <w:p w14:paraId="0B59FE85">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乙方提供的设备（产品）及材料必须保证质量可靠，为市场最新或主流设备（产品），进货渠道正常，配置合理齐全，应全面满足招标文件的要求，招标文件未明确要求的内容，须按招标设备（产品）主流标准配置或以甲方的补充要求为准。所供设备（产品）工艺质量应严格按国家最新发布的规范标准执行，如发生质量问题由乙方承担全部责任。</w:t>
      </w:r>
    </w:p>
    <w:p w14:paraId="77ADD811">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2.乙方承诺提供系统现场培训。乙方应保证提供一到两名资深的培训教师，培训计划应注明每次培训课程的时间、地点及课时；每次课程的内容和目的；提供每次课程的文件和资料；</w:t>
      </w:r>
    </w:p>
    <w:p w14:paraId="262A342E">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3.培训内容包括系统产品使用培训和高级技术培训。</w:t>
      </w:r>
    </w:p>
    <w:p w14:paraId="000DDAC5">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产品培训至少包括产品介绍、安装调测、操作及维护方法、系统配置和升级等方面；高级技术培训是指系统分析设计中的思想和方法。乙方承诺接受培训的人员在培训后能够独立地对系统进行操作使用、管理、维护。</w:t>
      </w:r>
    </w:p>
    <w:p w14:paraId="526E7CD6">
      <w:pPr>
        <w:pageBreakBefore w:val="0"/>
        <w:widowControl w:val="0"/>
        <w:tabs>
          <w:tab w:val="left" w:pos="840"/>
        </w:tabs>
        <w:wordWrap/>
        <w:overflowPunct/>
        <w:topLinePunct w:val="0"/>
        <w:autoSpaceDE/>
        <w:autoSpaceDN/>
        <w:bidi w:val="0"/>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5.现场集中培训产生的所有费用由乙方承担。</w:t>
      </w:r>
    </w:p>
    <w:p w14:paraId="427120A5">
      <w:pPr>
        <w:pageBreakBefore w:val="0"/>
        <w:widowControl w:val="0"/>
        <w:numPr>
          <w:ilvl w:val="0"/>
          <w:numId w:val="0"/>
        </w:numP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rPr>
        <w:t>十一、</w:t>
      </w:r>
      <w:r>
        <w:rPr>
          <w:rFonts w:hint="eastAsia" w:ascii="宋体" w:hAnsi="宋体" w:eastAsia="宋体" w:cs="宋体"/>
          <w:b/>
          <w:kern w:val="2"/>
          <w:sz w:val="24"/>
          <w:szCs w:val="24"/>
          <w:highlight w:val="none"/>
        </w:rPr>
        <w:t>验收</w:t>
      </w:r>
    </w:p>
    <w:p w14:paraId="30BCD67D">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由</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共同组织验收，验货合同的标的物方可进行安装、调试。通过验收的应填写政府采购项目验收报告单，并交接全部项目资料。</w:t>
      </w:r>
    </w:p>
    <w:p w14:paraId="4116E60A">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rPr>
        <w:t>验收时，</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有权对标的物按</w:t>
      </w:r>
      <w:r>
        <w:rPr>
          <w:rFonts w:hint="eastAsia" w:ascii="宋体" w:hAnsi="宋体" w:eastAsia="宋体" w:cs="宋体"/>
          <w:kern w:val="2"/>
          <w:sz w:val="24"/>
          <w:szCs w:val="24"/>
          <w:highlight w:val="none"/>
          <w:lang w:val="en-US" w:eastAsia="zh-CN"/>
        </w:rPr>
        <w:t>采购</w:t>
      </w:r>
      <w:r>
        <w:rPr>
          <w:rFonts w:hint="eastAsia" w:ascii="宋体" w:hAnsi="宋体" w:eastAsia="宋体" w:cs="宋体"/>
          <w:kern w:val="2"/>
          <w:sz w:val="24"/>
          <w:szCs w:val="24"/>
          <w:highlight w:val="none"/>
        </w:rPr>
        <w:t>技术参数逐项进行技术验证测试，测试通过作为验收合格的必要条件，验收不通过，</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有权拒绝接收货物，</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有权对</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进行处罚，并终止合同，已支付款项</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须全额退还，</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并可向供应商进行索赔。</w:t>
      </w:r>
    </w:p>
    <w:p w14:paraId="40076EE7">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十</w:t>
      </w:r>
      <w:r>
        <w:rPr>
          <w:rFonts w:hint="eastAsia" w:ascii="宋体" w:hAnsi="宋体" w:eastAsia="宋体" w:cs="宋体"/>
          <w:b/>
          <w:kern w:val="2"/>
          <w:sz w:val="24"/>
          <w:szCs w:val="24"/>
          <w:highlight w:val="none"/>
          <w:lang w:val="en-US" w:eastAsia="zh-CN"/>
        </w:rPr>
        <w:t>一</w:t>
      </w:r>
      <w:r>
        <w:rPr>
          <w:rFonts w:hint="eastAsia" w:ascii="宋体" w:hAnsi="宋体" w:eastAsia="宋体" w:cs="宋体"/>
          <w:b/>
          <w:kern w:val="2"/>
          <w:sz w:val="24"/>
          <w:szCs w:val="24"/>
          <w:highlight w:val="none"/>
        </w:rPr>
        <w:t>、保密</w:t>
      </w:r>
    </w:p>
    <w:p w14:paraId="43F2DD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对工作中了解到的甲方的技术、机密文件等进行严格保密，不得向他人泄漏。本合同的解除或终止不免除乙方应承担的保密义务。</w:t>
      </w:r>
    </w:p>
    <w:p w14:paraId="48D2CD25">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十</w:t>
      </w:r>
      <w:r>
        <w:rPr>
          <w:rFonts w:hint="eastAsia" w:ascii="宋体" w:hAnsi="宋体" w:eastAsia="宋体" w:cs="宋体"/>
          <w:b/>
          <w:kern w:val="2"/>
          <w:sz w:val="24"/>
          <w:szCs w:val="24"/>
          <w:highlight w:val="none"/>
          <w:lang w:val="en-US" w:eastAsia="zh-CN"/>
        </w:rPr>
        <w:t>二</w:t>
      </w:r>
      <w:r>
        <w:rPr>
          <w:rFonts w:hint="eastAsia" w:ascii="宋体" w:hAnsi="宋体" w:eastAsia="宋体" w:cs="宋体"/>
          <w:b/>
          <w:kern w:val="2"/>
          <w:sz w:val="24"/>
          <w:szCs w:val="24"/>
          <w:highlight w:val="none"/>
        </w:rPr>
        <w:t>、知识产权</w:t>
      </w:r>
    </w:p>
    <w:p w14:paraId="4EF407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应对所供</w:t>
      </w:r>
      <w:r>
        <w:rPr>
          <w:rFonts w:hint="eastAsia" w:ascii="宋体" w:hAnsi="宋体" w:eastAsia="宋体" w:cs="宋体"/>
          <w:kern w:val="2"/>
          <w:sz w:val="24"/>
          <w:szCs w:val="24"/>
          <w:highlight w:val="none"/>
          <w:lang w:val="en-US" w:eastAsia="zh-CN"/>
        </w:rPr>
        <w:t>设备（</w:t>
      </w:r>
      <w:r>
        <w:rPr>
          <w:rFonts w:hint="eastAsia" w:ascii="宋体" w:hAnsi="宋体" w:eastAsia="宋体" w:cs="宋体"/>
          <w:kern w:val="2"/>
          <w:sz w:val="24"/>
          <w:szCs w:val="24"/>
          <w:highlight w:val="none"/>
        </w:rPr>
        <w:t>产品</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具有或已取得合法知识产权，</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应保证所供</w:t>
      </w:r>
      <w:r>
        <w:rPr>
          <w:rFonts w:hint="eastAsia" w:ascii="宋体" w:hAnsi="宋体" w:eastAsia="宋体" w:cs="宋体"/>
          <w:kern w:val="2"/>
          <w:sz w:val="24"/>
          <w:szCs w:val="24"/>
          <w:highlight w:val="none"/>
          <w:lang w:val="en-US" w:eastAsia="zh-CN"/>
        </w:rPr>
        <w:t>设备（</w:t>
      </w:r>
      <w:r>
        <w:rPr>
          <w:rFonts w:hint="eastAsia" w:ascii="宋体" w:hAnsi="宋体" w:eastAsia="宋体" w:cs="宋体"/>
          <w:kern w:val="2"/>
          <w:sz w:val="24"/>
          <w:szCs w:val="24"/>
          <w:highlight w:val="none"/>
        </w:rPr>
        <w:t>产品</w:t>
      </w:r>
      <w:r>
        <w:rPr>
          <w:rFonts w:hint="eastAsia" w:ascii="宋体" w:hAnsi="宋体" w:eastAsia="宋体" w:cs="宋体"/>
          <w:kern w:val="2"/>
          <w:sz w:val="24"/>
          <w:szCs w:val="24"/>
          <w:highlight w:val="none"/>
          <w:lang w:val="en-US" w:eastAsia="zh-CN"/>
        </w:rPr>
        <w:t>）</w:t>
      </w:r>
      <w:r>
        <w:rPr>
          <w:rFonts w:hint="eastAsia" w:ascii="宋体" w:hAnsi="宋体" w:eastAsia="宋体" w:cs="宋体"/>
          <w:kern w:val="2"/>
          <w:sz w:val="24"/>
          <w:szCs w:val="24"/>
          <w:highlight w:val="none"/>
        </w:rPr>
        <w:t>及服务不会出现因第三方提出侵犯其专利权、商标权或其它知识产权而引发法律或经济纠纷，否则由</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负责解决并承担全部责任；如因此影响到</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的正常使用，</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有权单方解除本合同，</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应无条件向</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退回已收取的全部合同价款，给</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造成损失的，由</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一并赔偿。</w:t>
      </w:r>
    </w:p>
    <w:p w14:paraId="40CC9AE4">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十</w:t>
      </w:r>
      <w:r>
        <w:rPr>
          <w:rFonts w:hint="eastAsia" w:ascii="宋体" w:hAnsi="宋体" w:eastAsia="宋体" w:cs="宋体"/>
          <w:b/>
          <w:kern w:val="2"/>
          <w:sz w:val="24"/>
          <w:szCs w:val="24"/>
          <w:highlight w:val="none"/>
          <w:lang w:val="en-US" w:eastAsia="zh-CN"/>
        </w:rPr>
        <w:t>三</w:t>
      </w:r>
      <w:r>
        <w:rPr>
          <w:rFonts w:hint="eastAsia" w:ascii="宋体" w:hAnsi="宋体" w:eastAsia="宋体" w:cs="宋体"/>
          <w:b/>
          <w:kern w:val="2"/>
          <w:sz w:val="24"/>
          <w:szCs w:val="24"/>
          <w:highlight w:val="none"/>
        </w:rPr>
        <w:t>、合同争议的解决</w:t>
      </w:r>
    </w:p>
    <w:p w14:paraId="557EC4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合同执行中发生争议的，当事人双方应协商解决。协商达不成一致时，可向</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当地行政仲裁机关申请仲裁或者向人民法院提请诉讼。</w:t>
      </w:r>
    </w:p>
    <w:p w14:paraId="3A9F7DA5">
      <w:pPr>
        <w:pageBreakBefore w:val="0"/>
        <w:widowControl w:val="0"/>
        <w:numPr>
          <w:ilvl w:val="0"/>
          <w:numId w:val="0"/>
        </w:numPr>
        <w:wordWrap/>
        <w:overflowPunct/>
        <w:topLinePunct w:val="0"/>
        <w:autoSpaceDE/>
        <w:autoSpaceDN/>
        <w:bidi w:val="0"/>
        <w:spacing w:line="360" w:lineRule="auto"/>
        <w:jc w:val="left"/>
        <w:textAlignment w:val="auto"/>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lang w:val="en-US" w:eastAsia="zh-CN"/>
        </w:rPr>
        <w:t>十四、</w:t>
      </w:r>
      <w:r>
        <w:rPr>
          <w:rFonts w:hint="eastAsia" w:ascii="宋体" w:hAnsi="宋体" w:eastAsia="宋体" w:cs="宋体"/>
          <w:b/>
          <w:bCs/>
          <w:kern w:val="2"/>
          <w:sz w:val="24"/>
          <w:szCs w:val="24"/>
          <w:highlight w:val="none"/>
        </w:rPr>
        <w:t>不可抗力情况下的免责约定</w:t>
      </w:r>
    </w:p>
    <w:p w14:paraId="07D86799">
      <w:pPr>
        <w:pageBreakBefore w:val="0"/>
        <w:widowControl w:val="0"/>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双</w:t>
      </w:r>
      <w:r>
        <w:rPr>
          <w:rFonts w:hint="eastAsia" w:ascii="宋体" w:hAnsi="宋体" w:eastAsia="宋体" w:cs="宋体"/>
          <w:kern w:val="2"/>
          <w:sz w:val="24"/>
          <w:szCs w:val="24"/>
          <w:highlight w:val="none"/>
          <w:lang w:val="en-US" w:eastAsia="zh-CN"/>
        </w:rPr>
        <w:t>方约定不可抗力情况指：双方不可预见、不可避免、不可克服的客观情况，但不包括双方的违约或疏忽。这些事件包括但不限于：战争、严重火灾、洪水、台风、地震等。</w:t>
      </w:r>
    </w:p>
    <w:p w14:paraId="14E5B0B5">
      <w:pPr>
        <w:pageBreakBefore w:val="0"/>
        <w:widowControl w:val="0"/>
        <w:numPr>
          <w:ilvl w:val="0"/>
          <w:numId w:val="0"/>
        </w:numPr>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rPr>
        <w:t>十五、</w:t>
      </w:r>
      <w:r>
        <w:rPr>
          <w:rFonts w:hint="eastAsia" w:ascii="宋体" w:hAnsi="宋体" w:eastAsia="宋体" w:cs="宋体"/>
          <w:b/>
          <w:kern w:val="2"/>
          <w:sz w:val="24"/>
          <w:szCs w:val="24"/>
          <w:highlight w:val="none"/>
        </w:rPr>
        <w:t>违约责任</w:t>
      </w:r>
    </w:p>
    <w:p w14:paraId="42E2C0FE">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依据《中华人民共和国</w:t>
      </w:r>
      <w:r>
        <w:rPr>
          <w:rFonts w:hint="eastAsia" w:ascii="宋体" w:hAnsi="宋体" w:eastAsia="宋体" w:cs="宋体"/>
          <w:kern w:val="2"/>
          <w:sz w:val="24"/>
          <w:szCs w:val="24"/>
          <w:highlight w:val="none"/>
          <w:lang w:val="en-US" w:eastAsia="zh-CN"/>
        </w:rPr>
        <w:t>民法典</w:t>
      </w:r>
      <w:r>
        <w:rPr>
          <w:rFonts w:hint="eastAsia" w:ascii="宋体" w:hAnsi="宋体" w:eastAsia="宋体" w:cs="宋体"/>
          <w:kern w:val="2"/>
          <w:sz w:val="24"/>
          <w:szCs w:val="24"/>
          <w:highlight w:val="none"/>
        </w:rPr>
        <w:t>》、《中华人民共和国政府采购法》、《中华人民共和国政府采购法实施条例》的相关条款和本合同约定，</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未全面履行合同义务或者发生违约，</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会同采购代理机构有权终止合同，依法向</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进行经济索赔，并报请政府采购监督管理机关进行相应的行政处罚。</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违约的，应当赔偿给</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造成的经济损失。</w:t>
      </w:r>
    </w:p>
    <w:p w14:paraId="11A00D1C">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kern w:val="2"/>
          <w:sz w:val="24"/>
          <w:szCs w:val="24"/>
          <w:highlight w:val="none"/>
        </w:rPr>
      </w:pPr>
      <w:r>
        <w:rPr>
          <w:rFonts w:hint="eastAsia" w:ascii="宋体" w:hAnsi="宋体" w:eastAsia="宋体" w:cs="宋体"/>
          <w:b/>
          <w:kern w:val="2"/>
          <w:sz w:val="24"/>
          <w:szCs w:val="24"/>
          <w:highlight w:val="none"/>
        </w:rPr>
        <w:t>十</w:t>
      </w:r>
      <w:r>
        <w:rPr>
          <w:rFonts w:hint="eastAsia" w:ascii="宋体" w:hAnsi="宋体" w:eastAsia="宋体" w:cs="宋体"/>
          <w:b/>
          <w:kern w:val="2"/>
          <w:sz w:val="24"/>
          <w:szCs w:val="24"/>
          <w:highlight w:val="none"/>
          <w:lang w:val="en-US" w:eastAsia="zh-CN"/>
        </w:rPr>
        <w:t>六</w:t>
      </w:r>
      <w:r>
        <w:rPr>
          <w:rFonts w:hint="eastAsia" w:ascii="宋体" w:hAnsi="宋体" w:eastAsia="宋体" w:cs="宋体"/>
          <w:b/>
          <w:kern w:val="2"/>
          <w:sz w:val="24"/>
          <w:szCs w:val="24"/>
          <w:highlight w:val="none"/>
        </w:rPr>
        <w:t>、其他（</w:t>
      </w:r>
      <w:r>
        <w:rPr>
          <w:rFonts w:hint="eastAsia" w:ascii="宋体" w:hAnsi="宋体" w:eastAsia="宋体" w:cs="宋体"/>
          <w:kern w:val="2"/>
          <w:sz w:val="24"/>
          <w:szCs w:val="24"/>
          <w:highlight w:val="none"/>
        </w:rPr>
        <w:t>在合同中具体明确）</w:t>
      </w:r>
    </w:p>
    <w:p w14:paraId="5C1A49C4">
      <w:pPr>
        <w:pageBreakBefore w:val="0"/>
        <w:widowControl w:val="0"/>
        <w:wordWrap/>
        <w:overflowPunct/>
        <w:topLinePunct w:val="0"/>
        <w:autoSpaceDE/>
        <w:autoSpaceDN/>
        <w:bidi w:val="0"/>
        <w:spacing w:line="360" w:lineRule="auto"/>
        <w:jc w:val="both"/>
        <w:textAlignment w:val="auto"/>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lang w:val="en-US" w:eastAsia="zh-CN"/>
        </w:rPr>
        <w:t>十七</w:t>
      </w:r>
      <w:r>
        <w:rPr>
          <w:rFonts w:hint="eastAsia" w:ascii="宋体" w:hAnsi="宋体" w:eastAsia="宋体" w:cs="宋体"/>
          <w:b/>
          <w:kern w:val="2"/>
          <w:sz w:val="24"/>
          <w:szCs w:val="24"/>
          <w:highlight w:val="none"/>
        </w:rPr>
        <w:t>、合同订立</w:t>
      </w:r>
    </w:p>
    <w:p w14:paraId="2FBD1216">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1.订立时间：</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年</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月</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日。</w:t>
      </w:r>
    </w:p>
    <w:p w14:paraId="4866CB33">
      <w:pPr>
        <w:pageBreakBefore w:val="0"/>
        <w:widowControl w:val="0"/>
        <w:wordWrap/>
        <w:overflowPunct/>
        <w:topLinePunct w:val="0"/>
        <w:autoSpaceDE/>
        <w:autoSpaceDN/>
        <w:bidi w:val="0"/>
        <w:adjustRightInd w:val="0"/>
        <w:snapToGrid w:val="0"/>
        <w:spacing w:line="360" w:lineRule="auto"/>
        <w:ind w:firstLine="475" w:firstLineChars="198"/>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2.订立地点：</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w:t>
      </w:r>
    </w:p>
    <w:p w14:paraId="71B475A1">
      <w:pPr>
        <w:pageBreakBefore w:val="0"/>
        <w:widowControl w:val="0"/>
        <w:wordWrap/>
        <w:overflowPunct/>
        <w:topLinePunct w:val="0"/>
        <w:autoSpaceDE/>
        <w:autoSpaceDN/>
        <w:bidi w:val="0"/>
        <w:spacing w:line="360" w:lineRule="auto"/>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3.本合同一式</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u w:val="single"/>
          <w:lang w:val="en-US" w:eastAsia="zh-CN"/>
        </w:rPr>
        <w:t xml:space="preserve"> </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份，具有同等法律效力，双方各执</w:t>
      </w:r>
      <w:r>
        <w:rPr>
          <w:rFonts w:hint="eastAsia" w:ascii="宋体" w:hAnsi="宋体" w:eastAsia="宋体" w:cs="宋体"/>
          <w:kern w:val="2"/>
          <w:sz w:val="24"/>
          <w:szCs w:val="24"/>
          <w:highlight w:val="none"/>
          <w:u w:val="single"/>
        </w:rPr>
        <w:t xml:space="preserve">   </w:t>
      </w:r>
      <w:r>
        <w:rPr>
          <w:rFonts w:hint="eastAsia" w:ascii="宋体" w:hAnsi="宋体" w:eastAsia="宋体" w:cs="宋体"/>
          <w:kern w:val="2"/>
          <w:sz w:val="24"/>
          <w:szCs w:val="24"/>
          <w:highlight w:val="none"/>
        </w:rPr>
        <w:t>份，</w:t>
      </w:r>
      <w:r>
        <w:rPr>
          <w:rFonts w:hint="eastAsia" w:ascii="宋体" w:hAnsi="宋体" w:eastAsia="宋体" w:cs="宋体"/>
          <w:kern w:val="2"/>
          <w:sz w:val="24"/>
          <w:szCs w:val="24"/>
          <w:highlight w:val="none"/>
          <w:lang w:val="en-US" w:eastAsia="zh-CN"/>
        </w:rPr>
        <w:t>双</w:t>
      </w:r>
      <w:r>
        <w:rPr>
          <w:rFonts w:hint="eastAsia" w:ascii="宋体" w:hAnsi="宋体" w:eastAsia="宋体" w:cs="宋体"/>
          <w:kern w:val="2"/>
          <w:sz w:val="24"/>
          <w:szCs w:val="24"/>
          <w:highlight w:val="none"/>
        </w:rPr>
        <w:t>方签字盖章后生效，</w:t>
      </w:r>
      <w:r>
        <w:rPr>
          <w:rFonts w:hint="eastAsia" w:ascii="宋体" w:hAnsi="宋体" w:eastAsia="宋体" w:cs="宋体"/>
          <w:color w:val="auto"/>
          <w:kern w:val="2"/>
          <w:sz w:val="24"/>
          <w:szCs w:val="24"/>
          <w:highlight w:val="none"/>
          <w:lang w:eastAsia="zh-CN"/>
        </w:rPr>
        <w:t>未尽事宜，双方协商解决。</w:t>
      </w:r>
    </w:p>
    <w:p w14:paraId="3AB6F470">
      <w:pPr>
        <w:widowControl w:val="0"/>
        <w:spacing w:line="360" w:lineRule="auto"/>
        <w:ind w:firstLine="480" w:firstLineChars="200"/>
        <w:jc w:val="both"/>
        <w:rPr>
          <w:rFonts w:hint="eastAsia" w:ascii="宋体" w:hAnsi="宋体" w:eastAsia="宋体" w:cs="宋体"/>
          <w:kern w:val="2"/>
          <w:sz w:val="24"/>
          <w:szCs w:val="24"/>
          <w:lang w:val="en-US" w:eastAsia="zh-CN" w:bidi="ar-SA"/>
        </w:rPr>
      </w:pPr>
    </w:p>
    <w:p w14:paraId="7EE63E05">
      <w:pPr>
        <w:pStyle w:val="100"/>
        <w:spacing w:line="460" w:lineRule="exact"/>
        <w:ind w:left="547" w:leftChars="228"/>
        <w:rPr>
          <w:rFonts w:hint="eastAsia" w:ascii="宋体" w:hAnsi="宋体" w:eastAsia="宋体" w:cs="宋体"/>
          <w:sz w:val="24"/>
          <w:szCs w:val="24"/>
          <w:lang w:eastAsia="zh-CN"/>
        </w:rPr>
      </w:pPr>
    </w:p>
    <w:p w14:paraId="03F4CB3A">
      <w:pPr>
        <w:spacing w:line="360" w:lineRule="auto"/>
        <w:ind w:firstLine="567"/>
        <w:rPr>
          <w:rFonts w:hint="eastAsia" w:ascii="宋体" w:hAnsi="宋体" w:eastAsia="宋体" w:cs="宋体"/>
        </w:rPr>
      </w:pPr>
    </w:p>
    <w:p w14:paraId="1B2A01D3">
      <w:pPr>
        <w:spacing w:line="360" w:lineRule="auto"/>
        <w:ind w:firstLine="480" w:firstLineChars="200"/>
        <w:rPr>
          <w:rFonts w:hint="eastAsia" w:ascii="宋体" w:hAnsi="宋体" w:eastAsia="宋体" w:cs="宋体"/>
          <w:b/>
        </w:rPr>
      </w:pPr>
      <w:r>
        <w:rPr>
          <w:rFonts w:hint="eastAsia" w:ascii="宋体" w:hAnsi="宋体" w:eastAsia="宋体" w:cs="宋体"/>
          <w:b/>
        </w:rPr>
        <w:t>（以下无正文）</w:t>
      </w:r>
    </w:p>
    <w:p w14:paraId="6B9CDC11">
      <w:pPr>
        <w:spacing w:line="360" w:lineRule="auto"/>
        <w:ind w:firstLine="480" w:firstLineChars="200"/>
        <w:rPr>
          <w:rFonts w:hint="eastAsia" w:ascii="宋体" w:hAnsi="宋体" w:eastAsia="宋体" w:cs="宋体"/>
          <w:b/>
        </w:rPr>
      </w:pPr>
    </w:p>
    <w:p w14:paraId="3447BAEE">
      <w:pPr>
        <w:pStyle w:val="19"/>
        <w:rPr>
          <w:rFonts w:hint="eastAsia" w:ascii="宋体" w:hAnsi="宋体" w:eastAsia="宋体" w:cs="宋体"/>
          <w:b/>
        </w:rPr>
      </w:pPr>
    </w:p>
    <w:p w14:paraId="3080E74E">
      <w:pPr>
        <w:pStyle w:val="19"/>
        <w:rPr>
          <w:rFonts w:hint="eastAsia" w:ascii="宋体" w:hAnsi="宋体" w:eastAsia="宋体" w:cs="宋体"/>
          <w:b/>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5"/>
        <w:gridCol w:w="2265"/>
        <w:gridCol w:w="2265"/>
        <w:gridCol w:w="2265"/>
      </w:tblGrid>
      <w:tr w14:paraId="5ED8F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54D2FE87">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甲方（盖章）：</w:t>
            </w:r>
          </w:p>
        </w:tc>
        <w:tc>
          <w:tcPr>
            <w:tcW w:w="2265" w:type="dxa"/>
          </w:tcPr>
          <w:p w14:paraId="6E20CFA4">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c>
          <w:tcPr>
            <w:tcW w:w="2265" w:type="dxa"/>
          </w:tcPr>
          <w:p w14:paraId="74FD6124">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乙方（盖章）：</w:t>
            </w:r>
          </w:p>
        </w:tc>
        <w:tc>
          <w:tcPr>
            <w:tcW w:w="2265" w:type="dxa"/>
          </w:tcPr>
          <w:p w14:paraId="1FE9A2A4">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r>
      <w:tr w14:paraId="5D55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234A0B4A">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法定代表人（委托代理人）：</w:t>
            </w:r>
          </w:p>
        </w:tc>
        <w:tc>
          <w:tcPr>
            <w:tcW w:w="2265" w:type="dxa"/>
          </w:tcPr>
          <w:p w14:paraId="2570C82A">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c>
          <w:tcPr>
            <w:tcW w:w="2265" w:type="dxa"/>
          </w:tcPr>
          <w:p w14:paraId="60132A54">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法定代表人（委托代理人）：</w:t>
            </w:r>
          </w:p>
        </w:tc>
        <w:tc>
          <w:tcPr>
            <w:tcW w:w="2265" w:type="dxa"/>
          </w:tcPr>
          <w:p w14:paraId="3C7B0AFC">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r>
      <w:tr w14:paraId="41E4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0C1CFDEA">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地　　址：</w:t>
            </w:r>
          </w:p>
        </w:tc>
        <w:tc>
          <w:tcPr>
            <w:tcW w:w="2265" w:type="dxa"/>
          </w:tcPr>
          <w:p w14:paraId="6BDE904C">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c>
          <w:tcPr>
            <w:tcW w:w="2265" w:type="dxa"/>
          </w:tcPr>
          <w:p w14:paraId="1C679DBD">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地　　址：</w:t>
            </w:r>
          </w:p>
        </w:tc>
        <w:tc>
          <w:tcPr>
            <w:tcW w:w="2265" w:type="dxa"/>
          </w:tcPr>
          <w:p w14:paraId="3DDC355A">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r>
      <w:tr w14:paraId="18C82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71DE3747">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开户银行：</w:t>
            </w:r>
          </w:p>
        </w:tc>
        <w:tc>
          <w:tcPr>
            <w:tcW w:w="2265" w:type="dxa"/>
          </w:tcPr>
          <w:p w14:paraId="6122A40C">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c>
          <w:tcPr>
            <w:tcW w:w="2265" w:type="dxa"/>
          </w:tcPr>
          <w:p w14:paraId="20608158">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开户银行：</w:t>
            </w:r>
          </w:p>
        </w:tc>
        <w:tc>
          <w:tcPr>
            <w:tcW w:w="2265" w:type="dxa"/>
          </w:tcPr>
          <w:p w14:paraId="7B8A5C9D">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r>
      <w:tr w14:paraId="29AEE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3DE7729C">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银行</w:t>
            </w:r>
            <w:r>
              <w:rPr>
                <w:rFonts w:hint="eastAsia" w:ascii="宋体" w:hAnsi="宋体" w:eastAsia="宋体" w:cs="宋体"/>
                <w:lang w:eastAsia="zh-CN"/>
              </w:rPr>
              <w:t>账号</w:t>
            </w:r>
            <w:r>
              <w:rPr>
                <w:rFonts w:hint="eastAsia" w:ascii="宋体" w:hAnsi="宋体" w:eastAsia="宋体" w:cs="宋体"/>
              </w:rPr>
              <w:t>：</w:t>
            </w:r>
          </w:p>
        </w:tc>
        <w:tc>
          <w:tcPr>
            <w:tcW w:w="2265" w:type="dxa"/>
          </w:tcPr>
          <w:p w14:paraId="7DF9A8C8">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c>
          <w:tcPr>
            <w:tcW w:w="2265" w:type="dxa"/>
          </w:tcPr>
          <w:p w14:paraId="66F9D7E6">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银行</w:t>
            </w:r>
            <w:r>
              <w:rPr>
                <w:rFonts w:hint="eastAsia" w:ascii="宋体" w:hAnsi="宋体" w:eastAsia="宋体" w:cs="宋体"/>
                <w:lang w:eastAsia="zh-CN"/>
              </w:rPr>
              <w:t>账号</w:t>
            </w:r>
            <w:r>
              <w:rPr>
                <w:rFonts w:hint="eastAsia" w:ascii="宋体" w:hAnsi="宋体" w:eastAsia="宋体" w:cs="宋体"/>
              </w:rPr>
              <w:t>：</w:t>
            </w:r>
          </w:p>
        </w:tc>
        <w:tc>
          <w:tcPr>
            <w:tcW w:w="2265" w:type="dxa"/>
          </w:tcPr>
          <w:p w14:paraId="29B437FD">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r>
      <w:tr w14:paraId="48A4E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665A73C2">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电　　话：</w:t>
            </w:r>
          </w:p>
        </w:tc>
        <w:tc>
          <w:tcPr>
            <w:tcW w:w="2265" w:type="dxa"/>
          </w:tcPr>
          <w:p w14:paraId="46E7E575">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c>
          <w:tcPr>
            <w:tcW w:w="2265" w:type="dxa"/>
          </w:tcPr>
          <w:p w14:paraId="1B7D045E">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电　　话：</w:t>
            </w:r>
          </w:p>
        </w:tc>
        <w:tc>
          <w:tcPr>
            <w:tcW w:w="2265" w:type="dxa"/>
          </w:tcPr>
          <w:p w14:paraId="765D96D8">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r>
      <w:tr w14:paraId="01B6D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52AE3A05">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传　　真：</w:t>
            </w:r>
          </w:p>
        </w:tc>
        <w:tc>
          <w:tcPr>
            <w:tcW w:w="2265" w:type="dxa"/>
          </w:tcPr>
          <w:p w14:paraId="285B1B62">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c>
          <w:tcPr>
            <w:tcW w:w="2265" w:type="dxa"/>
          </w:tcPr>
          <w:p w14:paraId="7C5EC83F">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传　　真：</w:t>
            </w:r>
          </w:p>
        </w:tc>
        <w:tc>
          <w:tcPr>
            <w:tcW w:w="2265" w:type="dxa"/>
          </w:tcPr>
          <w:p w14:paraId="05F9AD6D">
            <w:pPr>
              <w:keepNext w:val="0"/>
              <w:keepLines w:val="0"/>
              <w:widowControl/>
              <w:suppressLineNumbers w:val="0"/>
              <w:spacing w:before="0" w:beforeAutospacing="0" w:after="0" w:afterAutospacing="0" w:line="360" w:lineRule="auto"/>
              <w:ind w:left="0" w:right="0"/>
              <w:rPr>
                <w:rFonts w:hint="eastAsia" w:ascii="宋体" w:hAnsi="宋体" w:eastAsia="宋体" w:cs="宋体"/>
              </w:rPr>
            </w:pPr>
          </w:p>
        </w:tc>
      </w:tr>
      <w:tr w14:paraId="07823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5" w:type="dxa"/>
          </w:tcPr>
          <w:p w14:paraId="387614D4">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签约日期：</w:t>
            </w:r>
          </w:p>
        </w:tc>
        <w:tc>
          <w:tcPr>
            <w:tcW w:w="2265" w:type="dxa"/>
          </w:tcPr>
          <w:p w14:paraId="7FA1E4A9">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p>
        </w:tc>
        <w:tc>
          <w:tcPr>
            <w:tcW w:w="2265" w:type="dxa"/>
          </w:tcPr>
          <w:p w14:paraId="11218207">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签约日期：</w:t>
            </w:r>
          </w:p>
        </w:tc>
        <w:tc>
          <w:tcPr>
            <w:tcW w:w="2265" w:type="dxa"/>
          </w:tcPr>
          <w:p w14:paraId="7D852FA2">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p>
        </w:tc>
      </w:tr>
    </w:tbl>
    <w:p w14:paraId="3D5DB54A">
      <w:pPr>
        <w:rPr>
          <w:rFonts w:hint="eastAsia" w:ascii="宋体" w:hAnsi="宋体" w:eastAsia="宋体" w:cs="宋体"/>
        </w:rPr>
      </w:pPr>
      <w:bookmarkStart w:id="12" w:name="_Toc100219616"/>
      <w:r>
        <w:rPr>
          <w:rFonts w:hint="eastAsia" w:ascii="宋体" w:hAnsi="宋体" w:eastAsia="宋体" w:cs="宋体"/>
        </w:rPr>
        <w:br w:type="page"/>
      </w:r>
    </w:p>
    <w:p w14:paraId="33AE0EDC">
      <w:pPr>
        <w:pStyle w:val="3"/>
        <w:spacing w:before="210" w:after="210" w:line="360" w:lineRule="auto"/>
        <w:rPr>
          <w:rFonts w:hint="eastAsia" w:ascii="宋体" w:hAnsi="宋体" w:eastAsia="宋体" w:cs="宋体"/>
        </w:rPr>
      </w:pPr>
      <w:r>
        <w:rPr>
          <w:rFonts w:hint="eastAsia" w:ascii="宋体" w:hAnsi="宋体" w:eastAsia="宋体" w:cs="宋体"/>
        </w:rPr>
        <w:t>第五章　投标文件构成及格式</w:t>
      </w:r>
      <w:bookmarkEnd w:id="12"/>
    </w:p>
    <w:p w14:paraId="1FB5C325">
      <w:pPr>
        <w:spacing w:line="360" w:lineRule="auto"/>
        <w:ind w:firstLine="251" w:firstLineChars="70"/>
        <w:jc w:val="right"/>
        <w:rPr>
          <w:rFonts w:hint="eastAsia" w:ascii="宋体" w:hAnsi="宋体" w:eastAsia="宋体" w:cs="宋体"/>
          <w:sz w:val="36"/>
          <w:szCs w:val="36"/>
        </w:rPr>
      </w:pPr>
    </w:p>
    <w:p w14:paraId="2B8759ED">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〈项目名称〉</w:t>
      </w:r>
    </w:p>
    <w:p w14:paraId="42FA6F5D">
      <w:pPr>
        <w:spacing w:line="360" w:lineRule="auto"/>
        <w:jc w:val="center"/>
        <w:rPr>
          <w:rFonts w:hint="eastAsia" w:ascii="宋体" w:hAnsi="宋体" w:eastAsia="宋体" w:cs="宋体"/>
          <w:b/>
          <w:color w:val="auto"/>
          <w:sz w:val="44"/>
          <w:szCs w:val="44"/>
        </w:rPr>
      </w:pPr>
    </w:p>
    <w:p w14:paraId="49CC991A">
      <w:pPr>
        <w:spacing w:line="360" w:lineRule="auto"/>
        <w:jc w:val="center"/>
        <w:rPr>
          <w:rFonts w:hint="eastAsia" w:ascii="宋体" w:hAnsi="宋体" w:eastAsia="宋体" w:cs="宋体"/>
          <w:b/>
          <w:color w:val="auto"/>
          <w:sz w:val="44"/>
          <w:szCs w:val="44"/>
        </w:rPr>
      </w:pPr>
    </w:p>
    <w:p w14:paraId="196079EA">
      <w:pPr>
        <w:spacing w:line="360" w:lineRule="auto"/>
        <w:jc w:val="center"/>
        <w:rPr>
          <w:rFonts w:hint="eastAsia" w:ascii="宋体" w:hAnsi="宋体" w:eastAsia="宋体" w:cs="宋体"/>
          <w:kern w:val="0"/>
          <w:sz w:val="96"/>
          <w:szCs w:val="96"/>
        </w:rPr>
      </w:pPr>
      <w:r>
        <w:rPr>
          <w:rFonts w:hint="eastAsia" w:ascii="宋体" w:hAnsi="宋体" w:eastAsia="宋体" w:cs="宋体"/>
          <w:color w:val="auto"/>
          <w:spacing w:val="323"/>
          <w:kern w:val="0"/>
          <w:sz w:val="96"/>
          <w:szCs w:val="96"/>
          <w:fitText w:val="5778" w:id="-1540037120"/>
        </w:rPr>
        <w:t>投标文</w:t>
      </w:r>
      <w:r>
        <w:rPr>
          <w:rFonts w:hint="eastAsia" w:ascii="宋体" w:hAnsi="宋体" w:eastAsia="宋体" w:cs="宋体"/>
          <w:spacing w:val="0"/>
          <w:kern w:val="0"/>
          <w:sz w:val="96"/>
          <w:szCs w:val="96"/>
          <w:fitText w:val="5778" w:id="-1540037120"/>
        </w:rPr>
        <w:t>件</w:t>
      </w:r>
    </w:p>
    <w:p w14:paraId="4160E3F0">
      <w:pPr>
        <w:spacing w:line="360" w:lineRule="auto"/>
        <w:jc w:val="center"/>
        <w:rPr>
          <w:rFonts w:hint="eastAsia" w:ascii="宋体" w:hAnsi="宋体" w:eastAsia="宋体" w:cs="宋体"/>
          <w:kern w:val="0"/>
          <w:sz w:val="96"/>
          <w:szCs w:val="96"/>
        </w:rPr>
      </w:pPr>
    </w:p>
    <w:p w14:paraId="1F5A39D3">
      <w:pPr>
        <w:spacing w:line="360" w:lineRule="auto"/>
        <w:ind w:left="0" w:leftChars="0" w:firstLine="2397" w:firstLineChars="666"/>
        <w:jc w:val="both"/>
        <w:rPr>
          <w:rFonts w:hint="eastAsia" w:ascii="宋体" w:hAnsi="宋体" w:eastAsia="宋体" w:cs="宋体"/>
          <w:sz w:val="36"/>
          <w:szCs w:val="36"/>
        </w:rPr>
      </w:pPr>
      <w:r>
        <w:rPr>
          <w:rFonts w:hint="eastAsia" w:ascii="宋体" w:hAnsi="宋体" w:eastAsia="宋体" w:cs="宋体"/>
          <w:sz w:val="36"/>
          <w:szCs w:val="36"/>
        </w:rPr>
        <w:t>项目编号：</w:t>
      </w:r>
      <w:r>
        <w:rPr>
          <w:rFonts w:hint="eastAsia" w:ascii="宋体" w:hAnsi="宋体" w:eastAsia="宋体" w:cs="宋体"/>
          <w:sz w:val="36"/>
          <w:szCs w:val="36"/>
          <w:lang w:val="en-US" w:eastAsia="zh-CN"/>
        </w:rPr>
        <w:t xml:space="preserve">            </w:t>
      </w:r>
    </w:p>
    <w:p w14:paraId="2926E6A7">
      <w:pPr>
        <w:pStyle w:val="2"/>
        <w:ind w:left="0" w:leftChars="0" w:firstLine="2397" w:firstLineChars="666"/>
        <w:jc w:val="both"/>
        <w:rPr>
          <w:rFonts w:hint="default" w:eastAsia="宋体"/>
          <w:lang w:val="en-US" w:eastAsia="zh-CN"/>
        </w:rPr>
      </w:pPr>
      <w:r>
        <w:rPr>
          <w:rFonts w:hint="eastAsia" w:ascii="宋体" w:hAnsi="宋体" w:eastAsia="宋体" w:cs="宋体"/>
          <w:color w:val="auto"/>
          <w:sz w:val="36"/>
          <w:szCs w:val="36"/>
          <w:lang w:val="en-US" w:eastAsia="zh-CN" w:bidi="ar-SA"/>
        </w:rPr>
        <w:t>包号：合同包1</w:t>
      </w:r>
    </w:p>
    <w:p w14:paraId="65493C7E">
      <w:pPr>
        <w:spacing w:line="360" w:lineRule="auto"/>
        <w:jc w:val="center"/>
        <w:rPr>
          <w:rFonts w:hint="eastAsia" w:ascii="宋体" w:hAnsi="宋体" w:eastAsia="宋体" w:cs="宋体"/>
          <w:sz w:val="36"/>
          <w:szCs w:val="36"/>
        </w:rPr>
      </w:pPr>
    </w:p>
    <w:p w14:paraId="7BC4B9F5">
      <w:pPr>
        <w:spacing w:line="360" w:lineRule="auto"/>
        <w:jc w:val="center"/>
        <w:rPr>
          <w:rFonts w:hint="eastAsia" w:ascii="宋体" w:hAnsi="宋体" w:eastAsia="宋体" w:cs="宋体"/>
          <w:sz w:val="36"/>
        </w:rPr>
      </w:pPr>
    </w:p>
    <w:p w14:paraId="04373719">
      <w:pPr>
        <w:spacing w:line="360" w:lineRule="auto"/>
        <w:jc w:val="center"/>
        <w:rPr>
          <w:rFonts w:hint="eastAsia" w:ascii="宋体" w:hAnsi="宋体" w:eastAsia="宋体" w:cs="宋体"/>
          <w:sz w:val="36"/>
        </w:rPr>
      </w:pPr>
    </w:p>
    <w:p w14:paraId="7C8A5799">
      <w:pPr>
        <w:spacing w:line="360" w:lineRule="auto"/>
        <w:jc w:val="center"/>
        <w:rPr>
          <w:rFonts w:hint="eastAsia" w:ascii="宋体" w:hAnsi="宋体" w:eastAsia="宋体" w:cs="宋体"/>
          <w:sz w:val="36"/>
        </w:rPr>
      </w:pPr>
    </w:p>
    <w:p w14:paraId="357226EC">
      <w:pPr>
        <w:spacing w:line="360" w:lineRule="auto"/>
        <w:ind w:firstLine="1684" w:firstLineChars="468"/>
        <w:rPr>
          <w:rFonts w:hint="eastAsia" w:ascii="宋体" w:hAnsi="宋体" w:eastAsia="宋体" w:cs="宋体"/>
          <w:sz w:val="36"/>
        </w:rPr>
      </w:pPr>
      <w:r>
        <w:rPr>
          <w:rFonts w:hint="eastAsia" w:ascii="宋体" w:hAnsi="宋体" w:eastAsia="宋体" w:cs="宋体"/>
          <w:sz w:val="36"/>
          <w:lang w:eastAsia="zh-CN"/>
        </w:rPr>
        <w:t>投标人</w:t>
      </w:r>
      <w:r>
        <w:rPr>
          <w:rFonts w:hint="eastAsia" w:ascii="宋体" w:hAnsi="宋体" w:eastAsia="宋体" w:cs="宋体"/>
          <w:sz w:val="36"/>
        </w:rPr>
        <w:t>：</w:t>
      </w:r>
      <w:r>
        <w:rPr>
          <w:rFonts w:hint="eastAsia" w:ascii="宋体" w:hAnsi="宋体" w:eastAsia="宋体" w:cs="宋体"/>
          <w:sz w:val="36"/>
          <w:u w:val="single"/>
        </w:rPr>
        <w:t>__________________</w:t>
      </w:r>
    </w:p>
    <w:p w14:paraId="7DE1830E">
      <w:pPr>
        <w:spacing w:line="360" w:lineRule="auto"/>
        <w:ind w:firstLine="1684" w:firstLineChars="468"/>
        <w:rPr>
          <w:rFonts w:hint="eastAsia" w:ascii="宋体" w:hAnsi="宋体" w:eastAsia="宋体" w:cs="宋体"/>
          <w:sz w:val="36"/>
          <w:u w:val="single"/>
        </w:rPr>
      </w:pPr>
      <w:r>
        <w:rPr>
          <w:rFonts w:hint="eastAsia" w:ascii="宋体" w:hAnsi="宋体" w:eastAsia="宋体" w:cs="宋体"/>
          <w:sz w:val="36"/>
        </w:rPr>
        <w:t>时　间：</w:t>
      </w:r>
      <w:r>
        <w:rPr>
          <w:rFonts w:hint="eastAsia" w:ascii="宋体" w:hAnsi="宋体" w:eastAsia="宋体" w:cs="宋体"/>
          <w:sz w:val="36"/>
          <w:u w:val="single"/>
        </w:rPr>
        <w:t>__________________</w:t>
      </w:r>
    </w:p>
    <w:p w14:paraId="2451E801">
      <w:pPr>
        <w:spacing w:line="360" w:lineRule="auto"/>
        <w:ind w:firstLine="200"/>
        <w:rPr>
          <w:rFonts w:hint="eastAsia" w:ascii="宋体" w:hAnsi="宋体" w:eastAsia="宋体" w:cs="宋体"/>
          <w:sz w:val="36"/>
          <w:szCs w:val="36"/>
        </w:rPr>
      </w:pPr>
      <w:r>
        <w:rPr>
          <w:rFonts w:hint="eastAsia" w:ascii="宋体" w:hAnsi="宋体" w:eastAsia="宋体" w:cs="宋体"/>
          <w:sz w:val="36"/>
        </w:rPr>
        <w:br w:type="page"/>
      </w:r>
    </w:p>
    <w:p w14:paraId="55FE6FBD">
      <w:pPr>
        <w:spacing w:line="360" w:lineRule="auto"/>
        <w:jc w:val="center"/>
        <w:rPr>
          <w:rFonts w:hint="eastAsia" w:ascii="宋体" w:hAnsi="宋体" w:eastAsia="宋体" w:cs="宋体"/>
          <w:sz w:val="30"/>
          <w:szCs w:val="30"/>
        </w:rPr>
      </w:pPr>
      <w:r>
        <w:rPr>
          <w:rFonts w:hint="eastAsia" w:ascii="宋体" w:hAnsi="宋体" w:eastAsia="宋体" w:cs="宋体"/>
          <w:sz w:val="36"/>
          <w:szCs w:val="36"/>
        </w:rPr>
        <w:t>目　　录</w:t>
      </w:r>
    </w:p>
    <w:p w14:paraId="3BDB7C61">
      <w:pPr>
        <w:spacing w:line="360" w:lineRule="auto"/>
        <w:jc w:val="center"/>
        <w:rPr>
          <w:rFonts w:hint="eastAsia" w:ascii="宋体" w:hAnsi="宋体" w:eastAsia="宋体" w:cs="宋体"/>
          <w:sz w:val="30"/>
          <w:szCs w:val="30"/>
        </w:rPr>
      </w:pPr>
    </w:p>
    <w:p w14:paraId="51D383ED">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第一部分　投标函</w:t>
      </w:r>
      <w:r>
        <w:rPr>
          <w:rFonts w:hint="eastAsia" w:ascii="宋体" w:hAnsi="宋体" w:eastAsia="宋体" w:cs="宋体"/>
          <w:sz w:val="28"/>
          <w:szCs w:val="28"/>
        </w:rPr>
        <w:tab/>
      </w:r>
      <w:r>
        <w:rPr>
          <w:rFonts w:hint="eastAsia" w:ascii="宋体" w:hAnsi="宋体" w:eastAsia="宋体" w:cs="宋体"/>
          <w:sz w:val="28"/>
          <w:szCs w:val="28"/>
        </w:rPr>
        <w:t>X</w:t>
      </w:r>
    </w:p>
    <w:p w14:paraId="787D5D5D">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第二部分　开标一览表</w:t>
      </w:r>
      <w:r>
        <w:rPr>
          <w:rFonts w:hint="eastAsia" w:ascii="宋体" w:hAnsi="宋体" w:eastAsia="宋体" w:cs="宋体"/>
          <w:sz w:val="28"/>
          <w:szCs w:val="28"/>
        </w:rPr>
        <w:tab/>
      </w:r>
      <w:r>
        <w:rPr>
          <w:rFonts w:hint="eastAsia" w:ascii="宋体" w:hAnsi="宋体" w:eastAsia="宋体" w:cs="宋体"/>
          <w:sz w:val="28"/>
          <w:szCs w:val="28"/>
        </w:rPr>
        <w:t>X</w:t>
      </w:r>
    </w:p>
    <w:p w14:paraId="4E6FF97A">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第三部分　资格证明文件</w:t>
      </w:r>
      <w:r>
        <w:rPr>
          <w:rFonts w:hint="eastAsia" w:ascii="宋体" w:hAnsi="宋体" w:eastAsia="宋体" w:cs="宋体"/>
          <w:sz w:val="28"/>
          <w:szCs w:val="28"/>
        </w:rPr>
        <w:tab/>
      </w:r>
      <w:r>
        <w:rPr>
          <w:rFonts w:hint="eastAsia" w:ascii="宋体" w:hAnsi="宋体" w:eastAsia="宋体" w:cs="宋体"/>
          <w:sz w:val="28"/>
          <w:szCs w:val="28"/>
        </w:rPr>
        <w:t>X</w:t>
      </w:r>
    </w:p>
    <w:p w14:paraId="41773275">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第四部分　</w:t>
      </w:r>
      <w:r>
        <w:rPr>
          <w:rFonts w:hint="eastAsia" w:ascii="宋体" w:hAnsi="宋体" w:eastAsia="宋体" w:cs="宋体"/>
          <w:sz w:val="28"/>
          <w:szCs w:val="28"/>
          <w:lang w:eastAsia="zh-CN"/>
        </w:rPr>
        <w:t>投标人</w:t>
      </w:r>
      <w:r>
        <w:rPr>
          <w:rFonts w:hint="eastAsia" w:ascii="宋体" w:hAnsi="宋体" w:eastAsia="宋体" w:cs="宋体"/>
          <w:sz w:val="28"/>
          <w:szCs w:val="28"/>
        </w:rPr>
        <w:t>概况</w:t>
      </w:r>
      <w:r>
        <w:rPr>
          <w:rFonts w:hint="eastAsia" w:ascii="宋体" w:hAnsi="宋体" w:eastAsia="宋体" w:cs="宋体"/>
          <w:sz w:val="28"/>
          <w:szCs w:val="28"/>
        </w:rPr>
        <w:tab/>
      </w:r>
      <w:r>
        <w:rPr>
          <w:rFonts w:hint="eastAsia" w:ascii="宋体" w:hAnsi="宋体" w:eastAsia="宋体" w:cs="宋体"/>
          <w:sz w:val="28"/>
          <w:szCs w:val="28"/>
        </w:rPr>
        <w:t>X</w:t>
      </w:r>
    </w:p>
    <w:p w14:paraId="056B26E9">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第五部分　</w:t>
      </w:r>
      <w:r>
        <w:rPr>
          <w:rFonts w:hint="eastAsia" w:ascii="宋体" w:hAnsi="宋体" w:eastAsia="宋体" w:cs="宋体"/>
          <w:sz w:val="28"/>
          <w:szCs w:val="28"/>
          <w:lang w:eastAsia="zh-CN"/>
        </w:rPr>
        <w:t>投标人</w:t>
      </w:r>
      <w:r>
        <w:rPr>
          <w:rFonts w:hint="eastAsia" w:ascii="宋体" w:hAnsi="宋体" w:eastAsia="宋体" w:cs="宋体"/>
          <w:sz w:val="28"/>
          <w:szCs w:val="28"/>
        </w:rPr>
        <w:t>参加政府采购活动承诺书</w:t>
      </w:r>
      <w:r>
        <w:rPr>
          <w:rFonts w:hint="eastAsia" w:ascii="宋体" w:hAnsi="宋体" w:eastAsia="宋体" w:cs="宋体"/>
          <w:sz w:val="28"/>
          <w:szCs w:val="28"/>
        </w:rPr>
        <w:tab/>
      </w:r>
      <w:r>
        <w:rPr>
          <w:rFonts w:hint="eastAsia" w:ascii="宋体" w:hAnsi="宋体" w:eastAsia="宋体" w:cs="宋体"/>
          <w:sz w:val="28"/>
          <w:szCs w:val="28"/>
        </w:rPr>
        <w:t>X</w:t>
      </w:r>
    </w:p>
    <w:p w14:paraId="2E3D0CFA">
      <w:pPr>
        <w:tabs>
          <w:tab w:val="right" w:leader="hyphen" w:pos="8504"/>
        </w:tabs>
        <w:spacing w:line="360" w:lineRule="auto"/>
        <w:ind w:left="1880" w:leftChars="200" w:right="720" w:rightChars="300" w:hanging="1400" w:hangingChars="500"/>
        <w:rPr>
          <w:rFonts w:hint="eastAsia" w:ascii="宋体" w:hAnsi="宋体" w:eastAsia="宋体" w:cs="宋体"/>
          <w:sz w:val="28"/>
          <w:szCs w:val="28"/>
        </w:rPr>
      </w:pPr>
      <w:r>
        <w:rPr>
          <w:rFonts w:hint="eastAsia" w:ascii="宋体" w:hAnsi="宋体" w:eastAsia="宋体" w:cs="宋体"/>
          <w:sz w:val="28"/>
          <w:szCs w:val="28"/>
        </w:rPr>
        <w:t>第六部分　投标方案</w:t>
      </w:r>
      <w:r>
        <w:rPr>
          <w:rFonts w:hint="eastAsia" w:ascii="宋体" w:hAnsi="宋体" w:eastAsia="宋体" w:cs="宋体"/>
          <w:sz w:val="28"/>
          <w:szCs w:val="28"/>
        </w:rPr>
        <w:tab/>
      </w:r>
      <w:r>
        <w:rPr>
          <w:rFonts w:hint="eastAsia" w:ascii="宋体" w:hAnsi="宋体" w:eastAsia="宋体" w:cs="宋体"/>
          <w:sz w:val="28"/>
          <w:szCs w:val="28"/>
        </w:rPr>
        <w:t>X</w:t>
      </w:r>
    </w:p>
    <w:p w14:paraId="3C877B08">
      <w:pPr>
        <w:tabs>
          <w:tab w:val="right" w:leader="hyphen" w:pos="8504"/>
        </w:tabs>
        <w:spacing w:line="360" w:lineRule="auto"/>
        <w:rPr>
          <w:rFonts w:hint="eastAsia" w:ascii="宋体" w:hAnsi="宋体" w:eastAsia="宋体" w:cs="宋体"/>
          <w:sz w:val="28"/>
          <w:szCs w:val="28"/>
        </w:rPr>
      </w:pPr>
    </w:p>
    <w:p w14:paraId="49109A95">
      <w:pPr>
        <w:rPr>
          <w:rFonts w:hint="eastAsia" w:ascii="宋体" w:hAnsi="宋体" w:eastAsia="宋体" w:cs="宋体"/>
        </w:rPr>
      </w:pPr>
      <w:r>
        <w:rPr>
          <w:rFonts w:hint="eastAsia" w:ascii="宋体" w:hAnsi="宋体" w:eastAsia="宋体" w:cs="宋体"/>
        </w:rPr>
        <w:br w:type="page"/>
      </w:r>
    </w:p>
    <w:p w14:paraId="546E3931">
      <w:pPr>
        <w:pStyle w:val="91"/>
        <w:spacing w:before="210" w:after="210" w:line="360" w:lineRule="auto"/>
        <w:rPr>
          <w:rFonts w:hint="eastAsia" w:ascii="宋体" w:hAnsi="宋体" w:eastAsia="宋体" w:cs="宋体"/>
          <w:color w:val="auto"/>
        </w:rPr>
      </w:pPr>
      <w:r>
        <w:rPr>
          <w:rFonts w:hint="eastAsia" w:ascii="宋体" w:hAnsi="宋体" w:eastAsia="宋体" w:cs="宋体"/>
        </w:rPr>
        <w:t>第</w:t>
      </w:r>
      <w:r>
        <w:rPr>
          <w:rFonts w:hint="eastAsia" w:ascii="宋体" w:hAnsi="宋体" w:eastAsia="宋体" w:cs="宋体"/>
          <w:color w:val="auto"/>
        </w:rPr>
        <w:t>一部分　投标函</w:t>
      </w:r>
    </w:p>
    <w:p w14:paraId="21EDE345">
      <w:pPr>
        <w:spacing w:line="360" w:lineRule="auto"/>
        <w:jc w:val="both"/>
        <w:rPr>
          <w:rFonts w:hint="default" w:ascii="宋体" w:hAnsi="宋体" w:eastAsia="宋体" w:cs="宋体"/>
          <w:color w:val="auto"/>
          <w:lang w:val="en-US" w:eastAsia="zh-CN"/>
        </w:rPr>
      </w:pPr>
      <w:r>
        <w:rPr>
          <w:rFonts w:hint="eastAsia" w:ascii="宋体" w:hAnsi="宋体" w:eastAsia="宋体" w:cs="宋体"/>
          <w:color w:val="auto"/>
          <w:lang w:val="en-US" w:eastAsia="zh-CN"/>
        </w:rPr>
        <w:t>致：陕西信鹏项目管理有限公司</w:t>
      </w:r>
    </w:p>
    <w:p w14:paraId="16F13D2D">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我方收到贵</w:t>
      </w:r>
      <w:r>
        <w:rPr>
          <w:rFonts w:hint="eastAsia" w:ascii="宋体" w:hAnsi="宋体" w:eastAsia="宋体" w:cs="宋体"/>
          <w:color w:val="auto"/>
          <w:lang w:val="en-US" w:eastAsia="zh-CN"/>
        </w:rPr>
        <w:t>公司</w:t>
      </w:r>
      <w:r>
        <w:rPr>
          <w:rFonts w:hint="eastAsia" w:ascii="宋体" w:hAnsi="宋体" w:eastAsia="宋体" w:cs="宋体"/>
          <w:color w:val="auto"/>
        </w:rPr>
        <w:t>发布的</w:t>
      </w:r>
      <w:r>
        <w:rPr>
          <w:rFonts w:hint="eastAsia" w:ascii="宋体" w:hAnsi="宋体" w:eastAsia="宋体" w:cs="宋体"/>
          <w:color w:val="auto"/>
          <w:u w:val="single"/>
        </w:rPr>
        <w:t>〈项目名称〉</w:t>
      </w:r>
      <w:r>
        <w:rPr>
          <w:rFonts w:hint="eastAsia" w:ascii="宋体" w:hAnsi="宋体" w:cs="宋体"/>
          <w:color w:val="auto"/>
          <w:u w:val="single"/>
          <w:lang w:eastAsia="zh-CN"/>
        </w:rPr>
        <w:t>〈</w:t>
      </w:r>
      <w:r>
        <w:rPr>
          <w:rFonts w:hint="eastAsia" w:ascii="宋体" w:hAnsi="宋体" w:cs="宋体"/>
          <w:color w:val="auto"/>
          <w:u w:val="single"/>
          <w:lang w:val="en-US" w:eastAsia="zh-CN"/>
        </w:rPr>
        <w:t>包号</w:t>
      </w:r>
      <w:r>
        <w:rPr>
          <w:rFonts w:hint="eastAsia" w:ascii="宋体" w:hAnsi="宋体" w:cs="宋体"/>
          <w:color w:val="auto"/>
          <w:u w:val="single"/>
          <w:lang w:eastAsia="zh-CN"/>
        </w:rPr>
        <w:t>〉</w:t>
      </w:r>
      <w:r>
        <w:rPr>
          <w:rFonts w:hint="eastAsia" w:ascii="宋体" w:hAnsi="宋体" w:cs="宋体"/>
          <w:color w:val="auto"/>
          <w:lang w:eastAsia="zh-CN"/>
        </w:rPr>
        <w:t>（</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）招标文件，经详细研究，我方决定参加该项目的招标活动。为此，我方郑重声明以下诸点，并负法律责任。</w:t>
      </w:r>
    </w:p>
    <w:p w14:paraId="0DB70DD4">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1．我方已详细阅读了招标文件，完全理解并同意招标文件的所有事项及内容。</w:t>
      </w:r>
    </w:p>
    <w:p w14:paraId="260ABC64">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2．我方已悉知并及时关注了贵</w:t>
      </w:r>
      <w:r>
        <w:rPr>
          <w:rFonts w:hint="eastAsia" w:ascii="宋体" w:hAnsi="宋体" w:eastAsia="宋体" w:cs="宋体"/>
          <w:color w:val="auto"/>
          <w:lang w:val="en-US" w:eastAsia="zh-CN"/>
        </w:rPr>
        <w:t>公司</w:t>
      </w:r>
      <w:r>
        <w:rPr>
          <w:rFonts w:hint="eastAsia" w:ascii="宋体" w:hAnsi="宋体" w:eastAsia="宋体" w:cs="宋体"/>
          <w:color w:val="auto"/>
        </w:rPr>
        <w:t>在陕西省政府采购网、全国公共资源交易平台（陕西省·西安市）上发布的关于本项目的有关变更公告（包括但不限于对招标文件做出的修改或澄清、答疑纪要，以及项目暂停、重启、延期、终止等）。</w:t>
      </w:r>
    </w:p>
    <w:p w14:paraId="08AF67A7">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3．我方同意向贵</w:t>
      </w:r>
      <w:r>
        <w:rPr>
          <w:rFonts w:hint="eastAsia" w:ascii="宋体" w:hAnsi="宋体" w:eastAsia="宋体" w:cs="宋体"/>
          <w:color w:val="auto"/>
          <w:lang w:val="en-US" w:eastAsia="zh-CN"/>
        </w:rPr>
        <w:t>公司</w:t>
      </w:r>
      <w:r>
        <w:rPr>
          <w:rFonts w:hint="eastAsia" w:ascii="宋体" w:hAnsi="宋体" w:eastAsia="宋体" w:cs="宋体"/>
          <w:color w:val="auto"/>
        </w:rPr>
        <w:t>提供与本次招标有关的全部证明材料，并保证所提交的证明材料真实、合法、有效。</w:t>
      </w:r>
    </w:p>
    <w:p w14:paraId="17558485">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4．我方理解最低价不是成交的唯一条件，并尊重评标委员会的评审结果。</w:t>
      </w:r>
    </w:p>
    <w:p w14:paraId="77F20978">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5．我方投标文件在开启之日起</w:t>
      </w:r>
      <w:r>
        <w:rPr>
          <w:rFonts w:hint="eastAsia" w:ascii="宋体" w:hAnsi="宋体" w:eastAsia="宋体" w:cs="宋体"/>
          <w:color w:val="auto"/>
          <w:u w:val="single"/>
          <w:lang w:val="en-US" w:eastAsia="zh-CN"/>
        </w:rPr>
        <w:t>90</w:t>
      </w:r>
      <w:r>
        <w:rPr>
          <w:rFonts w:hint="eastAsia" w:ascii="宋体" w:hAnsi="宋体" w:eastAsia="宋体" w:cs="宋体"/>
          <w:color w:val="auto"/>
        </w:rPr>
        <w:t>个日历日（应不少于90个日历日）内有效。</w:t>
      </w:r>
    </w:p>
    <w:p w14:paraId="0A1F81DB">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6．若我方成交，我方承诺：（1）将投标文件有</w:t>
      </w:r>
      <w:r>
        <w:rPr>
          <w:rFonts w:hint="eastAsia" w:ascii="宋体" w:hAnsi="宋体" w:eastAsia="宋体" w:cs="宋体"/>
          <w:color w:val="auto"/>
          <w:highlight w:val="none"/>
        </w:rPr>
        <w:t>效期延长至合同执行完毕；（2）收到成交通知书后提交纸质投标文件一正</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副</w:t>
      </w:r>
      <w:r>
        <w:rPr>
          <w:rFonts w:hint="eastAsia" w:ascii="宋体" w:hAnsi="宋体" w:eastAsia="宋体" w:cs="宋体"/>
          <w:color w:val="auto"/>
          <w:highlight w:val="none"/>
          <w:lang w:val="en-US" w:eastAsia="zh-CN"/>
        </w:rPr>
        <w:t>电子版文件两份</w:t>
      </w:r>
      <w:r>
        <w:rPr>
          <w:rFonts w:hint="eastAsia" w:ascii="宋体" w:hAnsi="宋体" w:eastAsia="宋体" w:cs="宋体"/>
          <w:color w:val="auto"/>
          <w:highlight w:val="none"/>
        </w:rPr>
        <w:t>，并按时交纳</w:t>
      </w:r>
      <w:r>
        <w:rPr>
          <w:rFonts w:hint="eastAsia" w:ascii="宋体" w:hAnsi="宋体" w:eastAsia="宋体" w:cs="宋体"/>
          <w:color w:val="auto"/>
          <w:highlight w:val="none"/>
          <w:lang w:val="en-US" w:eastAsia="zh-CN"/>
        </w:rPr>
        <w:t>招标代理服务费</w:t>
      </w:r>
      <w:r>
        <w:rPr>
          <w:rFonts w:hint="eastAsia" w:ascii="宋体" w:hAnsi="宋体" w:eastAsia="宋体" w:cs="宋体"/>
          <w:color w:val="auto"/>
          <w:highlight w:val="none"/>
        </w:rPr>
        <w:t>；（3）遵照招标文件中的要求，完成本项目的合同</w:t>
      </w:r>
      <w:r>
        <w:rPr>
          <w:rFonts w:hint="eastAsia" w:ascii="宋体" w:hAnsi="宋体" w:eastAsia="宋体" w:cs="宋体"/>
          <w:color w:val="auto"/>
        </w:rPr>
        <w:t>责任和义务。</w:t>
      </w:r>
    </w:p>
    <w:p w14:paraId="53B2CBCE">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7．所有关于此次招标活动的函电，请按下列方式联系：</w:t>
      </w:r>
    </w:p>
    <w:p w14:paraId="2132A804">
      <w:pPr>
        <w:spacing w:line="360" w:lineRule="auto"/>
        <w:ind w:firstLine="567"/>
        <w:jc w:val="both"/>
        <w:rPr>
          <w:rFonts w:hint="eastAsia" w:ascii="宋体" w:hAnsi="宋体" w:eastAsia="宋体" w:cs="宋体"/>
          <w:color w:val="auto"/>
        </w:rPr>
      </w:pPr>
      <w:r>
        <w:rPr>
          <w:rFonts w:hint="eastAsia" w:ascii="宋体" w:hAnsi="宋体" w:eastAsia="宋体" w:cs="宋体"/>
          <w:color w:val="auto"/>
          <w:spacing w:val="60"/>
          <w:kern w:val="0"/>
          <w:fitText w:val="960" w:id="-1539988992"/>
          <w:lang w:eastAsia="zh-CN"/>
        </w:rPr>
        <w:t>投标</w:t>
      </w:r>
      <w:r>
        <w:rPr>
          <w:rFonts w:hint="eastAsia" w:ascii="宋体" w:hAnsi="宋体" w:eastAsia="宋体" w:cs="宋体"/>
          <w:color w:val="auto"/>
          <w:spacing w:val="0"/>
          <w:kern w:val="0"/>
          <w:fitText w:val="960" w:id="-1539988992"/>
          <w:lang w:eastAsia="zh-CN"/>
        </w:rPr>
        <w:t>人</w:t>
      </w: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color w:val="auto"/>
        </w:rPr>
        <w:t>（</w:t>
      </w:r>
      <w:r>
        <w:rPr>
          <w:rFonts w:hint="eastAsia" w:ascii="宋体" w:hAnsi="宋体" w:eastAsia="宋体" w:cs="宋体"/>
          <w:color w:val="auto"/>
          <w:lang w:eastAsia="zh-CN"/>
        </w:rPr>
        <w:t>投标人</w:t>
      </w:r>
      <w:r>
        <w:rPr>
          <w:rFonts w:hint="eastAsia" w:ascii="宋体" w:hAnsi="宋体" w:eastAsia="宋体" w:cs="宋体"/>
          <w:color w:val="auto"/>
        </w:rPr>
        <w:t>全称并加盖公章）</w:t>
      </w:r>
    </w:p>
    <w:p w14:paraId="6B2A5E6A">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法定代表人（主要负责人）或委托代理人：</w:t>
      </w:r>
      <w:r>
        <w:rPr>
          <w:rFonts w:hint="eastAsia" w:ascii="宋体" w:hAnsi="宋体" w:eastAsia="宋体" w:cs="宋体"/>
          <w:color w:val="auto"/>
          <w:lang w:val="en-US" w:eastAsia="zh-CN"/>
        </w:rPr>
        <w:t xml:space="preserve">                   </w:t>
      </w:r>
      <w:r>
        <w:rPr>
          <w:rFonts w:hint="eastAsia" w:ascii="宋体" w:hAnsi="宋体" w:eastAsia="宋体" w:cs="宋体"/>
          <w:color w:val="auto"/>
        </w:rPr>
        <w:t>（签字或盖章）</w:t>
      </w:r>
    </w:p>
    <w:p w14:paraId="3F0DDD52">
      <w:pPr>
        <w:spacing w:line="360" w:lineRule="auto"/>
        <w:ind w:firstLine="567"/>
        <w:jc w:val="both"/>
        <w:rPr>
          <w:rFonts w:hint="eastAsia" w:ascii="宋体" w:hAnsi="宋体" w:eastAsia="宋体" w:cs="宋体"/>
          <w:color w:val="auto"/>
        </w:rPr>
      </w:pPr>
      <w:r>
        <w:rPr>
          <w:rFonts w:hint="eastAsia" w:ascii="宋体" w:hAnsi="宋体" w:eastAsia="宋体" w:cs="宋体"/>
          <w:color w:val="auto"/>
        </w:rPr>
        <w:t>联系电话：</w:t>
      </w:r>
    </w:p>
    <w:p w14:paraId="7DE1B129">
      <w:pPr>
        <w:spacing w:line="360" w:lineRule="auto"/>
        <w:ind w:firstLine="567"/>
        <w:jc w:val="both"/>
        <w:rPr>
          <w:rFonts w:hint="eastAsia" w:ascii="宋体" w:hAnsi="宋体" w:eastAsia="宋体" w:cs="宋体"/>
          <w:color w:val="000000"/>
        </w:rPr>
      </w:pPr>
      <w:r>
        <w:rPr>
          <w:rFonts w:hint="eastAsia" w:ascii="宋体" w:hAnsi="宋体" w:eastAsia="宋体" w:cs="宋体"/>
          <w:color w:val="000000"/>
        </w:rPr>
        <w:t>通讯地址：</w:t>
      </w:r>
    </w:p>
    <w:p w14:paraId="20E16A18">
      <w:pPr>
        <w:spacing w:line="360" w:lineRule="auto"/>
        <w:ind w:firstLine="567"/>
        <w:jc w:val="both"/>
        <w:rPr>
          <w:rFonts w:hint="eastAsia" w:ascii="宋体" w:hAnsi="宋体" w:eastAsia="宋体" w:cs="宋体"/>
          <w:color w:val="000000"/>
        </w:rPr>
      </w:pPr>
      <w:r>
        <w:rPr>
          <w:rFonts w:hint="eastAsia" w:ascii="宋体" w:hAnsi="宋体" w:eastAsia="宋体" w:cs="宋体"/>
          <w:color w:val="000000"/>
        </w:rPr>
        <w:t>邮　　编：</w:t>
      </w:r>
    </w:p>
    <w:p w14:paraId="2C90A597">
      <w:pPr>
        <w:spacing w:line="360" w:lineRule="auto"/>
        <w:ind w:firstLine="567"/>
        <w:jc w:val="both"/>
        <w:rPr>
          <w:rFonts w:hint="eastAsia" w:ascii="宋体" w:hAnsi="宋体" w:eastAsia="宋体" w:cs="宋体"/>
        </w:rPr>
      </w:pPr>
      <w:r>
        <w:rPr>
          <w:rFonts w:hint="eastAsia" w:ascii="宋体" w:hAnsi="宋体" w:eastAsia="宋体" w:cs="宋体"/>
        </w:rPr>
        <w:t>电子邮箱：</w:t>
      </w:r>
    </w:p>
    <w:p w14:paraId="1FA1B5BE">
      <w:pPr>
        <w:spacing w:line="360" w:lineRule="auto"/>
        <w:ind w:firstLine="567"/>
        <w:jc w:val="both"/>
        <w:rPr>
          <w:rFonts w:hint="eastAsia" w:ascii="宋体" w:hAnsi="宋体" w:eastAsia="宋体" w:cs="宋体"/>
        </w:rPr>
      </w:pPr>
      <w:r>
        <w:rPr>
          <w:rFonts w:hint="eastAsia" w:ascii="宋体" w:hAnsi="宋体" w:eastAsia="宋体" w:cs="宋体"/>
        </w:rPr>
        <w:t>日　　期：　　年　月　日</w:t>
      </w:r>
    </w:p>
    <w:p w14:paraId="50FD4AF2">
      <w:pPr>
        <w:spacing w:line="360" w:lineRule="auto"/>
        <w:jc w:val="both"/>
        <w:rPr>
          <w:rFonts w:hint="eastAsia" w:ascii="宋体" w:hAnsi="宋体" w:eastAsia="宋体" w:cs="宋体"/>
        </w:rPr>
      </w:pPr>
    </w:p>
    <w:p w14:paraId="2849D1B2">
      <w:pPr>
        <w:spacing w:line="360" w:lineRule="auto"/>
        <w:jc w:val="both"/>
        <w:rPr>
          <w:rFonts w:hint="eastAsia" w:ascii="宋体" w:hAnsi="宋体" w:eastAsia="宋体" w:cs="宋体"/>
        </w:rPr>
        <w:sectPr>
          <w:headerReference r:id="rId12" w:type="default"/>
          <w:pgSz w:w="11906" w:h="16838"/>
          <w:pgMar w:top="1418" w:right="1304" w:bottom="1418" w:left="1701"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p>
    <w:p w14:paraId="33704F49">
      <w:pPr>
        <w:pStyle w:val="91"/>
        <w:spacing w:before="210" w:after="210" w:line="360" w:lineRule="auto"/>
        <w:rPr>
          <w:rFonts w:hint="eastAsia" w:ascii="宋体" w:hAnsi="宋体" w:eastAsia="宋体" w:cs="宋体"/>
          <w:color w:val="auto"/>
        </w:rPr>
      </w:pPr>
      <w:r>
        <w:rPr>
          <w:rFonts w:hint="eastAsia" w:ascii="宋体" w:hAnsi="宋体" w:eastAsia="宋体" w:cs="宋体"/>
        </w:rPr>
        <w:t>第二部分　开标一览</w:t>
      </w:r>
      <w:r>
        <w:rPr>
          <w:rFonts w:hint="eastAsia" w:ascii="宋体" w:hAnsi="宋体" w:eastAsia="宋体" w:cs="宋体"/>
          <w:color w:val="auto"/>
        </w:rPr>
        <w:t>表</w:t>
      </w:r>
    </w:p>
    <w:tbl>
      <w:tblPr>
        <w:tblStyle w:val="32"/>
        <w:tblpPr w:leftFromText="180" w:rightFromText="180" w:vertAnchor="text" w:horzAnchor="page" w:tblpX="1618" w:tblpY="3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2334"/>
        <w:gridCol w:w="2519"/>
        <w:gridCol w:w="1967"/>
      </w:tblGrid>
      <w:tr w14:paraId="5243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151" w:type="dxa"/>
            <w:noWrap w:val="0"/>
            <w:vAlign w:val="center"/>
          </w:tcPr>
          <w:p w14:paraId="1321C4C2">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投标报价（元）</w:t>
            </w:r>
          </w:p>
        </w:tc>
        <w:tc>
          <w:tcPr>
            <w:tcW w:w="2334" w:type="dxa"/>
            <w:noWrap w:val="0"/>
            <w:vAlign w:val="center"/>
          </w:tcPr>
          <w:p w14:paraId="7BD270E2">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eastAsia="zh-CN"/>
              </w:rPr>
            </w:pPr>
            <w:r>
              <w:rPr>
                <w:rFonts w:hint="eastAsia" w:ascii="宋体" w:hAnsi="宋体" w:eastAsia="宋体" w:cs="宋体"/>
                <w:szCs w:val="24"/>
                <w:highlight w:val="none"/>
                <w:lang w:val="en-US" w:eastAsia="zh-CN"/>
              </w:rPr>
              <w:t>交货期（日历天）</w:t>
            </w:r>
          </w:p>
        </w:tc>
        <w:tc>
          <w:tcPr>
            <w:tcW w:w="2519" w:type="dxa"/>
            <w:noWrap w:val="0"/>
            <w:vAlign w:val="center"/>
          </w:tcPr>
          <w:p w14:paraId="02CF7B87">
            <w:pPr>
              <w:keepNext w:val="0"/>
              <w:keepLines w:val="0"/>
              <w:widowControl/>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质保期（年）</w:t>
            </w:r>
          </w:p>
        </w:tc>
        <w:tc>
          <w:tcPr>
            <w:tcW w:w="1967" w:type="dxa"/>
            <w:noWrap w:val="0"/>
            <w:vAlign w:val="center"/>
          </w:tcPr>
          <w:p w14:paraId="1353F586">
            <w:pPr>
              <w:keepNext w:val="0"/>
              <w:keepLines w:val="0"/>
              <w:widowControl/>
              <w:suppressLineNumbers w:val="0"/>
              <w:spacing w:before="0" w:beforeAutospacing="0" w:after="0" w:afterAutospacing="0"/>
              <w:ind w:left="0" w:right="0"/>
              <w:jc w:val="center"/>
              <w:rPr>
                <w:rFonts w:hint="eastAsia" w:ascii="宋体" w:hAnsi="宋体" w:eastAsia="宋体" w:cs="宋体"/>
                <w:szCs w:val="24"/>
              </w:rPr>
            </w:pPr>
            <w:r>
              <w:rPr>
                <w:rFonts w:hint="eastAsia" w:ascii="宋体" w:hAnsi="宋体" w:eastAsia="宋体" w:cs="宋体"/>
                <w:szCs w:val="24"/>
              </w:rPr>
              <w:t>备注</w:t>
            </w:r>
          </w:p>
        </w:tc>
      </w:tr>
      <w:tr w14:paraId="5F12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2151" w:type="dxa"/>
            <w:noWrap w:val="0"/>
            <w:vAlign w:val="center"/>
          </w:tcPr>
          <w:p w14:paraId="6B4B71E2">
            <w:pPr>
              <w:keepNext w:val="0"/>
              <w:keepLines w:val="0"/>
              <w:widowControl/>
              <w:suppressLineNumbers w:val="0"/>
              <w:spacing w:before="0" w:beforeAutospacing="0" w:after="0" w:afterAutospacing="0"/>
              <w:ind w:left="0" w:right="0"/>
              <w:jc w:val="center"/>
              <w:rPr>
                <w:rFonts w:hint="eastAsia" w:ascii="宋体" w:hAnsi="宋体" w:eastAsia="宋体" w:cs="宋体"/>
                <w:szCs w:val="24"/>
              </w:rPr>
            </w:pPr>
          </w:p>
        </w:tc>
        <w:tc>
          <w:tcPr>
            <w:tcW w:w="2334" w:type="dxa"/>
            <w:noWrap w:val="0"/>
            <w:vAlign w:val="center"/>
          </w:tcPr>
          <w:p w14:paraId="5A105E6E">
            <w:pPr>
              <w:keepNext w:val="0"/>
              <w:keepLines w:val="0"/>
              <w:widowControl/>
              <w:suppressLineNumbers w:val="0"/>
              <w:spacing w:before="0" w:beforeAutospacing="0" w:after="0" w:afterAutospacing="0"/>
              <w:ind w:left="0" w:right="0"/>
              <w:jc w:val="center"/>
              <w:rPr>
                <w:rFonts w:hint="eastAsia" w:ascii="宋体" w:hAnsi="宋体" w:eastAsia="宋体" w:cs="宋体"/>
                <w:szCs w:val="24"/>
              </w:rPr>
            </w:pPr>
          </w:p>
        </w:tc>
        <w:tc>
          <w:tcPr>
            <w:tcW w:w="2519" w:type="dxa"/>
            <w:noWrap w:val="0"/>
            <w:vAlign w:val="center"/>
          </w:tcPr>
          <w:p w14:paraId="2133AC8A">
            <w:pPr>
              <w:keepNext w:val="0"/>
              <w:keepLines w:val="0"/>
              <w:widowControl/>
              <w:suppressLineNumbers w:val="0"/>
              <w:spacing w:before="0" w:beforeAutospacing="0" w:after="0" w:afterAutospacing="0"/>
              <w:ind w:left="0" w:right="0"/>
              <w:jc w:val="center"/>
              <w:rPr>
                <w:rFonts w:hint="eastAsia" w:ascii="宋体" w:hAnsi="宋体" w:eastAsia="宋体" w:cs="宋体"/>
                <w:szCs w:val="24"/>
              </w:rPr>
            </w:pPr>
          </w:p>
        </w:tc>
        <w:tc>
          <w:tcPr>
            <w:tcW w:w="1967" w:type="dxa"/>
            <w:noWrap w:val="0"/>
            <w:vAlign w:val="center"/>
          </w:tcPr>
          <w:p w14:paraId="16606CBD">
            <w:pPr>
              <w:keepNext w:val="0"/>
              <w:keepLines w:val="0"/>
              <w:widowControl/>
              <w:suppressLineNumbers w:val="0"/>
              <w:spacing w:before="0" w:beforeAutospacing="0" w:after="0" w:afterAutospacing="0"/>
              <w:ind w:left="0" w:right="0"/>
              <w:jc w:val="center"/>
              <w:rPr>
                <w:rFonts w:hint="eastAsia" w:ascii="宋体" w:hAnsi="宋体" w:eastAsia="宋体" w:cs="宋体"/>
                <w:szCs w:val="24"/>
              </w:rPr>
            </w:pPr>
          </w:p>
        </w:tc>
      </w:tr>
      <w:tr w14:paraId="03DB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71" w:type="dxa"/>
            <w:gridSpan w:val="4"/>
            <w:noWrap w:val="0"/>
            <w:vAlign w:val="center"/>
          </w:tcPr>
          <w:p w14:paraId="73179160">
            <w:pPr>
              <w:keepNext w:val="0"/>
              <w:keepLines w:val="0"/>
              <w:widowControl/>
              <w:suppressLineNumbers w:val="0"/>
              <w:spacing w:before="0" w:beforeAutospacing="0" w:after="0" w:afterAutospacing="0"/>
              <w:ind w:left="0" w:right="0"/>
              <w:jc w:val="both"/>
              <w:rPr>
                <w:rFonts w:hint="eastAsia" w:ascii="宋体" w:hAnsi="宋体" w:eastAsia="宋体" w:cs="宋体"/>
                <w:szCs w:val="24"/>
              </w:rPr>
            </w:pPr>
            <w:r>
              <w:rPr>
                <w:rFonts w:hint="eastAsia" w:ascii="宋体" w:hAnsi="宋体" w:eastAsia="宋体" w:cs="宋体"/>
                <w:szCs w:val="24"/>
                <w:lang w:eastAsia="zh-CN"/>
              </w:rPr>
              <w:t>投标</w:t>
            </w:r>
            <w:r>
              <w:rPr>
                <w:rFonts w:hint="eastAsia" w:ascii="宋体" w:hAnsi="宋体" w:eastAsia="宋体" w:cs="宋体"/>
                <w:szCs w:val="24"/>
              </w:rPr>
              <w:t>报价（大写）</w:t>
            </w:r>
            <w:r>
              <w:rPr>
                <w:rFonts w:hint="eastAsia" w:ascii="宋体" w:hAnsi="宋体" w:eastAsia="宋体" w:cs="宋体"/>
                <w:szCs w:val="24"/>
                <w:lang w:eastAsia="zh-CN"/>
              </w:rPr>
              <w:t>：</w:t>
            </w:r>
            <w:r>
              <w:rPr>
                <w:rFonts w:hint="eastAsia" w:ascii="宋体" w:hAnsi="宋体" w:eastAsia="宋体" w:cs="宋体"/>
                <w:szCs w:val="24"/>
              </w:rPr>
              <w:t xml:space="preserve">                             （小写：￥       ）</w:t>
            </w:r>
          </w:p>
        </w:tc>
      </w:tr>
      <w:tr w14:paraId="30F9F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971" w:type="dxa"/>
            <w:gridSpan w:val="4"/>
            <w:noWrap w:val="0"/>
            <w:vAlign w:val="center"/>
          </w:tcPr>
          <w:p w14:paraId="78987C53">
            <w:pPr>
              <w:keepNext w:val="0"/>
              <w:keepLines w:val="0"/>
              <w:widowControl/>
              <w:suppressLineNumbers w:val="0"/>
              <w:spacing w:before="0" w:beforeAutospacing="0" w:after="0" w:afterAutospacing="0"/>
              <w:ind w:left="0" w:right="0"/>
              <w:jc w:val="left"/>
              <w:rPr>
                <w:rFonts w:hint="eastAsia" w:ascii="宋体" w:hAnsi="宋体" w:eastAsia="宋体" w:cs="宋体"/>
                <w:szCs w:val="24"/>
              </w:rPr>
            </w:pPr>
            <w:r>
              <w:rPr>
                <w:rFonts w:hint="eastAsia" w:ascii="宋体" w:hAnsi="宋体" w:eastAsia="宋体" w:cs="宋体"/>
                <w:szCs w:val="24"/>
              </w:rPr>
              <w:t>备注：表内报价内</w:t>
            </w:r>
            <w:r>
              <w:rPr>
                <w:rFonts w:hint="eastAsia" w:ascii="宋体" w:hAnsi="宋体" w:eastAsia="宋体" w:cs="宋体"/>
                <w:color w:val="auto"/>
                <w:szCs w:val="24"/>
              </w:rPr>
              <w:t>容以</w:t>
            </w:r>
            <w:r>
              <w:rPr>
                <w:rFonts w:hint="eastAsia" w:ascii="宋体" w:hAnsi="宋体" w:eastAsia="宋体" w:cs="宋体"/>
                <w:color w:val="auto"/>
                <w:szCs w:val="24"/>
                <w:highlight w:val="none"/>
              </w:rPr>
              <w:t>元</w:t>
            </w:r>
            <w:r>
              <w:rPr>
                <w:rFonts w:hint="eastAsia" w:ascii="宋体" w:hAnsi="宋体" w:eastAsia="宋体" w:cs="宋体"/>
                <w:color w:val="auto"/>
                <w:szCs w:val="24"/>
              </w:rPr>
              <w:t>为单位</w:t>
            </w:r>
            <w:r>
              <w:rPr>
                <w:rFonts w:hint="eastAsia" w:ascii="宋体" w:hAnsi="宋体" w:eastAsia="宋体" w:cs="宋体"/>
                <w:szCs w:val="24"/>
              </w:rPr>
              <w:t>，保留小数点后</w:t>
            </w:r>
            <w:r>
              <w:rPr>
                <w:rFonts w:hint="eastAsia" w:ascii="宋体" w:hAnsi="宋体" w:eastAsia="宋体" w:cs="宋体"/>
                <w:b/>
                <w:szCs w:val="24"/>
              </w:rPr>
              <w:t>两位</w:t>
            </w:r>
            <w:r>
              <w:rPr>
                <w:rFonts w:hint="eastAsia" w:ascii="宋体" w:hAnsi="宋体" w:eastAsia="宋体" w:cs="宋体"/>
                <w:szCs w:val="24"/>
              </w:rPr>
              <w:t>。</w:t>
            </w:r>
          </w:p>
        </w:tc>
      </w:tr>
    </w:tbl>
    <w:p w14:paraId="53147920">
      <w:pPr>
        <w:pStyle w:val="48"/>
        <w:wordWrap/>
        <w:spacing w:before="210" w:beforeLines="50" w:line="360" w:lineRule="auto"/>
        <w:rPr>
          <w:rFonts w:hint="eastAsia" w:ascii="宋体" w:hAnsi="宋体" w:eastAsia="宋体" w:cs="宋体"/>
          <w:color w:val="auto"/>
          <w:lang w:eastAsia="zh-CN"/>
        </w:rPr>
      </w:pPr>
    </w:p>
    <w:p w14:paraId="48A43B85">
      <w:pPr>
        <w:pStyle w:val="48"/>
        <w:wordWrap/>
        <w:spacing w:before="210" w:beforeLines="50" w:line="360" w:lineRule="auto"/>
        <w:rPr>
          <w:rFonts w:hint="eastAsia" w:ascii="宋体" w:hAnsi="宋体" w:eastAsia="宋体" w:cs="宋体"/>
          <w:color w:val="auto"/>
          <w:lang w:eastAsia="zh-CN"/>
        </w:rPr>
      </w:pPr>
    </w:p>
    <w:p w14:paraId="1CDF70B6">
      <w:pPr>
        <w:pStyle w:val="48"/>
        <w:wordWrap/>
        <w:spacing w:before="210" w:beforeLines="50" w:line="360" w:lineRule="auto"/>
        <w:rPr>
          <w:rFonts w:hint="eastAsia" w:ascii="宋体" w:hAnsi="宋体" w:eastAsia="宋体" w:cs="宋体"/>
          <w:color w:val="auto"/>
          <w:lang w:eastAsia="zh-CN"/>
        </w:rPr>
      </w:pPr>
      <w:r>
        <w:rPr>
          <w:rFonts w:hint="eastAsia" w:ascii="宋体" w:hAnsi="宋体" w:eastAsia="宋体" w:cs="宋体"/>
          <w:color w:val="auto"/>
          <w:lang w:eastAsia="zh-CN"/>
        </w:rPr>
        <w:t>投标人（公章）：</w:t>
      </w:r>
    </w:p>
    <w:p w14:paraId="0841E97F">
      <w:pPr>
        <w:pStyle w:val="48"/>
        <w:wordWrap/>
        <w:spacing w:before="210" w:beforeLines="50" w:line="360" w:lineRule="auto"/>
        <w:rPr>
          <w:rFonts w:hint="eastAsia" w:ascii="宋体" w:hAnsi="宋体" w:eastAsia="宋体" w:cs="宋体"/>
          <w:color w:val="auto"/>
          <w:lang w:eastAsia="zh-CN"/>
        </w:rPr>
      </w:pPr>
      <w:r>
        <w:rPr>
          <w:rFonts w:hint="eastAsia" w:ascii="宋体" w:hAnsi="宋体" w:eastAsia="宋体" w:cs="宋体"/>
          <w:color w:val="auto"/>
          <w:lang w:eastAsia="zh-CN"/>
        </w:rPr>
        <w:t>法定代表人/授权代表（签字或盖章）：</w:t>
      </w:r>
    </w:p>
    <w:p w14:paraId="4FF30BF8">
      <w:pPr>
        <w:pStyle w:val="48"/>
        <w:wordWrap/>
        <w:spacing w:before="210" w:beforeLines="50" w:line="360" w:lineRule="auto"/>
        <w:rPr>
          <w:rFonts w:hint="eastAsia" w:ascii="宋体" w:hAnsi="宋体" w:eastAsia="宋体" w:cs="宋体"/>
          <w:color w:val="auto"/>
          <w:lang w:eastAsia="zh-CN"/>
        </w:rPr>
      </w:pPr>
      <w:r>
        <w:rPr>
          <w:rFonts w:hint="eastAsia" w:ascii="宋体" w:hAnsi="宋体" w:eastAsia="宋体" w:cs="宋体"/>
          <w:color w:val="auto"/>
          <w:lang w:eastAsia="zh-CN"/>
        </w:rPr>
        <w:t>日    期：</w:t>
      </w:r>
    </w:p>
    <w:p w14:paraId="2188BF74">
      <w:pPr>
        <w:pStyle w:val="48"/>
        <w:wordWrap/>
        <w:spacing w:before="210" w:beforeLines="50" w:line="360" w:lineRule="auto"/>
        <w:rPr>
          <w:rFonts w:hint="eastAsia" w:ascii="宋体" w:hAnsi="宋体" w:eastAsia="宋体" w:cs="宋体"/>
          <w:color w:val="auto"/>
        </w:rPr>
      </w:pPr>
    </w:p>
    <w:p w14:paraId="6D911136">
      <w:pPr>
        <w:pStyle w:val="48"/>
        <w:wordWrap/>
        <w:spacing w:before="210" w:beforeLines="50" w:line="360" w:lineRule="auto"/>
        <w:rPr>
          <w:rFonts w:hint="eastAsia" w:ascii="宋体" w:hAnsi="宋体" w:eastAsia="宋体" w:cs="宋体"/>
          <w:color w:val="auto"/>
          <w:sz w:val="24"/>
          <w:szCs w:val="24"/>
        </w:rPr>
      </w:pPr>
    </w:p>
    <w:p w14:paraId="3670F4CD">
      <w:pPr>
        <w:pStyle w:val="89"/>
        <w:spacing w:line="360" w:lineRule="auto"/>
        <w:ind w:firstLine="480"/>
        <w:rPr>
          <w:rFonts w:hint="eastAsia" w:ascii="宋体" w:hAnsi="宋体" w:eastAsia="宋体" w:cs="宋体"/>
          <w:color w:val="auto"/>
        </w:rPr>
      </w:pPr>
    </w:p>
    <w:p w14:paraId="0E225CC2">
      <w:pPr>
        <w:spacing w:line="360" w:lineRule="auto"/>
        <w:rPr>
          <w:rFonts w:hint="eastAsia" w:ascii="宋体" w:hAnsi="宋体" w:eastAsia="宋体" w:cs="宋体"/>
          <w:color w:val="auto"/>
        </w:rPr>
      </w:pPr>
      <w:r>
        <w:rPr>
          <w:rFonts w:hint="eastAsia" w:ascii="宋体" w:hAnsi="宋体" w:eastAsia="宋体" w:cs="宋体"/>
          <w:color w:val="auto"/>
        </w:rPr>
        <w:br w:type="page"/>
      </w:r>
    </w:p>
    <w:p w14:paraId="2AD58D2A">
      <w:pPr>
        <w:pStyle w:val="48"/>
        <w:spacing w:before="60" w:after="60" w:line="360" w:lineRule="auto"/>
        <w:jc w:val="center"/>
        <w:rPr>
          <w:rFonts w:hint="eastAsia" w:ascii="宋体" w:hAnsi="宋体" w:eastAsia="宋体" w:cs="宋体"/>
          <w:color w:val="auto"/>
        </w:rPr>
      </w:pPr>
      <w:r>
        <w:rPr>
          <w:rFonts w:hint="eastAsia" w:ascii="宋体" w:hAnsi="宋体" w:eastAsia="宋体" w:cs="宋体"/>
          <w:color w:val="auto"/>
        </w:rPr>
        <w:t>分项报价表</w:t>
      </w:r>
    </w:p>
    <w:p w14:paraId="50E01F44">
      <w:pPr>
        <w:rPr>
          <w:rFonts w:hint="default"/>
          <w:lang w:val="en-US"/>
        </w:rPr>
      </w:pPr>
      <w:r>
        <w:rPr>
          <w:rFonts w:hint="eastAsia"/>
          <w:lang w:val="en-US" w:eastAsia="zh-CN"/>
        </w:rPr>
        <w:t>项目名称：                                      项目编号：      包号：</w:t>
      </w:r>
    </w:p>
    <w:tbl>
      <w:tblPr>
        <w:tblStyle w:val="32"/>
        <w:tblW w:w="977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20"/>
        <w:gridCol w:w="1297"/>
        <w:gridCol w:w="2514"/>
        <w:gridCol w:w="1036"/>
        <w:gridCol w:w="1036"/>
        <w:gridCol w:w="1037"/>
        <w:gridCol w:w="1134"/>
        <w:gridCol w:w="1002"/>
      </w:tblGrid>
      <w:tr w14:paraId="1E62FF6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720" w:type="dxa"/>
            <w:shd w:val="clear" w:color="auto" w:fill="F1F1F1" w:themeFill="background1" w:themeFillShade="F2"/>
            <w:noWrap/>
            <w:tcMar>
              <w:top w:w="20" w:type="dxa"/>
              <w:left w:w="20" w:type="dxa"/>
              <w:bottom w:w="0" w:type="dxa"/>
              <w:right w:w="20" w:type="dxa"/>
            </w:tcMar>
            <w:vAlign w:val="center"/>
          </w:tcPr>
          <w:p w14:paraId="3CFE44CE">
            <w:pPr>
              <w:keepNext w:val="0"/>
              <w:keepLines w:val="0"/>
              <w:widowControl/>
              <w:suppressLineNumbers w:val="0"/>
              <w:spacing w:before="0" w:beforeAutospacing="0" w:after="0" w:afterAutospacing="0" w:line="320" w:lineRule="exact"/>
              <w:ind w:left="0" w:right="0"/>
              <w:jc w:val="center"/>
              <w:rPr>
                <w:rFonts w:hint="default" w:asciiTheme="minorEastAsia" w:hAnsiTheme="minorEastAsia" w:cstheme="minorHAnsi"/>
                <w:b/>
              </w:rPr>
            </w:pPr>
            <w:r>
              <w:rPr>
                <w:rFonts w:hint="eastAsia" w:asciiTheme="minorEastAsia" w:hAnsiTheme="minorEastAsia" w:cstheme="minorHAnsi"/>
                <w:b/>
              </w:rPr>
              <w:t>一</w:t>
            </w:r>
          </w:p>
        </w:tc>
        <w:tc>
          <w:tcPr>
            <w:tcW w:w="9056" w:type="dxa"/>
            <w:gridSpan w:val="7"/>
            <w:shd w:val="clear" w:color="auto" w:fill="F1F1F1" w:themeFill="background1" w:themeFillShade="F2"/>
            <w:noWrap/>
            <w:tcMar>
              <w:top w:w="20" w:type="dxa"/>
              <w:left w:w="20" w:type="dxa"/>
              <w:bottom w:w="0" w:type="dxa"/>
              <w:right w:w="20" w:type="dxa"/>
            </w:tcMar>
            <w:vAlign w:val="center"/>
          </w:tcPr>
          <w:p w14:paraId="3AA6A93C">
            <w:pPr>
              <w:keepNext w:val="0"/>
              <w:keepLines w:val="0"/>
              <w:widowControl/>
              <w:suppressLineNumbers w:val="0"/>
              <w:spacing w:before="0" w:beforeAutospacing="0" w:after="0" w:afterAutospacing="0" w:line="320" w:lineRule="exact"/>
              <w:ind w:left="0" w:right="0"/>
              <w:jc w:val="center"/>
              <w:rPr>
                <w:rFonts w:hint="default" w:asciiTheme="minorEastAsia" w:hAnsiTheme="minorEastAsia" w:cstheme="minorHAnsi"/>
                <w:b/>
              </w:rPr>
            </w:pPr>
            <w:r>
              <w:rPr>
                <w:rFonts w:hint="default" w:asciiTheme="minorEastAsia" w:hAnsiTheme="minorEastAsia" w:cstheme="minorHAnsi"/>
                <w:b/>
              </w:rPr>
              <w:t>产品购置费</w:t>
            </w:r>
          </w:p>
        </w:tc>
      </w:tr>
      <w:tr w14:paraId="738CF1B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90" w:hRule="atLeast"/>
          <w:jc w:val="center"/>
        </w:trPr>
        <w:tc>
          <w:tcPr>
            <w:tcW w:w="720" w:type="dxa"/>
            <w:shd w:val="clear" w:color="auto" w:fill="auto"/>
            <w:noWrap/>
            <w:tcMar>
              <w:top w:w="20" w:type="dxa"/>
              <w:left w:w="20" w:type="dxa"/>
              <w:bottom w:w="0" w:type="dxa"/>
              <w:right w:w="20" w:type="dxa"/>
            </w:tcMar>
            <w:vAlign w:val="center"/>
          </w:tcPr>
          <w:p w14:paraId="1844F8A8">
            <w:pPr>
              <w:keepNext w:val="0"/>
              <w:keepLines w:val="0"/>
              <w:widowControl/>
              <w:suppressLineNumbers w:val="0"/>
              <w:spacing w:before="0" w:beforeAutospacing="0" w:after="0" w:afterAutospacing="0" w:line="320" w:lineRule="exact"/>
              <w:ind w:left="0" w:right="0"/>
              <w:jc w:val="center"/>
              <w:rPr>
                <w:rFonts w:hint="default" w:asciiTheme="minorEastAsia" w:hAnsiTheme="minorEastAsia" w:cstheme="minorHAnsi"/>
                <w:b/>
              </w:rPr>
            </w:pPr>
            <w:r>
              <w:rPr>
                <w:rFonts w:hint="default" w:asciiTheme="minorEastAsia" w:hAnsiTheme="minorEastAsia" w:cstheme="minorHAnsi"/>
                <w:b/>
              </w:rPr>
              <w:t>序号</w:t>
            </w:r>
          </w:p>
        </w:tc>
        <w:tc>
          <w:tcPr>
            <w:tcW w:w="1297" w:type="dxa"/>
            <w:shd w:val="clear" w:color="auto" w:fill="auto"/>
            <w:noWrap/>
            <w:tcMar>
              <w:top w:w="20" w:type="dxa"/>
              <w:left w:w="20" w:type="dxa"/>
              <w:bottom w:w="0" w:type="dxa"/>
              <w:right w:w="20" w:type="dxa"/>
            </w:tcMar>
            <w:vAlign w:val="center"/>
          </w:tcPr>
          <w:p w14:paraId="48E8C2F9">
            <w:pPr>
              <w:keepNext w:val="0"/>
              <w:keepLines w:val="0"/>
              <w:widowControl/>
              <w:suppressLineNumbers w:val="0"/>
              <w:spacing w:before="0" w:beforeAutospacing="0" w:after="0" w:afterAutospacing="0" w:line="320" w:lineRule="exact"/>
              <w:ind w:left="0" w:right="0"/>
              <w:jc w:val="center"/>
              <w:rPr>
                <w:rFonts w:hint="default" w:asciiTheme="minorEastAsia" w:hAnsiTheme="minorEastAsia" w:cstheme="minorHAnsi"/>
                <w:b/>
              </w:rPr>
            </w:pPr>
            <w:r>
              <w:rPr>
                <w:rFonts w:hint="default" w:asciiTheme="minorEastAsia" w:hAnsiTheme="minorEastAsia" w:cstheme="minorHAnsi"/>
                <w:b/>
              </w:rPr>
              <w:t>产品名称</w:t>
            </w:r>
          </w:p>
        </w:tc>
        <w:tc>
          <w:tcPr>
            <w:tcW w:w="2514" w:type="dxa"/>
            <w:shd w:val="clear" w:color="auto" w:fill="auto"/>
            <w:noWrap/>
            <w:tcMar>
              <w:top w:w="20" w:type="dxa"/>
              <w:left w:w="20" w:type="dxa"/>
              <w:bottom w:w="0" w:type="dxa"/>
              <w:right w:w="20" w:type="dxa"/>
            </w:tcMar>
            <w:vAlign w:val="center"/>
          </w:tcPr>
          <w:p w14:paraId="5A7B2F58">
            <w:pPr>
              <w:keepNext w:val="0"/>
              <w:keepLines w:val="0"/>
              <w:widowControl/>
              <w:suppressLineNumbers w:val="0"/>
              <w:spacing w:before="0" w:beforeAutospacing="0" w:after="0" w:afterAutospacing="0" w:line="320" w:lineRule="exact"/>
              <w:ind w:left="0" w:right="0"/>
              <w:jc w:val="center"/>
              <w:rPr>
                <w:rFonts w:hint="default" w:asciiTheme="minorEastAsia" w:hAnsiTheme="minorEastAsia" w:cstheme="minorHAnsi"/>
                <w:b/>
              </w:rPr>
            </w:pPr>
            <w:r>
              <w:rPr>
                <w:rFonts w:hint="default" w:asciiTheme="minorEastAsia" w:hAnsiTheme="minorEastAsia" w:cstheme="minorHAnsi"/>
                <w:b/>
              </w:rPr>
              <w:t>品牌及规格型号</w:t>
            </w:r>
          </w:p>
        </w:tc>
        <w:tc>
          <w:tcPr>
            <w:tcW w:w="1036" w:type="dxa"/>
            <w:shd w:val="clear" w:color="auto" w:fill="auto"/>
            <w:noWrap/>
            <w:tcMar>
              <w:top w:w="20" w:type="dxa"/>
              <w:left w:w="20" w:type="dxa"/>
              <w:bottom w:w="0" w:type="dxa"/>
              <w:right w:w="20" w:type="dxa"/>
            </w:tcMar>
            <w:vAlign w:val="center"/>
          </w:tcPr>
          <w:p w14:paraId="7F1C3163">
            <w:pPr>
              <w:keepNext w:val="0"/>
              <w:keepLines w:val="0"/>
              <w:widowControl/>
              <w:suppressLineNumbers w:val="0"/>
              <w:spacing w:before="0" w:beforeAutospacing="0" w:after="0" w:afterAutospacing="0" w:line="320" w:lineRule="exact"/>
              <w:ind w:left="0" w:right="0"/>
              <w:jc w:val="center"/>
              <w:rPr>
                <w:rFonts w:hint="default" w:asciiTheme="minorEastAsia" w:hAnsiTheme="minorEastAsia" w:cstheme="minorHAnsi"/>
                <w:b/>
              </w:rPr>
            </w:pPr>
            <w:r>
              <w:rPr>
                <w:rFonts w:hint="default" w:asciiTheme="minorEastAsia" w:hAnsiTheme="minorEastAsia" w:cstheme="minorHAnsi"/>
                <w:b/>
              </w:rPr>
              <w:t>生产厂家</w:t>
            </w:r>
          </w:p>
        </w:tc>
        <w:tc>
          <w:tcPr>
            <w:tcW w:w="1036" w:type="dxa"/>
            <w:shd w:val="clear" w:color="auto" w:fill="auto"/>
            <w:noWrap/>
            <w:tcMar>
              <w:top w:w="20" w:type="dxa"/>
              <w:left w:w="20" w:type="dxa"/>
              <w:bottom w:w="0" w:type="dxa"/>
              <w:right w:w="20" w:type="dxa"/>
            </w:tcMar>
            <w:vAlign w:val="center"/>
          </w:tcPr>
          <w:p w14:paraId="197957F2">
            <w:pPr>
              <w:keepNext w:val="0"/>
              <w:keepLines w:val="0"/>
              <w:widowControl/>
              <w:suppressLineNumbers w:val="0"/>
              <w:spacing w:before="0" w:beforeAutospacing="0" w:after="0" w:afterAutospacing="0" w:line="320" w:lineRule="exact"/>
              <w:ind w:left="0" w:right="0"/>
              <w:jc w:val="center"/>
              <w:rPr>
                <w:rFonts w:hint="default" w:asciiTheme="minorEastAsia" w:hAnsiTheme="minorEastAsia" w:cstheme="minorHAnsi"/>
                <w:b/>
              </w:rPr>
            </w:pPr>
            <w:r>
              <w:rPr>
                <w:rFonts w:hint="default" w:asciiTheme="minorEastAsia" w:hAnsiTheme="minorEastAsia" w:cstheme="minorHAnsi"/>
                <w:b/>
              </w:rPr>
              <w:t>是否小微企业产品</w:t>
            </w:r>
          </w:p>
        </w:tc>
        <w:tc>
          <w:tcPr>
            <w:tcW w:w="1037" w:type="dxa"/>
            <w:shd w:val="clear" w:color="auto" w:fill="auto"/>
            <w:noWrap/>
            <w:tcMar>
              <w:top w:w="20" w:type="dxa"/>
              <w:left w:w="20" w:type="dxa"/>
              <w:bottom w:w="0" w:type="dxa"/>
              <w:right w:w="20" w:type="dxa"/>
            </w:tcMar>
            <w:vAlign w:val="center"/>
          </w:tcPr>
          <w:p w14:paraId="0FD78053">
            <w:pPr>
              <w:keepNext w:val="0"/>
              <w:keepLines w:val="0"/>
              <w:widowControl/>
              <w:suppressLineNumbers w:val="0"/>
              <w:spacing w:before="0" w:beforeAutospacing="0" w:after="0" w:afterAutospacing="0" w:line="320" w:lineRule="exact"/>
              <w:ind w:left="0" w:right="0"/>
              <w:jc w:val="center"/>
              <w:rPr>
                <w:rFonts w:hint="default" w:asciiTheme="minorEastAsia" w:hAnsiTheme="minorEastAsia" w:cstheme="minorHAnsi"/>
                <w:b/>
              </w:rPr>
            </w:pPr>
            <w:r>
              <w:rPr>
                <w:rFonts w:hint="default" w:asciiTheme="minorEastAsia" w:hAnsiTheme="minorEastAsia" w:cstheme="minorHAnsi"/>
                <w:b/>
              </w:rPr>
              <w:t>数量</w:t>
            </w:r>
          </w:p>
        </w:tc>
        <w:tc>
          <w:tcPr>
            <w:tcW w:w="1134" w:type="dxa"/>
            <w:shd w:val="clear" w:color="auto" w:fill="auto"/>
            <w:noWrap/>
            <w:tcMar>
              <w:top w:w="20" w:type="dxa"/>
              <w:left w:w="20" w:type="dxa"/>
              <w:bottom w:w="0" w:type="dxa"/>
              <w:right w:w="20" w:type="dxa"/>
            </w:tcMar>
            <w:vAlign w:val="center"/>
          </w:tcPr>
          <w:p w14:paraId="0833884A">
            <w:pPr>
              <w:keepNext w:val="0"/>
              <w:keepLines w:val="0"/>
              <w:widowControl/>
              <w:suppressLineNumbers w:val="0"/>
              <w:spacing w:before="0" w:beforeAutospacing="0" w:after="0" w:afterAutospacing="0" w:line="320" w:lineRule="exact"/>
              <w:ind w:left="0" w:right="0"/>
              <w:jc w:val="center"/>
              <w:rPr>
                <w:rFonts w:hint="default" w:asciiTheme="minorEastAsia" w:hAnsiTheme="minorEastAsia" w:cstheme="minorHAnsi"/>
                <w:b/>
              </w:rPr>
            </w:pPr>
            <w:r>
              <w:rPr>
                <w:rFonts w:hint="default" w:asciiTheme="minorEastAsia" w:hAnsiTheme="minorEastAsia" w:cstheme="minorHAnsi"/>
                <w:b/>
              </w:rPr>
              <w:t>单价</w:t>
            </w:r>
          </w:p>
        </w:tc>
        <w:tc>
          <w:tcPr>
            <w:tcW w:w="1002" w:type="dxa"/>
            <w:shd w:val="clear" w:color="auto" w:fill="auto"/>
            <w:vAlign w:val="center"/>
          </w:tcPr>
          <w:p w14:paraId="69465E73">
            <w:pPr>
              <w:keepNext w:val="0"/>
              <w:keepLines w:val="0"/>
              <w:widowControl/>
              <w:suppressLineNumbers w:val="0"/>
              <w:spacing w:before="0" w:beforeAutospacing="0" w:after="0" w:afterAutospacing="0" w:line="320" w:lineRule="exact"/>
              <w:ind w:left="0" w:right="0"/>
              <w:jc w:val="center"/>
              <w:rPr>
                <w:rFonts w:hint="default" w:asciiTheme="minorEastAsia" w:hAnsiTheme="minorEastAsia" w:cstheme="minorHAnsi"/>
                <w:b/>
              </w:rPr>
            </w:pPr>
            <w:r>
              <w:rPr>
                <w:rFonts w:hint="default" w:asciiTheme="minorEastAsia" w:hAnsiTheme="minorEastAsia" w:cstheme="minorHAnsi"/>
                <w:b/>
              </w:rPr>
              <w:t>总价</w:t>
            </w:r>
          </w:p>
        </w:tc>
      </w:tr>
      <w:tr w14:paraId="081CD68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4D2CF4C0">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297" w:type="dxa"/>
            <w:noWrap/>
            <w:tcMar>
              <w:top w:w="20" w:type="dxa"/>
              <w:left w:w="20" w:type="dxa"/>
              <w:bottom w:w="0" w:type="dxa"/>
              <w:right w:w="20" w:type="dxa"/>
            </w:tcMar>
            <w:vAlign w:val="center"/>
          </w:tcPr>
          <w:p w14:paraId="28138DBD">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2514" w:type="dxa"/>
            <w:noWrap/>
            <w:tcMar>
              <w:top w:w="20" w:type="dxa"/>
              <w:left w:w="20" w:type="dxa"/>
              <w:bottom w:w="0" w:type="dxa"/>
              <w:right w:w="20" w:type="dxa"/>
            </w:tcMar>
            <w:vAlign w:val="center"/>
          </w:tcPr>
          <w:p w14:paraId="6C8DDA25">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6" w:type="dxa"/>
            <w:noWrap/>
            <w:tcMar>
              <w:top w:w="20" w:type="dxa"/>
              <w:left w:w="20" w:type="dxa"/>
              <w:bottom w:w="0" w:type="dxa"/>
              <w:right w:w="20" w:type="dxa"/>
            </w:tcMar>
            <w:vAlign w:val="center"/>
          </w:tcPr>
          <w:p w14:paraId="60CC74A6">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6" w:type="dxa"/>
            <w:noWrap/>
            <w:tcMar>
              <w:top w:w="20" w:type="dxa"/>
              <w:left w:w="20" w:type="dxa"/>
              <w:bottom w:w="0" w:type="dxa"/>
              <w:right w:w="20" w:type="dxa"/>
            </w:tcMar>
            <w:vAlign w:val="center"/>
          </w:tcPr>
          <w:p w14:paraId="6AD21978">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7" w:type="dxa"/>
            <w:noWrap/>
            <w:tcMar>
              <w:top w:w="20" w:type="dxa"/>
              <w:left w:w="20" w:type="dxa"/>
              <w:bottom w:w="0" w:type="dxa"/>
              <w:right w:w="20" w:type="dxa"/>
            </w:tcMar>
            <w:vAlign w:val="center"/>
          </w:tcPr>
          <w:p w14:paraId="62FC6C4D">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134" w:type="dxa"/>
            <w:noWrap/>
            <w:tcMar>
              <w:top w:w="20" w:type="dxa"/>
              <w:left w:w="20" w:type="dxa"/>
              <w:bottom w:w="0" w:type="dxa"/>
              <w:right w:w="20" w:type="dxa"/>
            </w:tcMar>
            <w:vAlign w:val="center"/>
          </w:tcPr>
          <w:p w14:paraId="7AA5EB3E">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02" w:type="dxa"/>
            <w:vAlign w:val="center"/>
          </w:tcPr>
          <w:p w14:paraId="5C1322F9">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r>
      <w:tr w14:paraId="369922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6C9E57E2">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297" w:type="dxa"/>
            <w:noWrap/>
            <w:tcMar>
              <w:top w:w="20" w:type="dxa"/>
              <w:left w:w="20" w:type="dxa"/>
              <w:bottom w:w="0" w:type="dxa"/>
              <w:right w:w="20" w:type="dxa"/>
            </w:tcMar>
            <w:vAlign w:val="center"/>
          </w:tcPr>
          <w:p w14:paraId="3597833D">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2514" w:type="dxa"/>
            <w:noWrap/>
            <w:tcMar>
              <w:top w:w="20" w:type="dxa"/>
              <w:left w:w="20" w:type="dxa"/>
              <w:bottom w:w="0" w:type="dxa"/>
              <w:right w:w="20" w:type="dxa"/>
            </w:tcMar>
            <w:vAlign w:val="center"/>
          </w:tcPr>
          <w:p w14:paraId="27508CE3">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6" w:type="dxa"/>
            <w:noWrap/>
            <w:tcMar>
              <w:top w:w="20" w:type="dxa"/>
              <w:left w:w="20" w:type="dxa"/>
              <w:bottom w:w="0" w:type="dxa"/>
              <w:right w:w="20" w:type="dxa"/>
            </w:tcMar>
            <w:vAlign w:val="center"/>
          </w:tcPr>
          <w:p w14:paraId="766E9170">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6" w:type="dxa"/>
            <w:noWrap/>
            <w:tcMar>
              <w:top w:w="20" w:type="dxa"/>
              <w:left w:w="20" w:type="dxa"/>
              <w:bottom w:w="0" w:type="dxa"/>
              <w:right w:w="20" w:type="dxa"/>
            </w:tcMar>
            <w:vAlign w:val="center"/>
          </w:tcPr>
          <w:p w14:paraId="45E61469">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7" w:type="dxa"/>
            <w:noWrap/>
            <w:tcMar>
              <w:top w:w="20" w:type="dxa"/>
              <w:left w:w="20" w:type="dxa"/>
              <w:bottom w:w="0" w:type="dxa"/>
              <w:right w:w="20" w:type="dxa"/>
            </w:tcMar>
            <w:vAlign w:val="center"/>
          </w:tcPr>
          <w:p w14:paraId="2DCDA491">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134" w:type="dxa"/>
            <w:noWrap/>
            <w:tcMar>
              <w:top w:w="20" w:type="dxa"/>
              <w:left w:w="20" w:type="dxa"/>
              <w:bottom w:w="0" w:type="dxa"/>
              <w:right w:w="20" w:type="dxa"/>
            </w:tcMar>
            <w:vAlign w:val="center"/>
          </w:tcPr>
          <w:p w14:paraId="51160CDD">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02" w:type="dxa"/>
            <w:vAlign w:val="center"/>
          </w:tcPr>
          <w:p w14:paraId="778D1E26">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r>
      <w:tr w14:paraId="6E0A65F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57FD1810">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297" w:type="dxa"/>
            <w:noWrap/>
            <w:tcMar>
              <w:top w:w="20" w:type="dxa"/>
              <w:left w:w="20" w:type="dxa"/>
              <w:bottom w:w="0" w:type="dxa"/>
              <w:right w:w="20" w:type="dxa"/>
            </w:tcMar>
            <w:vAlign w:val="center"/>
          </w:tcPr>
          <w:p w14:paraId="56357CB3">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2514" w:type="dxa"/>
            <w:noWrap/>
            <w:tcMar>
              <w:top w:w="20" w:type="dxa"/>
              <w:left w:w="20" w:type="dxa"/>
              <w:bottom w:w="0" w:type="dxa"/>
              <w:right w:w="20" w:type="dxa"/>
            </w:tcMar>
            <w:vAlign w:val="center"/>
          </w:tcPr>
          <w:p w14:paraId="25E6B8E6">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6" w:type="dxa"/>
            <w:noWrap/>
            <w:tcMar>
              <w:top w:w="20" w:type="dxa"/>
              <w:left w:w="20" w:type="dxa"/>
              <w:bottom w:w="0" w:type="dxa"/>
              <w:right w:w="20" w:type="dxa"/>
            </w:tcMar>
            <w:vAlign w:val="center"/>
          </w:tcPr>
          <w:p w14:paraId="7A93CB4D">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6" w:type="dxa"/>
            <w:noWrap/>
            <w:tcMar>
              <w:top w:w="20" w:type="dxa"/>
              <w:left w:w="20" w:type="dxa"/>
              <w:bottom w:w="0" w:type="dxa"/>
              <w:right w:w="20" w:type="dxa"/>
            </w:tcMar>
            <w:vAlign w:val="center"/>
          </w:tcPr>
          <w:p w14:paraId="7F0AA7E7">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7" w:type="dxa"/>
            <w:noWrap/>
            <w:tcMar>
              <w:top w:w="20" w:type="dxa"/>
              <w:left w:w="20" w:type="dxa"/>
              <w:bottom w:w="0" w:type="dxa"/>
              <w:right w:w="20" w:type="dxa"/>
            </w:tcMar>
            <w:vAlign w:val="center"/>
          </w:tcPr>
          <w:p w14:paraId="3A697B21">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134" w:type="dxa"/>
            <w:noWrap/>
            <w:tcMar>
              <w:top w:w="20" w:type="dxa"/>
              <w:left w:w="20" w:type="dxa"/>
              <w:bottom w:w="0" w:type="dxa"/>
              <w:right w:w="20" w:type="dxa"/>
            </w:tcMar>
            <w:vAlign w:val="center"/>
          </w:tcPr>
          <w:p w14:paraId="256B5ADB">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02" w:type="dxa"/>
            <w:vAlign w:val="center"/>
          </w:tcPr>
          <w:p w14:paraId="1DA10F11">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r>
      <w:tr w14:paraId="4BFBC6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shd w:val="clear" w:color="auto" w:fill="F1F1F1" w:themeFill="background1" w:themeFillShade="F2"/>
            <w:noWrap/>
            <w:tcMar>
              <w:top w:w="20" w:type="dxa"/>
              <w:left w:w="20" w:type="dxa"/>
              <w:bottom w:w="0" w:type="dxa"/>
              <w:right w:w="20" w:type="dxa"/>
            </w:tcMar>
            <w:vAlign w:val="center"/>
          </w:tcPr>
          <w:p w14:paraId="1A3085B0">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
                <w:bCs/>
              </w:rPr>
            </w:pPr>
            <w:r>
              <w:rPr>
                <w:rFonts w:hint="default" w:asciiTheme="minorEastAsia" w:hAnsiTheme="minorEastAsia" w:cstheme="minorHAnsi"/>
                <w:b/>
                <w:bCs/>
              </w:rPr>
              <w:t>二</w:t>
            </w:r>
          </w:p>
        </w:tc>
        <w:tc>
          <w:tcPr>
            <w:tcW w:w="9056" w:type="dxa"/>
            <w:gridSpan w:val="7"/>
            <w:shd w:val="clear" w:color="auto" w:fill="F1F1F1" w:themeFill="background1" w:themeFillShade="F2"/>
            <w:noWrap/>
            <w:tcMar>
              <w:top w:w="20" w:type="dxa"/>
              <w:left w:w="20" w:type="dxa"/>
              <w:bottom w:w="0" w:type="dxa"/>
              <w:right w:w="20" w:type="dxa"/>
            </w:tcMar>
            <w:vAlign w:val="center"/>
          </w:tcPr>
          <w:p w14:paraId="2A5DFE98">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
                <w:bCs/>
              </w:rPr>
            </w:pPr>
            <w:r>
              <w:rPr>
                <w:rFonts w:hint="default" w:asciiTheme="minorEastAsia" w:hAnsiTheme="minorEastAsia" w:cstheme="minorHAnsi"/>
                <w:b/>
                <w:bCs/>
              </w:rPr>
              <w:t>其他费用</w:t>
            </w:r>
          </w:p>
        </w:tc>
      </w:tr>
      <w:tr w14:paraId="38171F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41BB6859">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
                <w:bCs/>
              </w:rPr>
            </w:pPr>
            <w:r>
              <w:rPr>
                <w:rFonts w:hint="default" w:asciiTheme="minorEastAsia" w:hAnsiTheme="minorEastAsia" w:cstheme="minorHAnsi"/>
                <w:b/>
                <w:bCs/>
              </w:rPr>
              <w:t>序号</w:t>
            </w:r>
          </w:p>
        </w:tc>
        <w:tc>
          <w:tcPr>
            <w:tcW w:w="1297" w:type="dxa"/>
            <w:noWrap/>
            <w:tcMar>
              <w:top w:w="20" w:type="dxa"/>
              <w:left w:w="20" w:type="dxa"/>
              <w:bottom w:w="0" w:type="dxa"/>
              <w:right w:w="20" w:type="dxa"/>
            </w:tcMar>
            <w:vAlign w:val="center"/>
          </w:tcPr>
          <w:p w14:paraId="29D4CE20">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
                <w:bCs/>
              </w:rPr>
            </w:pPr>
            <w:r>
              <w:rPr>
                <w:rFonts w:hint="default" w:asciiTheme="minorEastAsia" w:hAnsiTheme="minorEastAsia" w:cstheme="minorHAnsi"/>
                <w:b/>
                <w:bCs/>
              </w:rPr>
              <w:t>费用名称</w:t>
            </w:r>
          </w:p>
        </w:tc>
        <w:tc>
          <w:tcPr>
            <w:tcW w:w="4586" w:type="dxa"/>
            <w:gridSpan w:val="3"/>
            <w:noWrap/>
            <w:tcMar>
              <w:top w:w="20" w:type="dxa"/>
              <w:left w:w="20" w:type="dxa"/>
              <w:bottom w:w="0" w:type="dxa"/>
              <w:right w:w="20" w:type="dxa"/>
            </w:tcMar>
            <w:vAlign w:val="center"/>
          </w:tcPr>
          <w:p w14:paraId="5550AB5F">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
                <w:bCs/>
              </w:rPr>
            </w:pPr>
            <w:r>
              <w:rPr>
                <w:rFonts w:hint="default" w:asciiTheme="minorEastAsia" w:hAnsiTheme="minorEastAsia" w:cstheme="minorHAnsi"/>
                <w:b/>
                <w:bCs/>
              </w:rPr>
              <w:t>费用描述</w:t>
            </w:r>
          </w:p>
        </w:tc>
        <w:tc>
          <w:tcPr>
            <w:tcW w:w="1037" w:type="dxa"/>
            <w:noWrap/>
            <w:tcMar>
              <w:top w:w="20" w:type="dxa"/>
              <w:left w:w="20" w:type="dxa"/>
              <w:bottom w:w="0" w:type="dxa"/>
              <w:right w:w="20" w:type="dxa"/>
            </w:tcMar>
            <w:vAlign w:val="center"/>
          </w:tcPr>
          <w:p w14:paraId="3B7DF6C0">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
                <w:bCs/>
              </w:rPr>
            </w:pPr>
            <w:r>
              <w:rPr>
                <w:rFonts w:hint="default" w:asciiTheme="minorEastAsia" w:hAnsiTheme="minorEastAsia" w:cstheme="minorHAnsi"/>
                <w:b/>
                <w:bCs/>
              </w:rPr>
              <w:t>数量</w:t>
            </w:r>
          </w:p>
        </w:tc>
        <w:tc>
          <w:tcPr>
            <w:tcW w:w="1134" w:type="dxa"/>
            <w:noWrap/>
            <w:tcMar>
              <w:top w:w="20" w:type="dxa"/>
              <w:left w:w="20" w:type="dxa"/>
              <w:bottom w:w="0" w:type="dxa"/>
              <w:right w:w="20" w:type="dxa"/>
            </w:tcMar>
            <w:vAlign w:val="center"/>
          </w:tcPr>
          <w:p w14:paraId="3BF538EC">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
                <w:bCs/>
              </w:rPr>
            </w:pPr>
            <w:r>
              <w:rPr>
                <w:rFonts w:hint="default" w:asciiTheme="minorEastAsia" w:hAnsiTheme="minorEastAsia" w:cstheme="minorHAnsi"/>
                <w:b/>
                <w:bCs/>
              </w:rPr>
              <w:t>单价</w:t>
            </w:r>
          </w:p>
        </w:tc>
        <w:tc>
          <w:tcPr>
            <w:tcW w:w="1002" w:type="dxa"/>
            <w:vAlign w:val="center"/>
          </w:tcPr>
          <w:p w14:paraId="07444B6F">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
                <w:bCs/>
              </w:rPr>
            </w:pPr>
            <w:r>
              <w:rPr>
                <w:rFonts w:hint="default" w:asciiTheme="minorEastAsia" w:hAnsiTheme="minorEastAsia" w:cstheme="minorHAnsi"/>
                <w:b/>
                <w:bCs/>
              </w:rPr>
              <w:t>总价</w:t>
            </w:r>
          </w:p>
        </w:tc>
      </w:tr>
      <w:tr w14:paraId="727733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14:paraId="7EBE2CBE">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297" w:type="dxa"/>
            <w:noWrap/>
            <w:tcMar>
              <w:top w:w="20" w:type="dxa"/>
              <w:left w:w="20" w:type="dxa"/>
              <w:bottom w:w="0" w:type="dxa"/>
              <w:right w:w="20" w:type="dxa"/>
            </w:tcMar>
            <w:vAlign w:val="center"/>
          </w:tcPr>
          <w:p w14:paraId="3AF49F10">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4586" w:type="dxa"/>
            <w:gridSpan w:val="3"/>
            <w:noWrap/>
            <w:tcMar>
              <w:top w:w="20" w:type="dxa"/>
              <w:left w:w="20" w:type="dxa"/>
              <w:bottom w:w="0" w:type="dxa"/>
              <w:right w:w="20" w:type="dxa"/>
            </w:tcMar>
            <w:vAlign w:val="center"/>
          </w:tcPr>
          <w:p w14:paraId="70DC4246">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7" w:type="dxa"/>
            <w:noWrap/>
            <w:tcMar>
              <w:top w:w="20" w:type="dxa"/>
              <w:left w:w="20" w:type="dxa"/>
              <w:bottom w:w="0" w:type="dxa"/>
              <w:right w:w="20" w:type="dxa"/>
            </w:tcMar>
            <w:vAlign w:val="center"/>
          </w:tcPr>
          <w:p w14:paraId="7AB4B1E3">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134" w:type="dxa"/>
            <w:noWrap/>
            <w:tcMar>
              <w:top w:w="20" w:type="dxa"/>
              <w:left w:w="20" w:type="dxa"/>
              <w:bottom w:w="0" w:type="dxa"/>
              <w:right w:w="20" w:type="dxa"/>
            </w:tcMar>
            <w:vAlign w:val="center"/>
          </w:tcPr>
          <w:p w14:paraId="40B54382">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02" w:type="dxa"/>
            <w:vAlign w:val="center"/>
          </w:tcPr>
          <w:p w14:paraId="621DF8FB">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r>
      <w:tr w14:paraId="7D3AB8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67" w:hRule="atLeast"/>
          <w:jc w:val="center"/>
        </w:trPr>
        <w:tc>
          <w:tcPr>
            <w:tcW w:w="720" w:type="dxa"/>
            <w:noWrap/>
            <w:tcMar>
              <w:top w:w="20" w:type="dxa"/>
              <w:left w:w="20" w:type="dxa"/>
              <w:bottom w:w="0" w:type="dxa"/>
              <w:right w:w="20" w:type="dxa"/>
            </w:tcMar>
            <w:vAlign w:val="center"/>
          </w:tcPr>
          <w:p w14:paraId="7DBF408C">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297" w:type="dxa"/>
            <w:noWrap/>
            <w:tcMar>
              <w:top w:w="20" w:type="dxa"/>
              <w:left w:w="20" w:type="dxa"/>
              <w:bottom w:w="0" w:type="dxa"/>
              <w:right w:w="20" w:type="dxa"/>
            </w:tcMar>
            <w:vAlign w:val="center"/>
          </w:tcPr>
          <w:p w14:paraId="7089F4D6">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4586" w:type="dxa"/>
            <w:gridSpan w:val="3"/>
            <w:noWrap/>
            <w:tcMar>
              <w:top w:w="20" w:type="dxa"/>
              <w:left w:w="20" w:type="dxa"/>
              <w:bottom w:w="0" w:type="dxa"/>
              <w:right w:w="20" w:type="dxa"/>
            </w:tcMar>
            <w:vAlign w:val="center"/>
          </w:tcPr>
          <w:p w14:paraId="42AE821D">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7" w:type="dxa"/>
            <w:noWrap/>
            <w:tcMar>
              <w:top w:w="20" w:type="dxa"/>
              <w:left w:w="20" w:type="dxa"/>
              <w:bottom w:w="0" w:type="dxa"/>
              <w:right w:w="20" w:type="dxa"/>
            </w:tcMar>
            <w:vAlign w:val="center"/>
          </w:tcPr>
          <w:p w14:paraId="24391F11">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134" w:type="dxa"/>
            <w:noWrap/>
            <w:tcMar>
              <w:top w:w="20" w:type="dxa"/>
              <w:left w:w="20" w:type="dxa"/>
              <w:bottom w:w="0" w:type="dxa"/>
              <w:right w:w="20" w:type="dxa"/>
            </w:tcMar>
            <w:vAlign w:val="center"/>
          </w:tcPr>
          <w:p w14:paraId="7FD69D4F">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02" w:type="dxa"/>
            <w:vAlign w:val="center"/>
          </w:tcPr>
          <w:p w14:paraId="3E651563">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r>
      <w:tr w14:paraId="6A664B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67" w:hRule="atLeast"/>
          <w:jc w:val="center"/>
        </w:trPr>
        <w:tc>
          <w:tcPr>
            <w:tcW w:w="720" w:type="dxa"/>
            <w:noWrap/>
            <w:tcMar>
              <w:top w:w="20" w:type="dxa"/>
              <w:left w:w="20" w:type="dxa"/>
              <w:bottom w:w="0" w:type="dxa"/>
              <w:right w:w="20" w:type="dxa"/>
            </w:tcMar>
            <w:vAlign w:val="center"/>
          </w:tcPr>
          <w:p w14:paraId="20871E5C">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297" w:type="dxa"/>
            <w:noWrap/>
            <w:tcMar>
              <w:top w:w="20" w:type="dxa"/>
              <w:left w:w="20" w:type="dxa"/>
              <w:bottom w:w="0" w:type="dxa"/>
              <w:right w:w="20" w:type="dxa"/>
            </w:tcMar>
            <w:vAlign w:val="center"/>
          </w:tcPr>
          <w:p w14:paraId="4C120E21">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4586" w:type="dxa"/>
            <w:gridSpan w:val="3"/>
            <w:noWrap/>
            <w:tcMar>
              <w:top w:w="20" w:type="dxa"/>
              <w:left w:w="20" w:type="dxa"/>
              <w:bottom w:w="0" w:type="dxa"/>
              <w:right w:w="20" w:type="dxa"/>
            </w:tcMar>
            <w:vAlign w:val="center"/>
          </w:tcPr>
          <w:p w14:paraId="5C2C77E6">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37" w:type="dxa"/>
            <w:noWrap/>
            <w:tcMar>
              <w:top w:w="20" w:type="dxa"/>
              <w:left w:w="20" w:type="dxa"/>
              <w:bottom w:w="0" w:type="dxa"/>
              <w:right w:w="20" w:type="dxa"/>
            </w:tcMar>
            <w:vAlign w:val="center"/>
          </w:tcPr>
          <w:p w14:paraId="0D6D0F40">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134" w:type="dxa"/>
            <w:noWrap/>
            <w:tcMar>
              <w:top w:w="20" w:type="dxa"/>
              <w:left w:w="20" w:type="dxa"/>
              <w:bottom w:w="0" w:type="dxa"/>
              <w:right w:w="20" w:type="dxa"/>
            </w:tcMar>
            <w:vAlign w:val="center"/>
          </w:tcPr>
          <w:p w14:paraId="336C8E3A">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c>
          <w:tcPr>
            <w:tcW w:w="1002" w:type="dxa"/>
            <w:vAlign w:val="center"/>
          </w:tcPr>
          <w:p w14:paraId="7843D791">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Cs/>
              </w:rPr>
            </w:pPr>
          </w:p>
        </w:tc>
      </w:tr>
      <w:tr w14:paraId="58159A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774" w:type="dxa"/>
            <w:gridSpan w:val="7"/>
            <w:noWrap/>
            <w:tcMar>
              <w:top w:w="20" w:type="dxa"/>
              <w:left w:w="20" w:type="dxa"/>
              <w:bottom w:w="0" w:type="dxa"/>
              <w:right w:w="20" w:type="dxa"/>
            </w:tcMar>
            <w:vAlign w:val="center"/>
          </w:tcPr>
          <w:p w14:paraId="573B5565">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
                <w:bCs/>
              </w:rPr>
            </w:pPr>
            <w:r>
              <w:rPr>
                <w:rFonts w:hint="default" w:asciiTheme="minorEastAsia" w:hAnsiTheme="minorEastAsia" w:cstheme="minorHAnsi"/>
                <w:b/>
                <w:bCs/>
              </w:rPr>
              <w:t>总计</w:t>
            </w:r>
          </w:p>
        </w:tc>
        <w:tc>
          <w:tcPr>
            <w:tcW w:w="1002" w:type="dxa"/>
            <w:vAlign w:val="center"/>
          </w:tcPr>
          <w:p w14:paraId="2FF852B6">
            <w:pPr>
              <w:keepNext w:val="0"/>
              <w:keepLines w:val="0"/>
              <w:widowControl/>
              <w:suppressLineNumbers w:val="0"/>
              <w:spacing w:before="0" w:beforeAutospacing="0" w:after="0" w:afterAutospacing="0" w:line="440" w:lineRule="exact"/>
              <w:ind w:left="0" w:right="0"/>
              <w:jc w:val="center"/>
              <w:rPr>
                <w:rFonts w:hint="default" w:asciiTheme="minorEastAsia" w:hAnsiTheme="minorEastAsia" w:cstheme="minorHAnsi"/>
                <w:b/>
                <w:bCs/>
              </w:rPr>
            </w:pPr>
          </w:p>
        </w:tc>
      </w:tr>
    </w:tbl>
    <w:p w14:paraId="304223B1">
      <w:pPr>
        <w:spacing w:line="360" w:lineRule="auto"/>
        <w:jc w:val="left"/>
        <w:rPr>
          <w:rFonts w:hint="eastAsia" w:ascii="宋体" w:hAnsi="宋体" w:eastAsia="宋体" w:cs="宋体"/>
          <w:color w:val="auto"/>
          <w:lang w:val="zh-CN" w:bidi="zh-CN"/>
        </w:rPr>
      </w:pPr>
      <w:r>
        <w:rPr>
          <w:rFonts w:hint="eastAsia" w:ascii="宋体" w:hAnsi="宋体" w:eastAsia="宋体" w:cs="宋体"/>
          <w:color w:val="auto"/>
          <w:lang w:val="zh-CN" w:bidi="zh-CN"/>
        </w:rPr>
        <w:t>说明：</w:t>
      </w:r>
      <w:r>
        <w:rPr>
          <w:rFonts w:hint="eastAsia" w:ascii="宋体" w:hAnsi="宋体" w:eastAsia="宋体" w:cs="宋体"/>
          <w:color w:val="auto"/>
          <w:lang w:val="en-US" w:bidi="zh-CN"/>
        </w:rPr>
        <w:t>1、</w:t>
      </w:r>
      <w:r>
        <w:rPr>
          <w:rFonts w:hint="eastAsia" w:ascii="宋体" w:hAnsi="宋体" w:eastAsia="宋体" w:cs="宋体"/>
          <w:color w:val="auto"/>
          <w:lang w:val="zh-CN" w:bidi="zh-CN"/>
        </w:rPr>
        <w:t>投标人必须按“分项报价表”的内容详细报出投标总报价的各个组成部分的报价，否则作无效响应处理，报价以元为单位，保留小数点后两位，若没有注册商标和具体型号须注明。</w:t>
      </w:r>
    </w:p>
    <w:p w14:paraId="27E2541D">
      <w:pPr>
        <w:spacing w:line="360" w:lineRule="auto"/>
        <w:ind w:firstLine="480" w:firstLineChars="200"/>
        <w:jc w:val="left"/>
        <w:rPr>
          <w:rFonts w:hint="eastAsia" w:ascii="宋体" w:hAnsi="宋体" w:eastAsia="宋体" w:cs="宋体"/>
          <w:color w:val="auto"/>
          <w:lang w:val="zh-CN" w:bidi="zh-CN"/>
        </w:rPr>
      </w:pPr>
      <w:r>
        <w:rPr>
          <w:rFonts w:hint="eastAsia" w:ascii="宋体" w:hAnsi="宋体" w:eastAsia="宋体" w:cs="宋体"/>
          <w:color w:val="auto"/>
          <w:lang w:val="en-US" w:eastAsia="zh-CN" w:bidi="zh-CN"/>
        </w:rPr>
        <w:t>2、</w:t>
      </w:r>
      <w:r>
        <w:rPr>
          <w:rFonts w:hint="eastAsia" w:ascii="宋体" w:hAnsi="宋体" w:eastAsia="宋体" w:cs="宋体"/>
          <w:color w:val="auto"/>
          <w:lang w:val="zh-CN" w:bidi="zh-CN"/>
        </w:rPr>
        <w:t>监狱企业、残疾人福利性单位视同小微企业。</w:t>
      </w:r>
    </w:p>
    <w:p w14:paraId="10AF6753">
      <w:pPr>
        <w:spacing w:line="360" w:lineRule="auto"/>
        <w:ind w:firstLine="480" w:firstLineChars="200"/>
        <w:jc w:val="left"/>
        <w:rPr>
          <w:rFonts w:hint="eastAsia" w:ascii="宋体" w:hAnsi="宋体" w:eastAsia="宋体" w:cs="宋体"/>
          <w:color w:val="auto"/>
          <w:lang w:val="zh-CN" w:bidi="zh-CN"/>
        </w:rPr>
      </w:pPr>
      <w:r>
        <w:rPr>
          <w:rFonts w:hint="eastAsia" w:ascii="宋体" w:hAnsi="宋体" w:eastAsia="宋体" w:cs="宋体"/>
          <w:color w:val="auto"/>
          <w:lang w:val="en-US" w:eastAsia="zh-CN" w:bidi="zh-CN"/>
        </w:rPr>
        <w:t>3、</w:t>
      </w:r>
      <w:r>
        <w:rPr>
          <w:rFonts w:hint="eastAsia" w:ascii="宋体" w:hAnsi="宋体" w:eastAsia="宋体" w:cs="宋体"/>
          <w:color w:val="auto"/>
          <w:lang w:val="zh-CN" w:bidi="zh-CN"/>
        </w:rPr>
        <w:t>“是否小微企业产品”一栏若有漏报，将被视为“非小微企业产品”。</w:t>
      </w:r>
    </w:p>
    <w:p w14:paraId="43B83BBE">
      <w:pPr>
        <w:spacing w:line="360" w:lineRule="auto"/>
        <w:ind w:firstLine="480" w:firstLineChars="200"/>
        <w:jc w:val="left"/>
        <w:rPr>
          <w:rFonts w:hint="eastAsia" w:ascii="宋体" w:hAnsi="宋体" w:eastAsia="宋体" w:cs="宋体"/>
          <w:color w:val="auto"/>
          <w:lang w:val="zh-CN" w:bidi="zh-CN"/>
        </w:rPr>
      </w:pPr>
      <w:r>
        <w:rPr>
          <w:rFonts w:hint="eastAsia" w:ascii="宋体" w:hAnsi="宋体" w:eastAsia="宋体" w:cs="宋体"/>
          <w:color w:val="auto"/>
          <w:lang w:val="en-US" w:eastAsia="zh-CN" w:bidi="zh-CN"/>
        </w:rPr>
        <w:t>4、</w:t>
      </w:r>
      <w:r>
        <w:rPr>
          <w:rFonts w:hint="eastAsia" w:ascii="宋体" w:hAnsi="宋体" w:eastAsia="宋体" w:cs="宋体"/>
          <w:color w:val="auto"/>
          <w:lang w:val="zh-CN" w:bidi="zh-CN"/>
        </w:rPr>
        <w:t>表格空间不足时，可自行扩展。</w:t>
      </w:r>
    </w:p>
    <w:p w14:paraId="315948D9">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投标人（公章）：</w:t>
      </w:r>
    </w:p>
    <w:p w14:paraId="4C64352D">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法定代表人/授权代表（签字或盖章）：</w:t>
      </w:r>
    </w:p>
    <w:p w14:paraId="379EEE68">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日    期：</w:t>
      </w:r>
    </w:p>
    <w:p w14:paraId="3DE4A39A">
      <w:pPr>
        <w:rPr>
          <w:rFonts w:hint="eastAsia" w:ascii="宋体" w:hAnsi="宋体" w:eastAsia="宋体" w:cs="宋体"/>
          <w:color w:val="auto"/>
          <w:lang w:val="zh-CN" w:bidi="zh-CN"/>
        </w:rPr>
      </w:pPr>
      <w:r>
        <w:rPr>
          <w:rFonts w:hint="eastAsia" w:ascii="宋体" w:hAnsi="宋体" w:eastAsia="宋体" w:cs="宋体"/>
          <w:color w:val="auto"/>
          <w:lang w:val="zh-CN" w:bidi="zh-CN"/>
        </w:rPr>
        <w:br w:type="page"/>
      </w:r>
    </w:p>
    <w:p w14:paraId="6F0D9D20">
      <w:pPr>
        <w:pStyle w:val="48"/>
        <w:spacing w:before="60" w:after="60" w:line="36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节能环保、环境标志产品明细表</w:t>
      </w:r>
    </w:p>
    <w:p w14:paraId="3CE28D1B">
      <w:pPr>
        <w:widowControl w:val="0"/>
        <w:spacing w:line="400" w:lineRule="exact"/>
        <w:jc w:val="both"/>
        <w:rPr>
          <w:rFonts w:hint="eastAsia" w:ascii="宋体" w:hAnsi="宋体" w:eastAsia="宋体" w:cs="宋体"/>
          <w:b/>
          <w:bCs/>
          <w:kern w:val="2"/>
          <w:sz w:val="24"/>
          <w:szCs w:val="24"/>
          <w:highlight w:val="none"/>
          <w:lang w:val="en-US" w:eastAsia="zh-CN" w:bidi="ar-SA"/>
        </w:rPr>
      </w:pPr>
      <w:r>
        <w:rPr>
          <w:rFonts w:hint="eastAsia" w:ascii="Times New Roman" w:eastAsia="宋体"/>
          <w:sz w:val="24"/>
          <w:szCs w:val="24"/>
          <w:lang w:val="en-US" w:eastAsia="zh-CN"/>
        </w:rPr>
        <w:t>项目名称：                                项目编号：      包号：</w:t>
      </w:r>
    </w:p>
    <w:tbl>
      <w:tblPr>
        <w:tblStyle w:val="32"/>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099151CE">
        <w:tblPrEx>
          <w:tblCellMar>
            <w:top w:w="0" w:type="dxa"/>
            <w:left w:w="108" w:type="dxa"/>
            <w:bottom w:w="0" w:type="dxa"/>
            <w:right w:w="108" w:type="dxa"/>
          </w:tblCellMar>
        </w:tblPrEx>
        <w:trPr>
          <w:trHeight w:val="985" w:hRule="atLeast"/>
          <w:jc w:val="center"/>
        </w:trPr>
        <w:tc>
          <w:tcPr>
            <w:tcW w:w="716" w:type="dxa"/>
            <w:tcBorders>
              <w:top w:val="single" w:color="auto" w:sz="6" w:space="0"/>
              <w:left w:val="single" w:color="auto" w:sz="6" w:space="0"/>
              <w:bottom w:val="single" w:color="auto" w:sz="6" w:space="0"/>
              <w:right w:val="single" w:color="auto" w:sz="6" w:space="0"/>
            </w:tcBorders>
            <w:vAlign w:val="center"/>
          </w:tcPr>
          <w:p w14:paraId="11523BAC">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序</w:t>
            </w:r>
          </w:p>
          <w:p w14:paraId="24D9DA3A">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号</w:t>
            </w:r>
          </w:p>
        </w:tc>
        <w:tc>
          <w:tcPr>
            <w:tcW w:w="1554" w:type="dxa"/>
            <w:tcBorders>
              <w:top w:val="single" w:color="auto" w:sz="6" w:space="0"/>
              <w:left w:val="single" w:color="auto" w:sz="6" w:space="0"/>
              <w:bottom w:val="single" w:color="auto" w:sz="6" w:space="0"/>
              <w:right w:val="single" w:color="auto" w:sz="6" w:space="0"/>
            </w:tcBorders>
            <w:vAlign w:val="center"/>
          </w:tcPr>
          <w:p w14:paraId="6C1A5028">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产品</w:t>
            </w:r>
          </w:p>
          <w:p w14:paraId="14A1B60E">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名称</w:t>
            </w:r>
          </w:p>
        </w:tc>
        <w:tc>
          <w:tcPr>
            <w:tcW w:w="1036" w:type="dxa"/>
            <w:tcBorders>
              <w:top w:val="single" w:color="auto" w:sz="6" w:space="0"/>
              <w:left w:val="single" w:color="auto" w:sz="6" w:space="0"/>
              <w:bottom w:val="single" w:color="auto" w:sz="6" w:space="0"/>
              <w:right w:val="single" w:color="auto" w:sz="4" w:space="0"/>
            </w:tcBorders>
            <w:vAlign w:val="center"/>
          </w:tcPr>
          <w:p w14:paraId="06DCBA8A">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制造</w:t>
            </w:r>
          </w:p>
          <w:p w14:paraId="5B0BF5E6">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厂家</w:t>
            </w:r>
          </w:p>
        </w:tc>
        <w:tc>
          <w:tcPr>
            <w:tcW w:w="1036" w:type="dxa"/>
            <w:tcBorders>
              <w:top w:val="single" w:color="auto" w:sz="6" w:space="0"/>
              <w:left w:val="single" w:color="auto" w:sz="4" w:space="0"/>
              <w:bottom w:val="single" w:color="auto" w:sz="6" w:space="0"/>
              <w:right w:val="single" w:color="auto" w:sz="6" w:space="0"/>
            </w:tcBorders>
            <w:vAlign w:val="center"/>
          </w:tcPr>
          <w:p w14:paraId="11F9E852">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规格</w:t>
            </w:r>
          </w:p>
          <w:p w14:paraId="3D738465">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型号</w:t>
            </w:r>
          </w:p>
        </w:tc>
        <w:tc>
          <w:tcPr>
            <w:tcW w:w="716" w:type="dxa"/>
            <w:tcBorders>
              <w:top w:val="single" w:color="auto" w:sz="6" w:space="0"/>
              <w:left w:val="single" w:color="auto" w:sz="6" w:space="0"/>
              <w:bottom w:val="single" w:color="auto" w:sz="6" w:space="0"/>
              <w:right w:val="single" w:color="auto" w:sz="6" w:space="0"/>
            </w:tcBorders>
          </w:tcPr>
          <w:p w14:paraId="267ACA0A">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类</w:t>
            </w:r>
          </w:p>
          <w:p w14:paraId="30DC8E2E">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别</w:t>
            </w:r>
          </w:p>
        </w:tc>
        <w:tc>
          <w:tcPr>
            <w:tcW w:w="1676" w:type="dxa"/>
            <w:tcBorders>
              <w:top w:val="single" w:color="auto" w:sz="6" w:space="0"/>
              <w:left w:val="single" w:color="auto" w:sz="6" w:space="0"/>
              <w:bottom w:val="single" w:color="auto" w:sz="6" w:space="0"/>
              <w:right w:val="single" w:color="auto" w:sz="6" w:space="0"/>
            </w:tcBorders>
            <w:vAlign w:val="center"/>
          </w:tcPr>
          <w:p w14:paraId="706148C4">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认证证书</w:t>
            </w:r>
          </w:p>
          <w:p w14:paraId="2EDD8E3B">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编号</w:t>
            </w:r>
          </w:p>
        </w:tc>
        <w:tc>
          <w:tcPr>
            <w:tcW w:w="716" w:type="dxa"/>
            <w:tcBorders>
              <w:top w:val="single" w:color="auto" w:sz="6" w:space="0"/>
              <w:left w:val="single" w:color="auto" w:sz="6" w:space="0"/>
              <w:bottom w:val="single" w:color="auto" w:sz="6" w:space="0"/>
              <w:right w:val="single" w:color="auto" w:sz="6" w:space="0"/>
            </w:tcBorders>
            <w:vAlign w:val="center"/>
          </w:tcPr>
          <w:p w14:paraId="3B962167">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数</w:t>
            </w:r>
          </w:p>
          <w:p w14:paraId="334C0464">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量</w:t>
            </w:r>
          </w:p>
        </w:tc>
        <w:tc>
          <w:tcPr>
            <w:tcW w:w="716" w:type="dxa"/>
            <w:tcBorders>
              <w:top w:val="single" w:color="auto" w:sz="6" w:space="0"/>
              <w:left w:val="single" w:color="auto" w:sz="6" w:space="0"/>
              <w:bottom w:val="single" w:color="auto" w:sz="6" w:space="0"/>
              <w:right w:val="single" w:color="auto" w:sz="6" w:space="0"/>
            </w:tcBorders>
            <w:vAlign w:val="center"/>
          </w:tcPr>
          <w:p w14:paraId="0C133475">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单</w:t>
            </w:r>
          </w:p>
          <w:p w14:paraId="6C58E774">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价</w:t>
            </w:r>
          </w:p>
        </w:tc>
        <w:tc>
          <w:tcPr>
            <w:tcW w:w="716" w:type="dxa"/>
            <w:tcBorders>
              <w:top w:val="single" w:color="auto" w:sz="6" w:space="0"/>
              <w:left w:val="single" w:color="auto" w:sz="6" w:space="0"/>
              <w:bottom w:val="single" w:color="auto" w:sz="6" w:space="0"/>
              <w:right w:val="single" w:color="auto" w:sz="6" w:space="0"/>
            </w:tcBorders>
            <w:vAlign w:val="center"/>
          </w:tcPr>
          <w:p w14:paraId="17F3DF5A">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总</w:t>
            </w:r>
          </w:p>
          <w:p w14:paraId="542DE435">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价</w:t>
            </w:r>
          </w:p>
        </w:tc>
      </w:tr>
      <w:tr w14:paraId="5AF267AE">
        <w:tblPrEx>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tcPr>
          <w:p w14:paraId="32FEA56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554" w:type="dxa"/>
            <w:tcBorders>
              <w:top w:val="single" w:color="auto" w:sz="6" w:space="0"/>
              <w:left w:val="single" w:color="auto" w:sz="6" w:space="0"/>
              <w:bottom w:val="single" w:color="auto" w:sz="6" w:space="0"/>
              <w:right w:val="single" w:color="auto" w:sz="6" w:space="0"/>
            </w:tcBorders>
          </w:tcPr>
          <w:p w14:paraId="107BAA6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6" w:space="0"/>
              <w:bottom w:val="single" w:color="auto" w:sz="6" w:space="0"/>
              <w:right w:val="single" w:color="auto" w:sz="4" w:space="0"/>
            </w:tcBorders>
          </w:tcPr>
          <w:p w14:paraId="3527AEF6">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4" w:space="0"/>
              <w:bottom w:val="single" w:color="auto" w:sz="6" w:space="0"/>
              <w:right w:val="single" w:color="auto" w:sz="6" w:space="0"/>
            </w:tcBorders>
          </w:tcPr>
          <w:p w14:paraId="45906C6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6D8829A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676" w:type="dxa"/>
            <w:tcBorders>
              <w:top w:val="single" w:color="auto" w:sz="6" w:space="0"/>
              <w:left w:val="single" w:color="auto" w:sz="6" w:space="0"/>
              <w:bottom w:val="single" w:color="auto" w:sz="6" w:space="0"/>
              <w:right w:val="single" w:color="auto" w:sz="6" w:space="0"/>
            </w:tcBorders>
          </w:tcPr>
          <w:p w14:paraId="55F189C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7B4FB70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126F8FF2">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6D948D8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r>
      <w:tr w14:paraId="75D0ABE8">
        <w:tblPrEx>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tcPr>
          <w:p w14:paraId="05ACE959">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554" w:type="dxa"/>
            <w:tcBorders>
              <w:top w:val="single" w:color="auto" w:sz="6" w:space="0"/>
              <w:left w:val="single" w:color="auto" w:sz="6" w:space="0"/>
              <w:bottom w:val="single" w:color="auto" w:sz="6" w:space="0"/>
              <w:right w:val="single" w:color="auto" w:sz="6" w:space="0"/>
            </w:tcBorders>
          </w:tcPr>
          <w:p w14:paraId="2691DF2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6" w:space="0"/>
              <w:bottom w:val="single" w:color="auto" w:sz="6" w:space="0"/>
              <w:right w:val="single" w:color="auto" w:sz="4" w:space="0"/>
            </w:tcBorders>
          </w:tcPr>
          <w:p w14:paraId="23D35B32">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4" w:space="0"/>
              <w:bottom w:val="single" w:color="auto" w:sz="6" w:space="0"/>
              <w:right w:val="single" w:color="auto" w:sz="6" w:space="0"/>
            </w:tcBorders>
          </w:tcPr>
          <w:p w14:paraId="7AD2C89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56483FB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676" w:type="dxa"/>
            <w:tcBorders>
              <w:top w:val="single" w:color="auto" w:sz="6" w:space="0"/>
              <w:left w:val="single" w:color="auto" w:sz="6" w:space="0"/>
              <w:bottom w:val="single" w:color="auto" w:sz="6" w:space="0"/>
              <w:right w:val="single" w:color="auto" w:sz="6" w:space="0"/>
            </w:tcBorders>
          </w:tcPr>
          <w:p w14:paraId="24BBFA1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704D9D3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06CD8ADE">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191DD3C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r>
      <w:tr w14:paraId="6DAF5E40">
        <w:tblPrEx>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tcPr>
          <w:p w14:paraId="08532A86">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554" w:type="dxa"/>
            <w:tcBorders>
              <w:top w:val="single" w:color="auto" w:sz="6" w:space="0"/>
              <w:left w:val="single" w:color="auto" w:sz="6" w:space="0"/>
              <w:bottom w:val="single" w:color="auto" w:sz="6" w:space="0"/>
              <w:right w:val="single" w:color="auto" w:sz="6" w:space="0"/>
            </w:tcBorders>
          </w:tcPr>
          <w:p w14:paraId="361095D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6" w:space="0"/>
              <w:bottom w:val="single" w:color="auto" w:sz="6" w:space="0"/>
              <w:right w:val="single" w:color="auto" w:sz="4" w:space="0"/>
            </w:tcBorders>
          </w:tcPr>
          <w:p w14:paraId="6F12C1ED">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4" w:space="0"/>
              <w:bottom w:val="single" w:color="auto" w:sz="6" w:space="0"/>
              <w:right w:val="single" w:color="auto" w:sz="6" w:space="0"/>
            </w:tcBorders>
          </w:tcPr>
          <w:p w14:paraId="1D6D183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709AF449">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676" w:type="dxa"/>
            <w:tcBorders>
              <w:top w:val="single" w:color="auto" w:sz="6" w:space="0"/>
              <w:left w:val="single" w:color="auto" w:sz="6" w:space="0"/>
              <w:bottom w:val="single" w:color="auto" w:sz="6" w:space="0"/>
              <w:right w:val="single" w:color="auto" w:sz="6" w:space="0"/>
            </w:tcBorders>
          </w:tcPr>
          <w:p w14:paraId="096BE80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278B5EE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7DD82C3A">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7B9CA06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r>
      <w:tr w14:paraId="397C167F">
        <w:tblPrEx>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tcPr>
          <w:p w14:paraId="60DE536A">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554" w:type="dxa"/>
            <w:tcBorders>
              <w:top w:val="single" w:color="auto" w:sz="6" w:space="0"/>
              <w:left w:val="single" w:color="auto" w:sz="6" w:space="0"/>
              <w:bottom w:val="single" w:color="auto" w:sz="6" w:space="0"/>
              <w:right w:val="single" w:color="auto" w:sz="6" w:space="0"/>
            </w:tcBorders>
          </w:tcPr>
          <w:p w14:paraId="73EA6E0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6" w:space="0"/>
              <w:bottom w:val="single" w:color="auto" w:sz="6" w:space="0"/>
              <w:right w:val="single" w:color="auto" w:sz="4" w:space="0"/>
            </w:tcBorders>
          </w:tcPr>
          <w:p w14:paraId="151F973E">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4" w:space="0"/>
              <w:bottom w:val="single" w:color="auto" w:sz="6" w:space="0"/>
              <w:right w:val="single" w:color="auto" w:sz="6" w:space="0"/>
            </w:tcBorders>
          </w:tcPr>
          <w:p w14:paraId="086A503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3C754F8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676" w:type="dxa"/>
            <w:tcBorders>
              <w:top w:val="single" w:color="auto" w:sz="6" w:space="0"/>
              <w:left w:val="single" w:color="auto" w:sz="6" w:space="0"/>
              <w:bottom w:val="single" w:color="auto" w:sz="6" w:space="0"/>
              <w:right w:val="single" w:color="auto" w:sz="6" w:space="0"/>
            </w:tcBorders>
          </w:tcPr>
          <w:p w14:paraId="7FBECD1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160989F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7AA57E1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5A40C97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r>
      <w:tr w14:paraId="4B35F1AF">
        <w:tblPrEx>
          <w:tblCellMar>
            <w:top w:w="0" w:type="dxa"/>
            <w:left w:w="108" w:type="dxa"/>
            <w:bottom w:w="0" w:type="dxa"/>
            <w:right w:w="108" w:type="dxa"/>
          </w:tblCellMar>
        </w:tblPrEx>
        <w:trPr>
          <w:trHeight w:val="567" w:hRule="atLeast"/>
          <w:jc w:val="center"/>
        </w:trPr>
        <w:tc>
          <w:tcPr>
            <w:tcW w:w="716" w:type="dxa"/>
            <w:tcBorders>
              <w:top w:val="single" w:color="auto" w:sz="6" w:space="0"/>
              <w:left w:val="single" w:color="auto" w:sz="6" w:space="0"/>
              <w:bottom w:val="single" w:color="auto" w:sz="6" w:space="0"/>
              <w:right w:val="single" w:color="auto" w:sz="6" w:space="0"/>
            </w:tcBorders>
          </w:tcPr>
          <w:p w14:paraId="73F5C208">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554" w:type="dxa"/>
            <w:tcBorders>
              <w:top w:val="single" w:color="auto" w:sz="6" w:space="0"/>
              <w:left w:val="single" w:color="auto" w:sz="6" w:space="0"/>
              <w:bottom w:val="single" w:color="auto" w:sz="6" w:space="0"/>
              <w:right w:val="single" w:color="auto" w:sz="6" w:space="0"/>
            </w:tcBorders>
          </w:tcPr>
          <w:p w14:paraId="60B8453C">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6" w:space="0"/>
              <w:bottom w:val="single" w:color="auto" w:sz="6" w:space="0"/>
              <w:right w:val="single" w:color="auto" w:sz="4" w:space="0"/>
            </w:tcBorders>
          </w:tcPr>
          <w:p w14:paraId="537A254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036" w:type="dxa"/>
            <w:tcBorders>
              <w:top w:val="single" w:color="auto" w:sz="6" w:space="0"/>
              <w:left w:val="single" w:color="auto" w:sz="4" w:space="0"/>
              <w:bottom w:val="single" w:color="auto" w:sz="6" w:space="0"/>
              <w:right w:val="single" w:color="auto" w:sz="6" w:space="0"/>
            </w:tcBorders>
          </w:tcPr>
          <w:p w14:paraId="0B07B541">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753DDF4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1676" w:type="dxa"/>
            <w:tcBorders>
              <w:top w:val="single" w:color="auto" w:sz="6" w:space="0"/>
              <w:left w:val="single" w:color="auto" w:sz="6" w:space="0"/>
              <w:bottom w:val="single" w:color="auto" w:sz="6" w:space="0"/>
              <w:right w:val="single" w:color="auto" w:sz="6" w:space="0"/>
            </w:tcBorders>
          </w:tcPr>
          <w:p w14:paraId="2A7CBA85">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08742A6B">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74417A52">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c>
          <w:tcPr>
            <w:tcW w:w="716" w:type="dxa"/>
            <w:tcBorders>
              <w:top w:val="single" w:color="auto" w:sz="6" w:space="0"/>
              <w:left w:val="single" w:color="auto" w:sz="6" w:space="0"/>
              <w:bottom w:val="single" w:color="auto" w:sz="6" w:space="0"/>
              <w:right w:val="single" w:color="auto" w:sz="6" w:space="0"/>
            </w:tcBorders>
          </w:tcPr>
          <w:p w14:paraId="64126583">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r>
      <w:tr w14:paraId="40DDD8F3">
        <w:tblPrEx>
          <w:tblCellMar>
            <w:top w:w="0" w:type="dxa"/>
            <w:left w:w="108" w:type="dxa"/>
            <w:bottom w:w="0" w:type="dxa"/>
            <w:right w:w="108" w:type="dxa"/>
          </w:tblCellMar>
        </w:tblPrEx>
        <w:trPr>
          <w:trHeight w:val="580"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1864C824">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合计（万元人民币）</w:t>
            </w:r>
          </w:p>
        </w:tc>
        <w:tc>
          <w:tcPr>
            <w:tcW w:w="3824" w:type="dxa"/>
            <w:gridSpan w:val="4"/>
            <w:tcBorders>
              <w:top w:val="single" w:color="auto" w:sz="6" w:space="0"/>
              <w:left w:val="single" w:color="auto" w:sz="6" w:space="0"/>
              <w:bottom w:val="single" w:color="auto" w:sz="6" w:space="0"/>
              <w:right w:val="single" w:color="auto" w:sz="6" w:space="0"/>
            </w:tcBorders>
            <w:vAlign w:val="center"/>
          </w:tcPr>
          <w:p w14:paraId="52C564C7">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r>
      <w:tr w14:paraId="0886CC09">
        <w:tblPrEx>
          <w:tblCellMar>
            <w:top w:w="0" w:type="dxa"/>
            <w:left w:w="108" w:type="dxa"/>
            <w:bottom w:w="0" w:type="dxa"/>
            <w:right w:w="108" w:type="dxa"/>
          </w:tblCellMar>
        </w:tblPrEx>
        <w:trPr>
          <w:trHeight w:val="581" w:hRule="atLeast"/>
          <w:jc w:val="center"/>
        </w:trPr>
        <w:tc>
          <w:tcPr>
            <w:tcW w:w="5058" w:type="dxa"/>
            <w:gridSpan w:val="5"/>
            <w:tcBorders>
              <w:top w:val="single" w:color="auto" w:sz="6" w:space="0"/>
              <w:left w:val="single" w:color="auto" w:sz="6" w:space="0"/>
              <w:bottom w:val="single" w:color="auto" w:sz="6" w:space="0"/>
              <w:right w:val="single" w:color="auto" w:sz="6" w:space="0"/>
            </w:tcBorders>
            <w:vAlign w:val="center"/>
          </w:tcPr>
          <w:p w14:paraId="6ED34490">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占投标总价的百分比（%）</w:t>
            </w:r>
          </w:p>
        </w:tc>
        <w:tc>
          <w:tcPr>
            <w:tcW w:w="3824" w:type="dxa"/>
            <w:gridSpan w:val="4"/>
            <w:tcBorders>
              <w:top w:val="single" w:color="auto" w:sz="6" w:space="0"/>
              <w:left w:val="single" w:color="auto" w:sz="6" w:space="0"/>
              <w:bottom w:val="single" w:color="auto" w:sz="6" w:space="0"/>
              <w:right w:val="single" w:color="auto" w:sz="6" w:space="0"/>
            </w:tcBorders>
            <w:vAlign w:val="center"/>
          </w:tcPr>
          <w:p w14:paraId="111857BE">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宋体"/>
                <w:kern w:val="2"/>
                <w:sz w:val="24"/>
                <w:szCs w:val="24"/>
                <w:highlight w:val="none"/>
                <w:lang w:val="en-US" w:eastAsia="zh-CN" w:bidi="ar-SA"/>
              </w:rPr>
            </w:pPr>
          </w:p>
        </w:tc>
      </w:tr>
    </w:tbl>
    <w:p w14:paraId="2E34E247">
      <w:pPr>
        <w:spacing w:line="360" w:lineRule="auto"/>
        <w:jc w:val="left"/>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说明：1、如投标产品为节能环保、环境标志产品，须按格式逐项填写，并附相关证明，否则评审时不予计分。</w:t>
      </w:r>
    </w:p>
    <w:p w14:paraId="3CEA0AFD">
      <w:pPr>
        <w:spacing w:line="360" w:lineRule="auto"/>
        <w:jc w:val="left"/>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2、类别填写：节能环保产品或环境标志产品。</w:t>
      </w:r>
    </w:p>
    <w:p w14:paraId="79A9DA28">
      <w:pPr>
        <w:spacing w:line="360" w:lineRule="auto"/>
        <w:jc w:val="left"/>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3、未按上述要求提供、填写的，评审时不予以考虑。</w:t>
      </w:r>
    </w:p>
    <w:p w14:paraId="4F2DAF34">
      <w:pPr>
        <w:widowControl w:val="0"/>
        <w:spacing w:line="400" w:lineRule="exact"/>
        <w:jc w:val="both"/>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4、表格空间不足时，可自行扩展。</w:t>
      </w:r>
    </w:p>
    <w:p w14:paraId="5E2E85B7">
      <w:pPr>
        <w:widowControl w:val="0"/>
        <w:spacing w:line="400" w:lineRule="exact"/>
        <w:ind w:firstLine="3600" w:firstLineChars="1500"/>
        <w:jc w:val="both"/>
        <w:rPr>
          <w:rFonts w:hint="eastAsia" w:ascii="宋体" w:hAnsi="宋体" w:eastAsia="宋体" w:cs="宋体"/>
          <w:kern w:val="2"/>
          <w:sz w:val="24"/>
          <w:szCs w:val="24"/>
          <w:highlight w:val="none"/>
          <w:lang w:val="en-US" w:eastAsia="zh-CN" w:bidi="ar-SA"/>
        </w:rPr>
      </w:pPr>
    </w:p>
    <w:p w14:paraId="19B03DCA">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投标人（公章）：</w:t>
      </w:r>
    </w:p>
    <w:p w14:paraId="5EA45114">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法定代表人/授权代表（签字或盖章）：</w:t>
      </w:r>
    </w:p>
    <w:p w14:paraId="6922EC47">
      <w:pPr>
        <w:spacing w:line="360" w:lineRule="auto"/>
        <w:rPr>
          <w:rFonts w:hint="eastAsia" w:ascii="宋体" w:hAnsi="宋体" w:eastAsia="宋体" w:cs="宋体"/>
          <w:color w:val="auto"/>
          <w:lang w:val="zh-CN" w:bidi="zh-CN"/>
        </w:rPr>
      </w:pPr>
      <w:r>
        <w:rPr>
          <w:rFonts w:hint="eastAsia" w:ascii="宋体" w:hAnsi="宋体" w:eastAsia="宋体" w:cs="宋体"/>
          <w:color w:val="auto"/>
          <w:lang w:val="zh-CN" w:bidi="zh-CN"/>
        </w:rPr>
        <w:t>日    期：</w:t>
      </w:r>
    </w:p>
    <w:p w14:paraId="2B667074">
      <w:pPr>
        <w:pStyle w:val="5"/>
        <w:rPr>
          <w:rFonts w:hint="eastAsia"/>
          <w:lang w:val="zh-CN"/>
        </w:rPr>
      </w:pPr>
    </w:p>
    <w:p w14:paraId="3B94BDEF">
      <w:pPr>
        <w:spacing w:line="360" w:lineRule="auto"/>
        <w:rPr>
          <w:rFonts w:hint="eastAsia" w:ascii="宋体" w:hAnsi="宋体" w:eastAsia="宋体" w:cs="宋体"/>
        </w:rPr>
      </w:pPr>
    </w:p>
    <w:p w14:paraId="48B8E0FB">
      <w:pPr>
        <w:spacing w:line="360" w:lineRule="auto"/>
        <w:jc w:val="both"/>
        <w:rPr>
          <w:rFonts w:hint="eastAsia" w:ascii="宋体" w:hAnsi="宋体" w:eastAsia="宋体" w:cs="宋体"/>
        </w:rPr>
        <w:sectPr>
          <w:pgSz w:w="11906" w:h="16838"/>
          <w:pgMar w:top="1418" w:right="1304" w:bottom="1418" w:left="1701"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p>
    <w:p w14:paraId="38F6B407">
      <w:pPr>
        <w:pStyle w:val="91"/>
        <w:spacing w:before="210" w:after="210" w:line="360" w:lineRule="auto"/>
        <w:rPr>
          <w:rFonts w:hint="eastAsia" w:ascii="宋体" w:hAnsi="宋体" w:eastAsia="宋体" w:cs="宋体"/>
        </w:rPr>
      </w:pPr>
      <w:r>
        <w:rPr>
          <w:rFonts w:hint="eastAsia" w:ascii="宋体" w:hAnsi="宋体" w:eastAsia="宋体" w:cs="宋体"/>
        </w:rPr>
        <w:t>第三部分　资格证明文件</w:t>
      </w:r>
    </w:p>
    <w:p w14:paraId="7FBE440D">
      <w:pPr>
        <w:pStyle w:val="89"/>
        <w:spacing w:line="360" w:lineRule="auto"/>
        <w:ind w:firstLine="480"/>
        <w:rPr>
          <w:rFonts w:hint="eastAsia" w:ascii="宋体" w:hAnsi="宋体" w:eastAsia="宋体" w:cs="宋体"/>
        </w:rPr>
      </w:pPr>
      <w:r>
        <w:rPr>
          <w:rFonts w:hint="eastAsia" w:ascii="宋体" w:hAnsi="宋体" w:eastAsia="宋体" w:cs="宋体"/>
        </w:rPr>
        <w:t>按照招标文件第一章《</w:t>
      </w:r>
      <w:r>
        <w:rPr>
          <w:rFonts w:hint="eastAsia" w:ascii="宋体" w:hAnsi="宋体" w:cs="宋体"/>
          <w:lang w:eastAsia="zh-CN"/>
        </w:rPr>
        <w:t>招标公告</w:t>
      </w:r>
      <w:r>
        <w:rPr>
          <w:rFonts w:hint="eastAsia" w:ascii="宋体" w:hAnsi="宋体" w:eastAsia="宋体" w:cs="宋体"/>
        </w:rPr>
        <w:t>》所列“</w:t>
      </w:r>
      <w:r>
        <w:rPr>
          <w:rFonts w:hint="eastAsia" w:ascii="宋体" w:hAnsi="宋体" w:cs="宋体"/>
          <w:lang w:eastAsia="zh-CN"/>
        </w:rPr>
        <w:t>投标人</w:t>
      </w:r>
      <w:r>
        <w:rPr>
          <w:rFonts w:hint="eastAsia" w:ascii="宋体" w:hAnsi="宋体" w:eastAsia="宋体" w:cs="宋体"/>
        </w:rPr>
        <w:t>资格要求”提供各项资格证明文件，未按要求提供的，其投标文件将被视为无效文件。</w:t>
      </w:r>
    </w:p>
    <w:p w14:paraId="7822E159">
      <w:pPr>
        <w:pStyle w:val="90"/>
        <w:spacing w:line="360" w:lineRule="auto"/>
        <w:rPr>
          <w:rFonts w:hint="eastAsia" w:ascii="宋体" w:hAnsi="宋体" w:eastAsia="宋体" w:cs="宋体"/>
          <w:lang w:eastAsia="zh-CN"/>
        </w:rPr>
      </w:pPr>
      <w:r>
        <w:rPr>
          <w:rFonts w:hint="eastAsia" w:ascii="宋体" w:hAnsi="宋体" w:eastAsia="宋体" w:cs="宋体"/>
        </w:rPr>
        <w:t>（一）</w:t>
      </w:r>
      <w:r>
        <w:rPr>
          <w:rFonts w:hint="eastAsia" w:ascii="宋体" w:hAnsi="宋体" w:eastAsia="宋体" w:cs="宋体"/>
          <w:lang w:val="en-US" w:eastAsia="zh-CN"/>
        </w:rPr>
        <w:t>营业执照</w:t>
      </w:r>
    </w:p>
    <w:p w14:paraId="7F3E2DAC">
      <w:pPr>
        <w:pStyle w:val="90"/>
        <w:spacing w:line="360" w:lineRule="auto"/>
        <w:rPr>
          <w:rFonts w:hint="eastAsia" w:ascii="宋体" w:hAnsi="宋体" w:eastAsia="宋体" w:cs="宋体"/>
        </w:rPr>
      </w:pPr>
      <w:r>
        <w:rPr>
          <w:rFonts w:hint="eastAsia" w:ascii="宋体" w:hAnsi="宋体" w:eastAsia="宋体" w:cs="宋体"/>
        </w:rPr>
        <w:t>（二）财务状况报告</w:t>
      </w:r>
    </w:p>
    <w:p w14:paraId="3BA4F857">
      <w:pPr>
        <w:pStyle w:val="90"/>
        <w:spacing w:line="360" w:lineRule="auto"/>
        <w:rPr>
          <w:rFonts w:hint="eastAsia" w:ascii="宋体" w:hAnsi="宋体" w:eastAsia="宋体" w:cs="宋体"/>
        </w:rPr>
      </w:pPr>
      <w:r>
        <w:rPr>
          <w:rFonts w:hint="eastAsia" w:ascii="宋体" w:hAnsi="宋体" w:eastAsia="宋体" w:cs="宋体"/>
        </w:rPr>
        <w:t>（三）税收缴纳证明</w:t>
      </w:r>
    </w:p>
    <w:p w14:paraId="11A0E486">
      <w:pPr>
        <w:pStyle w:val="90"/>
        <w:spacing w:line="360" w:lineRule="auto"/>
        <w:rPr>
          <w:rFonts w:hint="eastAsia" w:ascii="宋体" w:hAnsi="宋体" w:eastAsia="宋体" w:cs="宋体"/>
        </w:rPr>
      </w:pPr>
      <w:r>
        <w:rPr>
          <w:rFonts w:hint="eastAsia" w:ascii="宋体" w:hAnsi="宋体" w:eastAsia="宋体" w:cs="宋体"/>
        </w:rPr>
        <w:t>（四）社会保障资金缴纳证明</w:t>
      </w:r>
    </w:p>
    <w:p w14:paraId="51828FE1">
      <w:pPr>
        <w:pStyle w:val="90"/>
        <w:spacing w:line="360" w:lineRule="auto"/>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五</w:t>
      </w:r>
      <w:r>
        <w:rPr>
          <w:rFonts w:hint="eastAsia" w:ascii="宋体" w:hAnsi="宋体" w:eastAsia="宋体" w:cs="宋体"/>
          <w:lang w:eastAsia="zh-CN"/>
        </w:rPr>
        <w:t>）</w:t>
      </w:r>
      <w:r>
        <w:rPr>
          <w:rFonts w:hint="eastAsia" w:ascii="宋体" w:hAnsi="宋体" w:eastAsia="宋体" w:cs="宋体"/>
          <w:lang w:val="en-US" w:eastAsia="zh-CN"/>
        </w:rPr>
        <w:t>具有履行本合同所必需的设备和专业技术能力的声明</w:t>
      </w:r>
    </w:p>
    <w:p w14:paraId="67E2D44E">
      <w:pPr>
        <w:pStyle w:val="90"/>
        <w:spacing w:line="360" w:lineRule="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六</w:t>
      </w:r>
      <w:r>
        <w:rPr>
          <w:rFonts w:hint="eastAsia" w:ascii="宋体" w:hAnsi="宋体" w:eastAsia="宋体" w:cs="宋体"/>
          <w:lang w:eastAsia="zh-CN"/>
        </w:rPr>
        <w:t>）</w:t>
      </w:r>
      <w:r>
        <w:rPr>
          <w:rFonts w:hint="eastAsia" w:ascii="宋体" w:hAnsi="宋体" w:eastAsia="宋体" w:cs="宋体"/>
        </w:rPr>
        <w:t>无重大违法记录声明</w:t>
      </w:r>
      <w:r>
        <w:rPr>
          <w:rFonts w:hint="eastAsia" w:ascii="宋体" w:hAnsi="宋体" w:eastAsia="宋体" w:cs="宋体"/>
          <w:lang w:eastAsia="zh-CN"/>
        </w:rPr>
        <w:t>（</w:t>
      </w:r>
      <w:r>
        <w:rPr>
          <w:rFonts w:hint="eastAsia" w:ascii="宋体" w:hAnsi="宋体" w:eastAsia="宋体" w:cs="宋体"/>
          <w:lang w:val="en-US" w:eastAsia="zh-CN"/>
        </w:rPr>
        <w:t>格式自拟</w:t>
      </w:r>
      <w:r>
        <w:rPr>
          <w:rFonts w:hint="eastAsia" w:ascii="宋体" w:hAnsi="宋体" w:eastAsia="宋体" w:cs="宋体"/>
          <w:lang w:eastAsia="zh-CN"/>
        </w:rPr>
        <w:t>）</w:t>
      </w:r>
    </w:p>
    <w:p w14:paraId="5CF172E7">
      <w:pPr>
        <w:pStyle w:val="89"/>
        <w:spacing w:line="360" w:lineRule="auto"/>
        <w:ind w:firstLine="480"/>
        <w:rPr>
          <w:rFonts w:hint="eastAsia" w:ascii="宋体" w:hAnsi="宋体" w:eastAsia="宋体" w:cs="宋体"/>
        </w:rPr>
      </w:pPr>
      <w:r>
        <w:rPr>
          <w:rFonts w:hint="eastAsia" w:ascii="宋体" w:hAnsi="宋体" w:eastAsia="宋体" w:cs="宋体"/>
        </w:rPr>
        <w:t>提示：</w:t>
      </w:r>
    </w:p>
    <w:p w14:paraId="08315BBB">
      <w:pPr>
        <w:pStyle w:val="89"/>
        <w:spacing w:line="360" w:lineRule="auto"/>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投标人</w:t>
      </w:r>
      <w:r>
        <w:rPr>
          <w:rFonts w:hint="eastAsia" w:ascii="宋体" w:hAnsi="宋体" w:eastAsia="宋体" w:cs="宋体"/>
        </w:rPr>
        <w:t>可通过【信用中国】（www.creditchina.gov.cn）、【中国政府采购网】（www.ccgp.gov.cn）网站对自身信用记录进行自查，</w:t>
      </w:r>
      <w:r>
        <w:rPr>
          <w:rFonts w:hint="eastAsia" w:ascii="宋体" w:hAnsi="宋体" w:cs="宋体"/>
          <w:lang w:val="en-US" w:eastAsia="zh-CN"/>
        </w:rPr>
        <w:t>提供网站截图，并填写以下声明</w:t>
      </w:r>
      <w:r>
        <w:rPr>
          <w:rFonts w:hint="eastAsia" w:ascii="宋体" w:hAnsi="宋体" w:eastAsia="宋体" w:cs="宋体"/>
        </w:rPr>
        <w:t>。</w:t>
      </w:r>
    </w:p>
    <w:p w14:paraId="3DCE4CC1">
      <w:pPr>
        <w:pStyle w:val="89"/>
        <w:spacing w:line="360" w:lineRule="auto"/>
        <w:ind w:firstLine="480"/>
        <w:rPr>
          <w:rFonts w:hint="eastAsia" w:ascii="宋体" w:hAnsi="宋体" w:eastAsia="宋体" w:cs="宋体"/>
          <w:i/>
          <w:color w:val="7030A0"/>
        </w:rPr>
      </w:pPr>
      <w:r>
        <w:rPr>
          <w:rFonts w:hint="eastAsia" w:ascii="宋体" w:hAnsi="宋体" w:eastAsia="宋体" w:cs="宋体"/>
        </w:rPr>
        <w:t>2．</w:t>
      </w:r>
      <w:r>
        <w:rPr>
          <w:rFonts w:hint="eastAsia" w:ascii="宋体" w:hAnsi="宋体" w:eastAsia="宋体" w:cs="宋体"/>
          <w:lang w:eastAsia="zh-CN"/>
        </w:rPr>
        <w:t>投标人</w:t>
      </w:r>
      <w:r>
        <w:rPr>
          <w:rFonts w:hint="eastAsia" w:ascii="宋体" w:hAnsi="宋体" w:eastAsia="宋体" w:cs="宋体"/>
        </w:rPr>
        <w:t>在参加政府采购活动前三年内因违法经营被禁止在一定期限内参加政府采购活动，期限届满的，可以参加政府采购活动，应提供期限届满的证明材料。</w:t>
      </w:r>
    </w:p>
    <w:p w14:paraId="7E061735">
      <w:pPr>
        <w:rPr>
          <w:rFonts w:hint="eastAsia" w:ascii="宋体" w:hAnsi="宋体" w:eastAsia="宋体" w:cs="宋体"/>
          <w:color w:val="1F4E79"/>
          <w:sz w:val="28"/>
          <w:szCs w:val="36"/>
        </w:rPr>
      </w:pPr>
      <w:r>
        <w:rPr>
          <w:rFonts w:hint="eastAsia" w:ascii="宋体" w:hAnsi="宋体" w:eastAsia="宋体" w:cs="宋体"/>
          <w:color w:val="1F4E79"/>
          <w:sz w:val="28"/>
          <w:szCs w:val="36"/>
        </w:rPr>
        <w:br w:type="page"/>
      </w:r>
    </w:p>
    <w:p w14:paraId="45CB0A91">
      <w:pPr>
        <w:spacing w:before="210" w:beforeLines="50" w:line="360" w:lineRule="auto"/>
        <w:jc w:val="center"/>
        <w:rPr>
          <w:rFonts w:hint="eastAsia" w:ascii="宋体" w:hAnsi="宋体" w:eastAsia="宋体" w:cs="宋体"/>
          <w:color w:val="auto"/>
          <w:sz w:val="28"/>
          <w:szCs w:val="36"/>
        </w:rPr>
      </w:pPr>
      <w:r>
        <w:rPr>
          <w:rFonts w:hint="eastAsia" w:ascii="宋体" w:hAnsi="宋体" w:eastAsia="宋体" w:cs="宋体"/>
          <w:color w:val="auto"/>
          <w:sz w:val="28"/>
          <w:szCs w:val="36"/>
        </w:rPr>
        <w:t>无重大违法记录声明</w:t>
      </w:r>
    </w:p>
    <w:p w14:paraId="1586B28C">
      <w:pPr>
        <w:pStyle w:val="89"/>
        <w:spacing w:line="360" w:lineRule="auto"/>
        <w:ind w:firstLine="0" w:firstLineChars="0"/>
        <w:rPr>
          <w:rFonts w:hint="eastAsia" w:ascii="宋体" w:hAnsi="宋体" w:eastAsia="宋体" w:cs="宋体"/>
          <w:color w:val="auto"/>
        </w:rPr>
      </w:pPr>
      <w:r>
        <w:rPr>
          <w:rFonts w:hint="eastAsia" w:ascii="宋体" w:hAnsi="宋体" w:eastAsia="宋体" w:cs="宋体"/>
          <w:color w:val="auto"/>
          <w:lang w:val="en-US" w:eastAsia="zh-CN"/>
        </w:rPr>
        <w:t>致：陕西信鹏项目管理有限公司</w:t>
      </w:r>
    </w:p>
    <w:p w14:paraId="06A2B019">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我方作为</w:t>
      </w:r>
      <w:r>
        <w:rPr>
          <w:rFonts w:hint="eastAsia" w:ascii="宋体" w:hAnsi="宋体" w:eastAsia="宋体" w:cs="宋体"/>
          <w:color w:val="auto"/>
          <w:u w:val="single"/>
        </w:rPr>
        <w:t>〈项目名称〉</w:t>
      </w:r>
      <w:r>
        <w:rPr>
          <w:rFonts w:hint="eastAsia" w:ascii="宋体" w:hAnsi="宋体" w:cs="宋体"/>
          <w:color w:val="auto"/>
          <w:u w:val="single"/>
          <w:lang w:eastAsia="zh-CN"/>
        </w:rPr>
        <w:t>〈</w:t>
      </w:r>
      <w:r>
        <w:rPr>
          <w:rFonts w:hint="eastAsia" w:ascii="宋体" w:hAnsi="宋体" w:cs="宋体"/>
          <w:color w:val="auto"/>
          <w:u w:val="single"/>
          <w:lang w:val="en-US" w:eastAsia="zh-CN"/>
        </w:rPr>
        <w:t>包号</w:t>
      </w:r>
      <w:r>
        <w:rPr>
          <w:rFonts w:hint="eastAsia" w:ascii="宋体" w:hAnsi="宋体" w:cs="宋体"/>
          <w:color w:val="auto"/>
          <w:u w:val="single"/>
          <w:lang w:eastAsia="zh-CN"/>
        </w:rPr>
        <w:t>〉</w:t>
      </w:r>
      <w:r>
        <w:rPr>
          <w:rFonts w:hint="eastAsia" w:ascii="宋体" w:hAnsi="宋体" w:cs="宋体"/>
          <w:color w:val="auto"/>
          <w:lang w:eastAsia="zh-CN"/>
        </w:rPr>
        <w:t>（</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）的</w:t>
      </w:r>
      <w:r>
        <w:rPr>
          <w:rFonts w:hint="eastAsia" w:ascii="宋体" w:hAnsi="宋体" w:cs="宋体"/>
          <w:color w:val="auto"/>
          <w:lang w:eastAsia="zh-CN"/>
        </w:rPr>
        <w:t>投标人</w:t>
      </w:r>
      <w:r>
        <w:rPr>
          <w:rFonts w:hint="eastAsia" w:ascii="宋体" w:hAnsi="宋体" w:eastAsia="宋体" w:cs="宋体"/>
          <w:color w:val="auto"/>
        </w:rPr>
        <w:t>，在此郑重声明：</w:t>
      </w:r>
    </w:p>
    <w:p w14:paraId="7F3225B0">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1．在参加本次政府采购活动前3年内的经营活动中___（填“没有”或“有”）重大违法记录。</w:t>
      </w:r>
    </w:p>
    <w:p w14:paraId="31AB277E">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2．我方___（填“未被列入”或“被列入”）失信被执行人名单。</w:t>
      </w:r>
    </w:p>
    <w:p w14:paraId="40AE4FCC">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3．我方___（填“未被列入”或“被列入”）</w:t>
      </w:r>
      <w:r>
        <w:rPr>
          <w:rFonts w:hint="eastAsia" w:ascii="宋体" w:hAnsi="宋体" w:cs="宋体"/>
          <w:color w:val="auto"/>
          <w:lang w:eastAsia="zh-CN"/>
        </w:rPr>
        <w:t>重大税收违法失信主体</w:t>
      </w:r>
      <w:r>
        <w:rPr>
          <w:rFonts w:hint="eastAsia" w:ascii="宋体" w:hAnsi="宋体" w:eastAsia="宋体" w:cs="宋体"/>
          <w:color w:val="auto"/>
        </w:rPr>
        <w:t>。</w:t>
      </w:r>
    </w:p>
    <w:p w14:paraId="467693B7">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4．我方___（填“未被列入”或“被列入”）政府采购严重违法失信行为记录名单。</w:t>
      </w:r>
    </w:p>
    <w:p w14:paraId="674644AC">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如有不实，我方将无条件地退出本项目的采购活动，并遵照《政府采购法》有关“提供虚假材料的规定”接受处罚。</w:t>
      </w:r>
    </w:p>
    <w:p w14:paraId="0B8840A2">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特此声明。</w:t>
      </w:r>
    </w:p>
    <w:p w14:paraId="1F2BC3A2">
      <w:pPr>
        <w:pStyle w:val="89"/>
        <w:tabs>
          <w:tab w:val="center" w:pos="5812"/>
        </w:tabs>
        <w:spacing w:line="360" w:lineRule="auto"/>
        <w:ind w:firstLine="0" w:firstLineChars="0"/>
        <w:rPr>
          <w:rFonts w:hint="eastAsia" w:ascii="宋体" w:hAnsi="宋体" w:eastAsia="宋体" w:cs="宋体"/>
          <w:color w:val="auto"/>
        </w:rPr>
      </w:pPr>
      <w:r>
        <w:rPr>
          <w:rFonts w:hint="eastAsia" w:ascii="宋体" w:hAnsi="宋体" w:eastAsia="宋体" w:cs="宋体"/>
          <w:color w:val="auto"/>
        </w:rPr>
        <w:tab/>
      </w:r>
      <w:r>
        <w:rPr>
          <w:rFonts w:hint="eastAsia" w:ascii="宋体" w:hAnsi="宋体" w:cs="宋体"/>
          <w:color w:val="auto"/>
          <w:lang w:eastAsia="zh-CN"/>
        </w:rPr>
        <w:t>投标人</w:t>
      </w:r>
      <w:r>
        <w:rPr>
          <w:rFonts w:hint="eastAsia" w:ascii="宋体" w:hAnsi="宋体" w:eastAsia="宋体" w:cs="宋体"/>
          <w:color w:val="auto"/>
        </w:rPr>
        <w:t>：（</w:t>
      </w:r>
      <w:r>
        <w:rPr>
          <w:rFonts w:hint="eastAsia" w:ascii="宋体" w:hAnsi="宋体" w:cs="宋体"/>
          <w:color w:val="auto"/>
          <w:lang w:eastAsia="zh-CN"/>
        </w:rPr>
        <w:t>投标人</w:t>
      </w:r>
      <w:r>
        <w:rPr>
          <w:rFonts w:hint="eastAsia" w:ascii="宋体" w:hAnsi="宋体" w:eastAsia="宋体" w:cs="宋体"/>
          <w:color w:val="auto"/>
        </w:rPr>
        <w:t>全称并加盖公章）</w:t>
      </w:r>
    </w:p>
    <w:p w14:paraId="2D1DFCFC">
      <w:pPr>
        <w:pStyle w:val="89"/>
        <w:tabs>
          <w:tab w:val="center" w:pos="5812"/>
        </w:tabs>
        <w:spacing w:line="360" w:lineRule="auto"/>
        <w:ind w:firstLine="0" w:firstLineChars="0"/>
        <w:rPr>
          <w:rFonts w:hint="eastAsia" w:ascii="宋体" w:hAnsi="宋体" w:eastAsia="宋体" w:cs="宋体"/>
          <w:color w:val="auto"/>
        </w:rPr>
      </w:pPr>
      <w:r>
        <w:rPr>
          <w:rFonts w:hint="eastAsia" w:ascii="宋体" w:hAnsi="宋体" w:eastAsia="宋体" w:cs="宋体"/>
          <w:color w:val="auto"/>
        </w:rPr>
        <w:tab/>
      </w:r>
      <w:r>
        <w:rPr>
          <w:rFonts w:hint="eastAsia" w:ascii="宋体" w:hAnsi="宋体" w:eastAsia="宋体" w:cs="宋体"/>
          <w:color w:val="auto"/>
        </w:rPr>
        <w:t>日　期：　　年　月　日</w:t>
      </w:r>
    </w:p>
    <w:p w14:paraId="124A0B18">
      <w:pPr>
        <w:tabs>
          <w:tab w:val="center" w:pos="6663"/>
        </w:tabs>
        <w:spacing w:line="360" w:lineRule="auto"/>
        <w:rPr>
          <w:rFonts w:hint="eastAsia" w:ascii="宋体" w:hAnsi="宋体" w:eastAsia="宋体" w:cs="宋体"/>
          <w:sz w:val="28"/>
          <w:szCs w:val="28"/>
        </w:rPr>
      </w:pPr>
      <w:r>
        <w:rPr>
          <w:rFonts w:hint="eastAsia" w:ascii="宋体" w:hAnsi="宋体" w:eastAsia="宋体" w:cs="宋体"/>
          <w:sz w:val="28"/>
          <w:szCs w:val="28"/>
        </w:rPr>
        <w:br w:type="page"/>
      </w:r>
    </w:p>
    <w:p w14:paraId="0CD84143">
      <w:pPr>
        <w:pStyle w:val="90"/>
        <w:spacing w:line="360" w:lineRule="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七</w:t>
      </w:r>
      <w:r>
        <w:rPr>
          <w:rFonts w:hint="eastAsia" w:ascii="宋体" w:hAnsi="宋体" w:eastAsia="宋体" w:cs="宋体"/>
        </w:rPr>
        <w:t>）法定代表人（主要负责人）委托授权书\身份证明</w:t>
      </w:r>
    </w:p>
    <w:p w14:paraId="752C3AAA">
      <w:pPr>
        <w:pStyle w:val="89"/>
        <w:spacing w:line="360" w:lineRule="auto"/>
        <w:ind w:firstLine="480"/>
        <w:rPr>
          <w:rFonts w:hint="eastAsia" w:ascii="宋体" w:hAnsi="宋体" w:eastAsia="宋体" w:cs="宋体"/>
        </w:rPr>
      </w:pPr>
      <w:r>
        <w:rPr>
          <w:rFonts w:hint="eastAsia" w:ascii="宋体" w:hAnsi="宋体" w:eastAsia="宋体" w:cs="宋体"/>
        </w:rPr>
        <w:t>说明：</w:t>
      </w:r>
    </w:p>
    <w:p w14:paraId="58795185">
      <w:pPr>
        <w:pStyle w:val="89"/>
        <w:spacing w:line="360" w:lineRule="auto"/>
        <w:ind w:firstLine="480"/>
        <w:rPr>
          <w:rFonts w:hint="eastAsia" w:ascii="宋体" w:hAnsi="宋体" w:eastAsia="宋体" w:cs="宋体"/>
        </w:rPr>
      </w:pPr>
      <w:r>
        <w:rPr>
          <w:rFonts w:hint="eastAsia" w:ascii="宋体" w:hAnsi="宋体" w:eastAsia="宋体" w:cs="宋体"/>
        </w:rPr>
        <w:t>（1）法定代表人（主要负责人）包括：①企业法人的法定代表人；②个人独资企业的投资人；③分支机构的负责人；④合伙企业的执行事务合伙人（委派代表）；⑤个体工商户业主；⑥农民专业合作社的法定代表人。</w:t>
      </w:r>
    </w:p>
    <w:p w14:paraId="544D294C">
      <w:pPr>
        <w:pStyle w:val="89"/>
        <w:spacing w:line="360" w:lineRule="auto"/>
        <w:ind w:firstLine="480"/>
        <w:rPr>
          <w:rFonts w:hint="eastAsia" w:ascii="宋体" w:hAnsi="宋体" w:eastAsia="宋体" w:cs="宋体"/>
        </w:rPr>
      </w:pPr>
      <w:r>
        <w:rPr>
          <w:rFonts w:hint="eastAsia" w:ascii="宋体" w:hAnsi="宋体" w:eastAsia="宋体" w:cs="宋体"/>
        </w:rPr>
        <w:t>（2）委托授权书\身份证明（二选一）：法定代表人（主要负责人）委托代理人参加投标时，提供法定代表人（主要负责人）委托授权书；法定代表人（主要负责人）亲自参加投标时，提供法定代表人（主要负责人）身份证明。</w:t>
      </w:r>
    </w:p>
    <w:p w14:paraId="0A9CCA91">
      <w:pPr>
        <w:pStyle w:val="89"/>
        <w:spacing w:line="360" w:lineRule="auto"/>
        <w:ind w:firstLine="480"/>
        <w:rPr>
          <w:rFonts w:hint="eastAsia" w:ascii="宋体" w:hAnsi="宋体" w:eastAsia="宋体" w:cs="宋体"/>
        </w:rPr>
      </w:pPr>
    </w:p>
    <w:p w14:paraId="7724AAAC">
      <w:pPr>
        <w:pStyle w:val="89"/>
        <w:spacing w:line="360" w:lineRule="auto"/>
        <w:ind w:firstLine="480"/>
        <w:rPr>
          <w:rFonts w:hint="eastAsia" w:ascii="宋体" w:hAnsi="宋体" w:eastAsia="宋体" w:cs="宋体"/>
        </w:rPr>
      </w:pPr>
    </w:p>
    <w:p w14:paraId="25925644">
      <w:pPr>
        <w:rPr>
          <w:rFonts w:hint="eastAsia" w:ascii="宋体" w:hAnsi="宋体" w:eastAsia="宋体" w:cs="宋体"/>
          <w:color w:val="1F4E79"/>
          <w:sz w:val="28"/>
          <w:szCs w:val="36"/>
        </w:rPr>
      </w:pPr>
      <w:r>
        <w:rPr>
          <w:rFonts w:hint="eastAsia" w:ascii="宋体" w:hAnsi="宋体" w:eastAsia="宋体" w:cs="宋体"/>
          <w:color w:val="1F4E79"/>
          <w:sz w:val="28"/>
          <w:szCs w:val="36"/>
        </w:rPr>
        <w:br w:type="page"/>
      </w:r>
    </w:p>
    <w:p w14:paraId="65912F37">
      <w:pPr>
        <w:spacing w:before="210" w:beforeLines="50" w:line="360" w:lineRule="auto"/>
        <w:jc w:val="center"/>
        <w:rPr>
          <w:rFonts w:hint="eastAsia" w:ascii="宋体" w:hAnsi="宋体" w:eastAsia="宋体" w:cs="宋体"/>
          <w:color w:val="auto"/>
          <w:sz w:val="28"/>
          <w:szCs w:val="36"/>
        </w:rPr>
      </w:pPr>
      <w:r>
        <w:rPr>
          <w:rFonts w:hint="eastAsia" w:ascii="宋体" w:hAnsi="宋体" w:eastAsia="宋体" w:cs="宋体"/>
          <w:color w:val="auto"/>
          <w:sz w:val="28"/>
          <w:szCs w:val="36"/>
        </w:rPr>
        <w:t>法定代表人（主要负责人）身份证明（格式）</w:t>
      </w:r>
    </w:p>
    <w:p w14:paraId="73BEB15B">
      <w:pPr>
        <w:spacing w:line="360" w:lineRule="auto"/>
        <w:rPr>
          <w:rFonts w:hint="eastAsia" w:ascii="宋体" w:hAnsi="宋体" w:eastAsia="宋体" w:cs="宋体"/>
          <w:color w:val="auto"/>
        </w:rPr>
      </w:pPr>
      <w:r>
        <w:rPr>
          <w:rFonts w:hint="eastAsia" w:ascii="宋体" w:hAnsi="宋体" w:eastAsia="宋体" w:cs="宋体"/>
          <w:color w:val="auto"/>
          <w:lang w:val="en-US" w:eastAsia="zh-CN"/>
        </w:rPr>
        <w:t>致：陕西信鹏项目管理有限公司</w:t>
      </w:r>
    </w:p>
    <w:p w14:paraId="7F05F5CA">
      <w:pPr>
        <w:spacing w:after="210" w:afterLines="50" w:line="360" w:lineRule="auto"/>
        <w:ind w:firstLine="480" w:firstLineChars="200"/>
        <w:rPr>
          <w:rFonts w:hint="eastAsia" w:ascii="宋体" w:hAnsi="宋体" w:eastAsia="宋体" w:cs="宋体"/>
          <w:color w:val="auto"/>
        </w:rPr>
      </w:pPr>
      <w:r>
        <w:rPr>
          <w:rFonts w:hint="eastAsia" w:ascii="宋体" w:hAnsi="宋体" w:eastAsia="宋体" w:cs="宋体"/>
          <w:color w:val="auto"/>
          <w:u w:val="single"/>
        </w:rPr>
        <w:t>〈法定代表人（主要负责人）姓名〉</w:t>
      </w:r>
      <w:r>
        <w:rPr>
          <w:rFonts w:hint="eastAsia" w:ascii="宋体" w:hAnsi="宋体" w:eastAsia="宋体" w:cs="宋体"/>
          <w:color w:val="auto"/>
        </w:rPr>
        <w:t>系</w:t>
      </w:r>
      <w:r>
        <w:rPr>
          <w:rFonts w:hint="eastAsia" w:ascii="宋体" w:hAnsi="宋体" w:eastAsia="宋体" w:cs="宋体"/>
          <w:color w:val="auto"/>
          <w:u w:val="single"/>
        </w:rPr>
        <w:t>〈</w:t>
      </w:r>
      <w:r>
        <w:rPr>
          <w:rFonts w:hint="eastAsia" w:ascii="宋体" w:hAnsi="宋体" w:eastAsia="宋体" w:cs="宋体"/>
          <w:color w:val="auto"/>
          <w:u w:val="single"/>
          <w:lang w:eastAsia="zh-CN"/>
        </w:rPr>
        <w:t>投标人</w:t>
      </w:r>
      <w:r>
        <w:rPr>
          <w:rFonts w:hint="eastAsia" w:ascii="宋体" w:hAnsi="宋体" w:eastAsia="宋体" w:cs="宋体"/>
          <w:color w:val="auto"/>
          <w:u w:val="single"/>
        </w:rPr>
        <w:t>全称〉</w:t>
      </w:r>
      <w:r>
        <w:rPr>
          <w:rFonts w:hint="eastAsia" w:ascii="宋体" w:hAnsi="宋体" w:eastAsia="宋体" w:cs="宋体"/>
          <w:color w:val="auto"/>
        </w:rPr>
        <w:t>的法定代表人（主要负责人），特此证明。</w:t>
      </w:r>
    </w:p>
    <w:tbl>
      <w:tblPr>
        <w:tblStyle w:val="32"/>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14:paraId="01FC560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77" w:hRule="atLeast"/>
          <w:jc w:val="center"/>
        </w:trPr>
        <w:tc>
          <w:tcPr>
            <w:tcW w:w="9057" w:type="dxa"/>
            <w:vAlign w:val="center"/>
          </w:tcPr>
          <w:p w14:paraId="2AD095F7">
            <w:pPr>
              <w:keepNext w:val="0"/>
              <w:keepLines w:val="0"/>
              <w:widowControl/>
              <w:suppressLineNumbers w:val="0"/>
              <w:spacing w:before="0" w:beforeAutospacing="0" w:after="630" w:afterLines="150" w:afterAutospacing="0" w:line="360" w:lineRule="auto"/>
              <w:ind w:left="0" w:right="0" w:firstLine="15" w:firstLineChars="3"/>
              <w:jc w:val="center"/>
              <w:rPr>
                <w:rFonts w:hint="eastAsia" w:ascii="宋体" w:hAnsi="宋体" w:eastAsia="宋体" w:cs="宋体"/>
                <w:color w:val="auto"/>
              </w:rPr>
            </w:pPr>
            <w:r>
              <w:rPr>
                <w:rFonts w:hint="eastAsia" w:ascii="宋体" w:hAnsi="宋体" w:eastAsia="宋体" w:cs="宋体"/>
                <w:color w:val="auto"/>
                <w:sz w:val="52"/>
              </w:rPr>
              <w:t>法定代表人（主要负责人）</w:t>
            </w:r>
          </w:p>
          <w:p w14:paraId="4F2F86C9">
            <w:pPr>
              <w:keepNext w:val="0"/>
              <w:keepLines w:val="0"/>
              <w:widowControl/>
              <w:suppressLineNumbers w:val="0"/>
              <w:spacing w:before="0" w:beforeAutospacing="0" w:after="0" w:afterAutospacing="0" w:line="360" w:lineRule="auto"/>
              <w:ind w:left="0" w:right="0" w:firstLine="7" w:firstLineChars="3"/>
              <w:jc w:val="center"/>
              <w:rPr>
                <w:rFonts w:hint="eastAsia" w:ascii="宋体" w:hAnsi="宋体" w:eastAsia="宋体" w:cs="宋体"/>
                <w:color w:val="auto"/>
              </w:rPr>
            </w:pPr>
            <w:r>
              <w:rPr>
                <w:rFonts w:hint="eastAsia" w:ascii="宋体" w:hAnsi="宋体" w:eastAsia="宋体" w:cs="宋体"/>
                <w:color w:val="auto"/>
              </w:rPr>
              <w:t>身份证正反面（扫描件）</w:t>
            </w:r>
          </w:p>
          <w:p w14:paraId="5895B3E4">
            <w:pPr>
              <w:keepNext w:val="0"/>
              <w:keepLines w:val="0"/>
              <w:widowControl/>
              <w:suppressLineNumbers w:val="0"/>
              <w:spacing w:before="0" w:beforeAutospacing="0" w:after="0" w:afterAutospacing="0" w:line="360" w:lineRule="auto"/>
              <w:ind w:left="0" w:right="0" w:firstLine="7" w:firstLineChars="3"/>
              <w:jc w:val="center"/>
              <w:rPr>
                <w:rFonts w:hint="eastAsia" w:ascii="宋体" w:hAnsi="宋体" w:eastAsia="宋体" w:cs="宋体"/>
                <w:color w:val="auto"/>
              </w:rPr>
            </w:pPr>
            <w:r>
              <w:rPr>
                <w:rFonts w:hint="eastAsia" w:ascii="宋体" w:hAnsi="宋体" w:eastAsia="宋体" w:cs="宋体"/>
                <w:color w:val="auto"/>
              </w:rPr>
              <w:t>或护照资料页（扫描件）</w:t>
            </w:r>
          </w:p>
        </w:tc>
      </w:tr>
    </w:tbl>
    <w:p w14:paraId="02A5AB92">
      <w:pPr>
        <w:spacing w:line="360" w:lineRule="auto"/>
        <w:ind w:firstLine="480" w:firstLineChars="200"/>
        <w:rPr>
          <w:rFonts w:hint="eastAsia" w:ascii="宋体" w:hAnsi="宋体" w:eastAsia="宋体" w:cs="宋体"/>
          <w:color w:val="auto"/>
          <w:lang w:eastAsia="zh-CN"/>
        </w:rPr>
      </w:pPr>
    </w:p>
    <w:p w14:paraId="626FEFEA">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lang w:eastAsia="zh-CN"/>
        </w:rPr>
        <w:t>投标人</w:t>
      </w:r>
      <w:r>
        <w:rPr>
          <w:rFonts w:hint="eastAsia" w:ascii="宋体" w:hAnsi="宋体" w:eastAsia="宋体" w:cs="宋体"/>
          <w:color w:val="auto"/>
        </w:rPr>
        <w:t>：（</w:t>
      </w:r>
      <w:r>
        <w:rPr>
          <w:rFonts w:hint="eastAsia" w:ascii="宋体" w:hAnsi="宋体" w:eastAsia="宋体" w:cs="宋体"/>
          <w:color w:val="auto"/>
          <w:lang w:eastAsia="zh-CN"/>
        </w:rPr>
        <w:t>投标人</w:t>
      </w:r>
      <w:r>
        <w:rPr>
          <w:rFonts w:hint="eastAsia" w:ascii="宋体" w:hAnsi="宋体" w:eastAsia="宋体" w:cs="宋体"/>
          <w:color w:val="auto"/>
        </w:rPr>
        <w:t>全称并加盖公章）</w:t>
      </w:r>
    </w:p>
    <w:p w14:paraId="4153C0E5">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日期：　　　年　月　日</w:t>
      </w:r>
    </w:p>
    <w:p w14:paraId="54AE5FC3">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br w:type="page"/>
      </w:r>
    </w:p>
    <w:p w14:paraId="3421A9C6">
      <w:pPr>
        <w:spacing w:before="210" w:beforeLines="50" w:line="360" w:lineRule="auto"/>
        <w:jc w:val="center"/>
        <w:rPr>
          <w:rFonts w:hint="eastAsia" w:ascii="宋体" w:hAnsi="宋体" w:eastAsia="宋体" w:cs="宋体"/>
          <w:color w:val="auto"/>
          <w:sz w:val="28"/>
          <w:szCs w:val="36"/>
        </w:rPr>
      </w:pPr>
      <w:r>
        <w:rPr>
          <w:rFonts w:hint="eastAsia" w:ascii="宋体" w:hAnsi="宋体" w:eastAsia="宋体" w:cs="宋体"/>
          <w:color w:val="auto"/>
          <w:sz w:val="28"/>
          <w:szCs w:val="36"/>
        </w:rPr>
        <w:t>法定代表人（主要负责人）委托授权书（格式）</w:t>
      </w:r>
    </w:p>
    <w:p w14:paraId="191E441A">
      <w:pPr>
        <w:pStyle w:val="89"/>
        <w:spacing w:line="360" w:lineRule="auto"/>
        <w:ind w:firstLine="0" w:firstLineChars="0"/>
        <w:rPr>
          <w:rFonts w:hint="eastAsia" w:ascii="宋体" w:hAnsi="宋体" w:eastAsia="宋体" w:cs="宋体"/>
          <w:color w:val="auto"/>
        </w:rPr>
      </w:pPr>
      <w:r>
        <w:rPr>
          <w:rFonts w:hint="eastAsia" w:ascii="宋体" w:hAnsi="宋体" w:eastAsia="宋体" w:cs="宋体"/>
          <w:color w:val="auto"/>
          <w:lang w:val="en-US" w:eastAsia="zh-CN"/>
        </w:rPr>
        <w:t>致：陕西信鹏项目管理有限公司</w:t>
      </w:r>
    </w:p>
    <w:p w14:paraId="402CE9E0">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现委派</w:t>
      </w:r>
      <w:r>
        <w:rPr>
          <w:rFonts w:hint="eastAsia" w:ascii="宋体" w:hAnsi="宋体" w:eastAsia="宋体" w:cs="宋体"/>
          <w:color w:val="auto"/>
          <w:u w:val="single"/>
        </w:rPr>
        <w:t>〈代理人姓名〉</w:t>
      </w:r>
      <w:r>
        <w:rPr>
          <w:rFonts w:hint="eastAsia" w:ascii="宋体" w:hAnsi="宋体" w:eastAsia="宋体" w:cs="宋体"/>
          <w:color w:val="auto"/>
        </w:rPr>
        <w:t>代表我方参加贵中心组织的</w:t>
      </w:r>
      <w:r>
        <w:rPr>
          <w:rFonts w:hint="eastAsia" w:ascii="宋体" w:hAnsi="宋体" w:eastAsia="宋体" w:cs="宋体"/>
          <w:color w:val="auto"/>
          <w:u w:val="single"/>
        </w:rPr>
        <w:t>〈项目名称〉</w:t>
      </w:r>
      <w:r>
        <w:rPr>
          <w:rFonts w:hint="eastAsia" w:ascii="宋体" w:hAnsi="宋体" w:cs="宋体"/>
          <w:color w:val="auto"/>
          <w:u w:val="single"/>
          <w:lang w:eastAsia="zh-CN"/>
        </w:rPr>
        <w:t>〈</w:t>
      </w:r>
      <w:r>
        <w:rPr>
          <w:rFonts w:hint="eastAsia" w:ascii="宋体" w:hAnsi="宋体" w:cs="宋体"/>
          <w:color w:val="auto"/>
          <w:u w:val="single"/>
          <w:lang w:val="en-US" w:eastAsia="zh-CN"/>
        </w:rPr>
        <w:t>包号</w:t>
      </w:r>
      <w:r>
        <w:rPr>
          <w:rFonts w:hint="eastAsia" w:ascii="宋体" w:hAnsi="宋体" w:cs="宋体"/>
          <w:color w:val="auto"/>
          <w:u w:val="single"/>
          <w:lang w:eastAsia="zh-CN"/>
        </w:rPr>
        <w:t>〉</w:t>
      </w:r>
      <w:r>
        <w:rPr>
          <w:rFonts w:hint="eastAsia" w:ascii="宋体" w:hAnsi="宋体" w:cs="宋体"/>
          <w:color w:val="auto"/>
          <w:lang w:eastAsia="zh-CN"/>
        </w:rPr>
        <w:t>（</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）政府采购活动，以我方名义签署、澄清、确认、递交、撤回、修改投标文件，签订合同和全权处理一切与之有关的事宜，其法律后果由我方承担。</w:t>
      </w:r>
    </w:p>
    <w:p w14:paraId="3F9E5EA8">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本授权有效期与投标文件有效期一致。代理人无转委托权。</w:t>
      </w:r>
    </w:p>
    <w:p w14:paraId="3E4A5F08">
      <w:pPr>
        <w:pStyle w:val="89"/>
        <w:tabs>
          <w:tab w:val="left" w:pos="5387"/>
        </w:tabs>
        <w:spacing w:before="210" w:beforeLines="50" w:line="360" w:lineRule="auto"/>
        <w:ind w:firstLine="480"/>
        <w:rPr>
          <w:rFonts w:hint="eastAsia" w:ascii="宋体" w:hAnsi="宋体" w:eastAsia="宋体" w:cs="宋体"/>
          <w:color w:val="auto"/>
        </w:rPr>
      </w:pPr>
      <w:r>
        <w:rPr>
          <w:rFonts w:hint="eastAsia" w:ascii="宋体" w:hAnsi="宋体" w:eastAsia="宋体" w:cs="宋体"/>
          <w:color w:val="auto"/>
        </w:rPr>
        <w:t>代理人姓名：_________________________</w:t>
      </w:r>
      <w:r>
        <w:rPr>
          <w:rFonts w:hint="eastAsia" w:ascii="宋体" w:hAnsi="宋体" w:eastAsia="宋体" w:cs="宋体"/>
          <w:color w:val="auto"/>
        </w:rPr>
        <w:tab/>
      </w:r>
      <w:r>
        <w:rPr>
          <w:rFonts w:hint="eastAsia" w:ascii="宋体" w:hAnsi="宋体" w:eastAsia="宋体" w:cs="宋体"/>
          <w:color w:val="auto"/>
        </w:rPr>
        <w:t>联系电话：______________</w:t>
      </w:r>
    </w:p>
    <w:p w14:paraId="420D261B">
      <w:pPr>
        <w:pStyle w:val="89"/>
        <w:tabs>
          <w:tab w:val="left" w:pos="5387"/>
        </w:tabs>
        <w:spacing w:line="360" w:lineRule="auto"/>
        <w:ind w:firstLine="480"/>
        <w:rPr>
          <w:rFonts w:hint="eastAsia" w:ascii="宋体" w:hAnsi="宋体" w:eastAsia="宋体" w:cs="宋体"/>
          <w:color w:val="auto"/>
        </w:rPr>
      </w:pPr>
      <w:r>
        <w:rPr>
          <w:rFonts w:hint="eastAsia" w:ascii="宋体" w:hAnsi="宋体" w:eastAsia="宋体" w:cs="宋体"/>
          <w:color w:val="auto"/>
        </w:rPr>
        <w:t>身份证（护照）号码：_________________</w:t>
      </w:r>
      <w:r>
        <w:rPr>
          <w:rFonts w:hint="eastAsia" w:ascii="宋体" w:hAnsi="宋体" w:eastAsia="宋体" w:cs="宋体"/>
          <w:color w:val="auto"/>
        </w:rPr>
        <w:tab/>
      </w:r>
      <w:r>
        <w:rPr>
          <w:rFonts w:hint="eastAsia" w:ascii="宋体" w:hAnsi="宋体" w:eastAsia="宋体" w:cs="宋体"/>
          <w:color w:val="auto"/>
        </w:rPr>
        <w:t>职务：__________________</w:t>
      </w:r>
    </w:p>
    <w:p w14:paraId="09F1A669">
      <w:pPr>
        <w:pStyle w:val="89"/>
        <w:tabs>
          <w:tab w:val="left" w:pos="4395"/>
        </w:tabs>
        <w:spacing w:after="210" w:afterLines="50" w:line="360" w:lineRule="auto"/>
        <w:ind w:firstLine="480"/>
        <w:rPr>
          <w:rFonts w:hint="eastAsia" w:ascii="宋体" w:hAnsi="宋体" w:eastAsia="宋体" w:cs="宋体"/>
          <w:color w:val="auto"/>
        </w:rPr>
      </w:pPr>
      <w:r>
        <w:rPr>
          <w:rFonts w:hint="eastAsia" w:ascii="宋体" w:hAnsi="宋体" w:eastAsia="宋体" w:cs="宋体"/>
          <w:color w:val="auto"/>
        </w:rPr>
        <w:t>通讯地址：_______________________________________________________</w:t>
      </w:r>
    </w:p>
    <w:tbl>
      <w:tblPr>
        <w:tblStyle w:val="3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14:paraId="4038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4717" w:type="dxa"/>
            <w:tcBorders>
              <w:top w:val="single" w:color="auto" w:sz="12" w:space="0"/>
              <w:left w:val="single" w:color="auto" w:sz="12" w:space="0"/>
              <w:bottom w:val="dashSmallGap" w:color="auto" w:sz="4" w:space="0"/>
              <w:right w:val="single" w:color="auto" w:sz="12" w:space="0"/>
            </w:tcBorders>
            <w:vAlign w:val="bottom"/>
          </w:tcPr>
          <w:p w14:paraId="4276E3F8">
            <w:pPr>
              <w:keepNext w:val="0"/>
              <w:keepLines w:val="0"/>
              <w:widowControl/>
              <w:suppressLineNumbers w:val="0"/>
              <w:spacing w:before="0" w:beforeAutospacing="0" w:after="630" w:afterLines="150" w:afterAutospacing="0" w:line="360" w:lineRule="auto"/>
              <w:ind w:left="0" w:right="0" w:firstLine="10" w:firstLineChars="3"/>
              <w:jc w:val="center"/>
              <w:rPr>
                <w:rFonts w:hint="eastAsia" w:ascii="宋体" w:hAnsi="宋体" w:eastAsia="宋体" w:cs="宋体"/>
                <w:color w:val="auto"/>
                <w:sz w:val="12"/>
              </w:rPr>
            </w:pPr>
            <w:r>
              <w:rPr>
                <w:rFonts w:hint="eastAsia" w:ascii="宋体" w:hAnsi="宋体" w:eastAsia="宋体" w:cs="宋体"/>
                <w:color w:val="auto"/>
                <w:sz w:val="36"/>
              </w:rPr>
              <w:t>法定代表人（主要负责人）</w:t>
            </w:r>
          </w:p>
          <w:p w14:paraId="0335362C">
            <w:pPr>
              <w:keepNext w:val="0"/>
              <w:keepLines w:val="0"/>
              <w:widowControl/>
              <w:suppressLineNumbers w:val="0"/>
              <w:spacing w:before="0" w:beforeAutospacing="0" w:after="0" w:afterAutospacing="0" w:line="360" w:lineRule="auto"/>
              <w:ind w:left="0" w:right="0" w:firstLine="7" w:firstLineChars="3"/>
              <w:jc w:val="center"/>
              <w:rPr>
                <w:rFonts w:hint="eastAsia" w:ascii="宋体" w:hAnsi="宋体" w:eastAsia="宋体" w:cs="宋体"/>
                <w:color w:val="auto"/>
              </w:rPr>
            </w:pPr>
            <w:r>
              <w:rPr>
                <w:rFonts w:hint="eastAsia" w:ascii="宋体" w:hAnsi="宋体" w:eastAsia="宋体" w:cs="宋体"/>
                <w:color w:val="auto"/>
              </w:rPr>
              <w:t>身份证正反面（扫描件）</w:t>
            </w:r>
          </w:p>
        </w:tc>
        <w:tc>
          <w:tcPr>
            <w:tcW w:w="236" w:type="dxa"/>
            <w:tcBorders>
              <w:top w:val="nil"/>
              <w:left w:val="single" w:color="auto" w:sz="12" w:space="0"/>
              <w:bottom w:val="nil"/>
              <w:right w:val="single" w:color="auto" w:sz="12" w:space="0"/>
            </w:tcBorders>
          </w:tcPr>
          <w:p w14:paraId="306F421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rPr>
            </w:pPr>
          </w:p>
        </w:tc>
        <w:tc>
          <w:tcPr>
            <w:tcW w:w="4686" w:type="dxa"/>
            <w:tcBorders>
              <w:top w:val="single" w:color="auto" w:sz="12" w:space="0"/>
              <w:left w:val="single" w:color="auto" w:sz="12" w:space="0"/>
              <w:bottom w:val="dashSmallGap" w:color="auto" w:sz="4" w:space="0"/>
              <w:right w:val="single" w:color="auto" w:sz="12" w:space="0"/>
            </w:tcBorders>
            <w:vAlign w:val="bottom"/>
          </w:tcPr>
          <w:p w14:paraId="7CC31FEC">
            <w:pPr>
              <w:keepNext w:val="0"/>
              <w:keepLines w:val="0"/>
              <w:widowControl/>
              <w:suppressLineNumbers w:val="0"/>
              <w:spacing w:before="0" w:beforeAutospacing="0" w:after="630" w:afterLines="150" w:afterAutospacing="0" w:line="360" w:lineRule="auto"/>
              <w:ind w:left="0" w:right="0" w:firstLine="10" w:firstLineChars="3"/>
              <w:jc w:val="center"/>
              <w:rPr>
                <w:rFonts w:hint="eastAsia" w:ascii="宋体" w:hAnsi="宋体" w:eastAsia="宋体" w:cs="宋体"/>
                <w:color w:val="auto"/>
                <w:sz w:val="36"/>
                <w:szCs w:val="44"/>
              </w:rPr>
            </w:pPr>
            <w:r>
              <w:rPr>
                <w:rFonts w:hint="eastAsia" w:ascii="宋体" w:hAnsi="宋体" w:eastAsia="宋体" w:cs="宋体"/>
                <w:color w:val="auto"/>
                <w:sz w:val="36"/>
                <w:szCs w:val="44"/>
              </w:rPr>
              <w:t>委托代理人</w:t>
            </w:r>
          </w:p>
          <w:p w14:paraId="2AE9D1C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rPr>
            </w:pPr>
            <w:r>
              <w:rPr>
                <w:rFonts w:hint="eastAsia" w:ascii="宋体" w:hAnsi="宋体" w:eastAsia="宋体" w:cs="宋体"/>
                <w:color w:val="auto"/>
              </w:rPr>
              <w:t>身份证正反面（扫描件）</w:t>
            </w:r>
          </w:p>
        </w:tc>
      </w:tr>
      <w:tr w14:paraId="1B9E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tcBorders>
              <w:top w:val="dashSmallGap" w:color="auto" w:sz="4" w:space="0"/>
              <w:left w:val="single" w:color="auto" w:sz="12" w:space="0"/>
              <w:bottom w:val="single" w:color="auto" w:sz="12" w:space="0"/>
              <w:right w:val="single" w:color="auto" w:sz="12" w:space="0"/>
            </w:tcBorders>
          </w:tcPr>
          <w:p w14:paraId="6D77CC9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rPr>
            </w:pPr>
            <w:r>
              <w:rPr>
                <w:rFonts w:hint="eastAsia" w:ascii="宋体" w:hAnsi="宋体" w:eastAsia="宋体" w:cs="宋体"/>
                <w:color w:val="auto"/>
              </w:rPr>
              <w:t>或护照资料页（扫描件）</w:t>
            </w:r>
          </w:p>
        </w:tc>
        <w:tc>
          <w:tcPr>
            <w:tcW w:w="236" w:type="dxa"/>
            <w:tcBorders>
              <w:top w:val="nil"/>
              <w:left w:val="single" w:color="auto" w:sz="12" w:space="0"/>
              <w:bottom w:val="nil"/>
              <w:right w:val="single" w:color="auto" w:sz="12" w:space="0"/>
            </w:tcBorders>
          </w:tcPr>
          <w:p w14:paraId="5600BE8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rPr>
            </w:pPr>
          </w:p>
        </w:tc>
        <w:tc>
          <w:tcPr>
            <w:tcW w:w="4686" w:type="dxa"/>
            <w:tcBorders>
              <w:top w:val="dashSmallGap" w:color="auto" w:sz="4" w:space="0"/>
              <w:left w:val="single" w:color="auto" w:sz="12" w:space="0"/>
              <w:bottom w:val="single" w:color="auto" w:sz="12" w:space="0"/>
              <w:right w:val="single" w:color="auto" w:sz="12" w:space="0"/>
            </w:tcBorders>
          </w:tcPr>
          <w:p w14:paraId="75224E8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rPr>
            </w:pPr>
            <w:r>
              <w:rPr>
                <w:rFonts w:hint="eastAsia" w:ascii="宋体" w:hAnsi="宋体" w:eastAsia="宋体" w:cs="宋体"/>
                <w:color w:val="auto"/>
              </w:rPr>
              <w:t>或护照资料页（扫描件）</w:t>
            </w:r>
          </w:p>
        </w:tc>
      </w:tr>
    </w:tbl>
    <w:p w14:paraId="11A35C3A">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法定代表人（主要负责人）：（签字或盖章）</w:t>
      </w:r>
    </w:p>
    <w:p w14:paraId="0E636516">
      <w:pPr>
        <w:pStyle w:val="89"/>
        <w:spacing w:line="360" w:lineRule="auto"/>
        <w:ind w:firstLine="480"/>
        <w:rPr>
          <w:rFonts w:hint="eastAsia" w:ascii="宋体" w:hAnsi="宋体" w:eastAsia="宋体" w:cs="宋体"/>
          <w:color w:val="auto"/>
        </w:rPr>
      </w:pPr>
      <w:r>
        <w:rPr>
          <w:rFonts w:hint="eastAsia" w:ascii="宋体" w:hAnsi="宋体" w:cs="宋体"/>
          <w:color w:val="auto"/>
          <w:lang w:eastAsia="zh-CN"/>
        </w:rPr>
        <w:t>投标人</w:t>
      </w:r>
      <w:r>
        <w:rPr>
          <w:rFonts w:hint="eastAsia" w:ascii="宋体" w:hAnsi="宋体" w:eastAsia="宋体" w:cs="宋体"/>
          <w:color w:val="auto"/>
        </w:rPr>
        <w:t>：（</w:t>
      </w:r>
      <w:r>
        <w:rPr>
          <w:rFonts w:hint="eastAsia" w:ascii="宋体" w:hAnsi="宋体" w:cs="宋体"/>
          <w:color w:val="auto"/>
          <w:lang w:eastAsia="zh-CN"/>
        </w:rPr>
        <w:t>投标人</w:t>
      </w:r>
      <w:r>
        <w:rPr>
          <w:rFonts w:hint="eastAsia" w:ascii="宋体" w:hAnsi="宋体" w:eastAsia="宋体" w:cs="宋体"/>
          <w:color w:val="auto"/>
        </w:rPr>
        <w:t>全称并加盖公章）</w:t>
      </w:r>
    </w:p>
    <w:p w14:paraId="02F8284A">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授权日期：　　　年　月　日</w:t>
      </w:r>
    </w:p>
    <w:p w14:paraId="4C5E7F7F">
      <w:pPr>
        <w:pStyle w:val="90"/>
        <w:spacing w:line="360" w:lineRule="auto"/>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val="en-US" w:eastAsia="zh-CN"/>
        </w:rPr>
        <w:t>八</w:t>
      </w:r>
      <w:r>
        <w:rPr>
          <w:rFonts w:hint="eastAsia" w:ascii="宋体" w:hAnsi="宋体" w:eastAsia="宋体" w:cs="宋体"/>
        </w:rPr>
        <w:t>）</w:t>
      </w:r>
      <w:r>
        <w:rPr>
          <w:rFonts w:hint="eastAsia" w:ascii="宋体" w:hAnsi="宋体" w:eastAsia="宋体" w:cs="宋体"/>
          <w:lang w:val="en-US" w:eastAsia="zh-CN"/>
        </w:rPr>
        <w:t>企业关联关系声明/承诺（格式自拟）</w:t>
      </w:r>
    </w:p>
    <w:p w14:paraId="3DDCAE1A">
      <w:pPr>
        <w:wordWrap/>
        <w:spacing w:line="240" w:lineRule="auto"/>
        <w:ind w:firstLine="480" w:firstLineChars="200"/>
        <w:jc w:val="both"/>
        <w:rPr>
          <w:rFonts w:hint="eastAsia" w:ascii="Calibri" w:hAnsi="Calibri" w:eastAsia="宋体" w:cstheme="minorHAnsi"/>
          <w:color w:val="000000"/>
          <w:kern w:val="24"/>
          <w:sz w:val="24"/>
          <w:szCs w:val="24"/>
          <w:lang w:val="en-US" w:eastAsia="zh-CN" w:bidi="ar-SA"/>
        </w:rPr>
      </w:pPr>
    </w:p>
    <w:p w14:paraId="22EDE7B9">
      <w:pPr>
        <w:pStyle w:val="89"/>
        <w:spacing w:line="360" w:lineRule="auto"/>
        <w:ind w:firstLine="480"/>
        <w:rPr>
          <w:rFonts w:hint="eastAsia" w:ascii="宋体" w:hAnsi="宋体" w:eastAsia="宋体" w:cs="宋体"/>
          <w:color w:val="auto"/>
        </w:rPr>
      </w:pPr>
    </w:p>
    <w:p w14:paraId="37B522F2">
      <w:pPr>
        <w:pStyle w:val="89"/>
        <w:spacing w:line="360" w:lineRule="auto"/>
        <w:ind w:firstLine="480"/>
        <w:rPr>
          <w:rFonts w:hint="eastAsia" w:ascii="宋体" w:hAnsi="宋体" w:eastAsia="宋体" w:cs="宋体"/>
          <w:color w:val="auto"/>
        </w:rPr>
      </w:pPr>
    </w:p>
    <w:p w14:paraId="69C67BCF">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br w:type="page"/>
      </w:r>
    </w:p>
    <w:p w14:paraId="1FCF9EA6">
      <w:pPr>
        <w:pStyle w:val="91"/>
        <w:spacing w:before="210" w:after="210" w:line="360" w:lineRule="auto"/>
        <w:rPr>
          <w:rFonts w:hint="eastAsia" w:ascii="宋体" w:hAnsi="宋体" w:eastAsia="宋体" w:cs="宋体"/>
        </w:rPr>
      </w:pPr>
      <w:r>
        <w:rPr>
          <w:rFonts w:hint="eastAsia" w:ascii="宋体" w:hAnsi="宋体" w:eastAsia="宋体" w:cs="宋体"/>
        </w:rPr>
        <w:t>第四部分　</w:t>
      </w:r>
      <w:r>
        <w:rPr>
          <w:rFonts w:hint="eastAsia" w:ascii="宋体" w:hAnsi="宋体" w:eastAsia="宋体" w:cs="宋体"/>
          <w:lang w:eastAsia="zh-CN"/>
        </w:rPr>
        <w:t>投标人</w:t>
      </w:r>
      <w:r>
        <w:rPr>
          <w:rFonts w:hint="eastAsia" w:ascii="宋体" w:hAnsi="宋体" w:eastAsia="宋体" w:cs="宋体"/>
        </w:rPr>
        <w:t>概况</w:t>
      </w:r>
    </w:p>
    <w:p w14:paraId="648F9D05">
      <w:pPr>
        <w:pStyle w:val="90"/>
        <w:spacing w:line="360" w:lineRule="auto"/>
        <w:rPr>
          <w:rFonts w:hint="eastAsia" w:ascii="宋体" w:hAnsi="宋体" w:eastAsia="宋体" w:cs="宋体"/>
        </w:rPr>
      </w:pPr>
      <w:r>
        <w:rPr>
          <w:rFonts w:hint="eastAsia" w:ascii="宋体" w:hAnsi="宋体" w:eastAsia="宋体" w:cs="宋体"/>
        </w:rPr>
        <w:t>（一）</w:t>
      </w:r>
      <w:r>
        <w:rPr>
          <w:rFonts w:hint="eastAsia" w:ascii="宋体" w:hAnsi="宋体" w:eastAsia="宋体" w:cs="宋体"/>
          <w:lang w:eastAsia="zh-CN"/>
        </w:rPr>
        <w:t>投标人</w:t>
      </w:r>
      <w:r>
        <w:rPr>
          <w:rFonts w:hint="eastAsia" w:ascii="宋体" w:hAnsi="宋体" w:eastAsia="宋体" w:cs="宋体"/>
        </w:rPr>
        <w:t>基本信息</w:t>
      </w:r>
    </w:p>
    <w:tbl>
      <w:tblPr>
        <w:tblStyle w:val="32"/>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29C27E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F7CAAC" w:themeFill="accent2" w:themeFillTint="66"/>
            <w:vAlign w:val="center"/>
          </w:tcPr>
          <w:p w14:paraId="00728AC7">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单位基本情况</w:t>
            </w:r>
          </w:p>
        </w:tc>
      </w:tr>
      <w:tr w14:paraId="7C0C90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vAlign w:val="center"/>
          </w:tcPr>
          <w:p w14:paraId="2C36C3DC">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全称</w:t>
            </w:r>
          </w:p>
        </w:tc>
        <w:tc>
          <w:tcPr>
            <w:tcW w:w="7210" w:type="dxa"/>
            <w:gridSpan w:val="5"/>
            <w:tcBorders>
              <w:top w:val="single" w:color="auto" w:sz="6" w:space="0"/>
              <w:bottom w:val="single" w:color="auto" w:sz="6" w:space="0"/>
              <w:right w:val="single" w:color="auto" w:sz="12" w:space="0"/>
            </w:tcBorders>
            <w:vAlign w:val="center"/>
          </w:tcPr>
          <w:p w14:paraId="3FE3924A">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r>
      <w:tr w14:paraId="54EBDB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vAlign w:val="center"/>
          </w:tcPr>
          <w:p w14:paraId="74CF1B6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注册地址</w:t>
            </w:r>
          </w:p>
        </w:tc>
        <w:tc>
          <w:tcPr>
            <w:tcW w:w="2718" w:type="dxa"/>
            <w:gridSpan w:val="2"/>
            <w:tcBorders>
              <w:top w:val="single" w:color="auto" w:sz="6" w:space="0"/>
            </w:tcBorders>
            <w:vAlign w:val="center"/>
          </w:tcPr>
          <w:p w14:paraId="5EC8EDEC">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701" w:type="dxa"/>
            <w:tcBorders>
              <w:top w:val="single" w:color="auto" w:sz="6" w:space="0"/>
            </w:tcBorders>
            <w:vAlign w:val="center"/>
          </w:tcPr>
          <w:p w14:paraId="642423E8">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成立时间</w:t>
            </w:r>
          </w:p>
        </w:tc>
        <w:tc>
          <w:tcPr>
            <w:tcW w:w="2791" w:type="dxa"/>
            <w:gridSpan w:val="2"/>
            <w:tcBorders>
              <w:top w:val="single" w:color="auto" w:sz="6" w:space="0"/>
              <w:right w:val="single" w:color="auto" w:sz="12" w:space="0"/>
            </w:tcBorders>
            <w:vAlign w:val="center"/>
          </w:tcPr>
          <w:p w14:paraId="14386E8A">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r>
      <w:tr w14:paraId="1FB1F3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4CB663D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统一社会信用代码</w:t>
            </w:r>
          </w:p>
        </w:tc>
        <w:tc>
          <w:tcPr>
            <w:tcW w:w="2718" w:type="dxa"/>
            <w:gridSpan w:val="2"/>
            <w:vAlign w:val="center"/>
          </w:tcPr>
          <w:p w14:paraId="424E5D12">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701" w:type="dxa"/>
            <w:vAlign w:val="center"/>
          </w:tcPr>
          <w:p w14:paraId="27F79642">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单位性质</w:t>
            </w:r>
          </w:p>
        </w:tc>
        <w:tc>
          <w:tcPr>
            <w:tcW w:w="2791" w:type="dxa"/>
            <w:gridSpan w:val="2"/>
            <w:tcBorders>
              <w:right w:val="single" w:color="auto" w:sz="12" w:space="0"/>
            </w:tcBorders>
            <w:vAlign w:val="center"/>
          </w:tcPr>
          <w:p w14:paraId="77096E7F">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r>
      <w:tr w14:paraId="227442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671197E9">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法定代表人</w:t>
            </w:r>
          </w:p>
          <w:p w14:paraId="5BF6A10C">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（主要负责人）</w:t>
            </w:r>
          </w:p>
        </w:tc>
        <w:tc>
          <w:tcPr>
            <w:tcW w:w="2718" w:type="dxa"/>
            <w:gridSpan w:val="2"/>
            <w:vAlign w:val="center"/>
          </w:tcPr>
          <w:p w14:paraId="51C3FBD6">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701" w:type="dxa"/>
            <w:vAlign w:val="center"/>
          </w:tcPr>
          <w:p w14:paraId="5D4FC22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2791" w:type="dxa"/>
            <w:gridSpan w:val="2"/>
            <w:tcBorders>
              <w:right w:val="single" w:color="auto" w:sz="12" w:space="0"/>
            </w:tcBorders>
            <w:vAlign w:val="center"/>
          </w:tcPr>
          <w:p w14:paraId="4B3F0173">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r>
      <w:tr w14:paraId="357435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4E9A4B92">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基本存款账户</w:t>
            </w:r>
          </w:p>
          <w:p w14:paraId="446E0080">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2718" w:type="dxa"/>
            <w:gridSpan w:val="2"/>
            <w:vAlign w:val="center"/>
          </w:tcPr>
          <w:p w14:paraId="76EE2973">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701" w:type="dxa"/>
            <w:vAlign w:val="center"/>
          </w:tcPr>
          <w:p w14:paraId="69789287">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基本存款</w:t>
            </w:r>
          </w:p>
          <w:p w14:paraId="20F00CB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账户账号</w:t>
            </w:r>
          </w:p>
        </w:tc>
        <w:tc>
          <w:tcPr>
            <w:tcW w:w="2791" w:type="dxa"/>
            <w:gridSpan w:val="2"/>
            <w:tcBorders>
              <w:right w:val="single" w:color="auto" w:sz="12" w:space="0"/>
            </w:tcBorders>
            <w:vAlign w:val="center"/>
          </w:tcPr>
          <w:p w14:paraId="3D648C5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r>
      <w:tr w14:paraId="78D374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70EF5B8A">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上年度</w:t>
            </w:r>
          </w:p>
          <w:p w14:paraId="339583F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营业收入*</w:t>
            </w:r>
          </w:p>
        </w:tc>
        <w:tc>
          <w:tcPr>
            <w:tcW w:w="2718" w:type="dxa"/>
            <w:gridSpan w:val="2"/>
            <w:vAlign w:val="center"/>
          </w:tcPr>
          <w:p w14:paraId="0FEB87BE">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701" w:type="dxa"/>
            <w:vAlign w:val="center"/>
          </w:tcPr>
          <w:p w14:paraId="7F37483A">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资产总额</w:t>
            </w:r>
          </w:p>
        </w:tc>
        <w:tc>
          <w:tcPr>
            <w:tcW w:w="2791" w:type="dxa"/>
            <w:gridSpan w:val="2"/>
            <w:tcBorders>
              <w:right w:val="single" w:color="auto" w:sz="12" w:space="0"/>
            </w:tcBorders>
            <w:vAlign w:val="center"/>
          </w:tcPr>
          <w:p w14:paraId="37E7E70C">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r>
      <w:tr w14:paraId="0ADF5E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64887B00">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经营范围</w:t>
            </w:r>
          </w:p>
        </w:tc>
        <w:tc>
          <w:tcPr>
            <w:tcW w:w="7210" w:type="dxa"/>
            <w:gridSpan w:val="5"/>
            <w:tcBorders>
              <w:right w:val="single" w:color="auto" w:sz="12" w:space="0"/>
            </w:tcBorders>
            <w:vAlign w:val="center"/>
          </w:tcPr>
          <w:p w14:paraId="4621D5EE">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r>
      <w:tr w14:paraId="098611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F7CAAC" w:themeFill="accent2" w:themeFillTint="66"/>
            <w:vAlign w:val="center"/>
          </w:tcPr>
          <w:p w14:paraId="382E30C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资质证书名称</w:t>
            </w:r>
          </w:p>
        </w:tc>
        <w:tc>
          <w:tcPr>
            <w:tcW w:w="2718" w:type="dxa"/>
            <w:gridSpan w:val="2"/>
            <w:shd w:val="clear" w:color="auto" w:fill="F7CAAC" w:themeFill="accent2" w:themeFillTint="66"/>
            <w:vAlign w:val="center"/>
          </w:tcPr>
          <w:p w14:paraId="20551439">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证书号</w:t>
            </w:r>
          </w:p>
        </w:tc>
        <w:tc>
          <w:tcPr>
            <w:tcW w:w="1701" w:type="dxa"/>
            <w:shd w:val="clear" w:color="auto" w:fill="F7CAAC" w:themeFill="accent2" w:themeFillTint="66"/>
            <w:vAlign w:val="center"/>
          </w:tcPr>
          <w:p w14:paraId="49D1D090">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等级</w:t>
            </w:r>
          </w:p>
        </w:tc>
        <w:tc>
          <w:tcPr>
            <w:tcW w:w="2791" w:type="dxa"/>
            <w:gridSpan w:val="2"/>
            <w:tcBorders>
              <w:right w:val="single" w:color="auto" w:sz="12" w:space="0"/>
            </w:tcBorders>
            <w:shd w:val="clear" w:color="auto" w:fill="F7CAAC" w:themeFill="accent2" w:themeFillTint="66"/>
            <w:vAlign w:val="center"/>
          </w:tcPr>
          <w:p w14:paraId="18F10704">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类型</w:t>
            </w:r>
          </w:p>
        </w:tc>
      </w:tr>
      <w:tr w14:paraId="7471FA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069B437A">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2718" w:type="dxa"/>
            <w:gridSpan w:val="2"/>
            <w:vAlign w:val="center"/>
          </w:tcPr>
          <w:p w14:paraId="6629CE5F">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701" w:type="dxa"/>
            <w:vAlign w:val="center"/>
          </w:tcPr>
          <w:p w14:paraId="0F80D530">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2791" w:type="dxa"/>
            <w:gridSpan w:val="2"/>
            <w:tcBorders>
              <w:right w:val="single" w:color="auto" w:sz="12" w:space="0"/>
            </w:tcBorders>
            <w:vAlign w:val="center"/>
          </w:tcPr>
          <w:p w14:paraId="5110CE4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r>
      <w:tr w14:paraId="508BA7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2037B47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2718" w:type="dxa"/>
            <w:gridSpan w:val="2"/>
            <w:vAlign w:val="center"/>
          </w:tcPr>
          <w:p w14:paraId="1A04EEF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701" w:type="dxa"/>
            <w:vAlign w:val="center"/>
          </w:tcPr>
          <w:p w14:paraId="44BCDEA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2791" w:type="dxa"/>
            <w:gridSpan w:val="2"/>
            <w:tcBorders>
              <w:right w:val="single" w:color="auto" w:sz="12" w:space="0"/>
            </w:tcBorders>
            <w:vAlign w:val="center"/>
          </w:tcPr>
          <w:p w14:paraId="3BBCACE7">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r>
      <w:tr w14:paraId="69F4EE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67"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14:paraId="610871A6">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从业人员情况</w:t>
            </w:r>
          </w:p>
        </w:tc>
      </w:tr>
      <w:tr w14:paraId="1A3651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vAlign w:val="center"/>
          </w:tcPr>
          <w:p w14:paraId="2BBB5A04">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从业人员总数</w:t>
            </w:r>
          </w:p>
        </w:tc>
        <w:tc>
          <w:tcPr>
            <w:tcW w:w="1559" w:type="dxa"/>
            <w:vMerge w:val="restart"/>
            <w:vAlign w:val="center"/>
          </w:tcPr>
          <w:p w14:paraId="4067321F">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159" w:type="dxa"/>
            <w:vAlign w:val="center"/>
          </w:tcPr>
          <w:p w14:paraId="08B1CC2F">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管理人员</w:t>
            </w:r>
          </w:p>
          <w:p w14:paraId="5EF0EF30">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701" w:type="dxa"/>
            <w:vAlign w:val="center"/>
          </w:tcPr>
          <w:p w14:paraId="232AA79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vAlign w:val="center"/>
          </w:tcPr>
          <w:p w14:paraId="427C14C8">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专业技术</w:t>
            </w:r>
          </w:p>
          <w:p w14:paraId="7C410313">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人员数量</w:t>
            </w:r>
          </w:p>
        </w:tc>
        <w:tc>
          <w:tcPr>
            <w:tcW w:w="1516" w:type="dxa"/>
            <w:tcBorders>
              <w:right w:val="single" w:color="auto" w:sz="12" w:space="0"/>
            </w:tcBorders>
            <w:vAlign w:val="center"/>
          </w:tcPr>
          <w:p w14:paraId="6E58AA2E">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1"/>
                <w:szCs w:val="21"/>
              </w:rPr>
            </w:pPr>
          </w:p>
        </w:tc>
      </w:tr>
      <w:tr w14:paraId="50CF77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vAlign w:val="center"/>
          </w:tcPr>
          <w:p w14:paraId="3854DA7F">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559" w:type="dxa"/>
            <w:vMerge w:val="continue"/>
            <w:tcBorders>
              <w:bottom w:val="single" w:color="auto" w:sz="4" w:space="0"/>
            </w:tcBorders>
            <w:vAlign w:val="center"/>
          </w:tcPr>
          <w:p w14:paraId="339CA60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159" w:type="dxa"/>
            <w:tcBorders>
              <w:bottom w:val="single" w:color="auto" w:sz="4" w:space="0"/>
            </w:tcBorders>
            <w:vAlign w:val="center"/>
          </w:tcPr>
          <w:p w14:paraId="30E1A3F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残疾人</w:t>
            </w:r>
          </w:p>
          <w:p w14:paraId="20237958">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701" w:type="dxa"/>
            <w:tcBorders>
              <w:bottom w:val="single" w:color="auto" w:sz="4" w:space="0"/>
            </w:tcBorders>
            <w:vAlign w:val="center"/>
          </w:tcPr>
          <w:p w14:paraId="02758DC7">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1275" w:type="dxa"/>
            <w:tcBorders>
              <w:bottom w:val="single" w:color="auto" w:sz="4" w:space="0"/>
            </w:tcBorders>
            <w:vAlign w:val="center"/>
          </w:tcPr>
          <w:p w14:paraId="6467A1AD">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少数民族</w:t>
            </w:r>
          </w:p>
          <w:p w14:paraId="308E364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16" w:type="dxa"/>
            <w:tcBorders>
              <w:bottom w:val="single" w:color="auto" w:sz="4" w:space="0"/>
              <w:right w:val="single" w:color="auto" w:sz="12" w:space="0"/>
            </w:tcBorders>
            <w:vAlign w:val="center"/>
          </w:tcPr>
          <w:p w14:paraId="0F492871">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1"/>
                <w:szCs w:val="21"/>
              </w:rPr>
            </w:pPr>
          </w:p>
        </w:tc>
      </w:tr>
      <w:tr w14:paraId="5A0C50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F7CAAC" w:themeFill="accent2" w:themeFillTint="66"/>
            <w:vAlign w:val="center"/>
          </w:tcPr>
          <w:p w14:paraId="6822DED1">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lang w:eastAsia="zh-CN"/>
              </w:rPr>
            </w:pPr>
            <w:r>
              <w:rPr>
                <w:rFonts w:hint="eastAsia" w:ascii="宋体" w:hAnsi="宋体" w:eastAsia="宋体" w:cs="宋体"/>
                <w:sz w:val="21"/>
                <w:szCs w:val="21"/>
              </w:rPr>
              <w:t>存在直接控股、管理关系的相关</w:t>
            </w:r>
            <w:r>
              <w:rPr>
                <w:rFonts w:hint="eastAsia" w:ascii="宋体" w:hAnsi="宋体" w:eastAsia="宋体" w:cs="宋体"/>
                <w:sz w:val="21"/>
                <w:szCs w:val="21"/>
                <w:lang w:eastAsia="zh-CN"/>
              </w:rPr>
              <w:t>投标人</w:t>
            </w:r>
          </w:p>
        </w:tc>
      </w:tr>
      <w:tr w14:paraId="0C5C5B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145627AB">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bCs/>
                <w:sz w:val="21"/>
                <w:szCs w:val="21"/>
              </w:rPr>
              <w:t>关系</w:t>
            </w:r>
          </w:p>
        </w:tc>
        <w:tc>
          <w:tcPr>
            <w:tcW w:w="7210" w:type="dxa"/>
            <w:gridSpan w:val="5"/>
            <w:tcBorders>
              <w:right w:val="single" w:color="auto" w:sz="12" w:space="0"/>
            </w:tcBorders>
            <w:vAlign w:val="center"/>
          </w:tcPr>
          <w:p w14:paraId="3927016F">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lang w:eastAsia="zh-CN"/>
              </w:rPr>
              <w:t>投标人</w:t>
            </w:r>
            <w:r>
              <w:rPr>
                <w:rFonts w:hint="eastAsia" w:ascii="宋体" w:hAnsi="宋体" w:eastAsia="宋体" w:cs="宋体"/>
                <w:bCs/>
                <w:sz w:val="21"/>
                <w:szCs w:val="21"/>
              </w:rPr>
              <w:t>名称</w:t>
            </w:r>
          </w:p>
        </w:tc>
      </w:tr>
      <w:tr w14:paraId="3613B8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22DB6FAE">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7210" w:type="dxa"/>
            <w:gridSpan w:val="5"/>
            <w:tcBorders>
              <w:right w:val="single" w:color="auto" w:sz="12" w:space="0"/>
            </w:tcBorders>
            <w:vAlign w:val="center"/>
          </w:tcPr>
          <w:p w14:paraId="522F80FD">
            <w:pPr>
              <w:keepNext w:val="0"/>
              <w:keepLines w:val="0"/>
              <w:widowControl/>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1"/>
                <w:szCs w:val="21"/>
              </w:rPr>
            </w:pPr>
          </w:p>
        </w:tc>
      </w:tr>
      <w:tr w14:paraId="6E48AE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vAlign w:val="center"/>
          </w:tcPr>
          <w:p w14:paraId="5013524A">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p>
        </w:tc>
        <w:tc>
          <w:tcPr>
            <w:tcW w:w="7210" w:type="dxa"/>
            <w:gridSpan w:val="5"/>
            <w:tcBorders>
              <w:right w:val="single" w:color="auto" w:sz="12" w:space="0"/>
            </w:tcBorders>
            <w:vAlign w:val="center"/>
          </w:tcPr>
          <w:p w14:paraId="29D217EC">
            <w:pPr>
              <w:keepNext w:val="0"/>
              <w:keepLines w:val="0"/>
              <w:widowControl/>
              <w:suppressLineNumbers w:val="0"/>
              <w:autoSpaceDE w:val="0"/>
              <w:autoSpaceDN w:val="0"/>
              <w:adjustRightInd w:val="0"/>
              <w:spacing w:before="0" w:beforeAutospacing="0" w:after="0" w:afterAutospacing="0" w:line="360" w:lineRule="auto"/>
              <w:ind w:left="0" w:right="0"/>
              <w:rPr>
                <w:rFonts w:hint="eastAsia" w:ascii="宋体" w:hAnsi="宋体" w:eastAsia="宋体" w:cs="宋体"/>
                <w:bCs/>
                <w:sz w:val="21"/>
                <w:szCs w:val="21"/>
              </w:rPr>
            </w:pPr>
          </w:p>
        </w:tc>
      </w:tr>
      <w:tr w14:paraId="29B380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vAlign w:val="center"/>
          </w:tcPr>
          <w:p w14:paraId="44F31615">
            <w:pPr>
              <w:keepNext w:val="0"/>
              <w:keepLines w:val="0"/>
              <w:widowControl/>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1"/>
                <w:szCs w:val="21"/>
              </w:rPr>
            </w:pPr>
            <w:r>
              <w:rPr>
                <w:rFonts w:hint="eastAsia" w:ascii="宋体" w:hAnsi="宋体" w:eastAsia="宋体" w:cs="宋体"/>
                <w:sz w:val="21"/>
                <w:szCs w:val="21"/>
              </w:rPr>
              <w:t>说明</w:t>
            </w:r>
          </w:p>
        </w:tc>
        <w:tc>
          <w:tcPr>
            <w:tcW w:w="7210" w:type="dxa"/>
            <w:gridSpan w:val="5"/>
            <w:tcBorders>
              <w:bottom w:val="single" w:color="auto" w:sz="12" w:space="0"/>
              <w:right w:val="single" w:color="auto" w:sz="12" w:space="0"/>
            </w:tcBorders>
            <w:vAlign w:val="center"/>
          </w:tcPr>
          <w:p w14:paraId="35B3C374">
            <w:pPr>
              <w:keepNext w:val="0"/>
              <w:keepLines w:val="0"/>
              <w:widowControl/>
              <w:suppressLineNumbers w:val="0"/>
              <w:spacing w:before="0" w:beforeAutospacing="0" w:after="0" w:afterAutospacing="0" w:line="360" w:lineRule="auto"/>
              <w:ind w:left="170" w:right="0" w:hanging="170"/>
              <w:rPr>
                <w:rFonts w:hint="eastAsia" w:ascii="宋体" w:hAnsi="宋体" w:eastAsia="宋体" w:cs="宋体"/>
                <w:color w:val="000000"/>
                <w:sz w:val="22"/>
              </w:rPr>
            </w:pPr>
            <w:r>
              <w:rPr>
                <w:rFonts w:hint="eastAsia" w:ascii="宋体" w:hAnsi="宋体" w:eastAsia="宋体" w:cs="宋体"/>
                <w:color w:val="000000"/>
                <w:sz w:val="22"/>
              </w:rPr>
              <w:t>1.成立时间至提交投标文件截止时间不足一年的可不填写“上年度营业收入”；</w:t>
            </w:r>
          </w:p>
          <w:p w14:paraId="50656089">
            <w:pPr>
              <w:keepNext w:val="0"/>
              <w:keepLines w:val="0"/>
              <w:widowControl/>
              <w:suppressLineNumbers w:val="0"/>
              <w:spacing w:before="0" w:beforeAutospacing="0" w:after="0" w:afterAutospacing="0" w:line="360" w:lineRule="auto"/>
              <w:ind w:left="170" w:right="0" w:hanging="170"/>
              <w:rPr>
                <w:rFonts w:hint="eastAsia" w:ascii="宋体" w:hAnsi="宋体" w:eastAsia="宋体" w:cs="宋体"/>
                <w:color w:val="000000"/>
                <w:sz w:val="22"/>
              </w:rPr>
            </w:pPr>
            <w:r>
              <w:rPr>
                <w:rFonts w:hint="eastAsia" w:ascii="宋体" w:hAnsi="宋体" w:eastAsia="宋体" w:cs="宋体"/>
                <w:color w:val="000000"/>
                <w:sz w:val="22"/>
              </w:rPr>
              <w:t>2.招标文件接受联合体的，联合体各方均应提供；</w:t>
            </w:r>
          </w:p>
          <w:p w14:paraId="22DA3489">
            <w:pPr>
              <w:keepNext w:val="0"/>
              <w:keepLines w:val="0"/>
              <w:widowControl/>
              <w:suppressLineNumbers w:val="0"/>
              <w:spacing w:before="0" w:beforeAutospacing="0" w:after="0" w:afterAutospacing="0" w:line="360" w:lineRule="auto"/>
              <w:ind w:left="170" w:right="0" w:hanging="170"/>
              <w:rPr>
                <w:rFonts w:hint="eastAsia" w:ascii="宋体" w:hAnsi="宋体" w:eastAsia="宋体" w:cs="宋体"/>
                <w:sz w:val="21"/>
                <w:szCs w:val="21"/>
              </w:rPr>
            </w:pPr>
            <w:r>
              <w:rPr>
                <w:rFonts w:hint="eastAsia" w:ascii="宋体" w:hAnsi="宋体" w:eastAsia="宋体" w:cs="宋体"/>
                <w:color w:val="000000"/>
                <w:sz w:val="22"/>
              </w:rPr>
              <w:t>3.表格空间不足时，请自行扩展。</w:t>
            </w:r>
          </w:p>
        </w:tc>
      </w:tr>
    </w:tbl>
    <w:p w14:paraId="7DE508EF">
      <w:pPr>
        <w:pStyle w:val="89"/>
        <w:spacing w:line="360" w:lineRule="auto"/>
        <w:ind w:firstLine="0" w:firstLineChars="0"/>
        <w:rPr>
          <w:rFonts w:hint="eastAsia" w:ascii="宋体" w:hAnsi="宋体" w:eastAsia="宋体" w:cs="宋体"/>
        </w:rPr>
      </w:pPr>
      <w:r>
        <w:rPr>
          <w:rFonts w:hint="eastAsia" w:ascii="宋体" w:hAnsi="宋体" w:eastAsia="宋体" w:cs="宋体"/>
        </w:rPr>
        <w:br w:type="page"/>
      </w:r>
    </w:p>
    <w:p w14:paraId="2E48BA82">
      <w:pPr>
        <w:pStyle w:val="90"/>
        <w:spacing w:line="360" w:lineRule="auto"/>
        <w:rPr>
          <w:rFonts w:hint="eastAsia" w:ascii="宋体" w:hAnsi="宋体" w:eastAsia="宋体" w:cs="宋体"/>
        </w:rPr>
      </w:pPr>
      <w:r>
        <w:rPr>
          <w:rFonts w:hint="eastAsia" w:ascii="宋体" w:hAnsi="宋体" w:eastAsia="宋体" w:cs="宋体"/>
        </w:rPr>
        <w:t>（二）</w:t>
      </w:r>
      <w:r>
        <w:rPr>
          <w:rFonts w:hint="eastAsia" w:ascii="宋体" w:hAnsi="宋体" w:eastAsia="宋体" w:cs="宋体"/>
          <w:lang w:eastAsia="zh-CN"/>
        </w:rPr>
        <w:t>投标人</w:t>
      </w:r>
      <w:r>
        <w:rPr>
          <w:rFonts w:hint="eastAsia" w:ascii="宋体" w:hAnsi="宋体" w:eastAsia="宋体" w:cs="宋体"/>
        </w:rPr>
        <w:t>性质</w:t>
      </w:r>
    </w:p>
    <w:p w14:paraId="512F462D">
      <w:pPr>
        <w:spacing w:line="360" w:lineRule="auto"/>
        <w:rPr>
          <w:rFonts w:hint="eastAsia" w:ascii="宋体" w:hAnsi="宋体" w:eastAsia="宋体" w:cs="宋体"/>
          <w:b/>
        </w:rPr>
      </w:pPr>
      <w:r>
        <w:rPr>
          <w:rFonts w:hint="eastAsia" w:ascii="宋体" w:hAnsi="宋体" w:eastAsia="宋体" w:cs="宋体"/>
          <w:b/>
        </w:rPr>
        <w:t>1．中小企业声明函</w:t>
      </w:r>
    </w:p>
    <w:p w14:paraId="5E206028">
      <w:pPr>
        <w:spacing w:line="360" w:lineRule="auto"/>
        <w:ind w:firstLine="480" w:firstLineChars="200"/>
        <w:jc w:val="both"/>
        <w:rPr>
          <w:rFonts w:hint="eastAsia" w:ascii="宋体" w:hAnsi="宋体" w:eastAsia="宋体" w:cs="宋体"/>
          <w:i/>
          <w:color w:val="0070C0"/>
        </w:rPr>
      </w:pPr>
      <w:r>
        <w:rPr>
          <w:rFonts w:hint="eastAsia" w:ascii="宋体" w:hAnsi="宋体" w:eastAsia="宋体" w:cs="宋体"/>
          <w:color w:val="000000"/>
          <w:kern w:val="24"/>
          <w:sz w:val="24"/>
          <w:szCs w:val="24"/>
          <w:lang w:val="en-US" w:eastAsia="zh-CN" w:bidi="ar-SA"/>
        </w:rPr>
        <w:t>说明：当且仅当投标人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14:paraId="12928293">
      <w:pPr>
        <w:rPr>
          <w:rFonts w:hint="eastAsia" w:ascii="宋体" w:hAnsi="宋体" w:eastAsia="宋体" w:cs="宋体"/>
        </w:rPr>
      </w:pPr>
      <w:r>
        <w:rPr>
          <w:rFonts w:hint="eastAsia" w:ascii="宋体" w:hAnsi="宋体" w:eastAsia="宋体" w:cs="宋体"/>
        </w:rPr>
        <w:br w:type="page"/>
      </w:r>
    </w:p>
    <w:p w14:paraId="52438570">
      <w:pPr>
        <w:pStyle w:val="48"/>
        <w:keepNext/>
        <w:wordWrap/>
        <w:spacing w:before="60" w:after="60" w:line="360" w:lineRule="auto"/>
        <w:jc w:val="center"/>
        <w:rPr>
          <w:rFonts w:hint="eastAsia" w:ascii="宋体" w:hAnsi="宋体" w:eastAsia="宋体" w:cs="宋体"/>
          <w:color w:val="auto"/>
        </w:rPr>
      </w:pPr>
      <w:r>
        <w:rPr>
          <w:rFonts w:hint="eastAsia" w:ascii="宋体" w:hAnsi="宋体" w:eastAsia="宋体" w:cs="宋体"/>
          <w:color w:val="auto"/>
        </w:rPr>
        <w:t>中小企业声明函</w:t>
      </w:r>
    </w:p>
    <w:p w14:paraId="61A09D08">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本公司（联合体）郑重声明，根据《政府采购促进中小企业发展管理办法》（财库﹝2020﹞46号）的规定，本公司（联合体）参加</w:t>
      </w:r>
      <w:r>
        <w:rPr>
          <w:rFonts w:hint="eastAsia" w:ascii="宋体" w:hAnsi="宋体" w:eastAsia="宋体" w:cs="宋体"/>
          <w:color w:val="auto"/>
          <w:u w:val="single"/>
        </w:rPr>
        <w:t>（单位名称）</w:t>
      </w:r>
      <w:r>
        <w:rPr>
          <w:rFonts w:hint="eastAsia" w:ascii="宋体" w:hAnsi="宋体" w:eastAsia="宋体" w:cs="宋体"/>
          <w:color w:val="auto"/>
        </w:rPr>
        <w:t>的</w:t>
      </w:r>
      <w:r>
        <w:rPr>
          <w:rFonts w:hint="eastAsia" w:ascii="宋体" w:hAnsi="宋体" w:eastAsia="宋体" w:cs="宋体"/>
          <w:color w:val="auto"/>
          <w:u w:val="single"/>
        </w:rPr>
        <w:t>〈项目名称〉</w:t>
      </w:r>
      <w:r>
        <w:rPr>
          <w:rFonts w:hint="eastAsia" w:ascii="宋体" w:hAnsi="宋体" w:eastAsia="宋体" w:cs="宋体"/>
          <w:color w:val="auto"/>
          <w:u w:val="single"/>
          <w:lang w:eastAsia="zh-CN"/>
        </w:rPr>
        <w:t>〈</w:t>
      </w:r>
      <w:r>
        <w:rPr>
          <w:rFonts w:hint="eastAsia" w:ascii="宋体" w:hAnsi="宋体" w:eastAsia="宋体" w:cs="宋体"/>
          <w:color w:val="auto"/>
          <w:u w:val="single"/>
          <w:lang w:val="en-US" w:eastAsia="zh-CN"/>
        </w:rPr>
        <w:t>包号</w:t>
      </w:r>
      <w:r>
        <w:rPr>
          <w:rFonts w:hint="eastAsia" w:ascii="宋体" w:hAnsi="宋体" w:eastAsia="宋体" w:cs="宋体"/>
          <w:color w:val="auto"/>
          <w:u w:val="single"/>
          <w:lang w:eastAsia="zh-CN"/>
        </w:rPr>
        <w:t>〉</w:t>
      </w:r>
      <w:r>
        <w:rPr>
          <w:rFonts w:hint="eastAsia" w:ascii="宋体" w:hAnsi="宋体" w:eastAsia="宋体" w:cs="宋体"/>
          <w:color w:val="auto"/>
        </w:rPr>
        <w:t>采购活动，提供的货物全部由符合政策要求的中小企业制造。相关企业（含联合体中的中小企业、签订分包意向协议的中小企业）的具体情况如下：</w:t>
      </w:r>
    </w:p>
    <w:p w14:paraId="3108562E">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val="single"/>
        </w:rPr>
        <w:t>（标的名称）</w:t>
      </w:r>
      <w:r>
        <w:rPr>
          <w:rFonts w:hint="eastAsia" w:ascii="宋体" w:hAnsi="宋体" w:eastAsia="宋体" w:cs="宋体"/>
          <w:color w:val="auto"/>
        </w:rPr>
        <w:t>，属于</w:t>
      </w:r>
      <w:r>
        <w:rPr>
          <w:rFonts w:hint="eastAsia" w:ascii="宋体" w:hAnsi="宋体" w:eastAsia="宋体" w:cs="宋体"/>
          <w:color w:val="auto"/>
          <w:u w:val="single"/>
        </w:rPr>
        <w:t>（采购文件中明确的所属行业）</w:t>
      </w:r>
      <w:r>
        <w:rPr>
          <w:rFonts w:hint="eastAsia" w:ascii="宋体" w:hAnsi="宋体" w:eastAsia="宋体" w:cs="宋体"/>
          <w:color w:val="auto"/>
        </w:rPr>
        <w:t>行业；制造商为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万元，资产总额为</w:t>
      </w:r>
      <w:r>
        <w:rPr>
          <w:rFonts w:hint="eastAsia" w:ascii="宋体" w:hAnsi="宋体" w:eastAsia="宋体" w:cs="宋体"/>
          <w:color w:val="auto"/>
          <w:u w:val="single"/>
        </w:rPr>
        <w:t xml:space="preserve">      </w:t>
      </w:r>
      <w:r>
        <w:rPr>
          <w:rFonts w:hint="eastAsia" w:ascii="宋体" w:hAnsi="宋体" w:eastAsia="宋体" w:cs="宋体"/>
          <w:color w:val="auto"/>
        </w:rPr>
        <w:t>万元，属于</w:t>
      </w:r>
      <w:r>
        <w:rPr>
          <w:rFonts w:hint="eastAsia" w:ascii="宋体" w:hAnsi="宋体" w:eastAsia="宋体" w:cs="宋体"/>
          <w:color w:val="auto"/>
          <w:u w:val="single"/>
        </w:rPr>
        <w:t>（中型企业、小型企业、微型企业）</w:t>
      </w:r>
      <w:r>
        <w:rPr>
          <w:rFonts w:hint="eastAsia" w:ascii="宋体" w:hAnsi="宋体" w:eastAsia="宋体" w:cs="宋体"/>
          <w:color w:val="auto"/>
        </w:rPr>
        <w:t>；</w:t>
      </w:r>
    </w:p>
    <w:p w14:paraId="610BD373">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val="single"/>
        </w:rPr>
        <w:t>（标的名称）</w:t>
      </w:r>
      <w:r>
        <w:rPr>
          <w:rFonts w:hint="eastAsia" w:ascii="宋体" w:hAnsi="宋体" w:eastAsia="宋体" w:cs="宋体"/>
          <w:color w:val="auto"/>
        </w:rPr>
        <w:t>，属于</w:t>
      </w:r>
      <w:r>
        <w:rPr>
          <w:rFonts w:hint="eastAsia" w:ascii="宋体" w:hAnsi="宋体" w:eastAsia="宋体" w:cs="宋体"/>
          <w:color w:val="auto"/>
          <w:u w:val="single"/>
        </w:rPr>
        <w:t>（采购文件中明确的所属行业）</w:t>
      </w:r>
      <w:r>
        <w:rPr>
          <w:rFonts w:hint="eastAsia" w:ascii="宋体" w:hAnsi="宋体" w:eastAsia="宋体" w:cs="宋体"/>
          <w:color w:val="auto"/>
        </w:rPr>
        <w:t>行业；制造商为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万元，资产总额为</w:t>
      </w:r>
      <w:r>
        <w:rPr>
          <w:rFonts w:hint="eastAsia" w:ascii="宋体" w:hAnsi="宋体" w:eastAsia="宋体" w:cs="宋体"/>
          <w:color w:val="auto"/>
          <w:u w:val="single"/>
        </w:rPr>
        <w:t xml:space="preserve">      </w:t>
      </w:r>
      <w:r>
        <w:rPr>
          <w:rFonts w:hint="eastAsia" w:ascii="宋体" w:hAnsi="宋体" w:eastAsia="宋体" w:cs="宋体"/>
          <w:color w:val="auto"/>
        </w:rPr>
        <w:t>万元，属于</w:t>
      </w:r>
      <w:r>
        <w:rPr>
          <w:rFonts w:hint="eastAsia" w:ascii="宋体" w:hAnsi="宋体" w:eastAsia="宋体" w:cs="宋体"/>
          <w:color w:val="auto"/>
          <w:u w:val="single"/>
        </w:rPr>
        <w:t>（中型企业、小型企业、微型企业）</w:t>
      </w:r>
      <w:r>
        <w:rPr>
          <w:rFonts w:hint="eastAsia" w:ascii="宋体" w:hAnsi="宋体" w:eastAsia="宋体" w:cs="宋体"/>
          <w:color w:val="auto"/>
        </w:rPr>
        <w:t>；</w:t>
      </w:r>
    </w:p>
    <w:p w14:paraId="1782107C">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w:t>
      </w:r>
    </w:p>
    <w:p w14:paraId="09947799">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以上企业，不属于大企业的分支机构，不存在控股股东为大企业的情形，也不存在与大企业的负责人为同一人的情形。</w:t>
      </w:r>
    </w:p>
    <w:p w14:paraId="1EFF1F84">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14:paraId="13E36B53">
      <w:pPr>
        <w:spacing w:line="360" w:lineRule="auto"/>
        <w:ind w:firstLine="480" w:firstLineChars="200"/>
        <w:rPr>
          <w:rFonts w:hint="eastAsia" w:ascii="宋体" w:hAnsi="宋体" w:eastAsia="宋体" w:cs="宋体"/>
          <w:color w:val="auto"/>
        </w:rPr>
      </w:pPr>
    </w:p>
    <w:p w14:paraId="2384487E">
      <w:pPr>
        <w:tabs>
          <w:tab w:val="left" w:pos="5670"/>
        </w:tabs>
        <w:spacing w:line="360" w:lineRule="auto"/>
        <w:ind w:firstLine="480" w:firstLineChars="200"/>
        <w:rPr>
          <w:rFonts w:hint="eastAsia" w:ascii="宋体" w:hAnsi="宋体" w:eastAsia="宋体" w:cs="宋体"/>
          <w:color w:val="auto"/>
        </w:rPr>
      </w:pPr>
      <w:r>
        <w:rPr>
          <w:rFonts w:hint="eastAsia" w:ascii="宋体" w:hAnsi="宋体" w:eastAsia="宋体" w:cs="宋体"/>
          <w:color w:val="auto"/>
          <w:lang w:eastAsia="zh-CN"/>
        </w:rPr>
        <w:t>投标人</w:t>
      </w:r>
      <w:r>
        <w:rPr>
          <w:rFonts w:hint="eastAsia" w:ascii="宋体" w:hAnsi="宋体" w:eastAsia="宋体" w:cs="宋体"/>
          <w:color w:val="auto"/>
        </w:rPr>
        <w:t>：（</w:t>
      </w:r>
      <w:r>
        <w:rPr>
          <w:rFonts w:hint="eastAsia" w:ascii="宋体" w:hAnsi="宋体" w:eastAsia="宋体" w:cs="宋体"/>
          <w:color w:val="auto"/>
          <w:lang w:eastAsia="zh-CN"/>
        </w:rPr>
        <w:t>投标人</w:t>
      </w:r>
      <w:r>
        <w:rPr>
          <w:rFonts w:hint="eastAsia" w:ascii="宋体" w:hAnsi="宋体" w:eastAsia="宋体" w:cs="宋体"/>
          <w:color w:val="auto"/>
        </w:rPr>
        <w:t>全称并加盖公章）</w:t>
      </w:r>
    </w:p>
    <w:p w14:paraId="52C23187">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日　期：　　年　月　日</w:t>
      </w:r>
    </w:p>
    <w:p w14:paraId="1D7CC52F">
      <w:pPr>
        <w:pStyle w:val="16"/>
        <w:rPr>
          <w:rFonts w:hint="eastAsia"/>
        </w:rPr>
      </w:pPr>
    </w:p>
    <w:p w14:paraId="7A2B105A">
      <w:pPr>
        <w:spacing w:line="360" w:lineRule="auto"/>
        <w:rPr>
          <w:rFonts w:hint="eastAsia" w:ascii="宋体" w:hAnsi="宋体" w:eastAsia="宋体" w:cs="宋体"/>
          <w:b/>
          <w:color w:val="auto"/>
        </w:rPr>
      </w:pPr>
      <w:r>
        <w:rPr>
          <w:rFonts w:hint="eastAsia" w:ascii="宋体" w:hAnsi="宋体" w:eastAsia="宋体" w:cs="宋体"/>
          <w:b/>
          <w:color w:val="auto"/>
          <w:lang w:val="en-US" w:eastAsia="zh-CN"/>
        </w:rPr>
        <w:t>注：</w:t>
      </w:r>
      <w:r>
        <w:rPr>
          <w:rFonts w:hint="eastAsia" w:ascii="宋体" w:hAnsi="宋体" w:eastAsia="宋体" w:cs="宋体"/>
          <w:b/>
          <w:color w:val="auto"/>
        </w:rPr>
        <w:t>从业人员、营业收入、资产总额填报上一年度数据，无上一年度数据的新成立企业可不填报。</w:t>
      </w:r>
    </w:p>
    <w:p w14:paraId="282DD3FB">
      <w:pPr>
        <w:rPr>
          <w:rFonts w:hint="eastAsia" w:ascii="宋体" w:hAnsi="宋体" w:eastAsia="宋体" w:cs="宋体"/>
          <w:b/>
          <w:color w:val="auto"/>
        </w:rPr>
      </w:pPr>
      <w:r>
        <w:rPr>
          <w:rFonts w:hint="eastAsia" w:ascii="宋体" w:hAnsi="宋体" w:eastAsia="宋体" w:cs="宋体"/>
          <w:b/>
          <w:color w:val="auto"/>
        </w:rPr>
        <w:br w:type="page"/>
      </w:r>
    </w:p>
    <w:p w14:paraId="57EAF121">
      <w:pPr>
        <w:spacing w:before="210" w:beforeLines="50" w:line="360" w:lineRule="auto"/>
        <w:rPr>
          <w:rFonts w:hint="eastAsia" w:ascii="宋体" w:hAnsi="宋体" w:eastAsia="宋体" w:cs="宋体"/>
          <w:b/>
          <w:color w:val="auto"/>
        </w:rPr>
      </w:pPr>
      <w:r>
        <w:rPr>
          <w:rFonts w:hint="eastAsia" w:ascii="宋体" w:hAnsi="宋体" w:eastAsia="宋体" w:cs="宋体"/>
          <w:b/>
          <w:color w:val="auto"/>
        </w:rPr>
        <w:t>2．残疾人福利性单位声明函</w:t>
      </w:r>
    </w:p>
    <w:p w14:paraId="178D5AA9">
      <w:pPr>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说明：当且仅当投标人为残疾人福利性单位的，应按下文给定格式填写声明函。未提供或未按给定格式提供声明函的，将不能享受招标文件规定的价格优惠政策，但不影响投标文件的有效性。</w:t>
      </w:r>
    </w:p>
    <w:p w14:paraId="333AF7D4">
      <w:pPr>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投标人在填报前请认真阅读《财政部、民政部、中国残疾人联合会关于促进残疾人就业政府采购政策的通知》（财库〔2017〕141号）相关规定。</w:t>
      </w:r>
    </w:p>
    <w:p w14:paraId="43E2564D">
      <w:pPr>
        <w:pStyle w:val="48"/>
        <w:keepNext/>
        <w:wordWrap/>
        <w:spacing w:before="60" w:after="60" w:line="360" w:lineRule="auto"/>
        <w:jc w:val="center"/>
        <w:rPr>
          <w:rFonts w:hint="eastAsia" w:ascii="宋体" w:hAnsi="宋体" w:eastAsia="宋体" w:cs="宋体"/>
          <w:color w:val="auto"/>
        </w:rPr>
      </w:pPr>
    </w:p>
    <w:p w14:paraId="1EB34F9E">
      <w:pPr>
        <w:pStyle w:val="48"/>
        <w:keepNext/>
        <w:wordWrap/>
        <w:spacing w:before="60" w:after="60" w:line="360" w:lineRule="auto"/>
        <w:jc w:val="center"/>
        <w:rPr>
          <w:rFonts w:hint="eastAsia" w:ascii="宋体" w:hAnsi="宋体" w:eastAsia="宋体" w:cs="宋体"/>
          <w:color w:val="auto"/>
        </w:rPr>
      </w:pPr>
      <w:r>
        <w:rPr>
          <w:rFonts w:hint="eastAsia" w:ascii="宋体" w:hAnsi="宋体" w:eastAsia="宋体" w:cs="宋体"/>
          <w:color w:val="auto"/>
        </w:rPr>
        <w:t>残疾人福利性单位声明函（格式）</w:t>
      </w:r>
    </w:p>
    <w:p w14:paraId="30E59D98">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u w:val="single"/>
        </w:rPr>
        <w:t>〈项目名称〉</w:t>
      </w:r>
      <w:r>
        <w:rPr>
          <w:rFonts w:hint="eastAsia" w:ascii="宋体" w:hAnsi="宋体" w:cs="宋体"/>
          <w:color w:val="auto"/>
          <w:u w:val="single"/>
          <w:lang w:eastAsia="zh-CN"/>
        </w:rPr>
        <w:t>〈</w:t>
      </w:r>
      <w:r>
        <w:rPr>
          <w:rFonts w:hint="eastAsia" w:ascii="宋体" w:hAnsi="宋体" w:cs="宋体"/>
          <w:color w:val="auto"/>
          <w:u w:val="single"/>
          <w:lang w:val="en-US" w:eastAsia="zh-CN"/>
        </w:rPr>
        <w:t>包号</w:t>
      </w:r>
      <w:r>
        <w:rPr>
          <w:rFonts w:hint="eastAsia" w:ascii="宋体" w:hAnsi="宋体" w:cs="宋体"/>
          <w:color w:val="auto"/>
          <w:u w:val="single"/>
          <w:lang w:eastAsia="zh-CN"/>
        </w:rPr>
        <w:t>〉</w:t>
      </w:r>
      <w:r>
        <w:rPr>
          <w:rFonts w:hint="eastAsia" w:ascii="宋体" w:hAnsi="宋体" w:cs="宋体"/>
          <w:color w:val="auto"/>
          <w:lang w:eastAsia="zh-CN"/>
        </w:rPr>
        <w:t>（</w:t>
      </w:r>
      <w:r>
        <w:rPr>
          <w:rFonts w:hint="eastAsia" w:ascii="宋体" w:hAnsi="宋体" w:eastAsia="宋体" w:cs="宋体"/>
          <w:color w:val="auto"/>
        </w:rPr>
        <w:t>项目编号：</w:t>
      </w:r>
      <w:r>
        <w:rPr>
          <w:rFonts w:hint="eastAsia" w:ascii="宋体" w:hAnsi="宋体" w:eastAsia="宋体" w:cs="宋体"/>
          <w:color w:val="auto"/>
          <w:u w:val="single"/>
        </w:rPr>
        <w:t>〈项目编号〉</w:t>
      </w:r>
      <w:r>
        <w:rPr>
          <w:rFonts w:hint="eastAsia" w:ascii="宋体" w:hAnsi="宋体" w:eastAsia="宋体" w:cs="宋体"/>
          <w:color w:val="auto"/>
        </w:rPr>
        <w:t>）采购活动提供本单位制造的货物（由本单位承担工程/提供服务），或者提供其他残疾人福利性单位制造的货物（不包括使用非残疾人福利性单位注册商标的货物）。</w:t>
      </w:r>
    </w:p>
    <w:p w14:paraId="0B459210">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本单位对上述声明的真实性负责。如有虚假，将依法承担相应责任。</w:t>
      </w:r>
    </w:p>
    <w:p w14:paraId="3A5D0E9C">
      <w:pPr>
        <w:spacing w:line="360" w:lineRule="auto"/>
        <w:ind w:firstLine="480" w:firstLineChars="200"/>
        <w:rPr>
          <w:rFonts w:hint="eastAsia" w:ascii="宋体" w:hAnsi="宋体" w:eastAsia="宋体" w:cs="宋体"/>
          <w:color w:val="auto"/>
        </w:rPr>
      </w:pPr>
    </w:p>
    <w:p w14:paraId="60A4498F">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lang w:eastAsia="zh-CN"/>
        </w:rPr>
        <w:t>投标人</w:t>
      </w:r>
      <w:r>
        <w:rPr>
          <w:rFonts w:hint="eastAsia" w:ascii="宋体" w:hAnsi="宋体" w:eastAsia="宋体" w:cs="宋体"/>
          <w:color w:val="auto"/>
        </w:rPr>
        <w:t>：（</w:t>
      </w:r>
      <w:r>
        <w:rPr>
          <w:rFonts w:hint="eastAsia" w:ascii="宋体" w:hAnsi="宋体" w:eastAsia="宋体" w:cs="宋体"/>
          <w:color w:val="auto"/>
          <w:lang w:eastAsia="zh-CN"/>
        </w:rPr>
        <w:t>投标人</w:t>
      </w:r>
      <w:r>
        <w:rPr>
          <w:rFonts w:hint="eastAsia" w:ascii="宋体" w:hAnsi="宋体" w:eastAsia="宋体" w:cs="宋体"/>
          <w:color w:val="auto"/>
        </w:rPr>
        <w:t>全称并加盖公章）</w:t>
      </w:r>
    </w:p>
    <w:p w14:paraId="4E7D3697">
      <w:pPr>
        <w:tabs>
          <w:tab w:val="left" w:pos="5670"/>
        </w:tabs>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日　期：　　年　月　日</w:t>
      </w:r>
    </w:p>
    <w:p w14:paraId="21AEE66E">
      <w:pPr>
        <w:spacing w:line="360" w:lineRule="auto"/>
        <w:ind w:firstLine="200"/>
        <w:rPr>
          <w:rFonts w:hint="eastAsia" w:ascii="宋体" w:hAnsi="宋体" w:eastAsia="宋体" w:cs="宋体"/>
          <w:color w:val="auto"/>
        </w:rPr>
      </w:pPr>
      <w:r>
        <w:rPr>
          <w:rFonts w:hint="eastAsia" w:ascii="宋体" w:hAnsi="宋体" w:eastAsia="宋体" w:cs="宋体"/>
          <w:color w:val="auto"/>
        </w:rPr>
        <w:br w:type="page"/>
      </w:r>
    </w:p>
    <w:p w14:paraId="24CB38CE">
      <w:pPr>
        <w:spacing w:before="210" w:beforeLines="50" w:line="360" w:lineRule="auto"/>
        <w:rPr>
          <w:rFonts w:hint="eastAsia" w:ascii="宋体" w:hAnsi="宋体" w:eastAsia="宋体" w:cs="宋体"/>
          <w:b/>
        </w:rPr>
      </w:pPr>
      <w:r>
        <w:rPr>
          <w:rFonts w:hint="eastAsia" w:ascii="宋体" w:hAnsi="宋体" w:eastAsia="宋体" w:cs="宋体"/>
          <w:b/>
        </w:rPr>
        <w:t>3．监狱企业证明函</w:t>
      </w:r>
    </w:p>
    <w:p w14:paraId="147ACD86">
      <w:pPr>
        <w:spacing w:line="360" w:lineRule="auto"/>
        <w:ind w:firstLine="480" w:firstLineChars="200"/>
        <w:rPr>
          <w:rFonts w:hint="eastAsia" w:ascii="宋体" w:hAnsi="宋体" w:eastAsia="宋体" w:cs="宋体"/>
          <w:i/>
          <w:color w:val="auto"/>
        </w:rPr>
      </w:pPr>
      <w:r>
        <w:rPr>
          <w:rFonts w:hint="eastAsia" w:ascii="宋体" w:hAnsi="宋体" w:eastAsia="宋体" w:cs="宋体"/>
          <w:color w:val="000000"/>
          <w:kern w:val="24"/>
          <w:sz w:val="24"/>
          <w:szCs w:val="24"/>
          <w:lang w:val="en-US" w:eastAsia="zh-CN" w:bidi="ar-SA"/>
        </w:rPr>
        <w:t>说明：当且仅当投标人为监狱企业的，应当提供由省级以上监狱管理局、戒毒管理局（含新疆生产建设兵团）出具的属于监狱</w:t>
      </w:r>
      <w:r>
        <w:rPr>
          <w:rFonts w:hint="eastAsia" w:ascii="宋体" w:hAnsi="宋体" w:eastAsia="宋体" w:cs="宋体"/>
          <w:color w:val="auto"/>
          <w:kern w:val="24"/>
          <w:sz w:val="24"/>
          <w:szCs w:val="24"/>
          <w:lang w:val="en-US" w:eastAsia="zh-CN" w:bidi="ar-SA"/>
        </w:rPr>
        <w:t>企业的证明函（格式不限）。未提供证明函的，将不能享受招标文件规定的价格优惠政策，但不影响投标文件的有效性。</w:t>
      </w:r>
    </w:p>
    <w:p w14:paraId="21364E13">
      <w:pPr>
        <w:pStyle w:val="48"/>
        <w:keepNext/>
        <w:wordWrap/>
        <w:spacing w:before="60" w:after="60" w:line="360" w:lineRule="auto"/>
        <w:jc w:val="center"/>
        <w:rPr>
          <w:rFonts w:hint="eastAsia" w:ascii="宋体" w:hAnsi="宋体" w:eastAsia="宋体" w:cs="宋体"/>
          <w:color w:val="auto"/>
        </w:rPr>
      </w:pPr>
    </w:p>
    <w:p w14:paraId="5F2BFF6C">
      <w:pPr>
        <w:pStyle w:val="48"/>
        <w:keepNext/>
        <w:wordWrap/>
        <w:spacing w:before="60" w:after="60" w:line="360" w:lineRule="auto"/>
        <w:jc w:val="center"/>
        <w:rPr>
          <w:rFonts w:hint="eastAsia" w:ascii="宋体" w:hAnsi="宋体" w:eastAsia="宋体" w:cs="宋体"/>
          <w:color w:val="auto"/>
        </w:rPr>
      </w:pPr>
      <w:r>
        <w:rPr>
          <w:rFonts w:hint="eastAsia" w:ascii="宋体" w:hAnsi="宋体" w:eastAsia="宋体" w:cs="宋体"/>
          <w:color w:val="auto"/>
        </w:rPr>
        <w:t>监狱企业证明函</w:t>
      </w:r>
    </w:p>
    <w:p w14:paraId="32376CDC">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393ACB">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监狱企业参加政府采购活动时，应当提供由省级以上监狱管理局、戒毒管理局（含新疆生产建设兵团）出具的属于监狱企业的证明文件。</w:t>
      </w:r>
    </w:p>
    <w:p w14:paraId="24C80722">
      <w:pPr>
        <w:pStyle w:val="89"/>
        <w:spacing w:line="360" w:lineRule="auto"/>
        <w:ind w:firstLine="0" w:firstLineChars="0"/>
        <w:rPr>
          <w:rFonts w:hint="eastAsia" w:ascii="宋体" w:hAnsi="宋体" w:eastAsia="宋体" w:cs="宋体"/>
          <w:color w:val="auto"/>
        </w:rPr>
      </w:pPr>
      <w:r>
        <w:rPr>
          <w:rFonts w:hint="eastAsia" w:ascii="宋体" w:hAnsi="宋体" w:eastAsia="宋体" w:cs="宋体"/>
          <w:color w:val="auto"/>
        </w:rPr>
        <w:br w:type="page"/>
      </w:r>
    </w:p>
    <w:p w14:paraId="74E4DE46">
      <w:pPr>
        <w:spacing w:line="360" w:lineRule="auto"/>
        <w:rPr>
          <w:rFonts w:hint="eastAsia" w:ascii="宋体" w:hAnsi="宋体" w:eastAsia="宋体" w:cs="宋体"/>
          <w:color w:val="auto"/>
          <w:sz w:val="28"/>
          <w:szCs w:val="28"/>
        </w:rPr>
        <w:sectPr>
          <w:pgSz w:w="11906" w:h="16838"/>
          <w:pgMar w:top="1418" w:right="1304" w:bottom="1418" w:left="1701"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p>
    <w:p w14:paraId="01AFB267">
      <w:pPr>
        <w:pStyle w:val="91"/>
        <w:spacing w:before="210" w:after="210" w:line="360" w:lineRule="auto"/>
        <w:rPr>
          <w:rFonts w:hint="eastAsia" w:ascii="宋体" w:hAnsi="宋体" w:eastAsia="宋体" w:cs="宋体"/>
          <w:color w:val="auto"/>
        </w:rPr>
      </w:pPr>
      <w:r>
        <w:rPr>
          <w:rFonts w:hint="eastAsia" w:ascii="宋体" w:hAnsi="宋体" w:eastAsia="宋体" w:cs="宋体"/>
          <w:color w:val="auto"/>
        </w:rPr>
        <w:t>第五部分　</w:t>
      </w:r>
      <w:r>
        <w:rPr>
          <w:rFonts w:hint="eastAsia" w:ascii="宋体" w:hAnsi="宋体" w:eastAsia="宋体" w:cs="宋体"/>
          <w:color w:val="auto"/>
          <w:lang w:eastAsia="zh-CN"/>
        </w:rPr>
        <w:t>投标人</w:t>
      </w:r>
      <w:r>
        <w:rPr>
          <w:rFonts w:hint="eastAsia" w:ascii="宋体" w:hAnsi="宋体" w:eastAsia="宋体" w:cs="宋体"/>
          <w:color w:val="auto"/>
        </w:rPr>
        <w:t>参加政府采购活动承诺书</w:t>
      </w:r>
    </w:p>
    <w:p w14:paraId="7B202D66">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未签署下列承诺书的，将被视为无效投标，其责任由</w:t>
      </w:r>
      <w:r>
        <w:rPr>
          <w:rFonts w:hint="eastAsia" w:ascii="宋体" w:hAnsi="宋体" w:cs="宋体"/>
          <w:color w:val="auto"/>
          <w:lang w:eastAsia="zh-CN"/>
        </w:rPr>
        <w:t>投标人</w:t>
      </w:r>
      <w:r>
        <w:rPr>
          <w:rFonts w:hint="eastAsia" w:ascii="宋体" w:hAnsi="宋体" w:eastAsia="宋体" w:cs="宋体"/>
          <w:color w:val="auto"/>
        </w:rPr>
        <w:t>自行承担。</w:t>
      </w:r>
    </w:p>
    <w:p w14:paraId="36AF80E3">
      <w:pPr>
        <w:pStyle w:val="90"/>
        <w:spacing w:line="360" w:lineRule="auto"/>
        <w:rPr>
          <w:rFonts w:hint="eastAsia" w:ascii="宋体" w:hAnsi="宋体" w:eastAsia="宋体" w:cs="宋体"/>
          <w:color w:val="auto"/>
        </w:rPr>
      </w:pPr>
      <w:r>
        <w:rPr>
          <w:rFonts w:hint="eastAsia" w:ascii="宋体" w:hAnsi="宋体" w:eastAsia="宋体" w:cs="宋体"/>
          <w:color w:val="auto"/>
        </w:rPr>
        <w:t>（一）质量安全责任承诺书</w:t>
      </w:r>
    </w:p>
    <w:p w14:paraId="1DE96367">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为保证本采购项目顺利进行，作为</w:t>
      </w:r>
      <w:r>
        <w:rPr>
          <w:rFonts w:hint="eastAsia" w:ascii="宋体" w:hAnsi="宋体" w:cs="宋体"/>
          <w:color w:val="auto"/>
          <w:lang w:eastAsia="zh-CN"/>
        </w:rPr>
        <w:t>投标人</w:t>
      </w:r>
      <w:r>
        <w:rPr>
          <w:rFonts w:hint="eastAsia" w:ascii="宋体" w:hAnsi="宋体" w:eastAsia="宋体" w:cs="宋体"/>
          <w:color w:val="auto"/>
        </w:rPr>
        <w:t>，现郑重承诺：</w:t>
      </w:r>
    </w:p>
    <w:p w14:paraId="1C4FE8AA">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color="000000" w:themeColor="text1"/>
        </w:rPr>
        <w:t>．</w:t>
      </w:r>
      <w:r>
        <w:rPr>
          <w:rFonts w:hint="eastAsia" w:ascii="宋体" w:hAnsi="宋体" w:eastAsia="宋体" w:cs="宋体"/>
          <w:color w:val="auto"/>
        </w:rPr>
        <w:t>我方所投产品的生产（包括设计、制造、安装、改造、维修等）、投入使用的材料等均完全符合国家现行质量、安全、环保标准和要求。</w:t>
      </w:r>
    </w:p>
    <w:p w14:paraId="7E080F73">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color="000000" w:themeColor="text1"/>
        </w:rPr>
        <w:t>．</w:t>
      </w:r>
      <w:r>
        <w:rPr>
          <w:rFonts w:hint="eastAsia" w:ascii="宋体" w:hAnsi="宋体" w:eastAsia="宋体" w:cs="宋体"/>
          <w:color w:val="auto"/>
        </w:rPr>
        <w:t>我方将严格按照国家现行相关储存、运输、安装调试技术标准及规范、服务标准及规范、施工标准及规范，在规定的时限内，保质、保量完成项目全部内容，并向采购人交付合格产品。</w:t>
      </w:r>
    </w:p>
    <w:p w14:paraId="0378252D">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u w:color="000000" w:themeColor="text1"/>
        </w:rPr>
        <w:t>．</w:t>
      </w:r>
      <w:r>
        <w:rPr>
          <w:rFonts w:hint="eastAsia" w:ascii="宋体" w:hAnsi="宋体" w:eastAsia="宋体" w:cs="宋体"/>
          <w:color w:val="auto"/>
        </w:rPr>
        <w:t>对于因产品生产质量以及储存、运输、安装调试、服务、施工等过程中产生的任何安全事故，我方承担全部责任。</w:t>
      </w:r>
    </w:p>
    <w:p w14:paraId="4C071A7D">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u w:color="000000" w:themeColor="text1"/>
        </w:rPr>
        <w:t>．</w:t>
      </w:r>
      <w:r>
        <w:rPr>
          <w:rFonts w:hint="eastAsia" w:ascii="宋体" w:hAnsi="宋体" w:eastAsia="宋体" w:cs="宋体"/>
          <w:color w:val="auto"/>
        </w:rPr>
        <w:t>我方提供的货物、工程、服务等符合现行的国家、行业、地区、企业标准及要求，标准不一致的，以更为严格的为准，我方对提供的货物、工程、服务等的质量、安全、环保等承担全部责任。</w:t>
      </w:r>
    </w:p>
    <w:p w14:paraId="12E3EF26">
      <w:pPr>
        <w:pStyle w:val="89"/>
        <w:spacing w:line="360" w:lineRule="auto"/>
        <w:ind w:firstLine="480"/>
        <w:rPr>
          <w:rFonts w:hint="eastAsia" w:ascii="宋体" w:hAnsi="宋体" w:eastAsia="宋体" w:cs="宋体"/>
          <w:color w:val="auto"/>
        </w:rPr>
      </w:pPr>
    </w:p>
    <w:p w14:paraId="64CA91E8">
      <w:pPr>
        <w:pStyle w:val="89"/>
        <w:spacing w:line="360" w:lineRule="auto"/>
        <w:ind w:firstLine="480"/>
        <w:rPr>
          <w:rFonts w:hint="eastAsia" w:ascii="宋体" w:hAnsi="宋体" w:eastAsia="宋体" w:cs="宋体"/>
          <w:color w:val="auto"/>
        </w:rPr>
      </w:pPr>
      <w:r>
        <w:rPr>
          <w:rFonts w:hint="eastAsia" w:ascii="宋体" w:hAnsi="宋体" w:cs="宋体"/>
          <w:color w:val="auto"/>
          <w:lang w:eastAsia="zh-CN"/>
        </w:rPr>
        <w:t>投标人</w:t>
      </w:r>
      <w:r>
        <w:rPr>
          <w:rFonts w:hint="eastAsia" w:ascii="宋体" w:hAnsi="宋体" w:eastAsia="宋体" w:cs="宋体"/>
          <w:color w:val="auto"/>
        </w:rPr>
        <w:t>：（</w:t>
      </w:r>
      <w:r>
        <w:rPr>
          <w:rFonts w:hint="eastAsia" w:ascii="宋体" w:hAnsi="宋体" w:cs="宋体"/>
          <w:color w:val="auto"/>
          <w:lang w:eastAsia="zh-CN"/>
        </w:rPr>
        <w:t>投标人</w:t>
      </w:r>
      <w:r>
        <w:rPr>
          <w:rFonts w:hint="eastAsia" w:ascii="宋体" w:hAnsi="宋体" w:eastAsia="宋体" w:cs="宋体"/>
          <w:color w:val="auto"/>
        </w:rPr>
        <w:t>全称并加盖公章）</w:t>
      </w:r>
    </w:p>
    <w:p w14:paraId="6B1D1061">
      <w:pPr>
        <w:pStyle w:val="89"/>
        <w:spacing w:line="360" w:lineRule="auto"/>
        <w:ind w:firstLine="480"/>
        <w:rPr>
          <w:rFonts w:hint="eastAsia" w:ascii="宋体" w:hAnsi="宋体" w:eastAsia="宋体" w:cs="宋体"/>
        </w:rPr>
      </w:pPr>
      <w:r>
        <w:rPr>
          <w:rFonts w:hint="eastAsia" w:ascii="宋体" w:hAnsi="宋体" w:eastAsia="宋体" w:cs="宋体"/>
        </w:rPr>
        <w:t>日　期：　　年　月　日</w:t>
      </w:r>
    </w:p>
    <w:p w14:paraId="300BC094">
      <w:pPr>
        <w:pStyle w:val="89"/>
        <w:spacing w:line="360" w:lineRule="auto"/>
        <w:ind w:firstLine="480"/>
        <w:rPr>
          <w:rFonts w:hint="eastAsia" w:ascii="宋体" w:hAnsi="宋体" w:eastAsia="宋体" w:cs="宋体"/>
        </w:rPr>
      </w:pPr>
    </w:p>
    <w:p w14:paraId="1C26D647">
      <w:pPr>
        <w:rPr>
          <w:rFonts w:hint="eastAsia" w:ascii="宋体" w:hAnsi="宋体" w:eastAsia="宋体" w:cs="宋体"/>
        </w:rPr>
      </w:pPr>
      <w:r>
        <w:rPr>
          <w:rFonts w:hint="eastAsia" w:ascii="宋体" w:hAnsi="宋体" w:eastAsia="宋体" w:cs="宋体"/>
        </w:rPr>
        <w:br w:type="page"/>
      </w:r>
    </w:p>
    <w:p w14:paraId="4A016E09">
      <w:pPr>
        <w:pStyle w:val="90"/>
        <w:spacing w:line="360" w:lineRule="auto"/>
        <w:rPr>
          <w:rFonts w:hint="eastAsia" w:ascii="宋体" w:hAnsi="宋体" w:eastAsia="宋体" w:cs="宋体"/>
        </w:rPr>
      </w:pPr>
      <w:r>
        <w:rPr>
          <w:rFonts w:hint="eastAsia" w:ascii="宋体" w:hAnsi="宋体" w:eastAsia="宋体" w:cs="宋体"/>
        </w:rPr>
        <w:t>（二）参加政府采购活动行为自律承诺书</w:t>
      </w:r>
    </w:p>
    <w:p w14:paraId="18ADA83B">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rPr>
        <w:t>作为参加本次政府采购项目的</w:t>
      </w:r>
      <w:r>
        <w:rPr>
          <w:rFonts w:hint="eastAsia" w:ascii="宋体" w:hAnsi="宋体" w:cs="宋体"/>
          <w:lang w:eastAsia="zh-CN"/>
        </w:rPr>
        <w:t>投标人</w:t>
      </w:r>
      <w:r>
        <w:rPr>
          <w:rFonts w:hint="eastAsia" w:ascii="宋体" w:hAnsi="宋体" w:eastAsia="宋体" w:cs="宋体"/>
        </w:rPr>
        <w:t>，我方郑重承诺在参与</w:t>
      </w:r>
      <w:r>
        <w:rPr>
          <w:rFonts w:hint="eastAsia" w:ascii="宋体" w:hAnsi="宋体" w:eastAsia="宋体" w:cs="宋体"/>
          <w:color w:val="auto"/>
        </w:rPr>
        <w:t>政府采购活动中遵纪守法、公平竞争、诚实守信，如有违反愿承担一切责任及后果：</w:t>
      </w:r>
    </w:p>
    <w:p w14:paraId="1E82572F">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color="000000" w:themeColor="text1"/>
        </w:rPr>
        <w:t>．</w:t>
      </w:r>
      <w:r>
        <w:rPr>
          <w:rFonts w:hint="eastAsia" w:ascii="宋体" w:hAnsi="宋体" w:eastAsia="宋体" w:cs="宋体"/>
          <w:color w:val="auto"/>
        </w:rPr>
        <w:t>不与采购人、采购代理机构、政府采购评审专家恶意串通，不向其行贿或提供其他不正当利益；</w:t>
      </w:r>
    </w:p>
    <w:p w14:paraId="4BFA2753">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color="000000" w:themeColor="text1"/>
        </w:rPr>
        <w:t>．</w:t>
      </w:r>
      <w:r>
        <w:rPr>
          <w:rFonts w:hint="eastAsia" w:ascii="宋体" w:hAnsi="宋体" w:eastAsia="宋体" w:cs="宋体"/>
          <w:color w:val="auto"/>
        </w:rPr>
        <w:t>不与其他</w:t>
      </w:r>
      <w:r>
        <w:rPr>
          <w:rFonts w:hint="eastAsia" w:ascii="宋体" w:hAnsi="宋体" w:cs="宋体"/>
          <w:color w:val="auto"/>
          <w:lang w:eastAsia="zh-CN"/>
        </w:rPr>
        <w:t>投标人</w:t>
      </w:r>
      <w:r>
        <w:rPr>
          <w:rFonts w:hint="eastAsia" w:ascii="宋体" w:hAnsi="宋体" w:eastAsia="宋体" w:cs="宋体"/>
          <w:color w:val="auto"/>
        </w:rPr>
        <w:t>恶意串通，采取“围标、串标、陪标”等商业欺诈手段谋取中</w:t>
      </w:r>
      <w:r>
        <w:rPr>
          <w:rFonts w:hint="eastAsia" w:ascii="宋体" w:hAnsi="宋体" w:eastAsia="宋体" w:cs="宋体"/>
          <w:color w:val="auto"/>
          <w:w w:val="1"/>
        </w:rPr>
        <w:t xml:space="preserve"> </w:t>
      </w:r>
      <w:r>
        <w:rPr>
          <w:rFonts w:hint="eastAsia" w:ascii="宋体" w:hAnsi="宋体" w:eastAsia="宋体" w:cs="宋体"/>
          <w:color w:val="auto"/>
        </w:rPr>
        <w:t>标、成</w:t>
      </w:r>
      <w:r>
        <w:rPr>
          <w:rFonts w:hint="eastAsia" w:ascii="宋体" w:hAnsi="宋体" w:eastAsia="宋体" w:cs="宋体"/>
          <w:color w:val="auto"/>
          <w:w w:val="1"/>
        </w:rPr>
        <w:t xml:space="preserve"> </w:t>
      </w:r>
      <w:r>
        <w:rPr>
          <w:rFonts w:hint="eastAsia" w:ascii="宋体" w:hAnsi="宋体" w:eastAsia="宋体" w:cs="宋体"/>
          <w:color w:val="auto"/>
        </w:rPr>
        <w:t>交；</w:t>
      </w:r>
    </w:p>
    <w:p w14:paraId="4927488F">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u w:color="000000" w:themeColor="text1"/>
        </w:rPr>
        <w:t>．</w:t>
      </w:r>
      <w:r>
        <w:rPr>
          <w:rFonts w:hint="eastAsia" w:ascii="宋体" w:hAnsi="宋体" w:eastAsia="宋体" w:cs="宋体"/>
          <w:color w:val="auto"/>
        </w:rPr>
        <w:t>不提供虚假或无效证明文件（包括但不限于资格证明文件、合同及验收文件、检验检测报告、从业人员资格证书、机构或所投产品的各类认证证书等）或虚假材料谋取中</w:t>
      </w:r>
      <w:r>
        <w:rPr>
          <w:rFonts w:hint="eastAsia" w:ascii="宋体" w:hAnsi="宋体" w:eastAsia="宋体" w:cs="宋体"/>
          <w:color w:val="auto"/>
          <w:w w:val="1"/>
        </w:rPr>
        <w:t xml:space="preserve"> </w:t>
      </w:r>
      <w:r>
        <w:rPr>
          <w:rFonts w:hint="eastAsia" w:ascii="宋体" w:hAnsi="宋体" w:eastAsia="宋体" w:cs="宋体"/>
          <w:color w:val="auto"/>
        </w:rPr>
        <w:t>标、成</w:t>
      </w:r>
      <w:r>
        <w:rPr>
          <w:rFonts w:hint="eastAsia" w:ascii="宋体" w:hAnsi="宋体" w:eastAsia="宋体" w:cs="宋体"/>
          <w:color w:val="auto"/>
          <w:w w:val="1"/>
        </w:rPr>
        <w:t xml:space="preserve"> </w:t>
      </w:r>
      <w:r>
        <w:rPr>
          <w:rFonts w:hint="eastAsia" w:ascii="宋体" w:hAnsi="宋体" w:eastAsia="宋体" w:cs="宋体"/>
          <w:color w:val="auto"/>
        </w:rPr>
        <w:t>交；</w:t>
      </w:r>
    </w:p>
    <w:p w14:paraId="10CFED3A">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4</w:t>
      </w:r>
      <w:r>
        <w:rPr>
          <w:rFonts w:hint="eastAsia" w:ascii="宋体" w:hAnsi="宋体" w:eastAsia="宋体" w:cs="宋体"/>
          <w:color w:val="auto"/>
          <w:u w:color="000000" w:themeColor="text1"/>
        </w:rPr>
        <w:t>．</w:t>
      </w:r>
      <w:r>
        <w:rPr>
          <w:rFonts w:hint="eastAsia" w:ascii="宋体" w:hAnsi="宋体" w:eastAsia="宋体" w:cs="宋体"/>
          <w:color w:val="auto"/>
        </w:rPr>
        <w:t>不采取不正当手段诋毁、排挤其他</w:t>
      </w:r>
      <w:r>
        <w:rPr>
          <w:rFonts w:hint="eastAsia" w:ascii="宋体" w:hAnsi="宋体" w:cs="宋体"/>
          <w:color w:val="auto"/>
          <w:lang w:eastAsia="zh-CN"/>
        </w:rPr>
        <w:t>投标人</w:t>
      </w:r>
      <w:r>
        <w:rPr>
          <w:rFonts w:hint="eastAsia" w:ascii="宋体" w:hAnsi="宋体" w:eastAsia="宋体" w:cs="宋体"/>
          <w:color w:val="auto"/>
        </w:rPr>
        <w:t>；</w:t>
      </w:r>
    </w:p>
    <w:p w14:paraId="3444D0FA">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u w:color="000000" w:themeColor="text1"/>
        </w:rPr>
        <w:t>．</w:t>
      </w:r>
      <w:r>
        <w:rPr>
          <w:rFonts w:hint="eastAsia" w:ascii="宋体" w:hAnsi="宋体" w:eastAsia="宋体" w:cs="宋体"/>
          <w:color w:val="auto"/>
        </w:rPr>
        <w:t>不以不正当理由拒不与采购人签订政府采购合同，或逾期签订政府采购合同，或不按照采购文件确定的事项签订政府采购合同；</w:t>
      </w:r>
    </w:p>
    <w:p w14:paraId="145A933B">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6</w:t>
      </w:r>
      <w:r>
        <w:rPr>
          <w:rFonts w:hint="eastAsia" w:ascii="宋体" w:hAnsi="宋体" w:eastAsia="宋体" w:cs="宋体"/>
          <w:color w:val="auto"/>
          <w:u w:color="000000" w:themeColor="text1"/>
        </w:rPr>
        <w:t>．</w:t>
      </w:r>
      <w:r>
        <w:rPr>
          <w:rFonts w:hint="eastAsia" w:ascii="宋体" w:hAnsi="宋体" w:eastAsia="宋体" w:cs="宋体"/>
          <w:color w:val="auto"/>
        </w:rPr>
        <w:t>不以不正当理由拒绝履行合同义务，不会擅自变更、中止或者终止政府采购合同或将政府采购合同转包；</w:t>
      </w:r>
    </w:p>
    <w:p w14:paraId="2F078261">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7</w:t>
      </w:r>
      <w:r>
        <w:rPr>
          <w:rFonts w:hint="eastAsia" w:ascii="宋体" w:hAnsi="宋体" w:eastAsia="宋体" w:cs="宋体"/>
          <w:color w:val="auto"/>
          <w:u w:color="000000" w:themeColor="text1"/>
        </w:rPr>
        <w:t>．</w:t>
      </w:r>
      <w:r>
        <w:rPr>
          <w:rFonts w:hint="eastAsia" w:ascii="宋体" w:hAnsi="宋体" w:eastAsia="宋体" w:cs="宋体"/>
          <w:color w:val="auto"/>
        </w:rPr>
        <w:t>不在提供商品、服务或工程施工过程中提供假冒伪劣产品，损害采购人的合法权益或公共利益；</w:t>
      </w:r>
    </w:p>
    <w:p w14:paraId="19CCF40B">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u w:color="000000" w:themeColor="text1"/>
        </w:rPr>
        <w:t>．</w:t>
      </w:r>
      <w:r>
        <w:rPr>
          <w:rFonts w:hint="eastAsia" w:ascii="宋体" w:hAnsi="宋体" w:eastAsia="宋体" w:cs="宋体"/>
          <w:color w:val="auto"/>
        </w:rPr>
        <w:t>不采取捏造事实、提供虚假材料或者以非法手段取得证明材料进行质疑和投诉；</w:t>
      </w:r>
    </w:p>
    <w:p w14:paraId="1957D4D5">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u w:color="000000" w:themeColor="text1"/>
        </w:rPr>
        <w:t>．</w:t>
      </w:r>
      <w:r>
        <w:rPr>
          <w:rFonts w:hint="eastAsia" w:ascii="宋体" w:hAnsi="宋体" w:eastAsia="宋体" w:cs="宋体"/>
          <w:color w:val="auto"/>
        </w:rPr>
        <w:t>不发生其他有悖于政府采购公开、公平、公正和诚信原则的行为。</w:t>
      </w:r>
    </w:p>
    <w:p w14:paraId="1A02D584">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10</w:t>
      </w:r>
      <w:r>
        <w:rPr>
          <w:rFonts w:hint="eastAsia" w:ascii="宋体" w:hAnsi="宋体" w:eastAsia="宋体" w:cs="宋体"/>
          <w:color w:val="auto"/>
          <w:u w:color="000000" w:themeColor="text1"/>
        </w:rPr>
        <w:t>．</w:t>
      </w:r>
      <w:r>
        <w:rPr>
          <w:rFonts w:hint="eastAsia" w:ascii="宋体" w:hAnsi="宋体" w:eastAsia="宋体" w:cs="宋体"/>
          <w:color w:val="auto"/>
        </w:rPr>
        <w:t>尊重和接受政府采购监督管理部门的监督和采购人、采购代理机构的政府采购工作要求，愿意承担因违约行为给采购人造成的损失。</w:t>
      </w:r>
    </w:p>
    <w:p w14:paraId="7FC45619">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p>
    <w:p w14:paraId="41C82DB0">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cs="宋体"/>
          <w:color w:val="auto"/>
          <w:lang w:eastAsia="zh-CN"/>
        </w:rPr>
        <w:t>投标人</w:t>
      </w:r>
      <w:r>
        <w:rPr>
          <w:rFonts w:hint="eastAsia" w:ascii="宋体" w:hAnsi="宋体" w:eastAsia="宋体" w:cs="宋体"/>
          <w:color w:val="auto"/>
        </w:rPr>
        <w:t>：（</w:t>
      </w:r>
      <w:r>
        <w:rPr>
          <w:rFonts w:hint="eastAsia" w:ascii="宋体" w:hAnsi="宋体" w:cs="宋体"/>
          <w:color w:val="auto"/>
          <w:lang w:eastAsia="zh-CN"/>
        </w:rPr>
        <w:t>投标人</w:t>
      </w:r>
      <w:r>
        <w:rPr>
          <w:rFonts w:hint="eastAsia" w:ascii="宋体" w:hAnsi="宋体" w:eastAsia="宋体" w:cs="宋体"/>
          <w:color w:val="auto"/>
        </w:rPr>
        <w:t>全称并加盖公章）</w:t>
      </w:r>
    </w:p>
    <w:p w14:paraId="7CAEB637">
      <w:pPr>
        <w:pStyle w:val="89"/>
        <w:keepNext w:val="0"/>
        <w:keepLines w:val="0"/>
        <w:pageBreakBefore w:val="0"/>
        <w:widowControl/>
        <w:kinsoku/>
        <w:wordWrap/>
        <w:overflowPunct/>
        <w:topLinePunct w:val="0"/>
        <w:autoSpaceDE/>
        <w:autoSpaceDN/>
        <w:bidi w:val="0"/>
        <w:adjustRightInd/>
        <w:snapToGrid/>
        <w:spacing w:line="324" w:lineRule="auto"/>
        <w:ind w:firstLine="480"/>
        <w:textAlignment w:val="auto"/>
        <w:rPr>
          <w:rFonts w:hint="eastAsia" w:ascii="宋体" w:hAnsi="宋体" w:eastAsia="宋体" w:cs="宋体"/>
          <w:color w:val="auto"/>
        </w:rPr>
      </w:pPr>
      <w:r>
        <w:rPr>
          <w:rFonts w:hint="eastAsia" w:ascii="宋体" w:hAnsi="宋体" w:eastAsia="宋体" w:cs="宋体"/>
          <w:color w:val="auto"/>
        </w:rPr>
        <w:t>日　期：　　年　月　日</w:t>
      </w:r>
    </w:p>
    <w:p w14:paraId="787A8DD0">
      <w:pPr>
        <w:pStyle w:val="89"/>
        <w:spacing w:line="360" w:lineRule="auto"/>
        <w:ind w:firstLine="0" w:firstLineChars="0"/>
        <w:rPr>
          <w:rFonts w:hint="eastAsia" w:ascii="宋体" w:hAnsi="宋体" w:eastAsia="宋体" w:cs="宋体"/>
          <w:color w:val="auto"/>
        </w:rPr>
        <w:sectPr>
          <w:pgSz w:w="11906" w:h="16838"/>
          <w:pgMar w:top="1418" w:right="1304" w:bottom="1418" w:left="1701"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p>
    <w:p w14:paraId="50472D1B">
      <w:pPr>
        <w:pStyle w:val="91"/>
        <w:spacing w:before="210" w:after="210" w:line="360" w:lineRule="auto"/>
        <w:ind w:left="2640" w:right="600" w:hanging="1800"/>
        <w:rPr>
          <w:rFonts w:hint="eastAsia" w:ascii="宋体" w:hAnsi="宋体" w:eastAsia="宋体" w:cs="宋体"/>
        </w:rPr>
      </w:pPr>
      <w:r>
        <w:rPr>
          <w:rFonts w:hint="eastAsia" w:ascii="宋体" w:hAnsi="宋体" w:eastAsia="宋体" w:cs="宋体"/>
        </w:rPr>
        <w:t>第六部分　投标方案</w:t>
      </w:r>
    </w:p>
    <w:p w14:paraId="797027F2">
      <w:pPr>
        <w:pStyle w:val="90"/>
        <w:spacing w:line="360" w:lineRule="auto"/>
        <w:rPr>
          <w:rFonts w:hint="eastAsia" w:ascii="宋体" w:hAnsi="宋体" w:eastAsia="宋体" w:cs="宋体"/>
          <w:color w:val="FF0000"/>
          <w:highlight w:val="none"/>
          <w:lang w:eastAsia="zh-CN"/>
        </w:rPr>
      </w:pPr>
      <w:r>
        <w:rPr>
          <w:rFonts w:hint="eastAsia" w:ascii="宋体" w:hAnsi="宋体" w:eastAsia="宋体" w:cs="宋体"/>
          <w:highlight w:val="none"/>
        </w:rPr>
        <w:t>（一）技术（服务）要求响</w:t>
      </w:r>
      <w:r>
        <w:rPr>
          <w:rFonts w:hint="eastAsia" w:ascii="宋体" w:hAnsi="宋体" w:eastAsia="宋体" w:cs="宋体"/>
          <w:w w:val="1"/>
          <w:highlight w:val="none"/>
        </w:rPr>
        <w:t xml:space="preserve"> </w:t>
      </w:r>
      <w:r>
        <w:rPr>
          <w:rFonts w:hint="eastAsia" w:ascii="宋体" w:hAnsi="宋体" w:eastAsia="宋体" w:cs="宋体"/>
          <w:highlight w:val="none"/>
        </w:rPr>
        <w:t>应索引表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7"/>
        <w:gridCol w:w="3312"/>
        <w:gridCol w:w="3447"/>
        <w:gridCol w:w="1501"/>
      </w:tblGrid>
      <w:tr w14:paraId="306BD0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tcBorders>
              <w:top w:val="single" w:color="auto" w:sz="12" w:space="0"/>
              <w:bottom w:val="single" w:color="auto" w:sz="2" w:space="0"/>
            </w:tcBorders>
            <w:shd w:val="clear" w:color="auto" w:fill="F1F1F1" w:themeFill="background1" w:themeFillShade="F2"/>
            <w:vAlign w:val="center"/>
          </w:tcPr>
          <w:p w14:paraId="3E5D53A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rPr>
            </w:pPr>
            <w:r>
              <w:rPr>
                <w:rFonts w:hint="eastAsia" w:ascii="宋体" w:hAnsi="宋体" w:eastAsia="宋体" w:cs="宋体"/>
                <w:b/>
                <w:sz w:val="21"/>
              </w:rPr>
              <w:t>序号</w:t>
            </w:r>
          </w:p>
        </w:tc>
        <w:tc>
          <w:tcPr>
            <w:tcW w:w="3381" w:type="dxa"/>
            <w:tcBorders>
              <w:top w:val="single" w:color="auto" w:sz="12" w:space="0"/>
              <w:bottom w:val="single" w:color="auto" w:sz="2" w:space="0"/>
            </w:tcBorders>
            <w:shd w:val="clear" w:color="auto" w:fill="F1F1F1" w:themeFill="background1" w:themeFillShade="F2"/>
            <w:vAlign w:val="center"/>
          </w:tcPr>
          <w:p w14:paraId="4854883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rPr>
            </w:pPr>
            <w:r>
              <w:rPr>
                <w:rFonts w:hint="eastAsia" w:ascii="宋体" w:hAnsi="宋体" w:eastAsia="宋体" w:cs="宋体"/>
                <w:b/>
                <w:sz w:val="21"/>
              </w:rPr>
              <w:t>招标文件条款明细</w:t>
            </w:r>
          </w:p>
        </w:tc>
        <w:tc>
          <w:tcPr>
            <w:tcW w:w="3519" w:type="dxa"/>
            <w:tcBorders>
              <w:top w:val="single" w:color="auto" w:sz="12" w:space="0"/>
              <w:bottom w:val="single" w:color="auto" w:sz="2" w:space="0"/>
            </w:tcBorders>
            <w:shd w:val="clear" w:color="auto" w:fill="F1F1F1" w:themeFill="background1" w:themeFillShade="F2"/>
            <w:vAlign w:val="center"/>
          </w:tcPr>
          <w:p w14:paraId="7DCB132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rPr>
            </w:pPr>
            <w:r>
              <w:rPr>
                <w:rFonts w:hint="eastAsia" w:ascii="宋体" w:hAnsi="宋体" w:eastAsia="宋体" w:cs="宋体"/>
                <w:b/>
                <w:sz w:val="21"/>
              </w:rPr>
              <w:t>响</w:t>
            </w:r>
            <w:r>
              <w:rPr>
                <w:rFonts w:hint="eastAsia" w:ascii="宋体" w:hAnsi="宋体" w:eastAsia="宋体" w:cs="宋体"/>
                <w:b/>
                <w:w w:val="1"/>
                <w:sz w:val="21"/>
              </w:rPr>
              <w:t xml:space="preserve"> </w:t>
            </w:r>
            <w:r>
              <w:rPr>
                <w:rFonts w:hint="eastAsia" w:ascii="宋体" w:hAnsi="宋体" w:eastAsia="宋体" w:cs="宋体"/>
                <w:b/>
                <w:sz w:val="21"/>
              </w:rPr>
              <w:t>应索引</w:t>
            </w:r>
          </w:p>
        </w:tc>
        <w:tc>
          <w:tcPr>
            <w:tcW w:w="1526" w:type="dxa"/>
            <w:tcBorders>
              <w:top w:val="single" w:color="auto" w:sz="12" w:space="0"/>
              <w:bottom w:val="single" w:color="auto" w:sz="2" w:space="0"/>
            </w:tcBorders>
            <w:shd w:val="clear" w:color="auto" w:fill="F1F1F1" w:themeFill="background1" w:themeFillShade="F2"/>
            <w:vAlign w:val="center"/>
          </w:tcPr>
          <w:p w14:paraId="3D911CA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rPr>
            </w:pPr>
            <w:r>
              <w:rPr>
                <w:rFonts w:hint="eastAsia" w:ascii="宋体" w:hAnsi="宋体" w:eastAsia="宋体" w:cs="宋体"/>
                <w:b/>
                <w:sz w:val="21"/>
              </w:rPr>
              <w:t>响</w:t>
            </w:r>
            <w:r>
              <w:rPr>
                <w:rFonts w:hint="eastAsia" w:ascii="宋体" w:hAnsi="宋体" w:eastAsia="宋体" w:cs="宋体"/>
                <w:b/>
                <w:w w:val="1"/>
                <w:sz w:val="21"/>
              </w:rPr>
              <w:t xml:space="preserve"> </w:t>
            </w:r>
            <w:r>
              <w:rPr>
                <w:rFonts w:hint="eastAsia" w:ascii="宋体" w:hAnsi="宋体" w:eastAsia="宋体" w:cs="宋体"/>
                <w:b/>
                <w:sz w:val="21"/>
              </w:rPr>
              <w:t>应说明</w:t>
            </w:r>
          </w:p>
        </w:tc>
      </w:tr>
      <w:tr w14:paraId="6127D1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tcBorders>
              <w:top w:val="single" w:color="auto" w:sz="2" w:space="0"/>
            </w:tcBorders>
            <w:vAlign w:val="center"/>
          </w:tcPr>
          <w:p w14:paraId="64E0F2BA">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381" w:type="dxa"/>
            <w:tcBorders>
              <w:top w:val="single" w:color="auto" w:sz="2" w:space="0"/>
            </w:tcBorders>
            <w:vAlign w:val="center"/>
          </w:tcPr>
          <w:p w14:paraId="39F8A049">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519" w:type="dxa"/>
            <w:tcBorders>
              <w:top w:val="single" w:color="auto" w:sz="2" w:space="0"/>
            </w:tcBorders>
            <w:vAlign w:val="center"/>
          </w:tcPr>
          <w:p w14:paraId="5ABFAE4D">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526" w:type="dxa"/>
            <w:tcBorders>
              <w:top w:val="single" w:color="auto" w:sz="2" w:space="0"/>
            </w:tcBorders>
            <w:vAlign w:val="center"/>
          </w:tcPr>
          <w:p w14:paraId="68727C3B">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r>
      <w:tr w14:paraId="232E11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247EAB12">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381" w:type="dxa"/>
            <w:vAlign w:val="center"/>
          </w:tcPr>
          <w:p w14:paraId="179E7441">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519" w:type="dxa"/>
            <w:vAlign w:val="center"/>
          </w:tcPr>
          <w:p w14:paraId="0CCC1C53">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526" w:type="dxa"/>
            <w:vAlign w:val="center"/>
          </w:tcPr>
          <w:p w14:paraId="5C64D1EA">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r>
      <w:tr w14:paraId="2BB08CF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4CCA5DF5">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381" w:type="dxa"/>
            <w:vAlign w:val="center"/>
          </w:tcPr>
          <w:p w14:paraId="00CA2C67">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519" w:type="dxa"/>
            <w:vAlign w:val="center"/>
          </w:tcPr>
          <w:p w14:paraId="219EDEEA">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526" w:type="dxa"/>
            <w:vAlign w:val="center"/>
          </w:tcPr>
          <w:p w14:paraId="7CE27AAF">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r>
      <w:tr w14:paraId="529130F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5E56FE16">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381" w:type="dxa"/>
            <w:vAlign w:val="center"/>
          </w:tcPr>
          <w:p w14:paraId="5256AD77">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519" w:type="dxa"/>
            <w:vAlign w:val="center"/>
          </w:tcPr>
          <w:p w14:paraId="621BF68C">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526" w:type="dxa"/>
            <w:vAlign w:val="center"/>
          </w:tcPr>
          <w:p w14:paraId="6DB6DD35">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r>
      <w:tr w14:paraId="40A1FDC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4B1A5440">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381" w:type="dxa"/>
            <w:vAlign w:val="center"/>
          </w:tcPr>
          <w:p w14:paraId="5D668FE9">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519" w:type="dxa"/>
            <w:vAlign w:val="center"/>
          </w:tcPr>
          <w:p w14:paraId="74AD2A2F">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526" w:type="dxa"/>
            <w:vAlign w:val="center"/>
          </w:tcPr>
          <w:p w14:paraId="79482B4C">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r>
      <w:tr w14:paraId="2E0D33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5AAA6816">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381" w:type="dxa"/>
            <w:vAlign w:val="center"/>
          </w:tcPr>
          <w:p w14:paraId="23FCD91A">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3519" w:type="dxa"/>
            <w:vAlign w:val="center"/>
          </w:tcPr>
          <w:p w14:paraId="1704235E">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526" w:type="dxa"/>
            <w:vAlign w:val="center"/>
          </w:tcPr>
          <w:p w14:paraId="07C7CBC5">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r>
      <w:tr w14:paraId="4199382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4FB38F3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rPr>
            </w:pPr>
            <w:r>
              <w:rPr>
                <w:rFonts w:hint="eastAsia" w:ascii="宋体" w:hAnsi="宋体" w:eastAsia="宋体" w:cs="宋体"/>
                <w:sz w:val="21"/>
              </w:rPr>
              <w:t>备注</w:t>
            </w:r>
          </w:p>
        </w:tc>
        <w:tc>
          <w:tcPr>
            <w:tcW w:w="8426" w:type="dxa"/>
            <w:gridSpan w:val="3"/>
            <w:vAlign w:val="center"/>
          </w:tcPr>
          <w:p w14:paraId="1A9F203E">
            <w:pPr>
              <w:keepNext w:val="0"/>
              <w:keepLines w:val="0"/>
              <w:widowControl/>
              <w:suppressLineNumbers w:val="0"/>
              <w:spacing w:before="0" w:beforeAutospacing="0" w:after="0" w:afterAutospacing="0" w:line="360" w:lineRule="auto"/>
              <w:ind w:left="315" w:right="0" w:hanging="315"/>
              <w:jc w:val="both"/>
              <w:rPr>
                <w:rFonts w:hint="eastAsia" w:ascii="宋体" w:hAnsi="宋体" w:eastAsia="宋体" w:cs="宋体"/>
                <w:sz w:val="21"/>
              </w:rPr>
            </w:pPr>
            <w:r>
              <w:rPr>
                <w:rFonts w:hint="eastAsia" w:ascii="宋体" w:hAnsi="宋体" w:eastAsia="宋体" w:cs="宋体"/>
                <w:sz w:val="21"/>
              </w:rPr>
              <w:t>1．对第三章中的技术（服务）做出响</w:t>
            </w:r>
            <w:r>
              <w:rPr>
                <w:rFonts w:hint="eastAsia" w:ascii="宋体" w:hAnsi="宋体" w:eastAsia="宋体" w:cs="宋体"/>
                <w:w w:val="1"/>
                <w:sz w:val="21"/>
              </w:rPr>
              <w:t xml:space="preserve"> </w:t>
            </w:r>
            <w:r>
              <w:rPr>
                <w:rFonts w:hint="eastAsia" w:ascii="宋体" w:hAnsi="宋体" w:eastAsia="宋体" w:cs="宋体"/>
                <w:sz w:val="21"/>
              </w:rPr>
              <w:t>应。其中，属于实质性要求的，最好在“招标文件条款明细”保留原实质性要求中的“★”。</w:t>
            </w:r>
          </w:p>
          <w:p w14:paraId="096A55FD">
            <w:pPr>
              <w:keepNext w:val="0"/>
              <w:keepLines w:val="0"/>
              <w:widowControl/>
              <w:suppressLineNumbers w:val="0"/>
              <w:spacing w:before="0" w:beforeAutospacing="0" w:after="0" w:afterAutospacing="0" w:line="360" w:lineRule="auto"/>
              <w:ind w:left="315" w:right="0" w:hanging="315"/>
              <w:jc w:val="both"/>
              <w:rPr>
                <w:rFonts w:hint="eastAsia" w:ascii="宋体" w:hAnsi="宋体" w:eastAsia="宋体" w:cs="宋体"/>
                <w:sz w:val="21"/>
              </w:rPr>
            </w:pPr>
            <w:r>
              <w:rPr>
                <w:rFonts w:hint="eastAsia" w:ascii="宋体" w:hAnsi="宋体" w:eastAsia="宋体" w:cs="宋体"/>
                <w:sz w:val="21"/>
              </w:rPr>
              <w:t>2．响</w:t>
            </w:r>
            <w:r>
              <w:rPr>
                <w:rFonts w:hint="eastAsia" w:ascii="宋体" w:hAnsi="宋体" w:eastAsia="宋体" w:cs="宋体"/>
                <w:w w:val="1"/>
                <w:sz w:val="21"/>
              </w:rPr>
              <w:t xml:space="preserve"> </w:t>
            </w:r>
            <w:r>
              <w:rPr>
                <w:rFonts w:hint="eastAsia" w:ascii="宋体" w:hAnsi="宋体" w:eastAsia="宋体" w:cs="宋体"/>
                <w:sz w:val="21"/>
              </w:rPr>
              <w:t>应说明按实际响</w:t>
            </w:r>
            <w:r>
              <w:rPr>
                <w:rFonts w:hint="eastAsia" w:ascii="宋体" w:hAnsi="宋体" w:eastAsia="宋体" w:cs="宋体"/>
                <w:w w:val="1"/>
                <w:sz w:val="21"/>
              </w:rPr>
              <w:t xml:space="preserve"> </w:t>
            </w:r>
            <w:r>
              <w:rPr>
                <w:rFonts w:hint="eastAsia" w:ascii="宋体" w:hAnsi="宋体" w:eastAsia="宋体" w:cs="宋体"/>
                <w:sz w:val="21"/>
              </w:rPr>
              <w:t>应情况填写“优于”、“响</w:t>
            </w:r>
            <w:r>
              <w:rPr>
                <w:rFonts w:hint="eastAsia" w:ascii="宋体" w:hAnsi="宋体" w:eastAsia="宋体" w:cs="宋体"/>
                <w:w w:val="1"/>
                <w:sz w:val="21"/>
              </w:rPr>
              <w:t xml:space="preserve"> </w:t>
            </w:r>
            <w:r>
              <w:rPr>
                <w:rFonts w:hint="eastAsia" w:ascii="宋体" w:hAnsi="宋体" w:eastAsia="宋体" w:cs="宋体"/>
                <w:sz w:val="21"/>
              </w:rPr>
              <w:t>应”、“不响</w:t>
            </w:r>
            <w:r>
              <w:rPr>
                <w:rFonts w:hint="eastAsia" w:ascii="宋体" w:hAnsi="宋体" w:eastAsia="宋体" w:cs="宋体"/>
                <w:w w:val="1"/>
                <w:sz w:val="21"/>
              </w:rPr>
              <w:t xml:space="preserve"> </w:t>
            </w:r>
            <w:r>
              <w:rPr>
                <w:rFonts w:hint="eastAsia" w:ascii="宋体" w:hAnsi="宋体" w:eastAsia="宋体" w:cs="宋体"/>
                <w:sz w:val="21"/>
              </w:rPr>
              <w:t>应”。</w:t>
            </w:r>
          </w:p>
          <w:p w14:paraId="6FAF1D63">
            <w:pPr>
              <w:keepNext w:val="0"/>
              <w:keepLines w:val="0"/>
              <w:widowControl/>
              <w:suppressLineNumbers w:val="0"/>
              <w:spacing w:before="0" w:beforeAutospacing="0" w:after="0" w:afterAutospacing="0" w:line="360" w:lineRule="auto"/>
              <w:ind w:left="315" w:right="0" w:hanging="315"/>
              <w:jc w:val="both"/>
              <w:rPr>
                <w:rFonts w:hint="eastAsia" w:ascii="宋体" w:hAnsi="宋体" w:eastAsia="宋体" w:cs="宋体"/>
                <w:sz w:val="21"/>
              </w:rPr>
            </w:pPr>
            <w:r>
              <w:rPr>
                <w:rFonts w:hint="eastAsia" w:ascii="宋体" w:hAnsi="宋体" w:eastAsia="宋体" w:cs="宋体"/>
                <w:sz w:val="21"/>
              </w:rPr>
              <w:t>3．“响</w:t>
            </w:r>
            <w:r>
              <w:rPr>
                <w:rFonts w:hint="eastAsia" w:ascii="宋体" w:hAnsi="宋体" w:eastAsia="宋体" w:cs="宋体"/>
                <w:w w:val="1"/>
                <w:sz w:val="21"/>
              </w:rPr>
              <w:t xml:space="preserve"> </w:t>
            </w:r>
            <w:r>
              <w:rPr>
                <w:rFonts w:hint="eastAsia" w:ascii="宋体" w:hAnsi="宋体" w:eastAsia="宋体" w:cs="宋体"/>
                <w:sz w:val="21"/>
              </w:rPr>
              <w:t>应索引”单元格中注明引用位置，如“见技术（服务）响</w:t>
            </w:r>
            <w:r>
              <w:rPr>
                <w:rFonts w:hint="eastAsia" w:ascii="宋体" w:hAnsi="宋体" w:eastAsia="宋体" w:cs="宋体"/>
                <w:w w:val="1"/>
                <w:sz w:val="21"/>
              </w:rPr>
              <w:t xml:space="preserve"> </w:t>
            </w:r>
            <w:r>
              <w:rPr>
                <w:rFonts w:hint="eastAsia" w:ascii="宋体" w:hAnsi="宋体" w:eastAsia="宋体" w:cs="宋体"/>
                <w:sz w:val="21"/>
              </w:rPr>
              <w:t>应方案4.1.1”。</w:t>
            </w:r>
          </w:p>
        </w:tc>
      </w:tr>
    </w:tbl>
    <w:p w14:paraId="582F3E8D">
      <w:pPr>
        <w:pStyle w:val="89"/>
        <w:spacing w:line="360" w:lineRule="auto"/>
        <w:ind w:firstLine="480"/>
        <w:rPr>
          <w:rFonts w:hint="eastAsia" w:ascii="宋体" w:hAnsi="宋体" w:cs="宋体"/>
          <w:lang w:eastAsia="zh-CN"/>
        </w:rPr>
      </w:pPr>
      <w:r>
        <w:rPr>
          <w:rFonts w:hint="eastAsia" w:ascii="宋体" w:hAnsi="宋体" w:cs="宋体"/>
          <w:lang w:eastAsia="zh-CN"/>
        </w:rPr>
        <w:t>投标人（公章）：</w:t>
      </w:r>
    </w:p>
    <w:p w14:paraId="7ED0D9A1">
      <w:pPr>
        <w:pStyle w:val="89"/>
        <w:spacing w:line="360" w:lineRule="auto"/>
        <w:ind w:firstLine="480"/>
        <w:rPr>
          <w:rFonts w:hint="eastAsia" w:ascii="宋体" w:hAnsi="宋体" w:cs="宋体"/>
          <w:lang w:eastAsia="zh-CN"/>
        </w:rPr>
      </w:pPr>
      <w:r>
        <w:rPr>
          <w:rFonts w:hint="eastAsia" w:ascii="宋体" w:hAnsi="宋体" w:cs="宋体"/>
          <w:lang w:eastAsia="zh-CN"/>
        </w:rPr>
        <w:t>法定代表人（签字或盖章）：</w:t>
      </w:r>
    </w:p>
    <w:p w14:paraId="4CB715B2">
      <w:pPr>
        <w:pStyle w:val="89"/>
        <w:spacing w:line="360" w:lineRule="auto"/>
        <w:ind w:firstLine="480"/>
        <w:rPr>
          <w:rFonts w:hint="eastAsia" w:ascii="宋体" w:hAnsi="宋体" w:cs="宋体"/>
          <w:lang w:eastAsia="zh-CN"/>
        </w:rPr>
      </w:pPr>
      <w:r>
        <w:rPr>
          <w:rFonts w:hint="eastAsia" w:ascii="宋体" w:hAnsi="宋体" w:cs="宋体"/>
          <w:lang w:eastAsia="zh-CN"/>
        </w:rPr>
        <w:t>日    期：</w:t>
      </w:r>
    </w:p>
    <w:p w14:paraId="28D92F1A">
      <w:pPr>
        <w:pStyle w:val="89"/>
        <w:spacing w:line="360" w:lineRule="auto"/>
        <w:ind w:firstLine="480"/>
        <w:rPr>
          <w:rFonts w:hint="eastAsia" w:ascii="宋体" w:hAnsi="宋体" w:eastAsia="宋体" w:cs="宋体"/>
          <w:color w:val="auto"/>
        </w:rPr>
      </w:pPr>
    </w:p>
    <w:p w14:paraId="6403F206">
      <w:pPr>
        <w:pStyle w:val="89"/>
        <w:spacing w:line="360" w:lineRule="auto"/>
        <w:ind w:firstLine="0" w:firstLineChars="0"/>
        <w:rPr>
          <w:rFonts w:hint="eastAsia" w:ascii="宋体" w:hAnsi="宋体" w:eastAsia="宋体" w:cs="宋体"/>
          <w:color w:val="auto"/>
        </w:rPr>
      </w:pPr>
    </w:p>
    <w:p w14:paraId="3E672752">
      <w:pPr>
        <w:tabs>
          <w:tab w:val="right" w:pos="9070"/>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附：服务响</w:t>
      </w:r>
      <w:r>
        <w:rPr>
          <w:rFonts w:hint="eastAsia" w:ascii="宋体" w:hAnsi="宋体" w:eastAsia="宋体" w:cs="宋体"/>
          <w:b/>
          <w:color w:val="auto"/>
          <w:w w:val="1"/>
          <w:sz w:val="28"/>
          <w:szCs w:val="28"/>
        </w:rPr>
        <w:t xml:space="preserve"> </w:t>
      </w:r>
      <w:r>
        <w:rPr>
          <w:rFonts w:hint="eastAsia" w:ascii="宋体" w:hAnsi="宋体" w:eastAsia="宋体" w:cs="宋体"/>
          <w:b/>
          <w:color w:val="auto"/>
          <w:sz w:val="28"/>
          <w:szCs w:val="28"/>
        </w:rPr>
        <w:t>应方案</w:t>
      </w:r>
    </w:p>
    <w:p w14:paraId="07C1CA44">
      <w:pPr>
        <w:pStyle w:val="89"/>
        <w:spacing w:line="360" w:lineRule="auto"/>
        <w:ind w:firstLine="0" w:firstLineChars="0"/>
        <w:rPr>
          <w:rFonts w:hint="eastAsia" w:ascii="宋体" w:hAnsi="宋体" w:eastAsia="宋体" w:cs="宋体"/>
          <w:color w:val="auto"/>
        </w:rPr>
      </w:pPr>
    </w:p>
    <w:p w14:paraId="2FD17939">
      <w:pPr>
        <w:pStyle w:val="89"/>
        <w:spacing w:line="360" w:lineRule="auto"/>
        <w:ind w:firstLine="0" w:firstLineChars="0"/>
        <w:rPr>
          <w:rFonts w:hint="eastAsia" w:ascii="宋体" w:hAnsi="宋体" w:eastAsia="宋体" w:cs="宋体"/>
          <w:color w:val="auto"/>
        </w:rPr>
      </w:pPr>
    </w:p>
    <w:p w14:paraId="5C3D6D68">
      <w:pPr>
        <w:spacing w:line="360" w:lineRule="auto"/>
        <w:rPr>
          <w:rFonts w:hint="eastAsia" w:ascii="宋体" w:hAnsi="宋体" w:eastAsia="宋体" w:cs="宋体"/>
          <w:color w:val="auto"/>
          <w:kern w:val="24"/>
        </w:rPr>
      </w:pPr>
      <w:r>
        <w:rPr>
          <w:rFonts w:hint="eastAsia" w:ascii="宋体" w:hAnsi="宋体" w:eastAsia="宋体" w:cs="宋体"/>
          <w:color w:val="auto"/>
        </w:rPr>
        <w:br w:type="page"/>
      </w:r>
    </w:p>
    <w:p w14:paraId="0F1FF83B">
      <w:pPr>
        <w:pStyle w:val="90"/>
        <w:spacing w:line="360" w:lineRule="auto"/>
        <w:rPr>
          <w:rFonts w:hint="eastAsia" w:ascii="宋体" w:hAnsi="宋体" w:eastAsia="宋体" w:cs="宋体"/>
          <w:color w:val="auto"/>
        </w:rPr>
      </w:pPr>
      <w:r>
        <w:rPr>
          <w:rFonts w:hint="eastAsia" w:ascii="宋体" w:hAnsi="宋体" w:eastAsia="宋体" w:cs="宋体"/>
          <w:color w:val="auto"/>
        </w:rPr>
        <w:t>（二）商务要求响</w:t>
      </w:r>
      <w:r>
        <w:rPr>
          <w:rFonts w:hint="eastAsia" w:ascii="宋体" w:hAnsi="宋体" w:eastAsia="宋体" w:cs="宋体"/>
          <w:color w:val="auto"/>
          <w:w w:val="1"/>
        </w:rPr>
        <w:t xml:space="preserve"> </w:t>
      </w:r>
      <w:r>
        <w:rPr>
          <w:rFonts w:hint="eastAsia" w:ascii="宋体" w:hAnsi="宋体" w:eastAsia="宋体" w:cs="宋体"/>
          <w:color w:val="auto"/>
        </w:rPr>
        <w:t>应索引表</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7"/>
        <w:gridCol w:w="3312"/>
        <w:gridCol w:w="3447"/>
        <w:gridCol w:w="1501"/>
      </w:tblGrid>
      <w:tr w14:paraId="74D3C0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tcBorders>
              <w:top w:val="single" w:color="auto" w:sz="12" w:space="0"/>
              <w:bottom w:val="single" w:color="auto" w:sz="2" w:space="0"/>
            </w:tcBorders>
            <w:shd w:val="clear" w:color="auto" w:fill="F1F1F1" w:themeFill="background1" w:themeFillShade="F2"/>
            <w:vAlign w:val="center"/>
          </w:tcPr>
          <w:p w14:paraId="6A45A6D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1"/>
              </w:rPr>
            </w:pPr>
            <w:r>
              <w:rPr>
                <w:rFonts w:hint="eastAsia" w:ascii="宋体" w:hAnsi="宋体" w:eastAsia="宋体" w:cs="宋体"/>
                <w:b/>
                <w:color w:val="auto"/>
                <w:sz w:val="21"/>
              </w:rPr>
              <w:t>序号</w:t>
            </w:r>
          </w:p>
        </w:tc>
        <w:tc>
          <w:tcPr>
            <w:tcW w:w="3381" w:type="dxa"/>
            <w:tcBorders>
              <w:top w:val="single" w:color="auto" w:sz="12" w:space="0"/>
              <w:bottom w:val="single" w:color="auto" w:sz="2" w:space="0"/>
            </w:tcBorders>
            <w:shd w:val="clear" w:color="auto" w:fill="F1F1F1" w:themeFill="background1" w:themeFillShade="F2"/>
            <w:vAlign w:val="center"/>
          </w:tcPr>
          <w:p w14:paraId="4DB1768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1"/>
              </w:rPr>
            </w:pPr>
            <w:r>
              <w:rPr>
                <w:rFonts w:hint="eastAsia" w:ascii="宋体" w:hAnsi="宋体" w:eastAsia="宋体" w:cs="宋体"/>
                <w:b/>
                <w:color w:val="auto"/>
                <w:sz w:val="21"/>
              </w:rPr>
              <w:t>招标文件条款明细</w:t>
            </w:r>
          </w:p>
        </w:tc>
        <w:tc>
          <w:tcPr>
            <w:tcW w:w="3519" w:type="dxa"/>
            <w:tcBorders>
              <w:top w:val="single" w:color="auto" w:sz="12" w:space="0"/>
              <w:bottom w:val="single" w:color="auto" w:sz="2" w:space="0"/>
            </w:tcBorders>
            <w:shd w:val="clear" w:color="auto" w:fill="F1F1F1" w:themeFill="background1" w:themeFillShade="F2"/>
            <w:vAlign w:val="center"/>
          </w:tcPr>
          <w:p w14:paraId="71EA7BD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1"/>
              </w:rPr>
            </w:pPr>
            <w:r>
              <w:rPr>
                <w:rFonts w:hint="eastAsia" w:ascii="宋体" w:hAnsi="宋体" w:eastAsia="宋体" w:cs="宋体"/>
                <w:b/>
                <w:color w:val="auto"/>
                <w:sz w:val="21"/>
              </w:rPr>
              <w:t>响</w:t>
            </w:r>
            <w:r>
              <w:rPr>
                <w:rFonts w:hint="eastAsia" w:ascii="宋体" w:hAnsi="宋体" w:eastAsia="宋体" w:cs="宋体"/>
                <w:b/>
                <w:color w:val="auto"/>
                <w:w w:val="1"/>
                <w:sz w:val="21"/>
              </w:rPr>
              <w:t xml:space="preserve"> </w:t>
            </w:r>
            <w:r>
              <w:rPr>
                <w:rFonts w:hint="eastAsia" w:ascii="宋体" w:hAnsi="宋体" w:eastAsia="宋体" w:cs="宋体"/>
                <w:b/>
                <w:color w:val="auto"/>
                <w:sz w:val="21"/>
              </w:rPr>
              <w:t>应索引</w:t>
            </w:r>
          </w:p>
        </w:tc>
        <w:tc>
          <w:tcPr>
            <w:tcW w:w="1526" w:type="dxa"/>
            <w:tcBorders>
              <w:top w:val="single" w:color="auto" w:sz="12" w:space="0"/>
              <w:bottom w:val="single" w:color="auto" w:sz="2" w:space="0"/>
            </w:tcBorders>
            <w:shd w:val="clear" w:color="auto" w:fill="F1F1F1" w:themeFill="background1" w:themeFillShade="F2"/>
            <w:vAlign w:val="center"/>
          </w:tcPr>
          <w:p w14:paraId="7A8121C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auto"/>
                <w:sz w:val="21"/>
              </w:rPr>
            </w:pPr>
            <w:r>
              <w:rPr>
                <w:rFonts w:hint="eastAsia" w:ascii="宋体" w:hAnsi="宋体" w:eastAsia="宋体" w:cs="宋体"/>
                <w:b/>
                <w:color w:val="auto"/>
                <w:sz w:val="21"/>
              </w:rPr>
              <w:t>响</w:t>
            </w:r>
            <w:r>
              <w:rPr>
                <w:rFonts w:hint="eastAsia" w:ascii="宋体" w:hAnsi="宋体" w:eastAsia="宋体" w:cs="宋体"/>
                <w:b/>
                <w:color w:val="auto"/>
                <w:w w:val="1"/>
                <w:sz w:val="21"/>
              </w:rPr>
              <w:t xml:space="preserve"> </w:t>
            </w:r>
            <w:r>
              <w:rPr>
                <w:rFonts w:hint="eastAsia" w:ascii="宋体" w:hAnsi="宋体" w:eastAsia="宋体" w:cs="宋体"/>
                <w:b/>
                <w:color w:val="auto"/>
                <w:sz w:val="21"/>
              </w:rPr>
              <w:t>应说明</w:t>
            </w:r>
          </w:p>
        </w:tc>
      </w:tr>
      <w:tr w14:paraId="0F167E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tcBorders>
              <w:top w:val="single" w:color="auto" w:sz="2" w:space="0"/>
            </w:tcBorders>
            <w:vAlign w:val="center"/>
          </w:tcPr>
          <w:p w14:paraId="063DF18C">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381" w:type="dxa"/>
            <w:tcBorders>
              <w:top w:val="single" w:color="auto" w:sz="2" w:space="0"/>
            </w:tcBorders>
            <w:vAlign w:val="center"/>
          </w:tcPr>
          <w:p w14:paraId="6C95AF35">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519" w:type="dxa"/>
            <w:tcBorders>
              <w:top w:val="single" w:color="auto" w:sz="2" w:space="0"/>
            </w:tcBorders>
            <w:vAlign w:val="center"/>
          </w:tcPr>
          <w:p w14:paraId="70EF576A">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1526" w:type="dxa"/>
            <w:tcBorders>
              <w:top w:val="single" w:color="auto" w:sz="2" w:space="0"/>
            </w:tcBorders>
            <w:vAlign w:val="center"/>
          </w:tcPr>
          <w:p w14:paraId="2AF31316">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r>
      <w:tr w14:paraId="1EE187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56734691">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381" w:type="dxa"/>
            <w:vAlign w:val="center"/>
          </w:tcPr>
          <w:p w14:paraId="38D86322">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519" w:type="dxa"/>
            <w:vAlign w:val="center"/>
          </w:tcPr>
          <w:p w14:paraId="41D4EAB0">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1526" w:type="dxa"/>
            <w:vAlign w:val="center"/>
          </w:tcPr>
          <w:p w14:paraId="47FD039E">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r>
      <w:tr w14:paraId="476A6B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358CC041">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381" w:type="dxa"/>
            <w:vAlign w:val="center"/>
          </w:tcPr>
          <w:p w14:paraId="4A5D1F4C">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519" w:type="dxa"/>
            <w:vAlign w:val="center"/>
          </w:tcPr>
          <w:p w14:paraId="3A631870">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1526" w:type="dxa"/>
            <w:vAlign w:val="center"/>
          </w:tcPr>
          <w:p w14:paraId="6C0990B2">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r>
      <w:tr w14:paraId="75F46D5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5991E54F">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381" w:type="dxa"/>
            <w:vAlign w:val="center"/>
          </w:tcPr>
          <w:p w14:paraId="4C3B340F">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519" w:type="dxa"/>
            <w:vAlign w:val="center"/>
          </w:tcPr>
          <w:p w14:paraId="366067FD">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1526" w:type="dxa"/>
            <w:vAlign w:val="center"/>
          </w:tcPr>
          <w:p w14:paraId="08A3ECD2">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r>
      <w:tr w14:paraId="749DD8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2C369D63">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381" w:type="dxa"/>
            <w:vAlign w:val="center"/>
          </w:tcPr>
          <w:p w14:paraId="090D5638">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519" w:type="dxa"/>
            <w:vAlign w:val="center"/>
          </w:tcPr>
          <w:p w14:paraId="26464F6B">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1526" w:type="dxa"/>
            <w:vAlign w:val="center"/>
          </w:tcPr>
          <w:p w14:paraId="7DE3C047">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r>
      <w:tr w14:paraId="0E9670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3F9F1B90">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381" w:type="dxa"/>
            <w:vAlign w:val="center"/>
          </w:tcPr>
          <w:p w14:paraId="7F4212F8">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3519" w:type="dxa"/>
            <w:vAlign w:val="center"/>
          </w:tcPr>
          <w:p w14:paraId="67836084">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c>
          <w:tcPr>
            <w:tcW w:w="1526" w:type="dxa"/>
            <w:vAlign w:val="center"/>
          </w:tcPr>
          <w:p w14:paraId="43C7E427">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sz w:val="21"/>
              </w:rPr>
            </w:pPr>
          </w:p>
        </w:tc>
      </w:tr>
      <w:tr w14:paraId="280571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67" w:type="dxa"/>
            <w:vAlign w:val="center"/>
          </w:tcPr>
          <w:p w14:paraId="7B2E829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1"/>
              </w:rPr>
            </w:pPr>
            <w:r>
              <w:rPr>
                <w:rFonts w:hint="eastAsia" w:ascii="宋体" w:hAnsi="宋体" w:eastAsia="宋体" w:cs="宋体"/>
                <w:color w:val="auto"/>
                <w:sz w:val="21"/>
              </w:rPr>
              <w:t>备注</w:t>
            </w:r>
          </w:p>
        </w:tc>
        <w:tc>
          <w:tcPr>
            <w:tcW w:w="8426" w:type="dxa"/>
            <w:gridSpan w:val="3"/>
            <w:vAlign w:val="center"/>
          </w:tcPr>
          <w:p w14:paraId="03AF1D49">
            <w:pPr>
              <w:keepNext w:val="0"/>
              <w:keepLines w:val="0"/>
              <w:widowControl/>
              <w:suppressLineNumbers w:val="0"/>
              <w:spacing w:before="0" w:beforeAutospacing="0" w:after="0" w:afterAutospacing="0" w:line="360" w:lineRule="auto"/>
              <w:ind w:left="315" w:right="0" w:hanging="315"/>
              <w:jc w:val="both"/>
              <w:rPr>
                <w:rFonts w:hint="eastAsia" w:ascii="宋体" w:hAnsi="宋体" w:eastAsia="宋体" w:cs="宋体"/>
                <w:color w:val="auto"/>
                <w:sz w:val="21"/>
              </w:rPr>
            </w:pPr>
            <w:r>
              <w:rPr>
                <w:rFonts w:hint="eastAsia" w:ascii="宋体" w:hAnsi="宋体" w:eastAsia="宋体" w:cs="宋体"/>
                <w:color w:val="auto"/>
                <w:sz w:val="21"/>
              </w:rPr>
              <w:t>1．对第三章中的商务要求做出响</w:t>
            </w:r>
            <w:r>
              <w:rPr>
                <w:rFonts w:hint="eastAsia" w:ascii="宋体" w:hAnsi="宋体" w:eastAsia="宋体" w:cs="宋体"/>
                <w:color w:val="auto"/>
                <w:w w:val="1"/>
                <w:sz w:val="21"/>
              </w:rPr>
              <w:t xml:space="preserve"> </w:t>
            </w:r>
            <w:r>
              <w:rPr>
                <w:rFonts w:hint="eastAsia" w:ascii="宋体" w:hAnsi="宋体" w:eastAsia="宋体" w:cs="宋体"/>
                <w:color w:val="auto"/>
                <w:sz w:val="21"/>
              </w:rPr>
              <w:t>应。其中，属于实质性要求的，最好在“招标文件条款明细”保留原实质性要求中的“★”。</w:t>
            </w:r>
          </w:p>
          <w:p w14:paraId="687D1E59">
            <w:pPr>
              <w:keepNext w:val="0"/>
              <w:keepLines w:val="0"/>
              <w:widowControl/>
              <w:suppressLineNumbers w:val="0"/>
              <w:spacing w:before="0" w:beforeAutospacing="0" w:after="0" w:afterAutospacing="0" w:line="360" w:lineRule="auto"/>
              <w:ind w:left="315" w:right="0" w:hanging="315"/>
              <w:jc w:val="both"/>
              <w:rPr>
                <w:rFonts w:hint="eastAsia" w:ascii="宋体" w:hAnsi="宋体" w:eastAsia="宋体" w:cs="宋体"/>
                <w:color w:val="auto"/>
                <w:sz w:val="21"/>
              </w:rPr>
            </w:pPr>
            <w:r>
              <w:rPr>
                <w:rFonts w:hint="eastAsia" w:ascii="宋体" w:hAnsi="宋体" w:eastAsia="宋体" w:cs="宋体"/>
                <w:color w:val="auto"/>
                <w:sz w:val="21"/>
              </w:rPr>
              <w:t>2．响</w:t>
            </w:r>
            <w:r>
              <w:rPr>
                <w:rFonts w:hint="eastAsia" w:ascii="宋体" w:hAnsi="宋体" w:eastAsia="宋体" w:cs="宋体"/>
                <w:color w:val="auto"/>
                <w:w w:val="1"/>
                <w:sz w:val="21"/>
              </w:rPr>
              <w:t xml:space="preserve"> </w:t>
            </w:r>
            <w:r>
              <w:rPr>
                <w:rFonts w:hint="eastAsia" w:ascii="宋体" w:hAnsi="宋体" w:eastAsia="宋体" w:cs="宋体"/>
                <w:color w:val="auto"/>
                <w:sz w:val="21"/>
              </w:rPr>
              <w:t>应说明按实际响</w:t>
            </w:r>
            <w:r>
              <w:rPr>
                <w:rFonts w:hint="eastAsia" w:ascii="宋体" w:hAnsi="宋体" w:eastAsia="宋体" w:cs="宋体"/>
                <w:color w:val="auto"/>
                <w:w w:val="1"/>
                <w:sz w:val="21"/>
              </w:rPr>
              <w:t xml:space="preserve"> </w:t>
            </w:r>
            <w:r>
              <w:rPr>
                <w:rFonts w:hint="eastAsia" w:ascii="宋体" w:hAnsi="宋体" w:eastAsia="宋体" w:cs="宋体"/>
                <w:color w:val="auto"/>
                <w:sz w:val="21"/>
              </w:rPr>
              <w:t>应情况填写“优于”、“响</w:t>
            </w:r>
            <w:r>
              <w:rPr>
                <w:rFonts w:hint="eastAsia" w:ascii="宋体" w:hAnsi="宋体" w:eastAsia="宋体" w:cs="宋体"/>
                <w:color w:val="auto"/>
                <w:w w:val="1"/>
                <w:sz w:val="21"/>
              </w:rPr>
              <w:t xml:space="preserve"> </w:t>
            </w:r>
            <w:r>
              <w:rPr>
                <w:rFonts w:hint="eastAsia" w:ascii="宋体" w:hAnsi="宋体" w:eastAsia="宋体" w:cs="宋体"/>
                <w:color w:val="auto"/>
                <w:sz w:val="21"/>
              </w:rPr>
              <w:t>应”、“不响</w:t>
            </w:r>
            <w:r>
              <w:rPr>
                <w:rFonts w:hint="eastAsia" w:ascii="宋体" w:hAnsi="宋体" w:eastAsia="宋体" w:cs="宋体"/>
                <w:color w:val="auto"/>
                <w:w w:val="1"/>
                <w:sz w:val="21"/>
              </w:rPr>
              <w:t xml:space="preserve"> </w:t>
            </w:r>
            <w:r>
              <w:rPr>
                <w:rFonts w:hint="eastAsia" w:ascii="宋体" w:hAnsi="宋体" w:eastAsia="宋体" w:cs="宋体"/>
                <w:color w:val="auto"/>
                <w:sz w:val="21"/>
              </w:rPr>
              <w:t>应”。</w:t>
            </w:r>
          </w:p>
          <w:p w14:paraId="30E7740D">
            <w:pPr>
              <w:keepNext w:val="0"/>
              <w:keepLines w:val="0"/>
              <w:widowControl/>
              <w:suppressLineNumbers w:val="0"/>
              <w:spacing w:before="0" w:beforeAutospacing="0" w:after="0" w:afterAutospacing="0" w:line="360" w:lineRule="auto"/>
              <w:ind w:left="315" w:right="0" w:hanging="315"/>
              <w:jc w:val="both"/>
              <w:rPr>
                <w:rFonts w:hint="eastAsia" w:ascii="宋体" w:hAnsi="宋体" w:eastAsia="宋体" w:cs="宋体"/>
                <w:color w:val="auto"/>
                <w:sz w:val="21"/>
              </w:rPr>
            </w:pPr>
            <w:r>
              <w:rPr>
                <w:rFonts w:hint="eastAsia" w:ascii="宋体" w:hAnsi="宋体" w:eastAsia="宋体" w:cs="宋体"/>
                <w:color w:val="auto"/>
                <w:sz w:val="21"/>
              </w:rPr>
              <w:t>3．“响</w:t>
            </w:r>
            <w:r>
              <w:rPr>
                <w:rFonts w:hint="eastAsia" w:ascii="宋体" w:hAnsi="宋体" w:eastAsia="宋体" w:cs="宋体"/>
                <w:color w:val="auto"/>
                <w:w w:val="1"/>
                <w:sz w:val="21"/>
              </w:rPr>
              <w:t xml:space="preserve"> </w:t>
            </w:r>
            <w:r>
              <w:rPr>
                <w:rFonts w:hint="eastAsia" w:ascii="宋体" w:hAnsi="宋体" w:eastAsia="宋体" w:cs="宋体"/>
                <w:color w:val="auto"/>
                <w:sz w:val="21"/>
              </w:rPr>
              <w:t>应索引”单元格中注明引用位置，如“见商务响</w:t>
            </w:r>
            <w:r>
              <w:rPr>
                <w:rFonts w:hint="eastAsia" w:ascii="宋体" w:hAnsi="宋体" w:eastAsia="宋体" w:cs="宋体"/>
                <w:color w:val="auto"/>
                <w:w w:val="1"/>
                <w:sz w:val="21"/>
              </w:rPr>
              <w:t xml:space="preserve"> </w:t>
            </w:r>
            <w:r>
              <w:rPr>
                <w:rFonts w:hint="eastAsia" w:ascii="宋体" w:hAnsi="宋体" w:eastAsia="宋体" w:cs="宋体"/>
                <w:color w:val="auto"/>
                <w:sz w:val="21"/>
              </w:rPr>
              <w:t>应方案4.1.1”。</w:t>
            </w:r>
          </w:p>
        </w:tc>
      </w:tr>
    </w:tbl>
    <w:p w14:paraId="7A2A48AA">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投标人（公章）：</w:t>
      </w:r>
    </w:p>
    <w:p w14:paraId="1199EA56">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法定代表人（签字或盖章）：</w:t>
      </w:r>
    </w:p>
    <w:p w14:paraId="110A2994">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日    期：</w:t>
      </w:r>
    </w:p>
    <w:p w14:paraId="5DC93ADF">
      <w:pPr>
        <w:pStyle w:val="89"/>
        <w:spacing w:line="360" w:lineRule="auto"/>
        <w:ind w:firstLine="480"/>
        <w:rPr>
          <w:rFonts w:hint="eastAsia" w:ascii="宋体" w:hAnsi="宋体" w:eastAsia="宋体" w:cs="宋体"/>
          <w:color w:val="auto"/>
        </w:rPr>
      </w:pPr>
    </w:p>
    <w:p w14:paraId="07F06F56">
      <w:pPr>
        <w:pStyle w:val="89"/>
        <w:spacing w:line="360" w:lineRule="auto"/>
        <w:ind w:firstLine="0" w:firstLineChars="0"/>
        <w:rPr>
          <w:rFonts w:hint="eastAsia" w:ascii="宋体" w:hAnsi="宋体" w:eastAsia="宋体" w:cs="宋体"/>
          <w:color w:val="auto"/>
        </w:rPr>
      </w:pPr>
    </w:p>
    <w:p w14:paraId="10BFA389">
      <w:pPr>
        <w:tabs>
          <w:tab w:val="right" w:pos="9070"/>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t>附：商务响</w:t>
      </w:r>
      <w:r>
        <w:rPr>
          <w:rFonts w:hint="eastAsia" w:ascii="宋体" w:hAnsi="宋体" w:eastAsia="宋体" w:cs="宋体"/>
          <w:b/>
          <w:color w:val="auto"/>
          <w:w w:val="1"/>
          <w:sz w:val="28"/>
          <w:szCs w:val="28"/>
        </w:rPr>
        <w:t xml:space="preserve"> </w:t>
      </w:r>
      <w:r>
        <w:rPr>
          <w:rFonts w:hint="eastAsia" w:ascii="宋体" w:hAnsi="宋体" w:eastAsia="宋体" w:cs="宋体"/>
          <w:b/>
          <w:color w:val="auto"/>
          <w:sz w:val="28"/>
          <w:szCs w:val="28"/>
        </w:rPr>
        <w:t>应方案</w:t>
      </w:r>
    </w:p>
    <w:p w14:paraId="546395CB">
      <w:pPr>
        <w:pStyle w:val="89"/>
        <w:spacing w:line="360" w:lineRule="auto"/>
        <w:ind w:firstLine="0" w:firstLineChars="0"/>
        <w:rPr>
          <w:rFonts w:hint="eastAsia" w:ascii="宋体" w:hAnsi="宋体" w:eastAsia="宋体" w:cs="宋体"/>
          <w:color w:val="auto"/>
        </w:rPr>
      </w:pPr>
    </w:p>
    <w:p w14:paraId="28933669">
      <w:pPr>
        <w:pStyle w:val="89"/>
        <w:spacing w:line="360" w:lineRule="auto"/>
        <w:ind w:firstLine="0" w:firstLineChars="0"/>
        <w:rPr>
          <w:rFonts w:hint="eastAsia" w:ascii="宋体" w:hAnsi="宋体" w:eastAsia="宋体" w:cs="宋体"/>
        </w:rPr>
      </w:pPr>
    </w:p>
    <w:p w14:paraId="763D9CC6">
      <w:pPr>
        <w:spacing w:line="360" w:lineRule="auto"/>
        <w:rPr>
          <w:rFonts w:hint="eastAsia" w:ascii="宋体" w:hAnsi="宋体" w:eastAsia="宋体" w:cs="宋体"/>
          <w:color w:val="000000"/>
          <w:kern w:val="24"/>
        </w:rPr>
      </w:pPr>
      <w:r>
        <w:rPr>
          <w:rFonts w:hint="eastAsia" w:ascii="宋体" w:hAnsi="宋体" w:eastAsia="宋体" w:cs="宋体"/>
        </w:rPr>
        <w:br w:type="page"/>
      </w:r>
    </w:p>
    <w:p w14:paraId="6A3CD540">
      <w:pPr>
        <w:pStyle w:val="90"/>
        <w:spacing w:line="360" w:lineRule="auto"/>
        <w:rPr>
          <w:rFonts w:hint="eastAsia" w:ascii="宋体" w:hAnsi="宋体" w:eastAsia="宋体" w:cs="宋体"/>
        </w:rPr>
      </w:pPr>
      <w:r>
        <w:rPr>
          <w:rFonts w:hint="eastAsia" w:ascii="宋体" w:hAnsi="宋体" w:eastAsia="宋体" w:cs="宋体"/>
        </w:rPr>
        <w:t>（三）合同条款响</w:t>
      </w:r>
      <w:r>
        <w:rPr>
          <w:rFonts w:hint="eastAsia" w:ascii="宋体" w:hAnsi="宋体" w:eastAsia="宋体" w:cs="宋体"/>
          <w:w w:val="1"/>
        </w:rPr>
        <w:t xml:space="preserve"> </w:t>
      </w:r>
      <w:r>
        <w:rPr>
          <w:rFonts w:hint="eastAsia" w:ascii="宋体" w:hAnsi="宋体" w:eastAsia="宋体" w:cs="宋体"/>
        </w:rPr>
        <w:t>应</w:t>
      </w:r>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88"/>
        <w:gridCol w:w="1549"/>
        <w:gridCol w:w="2518"/>
        <w:gridCol w:w="2533"/>
        <w:gridCol w:w="1282"/>
      </w:tblGrid>
      <w:tr w14:paraId="10F69D3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tcBorders>
              <w:top w:val="single" w:color="auto" w:sz="12" w:space="0"/>
              <w:bottom w:val="single" w:color="auto" w:sz="2" w:space="0"/>
            </w:tcBorders>
            <w:shd w:val="clear" w:color="auto" w:fill="F1F1F1" w:themeFill="background1" w:themeFillShade="F2"/>
            <w:vAlign w:val="center"/>
          </w:tcPr>
          <w:p w14:paraId="7791BC1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rPr>
            </w:pPr>
            <w:r>
              <w:rPr>
                <w:rFonts w:hint="eastAsia" w:ascii="宋体" w:hAnsi="宋体" w:eastAsia="宋体" w:cs="宋体"/>
                <w:b/>
                <w:sz w:val="21"/>
              </w:rPr>
              <w:t>序号</w:t>
            </w:r>
          </w:p>
        </w:tc>
        <w:tc>
          <w:tcPr>
            <w:tcW w:w="1549" w:type="dxa"/>
            <w:tcBorders>
              <w:top w:val="single" w:color="auto" w:sz="12" w:space="0"/>
              <w:bottom w:val="single" w:color="auto" w:sz="2" w:space="0"/>
            </w:tcBorders>
            <w:shd w:val="clear" w:color="auto" w:fill="F1F1F1" w:themeFill="background1" w:themeFillShade="F2"/>
            <w:vAlign w:val="center"/>
          </w:tcPr>
          <w:p w14:paraId="0ED37E8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rPr>
            </w:pPr>
            <w:r>
              <w:rPr>
                <w:rFonts w:hint="eastAsia" w:ascii="宋体" w:hAnsi="宋体" w:eastAsia="宋体" w:cs="宋体"/>
                <w:b/>
                <w:sz w:val="21"/>
              </w:rPr>
              <w:t>条款名称</w:t>
            </w:r>
          </w:p>
        </w:tc>
        <w:tc>
          <w:tcPr>
            <w:tcW w:w="2518" w:type="dxa"/>
            <w:tcBorders>
              <w:top w:val="single" w:color="auto" w:sz="12" w:space="0"/>
              <w:bottom w:val="single" w:color="auto" w:sz="2" w:space="0"/>
            </w:tcBorders>
            <w:shd w:val="clear" w:color="auto" w:fill="F1F1F1" w:themeFill="background1" w:themeFillShade="F2"/>
            <w:vAlign w:val="center"/>
          </w:tcPr>
          <w:p w14:paraId="074C119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rPr>
            </w:pPr>
            <w:r>
              <w:rPr>
                <w:rFonts w:hint="eastAsia" w:ascii="宋体" w:hAnsi="宋体" w:eastAsia="宋体" w:cs="宋体"/>
                <w:b/>
                <w:sz w:val="21"/>
              </w:rPr>
              <w:t>招标文件合同条款明细</w:t>
            </w:r>
          </w:p>
        </w:tc>
        <w:tc>
          <w:tcPr>
            <w:tcW w:w="2533" w:type="dxa"/>
            <w:tcBorders>
              <w:top w:val="single" w:color="auto" w:sz="12" w:space="0"/>
              <w:bottom w:val="single" w:color="auto" w:sz="2" w:space="0"/>
            </w:tcBorders>
            <w:shd w:val="clear" w:color="auto" w:fill="F1F1F1" w:themeFill="background1" w:themeFillShade="F2"/>
            <w:vAlign w:val="center"/>
          </w:tcPr>
          <w:p w14:paraId="056867D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rPr>
            </w:pPr>
            <w:r>
              <w:rPr>
                <w:rFonts w:hint="eastAsia" w:ascii="宋体" w:hAnsi="宋体" w:eastAsia="宋体" w:cs="宋体"/>
                <w:b/>
                <w:sz w:val="21"/>
              </w:rPr>
              <w:t>投标文件合同条款响</w:t>
            </w:r>
            <w:r>
              <w:rPr>
                <w:rFonts w:hint="eastAsia" w:ascii="宋体" w:hAnsi="宋体" w:eastAsia="宋体" w:cs="宋体"/>
                <w:b/>
                <w:w w:val="1"/>
                <w:sz w:val="21"/>
              </w:rPr>
              <w:t xml:space="preserve"> </w:t>
            </w:r>
            <w:r>
              <w:rPr>
                <w:rFonts w:hint="eastAsia" w:ascii="宋体" w:hAnsi="宋体" w:eastAsia="宋体" w:cs="宋体"/>
                <w:b/>
                <w:sz w:val="21"/>
              </w:rPr>
              <w:t>应</w:t>
            </w:r>
          </w:p>
        </w:tc>
        <w:tc>
          <w:tcPr>
            <w:tcW w:w="1282" w:type="dxa"/>
            <w:tcBorders>
              <w:top w:val="single" w:color="auto" w:sz="12" w:space="0"/>
              <w:bottom w:val="single" w:color="auto" w:sz="2" w:space="0"/>
            </w:tcBorders>
            <w:shd w:val="clear" w:color="auto" w:fill="F1F1F1" w:themeFill="background1" w:themeFillShade="F2"/>
            <w:vAlign w:val="center"/>
          </w:tcPr>
          <w:p w14:paraId="7DC62C0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rPr>
            </w:pPr>
            <w:r>
              <w:rPr>
                <w:rFonts w:hint="eastAsia" w:ascii="宋体" w:hAnsi="宋体" w:eastAsia="宋体" w:cs="宋体"/>
                <w:b/>
                <w:sz w:val="21"/>
              </w:rPr>
              <w:t>响</w:t>
            </w:r>
            <w:r>
              <w:rPr>
                <w:rFonts w:hint="eastAsia" w:ascii="宋体" w:hAnsi="宋体" w:eastAsia="宋体" w:cs="宋体"/>
                <w:b/>
                <w:w w:val="1"/>
                <w:sz w:val="21"/>
              </w:rPr>
              <w:t xml:space="preserve"> </w:t>
            </w:r>
            <w:r>
              <w:rPr>
                <w:rFonts w:hint="eastAsia" w:ascii="宋体" w:hAnsi="宋体" w:eastAsia="宋体" w:cs="宋体"/>
                <w:b/>
                <w:sz w:val="21"/>
              </w:rPr>
              <w:t>应说明</w:t>
            </w:r>
          </w:p>
        </w:tc>
      </w:tr>
      <w:tr w14:paraId="397926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tcBorders>
              <w:top w:val="single" w:color="auto" w:sz="2" w:space="0"/>
            </w:tcBorders>
            <w:vAlign w:val="center"/>
          </w:tcPr>
          <w:p w14:paraId="6CFBFB9F">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1549" w:type="dxa"/>
            <w:tcBorders>
              <w:top w:val="single" w:color="auto" w:sz="2" w:space="0"/>
            </w:tcBorders>
            <w:vAlign w:val="center"/>
          </w:tcPr>
          <w:p w14:paraId="2982A1E2">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2518" w:type="dxa"/>
            <w:tcBorders>
              <w:top w:val="single" w:color="auto" w:sz="2" w:space="0"/>
            </w:tcBorders>
            <w:vAlign w:val="center"/>
          </w:tcPr>
          <w:p w14:paraId="323F78D1">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2533" w:type="dxa"/>
            <w:tcBorders>
              <w:top w:val="single" w:color="auto" w:sz="2" w:space="0"/>
            </w:tcBorders>
            <w:vAlign w:val="center"/>
          </w:tcPr>
          <w:p w14:paraId="1A63F99D">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1282" w:type="dxa"/>
            <w:tcBorders>
              <w:top w:val="single" w:color="auto" w:sz="2" w:space="0"/>
            </w:tcBorders>
            <w:vAlign w:val="center"/>
          </w:tcPr>
          <w:p w14:paraId="5117369D">
            <w:pPr>
              <w:keepNext w:val="0"/>
              <w:keepLines w:val="0"/>
              <w:widowControl/>
              <w:suppressLineNumbers w:val="0"/>
              <w:spacing w:before="0" w:beforeAutospacing="0" w:after="0" w:afterAutospacing="0" w:line="360" w:lineRule="auto"/>
              <w:ind w:left="0" w:right="0"/>
              <w:rPr>
                <w:rFonts w:hint="eastAsia" w:ascii="宋体" w:hAnsi="宋体" w:eastAsia="宋体" w:cs="宋体"/>
                <w:sz w:val="21"/>
              </w:rPr>
            </w:pPr>
          </w:p>
        </w:tc>
      </w:tr>
      <w:tr w14:paraId="43AED41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47F15BED">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1549" w:type="dxa"/>
            <w:vAlign w:val="center"/>
          </w:tcPr>
          <w:p w14:paraId="3D99EF98">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2518" w:type="dxa"/>
            <w:vAlign w:val="center"/>
          </w:tcPr>
          <w:p w14:paraId="203CFDE8">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2533" w:type="dxa"/>
            <w:vAlign w:val="center"/>
          </w:tcPr>
          <w:p w14:paraId="79123B0E">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1282" w:type="dxa"/>
            <w:vAlign w:val="center"/>
          </w:tcPr>
          <w:p w14:paraId="6447FB63">
            <w:pPr>
              <w:keepNext w:val="0"/>
              <w:keepLines w:val="0"/>
              <w:widowControl/>
              <w:suppressLineNumbers w:val="0"/>
              <w:spacing w:before="0" w:beforeAutospacing="0" w:after="0" w:afterAutospacing="0" w:line="360" w:lineRule="auto"/>
              <w:ind w:left="0" w:right="0"/>
              <w:rPr>
                <w:rFonts w:hint="eastAsia" w:ascii="宋体" w:hAnsi="宋体" w:eastAsia="宋体" w:cs="宋体"/>
                <w:sz w:val="21"/>
              </w:rPr>
            </w:pPr>
          </w:p>
        </w:tc>
      </w:tr>
      <w:tr w14:paraId="628378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36CBB9BA">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1549" w:type="dxa"/>
            <w:vAlign w:val="center"/>
          </w:tcPr>
          <w:p w14:paraId="11DA88F1">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2518" w:type="dxa"/>
            <w:vAlign w:val="center"/>
          </w:tcPr>
          <w:p w14:paraId="1C9A4744">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2533" w:type="dxa"/>
            <w:vAlign w:val="center"/>
          </w:tcPr>
          <w:p w14:paraId="1BB6FB43">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1282" w:type="dxa"/>
            <w:vAlign w:val="center"/>
          </w:tcPr>
          <w:p w14:paraId="47D16C84">
            <w:pPr>
              <w:keepNext w:val="0"/>
              <w:keepLines w:val="0"/>
              <w:widowControl/>
              <w:suppressLineNumbers w:val="0"/>
              <w:spacing w:before="0" w:beforeAutospacing="0" w:after="0" w:afterAutospacing="0" w:line="360" w:lineRule="auto"/>
              <w:ind w:left="0" w:right="0"/>
              <w:rPr>
                <w:rFonts w:hint="eastAsia" w:ascii="宋体" w:hAnsi="宋体" w:eastAsia="宋体" w:cs="宋体"/>
                <w:sz w:val="21"/>
              </w:rPr>
            </w:pPr>
          </w:p>
        </w:tc>
      </w:tr>
      <w:tr w14:paraId="29772A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2A1FA63D">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1549" w:type="dxa"/>
            <w:vAlign w:val="center"/>
          </w:tcPr>
          <w:p w14:paraId="57548293">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2518" w:type="dxa"/>
            <w:vAlign w:val="center"/>
          </w:tcPr>
          <w:p w14:paraId="0028E3A9">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2533" w:type="dxa"/>
            <w:vAlign w:val="center"/>
          </w:tcPr>
          <w:p w14:paraId="3B44179B">
            <w:pPr>
              <w:keepNext w:val="0"/>
              <w:keepLines w:val="0"/>
              <w:widowControl/>
              <w:suppressLineNumbers w:val="0"/>
              <w:spacing w:before="0" w:beforeAutospacing="0" w:after="0" w:afterAutospacing="0" w:line="360" w:lineRule="auto"/>
              <w:ind w:left="0" w:right="0"/>
              <w:rPr>
                <w:rFonts w:hint="eastAsia" w:ascii="宋体" w:hAnsi="宋体" w:eastAsia="宋体" w:cs="宋体"/>
                <w:color w:val="7030A0"/>
                <w:sz w:val="21"/>
              </w:rPr>
            </w:pPr>
          </w:p>
        </w:tc>
        <w:tc>
          <w:tcPr>
            <w:tcW w:w="1282" w:type="dxa"/>
            <w:vAlign w:val="center"/>
          </w:tcPr>
          <w:p w14:paraId="44FA9E76">
            <w:pPr>
              <w:keepNext w:val="0"/>
              <w:keepLines w:val="0"/>
              <w:widowControl/>
              <w:suppressLineNumbers w:val="0"/>
              <w:spacing w:before="0" w:beforeAutospacing="0" w:after="0" w:afterAutospacing="0" w:line="360" w:lineRule="auto"/>
              <w:ind w:left="0" w:right="0"/>
              <w:rPr>
                <w:rFonts w:hint="eastAsia" w:ascii="宋体" w:hAnsi="宋体" w:eastAsia="宋体" w:cs="宋体"/>
                <w:sz w:val="21"/>
              </w:rPr>
            </w:pPr>
          </w:p>
        </w:tc>
      </w:tr>
      <w:tr w14:paraId="1B06A1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3B802874">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549" w:type="dxa"/>
            <w:vAlign w:val="center"/>
          </w:tcPr>
          <w:p w14:paraId="36249132">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2518" w:type="dxa"/>
            <w:vAlign w:val="center"/>
          </w:tcPr>
          <w:p w14:paraId="0551915F">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2533" w:type="dxa"/>
            <w:vAlign w:val="center"/>
          </w:tcPr>
          <w:p w14:paraId="10BB4F79">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282" w:type="dxa"/>
            <w:vAlign w:val="center"/>
          </w:tcPr>
          <w:p w14:paraId="241D2D4B">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r>
      <w:tr w14:paraId="2D11D0B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45C73F84">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549" w:type="dxa"/>
            <w:vAlign w:val="center"/>
          </w:tcPr>
          <w:p w14:paraId="3CE08B0F">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2518" w:type="dxa"/>
            <w:vAlign w:val="center"/>
          </w:tcPr>
          <w:p w14:paraId="603E8C88">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2533" w:type="dxa"/>
            <w:vAlign w:val="center"/>
          </w:tcPr>
          <w:p w14:paraId="72D02BAE">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282" w:type="dxa"/>
            <w:vAlign w:val="center"/>
          </w:tcPr>
          <w:p w14:paraId="24E3DBF0">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r>
      <w:tr w14:paraId="7ACF7B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3CC5A1DE">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549" w:type="dxa"/>
            <w:vAlign w:val="center"/>
          </w:tcPr>
          <w:p w14:paraId="027096E2">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2518" w:type="dxa"/>
            <w:vAlign w:val="center"/>
          </w:tcPr>
          <w:p w14:paraId="7C090ABD">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2533" w:type="dxa"/>
            <w:vAlign w:val="center"/>
          </w:tcPr>
          <w:p w14:paraId="6E4E2ADE">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c>
          <w:tcPr>
            <w:tcW w:w="1282" w:type="dxa"/>
            <w:vAlign w:val="center"/>
          </w:tcPr>
          <w:p w14:paraId="6AC9160D">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1"/>
              </w:rPr>
            </w:pPr>
          </w:p>
        </w:tc>
      </w:tr>
      <w:tr w14:paraId="128193F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88" w:type="dxa"/>
            <w:vAlign w:val="center"/>
          </w:tcPr>
          <w:p w14:paraId="067C72B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1"/>
              </w:rPr>
            </w:pPr>
            <w:r>
              <w:rPr>
                <w:rFonts w:hint="eastAsia" w:ascii="宋体" w:hAnsi="宋体" w:eastAsia="宋体" w:cs="宋体"/>
                <w:sz w:val="21"/>
              </w:rPr>
              <w:t>备注</w:t>
            </w:r>
          </w:p>
        </w:tc>
        <w:tc>
          <w:tcPr>
            <w:tcW w:w="7882" w:type="dxa"/>
            <w:gridSpan w:val="4"/>
            <w:vAlign w:val="center"/>
          </w:tcPr>
          <w:p w14:paraId="7614D8A8">
            <w:pPr>
              <w:keepNext w:val="0"/>
              <w:keepLines w:val="0"/>
              <w:widowControl/>
              <w:suppressLineNumbers w:val="0"/>
              <w:spacing w:before="0" w:beforeAutospacing="0" w:after="0" w:afterAutospacing="0" w:line="360" w:lineRule="auto"/>
              <w:ind w:left="284" w:right="0" w:hanging="284"/>
              <w:jc w:val="both"/>
              <w:rPr>
                <w:rFonts w:hint="eastAsia" w:ascii="宋体" w:hAnsi="宋体" w:eastAsia="宋体" w:cs="宋体"/>
                <w:sz w:val="21"/>
              </w:rPr>
            </w:pPr>
            <w:r>
              <w:rPr>
                <w:rFonts w:hint="eastAsia" w:ascii="宋体" w:hAnsi="宋体" w:eastAsia="宋体" w:cs="宋体"/>
                <w:sz w:val="21"/>
              </w:rPr>
              <w:t>1．“完全接受”的条款无需在本表中列出，按表下方所做“声明”执行；对于需要</w:t>
            </w:r>
            <w:r>
              <w:rPr>
                <w:rFonts w:hint="eastAsia" w:ascii="宋体" w:hAnsi="宋体" w:eastAsia="宋体" w:cs="宋体"/>
                <w:sz w:val="21"/>
                <w:lang w:eastAsia="zh-CN"/>
              </w:rPr>
              <w:t>投标人</w:t>
            </w:r>
            <w:r>
              <w:rPr>
                <w:rFonts w:hint="eastAsia" w:ascii="宋体" w:hAnsi="宋体" w:eastAsia="宋体" w:cs="宋体"/>
                <w:sz w:val="21"/>
              </w:rPr>
              <w:t>填报的内容，以及“不能接受”或“有条件接受”的条款，则应写明该条款名称及条款明细、以及</w:t>
            </w:r>
            <w:r>
              <w:rPr>
                <w:rFonts w:hint="eastAsia" w:ascii="宋体" w:hAnsi="宋体" w:eastAsia="宋体" w:cs="宋体"/>
                <w:sz w:val="21"/>
                <w:lang w:eastAsia="zh-CN"/>
              </w:rPr>
              <w:t>投标人</w:t>
            </w:r>
            <w:r>
              <w:rPr>
                <w:rFonts w:hint="eastAsia" w:ascii="宋体" w:hAnsi="宋体" w:eastAsia="宋体" w:cs="宋体"/>
                <w:sz w:val="21"/>
              </w:rPr>
              <w:t>所能接受的条件。</w:t>
            </w:r>
          </w:p>
          <w:p w14:paraId="55F32AA3">
            <w:pPr>
              <w:keepNext w:val="0"/>
              <w:keepLines w:val="0"/>
              <w:widowControl/>
              <w:suppressLineNumbers w:val="0"/>
              <w:spacing w:before="0" w:beforeAutospacing="0" w:after="0" w:afterAutospacing="0" w:line="360" w:lineRule="auto"/>
              <w:ind w:left="284" w:right="0" w:hanging="284"/>
              <w:jc w:val="both"/>
              <w:rPr>
                <w:rFonts w:hint="eastAsia" w:ascii="宋体" w:hAnsi="宋体" w:eastAsia="宋体" w:cs="宋体"/>
                <w:sz w:val="21"/>
              </w:rPr>
            </w:pPr>
            <w:r>
              <w:rPr>
                <w:rFonts w:hint="eastAsia" w:ascii="宋体" w:hAnsi="宋体" w:eastAsia="宋体" w:cs="宋体"/>
                <w:sz w:val="21"/>
              </w:rPr>
              <w:t>2．根据《政府采购货物和服务招标投标管理办法》（财政部87号令）第六十三条，若投标文件含有采购人不能接受的附加条件的，投标无效。</w:t>
            </w:r>
          </w:p>
          <w:p w14:paraId="0CFF4BBA">
            <w:pPr>
              <w:keepNext w:val="0"/>
              <w:keepLines w:val="0"/>
              <w:widowControl/>
              <w:suppressLineNumbers w:val="0"/>
              <w:spacing w:before="0" w:beforeAutospacing="0" w:after="0" w:afterAutospacing="0" w:line="360" w:lineRule="auto"/>
              <w:ind w:left="284" w:right="0" w:hanging="284"/>
              <w:jc w:val="both"/>
              <w:rPr>
                <w:rFonts w:hint="eastAsia" w:ascii="宋体" w:hAnsi="宋体" w:eastAsia="宋体" w:cs="宋体"/>
                <w:sz w:val="21"/>
              </w:rPr>
            </w:pPr>
            <w:r>
              <w:rPr>
                <w:rFonts w:hint="eastAsia" w:ascii="宋体" w:hAnsi="宋体" w:eastAsia="宋体" w:cs="宋体"/>
                <w:sz w:val="21"/>
              </w:rPr>
              <w:t>3．因表格空间因有限，不足以容纳响应内容时，允许在表后进行响</w:t>
            </w:r>
            <w:r>
              <w:rPr>
                <w:rFonts w:hint="eastAsia" w:ascii="宋体" w:hAnsi="宋体" w:eastAsia="宋体" w:cs="宋体"/>
                <w:w w:val="1"/>
                <w:sz w:val="21"/>
              </w:rPr>
              <w:t xml:space="preserve"> </w:t>
            </w:r>
            <w:r>
              <w:rPr>
                <w:rFonts w:hint="eastAsia" w:ascii="宋体" w:hAnsi="宋体" w:eastAsia="宋体" w:cs="宋体"/>
                <w:sz w:val="21"/>
              </w:rPr>
              <w:t>应，但须在表中注明引用位置，如“见本表下方3.1.1”。</w:t>
            </w:r>
          </w:p>
        </w:tc>
      </w:tr>
    </w:tbl>
    <w:p w14:paraId="437EA722">
      <w:pPr>
        <w:pStyle w:val="89"/>
        <w:spacing w:line="360" w:lineRule="auto"/>
        <w:ind w:firstLine="480"/>
        <w:rPr>
          <w:rFonts w:hint="eastAsia" w:ascii="宋体" w:hAnsi="宋体" w:eastAsia="宋体" w:cs="宋体"/>
          <w:color w:val="auto"/>
        </w:rPr>
      </w:pPr>
      <w:r>
        <w:rPr>
          <w:rFonts w:hint="eastAsia" w:ascii="宋体" w:hAnsi="宋体" w:eastAsia="宋体" w:cs="宋体"/>
          <w:color w:val="auto"/>
        </w:rPr>
        <w:t>声明：除上表所列的合同条款外，招标文件中的其他合同条款我方均完全接受。</w:t>
      </w:r>
    </w:p>
    <w:p w14:paraId="33E75498">
      <w:pPr>
        <w:pStyle w:val="89"/>
        <w:spacing w:line="360" w:lineRule="auto"/>
        <w:ind w:firstLine="480"/>
        <w:rPr>
          <w:rFonts w:hint="eastAsia" w:ascii="宋体" w:hAnsi="宋体" w:cs="宋体"/>
          <w:color w:val="auto"/>
          <w:lang w:eastAsia="zh-CN"/>
        </w:rPr>
      </w:pPr>
    </w:p>
    <w:p w14:paraId="4552DB81">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投标人（公章）：</w:t>
      </w:r>
    </w:p>
    <w:p w14:paraId="6B99C8C9">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法定代表人（签字或盖章）：</w:t>
      </w:r>
    </w:p>
    <w:p w14:paraId="2D46B9BA">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日    期：</w:t>
      </w:r>
    </w:p>
    <w:p w14:paraId="09B34E9E">
      <w:pPr>
        <w:spacing w:line="360" w:lineRule="auto"/>
        <w:rPr>
          <w:rFonts w:hint="eastAsia" w:ascii="宋体" w:hAnsi="宋体" w:eastAsia="宋体" w:cs="宋体"/>
          <w:color w:val="auto"/>
          <w:kern w:val="24"/>
        </w:rPr>
      </w:pPr>
      <w:r>
        <w:rPr>
          <w:rFonts w:hint="eastAsia" w:ascii="宋体" w:hAnsi="宋体" w:eastAsia="宋体" w:cs="宋体"/>
          <w:color w:val="auto"/>
        </w:rPr>
        <w:br w:type="page"/>
      </w:r>
    </w:p>
    <w:p w14:paraId="1CAFCDF3">
      <w:pPr>
        <w:pStyle w:val="90"/>
        <w:spacing w:line="360" w:lineRule="auto"/>
        <w:rPr>
          <w:rFonts w:hint="eastAsia" w:ascii="宋体" w:hAnsi="宋体" w:eastAsia="宋体" w:cs="宋体"/>
          <w:lang w:val="en-US" w:eastAsia="zh-CN"/>
        </w:rPr>
      </w:pPr>
      <w:r>
        <w:rPr>
          <w:rFonts w:hint="eastAsia" w:ascii="宋体" w:hAnsi="宋体" w:eastAsia="宋体" w:cs="宋体"/>
        </w:rPr>
        <w:t>（</w:t>
      </w:r>
      <w:r>
        <w:rPr>
          <w:rFonts w:hint="eastAsia" w:ascii="宋体" w:hAnsi="宋体" w:eastAsia="宋体" w:cs="宋体"/>
          <w:lang w:val="en-US" w:eastAsia="zh-CN"/>
        </w:rPr>
        <w:t>四</w:t>
      </w:r>
      <w:r>
        <w:rPr>
          <w:rFonts w:hint="eastAsia" w:ascii="宋体" w:hAnsi="宋体" w:eastAsia="宋体" w:cs="宋体"/>
        </w:rPr>
        <w:t>）</w:t>
      </w:r>
      <w:r>
        <w:rPr>
          <w:rFonts w:hint="eastAsia" w:ascii="宋体" w:hAnsi="宋体" w:eastAsia="宋体" w:cs="宋体"/>
          <w:lang w:val="en-US" w:eastAsia="zh-CN"/>
        </w:rPr>
        <w:t>技术响应偏离表</w:t>
      </w:r>
    </w:p>
    <w:tbl>
      <w:tblPr>
        <w:tblStyle w:val="32"/>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701"/>
        <w:gridCol w:w="1659"/>
        <w:gridCol w:w="1504"/>
        <w:gridCol w:w="1659"/>
        <w:gridCol w:w="1515"/>
      </w:tblGrid>
      <w:tr w14:paraId="57485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top w:val="single" w:color="auto" w:sz="4" w:space="0"/>
              <w:left w:val="single" w:color="auto" w:sz="4" w:space="0"/>
            </w:tcBorders>
            <w:noWrap w:val="0"/>
            <w:vAlign w:val="center"/>
          </w:tcPr>
          <w:p w14:paraId="017794D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序号</w:t>
            </w:r>
          </w:p>
        </w:tc>
        <w:tc>
          <w:tcPr>
            <w:tcW w:w="1701" w:type="dxa"/>
            <w:tcBorders>
              <w:top w:val="single" w:color="auto" w:sz="4" w:space="0"/>
            </w:tcBorders>
            <w:noWrap w:val="0"/>
            <w:vAlign w:val="center"/>
          </w:tcPr>
          <w:p w14:paraId="34B6005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采购需求</w:t>
            </w:r>
          </w:p>
        </w:tc>
        <w:tc>
          <w:tcPr>
            <w:tcW w:w="1659" w:type="dxa"/>
            <w:tcBorders>
              <w:top w:val="single" w:color="auto" w:sz="4" w:space="0"/>
            </w:tcBorders>
            <w:noWrap w:val="0"/>
            <w:vAlign w:val="center"/>
          </w:tcPr>
          <w:p w14:paraId="2F4207F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招标要求</w:t>
            </w:r>
          </w:p>
        </w:tc>
        <w:tc>
          <w:tcPr>
            <w:tcW w:w="1504" w:type="dxa"/>
            <w:tcBorders>
              <w:top w:val="single" w:color="auto" w:sz="4" w:space="0"/>
            </w:tcBorders>
            <w:noWrap w:val="0"/>
            <w:vAlign w:val="center"/>
          </w:tcPr>
          <w:p w14:paraId="4CECA1F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响应情况</w:t>
            </w:r>
          </w:p>
        </w:tc>
        <w:tc>
          <w:tcPr>
            <w:tcW w:w="1659" w:type="dxa"/>
            <w:tcBorders>
              <w:top w:val="single" w:color="auto" w:sz="4" w:space="0"/>
            </w:tcBorders>
            <w:noWrap w:val="0"/>
            <w:vAlign w:val="center"/>
          </w:tcPr>
          <w:p w14:paraId="78CE596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偏离情况</w:t>
            </w:r>
          </w:p>
        </w:tc>
        <w:tc>
          <w:tcPr>
            <w:tcW w:w="1515" w:type="dxa"/>
            <w:tcBorders>
              <w:top w:val="single" w:color="auto" w:sz="4" w:space="0"/>
              <w:right w:val="single" w:color="auto" w:sz="4" w:space="0"/>
            </w:tcBorders>
            <w:noWrap w:val="0"/>
            <w:vAlign w:val="center"/>
          </w:tcPr>
          <w:p w14:paraId="0A3EC10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1"/>
                <w:lang w:val="en-US" w:eastAsia="zh-CN"/>
              </w:rPr>
            </w:pPr>
            <w:r>
              <w:rPr>
                <w:rFonts w:hint="eastAsia" w:ascii="宋体" w:hAnsi="宋体" w:eastAsia="宋体" w:cs="宋体"/>
                <w:b/>
                <w:sz w:val="21"/>
                <w:lang w:val="en-US" w:eastAsia="zh-CN"/>
              </w:rPr>
              <w:t>说明</w:t>
            </w:r>
          </w:p>
        </w:tc>
      </w:tr>
      <w:tr w14:paraId="0757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14:paraId="2D5B052B">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01" w:type="dxa"/>
            <w:noWrap w:val="0"/>
            <w:vAlign w:val="center"/>
          </w:tcPr>
          <w:p w14:paraId="7996DCA2">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186BC96A">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04" w:type="dxa"/>
            <w:noWrap w:val="0"/>
            <w:vAlign w:val="center"/>
          </w:tcPr>
          <w:p w14:paraId="31DCB8FA">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3BFB630B">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15" w:type="dxa"/>
            <w:tcBorders>
              <w:right w:val="single" w:color="auto" w:sz="4" w:space="0"/>
            </w:tcBorders>
            <w:noWrap w:val="0"/>
            <w:vAlign w:val="center"/>
          </w:tcPr>
          <w:p w14:paraId="2C2FD6E2">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r>
      <w:tr w14:paraId="512D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14:paraId="2EF85DC7">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01" w:type="dxa"/>
            <w:noWrap w:val="0"/>
            <w:vAlign w:val="center"/>
          </w:tcPr>
          <w:p w14:paraId="67CE8400">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575B9AD1">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04" w:type="dxa"/>
            <w:noWrap w:val="0"/>
            <w:vAlign w:val="center"/>
          </w:tcPr>
          <w:p w14:paraId="52893036">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18847D68">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15" w:type="dxa"/>
            <w:tcBorders>
              <w:right w:val="single" w:color="auto" w:sz="4" w:space="0"/>
            </w:tcBorders>
            <w:noWrap w:val="0"/>
            <w:vAlign w:val="center"/>
          </w:tcPr>
          <w:p w14:paraId="744CC4C7">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r>
      <w:tr w14:paraId="6995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14:paraId="3F5A4F50">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01" w:type="dxa"/>
            <w:noWrap w:val="0"/>
            <w:vAlign w:val="center"/>
          </w:tcPr>
          <w:p w14:paraId="442EFC9A">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48BB4A4D">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04" w:type="dxa"/>
            <w:noWrap w:val="0"/>
            <w:vAlign w:val="center"/>
          </w:tcPr>
          <w:p w14:paraId="5134D8E0">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4592425D">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15" w:type="dxa"/>
            <w:tcBorders>
              <w:right w:val="single" w:color="auto" w:sz="4" w:space="0"/>
            </w:tcBorders>
            <w:noWrap w:val="0"/>
            <w:vAlign w:val="center"/>
          </w:tcPr>
          <w:p w14:paraId="27E0BBB2">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r>
      <w:tr w14:paraId="2F6C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14:paraId="78034388">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01" w:type="dxa"/>
            <w:noWrap w:val="0"/>
            <w:vAlign w:val="center"/>
          </w:tcPr>
          <w:p w14:paraId="0B6C0572">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55FFE306">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04" w:type="dxa"/>
            <w:noWrap w:val="0"/>
            <w:vAlign w:val="center"/>
          </w:tcPr>
          <w:p w14:paraId="257BF364">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65C47194">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15" w:type="dxa"/>
            <w:tcBorders>
              <w:right w:val="single" w:color="auto" w:sz="4" w:space="0"/>
            </w:tcBorders>
            <w:noWrap w:val="0"/>
            <w:vAlign w:val="center"/>
          </w:tcPr>
          <w:p w14:paraId="2AB21C7C">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r>
      <w:tr w14:paraId="24AC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14:paraId="32905350">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701" w:type="dxa"/>
            <w:noWrap w:val="0"/>
            <w:vAlign w:val="center"/>
          </w:tcPr>
          <w:p w14:paraId="121576EB">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2E31969F">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04" w:type="dxa"/>
            <w:noWrap w:val="0"/>
            <w:vAlign w:val="center"/>
          </w:tcPr>
          <w:p w14:paraId="0755585F">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1857017D">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15" w:type="dxa"/>
            <w:tcBorders>
              <w:right w:val="single" w:color="auto" w:sz="4" w:space="0"/>
            </w:tcBorders>
            <w:noWrap w:val="0"/>
            <w:vAlign w:val="center"/>
          </w:tcPr>
          <w:p w14:paraId="1023C619">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r>
      <w:tr w14:paraId="413EC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tcBorders>
            <w:noWrap w:val="0"/>
            <w:vAlign w:val="center"/>
          </w:tcPr>
          <w:p w14:paraId="5BFF4287">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w:t>
            </w:r>
          </w:p>
        </w:tc>
        <w:tc>
          <w:tcPr>
            <w:tcW w:w="1701" w:type="dxa"/>
            <w:noWrap w:val="0"/>
            <w:vAlign w:val="center"/>
          </w:tcPr>
          <w:p w14:paraId="22B70733">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092E363A">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04" w:type="dxa"/>
            <w:noWrap w:val="0"/>
            <w:vAlign w:val="center"/>
          </w:tcPr>
          <w:p w14:paraId="1406F396">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659" w:type="dxa"/>
            <w:noWrap w:val="0"/>
            <w:vAlign w:val="center"/>
          </w:tcPr>
          <w:p w14:paraId="7AEC7ABA">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c>
          <w:tcPr>
            <w:tcW w:w="1515" w:type="dxa"/>
            <w:tcBorders>
              <w:right w:val="single" w:color="auto" w:sz="4" w:space="0"/>
            </w:tcBorders>
            <w:noWrap w:val="0"/>
            <w:vAlign w:val="center"/>
          </w:tcPr>
          <w:p w14:paraId="7BAF855F">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1"/>
                <w:szCs w:val="21"/>
                <w:lang w:val="en-US" w:eastAsia="zh-CN"/>
              </w:rPr>
            </w:pPr>
          </w:p>
        </w:tc>
      </w:tr>
      <w:tr w14:paraId="40D9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tcBorders>
              <w:left w:val="single" w:color="auto" w:sz="4" w:space="0"/>
              <w:bottom w:val="single" w:color="auto" w:sz="4" w:space="0"/>
            </w:tcBorders>
            <w:noWrap w:val="0"/>
            <w:vAlign w:val="center"/>
          </w:tcPr>
          <w:p w14:paraId="1CE48A02">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备注</w:t>
            </w:r>
          </w:p>
        </w:tc>
        <w:tc>
          <w:tcPr>
            <w:tcW w:w="8038" w:type="dxa"/>
            <w:gridSpan w:val="5"/>
            <w:tcBorders>
              <w:bottom w:val="single" w:color="auto" w:sz="4" w:space="0"/>
              <w:right w:val="single" w:color="auto" w:sz="4" w:space="0"/>
            </w:tcBorders>
            <w:noWrap w:val="0"/>
            <w:vAlign w:val="center"/>
          </w:tcPr>
          <w:p w14:paraId="22B3689E">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此表需填写与采购内容清单有偏离的条款：所提供货物参数优于招标文件要求，在偏离情况处填写“正偏离”，所提供货物参数劣于招标文件要求，在偏离情况处填写“负偏离”，并在说明处填写负偏离的所有参数。</w:t>
            </w:r>
          </w:p>
          <w:p w14:paraId="6511A39D">
            <w:pPr>
              <w:pStyle w:val="8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2、投标人保证：除技术偏差表列出的偏差外，投标人响应招标文件的全部要求。如未填写此表，则视为无偏离。</w:t>
            </w:r>
          </w:p>
        </w:tc>
      </w:tr>
    </w:tbl>
    <w:p w14:paraId="73E77CE2">
      <w:pPr>
        <w:pStyle w:val="89"/>
        <w:rPr>
          <w:rFonts w:hint="default"/>
          <w:lang w:val="en-US" w:eastAsia="zh-CN"/>
        </w:rPr>
      </w:pPr>
    </w:p>
    <w:p w14:paraId="60693AEA">
      <w:pPr>
        <w:pStyle w:val="89"/>
        <w:rPr>
          <w:rFonts w:hint="default"/>
          <w:lang w:val="en-US" w:eastAsia="zh-CN"/>
        </w:rPr>
      </w:pPr>
    </w:p>
    <w:p w14:paraId="11798D2E">
      <w:pPr>
        <w:pStyle w:val="89"/>
        <w:rPr>
          <w:rFonts w:hint="default"/>
          <w:lang w:val="en-US" w:eastAsia="zh-CN"/>
        </w:rPr>
      </w:pPr>
    </w:p>
    <w:p w14:paraId="2F5A28B6">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投标人（公章）：</w:t>
      </w:r>
    </w:p>
    <w:p w14:paraId="01D9BC02">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法定代表人（签字或盖章）：</w:t>
      </w:r>
    </w:p>
    <w:p w14:paraId="2545E6D9">
      <w:pPr>
        <w:pStyle w:val="89"/>
        <w:rPr>
          <w:rFonts w:hint="default"/>
          <w:lang w:val="en-US" w:eastAsia="zh-CN"/>
        </w:rPr>
      </w:pPr>
      <w:r>
        <w:rPr>
          <w:rFonts w:hint="eastAsia" w:ascii="宋体" w:hAnsi="宋体" w:cs="宋体"/>
          <w:color w:val="auto"/>
          <w:lang w:eastAsia="zh-CN"/>
        </w:rPr>
        <w:t>日    期：</w:t>
      </w:r>
    </w:p>
    <w:p w14:paraId="4178D39E">
      <w:pPr>
        <w:rPr>
          <w:rFonts w:hint="eastAsia" w:ascii="宋体" w:hAnsi="宋体" w:eastAsia="宋体" w:cs="宋体"/>
        </w:rPr>
      </w:pPr>
      <w:r>
        <w:rPr>
          <w:rFonts w:hint="eastAsia" w:ascii="宋体" w:hAnsi="宋体" w:eastAsia="宋体" w:cs="宋体"/>
        </w:rPr>
        <w:br w:type="page"/>
      </w:r>
    </w:p>
    <w:p w14:paraId="4C3F152A">
      <w:pPr>
        <w:pStyle w:val="90"/>
        <w:spacing w:line="360" w:lineRule="auto"/>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五</w:t>
      </w:r>
      <w:r>
        <w:rPr>
          <w:rFonts w:hint="eastAsia" w:ascii="宋体" w:hAnsi="宋体" w:eastAsia="宋体" w:cs="宋体"/>
        </w:rPr>
        <w:t>）其他需要</w:t>
      </w:r>
      <w:r>
        <w:rPr>
          <w:rFonts w:hint="eastAsia" w:ascii="宋体" w:hAnsi="宋体" w:eastAsia="宋体" w:cs="宋体"/>
          <w:lang w:eastAsia="zh-CN"/>
        </w:rPr>
        <w:t>投标人</w:t>
      </w:r>
      <w:r>
        <w:rPr>
          <w:rFonts w:hint="eastAsia" w:ascii="宋体" w:hAnsi="宋体" w:eastAsia="宋体" w:cs="宋体"/>
        </w:rPr>
        <w:t>提供的材料</w:t>
      </w:r>
    </w:p>
    <w:p w14:paraId="4C8D402E">
      <w:pPr>
        <w:spacing w:before="210" w:beforeLines="50" w:line="360" w:lineRule="auto"/>
        <w:rPr>
          <w:rFonts w:hint="eastAsia" w:ascii="宋体" w:hAnsi="宋体" w:eastAsia="宋体" w:cs="宋体"/>
          <w:b/>
        </w:rPr>
      </w:pPr>
      <w:r>
        <w:rPr>
          <w:rFonts w:hint="eastAsia" w:ascii="宋体" w:hAnsi="宋体" w:eastAsia="宋体" w:cs="宋体"/>
          <w:b/>
        </w:rPr>
        <w:t>1．项目实施人员情况表</w:t>
      </w:r>
    </w:p>
    <w:tbl>
      <w:tblPr>
        <w:tblStyle w:val="32"/>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24"/>
        <w:gridCol w:w="1363"/>
        <w:gridCol w:w="17"/>
        <w:gridCol w:w="6"/>
        <w:gridCol w:w="1581"/>
        <w:gridCol w:w="1740"/>
        <w:gridCol w:w="42"/>
        <w:gridCol w:w="1049"/>
      </w:tblGrid>
      <w:tr w14:paraId="319A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12" w:space="0"/>
              <w:left w:val="single" w:color="auto" w:sz="12" w:space="0"/>
              <w:bottom w:val="single" w:color="auto" w:sz="6" w:space="0"/>
              <w:right w:val="single" w:color="auto" w:sz="12" w:space="0"/>
            </w:tcBorders>
            <w:shd w:val="clear" w:color="auto" w:fill="F1F1F1" w:themeFill="background1" w:themeFillShade="F2"/>
            <w:vAlign w:val="center"/>
          </w:tcPr>
          <w:p w14:paraId="36724419">
            <w:pPr>
              <w:pStyle w:val="76"/>
              <w:keepNext w:val="0"/>
              <w:keepLines w:val="0"/>
              <w:widowControl/>
              <w:numPr>
                <w:ilvl w:val="0"/>
                <w:numId w:val="8"/>
              </w:numPr>
              <w:suppressLineNumbers w:val="0"/>
              <w:spacing w:before="0" w:beforeAutospacing="0" w:after="0" w:afterAutospacing="0" w:line="360" w:lineRule="auto"/>
              <w:ind w:right="0"/>
              <w:rPr>
                <w:rFonts w:hint="eastAsia" w:ascii="宋体" w:hAnsi="宋体" w:eastAsia="宋体" w:cs="宋体"/>
                <w:color w:val="000000"/>
                <w:sz w:val="21"/>
                <w:szCs w:val="21"/>
              </w:rPr>
            </w:pPr>
            <w:r>
              <w:rPr>
                <w:rFonts w:hint="eastAsia" w:ascii="宋体" w:hAnsi="宋体" w:eastAsia="宋体" w:cs="宋体"/>
                <w:color w:val="000000"/>
                <w:sz w:val="21"/>
                <w:szCs w:val="21"/>
              </w:rPr>
              <w:t>项目负责人</w:t>
            </w:r>
          </w:p>
        </w:tc>
      </w:tr>
      <w:tr w14:paraId="31E0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19B4998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姓名</w:t>
            </w:r>
          </w:p>
        </w:tc>
        <w:tc>
          <w:tcPr>
            <w:tcW w:w="969" w:type="dxa"/>
            <w:tcBorders>
              <w:left w:val="single" w:color="auto" w:sz="6" w:space="0"/>
            </w:tcBorders>
            <w:vAlign w:val="center"/>
          </w:tcPr>
          <w:p w14:paraId="3150607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年龄</w:t>
            </w:r>
          </w:p>
        </w:tc>
        <w:tc>
          <w:tcPr>
            <w:tcW w:w="1260" w:type="dxa"/>
            <w:vAlign w:val="center"/>
          </w:tcPr>
          <w:p w14:paraId="70CADD3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资格</w:t>
            </w:r>
          </w:p>
        </w:tc>
        <w:tc>
          <w:tcPr>
            <w:tcW w:w="1387" w:type="dxa"/>
            <w:gridSpan w:val="2"/>
            <w:vAlign w:val="center"/>
          </w:tcPr>
          <w:p w14:paraId="452AFFC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职称</w:t>
            </w:r>
          </w:p>
        </w:tc>
        <w:tc>
          <w:tcPr>
            <w:tcW w:w="1604" w:type="dxa"/>
            <w:gridSpan w:val="3"/>
            <w:vAlign w:val="center"/>
          </w:tcPr>
          <w:p w14:paraId="3F7B2F2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在本行业从业工作年限</w:t>
            </w:r>
          </w:p>
        </w:tc>
        <w:tc>
          <w:tcPr>
            <w:tcW w:w="1740" w:type="dxa"/>
            <w:tcBorders>
              <w:right w:val="single" w:color="auto" w:sz="2" w:space="0"/>
            </w:tcBorders>
            <w:vAlign w:val="center"/>
          </w:tcPr>
          <w:p w14:paraId="4E8E666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主要工作</w:t>
            </w:r>
          </w:p>
          <w:p w14:paraId="0B6822E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业绩和经历</w:t>
            </w:r>
          </w:p>
        </w:tc>
        <w:tc>
          <w:tcPr>
            <w:tcW w:w="1091" w:type="dxa"/>
            <w:gridSpan w:val="2"/>
            <w:tcBorders>
              <w:left w:val="single" w:color="auto" w:sz="2" w:space="0"/>
              <w:right w:val="single" w:color="auto" w:sz="12" w:space="0"/>
            </w:tcBorders>
            <w:vAlign w:val="center"/>
          </w:tcPr>
          <w:p w14:paraId="08A8D38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拟派</w:t>
            </w:r>
          </w:p>
          <w:p w14:paraId="097AD85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分工</w:t>
            </w:r>
          </w:p>
        </w:tc>
      </w:tr>
      <w:tr w14:paraId="47BE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12C03570">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969" w:type="dxa"/>
            <w:tcBorders>
              <w:left w:val="single" w:color="auto" w:sz="6" w:space="0"/>
            </w:tcBorders>
            <w:vAlign w:val="center"/>
          </w:tcPr>
          <w:p w14:paraId="35E78A1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260" w:type="dxa"/>
            <w:vAlign w:val="center"/>
          </w:tcPr>
          <w:p w14:paraId="35351D37">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387" w:type="dxa"/>
            <w:gridSpan w:val="2"/>
            <w:vAlign w:val="center"/>
          </w:tcPr>
          <w:p w14:paraId="73B4BFC9">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604" w:type="dxa"/>
            <w:gridSpan w:val="3"/>
            <w:vAlign w:val="center"/>
          </w:tcPr>
          <w:p w14:paraId="20E353B0">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740" w:type="dxa"/>
            <w:tcBorders>
              <w:right w:val="single" w:color="auto" w:sz="2" w:space="0"/>
            </w:tcBorders>
            <w:vAlign w:val="center"/>
          </w:tcPr>
          <w:p w14:paraId="50A0605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091" w:type="dxa"/>
            <w:gridSpan w:val="2"/>
            <w:tcBorders>
              <w:left w:val="single" w:color="auto" w:sz="2" w:space="0"/>
              <w:right w:val="single" w:color="auto" w:sz="12" w:space="0"/>
            </w:tcBorders>
            <w:vAlign w:val="center"/>
          </w:tcPr>
          <w:p w14:paraId="1870615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r>
      <w:tr w14:paraId="058D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B8E27D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969" w:type="dxa"/>
            <w:tcBorders>
              <w:left w:val="single" w:color="auto" w:sz="6" w:space="0"/>
            </w:tcBorders>
            <w:vAlign w:val="center"/>
          </w:tcPr>
          <w:p w14:paraId="16FECDE4">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260" w:type="dxa"/>
            <w:vAlign w:val="center"/>
          </w:tcPr>
          <w:p w14:paraId="7CA7B4C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387" w:type="dxa"/>
            <w:gridSpan w:val="2"/>
            <w:vAlign w:val="center"/>
          </w:tcPr>
          <w:p w14:paraId="2CC6A61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604" w:type="dxa"/>
            <w:gridSpan w:val="3"/>
            <w:vAlign w:val="center"/>
          </w:tcPr>
          <w:p w14:paraId="6301430D">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740" w:type="dxa"/>
            <w:tcBorders>
              <w:right w:val="single" w:color="auto" w:sz="2" w:space="0"/>
            </w:tcBorders>
            <w:vAlign w:val="center"/>
          </w:tcPr>
          <w:p w14:paraId="746E0A44">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091" w:type="dxa"/>
            <w:gridSpan w:val="2"/>
            <w:tcBorders>
              <w:left w:val="single" w:color="auto" w:sz="2" w:space="0"/>
              <w:right w:val="single" w:color="auto" w:sz="12" w:space="0"/>
            </w:tcBorders>
            <w:vAlign w:val="center"/>
          </w:tcPr>
          <w:p w14:paraId="473781C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r>
      <w:tr w14:paraId="1F12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14:paraId="182A1B0A">
            <w:pPr>
              <w:pStyle w:val="76"/>
              <w:keepNext w:val="0"/>
              <w:keepLines w:val="0"/>
              <w:widowControl/>
              <w:numPr>
                <w:ilvl w:val="0"/>
                <w:numId w:val="8"/>
              </w:numPr>
              <w:suppressLineNumbers w:val="0"/>
              <w:spacing w:before="0" w:beforeAutospacing="0" w:after="0" w:afterAutospacing="0" w:line="360" w:lineRule="auto"/>
              <w:ind w:right="0"/>
              <w:rPr>
                <w:rFonts w:hint="eastAsia" w:ascii="宋体" w:hAnsi="宋体" w:eastAsia="宋体" w:cs="宋体"/>
                <w:color w:val="000000"/>
                <w:sz w:val="21"/>
                <w:szCs w:val="21"/>
              </w:rPr>
            </w:pPr>
            <w:r>
              <w:rPr>
                <w:rFonts w:hint="eastAsia" w:ascii="宋体" w:hAnsi="宋体" w:eastAsia="宋体" w:cs="宋体"/>
                <w:color w:val="000000"/>
                <w:sz w:val="21"/>
                <w:szCs w:val="21"/>
              </w:rPr>
              <w:t>管理人员</w:t>
            </w:r>
          </w:p>
        </w:tc>
      </w:tr>
      <w:tr w14:paraId="48CE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14DDFF2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姓名</w:t>
            </w:r>
          </w:p>
        </w:tc>
        <w:tc>
          <w:tcPr>
            <w:tcW w:w="969" w:type="dxa"/>
            <w:tcBorders>
              <w:left w:val="single" w:color="auto" w:sz="6" w:space="0"/>
            </w:tcBorders>
            <w:vAlign w:val="center"/>
          </w:tcPr>
          <w:p w14:paraId="0FA8A82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年龄</w:t>
            </w:r>
          </w:p>
        </w:tc>
        <w:tc>
          <w:tcPr>
            <w:tcW w:w="1260" w:type="dxa"/>
            <w:vAlign w:val="center"/>
          </w:tcPr>
          <w:p w14:paraId="7F380E8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资格</w:t>
            </w:r>
          </w:p>
        </w:tc>
        <w:tc>
          <w:tcPr>
            <w:tcW w:w="1404" w:type="dxa"/>
            <w:gridSpan w:val="3"/>
            <w:vAlign w:val="center"/>
          </w:tcPr>
          <w:p w14:paraId="2B15B29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职称</w:t>
            </w:r>
          </w:p>
        </w:tc>
        <w:tc>
          <w:tcPr>
            <w:tcW w:w="1587" w:type="dxa"/>
            <w:gridSpan w:val="2"/>
            <w:vAlign w:val="center"/>
          </w:tcPr>
          <w:p w14:paraId="5880281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在本行业从业工作年限</w:t>
            </w:r>
          </w:p>
        </w:tc>
        <w:tc>
          <w:tcPr>
            <w:tcW w:w="1782" w:type="dxa"/>
            <w:gridSpan w:val="2"/>
            <w:vAlign w:val="center"/>
          </w:tcPr>
          <w:p w14:paraId="071A61C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主要工作</w:t>
            </w:r>
          </w:p>
          <w:p w14:paraId="0786D9F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业绩和经历</w:t>
            </w:r>
          </w:p>
        </w:tc>
        <w:tc>
          <w:tcPr>
            <w:tcW w:w="1049" w:type="dxa"/>
            <w:tcBorders>
              <w:right w:val="single" w:color="auto" w:sz="12" w:space="0"/>
            </w:tcBorders>
            <w:vAlign w:val="center"/>
          </w:tcPr>
          <w:p w14:paraId="5E22028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拟派</w:t>
            </w:r>
          </w:p>
          <w:p w14:paraId="555A82D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分工</w:t>
            </w:r>
          </w:p>
        </w:tc>
      </w:tr>
      <w:tr w14:paraId="12BA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26820D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969" w:type="dxa"/>
            <w:tcBorders>
              <w:left w:val="single" w:color="auto" w:sz="6" w:space="0"/>
            </w:tcBorders>
            <w:vAlign w:val="center"/>
          </w:tcPr>
          <w:p w14:paraId="153EA0E8">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260" w:type="dxa"/>
            <w:vAlign w:val="center"/>
          </w:tcPr>
          <w:p w14:paraId="2C089B7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404" w:type="dxa"/>
            <w:gridSpan w:val="3"/>
            <w:vAlign w:val="center"/>
          </w:tcPr>
          <w:p w14:paraId="6C6BFA6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587" w:type="dxa"/>
            <w:gridSpan w:val="2"/>
            <w:vAlign w:val="center"/>
          </w:tcPr>
          <w:p w14:paraId="060F0000">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782" w:type="dxa"/>
            <w:gridSpan w:val="2"/>
            <w:vAlign w:val="center"/>
          </w:tcPr>
          <w:p w14:paraId="555DDBB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049" w:type="dxa"/>
            <w:tcBorders>
              <w:right w:val="single" w:color="auto" w:sz="12" w:space="0"/>
            </w:tcBorders>
            <w:vAlign w:val="center"/>
          </w:tcPr>
          <w:p w14:paraId="63811E9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r>
      <w:tr w14:paraId="49265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9BA62BE">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969" w:type="dxa"/>
            <w:tcBorders>
              <w:left w:val="single" w:color="auto" w:sz="6" w:space="0"/>
            </w:tcBorders>
            <w:vAlign w:val="center"/>
          </w:tcPr>
          <w:p w14:paraId="4B3312B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260" w:type="dxa"/>
            <w:vAlign w:val="center"/>
          </w:tcPr>
          <w:p w14:paraId="3AF6E671">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404" w:type="dxa"/>
            <w:gridSpan w:val="3"/>
            <w:vAlign w:val="center"/>
          </w:tcPr>
          <w:p w14:paraId="57079225">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587" w:type="dxa"/>
            <w:gridSpan w:val="2"/>
            <w:vAlign w:val="center"/>
          </w:tcPr>
          <w:p w14:paraId="0C46DCB9">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782" w:type="dxa"/>
            <w:gridSpan w:val="2"/>
            <w:vAlign w:val="center"/>
          </w:tcPr>
          <w:p w14:paraId="6BBAD18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049" w:type="dxa"/>
            <w:tcBorders>
              <w:right w:val="single" w:color="auto" w:sz="12" w:space="0"/>
            </w:tcBorders>
            <w:vAlign w:val="center"/>
          </w:tcPr>
          <w:p w14:paraId="71BFDB9E">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r>
      <w:tr w14:paraId="4A0E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5C1B63B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969" w:type="dxa"/>
            <w:tcBorders>
              <w:left w:val="single" w:color="auto" w:sz="6" w:space="0"/>
            </w:tcBorders>
            <w:vAlign w:val="center"/>
          </w:tcPr>
          <w:p w14:paraId="5CBE5C2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260" w:type="dxa"/>
            <w:vAlign w:val="center"/>
          </w:tcPr>
          <w:p w14:paraId="672B944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404" w:type="dxa"/>
            <w:gridSpan w:val="3"/>
            <w:vAlign w:val="center"/>
          </w:tcPr>
          <w:p w14:paraId="667B118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587" w:type="dxa"/>
            <w:gridSpan w:val="2"/>
            <w:vAlign w:val="center"/>
          </w:tcPr>
          <w:p w14:paraId="3046A657">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782" w:type="dxa"/>
            <w:gridSpan w:val="2"/>
            <w:vAlign w:val="center"/>
          </w:tcPr>
          <w:p w14:paraId="5811E2F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049" w:type="dxa"/>
            <w:tcBorders>
              <w:right w:val="single" w:color="auto" w:sz="12" w:space="0"/>
            </w:tcBorders>
            <w:vAlign w:val="center"/>
          </w:tcPr>
          <w:p w14:paraId="6E775AF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r>
      <w:tr w14:paraId="65ED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14:paraId="3520993F">
            <w:pPr>
              <w:pStyle w:val="76"/>
              <w:keepNext w:val="0"/>
              <w:keepLines w:val="0"/>
              <w:widowControl/>
              <w:numPr>
                <w:ilvl w:val="0"/>
                <w:numId w:val="8"/>
              </w:numPr>
              <w:suppressLineNumbers w:val="0"/>
              <w:spacing w:before="0" w:beforeAutospacing="0" w:after="0" w:afterAutospacing="0" w:line="360" w:lineRule="auto"/>
              <w:ind w:right="0"/>
              <w:rPr>
                <w:rFonts w:hint="eastAsia" w:ascii="宋体" w:hAnsi="宋体" w:eastAsia="宋体" w:cs="宋体"/>
                <w:color w:val="000000"/>
                <w:sz w:val="21"/>
                <w:szCs w:val="21"/>
              </w:rPr>
            </w:pPr>
            <w:r>
              <w:rPr>
                <w:rFonts w:hint="eastAsia" w:ascii="宋体" w:hAnsi="宋体" w:eastAsia="宋体" w:cs="宋体"/>
                <w:color w:val="000000"/>
                <w:sz w:val="21"/>
                <w:szCs w:val="21"/>
              </w:rPr>
              <w:t>技术人员/服务人员</w:t>
            </w:r>
          </w:p>
        </w:tc>
      </w:tr>
      <w:tr w14:paraId="617B8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60B5532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姓名</w:t>
            </w:r>
          </w:p>
        </w:tc>
        <w:tc>
          <w:tcPr>
            <w:tcW w:w="969" w:type="dxa"/>
            <w:tcBorders>
              <w:left w:val="single" w:color="auto" w:sz="6" w:space="0"/>
            </w:tcBorders>
            <w:vAlign w:val="center"/>
          </w:tcPr>
          <w:p w14:paraId="58EA3D3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年龄</w:t>
            </w:r>
          </w:p>
        </w:tc>
        <w:tc>
          <w:tcPr>
            <w:tcW w:w="1284" w:type="dxa"/>
            <w:gridSpan w:val="2"/>
            <w:tcBorders>
              <w:right w:val="single" w:color="auto" w:sz="2" w:space="0"/>
            </w:tcBorders>
            <w:vAlign w:val="center"/>
          </w:tcPr>
          <w:p w14:paraId="6E3F42E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学历</w:t>
            </w:r>
          </w:p>
        </w:tc>
        <w:tc>
          <w:tcPr>
            <w:tcW w:w="1386" w:type="dxa"/>
            <w:gridSpan w:val="3"/>
            <w:tcBorders>
              <w:left w:val="single" w:color="auto" w:sz="2" w:space="0"/>
            </w:tcBorders>
            <w:vAlign w:val="center"/>
          </w:tcPr>
          <w:p w14:paraId="0711BCE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职称</w:t>
            </w:r>
          </w:p>
        </w:tc>
        <w:tc>
          <w:tcPr>
            <w:tcW w:w="1581" w:type="dxa"/>
            <w:vAlign w:val="center"/>
          </w:tcPr>
          <w:p w14:paraId="22013B6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从事类似项目工作年限</w:t>
            </w:r>
          </w:p>
        </w:tc>
        <w:tc>
          <w:tcPr>
            <w:tcW w:w="1782" w:type="dxa"/>
            <w:gridSpan w:val="2"/>
            <w:vAlign w:val="center"/>
          </w:tcPr>
          <w:p w14:paraId="28B4BD7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主要工作</w:t>
            </w:r>
          </w:p>
          <w:p w14:paraId="2BE4BFA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业绩和经历</w:t>
            </w:r>
          </w:p>
        </w:tc>
        <w:tc>
          <w:tcPr>
            <w:tcW w:w="1049" w:type="dxa"/>
            <w:tcBorders>
              <w:right w:val="single" w:color="auto" w:sz="12" w:space="0"/>
            </w:tcBorders>
            <w:vAlign w:val="center"/>
          </w:tcPr>
          <w:p w14:paraId="4C7644D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拟派</w:t>
            </w:r>
          </w:p>
          <w:p w14:paraId="23A0B86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分工</w:t>
            </w:r>
          </w:p>
        </w:tc>
      </w:tr>
      <w:tr w14:paraId="1B50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720475B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969" w:type="dxa"/>
            <w:tcBorders>
              <w:left w:val="single" w:color="auto" w:sz="6" w:space="0"/>
            </w:tcBorders>
            <w:vAlign w:val="center"/>
          </w:tcPr>
          <w:p w14:paraId="1132295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284" w:type="dxa"/>
            <w:gridSpan w:val="2"/>
            <w:tcBorders>
              <w:right w:val="single" w:color="auto" w:sz="2" w:space="0"/>
            </w:tcBorders>
            <w:vAlign w:val="center"/>
          </w:tcPr>
          <w:p w14:paraId="616BFDE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386" w:type="dxa"/>
            <w:gridSpan w:val="3"/>
            <w:tcBorders>
              <w:left w:val="single" w:color="auto" w:sz="2" w:space="0"/>
            </w:tcBorders>
            <w:vAlign w:val="center"/>
          </w:tcPr>
          <w:p w14:paraId="4504432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581" w:type="dxa"/>
            <w:vAlign w:val="center"/>
          </w:tcPr>
          <w:p w14:paraId="257B41B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782" w:type="dxa"/>
            <w:gridSpan w:val="2"/>
            <w:vAlign w:val="center"/>
          </w:tcPr>
          <w:p w14:paraId="2F7A0E5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049" w:type="dxa"/>
            <w:tcBorders>
              <w:right w:val="single" w:color="auto" w:sz="12" w:space="0"/>
            </w:tcBorders>
            <w:vAlign w:val="center"/>
          </w:tcPr>
          <w:p w14:paraId="59C9161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r>
      <w:tr w14:paraId="2009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150D4C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969" w:type="dxa"/>
            <w:tcBorders>
              <w:left w:val="single" w:color="auto" w:sz="6" w:space="0"/>
            </w:tcBorders>
            <w:vAlign w:val="center"/>
          </w:tcPr>
          <w:p w14:paraId="4FEA3D3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284" w:type="dxa"/>
            <w:gridSpan w:val="2"/>
            <w:tcBorders>
              <w:right w:val="single" w:color="auto" w:sz="2" w:space="0"/>
            </w:tcBorders>
            <w:vAlign w:val="center"/>
          </w:tcPr>
          <w:p w14:paraId="0835BB3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386" w:type="dxa"/>
            <w:gridSpan w:val="3"/>
            <w:tcBorders>
              <w:left w:val="single" w:color="auto" w:sz="2" w:space="0"/>
            </w:tcBorders>
            <w:vAlign w:val="center"/>
          </w:tcPr>
          <w:p w14:paraId="76D6A61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581" w:type="dxa"/>
            <w:vAlign w:val="center"/>
          </w:tcPr>
          <w:p w14:paraId="7F4E510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782" w:type="dxa"/>
            <w:gridSpan w:val="2"/>
            <w:vAlign w:val="center"/>
          </w:tcPr>
          <w:p w14:paraId="11978DD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049" w:type="dxa"/>
            <w:tcBorders>
              <w:right w:val="single" w:color="auto" w:sz="12" w:space="0"/>
            </w:tcBorders>
            <w:vAlign w:val="center"/>
          </w:tcPr>
          <w:p w14:paraId="4CBDC726">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r>
      <w:tr w14:paraId="26A0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2607ECD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969" w:type="dxa"/>
            <w:tcBorders>
              <w:left w:val="single" w:color="auto" w:sz="6" w:space="0"/>
            </w:tcBorders>
            <w:vAlign w:val="center"/>
          </w:tcPr>
          <w:p w14:paraId="1038C24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284" w:type="dxa"/>
            <w:gridSpan w:val="2"/>
            <w:tcBorders>
              <w:right w:val="single" w:color="auto" w:sz="2" w:space="0"/>
            </w:tcBorders>
            <w:vAlign w:val="center"/>
          </w:tcPr>
          <w:p w14:paraId="1F073F2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386" w:type="dxa"/>
            <w:gridSpan w:val="3"/>
            <w:tcBorders>
              <w:left w:val="single" w:color="auto" w:sz="2" w:space="0"/>
            </w:tcBorders>
            <w:vAlign w:val="center"/>
          </w:tcPr>
          <w:p w14:paraId="1338FE0D">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581" w:type="dxa"/>
            <w:vAlign w:val="center"/>
          </w:tcPr>
          <w:p w14:paraId="47F9C619">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782" w:type="dxa"/>
            <w:gridSpan w:val="2"/>
            <w:vAlign w:val="center"/>
          </w:tcPr>
          <w:p w14:paraId="5E17588C">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049" w:type="dxa"/>
            <w:tcBorders>
              <w:right w:val="single" w:color="auto" w:sz="12" w:space="0"/>
            </w:tcBorders>
            <w:vAlign w:val="center"/>
          </w:tcPr>
          <w:p w14:paraId="0C38823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r>
      <w:tr w14:paraId="34D2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14:paraId="7C2E37FE">
            <w:pPr>
              <w:pStyle w:val="76"/>
              <w:keepNext w:val="0"/>
              <w:keepLines w:val="0"/>
              <w:widowControl/>
              <w:numPr>
                <w:ilvl w:val="0"/>
                <w:numId w:val="8"/>
              </w:numPr>
              <w:suppressLineNumbers w:val="0"/>
              <w:spacing w:before="0" w:beforeAutospacing="0" w:after="0" w:afterAutospacing="0" w:line="360" w:lineRule="auto"/>
              <w:ind w:right="0"/>
              <w:rPr>
                <w:rFonts w:hint="eastAsia" w:ascii="宋体" w:hAnsi="宋体" w:eastAsia="宋体" w:cs="宋体"/>
                <w:color w:val="000000"/>
                <w:sz w:val="21"/>
                <w:szCs w:val="21"/>
              </w:rPr>
            </w:pPr>
            <w:r>
              <w:rPr>
                <w:rFonts w:hint="eastAsia" w:ascii="宋体" w:hAnsi="宋体" w:eastAsia="宋体" w:cs="宋体"/>
                <w:color w:val="000000"/>
                <w:sz w:val="21"/>
                <w:szCs w:val="21"/>
              </w:rPr>
              <w:t>辅助人员</w:t>
            </w:r>
          </w:p>
        </w:tc>
      </w:tr>
      <w:tr w14:paraId="65D8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6DCA2E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姓名</w:t>
            </w:r>
          </w:p>
        </w:tc>
        <w:tc>
          <w:tcPr>
            <w:tcW w:w="969" w:type="dxa"/>
            <w:tcBorders>
              <w:left w:val="single" w:color="auto" w:sz="6" w:space="0"/>
            </w:tcBorders>
            <w:vAlign w:val="center"/>
          </w:tcPr>
          <w:p w14:paraId="37F1426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年龄</w:t>
            </w:r>
          </w:p>
        </w:tc>
        <w:tc>
          <w:tcPr>
            <w:tcW w:w="1284" w:type="dxa"/>
            <w:gridSpan w:val="2"/>
            <w:tcBorders>
              <w:right w:val="single" w:color="auto" w:sz="2" w:space="0"/>
            </w:tcBorders>
            <w:vAlign w:val="center"/>
          </w:tcPr>
          <w:p w14:paraId="3CE41F5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学历</w:t>
            </w:r>
          </w:p>
        </w:tc>
        <w:tc>
          <w:tcPr>
            <w:tcW w:w="1386" w:type="dxa"/>
            <w:gridSpan w:val="3"/>
            <w:tcBorders>
              <w:left w:val="single" w:color="auto" w:sz="2" w:space="0"/>
            </w:tcBorders>
            <w:vAlign w:val="center"/>
          </w:tcPr>
          <w:p w14:paraId="39EFC8A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职称</w:t>
            </w:r>
          </w:p>
        </w:tc>
        <w:tc>
          <w:tcPr>
            <w:tcW w:w="1581" w:type="dxa"/>
            <w:vAlign w:val="center"/>
          </w:tcPr>
          <w:p w14:paraId="2A3DC15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从事类似项目工作年限</w:t>
            </w:r>
          </w:p>
        </w:tc>
        <w:tc>
          <w:tcPr>
            <w:tcW w:w="1782" w:type="dxa"/>
            <w:gridSpan w:val="2"/>
            <w:vAlign w:val="center"/>
          </w:tcPr>
          <w:p w14:paraId="4D9AED5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主要工作</w:t>
            </w:r>
          </w:p>
          <w:p w14:paraId="4711BCC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业绩和经历</w:t>
            </w:r>
          </w:p>
        </w:tc>
        <w:tc>
          <w:tcPr>
            <w:tcW w:w="1049" w:type="dxa"/>
            <w:tcBorders>
              <w:right w:val="single" w:color="auto" w:sz="12" w:space="0"/>
            </w:tcBorders>
            <w:vAlign w:val="center"/>
          </w:tcPr>
          <w:p w14:paraId="2541375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拟派</w:t>
            </w:r>
          </w:p>
          <w:p w14:paraId="6BF44935">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r>
              <w:rPr>
                <w:rFonts w:hint="eastAsia" w:ascii="宋体" w:hAnsi="宋体" w:eastAsia="宋体" w:cs="宋体"/>
                <w:color w:val="000000"/>
                <w:sz w:val="21"/>
                <w:szCs w:val="21"/>
              </w:rPr>
              <w:t>分工</w:t>
            </w:r>
          </w:p>
        </w:tc>
      </w:tr>
      <w:tr w14:paraId="60EF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05C8913B">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969" w:type="dxa"/>
            <w:tcBorders>
              <w:left w:val="single" w:color="auto" w:sz="6" w:space="0"/>
            </w:tcBorders>
            <w:vAlign w:val="center"/>
          </w:tcPr>
          <w:p w14:paraId="38176E24">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284" w:type="dxa"/>
            <w:gridSpan w:val="2"/>
            <w:tcBorders>
              <w:right w:val="single" w:color="auto" w:sz="2" w:space="0"/>
            </w:tcBorders>
            <w:vAlign w:val="center"/>
          </w:tcPr>
          <w:p w14:paraId="33954812">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386" w:type="dxa"/>
            <w:gridSpan w:val="3"/>
            <w:tcBorders>
              <w:left w:val="single" w:color="auto" w:sz="2" w:space="0"/>
            </w:tcBorders>
            <w:vAlign w:val="center"/>
          </w:tcPr>
          <w:p w14:paraId="373D937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581" w:type="dxa"/>
            <w:vAlign w:val="center"/>
          </w:tcPr>
          <w:p w14:paraId="6988E57F">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782" w:type="dxa"/>
            <w:gridSpan w:val="2"/>
            <w:vAlign w:val="center"/>
          </w:tcPr>
          <w:p w14:paraId="72D5D48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049" w:type="dxa"/>
            <w:tcBorders>
              <w:right w:val="single" w:color="auto" w:sz="12" w:space="0"/>
            </w:tcBorders>
            <w:vAlign w:val="center"/>
          </w:tcPr>
          <w:p w14:paraId="1FD99594">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r>
      <w:tr w14:paraId="5D13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6" w:space="0"/>
              <w:right w:val="single" w:color="auto" w:sz="6" w:space="0"/>
            </w:tcBorders>
            <w:vAlign w:val="center"/>
          </w:tcPr>
          <w:p w14:paraId="608ED315">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969" w:type="dxa"/>
            <w:tcBorders>
              <w:left w:val="single" w:color="auto" w:sz="6" w:space="0"/>
            </w:tcBorders>
            <w:vAlign w:val="center"/>
          </w:tcPr>
          <w:p w14:paraId="1161F7A9">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284" w:type="dxa"/>
            <w:gridSpan w:val="2"/>
            <w:tcBorders>
              <w:right w:val="single" w:color="auto" w:sz="2" w:space="0"/>
            </w:tcBorders>
            <w:vAlign w:val="center"/>
          </w:tcPr>
          <w:p w14:paraId="005DC6A3">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386" w:type="dxa"/>
            <w:gridSpan w:val="3"/>
            <w:tcBorders>
              <w:left w:val="single" w:color="auto" w:sz="2" w:space="0"/>
            </w:tcBorders>
            <w:vAlign w:val="center"/>
          </w:tcPr>
          <w:p w14:paraId="1ED9D51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581" w:type="dxa"/>
            <w:vAlign w:val="center"/>
          </w:tcPr>
          <w:p w14:paraId="29703468">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782" w:type="dxa"/>
            <w:gridSpan w:val="2"/>
            <w:vAlign w:val="center"/>
          </w:tcPr>
          <w:p w14:paraId="368A5B9A">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c>
          <w:tcPr>
            <w:tcW w:w="1049" w:type="dxa"/>
            <w:tcBorders>
              <w:right w:val="single" w:color="auto" w:sz="12" w:space="0"/>
            </w:tcBorders>
            <w:vAlign w:val="center"/>
          </w:tcPr>
          <w:p w14:paraId="08A464A9">
            <w:pPr>
              <w:keepNext w:val="0"/>
              <w:keepLines w:val="0"/>
              <w:widowControl/>
              <w:suppressLineNumbers w:val="0"/>
              <w:spacing w:before="0" w:beforeAutospacing="0" w:after="0" w:afterAutospacing="0" w:line="360" w:lineRule="auto"/>
              <w:ind w:left="0" w:right="0"/>
              <w:rPr>
                <w:rFonts w:hint="eastAsia" w:ascii="宋体" w:hAnsi="宋体" w:eastAsia="宋体" w:cs="宋体"/>
                <w:color w:val="000000"/>
                <w:sz w:val="21"/>
                <w:szCs w:val="21"/>
              </w:rPr>
            </w:pPr>
          </w:p>
        </w:tc>
      </w:tr>
      <w:tr w14:paraId="45E4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op w:val="single" w:color="auto" w:sz="6" w:space="0"/>
              <w:left w:val="single" w:color="auto" w:sz="12" w:space="0"/>
              <w:bottom w:val="single" w:color="auto" w:sz="12" w:space="0"/>
              <w:right w:val="single" w:color="auto" w:sz="6" w:space="0"/>
            </w:tcBorders>
            <w:vAlign w:val="center"/>
          </w:tcPr>
          <w:p w14:paraId="60E0E44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c>
          <w:tcPr>
            <w:tcW w:w="8051" w:type="dxa"/>
            <w:gridSpan w:val="10"/>
            <w:tcBorders>
              <w:left w:val="single" w:color="auto" w:sz="6" w:space="0"/>
              <w:bottom w:val="single" w:color="auto" w:sz="12" w:space="0"/>
              <w:right w:val="single" w:color="auto" w:sz="12" w:space="0"/>
            </w:tcBorders>
            <w:vAlign w:val="center"/>
          </w:tcPr>
          <w:p w14:paraId="5D45CC0F">
            <w:pPr>
              <w:keepNext w:val="0"/>
              <w:keepLines w:val="0"/>
              <w:widowControl/>
              <w:suppressLineNumbers w:val="0"/>
              <w:spacing w:before="0" w:beforeAutospacing="0" w:after="0" w:afterAutospacing="0" w:line="360" w:lineRule="auto"/>
              <w:ind w:left="210" w:right="0" w:hanging="210" w:hangingChars="100"/>
              <w:rPr>
                <w:rFonts w:hint="eastAsia" w:ascii="宋体" w:hAnsi="宋体" w:eastAsia="宋体" w:cs="宋体"/>
                <w:color w:val="000000"/>
                <w:sz w:val="21"/>
                <w:szCs w:val="21"/>
              </w:rPr>
            </w:pPr>
            <w:r>
              <w:rPr>
                <w:rFonts w:hint="eastAsia" w:ascii="宋体" w:hAnsi="宋体" w:eastAsia="宋体" w:cs="宋体"/>
                <w:color w:val="000000"/>
                <w:sz w:val="21"/>
                <w:szCs w:val="21"/>
              </w:rPr>
              <w:t>1．表格行数不足时请自行扩展。</w:t>
            </w:r>
          </w:p>
          <w:p w14:paraId="2518B433">
            <w:pPr>
              <w:keepNext w:val="0"/>
              <w:keepLines w:val="0"/>
              <w:widowControl/>
              <w:suppressLineNumbers w:val="0"/>
              <w:spacing w:before="0" w:beforeAutospacing="0" w:after="0" w:afterAutospacing="0" w:line="360" w:lineRule="auto"/>
              <w:ind w:left="210" w:right="0" w:hanging="210" w:hangingChars="100"/>
              <w:rPr>
                <w:rFonts w:hint="eastAsia" w:ascii="宋体" w:hAnsi="宋体" w:eastAsia="宋体" w:cs="宋体"/>
                <w:color w:val="000000"/>
                <w:sz w:val="21"/>
                <w:szCs w:val="21"/>
              </w:rPr>
            </w:pPr>
            <w:r>
              <w:rPr>
                <w:rFonts w:hint="eastAsia" w:ascii="宋体" w:hAnsi="宋体" w:eastAsia="宋体" w:cs="宋体"/>
                <w:color w:val="000000"/>
                <w:sz w:val="21"/>
                <w:szCs w:val="21"/>
              </w:rPr>
              <w:t>2．表中所列“项目负责人、管理人员、技术人员/服务人员、辅助人员”仅为示例，</w:t>
            </w: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可根据招标文件要求自行安排人员类别。</w:t>
            </w:r>
          </w:p>
          <w:p w14:paraId="445B49F2">
            <w:pPr>
              <w:keepNext w:val="0"/>
              <w:keepLines w:val="0"/>
              <w:widowControl/>
              <w:suppressLineNumbers w:val="0"/>
              <w:spacing w:before="0" w:beforeAutospacing="0" w:after="0" w:afterAutospacing="0" w:line="360" w:lineRule="auto"/>
              <w:ind w:left="210" w:right="0" w:hanging="210" w:hangingChars="100"/>
              <w:rPr>
                <w:rFonts w:hint="eastAsia" w:ascii="宋体" w:hAnsi="宋体" w:eastAsia="宋体" w:cs="宋体"/>
                <w:color w:val="000000"/>
                <w:sz w:val="21"/>
                <w:szCs w:val="21"/>
              </w:rPr>
            </w:pPr>
            <w:r>
              <w:rPr>
                <w:rFonts w:hint="eastAsia" w:ascii="宋体" w:hAnsi="宋体" w:eastAsia="宋体" w:cs="宋体"/>
                <w:color w:val="000000"/>
                <w:sz w:val="21"/>
                <w:szCs w:val="21"/>
              </w:rPr>
              <w:t>3．招标文件对人员“资格\学历\职称”提出要求的，应在本表下方附相应的“资格证\学历证\职称证”等证明文件。</w:t>
            </w:r>
          </w:p>
        </w:tc>
      </w:tr>
    </w:tbl>
    <w:p w14:paraId="6B3174CD">
      <w:pPr>
        <w:pStyle w:val="89"/>
        <w:spacing w:line="360" w:lineRule="auto"/>
        <w:ind w:firstLine="480"/>
        <w:rPr>
          <w:rFonts w:hint="eastAsia" w:ascii="宋体" w:hAnsi="宋体" w:cs="宋体"/>
          <w:color w:val="auto"/>
          <w:lang w:eastAsia="zh-CN"/>
        </w:rPr>
      </w:pPr>
    </w:p>
    <w:p w14:paraId="7D964066">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投标人（公章）：</w:t>
      </w:r>
    </w:p>
    <w:p w14:paraId="37332CCF">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法定代表人（签字或盖章）：</w:t>
      </w:r>
    </w:p>
    <w:p w14:paraId="04780FD6">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日    期：</w:t>
      </w:r>
    </w:p>
    <w:p w14:paraId="051F9F2B">
      <w:pPr>
        <w:pStyle w:val="89"/>
        <w:spacing w:line="360" w:lineRule="auto"/>
        <w:ind w:firstLine="480"/>
        <w:rPr>
          <w:rFonts w:hint="eastAsia" w:ascii="宋体" w:hAnsi="宋体" w:eastAsia="宋体" w:cs="宋体"/>
          <w:bCs/>
          <w:color w:val="auto"/>
        </w:rPr>
      </w:pPr>
    </w:p>
    <w:p w14:paraId="7837FAFF">
      <w:pPr>
        <w:spacing w:line="360" w:lineRule="auto"/>
        <w:rPr>
          <w:rFonts w:hint="eastAsia" w:ascii="宋体" w:hAnsi="宋体" w:eastAsia="宋体" w:cs="宋体"/>
          <w:b/>
        </w:rPr>
      </w:pPr>
      <w:r>
        <w:rPr>
          <w:rFonts w:hint="eastAsia" w:ascii="宋体" w:hAnsi="宋体" w:eastAsia="宋体" w:cs="宋体"/>
          <w:b/>
        </w:rPr>
        <w:br w:type="page"/>
      </w:r>
    </w:p>
    <w:p w14:paraId="5B961D05">
      <w:pPr>
        <w:spacing w:before="210" w:beforeLines="50" w:line="360" w:lineRule="auto"/>
        <w:rPr>
          <w:rFonts w:hint="eastAsia" w:ascii="宋体" w:hAnsi="宋体" w:eastAsia="宋体" w:cs="宋体"/>
          <w:b/>
          <w:highlight w:val="none"/>
          <w:lang w:eastAsia="zh-CN"/>
        </w:rPr>
      </w:pPr>
      <w:r>
        <w:rPr>
          <w:rFonts w:hint="eastAsia" w:ascii="宋体" w:hAnsi="宋体" w:eastAsia="宋体" w:cs="宋体"/>
          <w:b/>
          <w:highlight w:val="none"/>
        </w:rPr>
        <w:t>2．拟投入项目的专业设备情况表</w:t>
      </w:r>
    </w:p>
    <w:tbl>
      <w:tblPr>
        <w:tblStyle w:val="9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687"/>
        <w:gridCol w:w="2078"/>
        <w:gridCol w:w="1060"/>
        <w:gridCol w:w="754"/>
        <w:gridCol w:w="1795"/>
        <w:gridCol w:w="1275"/>
        <w:gridCol w:w="1221"/>
      </w:tblGrid>
      <w:tr w14:paraId="12C978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tcBorders>
              <w:top w:val="single" w:color="auto" w:sz="12" w:space="0"/>
              <w:bottom w:val="single" w:color="auto" w:sz="2" w:space="0"/>
            </w:tcBorders>
            <w:shd w:val="clear" w:color="auto" w:fill="F1F1F1" w:themeFill="background1" w:themeFillShade="F2"/>
            <w:vAlign w:val="center"/>
          </w:tcPr>
          <w:p w14:paraId="61468A42">
            <w:pPr>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序号</w:t>
            </w:r>
          </w:p>
        </w:tc>
        <w:tc>
          <w:tcPr>
            <w:tcW w:w="2078" w:type="dxa"/>
            <w:tcBorders>
              <w:top w:val="single" w:color="auto" w:sz="12" w:space="0"/>
              <w:bottom w:val="single" w:color="auto" w:sz="2" w:space="0"/>
            </w:tcBorders>
            <w:shd w:val="clear" w:color="auto" w:fill="F1F1F1" w:themeFill="background1" w:themeFillShade="F2"/>
            <w:vAlign w:val="center"/>
          </w:tcPr>
          <w:p w14:paraId="599273E6">
            <w:pPr>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设备名称</w:t>
            </w:r>
          </w:p>
        </w:tc>
        <w:tc>
          <w:tcPr>
            <w:tcW w:w="1060" w:type="dxa"/>
            <w:tcBorders>
              <w:top w:val="single" w:color="auto" w:sz="12" w:space="0"/>
              <w:bottom w:val="single" w:color="auto" w:sz="2" w:space="0"/>
            </w:tcBorders>
            <w:shd w:val="clear" w:color="auto" w:fill="F1F1F1" w:themeFill="background1" w:themeFillShade="F2"/>
            <w:vAlign w:val="center"/>
          </w:tcPr>
          <w:p w14:paraId="0773D283">
            <w:pPr>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计量单位</w:t>
            </w:r>
          </w:p>
        </w:tc>
        <w:tc>
          <w:tcPr>
            <w:tcW w:w="754" w:type="dxa"/>
            <w:tcBorders>
              <w:top w:val="single" w:color="auto" w:sz="12" w:space="0"/>
              <w:bottom w:val="single" w:color="auto" w:sz="2" w:space="0"/>
            </w:tcBorders>
            <w:shd w:val="clear" w:color="auto" w:fill="F1F1F1" w:themeFill="background1" w:themeFillShade="F2"/>
            <w:vAlign w:val="center"/>
          </w:tcPr>
          <w:p w14:paraId="7FF7637E">
            <w:pPr>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数量</w:t>
            </w:r>
          </w:p>
        </w:tc>
        <w:tc>
          <w:tcPr>
            <w:tcW w:w="1795" w:type="dxa"/>
            <w:tcBorders>
              <w:top w:val="single" w:color="auto" w:sz="12" w:space="0"/>
              <w:bottom w:val="single" w:color="auto" w:sz="2" w:space="0"/>
            </w:tcBorders>
            <w:shd w:val="clear" w:color="auto" w:fill="F1F1F1" w:themeFill="background1" w:themeFillShade="F2"/>
            <w:vAlign w:val="center"/>
          </w:tcPr>
          <w:p w14:paraId="7C1A99F6">
            <w:pPr>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生产企业</w:t>
            </w:r>
          </w:p>
        </w:tc>
        <w:tc>
          <w:tcPr>
            <w:tcW w:w="1275" w:type="dxa"/>
            <w:tcBorders>
              <w:top w:val="single" w:color="auto" w:sz="12" w:space="0"/>
              <w:bottom w:val="single" w:color="auto" w:sz="2" w:space="0"/>
            </w:tcBorders>
            <w:shd w:val="clear" w:color="auto" w:fill="F1F1F1" w:themeFill="background1" w:themeFillShade="F2"/>
            <w:vAlign w:val="center"/>
          </w:tcPr>
          <w:p w14:paraId="37263543">
            <w:pPr>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使用年限</w:t>
            </w:r>
          </w:p>
        </w:tc>
        <w:tc>
          <w:tcPr>
            <w:tcW w:w="1221" w:type="dxa"/>
            <w:tcBorders>
              <w:top w:val="single" w:color="auto" w:sz="12" w:space="0"/>
              <w:bottom w:val="single" w:color="auto" w:sz="2" w:space="0"/>
            </w:tcBorders>
            <w:shd w:val="clear" w:color="auto" w:fill="F1F1F1" w:themeFill="background1" w:themeFillShade="F2"/>
            <w:vAlign w:val="center"/>
          </w:tcPr>
          <w:p w14:paraId="37FC413A">
            <w:pPr>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b/>
                <w:kern w:val="2"/>
                <w:sz w:val="21"/>
                <w:szCs w:val="28"/>
              </w:rPr>
            </w:pPr>
            <w:r>
              <w:rPr>
                <w:rFonts w:hint="eastAsia" w:ascii="宋体" w:hAnsi="宋体" w:eastAsia="宋体" w:cs="宋体"/>
                <w:b/>
                <w:kern w:val="2"/>
                <w:sz w:val="21"/>
                <w:szCs w:val="28"/>
              </w:rPr>
              <w:t>自购/外协</w:t>
            </w:r>
          </w:p>
        </w:tc>
      </w:tr>
      <w:tr w14:paraId="1892C4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tcBorders>
              <w:top w:val="single" w:color="auto" w:sz="2" w:space="0"/>
            </w:tcBorders>
            <w:shd w:val="clear" w:color="auto" w:fill="auto"/>
            <w:vAlign w:val="center"/>
          </w:tcPr>
          <w:p w14:paraId="54705014">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2078" w:type="dxa"/>
            <w:tcBorders>
              <w:top w:val="single" w:color="auto" w:sz="2" w:space="0"/>
            </w:tcBorders>
            <w:shd w:val="clear" w:color="auto" w:fill="auto"/>
            <w:vAlign w:val="center"/>
          </w:tcPr>
          <w:p w14:paraId="11268AE3">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060" w:type="dxa"/>
            <w:tcBorders>
              <w:top w:val="single" w:color="auto" w:sz="2" w:space="0"/>
            </w:tcBorders>
            <w:shd w:val="clear" w:color="auto" w:fill="auto"/>
            <w:vAlign w:val="center"/>
          </w:tcPr>
          <w:p w14:paraId="0D6DE5C7">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754" w:type="dxa"/>
            <w:tcBorders>
              <w:top w:val="single" w:color="auto" w:sz="2" w:space="0"/>
            </w:tcBorders>
            <w:shd w:val="clear" w:color="auto" w:fill="auto"/>
            <w:vAlign w:val="center"/>
          </w:tcPr>
          <w:p w14:paraId="54FE9383">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795" w:type="dxa"/>
            <w:tcBorders>
              <w:top w:val="single" w:color="auto" w:sz="2" w:space="0"/>
            </w:tcBorders>
            <w:shd w:val="clear" w:color="auto" w:fill="auto"/>
            <w:vAlign w:val="center"/>
          </w:tcPr>
          <w:p w14:paraId="3F47A150">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75" w:type="dxa"/>
            <w:tcBorders>
              <w:top w:val="single" w:color="auto" w:sz="2" w:space="0"/>
            </w:tcBorders>
            <w:shd w:val="clear" w:color="auto" w:fill="auto"/>
            <w:vAlign w:val="center"/>
          </w:tcPr>
          <w:p w14:paraId="44D0C720">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21" w:type="dxa"/>
            <w:tcBorders>
              <w:top w:val="single" w:color="auto" w:sz="2" w:space="0"/>
            </w:tcBorders>
            <w:shd w:val="clear" w:color="auto" w:fill="auto"/>
            <w:vAlign w:val="center"/>
          </w:tcPr>
          <w:p w14:paraId="1E4DE20B">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r>
      <w:tr w14:paraId="042A12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72F59CDA">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2078" w:type="dxa"/>
            <w:shd w:val="clear" w:color="auto" w:fill="auto"/>
            <w:vAlign w:val="center"/>
          </w:tcPr>
          <w:p w14:paraId="46CE386C">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060" w:type="dxa"/>
            <w:shd w:val="clear" w:color="auto" w:fill="auto"/>
            <w:vAlign w:val="center"/>
          </w:tcPr>
          <w:p w14:paraId="15B1DCDE">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754" w:type="dxa"/>
            <w:shd w:val="clear" w:color="auto" w:fill="auto"/>
            <w:vAlign w:val="center"/>
          </w:tcPr>
          <w:p w14:paraId="4C3C5206">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795" w:type="dxa"/>
            <w:shd w:val="clear" w:color="auto" w:fill="auto"/>
            <w:vAlign w:val="center"/>
          </w:tcPr>
          <w:p w14:paraId="36D2ADCD">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75" w:type="dxa"/>
            <w:shd w:val="clear" w:color="auto" w:fill="auto"/>
            <w:vAlign w:val="center"/>
          </w:tcPr>
          <w:p w14:paraId="2FA2BAC1">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21" w:type="dxa"/>
            <w:shd w:val="clear" w:color="auto" w:fill="auto"/>
            <w:vAlign w:val="center"/>
          </w:tcPr>
          <w:p w14:paraId="405C878A">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r>
      <w:tr w14:paraId="09CE3B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3D9905E5">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2078" w:type="dxa"/>
            <w:shd w:val="clear" w:color="auto" w:fill="auto"/>
            <w:vAlign w:val="center"/>
          </w:tcPr>
          <w:p w14:paraId="0096CB6B">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060" w:type="dxa"/>
            <w:shd w:val="clear" w:color="auto" w:fill="auto"/>
            <w:vAlign w:val="center"/>
          </w:tcPr>
          <w:p w14:paraId="53E4A17D">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754" w:type="dxa"/>
            <w:shd w:val="clear" w:color="auto" w:fill="auto"/>
            <w:vAlign w:val="center"/>
          </w:tcPr>
          <w:p w14:paraId="7A793D5D">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795" w:type="dxa"/>
            <w:shd w:val="clear" w:color="auto" w:fill="auto"/>
            <w:vAlign w:val="center"/>
          </w:tcPr>
          <w:p w14:paraId="67260E07">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75" w:type="dxa"/>
            <w:shd w:val="clear" w:color="auto" w:fill="auto"/>
            <w:vAlign w:val="center"/>
          </w:tcPr>
          <w:p w14:paraId="389B5CB9">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21" w:type="dxa"/>
            <w:shd w:val="clear" w:color="auto" w:fill="auto"/>
            <w:vAlign w:val="center"/>
          </w:tcPr>
          <w:p w14:paraId="6D78FD99">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r>
      <w:tr w14:paraId="6B7B52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3A1EE86C">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2078" w:type="dxa"/>
            <w:shd w:val="clear" w:color="auto" w:fill="auto"/>
            <w:vAlign w:val="center"/>
          </w:tcPr>
          <w:p w14:paraId="0FD38AF9">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060" w:type="dxa"/>
            <w:shd w:val="clear" w:color="auto" w:fill="auto"/>
            <w:vAlign w:val="center"/>
          </w:tcPr>
          <w:p w14:paraId="7C146AE7">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754" w:type="dxa"/>
            <w:shd w:val="clear" w:color="auto" w:fill="auto"/>
            <w:vAlign w:val="center"/>
          </w:tcPr>
          <w:p w14:paraId="2E92FB92">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795" w:type="dxa"/>
            <w:shd w:val="clear" w:color="auto" w:fill="auto"/>
            <w:vAlign w:val="center"/>
          </w:tcPr>
          <w:p w14:paraId="0B35A79F">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75" w:type="dxa"/>
            <w:shd w:val="clear" w:color="auto" w:fill="auto"/>
            <w:vAlign w:val="center"/>
          </w:tcPr>
          <w:p w14:paraId="58E53324">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21" w:type="dxa"/>
            <w:shd w:val="clear" w:color="auto" w:fill="auto"/>
            <w:vAlign w:val="center"/>
          </w:tcPr>
          <w:p w14:paraId="60B70590">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r>
      <w:tr w14:paraId="1EF104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6EEE6639">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2078" w:type="dxa"/>
            <w:shd w:val="clear" w:color="auto" w:fill="auto"/>
            <w:vAlign w:val="center"/>
          </w:tcPr>
          <w:p w14:paraId="54E4C0C8">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060" w:type="dxa"/>
            <w:shd w:val="clear" w:color="auto" w:fill="auto"/>
            <w:vAlign w:val="center"/>
          </w:tcPr>
          <w:p w14:paraId="082250B5">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754" w:type="dxa"/>
            <w:shd w:val="clear" w:color="auto" w:fill="auto"/>
            <w:vAlign w:val="center"/>
          </w:tcPr>
          <w:p w14:paraId="5B5FF037">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795" w:type="dxa"/>
            <w:shd w:val="clear" w:color="auto" w:fill="auto"/>
            <w:vAlign w:val="center"/>
          </w:tcPr>
          <w:p w14:paraId="2DA24006">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75" w:type="dxa"/>
            <w:shd w:val="clear" w:color="auto" w:fill="auto"/>
            <w:vAlign w:val="center"/>
          </w:tcPr>
          <w:p w14:paraId="66BE1731">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21" w:type="dxa"/>
            <w:shd w:val="clear" w:color="auto" w:fill="auto"/>
            <w:vAlign w:val="center"/>
          </w:tcPr>
          <w:p w14:paraId="296978F2">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r>
      <w:tr w14:paraId="2F6572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4B7E6EF6">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2078" w:type="dxa"/>
            <w:shd w:val="clear" w:color="auto" w:fill="auto"/>
            <w:vAlign w:val="center"/>
          </w:tcPr>
          <w:p w14:paraId="641106C7">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060" w:type="dxa"/>
            <w:shd w:val="clear" w:color="auto" w:fill="auto"/>
            <w:vAlign w:val="center"/>
          </w:tcPr>
          <w:p w14:paraId="5B05CD44">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754" w:type="dxa"/>
            <w:shd w:val="clear" w:color="auto" w:fill="auto"/>
            <w:vAlign w:val="center"/>
          </w:tcPr>
          <w:p w14:paraId="72478423">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795" w:type="dxa"/>
            <w:shd w:val="clear" w:color="auto" w:fill="auto"/>
            <w:vAlign w:val="center"/>
          </w:tcPr>
          <w:p w14:paraId="7D6EF12E">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75" w:type="dxa"/>
            <w:shd w:val="clear" w:color="auto" w:fill="auto"/>
            <w:vAlign w:val="center"/>
          </w:tcPr>
          <w:p w14:paraId="2C4DDF35">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21" w:type="dxa"/>
            <w:shd w:val="clear" w:color="auto" w:fill="auto"/>
            <w:vAlign w:val="center"/>
          </w:tcPr>
          <w:p w14:paraId="23BA157A">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r>
      <w:tr w14:paraId="4E63A6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46A8BE47">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2078" w:type="dxa"/>
            <w:shd w:val="clear" w:color="auto" w:fill="auto"/>
            <w:vAlign w:val="center"/>
          </w:tcPr>
          <w:p w14:paraId="0F79EA09">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060" w:type="dxa"/>
            <w:shd w:val="clear" w:color="auto" w:fill="auto"/>
            <w:vAlign w:val="center"/>
          </w:tcPr>
          <w:p w14:paraId="40604AAC">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754" w:type="dxa"/>
            <w:shd w:val="clear" w:color="auto" w:fill="auto"/>
            <w:vAlign w:val="center"/>
          </w:tcPr>
          <w:p w14:paraId="42222EEC">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795" w:type="dxa"/>
            <w:shd w:val="clear" w:color="auto" w:fill="auto"/>
            <w:vAlign w:val="center"/>
          </w:tcPr>
          <w:p w14:paraId="6D9D1729">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75" w:type="dxa"/>
            <w:shd w:val="clear" w:color="auto" w:fill="auto"/>
            <w:vAlign w:val="center"/>
          </w:tcPr>
          <w:p w14:paraId="031411BA">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21" w:type="dxa"/>
            <w:shd w:val="clear" w:color="auto" w:fill="auto"/>
            <w:vAlign w:val="center"/>
          </w:tcPr>
          <w:p w14:paraId="539FA32C">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r>
      <w:tr w14:paraId="2C5F18F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19ACE793">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2078" w:type="dxa"/>
            <w:shd w:val="clear" w:color="auto" w:fill="auto"/>
            <w:vAlign w:val="center"/>
          </w:tcPr>
          <w:p w14:paraId="4AA23C41">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060" w:type="dxa"/>
            <w:shd w:val="clear" w:color="auto" w:fill="auto"/>
            <w:vAlign w:val="center"/>
          </w:tcPr>
          <w:p w14:paraId="7A505B90">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754" w:type="dxa"/>
            <w:shd w:val="clear" w:color="auto" w:fill="auto"/>
            <w:vAlign w:val="center"/>
          </w:tcPr>
          <w:p w14:paraId="12B5B6C8">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795" w:type="dxa"/>
            <w:shd w:val="clear" w:color="auto" w:fill="auto"/>
            <w:vAlign w:val="center"/>
          </w:tcPr>
          <w:p w14:paraId="50AF0DD8">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75" w:type="dxa"/>
            <w:shd w:val="clear" w:color="auto" w:fill="auto"/>
            <w:vAlign w:val="center"/>
          </w:tcPr>
          <w:p w14:paraId="70562E77">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c>
          <w:tcPr>
            <w:tcW w:w="1221" w:type="dxa"/>
            <w:shd w:val="clear" w:color="auto" w:fill="auto"/>
            <w:vAlign w:val="center"/>
          </w:tcPr>
          <w:p w14:paraId="5BA6AD6A">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b/>
                <w:kern w:val="2"/>
                <w:sz w:val="21"/>
                <w:szCs w:val="28"/>
              </w:rPr>
            </w:pPr>
          </w:p>
        </w:tc>
      </w:tr>
      <w:tr w14:paraId="079C65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87" w:type="dxa"/>
            <w:shd w:val="clear" w:color="auto" w:fill="auto"/>
            <w:vAlign w:val="center"/>
          </w:tcPr>
          <w:p w14:paraId="3AD75E6C">
            <w:pPr>
              <w:keepNext w:val="0"/>
              <w:keepLines w:val="0"/>
              <w:widowControl/>
              <w:suppressLineNumbers w:val="0"/>
              <w:spacing w:before="0" w:beforeAutospacing="0" w:after="0" w:afterAutospacing="0" w:line="360" w:lineRule="auto"/>
              <w:ind w:left="0" w:right="0" w:firstLine="0"/>
              <w:jc w:val="center"/>
              <w:rPr>
                <w:rFonts w:hint="eastAsia" w:ascii="宋体" w:hAnsi="宋体" w:eastAsia="宋体" w:cs="宋体"/>
                <w:kern w:val="2"/>
                <w:sz w:val="21"/>
                <w:szCs w:val="28"/>
              </w:rPr>
            </w:pPr>
            <w:r>
              <w:rPr>
                <w:rFonts w:hint="eastAsia" w:ascii="宋体" w:hAnsi="宋体" w:eastAsia="宋体" w:cs="宋体"/>
                <w:kern w:val="2"/>
                <w:sz w:val="21"/>
                <w:szCs w:val="28"/>
              </w:rPr>
              <w:t>备注</w:t>
            </w:r>
          </w:p>
        </w:tc>
        <w:tc>
          <w:tcPr>
            <w:tcW w:w="8183" w:type="dxa"/>
            <w:gridSpan w:val="6"/>
            <w:shd w:val="clear" w:color="auto" w:fill="auto"/>
            <w:vAlign w:val="center"/>
          </w:tcPr>
          <w:p w14:paraId="5BC93027">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1．表格行数不足时请自行扩展。</w:t>
            </w:r>
          </w:p>
          <w:p w14:paraId="717448AF">
            <w:pPr>
              <w:keepNext w:val="0"/>
              <w:keepLines w:val="0"/>
              <w:widowControl/>
              <w:suppressLineNumbers w:val="0"/>
              <w:spacing w:before="0" w:beforeAutospacing="0" w:after="0" w:afterAutospacing="0" w:line="360" w:lineRule="auto"/>
              <w:ind w:left="0" w:right="0" w:firstLine="0"/>
              <w:jc w:val="both"/>
              <w:rPr>
                <w:rFonts w:hint="eastAsia" w:ascii="宋体" w:hAnsi="宋体" w:eastAsia="宋体" w:cs="宋体"/>
                <w:kern w:val="2"/>
                <w:sz w:val="21"/>
                <w:szCs w:val="28"/>
              </w:rPr>
            </w:pPr>
            <w:r>
              <w:rPr>
                <w:rFonts w:hint="eastAsia" w:ascii="宋体" w:hAnsi="宋体" w:eastAsia="宋体" w:cs="宋体"/>
                <w:color w:val="000000"/>
                <w:kern w:val="2"/>
                <w:sz w:val="21"/>
                <w:szCs w:val="21"/>
              </w:rPr>
              <w:t>2．</w:t>
            </w:r>
            <w:r>
              <w:rPr>
                <w:rFonts w:hint="eastAsia" w:ascii="宋体" w:hAnsi="宋体" w:eastAsia="宋体" w:cs="宋体"/>
                <w:kern w:val="2"/>
                <w:sz w:val="21"/>
                <w:szCs w:val="28"/>
              </w:rPr>
              <w:t>设备可以填写单台设备，也可以填写成套设备。</w:t>
            </w:r>
          </w:p>
        </w:tc>
      </w:tr>
    </w:tbl>
    <w:p w14:paraId="599311F7">
      <w:pPr>
        <w:pStyle w:val="89"/>
        <w:spacing w:line="360" w:lineRule="auto"/>
        <w:ind w:firstLine="480"/>
        <w:rPr>
          <w:rFonts w:hint="eastAsia" w:ascii="宋体" w:hAnsi="宋体" w:cs="宋体"/>
          <w:color w:val="auto"/>
          <w:lang w:eastAsia="zh-CN"/>
        </w:rPr>
      </w:pPr>
    </w:p>
    <w:p w14:paraId="6287BA5D">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投标人（公章）：</w:t>
      </w:r>
    </w:p>
    <w:p w14:paraId="6CA941B4">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法定代表人（签字或盖章）：</w:t>
      </w:r>
    </w:p>
    <w:p w14:paraId="55B92F6F">
      <w:pPr>
        <w:pStyle w:val="89"/>
        <w:spacing w:line="360" w:lineRule="auto"/>
        <w:ind w:firstLine="480"/>
        <w:rPr>
          <w:rFonts w:hint="eastAsia" w:ascii="宋体" w:hAnsi="宋体" w:cs="宋体"/>
          <w:color w:val="auto"/>
          <w:lang w:eastAsia="zh-CN"/>
        </w:rPr>
      </w:pPr>
      <w:r>
        <w:rPr>
          <w:rFonts w:hint="eastAsia" w:ascii="宋体" w:hAnsi="宋体" w:cs="宋体"/>
          <w:color w:val="auto"/>
          <w:lang w:eastAsia="zh-CN"/>
        </w:rPr>
        <w:t>日    期：</w:t>
      </w:r>
    </w:p>
    <w:p w14:paraId="719B2AA2">
      <w:pPr>
        <w:pStyle w:val="89"/>
        <w:spacing w:line="360" w:lineRule="auto"/>
        <w:ind w:firstLine="480"/>
        <w:rPr>
          <w:rFonts w:hint="eastAsia" w:ascii="宋体" w:hAnsi="宋体" w:eastAsia="宋体" w:cs="宋体"/>
          <w:bCs/>
          <w:color w:val="auto"/>
        </w:rPr>
      </w:pPr>
    </w:p>
    <w:p w14:paraId="6D4E4D8F">
      <w:pPr>
        <w:pStyle w:val="89"/>
        <w:spacing w:line="360" w:lineRule="auto"/>
        <w:ind w:firstLine="0" w:firstLineChars="0"/>
        <w:rPr>
          <w:rFonts w:hint="eastAsia" w:ascii="宋体" w:hAnsi="宋体" w:eastAsia="宋体" w:cs="宋体"/>
          <w:color w:val="auto"/>
        </w:rPr>
      </w:pPr>
    </w:p>
    <w:p w14:paraId="5CEB0719">
      <w:pPr>
        <w:rPr>
          <w:rFonts w:hint="eastAsia" w:ascii="宋体" w:hAnsi="宋体" w:eastAsia="宋体" w:cs="宋体"/>
          <w:b/>
          <w:color w:val="auto"/>
        </w:rPr>
      </w:pPr>
      <w:r>
        <w:rPr>
          <w:rFonts w:hint="eastAsia" w:ascii="宋体" w:hAnsi="宋体" w:eastAsia="宋体" w:cs="宋体"/>
          <w:b/>
          <w:color w:val="auto"/>
        </w:rPr>
        <w:br w:type="page"/>
      </w:r>
    </w:p>
    <w:p w14:paraId="3E9E7480">
      <w:pPr>
        <w:spacing w:before="210" w:beforeLines="50" w:line="360" w:lineRule="auto"/>
        <w:rPr>
          <w:rFonts w:hint="eastAsia" w:ascii="宋体" w:hAnsi="宋体" w:eastAsia="宋体" w:cs="宋体"/>
          <w:b/>
          <w:color w:val="auto"/>
        </w:rPr>
      </w:pPr>
      <w:r>
        <w:rPr>
          <w:rFonts w:hint="eastAsia" w:ascii="宋体" w:hAnsi="宋体" w:eastAsia="宋体" w:cs="宋体"/>
          <w:b/>
          <w:color w:val="auto"/>
        </w:rPr>
        <w:t>3．业绩</w:t>
      </w:r>
    </w:p>
    <w:tbl>
      <w:tblPr>
        <w:tblStyle w:val="101"/>
        <w:tblW w:w="88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6"/>
        <w:gridCol w:w="1064"/>
        <w:gridCol w:w="1412"/>
        <w:gridCol w:w="2278"/>
        <w:gridCol w:w="1965"/>
        <w:gridCol w:w="1517"/>
      </w:tblGrid>
      <w:tr w14:paraId="10FC0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616" w:type="dxa"/>
            <w:tcBorders>
              <w:top w:val="single" w:color="000000" w:sz="2" w:space="0"/>
              <w:bottom w:val="single" w:color="000000" w:sz="2" w:space="0"/>
            </w:tcBorders>
            <w:vAlign w:val="center"/>
          </w:tcPr>
          <w:p w14:paraId="64FEA414">
            <w:pPr>
              <w:keepNext w:val="0"/>
              <w:keepLines w:val="0"/>
              <w:pageBreakBefore w:val="0"/>
              <w:widowControl/>
              <w:kinsoku w:val="0"/>
              <w:wordWrap/>
              <w:overflowPunct/>
              <w:topLinePunct w:val="0"/>
              <w:autoSpaceDE w:val="0"/>
              <w:autoSpaceDN w:val="0"/>
              <w:bidi w:val="0"/>
              <w:adjustRightInd w:val="0"/>
              <w:snapToGrid w:val="0"/>
              <w:spacing w:line="231" w:lineRule="auto"/>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序号</w:t>
            </w:r>
          </w:p>
        </w:tc>
        <w:tc>
          <w:tcPr>
            <w:tcW w:w="1064" w:type="dxa"/>
            <w:tcBorders>
              <w:top w:val="single" w:color="000000" w:sz="2" w:space="0"/>
              <w:bottom w:val="single" w:color="000000" w:sz="2" w:space="0"/>
            </w:tcBorders>
            <w:vAlign w:val="center"/>
          </w:tcPr>
          <w:p w14:paraId="485F0005">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项目名称</w:t>
            </w:r>
          </w:p>
        </w:tc>
        <w:tc>
          <w:tcPr>
            <w:tcW w:w="1412" w:type="dxa"/>
            <w:tcBorders>
              <w:top w:val="single" w:color="000000" w:sz="2" w:space="0"/>
              <w:bottom w:val="single" w:color="000000" w:sz="2" w:space="0"/>
            </w:tcBorders>
            <w:vAlign w:val="center"/>
          </w:tcPr>
          <w:p w14:paraId="012C0B7A">
            <w:pPr>
              <w:keepNext w:val="0"/>
              <w:keepLines w:val="0"/>
              <w:pageBreakBefore w:val="0"/>
              <w:widowControl/>
              <w:kinsoku w:val="0"/>
              <w:wordWrap/>
              <w:overflowPunct/>
              <w:topLinePunct w:val="0"/>
              <w:autoSpaceDE w:val="0"/>
              <w:autoSpaceDN w:val="0"/>
              <w:bidi w:val="0"/>
              <w:adjustRightInd w:val="0"/>
              <w:snapToGrid w:val="0"/>
              <w:spacing w:line="231" w:lineRule="auto"/>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项目内容</w:t>
            </w:r>
          </w:p>
        </w:tc>
        <w:tc>
          <w:tcPr>
            <w:tcW w:w="2278" w:type="dxa"/>
            <w:tcBorders>
              <w:top w:val="single" w:color="000000" w:sz="2" w:space="0"/>
              <w:bottom w:val="single" w:color="000000" w:sz="2" w:space="0"/>
            </w:tcBorders>
            <w:vAlign w:val="center"/>
          </w:tcPr>
          <w:p w14:paraId="05F74BD0">
            <w:pPr>
              <w:keepNext w:val="0"/>
              <w:keepLines w:val="0"/>
              <w:pageBreakBefore w:val="0"/>
              <w:widowControl/>
              <w:kinsoku w:val="0"/>
              <w:wordWrap/>
              <w:overflowPunct/>
              <w:topLinePunct w:val="0"/>
              <w:autoSpaceDE w:val="0"/>
              <w:autoSpaceDN w:val="0"/>
              <w:bidi w:val="0"/>
              <w:adjustRightInd w:val="0"/>
              <w:snapToGrid w:val="0"/>
              <w:spacing w:line="312" w:lineRule="exact"/>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合同金额（万元）</w:t>
            </w:r>
          </w:p>
        </w:tc>
        <w:tc>
          <w:tcPr>
            <w:tcW w:w="1965" w:type="dxa"/>
            <w:tcBorders>
              <w:top w:val="single" w:color="000000" w:sz="2" w:space="0"/>
              <w:bottom w:val="single" w:color="000000" w:sz="2" w:space="0"/>
            </w:tcBorders>
            <w:vAlign w:val="center"/>
          </w:tcPr>
          <w:p w14:paraId="1505B187">
            <w:pPr>
              <w:keepNext w:val="0"/>
              <w:keepLines w:val="0"/>
              <w:pageBreakBefore w:val="0"/>
              <w:widowControl/>
              <w:kinsoku w:val="0"/>
              <w:wordWrap/>
              <w:overflowPunct/>
              <w:topLinePunct w:val="0"/>
              <w:autoSpaceDE w:val="0"/>
              <w:autoSpaceDN w:val="0"/>
              <w:bidi w:val="0"/>
              <w:adjustRightInd w:val="0"/>
              <w:snapToGrid w:val="0"/>
              <w:spacing w:line="231" w:lineRule="auto"/>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完成日期</w:t>
            </w:r>
          </w:p>
        </w:tc>
        <w:tc>
          <w:tcPr>
            <w:tcW w:w="1517" w:type="dxa"/>
            <w:tcBorders>
              <w:top w:val="single" w:color="000000" w:sz="2" w:space="0"/>
              <w:bottom w:val="single" w:color="000000" w:sz="2" w:space="0"/>
            </w:tcBorders>
            <w:vAlign w:val="center"/>
          </w:tcPr>
          <w:p w14:paraId="54A28A73">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hint="eastAsia" w:ascii="宋体" w:hAnsi="宋体" w:eastAsia="宋体" w:cs="宋体"/>
                <w:b/>
                <w:bCs/>
                <w:color w:val="auto"/>
                <w:kern w:val="24"/>
                <w:sz w:val="24"/>
                <w:szCs w:val="24"/>
                <w:lang w:val="en-US" w:eastAsia="zh-CN" w:bidi="ar-SA"/>
              </w:rPr>
            </w:pPr>
            <w:r>
              <w:rPr>
                <w:rFonts w:hint="eastAsia" w:ascii="宋体" w:hAnsi="宋体" w:eastAsia="宋体" w:cs="宋体"/>
                <w:b/>
                <w:bCs/>
                <w:color w:val="auto"/>
                <w:kern w:val="24"/>
                <w:sz w:val="24"/>
                <w:szCs w:val="24"/>
                <w:lang w:val="en-US" w:eastAsia="zh-CN" w:bidi="ar-SA"/>
              </w:rPr>
              <w:t>业主联系人及电话</w:t>
            </w:r>
          </w:p>
        </w:tc>
      </w:tr>
      <w:tr w14:paraId="4BB4C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6" w:type="dxa"/>
            <w:tcBorders>
              <w:top w:val="single" w:color="000000" w:sz="2" w:space="0"/>
              <w:bottom w:val="single" w:color="000000" w:sz="2" w:space="0"/>
            </w:tcBorders>
            <w:vAlign w:val="center"/>
          </w:tcPr>
          <w:p w14:paraId="4708B13B">
            <w:pPr>
              <w:keepNext w:val="0"/>
              <w:keepLines w:val="0"/>
              <w:pageBreakBefore w:val="0"/>
              <w:widowControl/>
              <w:kinsoku w:val="0"/>
              <w:wordWrap/>
              <w:overflowPunct/>
              <w:topLinePunct w:val="0"/>
              <w:autoSpaceDE w:val="0"/>
              <w:autoSpaceDN w:val="0"/>
              <w:bidi w:val="0"/>
              <w:adjustRightInd w:val="0"/>
              <w:snapToGrid w:val="0"/>
              <w:spacing w:line="187" w:lineRule="auto"/>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1</w:t>
            </w:r>
          </w:p>
        </w:tc>
        <w:tc>
          <w:tcPr>
            <w:tcW w:w="1064" w:type="dxa"/>
            <w:tcBorders>
              <w:top w:val="single" w:color="000000" w:sz="2" w:space="0"/>
              <w:bottom w:val="single" w:color="000000" w:sz="2" w:space="0"/>
            </w:tcBorders>
            <w:vAlign w:val="center"/>
          </w:tcPr>
          <w:p w14:paraId="63B0F8F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178CE87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3145DFB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2B4C31A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43988C8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3F232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6" w:type="dxa"/>
            <w:tcBorders>
              <w:top w:val="single" w:color="000000" w:sz="2" w:space="0"/>
              <w:bottom w:val="single" w:color="000000" w:sz="2" w:space="0"/>
            </w:tcBorders>
            <w:vAlign w:val="center"/>
          </w:tcPr>
          <w:p w14:paraId="131D6CDA">
            <w:pPr>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2</w:t>
            </w:r>
          </w:p>
        </w:tc>
        <w:tc>
          <w:tcPr>
            <w:tcW w:w="1064" w:type="dxa"/>
            <w:tcBorders>
              <w:top w:val="single" w:color="000000" w:sz="2" w:space="0"/>
              <w:bottom w:val="single" w:color="000000" w:sz="2" w:space="0"/>
            </w:tcBorders>
            <w:vAlign w:val="center"/>
          </w:tcPr>
          <w:p w14:paraId="1D2AE74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558BF4C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3230121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69AB1E4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178F957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55B14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6" w:type="dxa"/>
            <w:tcBorders>
              <w:top w:val="single" w:color="000000" w:sz="2" w:space="0"/>
              <w:bottom w:val="single" w:color="000000" w:sz="2" w:space="0"/>
            </w:tcBorders>
            <w:vAlign w:val="center"/>
          </w:tcPr>
          <w:p w14:paraId="17399CE8">
            <w:pPr>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3</w:t>
            </w:r>
          </w:p>
        </w:tc>
        <w:tc>
          <w:tcPr>
            <w:tcW w:w="1064" w:type="dxa"/>
            <w:tcBorders>
              <w:top w:val="single" w:color="000000" w:sz="2" w:space="0"/>
              <w:bottom w:val="single" w:color="000000" w:sz="2" w:space="0"/>
            </w:tcBorders>
            <w:vAlign w:val="center"/>
          </w:tcPr>
          <w:p w14:paraId="15410E3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092E171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6640404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2EF15E5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438AC7A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01F61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6" w:type="dxa"/>
            <w:tcBorders>
              <w:top w:val="single" w:color="000000" w:sz="2" w:space="0"/>
              <w:bottom w:val="single" w:color="000000" w:sz="2" w:space="0"/>
            </w:tcBorders>
            <w:vAlign w:val="center"/>
          </w:tcPr>
          <w:p w14:paraId="07EF499B">
            <w:pPr>
              <w:keepNext w:val="0"/>
              <w:keepLines w:val="0"/>
              <w:pageBreakBefore w:val="0"/>
              <w:widowControl/>
              <w:kinsoku w:val="0"/>
              <w:wordWrap/>
              <w:overflowPunct/>
              <w:topLinePunct w:val="0"/>
              <w:autoSpaceDE w:val="0"/>
              <w:autoSpaceDN w:val="0"/>
              <w:bidi w:val="0"/>
              <w:adjustRightInd w:val="0"/>
              <w:snapToGrid w:val="0"/>
              <w:spacing w:line="186" w:lineRule="auto"/>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4</w:t>
            </w:r>
          </w:p>
        </w:tc>
        <w:tc>
          <w:tcPr>
            <w:tcW w:w="1064" w:type="dxa"/>
            <w:tcBorders>
              <w:top w:val="single" w:color="000000" w:sz="2" w:space="0"/>
              <w:bottom w:val="single" w:color="000000" w:sz="2" w:space="0"/>
            </w:tcBorders>
            <w:vAlign w:val="center"/>
          </w:tcPr>
          <w:p w14:paraId="1A8C47C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331973E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53D1B98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5669012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2C8C084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33A7B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16" w:type="dxa"/>
            <w:tcBorders>
              <w:top w:val="single" w:color="000000" w:sz="2" w:space="0"/>
              <w:bottom w:val="single" w:color="000000" w:sz="2" w:space="0"/>
            </w:tcBorders>
            <w:vAlign w:val="center"/>
          </w:tcPr>
          <w:p w14:paraId="10C1DEEF">
            <w:pPr>
              <w:keepNext w:val="0"/>
              <w:keepLines w:val="0"/>
              <w:pageBreakBefore w:val="0"/>
              <w:widowControl/>
              <w:kinsoku w:val="0"/>
              <w:wordWrap/>
              <w:overflowPunct/>
              <w:topLinePunct w:val="0"/>
              <w:autoSpaceDE w:val="0"/>
              <w:autoSpaceDN w:val="0"/>
              <w:bidi w:val="0"/>
              <w:adjustRightInd w:val="0"/>
              <w:snapToGrid w:val="0"/>
              <w:spacing w:line="184" w:lineRule="auto"/>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5</w:t>
            </w:r>
          </w:p>
        </w:tc>
        <w:tc>
          <w:tcPr>
            <w:tcW w:w="1064" w:type="dxa"/>
            <w:tcBorders>
              <w:top w:val="single" w:color="000000" w:sz="2" w:space="0"/>
              <w:bottom w:val="single" w:color="000000" w:sz="2" w:space="0"/>
            </w:tcBorders>
            <w:vAlign w:val="center"/>
          </w:tcPr>
          <w:p w14:paraId="6810F8A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008E856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05D7B4F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2397960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4EC1A12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0DF52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16" w:type="dxa"/>
            <w:tcBorders>
              <w:top w:val="single" w:color="000000" w:sz="2" w:space="0"/>
              <w:bottom w:val="single" w:color="000000" w:sz="2" w:space="0"/>
            </w:tcBorders>
            <w:vAlign w:val="center"/>
          </w:tcPr>
          <w:p w14:paraId="25FC1107">
            <w:pPr>
              <w:keepNext w:val="0"/>
              <w:keepLines w:val="0"/>
              <w:pageBreakBefore w:val="0"/>
              <w:widowControl/>
              <w:kinsoku w:val="0"/>
              <w:wordWrap/>
              <w:overflowPunct/>
              <w:topLinePunct w:val="0"/>
              <w:autoSpaceDE w:val="0"/>
              <w:autoSpaceDN w:val="0"/>
              <w:bidi w:val="0"/>
              <w:adjustRightInd w:val="0"/>
              <w:snapToGrid w:val="0"/>
              <w:spacing w:line="377" w:lineRule="exact"/>
              <w:ind w:left="0"/>
              <w:jc w:val="center"/>
              <w:textAlignment w:val="baseline"/>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w:t>
            </w:r>
          </w:p>
        </w:tc>
        <w:tc>
          <w:tcPr>
            <w:tcW w:w="1064" w:type="dxa"/>
            <w:tcBorders>
              <w:top w:val="single" w:color="000000" w:sz="2" w:space="0"/>
              <w:bottom w:val="single" w:color="000000" w:sz="2" w:space="0"/>
            </w:tcBorders>
            <w:vAlign w:val="center"/>
          </w:tcPr>
          <w:p w14:paraId="384EEBE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5341AC7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0BCE5A9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6396D0D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703588C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36D9E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16" w:type="dxa"/>
            <w:tcBorders>
              <w:top w:val="single" w:color="000000" w:sz="2" w:space="0"/>
              <w:bottom w:val="single" w:color="000000" w:sz="2" w:space="0"/>
            </w:tcBorders>
            <w:vAlign w:val="center"/>
          </w:tcPr>
          <w:p w14:paraId="3EFAA95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064" w:type="dxa"/>
            <w:tcBorders>
              <w:top w:val="single" w:color="000000" w:sz="2" w:space="0"/>
              <w:bottom w:val="single" w:color="000000" w:sz="2" w:space="0"/>
            </w:tcBorders>
            <w:vAlign w:val="center"/>
          </w:tcPr>
          <w:p w14:paraId="1EB4B18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72CE697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4DAE1A6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0F74449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0B7BF17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6BBD0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616" w:type="dxa"/>
            <w:tcBorders>
              <w:top w:val="single" w:color="000000" w:sz="2" w:space="0"/>
              <w:bottom w:val="single" w:color="000000" w:sz="2" w:space="0"/>
            </w:tcBorders>
            <w:vAlign w:val="center"/>
          </w:tcPr>
          <w:p w14:paraId="689527F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064" w:type="dxa"/>
            <w:tcBorders>
              <w:top w:val="single" w:color="000000" w:sz="2" w:space="0"/>
              <w:bottom w:val="single" w:color="000000" w:sz="2" w:space="0"/>
            </w:tcBorders>
            <w:vAlign w:val="center"/>
          </w:tcPr>
          <w:p w14:paraId="330ADE6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3120465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5F9E7AB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2271E38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050AD43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r w14:paraId="6F271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7" w:hRule="atLeast"/>
        </w:trPr>
        <w:tc>
          <w:tcPr>
            <w:tcW w:w="616" w:type="dxa"/>
            <w:tcBorders>
              <w:top w:val="single" w:color="000000" w:sz="2" w:space="0"/>
              <w:bottom w:val="single" w:color="000000" w:sz="2" w:space="0"/>
            </w:tcBorders>
            <w:vAlign w:val="center"/>
          </w:tcPr>
          <w:p w14:paraId="7BE1B72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064" w:type="dxa"/>
            <w:tcBorders>
              <w:top w:val="single" w:color="000000" w:sz="2" w:space="0"/>
              <w:bottom w:val="single" w:color="000000" w:sz="2" w:space="0"/>
            </w:tcBorders>
            <w:vAlign w:val="center"/>
          </w:tcPr>
          <w:p w14:paraId="509081E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412" w:type="dxa"/>
            <w:tcBorders>
              <w:top w:val="single" w:color="000000" w:sz="2" w:space="0"/>
              <w:bottom w:val="single" w:color="000000" w:sz="2" w:space="0"/>
            </w:tcBorders>
            <w:vAlign w:val="center"/>
          </w:tcPr>
          <w:p w14:paraId="74491041">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2278" w:type="dxa"/>
            <w:tcBorders>
              <w:top w:val="single" w:color="000000" w:sz="2" w:space="0"/>
              <w:bottom w:val="single" w:color="000000" w:sz="2" w:space="0"/>
            </w:tcBorders>
            <w:vAlign w:val="center"/>
          </w:tcPr>
          <w:p w14:paraId="201C820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965" w:type="dxa"/>
            <w:tcBorders>
              <w:top w:val="single" w:color="000000" w:sz="2" w:space="0"/>
              <w:bottom w:val="single" w:color="000000" w:sz="2" w:space="0"/>
            </w:tcBorders>
            <w:vAlign w:val="center"/>
          </w:tcPr>
          <w:p w14:paraId="4E46DFC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c>
          <w:tcPr>
            <w:tcW w:w="1517" w:type="dxa"/>
            <w:tcBorders>
              <w:top w:val="single" w:color="000000" w:sz="2" w:space="0"/>
              <w:bottom w:val="single" w:color="000000" w:sz="2" w:space="0"/>
            </w:tcBorders>
            <w:vAlign w:val="center"/>
          </w:tcPr>
          <w:p w14:paraId="1D4BEA0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color w:val="auto"/>
                <w:kern w:val="24"/>
                <w:sz w:val="24"/>
                <w:szCs w:val="24"/>
                <w:lang w:val="en-US" w:eastAsia="zh-CN" w:bidi="ar-SA"/>
              </w:rPr>
            </w:pPr>
          </w:p>
        </w:tc>
      </w:tr>
    </w:tbl>
    <w:p w14:paraId="08647D8F">
      <w:pPr>
        <w:pStyle w:val="89"/>
        <w:spacing w:line="360" w:lineRule="auto"/>
        <w:ind w:firstLine="480"/>
        <w:rPr>
          <w:rFonts w:hint="eastAsia" w:ascii="宋体" w:hAnsi="宋体" w:eastAsia="宋体" w:cs="宋体"/>
          <w:color w:val="auto"/>
          <w:lang w:eastAsia="zh-CN"/>
        </w:rPr>
      </w:pPr>
    </w:p>
    <w:p w14:paraId="709D2D1F">
      <w:pPr>
        <w:pStyle w:val="89"/>
        <w:spacing w:line="360" w:lineRule="auto"/>
        <w:ind w:firstLine="480"/>
        <w:rPr>
          <w:rFonts w:hint="eastAsia" w:ascii="宋体" w:hAnsi="宋体" w:eastAsia="宋体" w:cs="宋体"/>
          <w:color w:val="auto"/>
          <w:lang w:eastAsia="zh-CN"/>
        </w:rPr>
      </w:pPr>
      <w:r>
        <w:rPr>
          <w:rFonts w:hint="eastAsia" w:ascii="宋体" w:hAnsi="宋体" w:eastAsia="宋体" w:cs="宋体"/>
          <w:color w:val="auto"/>
          <w:lang w:eastAsia="zh-CN"/>
        </w:rPr>
        <w:t>注：1.</w:t>
      </w:r>
      <w:r>
        <w:rPr>
          <w:rFonts w:hint="eastAsia" w:ascii="宋体" w:hAnsi="宋体" w:eastAsia="宋体" w:cs="宋体"/>
          <w:color w:val="auto"/>
          <w:lang w:val="en-US" w:eastAsia="zh-CN"/>
        </w:rPr>
        <w:t>投标人</w:t>
      </w:r>
      <w:r>
        <w:rPr>
          <w:rFonts w:hint="eastAsia" w:ascii="宋体" w:hAnsi="宋体" w:eastAsia="宋体" w:cs="宋体"/>
          <w:color w:val="auto"/>
          <w:lang w:eastAsia="zh-CN"/>
        </w:rPr>
        <w:t>如实列出以上情况，如有隐瞒，一经查实将导致其报价申请被拒绝。</w:t>
      </w:r>
    </w:p>
    <w:p w14:paraId="010B821A">
      <w:pPr>
        <w:pStyle w:val="89"/>
        <w:spacing w:line="360" w:lineRule="auto"/>
        <w:ind w:firstLine="480"/>
        <w:rPr>
          <w:rFonts w:hint="eastAsia" w:ascii="宋体" w:hAnsi="宋体" w:eastAsia="宋体" w:cs="宋体"/>
          <w:color w:val="7030A0"/>
        </w:rPr>
      </w:pPr>
      <w:r>
        <w:rPr>
          <w:rFonts w:hint="eastAsia" w:ascii="宋体" w:hAnsi="宋体" w:eastAsia="宋体" w:cs="宋体"/>
          <w:color w:val="auto"/>
          <w:lang w:eastAsia="zh-CN"/>
        </w:rPr>
        <w:t>2.</w:t>
      </w:r>
      <w:r>
        <w:rPr>
          <w:rFonts w:hint="eastAsia" w:ascii="宋体" w:hAnsi="宋体" w:eastAsia="宋体" w:cs="宋体"/>
          <w:color w:val="auto"/>
          <w:lang w:val="en-US" w:eastAsia="zh-CN"/>
        </w:rPr>
        <w:t>投标人</w:t>
      </w:r>
      <w:r>
        <w:rPr>
          <w:rFonts w:hint="eastAsia" w:ascii="宋体" w:hAnsi="宋体" w:eastAsia="宋体" w:cs="宋体"/>
          <w:color w:val="auto"/>
          <w:lang w:eastAsia="zh-CN"/>
        </w:rPr>
        <w:t>应提供双方签订的合同</w:t>
      </w:r>
      <w:r>
        <w:rPr>
          <w:rFonts w:hint="eastAsia" w:ascii="宋体" w:hAnsi="宋体" w:cs="宋体"/>
          <w:color w:val="auto"/>
          <w:lang w:eastAsia="zh-CN"/>
        </w:rPr>
        <w:t>（</w:t>
      </w:r>
      <w:r>
        <w:rPr>
          <w:rFonts w:hint="eastAsia" w:ascii="宋体" w:hAnsi="宋体" w:eastAsia="宋体" w:cs="宋体"/>
          <w:color w:val="auto"/>
          <w:lang w:eastAsia="zh-CN"/>
        </w:rPr>
        <w:t>合同复印件加盖公章装订在投标文件中</w:t>
      </w:r>
      <w:r>
        <w:rPr>
          <w:rFonts w:hint="eastAsia" w:ascii="宋体" w:hAnsi="宋体" w:cs="宋体"/>
          <w:color w:val="auto"/>
          <w:lang w:eastAsia="zh-CN"/>
        </w:rPr>
        <w:t>）</w:t>
      </w:r>
      <w:r>
        <w:rPr>
          <w:rFonts w:hint="eastAsia" w:ascii="宋体" w:hAnsi="宋体" w:eastAsia="宋体" w:cs="宋体"/>
          <w:color w:val="auto"/>
          <w:lang w:eastAsia="zh-CN"/>
        </w:rPr>
        <w:t>。</w:t>
      </w:r>
    </w:p>
    <w:p w14:paraId="0CD6F29E">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p>
    <w:p w14:paraId="655242D7">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投标人（公章）：</w:t>
      </w:r>
    </w:p>
    <w:p w14:paraId="146AD85D">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法定代表人（签字或盖章）：</w:t>
      </w:r>
    </w:p>
    <w:p w14:paraId="03B3962A">
      <w:pPr>
        <w:wordWrap/>
        <w:spacing w:line="360" w:lineRule="auto"/>
        <w:ind w:firstLine="480" w:firstLineChars="200"/>
        <w:jc w:val="both"/>
        <w:rPr>
          <w:rFonts w:hint="eastAsia" w:ascii="宋体" w:hAnsi="宋体" w:eastAsia="宋体" w:cs="宋体"/>
          <w:color w:val="auto"/>
          <w:kern w:val="24"/>
          <w:sz w:val="24"/>
          <w:szCs w:val="24"/>
          <w:lang w:val="en-US" w:eastAsia="zh-CN" w:bidi="ar-SA"/>
        </w:rPr>
      </w:pPr>
      <w:r>
        <w:rPr>
          <w:rFonts w:hint="eastAsia" w:ascii="宋体" w:hAnsi="宋体" w:eastAsia="宋体" w:cs="宋体"/>
          <w:color w:val="auto"/>
          <w:kern w:val="24"/>
          <w:sz w:val="24"/>
          <w:szCs w:val="24"/>
          <w:lang w:val="en-US" w:eastAsia="zh-CN" w:bidi="ar-SA"/>
        </w:rPr>
        <w:t>日    期：</w:t>
      </w:r>
    </w:p>
    <w:p w14:paraId="3939BA56">
      <w:pPr>
        <w:wordWrap/>
        <w:spacing w:line="360" w:lineRule="auto"/>
        <w:ind w:firstLine="480" w:firstLineChars="200"/>
        <w:jc w:val="both"/>
        <w:rPr>
          <w:rFonts w:hint="eastAsia" w:ascii="宋体" w:hAnsi="宋体" w:eastAsia="宋体" w:cs="宋体"/>
          <w:bCs/>
          <w:color w:val="auto"/>
          <w:kern w:val="24"/>
          <w:sz w:val="24"/>
          <w:szCs w:val="24"/>
          <w:lang w:val="en-US" w:eastAsia="zh-CN" w:bidi="ar-SA"/>
        </w:rPr>
      </w:pPr>
    </w:p>
    <w:p w14:paraId="61143711">
      <w:pPr>
        <w:pStyle w:val="89"/>
        <w:spacing w:line="360" w:lineRule="auto"/>
        <w:ind w:firstLine="0" w:firstLineChars="0"/>
        <w:rPr>
          <w:rFonts w:hint="eastAsia" w:ascii="宋体" w:hAnsi="宋体" w:eastAsia="宋体" w:cs="宋体"/>
          <w:color w:val="7030A0"/>
        </w:rPr>
      </w:pPr>
    </w:p>
    <w:p w14:paraId="101C2A1E">
      <w:pPr>
        <w:spacing w:before="210" w:beforeLines="50" w:line="360" w:lineRule="auto"/>
        <w:rPr>
          <w:rFonts w:hint="eastAsia" w:ascii="宋体" w:hAnsi="宋体" w:eastAsia="宋体" w:cs="宋体"/>
          <w:b/>
        </w:rPr>
      </w:pPr>
      <w:r>
        <w:rPr>
          <w:rFonts w:hint="eastAsia" w:ascii="宋体" w:hAnsi="宋体" w:eastAsia="宋体" w:cs="宋体"/>
          <w:b/>
        </w:rPr>
        <w:t>4.其他（根据招标文件要求自行补充）</w:t>
      </w:r>
    </w:p>
    <w:p w14:paraId="19BEB870">
      <w:pPr>
        <w:pStyle w:val="89"/>
        <w:spacing w:line="360" w:lineRule="auto"/>
        <w:ind w:firstLine="0" w:firstLineChars="0"/>
        <w:rPr>
          <w:rFonts w:hint="eastAsia" w:ascii="宋体" w:hAnsi="宋体" w:eastAsia="宋体" w:cs="宋体"/>
          <w:color w:val="auto"/>
        </w:rPr>
      </w:pPr>
    </w:p>
    <w:p w14:paraId="58F45811">
      <w:pPr>
        <w:pStyle w:val="89"/>
        <w:spacing w:line="360" w:lineRule="auto"/>
        <w:ind w:firstLine="0" w:firstLineChars="0"/>
        <w:rPr>
          <w:rFonts w:hint="eastAsia" w:ascii="宋体" w:hAnsi="宋体" w:eastAsia="宋体" w:cs="宋体"/>
          <w:color w:val="auto"/>
        </w:rPr>
      </w:pPr>
    </w:p>
    <w:sectPr>
      <w:pgSz w:w="11906" w:h="16838"/>
      <w:pgMar w:top="1418" w:right="1304" w:bottom="1418" w:left="1701" w:header="851" w:footer="992" w:gutter="0"/>
      <w:pgBorders>
        <w:top w:val="none" w:sz="0" w:space="0"/>
        <w:left w:val="none" w:sz="0" w:space="0"/>
        <w:bottom w:val="none" w:sz="0" w:space="0"/>
        <w:right w:val="none" w:sz="0" w:space="0"/>
      </w:pgBorders>
      <w:pgNumType w:fmt="decimal"/>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5AAFE">
    <w:pPr>
      <w:pStyle w:val="23"/>
      <w:tabs>
        <w:tab w:val="center" w:pos="4320"/>
        <w:tab w:val="right" w:pos="890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F6DD4">
    <w:pPr>
      <w:pStyle w:val="23"/>
      <w:tabs>
        <w:tab w:val="center" w:pos="4320"/>
        <w:tab w:val="clear" w:pos="4153"/>
        <w:tab w:val="clear" w:pos="8306"/>
      </w:tabs>
    </w:pPr>
    <w:r>
      <w:rPr>
        <w:rFonts w:hint="eastAsia"/>
      </w:rPr>
      <w:t>〈政府采购代理机构〉</w:t>
    </w:r>
    <w:r>
      <w:rPr>
        <w:rFonts w:hint="eastAsia"/>
      </w:rPr>
      <w:tab/>
    </w:r>
    <w:r>
      <w:rPr>
        <w:rFonts w:hint="eastAsia"/>
      </w:rPr>
      <w:t>第</w:t>
    </w:r>
    <w:r>
      <w:fldChar w:fldCharType="begin"/>
    </w:r>
    <w:r>
      <w:instrText xml:space="preserve">PAGE   \* MERGEFORMAT</w:instrText>
    </w:r>
    <w:r>
      <w:fldChar w:fldCharType="separate"/>
    </w:r>
    <w:r>
      <w:rPr>
        <w:lang w:val="zh-CN"/>
      </w:rPr>
      <w:t>22</w:t>
    </w:r>
    <w:r>
      <w:fldChar w:fldCharType="end"/>
    </w:r>
    <w:r>
      <w:rPr>
        <w:rFonts w:hint="eastAsia"/>
      </w:rPr>
      <w:t>页　共</w:t>
    </w:r>
    <w:r>
      <w:fldChar w:fldCharType="begin"/>
    </w:r>
    <w:r>
      <w:instrText xml:space="preserve">=</w:instrText>
    </w:r>
    <w:r>
      <w:fldChar w:fldCharType="begin"/>
    </w:r>
    <w:r>
      <w:instrText xml:space="preserve"> NUMPAGES</w:instrText>
    </w:r>
    <w:r>
      <w:fldChar w:fldCharType="separate"/>
    </w:r>
    <w:r>
      <w:instrText xml:space="preserve">60</w:instrText>
    </w:r>
    <w:r>
      <w:fldChar w:fldCharType="end"/>
    </w:r>
    <w:r>
      <w:instrText xml:space="preserve">-2</w:instrText>
    </w:r>
    <w:r>
      <w:fldChar w:fldCharType="separate"/>
    </w:r>
    <w:r>
      <w:t>58</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342BA">
    <w:pPr>
      <w:pStyle w:val="23"/>
      <w:tabs>
        <w:tab w:val="center" w:pos="4320"/>
        <w:tab w:val="right" w:pos="8900"/>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761E8">
    <w:pPr>
      <w:pStyle w:val="23"/>
      <w:tabs>
        <w:tab w:val="center" w:pos="4320"/>
        <w:tab w:val="right" w:pos="8900"/>
        <w:tab w:val="clear" w:pos="4153"/>
        <w:tab w:val="clear" w:pos="8306"/>
      </w:tabs>
      <w:jc w:val="center"/>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CFCAE">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BCFCAE">
                    <w:pPr>
                      <w:pStyle w:val="2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22150">
    <w:pPr>
      <w:snapToGrid w:val="0"/>
      <w:spacing w:line="240" w:lineRule="atLeast"/>
      <w:jc w:val="both"/>
      <w:rPr>
        <w:rFonts w:ascii="Calibri Light" w:hAnsi="Calibri Light" w:eastAsia="华文仿宋" w:cstheme="minorBidi"/>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87FDD">
                          <w:pPr>
                            <w:pStyle w:val="23"/>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8087FDD">
                    <w:pPr>
                      <w:pStyle w:val="23"/>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3E65A">
    <w:pPr>
      <w:pStyle w:val="24"/>
      <w:pBdr>
        <w:bottom w:val="none" w:color="auto" w:sz="0" w:space="1"/>
      </w:pBdr>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3CCAB">
    <w:pPr>
      <w:pStyle w:val="24"/>
      <w:pBdr>
        <w:bottom w:val="single" w:color="auto" w:sz="4" w:space="1"/>
      </w:pBdr>
      <w:jc w:val="right"/>
    </w:pPr>
    <w:r>
      <w:rPr>
        <w:rFonts w:hint="eastAsia"/>
      </w:rPr>
      <w:t>〈项目名称〉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E3A62">
    <w:pPr>
      <w:pStyle w:val="24"/>
      <w:pBdr>
        <w:bottom w:val="single" w:color="auto" w:sz="4" w:space="1"/>
      </w:pBdr>
      <w:rPr>
        <w:rFonts w:hint="default" w:eastAsiaTheme="minorEastAsia"/>
        <w:lang w:val="en-US" w:eastAsia="zh-CN"/>
      </w:rPr>
    </w:pPr>
    <w:r>
      <w:rPr>
        <w:rFonts w:hint="eastAsia"/>
        <w:lang w:val="en-US" w:eastAsia="zh-CN"/>
      </w:rPr>
      <w:t>经开区2025年直属公办中小学、幼儿园设施设备采购项目（标准化考场）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345CB">
    <w:pPr>
      <w:pStyle w:val="24"/>
      <w:pBdr>
        <w:bottom w:val="single" w:color="auto" w:sz="4" w:space="1"/>
      </w:pBdr>
      <w:rPr>
        <w:rFonts w:hint="default" w:eastAsiaTheme="minorEastAsia"/>
        <w:lang w:val="en-US" w:eastAsia="zh-CN"/>
      </w:rPr>
    </w:pPr>
    <w:r>
      <w:rPr>
        <w:rFonts w:hint="eastAsia"/>
        <w:lang w:eastAsia="zh-CN"/>
      </w:rPr>
      <w:t>经开区2025年直属公办中小学、幼儿园设施设备采购项目（标准化考场）</w:t>
    </w:r>
    <w:r>
      <w:rPr>
        <w:rFonts w:hint="eastAsia"/>
        <w:lang w:val="en-US" w:eastAsia="zh-CN"/>
      </w:rPr>
      <w:t xml:space="preserve">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0B0D">
    <w:pPr>
      <w:pStyle w:val="24"/>
      <w:pBdr>
        <w:bottom w:val="single" w:color="auto" w:sz="4" w:space="1"/>
      </w:pBdr>
      <w:rPr>
        <w:rFonts w:hint="default" w:eastAsiaTheme="minorEastAsia"/>
        <w:lang w:val="en-US" w:eastAsia="zh-CN"/>
      </w:rPr>
    </w:pPr>
    <w:r>
      <w:rPr>
        <w:rFonts w:hint="eastAsia"/>
        <w:lang w:eastAsia="zh-CN"/>
      </w:rPr>
      <w:t>经开区2025年直属公办中小学、幼儿园设施设备采购项目（标准化考场）</w:t>
    </w:r>
    <w:r>
      <w:rPr>
        <w:rFonts w:hint="eastAsia"/>
        <w:lang w:val="en-US" w:eastAsia="zh-CN"/>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F2F9F"/>
    <w:multiLevelType w:val="multilevel"/>
    <w:tmpl w:val="05BF2F9F"/>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464B7C"/>
    <w:multiLevelType w:val="multilevel"/>
    <w:tmpl w:val="19464B7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560109D"/>
    <w:multiLevelType w:val="multilevel"/>
    <w:tmpl w:val="2560109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5">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4132C2"/>
    <w:multiLevelType w:val="multilevel"/>
    <w:tmpl w:val="6D4132C2"/>
    <w:lvl w:ilvl="0" w:tentative="0">
      <w:start w:val="1"/>
      <w:numFmt w:val="none"/>
      <w:pStyle w:val="3"/>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pStyle w:val="4"/>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pStyle w:val="7"/>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8"/>
      <w:lvlText w:val="%1.%2.%3.%4"/>
      <w:lvlJc w:val="left"/>
      <w:pPr>
        <w:ind w:left="864" w:hanging="864"/>
      </w:pPr>
      <w:rPr>
        <w:rFonts w:hint="eastAsia"/>
      </w:rPr>
    </w:lvl>
    <w:lvl w:ilvl="4" w:tentative="0">
      <w:start w:val="1"/>
      <w:numFmt w:val="decimal"/>
      <w:pStyle w:val="9"/>
      <w:lvlText w:val="%1.%2.%3.%4.%5"/>
      <w:lvlJc w:val="left"/>
      <w:pPr>
        <w:ind w:left="1008" w:hanging="1008"/>
      </w:pPr>
      <w:rPr>
        <w:rFonts w:hint="eastAsia"/>
      </w:rPr>
    </w:lvl>
    <w:lvl w:ilvl="5" w:tentative="0">
      <w:start w:val="1"/>
      <w:numFmt w:val="decimal"/>
      <w:pStyle w:val="10"/>
      <w:lvlText w:val="%1.%2.%3.%4.%5.%6"/>
      <w:lvlJc w:val="left"/>
      <w:pPr>
        <w:ind w:left="1152" w:hanging="1152"/>
      </w:pPr>
      <w:rPr>
        <w:rFonts w:hint="eastAsia"/>
      </w:rPr>
    </w:lvl>
    <w:lvl w:ilvl="6" w:tentative="0">
      <w:start w:val="1"/>
      <w:numFmt w:val="decimal"/>
      <w:pStyle w:val="11"/>
      <w:lvlText w:val="%1.%2.%3.%4.%5.%6.%7"/>
      <w:lvlJc w:val="left"/>
      <w:pPr>
        <w:ind w:left="1296" w:hanging="1296"/>
      </w:pPr>
      <w:rPr>
        <w:rFonts w:hint="eastAsia"/>
      </w:rPr>
    </w:lvl>
    <w:lvl w:ilvl="7" w:tentative="0">
      <w:start w:val="1"/>
      <w:numFmt w:val="decimal"/>
      <w:pStyle w:val="12"/>
      <w:lvlText w:val="%1.%2.%3.%4.%5.%6.%7.%8"/>
      <w:lvlJc w:val="left"/>
      <w:pPr>
        <w:ind w:left="1440" w:hanging="1440"/>
      </w:pPr>
      <w:rPr>
        <w:rFonts w:hint="eastAsia"/>
      </w:rPr>
    </w:lvl>
    <w:lvl w:ilvl="8" w:tentative="0">
      <w:start w:val="1"/>
      <w:numFmt w:val="decimal"/>
      <w:pStyle w:val="13"/>
      <w:lvlText w:val="%1.%2.%3.%4.%5.%6.%7.%8.%9"/>
      <w:lvlJc w:val="left"/>
      <w:pPr>
        <w:ind w:left="1584" w:hanging="1584"/>
      </w:pPr>
      <w:rPr>
        <w:rFonts w:hint="eastAsia"/>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0ZGIzYmI2OWViZTMxZTU3NzUxZjAzNDk3YTI1NDQifQ=="/>
  </w:docVars>
  <w:rsids>
    <w:rsidRoot w:val="00172A27"/>
    <w:rsid w:val="0000159C"/>
    <w:rsid w:val="000019FA"/>
    <w:rsid w:val="00002BB3"/>
    <w:rsid w:val="00003F53"/>
    <w:rsid w:val="00004F9A"/>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83"/>
    <w:rsid w:val="000A2B11"/>
    <w:rsid w:val="000A7A6A"/>
    <w:rsid w:val="000B5741"/>
    <w:rsid w:val="000B5ACF"/>
    <w:rsid w:val="000B6645"/>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32FE"/>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124D"/>
    <w:rsid w:val="004017C8"/>
    <w:rsid w:val="0040181A"/>
    <w:rsid w:val="004024C2"/>
    <w:rsid w:val="00405285"/>
    <w:rsid w:val="004068A7"/>
    <w:rsid w:val="00406C11"/>
    <w:rsid w:val="00407BBB"/>
    <w:rsid w:val="004106B2"/>
    <w:rsid w:val="00412CBC"/>
    <w:rsid w:val="00414D38"/>
    <w:rsid w:val="004155E3"/>
    <w:rsid w:val="004156E2"/>
    <w:rsid w:val="00415AB5"/>
    <w:rsid w:val="00416478"/>
    <w:rsid w:val="00420875"/>
    <w:rsid w:val="0042388D"/>
    <w:rsid w:val="00425038"/>
    <w:rsid w:val="0042688F"/>
    <w:rsid w:val="00427ABD"/>
    <w:rsid w:val="004317AB"/>
    <w:rsid w:val="00431DBF"/>
    <w:rsid w:val="00433512"/>
    <w:rsid w:val="0043432D"/>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14B1"/>
    <w:rsid w:val="005220F8"/>
    <w:rsid w:val="00522932"/>
    <w:rsid w:val="0052539A"/>
    <w:rsid w:val="005309DD"/>
    <w:rsid w:val="005330CB"/>
    <w:rsid w:val="0053320F"/>
    <w:rsid w:val="005340C0"/>
    <w:rsid w:val="00534E48"/>
    <w:rsid w:val="00535F18"/>
    <w:rsid w:val="00537136"/>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B5B"/>
    <w:rsid w:val="005F6909"/>
    <w:rsid w:val="005F6C88"/>
    <w:rsid w:val="0060005D"/>
    <w:rsid w:val="006022C0"/>
    <w:rsid w:val="00602E42"/>
    <w:rsid w:val="0060343F"/>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6BF4"/>
    <w:rsid w:val="00637FE9"/>
    <w:rsid w:val="00642CB1"/>
    <w:rsid w:val="006431A9"/>
    <w:rsid w:val="006460E3"/>
    <w:rsid w:val="006466DF"/>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B24"/>
    <w:rsid w:val="006870E8"/>
    <w:rsid w:val="00690BC5"/>
    <w:rsid w:val="00690C8E"/>
    <w:rsid w:val="00691341"/>
    <w:rsid w:val="006933DD"/>
    <w:rsid w:val="0069471D"/>
    <w:rsid w:val="00695670"/>
    <w:rsid w:val="00695E20"/>
    <w:rsid w:val="006970EF"/>
    <w:rsid w:val="006A2D90"/>
    <w:rsid w:val="006A3BA0"/>
    <w:rsid w:val="006A4EC6"/>
    <w:rsid w:val="006A6B87"/>
    <w:rsid w:val="006A6DF3"/>
    <w:rsid w:val="006A7769"/>
    <w:rsid w:val="006B20D5"/>
    <w:rsid w:val="006B34F6"/>
    <w:rsid w:val="006B4952"/>
    <w:rsid w:val="006B5EA1"/>
    <w:rsid w:val="006B62C2"/>
    <w:rsid w:val="006B6316"/>
    <w:rsid w:val="006B6C2F"/>
    <w:rsid w:val="006B7F10"/>
    <w:rsid w:val="006C042B"/>
    <w:rsid w:val="006C2543"/>
    <w:rsid w:val="006C2A45"/>
    <w:rsid w:val="006C4042"/>
    <w:rsid w:val="006C6C85"/>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1B3"/>
    <w:rsid w:val="00717B21"/>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5F41"/>
    <w:rsid w:val="007E6CF2"/>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36066"/>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3D6E"/>
    <w:rsid w:val="00C5558A"/>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3DB6"/>
    <w:rsid w:val="00D242FC"/>
    <w:rsid w:val="00D24F90"/>
    <w:rsid w:val="00D26400"/>
    <w:rsid w:val="00D264F9"/>
    <w:rsid w:val="00D31768"/>
    <w:rsid w:val="00D35E6A"/>
    <w:rsid w:val="00D361F7"/>
    <w:rsid w:val="00D37A4D"/>
    <w:rsid w:val="00D37BDA"/>
    <w:rsid w:val="00D41D8D"/>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32F8"/>
    <w:rsid w:val="00E33659"/>
    <w:rsid w:val="00E40872"/>
    <w:rsid w:val="00E41594"/>
    <w:rsid w:val="00E4296F"/>
    <w:rsid w:val="00E46A08"/>
    <w:rsid w:val="00E47BE1"/>
    <w:rsid w:val="00E518FB"/>
    <w:rsid w:val="00E56FE8"/>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7A4C"/>
    <w:rsid w:val="00EC0DD8"/>
    <w:rsid w:val="00EC2A66"/>
    <w:rsid w:val="00EC3672"/>
    <w:rsid w:val="00EC44FF"/>
    <w:rsid w:val="00ED0960"/>
    <w:rsid w:val="00ED3782"/>
    <w:rsid w:val="00ED56C1"/>
    <w:rsid w:val="00ED7D80"/>
    <w:rsid w:val="00EE1F49"/>
    <w:rsid w:val="00EE1F87"/>
    <w:rsid w:val="00EE3720"/>
    <w:rsid w:val="00EE3F92"/>
    <w:rsid w:val="00EE6C63"/>
    <w:rsid w:val="00EE7634"/>
    <w:rsid w:val="00EF271D"/>
    <w:rsid w:val="00EF4228"/>
    <w:rsid w:val="00EF473E"/>
    <w:rsid w:val="00EF4DC8"/>
    <w:rsid w:val="00EF659E"/>
    <w:rsid w:val="00EF6A13"/>
    <w:rsid w:val="00F01751"/>
    <w:rsid w:val="00F02CF2"/>
    <w:rsid w:val="00F0385A"/>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C8D"/>
    <w:rsid w:val="00F931AD"/>
    <w:rsid w:val="00F95FE5"/>
    <w:rsid w:val="00F9741A"/>
    <w:rsid w:val="00FA18B4"/>
    <w:rsid w:val="00FA1F53"/>
    <w:rsid w:val="00FA2095"/>
    <w:rsid w:val="00FA244D"/>
    <w:rsid w:val="00FA4BD4"/>
    <w:rsid w:val="00FA7224"/>
    <w:rsid w:val="00FB1215"/>
    <w:rsid w:val="00FB3D8E"/>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884"/>
    <w:rsid w:val="00FE3FCF"/>
    <w:rsid w:val="00FF2E19"/>
    <w:rsid w:val="00FF756F"/>
    <w:rsid w:val="011B56DE"/>
    <w:rsid w:val="01487061"/>
    <w:rsid w:val="01671BDD"/>
    <w:rsid w:val="016D4D19"/>
    <w:rsid w:val="01803E3A"/>
    <w:rsid w:val="0197715F"/>
    <w:rsid w:val="023A4BFB"/>
    <w:rsid w:val="023F0298"/>
    <w:rsid w:val="029F4436"/>
    <w:rsid w:val="02BE2C9D"/>
    <w:rsid w:val="02D908B8"/>
    <w:rsid w:val="02DA63DE"/>
    <w:rsid w:val="030719DC"/>
    <w:rsid w:val="034D095E"/>
    <w:rsid w:val="03675AE6"/>
    <w:rsid w:val="037A5036"/>
    <w:rsid w:val="03830824"/>
    <w:rsid w:val="038D16A3"/>
    <w:rsid w:val="03BB4BA1"/>
    <w:rsid w:val="04163446"/>
    <w:rsid w:val="04483841"/>
    <w:rsid w:val="0449381C"/>
    <w:rsid w:val="044F0706"/>
    <w:rsid w:val="04546CDD"/>
    <w:rsid w:val="0465519A"/>
    <w:rsid w:val="048B7990"/>
    <w:rsid w:val="04AE5D05"/>
    <w:rsid w:val="050B501A"/>
    <w:rsid w:val="05106822"/>
    <w:rsid w:val="05832D5D"/>
    <w:rsid w:val="05917228"/>
    <w:rsid w:val="05A36F5B"/>
    <w:rsid w:val="05F6217C"/>
    <w:rsid w:val="062956B3"/>
    <w:rsid w:val="06597B57"/>
    <w:rsid w:val="069150D4"/>
    <w:rsid w:val="06933381"/>
    <w:rsid w:val="06B55198"/>
    <w:rsid w:val="06C268FD"/>
    <w:rsid w:val="072460FC"/>
    <w:rsid w:val="072D2F81"/>
    <w:rsid w:val="07612C2A"/>
    <w:rsid w:val="07804F2E"/>
    <w:rsid w:val="07906BB2"/>
    <w:rsid w:val="07EF5F99"/>
    <w:rsid w:val="080C528C"/>
    <w:rsid w:val="080F684B"/>
    <w:rsid w:val="082344C1"/>
    <w:rsid w:val="08326375"/>
    <w:rsid w:val="086230FE"/>
    <w:rsid w:val="08986B20"/>
    <w:rsid w:val="08A02452"/>
    <w:rsid w:val="08DF5AD4"/>
    <w:rsid w:val="08E21B49"/>
    <w:rsid w:val="08E7715F"/>
    <w:rsid w:val="09104908"/>
    <w:rsid w:val="099B707F"/>
    <w:rsid w:val="09F5400A"/>
    <w:rsid w:val="0A242FA9"/>
    <w:rsid w:val="0A424F95"/>
    <w:rsid w:val="0A43010F"/>
    <w:rsid w:val="0A5D36D3"/>
    <w:rsid w:val="0A8D45C8"/>
    <w:rsid w:val="0A923B4B"/>
    <w:rsid w:val="0A93641A"/>
    <w:rsid w:val="0AA3501D"/>
    <w:rsid w:val="0AC41E4E"/>
    <w:rsid w:val="0AD16319"/>
    <w:rsid w:val="0AD81455"/>
    <w:rsid w:val="0B0C55A3"/>
    <w:rsid w:val="0B41349E"/>
    <w:rsid w:val="0B6D0EE9"/>
    <w:rsid w:val="0B87714B"/>
    <w:rsid w:val="0B9178E1"/>
    <w:rsid w:val="0BBA4FFF"/>
    <w:rsid w:val="0BE52FAF"/>
    <w:rsid w:val="0C056D36"/>
    <w:rsid w:val="0CA41DB2"/>
    <w:rsid w:val="0CE63A0D"/>
    <w:rsid w:val="0CEC044B"/>
    <w:rsid w:val="0CF27984"/>
    <w:rsid w:val="0D042BB1"/>
    <w:rsid w:val="0D1338AF"/>
    <w:rsid w:val="0D2941EA"/>
    <w:rsid w:val="0D427265"/>
    <w:rsid w:val="0D553231"/>
    <w:rsid w:val="0DA4444E"/>
    <w:rsid w:val="0DAE649D"/>
    <w:rsid w:val="0DCA3598"/>
    <w:rsid w:val="0E3A41D5"/>
    <w:rsid w:val="0E4C33AE"/>
    <w:rsid w:val="0E98124C"/>
    <w:rsid w:val="0EAF071F"/>
    <w:rsid w:val="0EC57F43"/>
    <w:rsid w:val="0ED805F3"/>
    <w:rsid w:val="0EDB7E39"/>
    <w:rsid w:val="0F3C0983"/>
    <w:rsid w:val="0FDA5C70"/>
    <w:rsid w:val="10083165"/>
    <w:rsid w:val="1021564D"/>
    <w:rsid w:val="102173FB"/>
    <w:rsid w:val="103B175C"/>
    <w:rsid w:val="10B11889"/>
    <w:rsid w:val="10B91B36"/>
    <w:rsid w:val="10C83B6A"/>
    <w:rsid w:val="10ED0862"/>
    <w:rsid w:val="10FD39C4"/>
    <w:rsid w:val="11016E0F"/>
    <w:rsid w:val="11072A94"/>
    <w:rsid w:val="114466EC"/>
    <w:rsid w:val="115B4B8E"/>
    <w:rsid w:val="117E2D8B"/>
    <w:rsid w:val="1196489A"/>
    <w:rsid w:val="11C62861"/>
    <w:rsid w:val="11DD55A3"/>
    <w:rsid w:val="120B59B6"/>
    <w:rsid w:val="12727EA3"/>
    <w:rsid w:val="12C65C91"/>
    <w:rsid w:val="12CE79A3"/>
    <w:rsid w:val="12E24969"/>
    <w:rsid w:val="12E36310"/>
    <w:rsid w:val="12F17558"/>
    <w:rsid w:val="12FB03D7"/>
    <w:rsid w:val="130A100F"/>
    <w:rsid w:val="130C29C0"/>
    <w:rsid w:val="132F41C7"/>
    <w:rsid w:val="13D60D2B"/>
    <w:rsid w:val="14087CF2"/>
    <w:rsid w:val="14124DC3"/>
    <w:rsid w:val="142008CD"/>
    <w:rsid w:val="142D5F8F"/>
    <w:rsid w:val="14995C25"/>
    <w:rsid w:val="14B1001D"/>
    <w:rsid w:val="14B30403"/>
    <w:rsid w:val="14BB6070"/>
    <w:rsid w:val="14E37374"/>
    <w:rsid w:val="15506DEB"/>
    <w:rsid w:val="1594066F"/>
    <w:rsid w:val="15E003C6"/>
    <w:rsid w:val="15F7044D"/>
    <w:rsid w:val="161446FF"/>
    <w:rsid w:val="161D239B"/>
    <w:rsid w:val="162135D2"/>
    <w:rsid w:val="163F3D0C"/>
    <w:rsid w:val="165612C1"/>
    <w:rsid w:val="165E3157"/>
    <w:rsid w:val="166F04DD"/>
    <w:rsid w:val="1671302C"/>
    <w:rsid w:val="168B7CC4"/>
    <w:rsid w:val="1691492C"/>
    <w:rsid w:val="16A058F5"/>
    <w:rsid w:val="16E64EFA"/>
    <w:rsid w:val="16FA66B9"/>
    <w:rsid w:val="17185924"/>
    <w:rsid w:val="17542E46"/>
    <w:rsid w:val="17654071"/>
    <w:rsid w:val="18021713"/>
    <w:rsid w:val="1808213C"/>
    <w:rsid w:val="1883753B"/>
    <w:rsid w:val="1889797F"/>
    <w:rsid w:val="191F1346"/>
    <w:rsid w:val="19860469"/>
    <w:rsid w:val="19FD45E2"/>
    <w:rsid w:val="1A346756"/>
    <w:rsid w:val="1A507049"/>
    <w:rsid w:val="1AAD645B"/>
    <w:rsid w:val="1AD5087B"/>
    <w:rsid w:val="1ADB3896"/>
    <w:rsid w:val="1AE5444B"/>
    <w:rsid w:val="1AF0262B"/>
    <w:rsid w:val="1B0C0A8B"/>
    <w:rsid w:val="1B3501FE"/>
    <w:rsid w:val="1B3A6E46"/>
    <w:rsid w:val="1B41358F"/>
    <w:rsid w:val="1B4A38B5"/>
    <w:rsid w:val="1B592560"/>
    <w:rsid w:val="1BA809D0"/>
    <w:rsid w:val="1BAD6814"/>
    <w:rsid w:val="1BF222E3"/>
    <w:rsid w:val="1BF51AD8"/>
    <w:rsid w:val="1C252021"/>
    <w:rsid w:val="1C455CFB"/>
    <w:rsid w:val="1C632B49"/>
    <w:rsid w:val="1C990DBC"/>
    <w:rsid w:val="1CE06D9A"/>
    <w:rsid w:val="1D13631D"/>
    <w:rsid w:val="1D493A8F"/>
    <w:rsid w:val="1D975E49"/>
    <w:rsid w:val="1DA96522"/>
    <w:rsid w:val="1DDC5AED"/>
    <w:rsid w:val="1DF51B31"/>
    <w:rsid w:val="1E200CF1"/>
    <w:rsid w:val="1E311151"/>
    <w:rsid w:val="1E470B13"/>
    <w:rsid w:val="1E971896"/>
    <w:rsid w:val="1EB20674"/>
    <w:rsid w:val="1ED65854"/>
    <w:rsid w:val="1EE97E3D"/>
    <w:rsid w:val="1EFF72ED"/>
    <w:rsid w:val="1F0979D8"/>
    <w:rsid w:val="1F15637C"/>
    <w:rsid w:val="1F1C7177"/>
    <w:rsid w:val="1F722C30"/>
    <w:rsid w:val="1FAE30A5"/>
    <w:rsid w:val="200308CB"/>
    <w:rsid w:val="20126D60"/>
    <w:rsid w:val="201C7BDE"/>
    <w:rsid w:val="207B0758"/>
    <w:rsid w:val="2091098A"/>
    <w:rsid w:val="209239FD"/>
    <w:rsid w:val="20AC2AB2"/>
    <w:rsid w:val="20BE6D30"/>
    <w:rsid w:val="21037966"/>
    <w:rsid w:val="212A1E87"/>
    <w:rsid w:val="21311468"/>
    <w:rsid w:val="21417123"/>
    <w:rsid w:val="21497284"/>
    <w:rsid w:val="21507B40"/>
    <w:rsid w:val="215A3D1A"/>
    <w:rsid w:val="21653776"/>
    <w:rsid w:val="21783AB9"/>
    <w:rsid w:val="218271C6"/>
    <w:rsid w:val="2190280A"/>
    <w:rsid w:val="21957C48"/>
    <w:rsid w:val="21AE2AB8"/>
    <w:rsid w:val="21B82E88"/>
    <w:rsid w:val="21EF23B3"/>
    <w:rsid w:val="21F763A4"/>
    <w:rsid w:val="221D20F7"/>
    <w:rsid w:val="223C4F78"/>
    <w:rsid w:val="224220C0"/>
    <w:rsid w:val="2286028D"/>
    <w:rsid w:val="22884F52"/>
    <w:rsid w:val="22AB4490"/>
    <w:rsid w:val="22C32593"/>
    <w:rsid w:val="22F67DB8"/>
    <w:rsid w:val="23837189"/>
    <w:rsid w:val="23841D23"/>
    <w:rsid w:val="239A78C3"/>
    <w:rsid w:val="23AA09BD"/>
    <w:rsid w:val="23AE4FF1"/>
    <w:rsid w:val="23B14B2D"/>
    <w:rsid w:val="23D250D2"/>
    <w:rsid w:val="243C25FD"/>
    <w:rsid w:val="244465BA"/>
    <w:rsid w:val="244B0A92"/>
    <w:rsid w:val="24543646"/>
    <w:rsid w:val="247D37DD"/>
    <w:rsid w:val="2483022C"/>
    <w:rsid w:val="24885F58"/>
    <w:rsid w:val="24925CBD"/>
    <w:rsid w:val="24950A65"/>
    <w:rsid w:val="24A77D63"/>
    <w:rsid w:val="24AB5BA2"/>
    <w:rsid w:val="24C3687B"/>
    <w:rsid w:val="24CC06BC"/>
    <w:rsid w:val="24D37D1E"/>
    <w:rsid w:val="24E46F1D"/>
    <w:rsid w:val="25493BB6"/>
    <w:rsid w:val="25EE1C89"/>
    <w:rsid w:val="25EE5B79"/>
    <w:rsid w:val="25F4285C"/>
    <w:rsid w:val="260C44FB"/>
    <w:rsid w:val="26315FB0"/>
    <w:rsid w:val="265442EA"/>
    <w:rsid w:val="26B772D7"/>
    <w:rsid w:val="26C2212C"/>
    <w:rsid w:val="27146064"/>
    <w:rsid w:val="272C5480"/>
    <w:rsid w:val="275B0FEC"/>
    <w:rsid w:val="27923B9C"/>
    <w:rsid w:val="27D67030"/>
    <w:rsid w:val="28795BCE"/>
    <w:rsid w:val="287D7D0C"/>
    <w:rsid w:val="28892DEE"/>
    <w:rsid w:val="28AC23F5"/>
    <w:rsid w:val="28C33694"/>
    <w:rsid w:val="28EB5525"/>
    <w:rsid w:val="28EB63A0"/>
    <w:rsid w:val="28EF40E2"/>
    <w:rsid w:val="29035CE3"/>
    <w:rsid w:val="2927387C"/>
    <w:rsid w:val="293172FF"/>
    <w:rsid w:val="295A45F4"/>
    <w:rsid w:val="29A92796"/>
    <w:rsid w:val="29A94F9E"/>
    <w:rsid w:val="2A0D0CC4"/>
    <w:rsid w:val="2A2D45A6"/>
    <w:rsid w:val="2A403FBB"/>
    <w:rsid w:val="2AC944BF"/>
    <w:rsid w:val="2AE62A61"/>
    <w:rsid w:val="2AFF2BB2"/>
    <w:rsid w:val="2B2973F8"/>
    <w:rsid w:val="2BA50A88"/>
    <w:rsid w:val="2BA8671A"/>
    <w:rsid w:val="2BAA4FBE"/>
    <w:rsid w:val="2BCC1EC6"/>
    <w:rsid w:val="2BD01692"/>
    <w:rsid w:val="2C153E60"/>
    <w:rsid w:val="2C180514"/>
    <w:rsid w:val="2C1C6E46"/>
    <w:rsid w:val="2C3047F6"/>
    <w:rsid w:val="2C9A6598"/>
    <w:rsid w:val="2CA469C2"/>
    <w:rsid w:val="2CF02E0A"/>
    <w:rsid w:val="2CF72C5C"/>
    <w:rsid w:val="2D012636"/>
    <w:rsid w:val="2D1C7470"/>
    <w:rsid w:val="2D1F486A"/>
    <w:rsid w:val="2D2A393B"/>
    <w:rsid w:val="2D7B7CF2"/>
    <w:rsid w:val="2DAF053F"/>
    <w:rsid w:val="2DB33930"/>
    <w:rsid w:val="2DD16483"/>
    <w:rsid w:val="2DD50EE5"/>
    <w:rsid w:val="2DF87595"/>
    <w:rsid w:val="2DF9330D"/>
    <w:rsid w:val="2E5803D3"/>
    <w:rsid w:val="2E60513A"/>
    <w:rsid w:val="2E700A6A"/>
    <w:rsid w:val="2E7B0C3E"/>
    <w:rsid w:val="2EA31257"/>
    <w:rsid w:val="2EB07E70"/>
    <w:rsid w:val="2EBE53DF"/>
    <w:rsid w:val="2ED44FD9"/>
    <w:rsid w:val="2EDE49DD"/>
    <w:rsid w:val="2EFE0E41"/>
    <w:rsid w:val="2F174918"/>
    <w:rsid w:val="2F177684"/>
    <w:rsid w:val="2F370591"/>
    <w:rsid w:val="2F61216C"/>
    <w:rsid w:val="2F66782A"/>
    <w:rsid w:val="2F994DA8"/>
    <w:rsid w:val="30130062"/>
    <w:rsid w:val="30712CA4"/>
    <w:rsid w:val="309612E7"/>
    <w:rsid w:val="30CB0F91"/>
    <w:rsid w:val="30E63C60"/>
    <w:rsid w:val="30F1487C"/>
    <w:rsid w:val="31563C92"/>
    <w:rsid w:val="31772EC7"/>
    <w:rsid w:val="31BE0AF5"/>
    <w:rsid w:val="31C51E84"/>
    <w:rsid w:val="31EE544C"/>
    <w:rsid w:val="31F6203D"/>
    <w:rsid w:val="320050AD"/>
    <w:rsid w:val="320504D2"/>
    <w:rsid w:val="32432DA9"/>
    <w:rsid w:val="326C697F"/>
    <w:rsid w:val="32741797"/>
    <w:rsid w:val="32AE1A99"/>
    <w:rsid w:val="32AE2918"/>
    <w:rsid w:val="32C05BBF"/>
    <w:rsid w:val="32D61E6F"/>
    <w:rsid w:val="33062754"/>
    <w:rsid w:val="330E4E42"/>
    <w:rsid w:val="331F3816"/>
    <w:rsid w:val="331F55C4"/>
    <w:rsid w:val="332B3F69"/>
    <w:rsid w:val="33615EC3"/>
    <w:rsid w:val="33767422"/>
    <w:rsid w:val="339A10EE"/>
    <w:rsid w:val="339C4E66"/>
    <w:rsid w:val="339E065F"/>
    <w:rsid w:val="33E60031"/>
    <w:rsid w:val="341D7D55"/>
    <w:rsid w:val="344D06C1"/>
    <w:rsid w:val="345553E7"/>
    <w:rsid w:val="345919AA"/>
    <w:rsid w:val="34713BFD"/>
    <w:rsid w:val="34BF39F8"/>
    <w:rsid w:val="34C15215"/>
    <w:rsid w:val="34E33701"/>
    <w:rsid w:val="34E70363"/>
    <w:rsid w:val="350E6AFB"/>
    <w:rsid w:val="352E4032"/>
    <w:rsid w:val="357344A3"/>
    <w:rsid w:val="35BB6B08"/>
    <w:rsid w:val="35C8614C"/>
    <w:rsid w:val="35D73F34"/>
    <w:rsid w:val="35E244BA"/>
    <w:rsid w:val="35E31050"/>
    <w:rsid w:val="35EA010B"/>
    <w:rsid w:val="35FE5964"/>
    <w:rsid w:val="363C648D"/>
    <w:rsid w:val="367C4B66"/>
    <w:rsid w:val="3687595A"/>
    <w:rsid w:val="36931279"/>
    <w:rsid w:val="36997C68"/>
    <w:rsid w:val="36AA1648"/>
    <w:rsid w:val="36BA5D2F"/>
    <w:rsid w:val="36BB1AA7"/>
    <w:rsid w:val="36D6243D"/>
    <w:rsid w:val="36E63FE1"/>
    <w:rsid w:val="36EA7C97"/>
    <w:rsid w:val="37300246"/>
    <w:rsid w:val="373D3686"/>
    <w:rsid w:val="375D66BB"/>
    <w:rsid w:val="375E12A5"/>
    <w:rsid w:val="379508A6"/>
    <w:rsid w:val="38043E80"/>
    <w:rsid w:val="38061AF2"/>
    <w:rsid w:val="381D69EA"/>
    <w:rsid w:val="385934F0"/>
    <w:rsid w:val="387E5D6A"/>
    <w:rsid w:val="389856C2"/>
    <w:rsid w:val="38AD71CE"/>
    <w:rsid w:val="38B60778"/>
    <w:rsid w:val="391C6E6E"/>
    <w:rsid w:val="39A93E39"/>
    <w:rsid w:val="3A085004"/>
    <w:rsid w:val="3A370748"/>
    <w:rsid w:val="3A395E2A"/>
    <w:rsid w:val="3A5B3385"/>
    <w:rsid w:val="3A5F2871"/>
    <w:rsid w:val="3A754D72"/>
    <w:rsid w:val="3A8073A2"/>
    <w:rsid w:val="3A9934E3"/>
    <w:rsid w:val="3AD676B7"/>
    <w:rsid w:val="3AF10DDD"/>
    <w:rsid w:val="3AF46516"/>
    <w:rsid w:val="3B182C9D"/>
    <w:rsid w:val="3B273268"/>
    <w:rsid w:val="3B401500"/>
    <w:rsid w:val="3B5E0833"/>
    <w:rsid w:val="3B632D12"/>
    <w:rsid w:val="3B6A0536"/>
    <w:rsid w:val="3B7F12F6"/>
    <w:rsid w:val="3B8E06BC"/>
    <w:rsid w:val="3B902ED6"/>
    <w:rsid w:val="3B904F4E"/>
    <w:rsid w:val="3B994E02"/>
    <w:rsid w:val="3BB84D5D"/>
    <w:rsid w:val="3BD45336"/>
    <w:rsid w:val="3C125CC6"/>
    <w:rsid w:val="3C513648"/>
    <w:rsid w:val="3C8669F4"/>
    <w:rsid w:val="3CB25D9E"/>
    <w:rsid w:val="3CB26DAC"/>
    <w:rsid w:val="3D053953"/>
    <w:rsid w:val="3D1930E3"/>
    <w:rsid w:val="3D6806D1"/>
    <w:rsid w:val="3D7D3613"/>
    <w:rsid w:val="3D915310"/>
    <w:rsid w:val="3DCA2296"/>
    <w:rsid w:val="3DD85C40"/>
    <w:rsid w:val="3DF71F90"/>
    <w:rsid w:val="3E2B2EE0"/>
    <w:rsid w:val="3E5F7522"/>
    <w:rsid w:val="3E9A1FA2"/>
    <w:rsid w:val="3ED454B4"/>
    <w:rsid w:val="3EE940A2"/>
    <w:rsid w:val="3EFF39D7"/>
    <w:rsid w:val="3F1955BD"/>
    <w:rsid w:val="3F3D45B2"/>
    <w:rsid w:val="3F6F78D3"/>
    <w:rsid w:val="3F73228A"/>
    <w:rsid w:val="3F786788"/>
    <w:rsid w:val="3F9557C2"/>
    <w:rsid w:val="3FDB4B57"/>
    <w:rsid w:val="407B28A2"/>
    <w:rsid w:val="40877D40"/>
    <w:rsid w:val="40895C16"/>
    <w:rsid w:val="408F11E5"/>
    <w:rsid w:val="409C3134"/>
    <w:rsid w:val="40A23390"/>
    <w:rsid w:val="40BC6B48"/>
    <w:rsid w:val="41016309"/>
    <w:rsid w:val="41230975"/>
    <w:rsid w:val="412559BD"/>
    <w:rsid w:val="413172A7"/>
    <w:rsid w:val="41586871"/>
    <w:rsid w:val="416A4FA8"/>
    <w:rsid w:val="41B63597"/>
    <w:rsid w:val="41D60080"/>
    <w:rsid w:val="420662CD"/>
    <w:rsid w:val="429B5A7D"/>
    <w:rsid w:val="42B3257D"/>
    <w:rsid w:val="42BE6BA7"/>
    <w:rsid w:val="42D068D2"/>
    <w:rsid w:val="42D90317"/>
    <w:rsid w:val="4304139C"/>
    <w:rsid w:val="43054578"/>
    <w:rsid w:val="43421586"/>
    <w:rsid w:val="43442892"/>
    <w:rsid w:val="436314FD"/>
    <w:rsid w:val="436B215F"/>
    <w:rsid w:val="436E72E2"/>
    <w:rsid w:val="4374370A"/>
    <w:rsid w:val="438A6814"/>
    <w:rsid w:val="43AB38E7"/>
    <w:rsid w:val="43D63A7D"/>
    <w:rsid w:val="43F352C8"/>
    <w:rsid w:val="44032ED4"/>
    <w:rsid w:val="440F469C"/>
    <w:rsid w:val="447A6AFE"/>
    <w:rsid w:val="449355BF"/>
    <w:rsid w:val="449B3014"/>
    <w:rsid w:val="44D37139"/>
    <w:rsid w:val="44E623E5"/>
    <w:rsid w:val="44F7014F"/>
    <w:rsid w:val="44FC7513"/>
    <w:rsid w:val="4504286C"/>
    <w:rsid w:val="45153B2D"/>
    <w:rsid w:val="455C4456"/>
    <w:rsid w:val="45960681"/>
    <w:rsid w:val="45A86FDA"/>
    <w:rsid w:val="45AD7456"/>
    <w:rsid w:val="45E00BE3"/>
    <w:rsid w:val="46671D1C"/>
    <w:rsid w:val="466E4D41"/>
    <w:rsid w:val="46A00372"/>
    <w:rsid w:val="46B00313"/>
    <w:rsid w:val="46BF0ACA"/>
    <w:rsid w:val="46D57404"/>
    <w:rsid w:val="46D82C72"/>
    <w:rsid w:val="4729480B"/>
    <w:rsid w:val="472D02B9"/>
    <w:rsid w:val="475278BE"/>
    <w:rsid w:val="477C0DDF"/>
    <w:rsid w:val="47842315"/>
    <w:rsid w:val="4787624B"/>
    <w:rsid w:val="47C307BC"/>
    <w:rsid w:val="481B4154"/>
    <w:rsid w:val="48557C54"/>
    <w:rsid w:val="485B4418"/>
    <w:rsid w:val="48741AB6"/>
    <w:rsid w:val="48860622"/>
    <w:rsid w:val="488C6E00"/>
    <w:rsid w:val="489F2C96"/>
    <w:rsid w:val="490E503D"/>
    <w:rsid w:val="494616A5"/>
    <w:rsid w:val="495140F4"/>
    <w:rsid w:val="49686565"/>
    <w:rsid w:val="497C7C92"/>
    <w:rsid w:val="498D1081"/>
    <w:rsid w:val="49BE7DC6"/>
    <w:rsid w:val="49CB1BAA"/>
    <w:rsid w:val="4A084FAB"/>
    <w:rsid w:val="4A0A0924"/>
    <w:rsid w:val="4A114D9C"/>
    <w:rsid w:val="4A2C2078"/>
    <w:rsid w:val="4A365275"/>
    <w:rsid w:val="4A3B6FBA"/>
    <w:rsid w:val="4ADA6D10"/>
    <w:rsid w:val="4B0435C5"/>
    <w:rsid w:val="4B0615B6"/>
    <w:rsid w:val="4B223A4B"/>
    <w:rsid w:val="4B4E78E6"/>
    <w:rsid w:val="4B6C4B6D"/>
    <w:rsid w:val="4B713691"/>
    <w:rsid w:val="4BB40975"/>
    <w:rsid w:val="4BBA1ED6"/>
    <w:rsid w:val="4BD23033"/>
    <w:rsid w:val="4BF74533"/>
    <w:rsid w:val="4C170309"/>
    <w:rsid w:val="4C2757BD"/>
    <w:rsid w:val="4C392989"/>
    <w:rsid w:val="4CE92A73"/>
    <w:rsid w:val="4CF11E43"/>
    <w:rsid w:val="4D001B6A"/>
    <w:rsid w:val="4D027691"/>
    <w:rsid w:val="4D281333"/>
    <w:rsid w:val="4D447640"/>
    <w:rsid w:val="4D616AAD"/>
    <w:rsid w:val="4D9B0B90"/>
    <w:rsid w:val="4DA150FB"/>
    <w:rsid w:val="4DC67082"/>
    <w:rsid w:val="4DE0235E"/>
    <w:rsid w:val="4E3836B6"/>
    <w:rsid w:val="4E7B3B9E"/>
    <w:rsid w:val="4E9702AC"/>
    <w:rsid w:val="4EA13891"/>
    <w:rsid w:val="4EA81FC1"/>
    <w:rsid w:val="4EC70144"/>
    <w:rsid w:val="4ECA0682"/>
    <w:rsid w:val="4EE5084A"/>
    <w:rsid w:val="4EEF00E8"/>
    <w:rsid w:val="4EF86F9D"/>
    <w:rsid w:val="4F2935FA"/>
    <w:rsid w:val="4F676CF8"/>
    <w:rsid w:val="4F974A2C"/>
    <w:rsid w:val="4FAB04B3"/>
    <w:rsid w:val="4FCB6460"/>
    <w:rsid w:val="50005394"/>
    <w:rsid w:val="50106568"/>
    <w:rsid w:val="5021136C"/>
    <w:rsid w:val="502119D7"/>
    <w:rsid w:val="502344EE"/>
    <w:rsid w:val="50290FAE"/>
    <w:rsid w:val="5037387C"/>
    <w:rsid w:val="50447FC0"/>
    <w:rsid w:val="50715E3F"/>
    <w:rsid w:val="50772144"/>
    <w:rsid w:val="50A52C7D"/>
    <w:rsid w:val="50BF4B23"/>
    <w:rsid w:val="50C25AB5"/>
    <w:rsid w:val="50E60363"/>
    <w:rsid w:val="51033E6F"/>
    <w:rsid w:val="51136310"/>
    <w:rsid w:val="513E0B8D"/>
    <w:rsid w:val="51697160"/>
    <w:rsid w:val="517626DB"/>
    <w:rsid w:val="51A258E6"/>
    <w:rsid w:val="51AA514B"/>
    <w:rsid w:val="51F16466"/>
    <w:rsid w:val="520C7E69"/>
    <w:rsid w:val="52285DEB"/>
    <w:rsid w:val="523747F9"/>
    <w:rsid w:val="523D116B"/>
    <w:rsid w:val="524312B8"/>
    <w:rsid w:val="52733BCA"/>
    <w:rsid w:val="527F1CB8"/>
    <w:rsid w:val="52911BE2"/>
    <w:rsid w:val="52CF270B"/>
    <w:rsid w:val="52CF33F5"/>
    <w:rsid w:val="52D20850"/>
    <w:rsid w:val="52F4603B"/>
    <w:rsid w:val="53620E89"/>
    <w:rsid w:val="536A616D"/>
    <w:rsid w:val="53AE2320"/>
    <w:rsid w:val="53C953AC"/>
    <w:rsid w:val="53E71C1B"/>
    <w:rsid w:val="53E83C2D"/>
    <w:rsid w:val="54181116"/>
    <w:rsid w:val="54255C43"/>
    <w:rsid w:val="54332F77"/>
    <w:rsid w:val="543A0058"/>
    <w:rsid w:val="54493DF7"/>
    <w:rsid w:val="549E2395"/>
    <w:rsid w:val="54AE2FA4"/>
    <w:rsid w:val="55071FB6"/>
    <w:rsid w:val="55480552"/>
    <w:rsid w:val="554F4DF6"/>
    <w:rsid w:val="556A70BB"/>
    <w:rsid w:val="558036BC"/>
    <w:rsid w:val="55987E91"/>
    <w:rsid w:val="55AD4138"/>
    <w:rsid w:val="55AF106C"/>
    <w:rsid w:val="55B36DD4"/>
    <w:rsid w:val="55BE246F"/>
    <w:rsid w:val="56250B85"/>
    <w:rsid w:val="56347241"/>
    <w:rsid w:val="56424FA2"/>
    <w:rsid w:val="56777341"/>
    <w:rsid w:val="56A619D5"/>
    <w:rsid w:val="56B65722"/>
    <w:rsid w:val="56E74E27"/>
    <w:rsid w:val="56E83D9B"/>
    <w:rsid w:val="56EB388B"/>
    <w:rsid w:val="57223691"/>
    <w:rsid w:val="5756394B"/>
    <w:rsid w:val="575D6526"/>
    <w:rsid w:val="579927C7"/>
    <w:rsid w:val="57CC2D04"/>
    <w:rsid w:val="580746F5"/>
    <w:rsid w:val="5889510A"/>
    <w:rsid w:val="589F0CC9"/>
    <w:rsid w:val="58CB5EC5"/>
    <w:rsid w:val="58CE23C9"/>
    <w:rsid w:val="58D02D39"/>
    <w:rsid w:val="58F63E96"/>
    <w:rsid w:val="58F9527D"/>
    <w:rsid w:val="5903310E"/>
    <w:rsid w:val="59372DB8"/>
    <w:rsid w:val="59594ADC"/>
    <w:rsid w:val="5963595B"/>
    <w:rsid w:val="597267F9"/>
    <w:rsid w:val="59B30690"/>
    <w:rsid w:val="59B44408"/>
    <w:rsid w:val="59CD7278"/>
    <w:rsid w:val="5A03762B"/>
    <w:rsid w:val="5A1D0200"/>
    <w:rsid w:val="5A1D5B0A"/>
    <w:rsid w:val="5A2331B3"/>
    <w:rsid w:val="5A492DA3"/>
    <w:rsid w:val="5A4A05D9"/>
    <w:rsid w:val="5A5B4884"/>
    <w:rsid w:val="5A7A5346"/>
    <w:rsid w:val="5ABD553F"/>
    <w:rsid w:val="5AD857E2"/>
    <w:rsid w:val="5AF55709"/>
    <w:rsid w:val="5AF96577"/>
    <w:rsid w:val="5B046CCA"/>
    <w:rsid w:val="5B1038C0"/>
    <w:rsid w:val="5B3D486C"/>
    <w:rsid w:val="5B547C51"/>
    <w:rsid w:val="5B5714EF"/>
    <w:rsid w:val="5B694FA5"/>
    <w:rsid w:val="5B9E0ECC"/>
    <w:rsid w:val="5BC923D8"/>
    <w:rsid w:val="5C035BC3"/>
    <w:rsid w:val="5C1028F2"/>
    <w:rsid w:val="5C2A289A"/>
    <w:rsid w:val="5C471564"/>
    <w:rsid w:val="5C5D10DB"/>
    <w:rsid w:val="5C930E8B"/>
    <w:rsid w:val="5C9C5845"/>
    <w:rsid w:val="5CFF599B"/>
    <w:rsid w:val="5D2B0C05"/>
    <w:rsid w:val="5D386567"/>
    <w:rsid w:val="5D5C103F"/>
    <w:rsid w:val="5D635F29"/>
    <w:rsid w:val="5D777C27"/>
    <w:rsid w:val="5D7A7717"/>
    <w:rsid w:val="5D7C3512"/>
    <w:rsid w:val="5D8C725E"/>
    <w:rsid w:val="5E127950"/>
    <w:rsid w:val="5E2D53E8"/>
    <w:rsid w:val="5E4B281F"/>
    <w:rsid w:val="5E8B1BDC"/>
    <w:rsid w:val="5EB64585"/>
    <w:rsid w:val="5EBB1D95"/>
    <w:rsid w:val="5EDD7F5D"/>
    <w:rsid w:val="5EE906B0"/>
    <w:rsid w:val="5EEC63F2"/>
    <w:rsid w:val="5F255781"/>
    <w:rsid w:val="5F7914F9"/>
    <w:rsid w:val="5F965824"/>
    <w:rsid w:val="5FC93F22"/>
    <w:rsid w:val="5FE243CB"/>
    <w:rsid w:val="5FE66C13"/>
    <w:rsid w:val="600D4872"/>
    <w:rsid w:val="60631B06"/>
    <w:rsid w:val="60800118"/>
    <w:rsid w:val="608A1DE7"/>
    <w:rsid w:val="60940AF0"/>
    <w:rsid w:val="60A23954"/>
    <w:rsid w:val="60B80627"/>
    <w:rsid w:val="60E81A74"/>
    <w:rsid w:val="61333E65"/>
    <w:rsid w:val="613F2A58"/>
    <w:rsid w:val="614E2B2C"/>
    <w:rsid w:val="616B1851"/>
    <w:rsid w:val="61826B9A"/>
    <w:rsid w:val="61A067B3"/>
    <w:rsid w:val="61B067C2"/>
    <w:rsid w:val="62065A83"/>
    <w:rsid w:val="622D7438"/>
    <w:rsid w:val="622F238A"/>
    <w:rsid w:val="625E13B5"/>
    <w:rsid w:val="63027B43"/>
    <w:rsid w:val="632443AD"/>
    <w:rsid w:val="6324615B"/>
    <w:rsid w:val="632C4061"/>
    <w:rsid w:val="6381535B"/>
    <w:rsid w:val="63A10201"/>
    <w:rsid w:val="63E15DFA"/>
    <w:rsid w:val="64285D22"/>
    <w:rsid w:val="6449399F"/>
    <w:rsid w:val="64822965"/>
    <w:rsid w:val="64845C81"/>
    <w:rsid w:val="64875EAF"/>
    <w:rsid w:val="64925346"/>
    <w:rsid w:val="64CB03AB"/>
    <w:rsid w:val="64CF683E"/>
    <w:rsid w:val="651D5558"/>
    <w:rsid w:val="6521058F"/>
    <w:rsid w:val="65423AF9"/>
    <w:rsid w:val="655A40B6"/>
    <w:rsid w:val="65645C31"/>
    <w:rsid w:val="65732645"/>
    <w:rsid w:val="65733F81"/>
    <w:rsid w:val="6587477F"/>
    <w:rsid w:val="658D2E2C"/>
    <w:rsid w:val="65915823"/>
    <w:rsid w:val="659C5307"/>
    <w:rsid w:val="65CE6758"/>
    <w:rsid w:val="65EE5929"/>
    <w:rsid w:val="66644AC0"/>
    <w:rsid w:val="66955B0C"/>
    <w:rsid w:val="671B2379"/>
    <w:rsid w:val="67890C82"/>
    <w:rsid w:val="67E36BDA"/>
    <w:rsid w:val="68423C7C"/>
    <w:rsid w:val="686977AA"/>
    <w:rsid w:val="689E250C"/>
    <w:rsid w:val="68A62932"/>
    <w:rsid w:val="68E3009F"/>
    <w:rsid w:val="68E41A1C"/>
    <w:rsid w:val="68E5013A"/>
    <w:rsid w:val="68E51EE8"/>
    <w:rsid w:val="68FC5874"/>
    <w:rsid w:val="68FF1D02"/>
    <w:rsid w:val="69460B96"/>
    <w:rsid w:val="696A0640"/>
    <w:rsid w:val="69A11985"/>
    <w:rsid w:val="69C064B2"/>
    <w:rsid w:val="69E228CC"/>
    <w:rsid w:val="6A5E21C1"/>
    <w:rsid w:val="6A6652AB"/>
    <w:rsid w:val="6A6D03E7"/>
    <w:rsid w:val="6AB9454B"/>
    <w:rsid w:val="6ABC311D"/>
    <w:rsid w:val="6ADE12E5"/>
    <w:rsid w:val="6AE0505D"/>
    <w:rsid w:val="6B351AF4"/>
    <w:rsid w:val="6B362ECF"/>
    <w:rsid w:val="6B5D45AB"/>
    <w:rsid w:val="6B9E2576"/>
    <w:rsid w:val="6BCC40EA"/>
    <w:rsid w:val="6BF22860"/>
    <w:rsid w:val="6BF91B5E"/>
    <w:rsid w:val="6C2B2308"/>
    <w:rsid w:val="6C3F3B3F"/>
    <w:rsid w:val="6C573B17"/>
    <w:rsid w:val="6C984098"/>
    <w:rsid w:val="6C9F2CF6"/>
    <w:rsid w:val="6CA72C6D"/>
    <w:rsid w:val="6CBA5B94"/>
    <w:rsid w:val="6CBC6D31"/>
    <w:rsid w:val="6CF46F76"/>
    <w:rsid w:val="6D01750D"/>
    <w:rsid w:val="6D1E1E6D"/>
    <w:rsid w:val="6D1F682E"/>
    <w:rsid w:val="6D3E5CE1"/>
    <w:rsid w:val="6DC04B30"/>
    <w:rsid w:val="6DC42A14"/>
    <w:rsid w:val="6DDD031C"/>
    <w:rsid w:val="6E70494A"/>
    <w:rsid w:val="6E851A78"/>
    <w:rsid w:val="6EE961C0"/>
    <w:rsid w:val="6EFD1AEA"/>
    <w:rsid w:val="6F0E2FDE"/>
    <w:rsid w:val="6F2A2D4B"/>
    <w:rsid w:val="6F4656AB"/>
    <w:rsid w:val="6F4A5F2C"/>
    <w:rsid w:val="6F6049BF"/>
    <w:rsid w:val="6F795DE4"/>
    <w:rsid w:val="6F9603E0"/>
    <w:rsid w:val="6F9F6782"/>
    <w:rsid w:val="6FA3193D"/>
    <w:rsid w:val="70145D2A"/>
    <w:rsid w:val="70273C3A"/>
    <w:rsid w:val="70351623"/>
    <w:rsid w:val="70626515"/>
    <w:rsid w:val="707F70C6"/>
    <w:rsid w:val="70BC3E77"/>
    <w:rsid w:val="70C44AD9"/>
    <w:rsid w:val="70F4004C"/>
    <w:rsid w:val="710D5A00"/>
    <w:rsid w:val="71A3409C"/>
    <w:rsid w:val="71B307A3"/>
    <w:rsid w:val="71BC1C54"/>
    <w:rsid w:val="71D074AE"/>
    <w:rsid w:val="71D60F68"/>
    <w:rsid w:val="71EB0491"/>
    <w:rsid w:val="720C498A"/>
    <w:rsid w:val="72161365"/>
    <w:rsid w:val="72273572"/>
    <w:rsid w:val="723932A5"/>
    <w:rsid w:val="727B38BE"/>
    <w:rsid w:val="72C54B39"/>
    <w:rsid w:val="72D57472"/>
    <w:rsid w:val="72E8347E"/>
    <w:rsid w:val="72EE22E1"/>
    <w:rsid w:val="72FC49FE"/>
    <w:rsid w:val="730D6C0C"/>
    <w:rsid w:val="733A72D5"/>
    <w:rsid w:val="735859AD"/>
    <w:rsid w:val="736600CA"/>
    <w:rsid w:val="738676EE"/>
    <w:rsid w:val="739235D6"/>
    <w:rsid w:val="739F189A"/>
    <w:rsid w:val="73AD7AA7"/>
    <w:rsid w:val="73BE5BE9"/>
    <w:rsid w:val="73D019E7"/>
    <w:rsid w:val="73F05BE5"/>
    <w:rsid w:val="740F250F"/>
    <w:rsid w:val="74213FF1"/>
    <w:rsid w:val="74220495"/>
    <w:rsid w:val="747D166A"/>
    <w:rsid w:val="74951ABC"/>
    <w:rsid w:val="749649DF"/>
    <w:rsid w:val="74AB66DC"/>
    <w:rsid w:val="74AF5AA0"/>
    <w:rsid w:val="74BE7A92"/>
    <w:rsid w:val="74C564D1"/>
    <w:rsid w:val="74D774D1"/>
    <w:rsid w:val="74F73BFA"/>
    <w:rsid w:val="75157C52"/>
    <w:rsid w:val="752A42E0"/>
    <w:rsid w:val="75451473"/>
    <w:rsid w:val="7557052B"/>
    <w:rsid w:val="755A5A0C"/>
    <w:rsid w:val="755F1275"/>
    <w:rsid w:val="75646EFD"/>
    <w:rsid w:val="75680129"/>
    <w:rsid w:val="75940A8B"/>
    <w:rsid w:val="75991870"/>
    <w:rsid w:val="75BF3AC1"/>
    <w:rsid w:val="760416B8"/>
    <w:rsid w:val="76342701"/>
    <w:rsid w:val="76364DD9"/>
    <w:rsid w:val="7650620D"/>
    <w:rsid w:val="765B5EE0"/>
    <w:rsid w:val="76766876"/>
    <w:rsid w:val="76B441CE"/>
    <w:rsid w:val="76B572A2"/>
    <w:rsid w:val="76B64EC4"/>
    <w:rsid w:val="76DD06A3"/>
    <w:rsid w:val="76E914B3"/>
    <w:rsid w:val="76F37EC6"/>
    <w:rsid w:val="76F747D2"/>
    <w:rsid w:val="77272650"/>
    <w:rsid w:val="77512F49"/>
    <w:rsid w:val="7772528F"/>
    <w:rsid w:val="77996CC0"/>
    <w:rsid w:val="77BA09E4"/>
    <w:rsid w:val="77D00208"/>
    <w:rsid w:val="77E80343"/>
    <w:rsid w:val="78267E28"/>
    <w:rsid w:val="782753D9"/>
    <w:rsid w:val="7872665C"/>
    <w:rsid w:val="788C1F6C"/>
    <w:rsid w:val="78AA2807"/>
    <w:rsid w:val="78AA3B2B"/>
    <w:rsid w:val="78D36201"/>
    <w:rsid w:val="78DA4256"/>
    <w:rsid w:val="78F4794F"/>
    <w:rsid w:val="791D56CF"/>
    <w:rsid w:val="79336CA0"/>
    <w:rsid w:val="794C2198"/>
    <w:rsid w:val="7973709D"/>
    <w:rsid w:val="79A67472"/>
    <w:rsid w:val="79B24069"/>
    <w:rsid w:val="79C2681B"/>
    <w:rsid w:val="79CE0152"/>
    <w:rsid w:val="79FD2E0A"/>
    <w:rsid w:val="7A031505"/>
    <w:rsid w:val="7A2D7B93"/>
    <w:rsid w:val="7A945F6E"/>
    <w:rsid w:val="7B0034F1"/>
    <w:rsid w:val="7B091961"/>
    <w:rsid w:val="7B0C77A9"/>
    <w:rsid w:val="7B2778A1"/>
    <w:rsid w:val="7B38483D"/>
    <w:rsid w:val="7BB43F0C"/>
    <w:rsid w:val="7BC02341"/>
    <w:rsid w:val="7BC97448"/>
    <w:rsid w:val="7BCC50F8"/>
    <w:rsid w:val="7BE00068"/>
    <w:rsid w:val="7BE40725"/>
    <w:rsid w:val="7C142424"/>
    <w:rsid w:val="7C486588"/>
    <w:rsid w:val="7C745605"/>
    <w:rsid w:val="7C7575D0"/>
    <w:rsid w:val="7CB366FC"/>
    <w:rsid w:val="7CCC5441"/>
    <w:rsid w:val="7CEA3B1A"/>
    <w:rsid w:val="7D030A88"/>
    <w:rsid w:val="7D05783A"/>
    <w:rsid w:val="7D225061"/>
    <w:rsid w:val="7D5E0064"/>
    <w:rsid w:val="7D5F3FAD"/>
    <w:rsid w:val="7D7D2BE0"/>
    <w:rsid w:val="7D921999"/>
    <w:rsid w:val="7DE06CCB"/>
    <w:rsid w:val="7DE844FD"/>
    <w:rsid w:val="7E186CB2"/>
    <w:rsid w:val="7EF8277F"/>
    <w:rsid w:val="7EFD6C06"/>
    <w:rsid w:val="7F3B76BC"/>
    <w:rsid w:val="7F6B7443"/>
    <w:rsid w:val="7F714251"/>
    <w:rsid w:val="7F852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64"/>
    <w:autoRedefine/>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4">
    <w:name w:val="heading 2"/>
    <w:basedOn w:val="1"/>
    <w:next w:val="5"/>
    <w:link w:val="65"/>
    <w:autoRedefine/>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7">
    <w:name w:val="heading 3"/>
    <w:basedOn w:val="1"/>
    <w:next w:val="1"/>
    <w:link w:val="66"/>
    <w:autoRedefine/>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8">
    <w:name w:val="heading 4"/>
    <w:basedOn w:val="1"/>
    <w:next w:val="1"/>
    <w:link w:val="67"/>
    <w:autoRedefine/>
    <w:semiHidden/>
    <w:unhideWhenUsed/>
    <w:qFormat/>
    <w:uiPriority w:val="9"/>
    <w:pPr>
      <w:keepNext/>
      <w:numPr>
        <w:ilvl w:val="3"/>
        <w:numId w:val="1"/>
      </w:numPr>
      <w:spacing w:before="240" w:after="60"/>
      <w:outlineLvl w:val="3"/>
    </w:pPr>
    <w:rPr>
      <w:rFonts w:cstheme="majorBidi"/>
      <w:b/>
      <w:bCs/>
      <w:sz w:val="28"/>
      <w:szCs w:val="28"/>
    </w:rPr>
  </w:style>
  <w:style w:type="paragraph" w:styleId="9">
    <w:name w:val="heading 5"/>
    <w:basedOn w:val="1"/>
    <w:next w:val="1"/>
    <w:link w:val="68"/>
    <w:autoRedefine/>
    <w:semiHidden/>
    <w:unhideWhenUsed/>
    <w:qFormat/>
    <w:uiPriority w:val="9"/>
    <w:pPr>
      <w:numPr>
        <w:ilvl w:val="4"/>
        <w:numId w:val="1"/>
      </w:numPr>
      <w:spacing w:before="240" w:after="60"/>
      <w:outlineLvl w:val="4"/>
    </w:pPr>
    <w:rPr>
      <w:b/>
      <w:bCs/>
      <w:i/>
      <w:iCs/>
      <w:sz w:val="26"/>
      <w:szCs w:val="26"/>
    </w:rPr>
  </w:style>
  <w:style w:type="paragraph" w:styleId="10">
    <w:name w:val="heading 6"/>
    <w:basedOn w:val="1"/>
    <w:next w:val="1"/>
    <w:link w:val="69"/>
    <w:autoRedefine/>
    <w:semiHidden/>
    <w:unhideWhenUsed/>
    <w:qFormat/>
    <w:uiPriority w:val="9"/>
    <w:pPr>
      <w:numPr>
        <w:ilvl w:val="5"/>
        <w:numId w:val="1"/>
      </w:numPr>
      <w:spacing w:before="240" w:after="60"/>
      <w:outlineLvl w:val="5"/>
    </w:pPr>
    <w:rPr>
      <w:rFonts w:cstheme="majorBidi"/>
      <w:b/>
      <w:bCs/>
      <w:sz w:val="22"/>
      <w:szCs w:val="22"/>
    </w:rPr>
  </w:style>
  <w:style w:type="paragraph" w:styleId="11">
    <w:name w:val="heading 7"/>
    <w:basedOn w:val="1"/>
    <w:next w:val="1"/>
    <w:link w:val="70"/>
    <w:autoRedefine/>
    <w:semiHidden/>
    <w:unhideWhenUsed/>
    <w:qFormat/>
    <w:uiPriority w:val="9"/>
    <w:pPr>
      <w:numPr>
        <w:ilvl w:val="6"/>
        <w:numId w:val="1"/>
      </w:numPr>
      <w:spacing w:before="240" w:after="60"/>
      <w:outlineLvl w:val="6"/>
    </w:pPr>
  </w:style>
  <w:style w:type="paragraph" w:styleId="12">
    <w:name w:val="heading 8"/>
    <w:basedOn w:val="1"/>
    <w:next w:val="1"/>
    <w:link w:val="71"/>
    <w:autoRedefine/>
    <w:semiHidden/>
    <w:unhideWhenUsed/>
    <w:qFormat/>
    <w:uiPriority w:val="9"/>
    <w:pPr>
      <w:numPr>
        <w:ilvl w:val="7"/>
        <w:numId w:val="1"/>
      </w:numPr>
      <w:spacing w:before="240" w:after="60"/>
      <w:outlineLvl w:val="7"/>
    </w:pPr>
    <w:rPr>
      <w:rFonts w:cstheme="majorBidi"/>
      <w:i/>
      <w:iCs/>
    </w:rPr>
  </w:style>
  <w:style w:type="paragraph" w:styleId="13">
    <w:name w:val="heading 9"/>
    <w:basedOn w:val="1"/>
    <w:next w:val="1"/>
    <w:link w:val="72"/>
    <w:autoRedefine/>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autoRedefine/>
    <w:unhideWhenUsed/>
    <w:qFormat/>
    <w:uiPriority w:val="0"/>
    <w:pPr>
      <w:spacing w:beforeLines="0" w:afterLines="0"/>
    </w:pPr>
    <w:rPr>
      <w:rFonts w:hint="default"/>
      <w:color w:val="993300"/>
      <w:sz w:val="24"/>
      <w:szCs w:val="24"/>
    </w:rPr>
  </w:style>
  <w:style w:type="paragraph" w:styleId="5">
    <w:name w:val="Normal Indent"/>
    <w:basedOn w:val="1"/>
    <w:next w:val="6"/>
    <w:autoRedefine/>
    <w:qFormat/>
    <w:uiPriority w:val="0"/>
    <w:pPr>
      <w:spacing w:line="300" w:lineRule="auto"/>
      <w:ind w:firstLine="420" w:firstLineChars="200"/>
    </w:pPr>
    <w:rPr>
      <w:rFonts w:ascii="Times New Roman"/>
      <w:kern w:val="2"/>
      <w:sz w:val="21"/>
      <w:szCs w:val="24"/>
    </w:rPr>
  </w:style>
  <w:style w:type="paragraph" w:styleId="6">
    <w:name w:val="toc 4"/>
    <w:basedOn w:val="1"/>
    <w:next w:val="1"/>
    <w:autoRedefine/>
    <w:unhideWhenUsed/>
    <w:qFormat/>
    <w:uiPriority w:val="39"/>
    <w:pPr>
      <w:ind w:left="1260" w:leftChars="600"/>
    </w:pPr>
  </w:style>
  <w:style w:type="paragraph" w:styleId="14">
    <w:name w:val="caption"/>
    <w:basedOn w:val="1"/>
    <w:next w:val="1"/>
    <w:autoRedefine/>
    <w:semiHidden/>
    <w:unhideWhenUsed/>
    <w:qFormat/>
    <w:uiPriority w:val="35"/>
    <w:rPr>
      <w:rFonts w:eastAsia="黑体" w:asciiTheme="majorHAnsi" w:hAnsiTheme="majorHAnsi" w:cstheme="majorBidi"/>
      <w:sz w:val="20"/>
      <w:szCs w:val="20"/>
    </w:rPr>
  </w:style>
  <w:style w:type="paragraph" w:styleId="15">
    <w:name w:val="Document Map"/>
    <w:basedOn w:val="1"/>
    <w:link w:val="96"/>
    <w:autoRedefine/>
    <w:semiHidden/>
    <w:unhideWhenUsed/>
    <w:qFormat/>
    <w:uiPriority w:val="99"/>
    <w:pPr>
      <w:spacing w:line="400" w:lineRule="exact"/>
      <w:jc w:val="both"/>
    </w:pPr>
    <w:rPr>
      <w:rFonts w:ascii="宋体" w:hAnsi="Calibri Light" w:eastAsia="宋体" w:cs="Calibri Light"/>
      <w:kern w:val="2"/>
      <w:sz w:val="18"/>
      <w:szCs w:val="18"/>
    </w:rPr>
  </w:style>
  <w:style w:type="paragraph" w:styleId="16">
    <w:name w:val="toa heading"/>
    <w:next w:val="1"/>
    <w:autoRedefine/>
    <w:qFormat/>
    <w:uiPriority w:val="0"/>
    <w:pPr>
      <w:spacing w:before="120" w:beforeLines="0" w:beforeAutospacing="0" w:line="360" w:lineRule="auto"/>
      <w:jc w:val="both"/>
    </w:pPr>
    <w:rPr>
      <w:rFonts w:ascii="Arial" w:hAnsi="Arial" w:eastAsia="华文仿宋" w:cstheme="minorBidi"/>
      <w:kern w:val="2"/>
      <w:sz w:val="24"/>
      <w:szCs w:val="28"/>
      <w:lang w:val="en-US" w:eastAsia="zh-CN" w:bidi="ar-SA"/>
    </w:rPr>
  </w:style>
  <w:style w:type="paragraph" w:styleId="17">
    <w:name w:val="annotation text"/>
    <w:basedOn w:val="1"/>
    <w:link w:val="88"/>
    <w:autoRedefine/>
    <w:unhideWhenUsed/>
    <w:qFormat/>
    <w:uiPriority w:val="99"/>
    <w:pPr>
      <w:spacing w:line="400" w:lineRule="exact"/>
    </w:pPr>
    <w:rPr>
      <w:rFonts w:ascii="Calibri Light" w:hAnsi="Calibri Light" w:eastAsia="华文仿宋" w:cs="Calibri Light"/>
      <w:kern w:val="2"/>
      <w:sz w:val="28"/>
      <w:szCs w:val="28"/>
    </w:rPr>
  </w:style>
  <w:style w:type="paragraph" w:styleId="18">
    <w:name w:val="Body Text Indent"/>
    <w:basedOn w:val="1"/>
    <w:autoRedefine/>
    <w:qFormat/>
    <w:uiPriority w:val="0"/>
    <w:pPr>
      <w:ind w:firstLine="480"/>
    </w:pPr>
    <w:rPr>
      <w:rFonts w:ascii="宋体" w:hAnsi="宋体"/>
    </w:rPr>
  </w:style>
  <w:style w:type="paragraph" w:styleId="19">
    <w:name w:val="Plain Text"/>
    <w:basedOn w:val="1"/>
    <w:autoRedefine/>
    <w:qFormat/>
    <w:uiPriority w:val="0"/>
    <w:rPr>
      <w:rFonts w:hAnsi="Courier New"/>
      <w:kern w:val="2"/>
      <w:sz w:val="21"/>
    </w:rPr>
  </w:style>
  <w:style w:type="paragraph" w:styleId="20">
    <w:name w:val="Date"/>
    <w:basedOn w:val="1"/>
    <w:next w:val="1"/>
    <w:link w:val="61"/>
    <w:autoRedefine/>
    <w:semiHidden/>
    <w:unhideWhenUsed/>
    <w:qFormat/>
    <w:uiPriority w:val="99"/>
    <w:pPr>
      <w:ind w:left="100" w:leftChars="2500"/>
    </w:pPr>
  </w:style>
  <w:style w:type="paragraph" w:styleId="21">
    <w:name w:val="Body Text Indent 2"/>
    <w:autoRedefine/>
    <w:qFormat/>
    <w:uiPriority w:val="0"/>
    <w:pPr>
      <w:widowControl/>
      <w:overflowPunct w:val="0"/>
      <w:autoSpaceDE w:val="0"/>
      <w:autoSpaceDN w:val="0"/>
      <w:adjustRightInd w:val="0"/>
      <w:spacing w:line="360" w:lineRule="auto"/>
      <w:ind w:firstLine="555"/>
      <w:jc w:val="both"/>
      <w:textAlignment w:val="baseline"/>
    </w:pPr>
    <w:rPr>
      <w:rFonts w:ascii="宋体" w:hAnsi="MS Sans Serif" w:eastAsia="宋体" w:cs="Times New Roman"/>
      <w:spacing w:val="12"/>
      <w:kern w:val="0"/>
      <w:sz w:val="24"/>
      <w:szCs w:val="20"/>
      <w:lang w:val="en-US" w:eastAsia="zh-CN" w:bidi="ar-SA"/>
    </w:rPr>
  </w:style>
  <w:style w:type="paragraph" w:styleId="22">
    <w:name w:val="Balloon Text"/>
    <w:basedOn w:val="1"/>
    <w:link w:val="87"/>
    <w:autoRedefine/>
    <w:semiHidden/>
    <w:unhideWhenUsed/>
    <w:qFormat/>
    <w:uiPriority w:val="99"/>
    <w:rPr>
      <w:sz w:val="18"/>
      <w:szCs w:val="18"/>
    </w:rPr>
  </w:style>
  <w:style w:type="paragraph" w:styleId="23">
    <w:name w:val="footer"/>
    <w:basedOn w:val="1"/>
    <w:next w:val="1"/>
    <w:link w:val="63"/>
    <w:autoRedefine/>
    <w:unhideWhenUsed/>
    <w:qFormat/>
    <w:uiPriority w:val="99"/>
    <w:pPr>
      <w:tabs>
        <w:tab w:val="center" w:pos="4153"/>
        <w:tab w:val="right" w:pos="8306"/>
      </w:tabs>
      <w:snapToGrid w:val="0"/>
      <w:spacing w:line="240" w:lineRule="atLeast"/>
    </w:pPr>
    <w:rPr>
      <w:sz w:val="18"/>
      <w:szCs w:val="18"/>
    </w:rPr>
  </w:style>
  <w:style w:type="paragraph" w:styleId="24">
    <w:name w:val="header"/>
    <w:basedOn w:val="1"/>
    <w:link w:val="62"/>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5">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6">
    <w:name w:val="Subtitle"/>
    <w:basedOn w:val="1"/>
    <w:next w:val="1"/>
    <w:link w:val="74"/>
    <w:autoRedefine/>
    <w:qFormat/>
    <w:uiPriority w:val="11"/>
    <w:pPr>
      <w:keepNext/>
      <w:spacing w:before="50" w:beforeLines="50" w:after="50" w:afterLines="50"/>
      <w:jc w:val="center"/>
      <w:outlineLvl w:val="1"/>
    </w:pPr>
    <w:rPr>
      <w:rFonts w:ascii="Calibri" w:hAnsi="Calibri" w:eastAsia="黑体" w:cstheme="majorBidi"/>
      <w:sz w:val="32"/>
    </w:rPr>
  </w:style>
  <w:style w:type="paragraph" w:styleId="2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28">
    <w:name w:val="Title"/>
    <w:basedOn w:val="1"/>
    <w:next w:val="1"/>
    <w:link w:val="73"/>
    <w:autoRedefine/>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9">
    <w:name w:val="annotation subject"/>
    <w:basedOn w:val="17"/>
    <w:next w:val="17"/>
    <w:link w:val="95"/>
    <w:autoRedefine/>
    <w:semiHidden/>
    <w:unhideWhenUsed/>
    <w:qFormat/>
    <w:uiPriority w:val="99"/>
    <w:rPr>
      <w:b/>
      <w:bCs/>
    </w:rPr>
  </w:style>
  <w:style w:type="paragraph" w:styleId="30">
    <w:name w:val="Body Text First Indent"/>
    <w:basedOn w:val="2"/>
    <w:autoRedefine/>
    <w:qFormat/>
    <w:uiPriority w:val="0"/>
    <w:pPr>
      <w:adjustRightInd w:val="0"/>
      <w:spacing w:after="0"/>
      <w:ind w:firstLine="420"/>
      <w:jc w:val="left"/>
      <w:textAlignment w:val="baseline"/>
    </w:pPr>
    <w:rPr>
      <w:kern w:val="0"/>
    </w:rPr>
  </w:style>
  <w:style w:type="paragraph" w:styleId="31">
    <w:name w:val="Body Text First Indent 2"/>
    <w:basedOn w:val="18"/>
    <w:next w:val="1"/>
    <w:autoRedefine/>
    <w:qFormat/>
    <w:uiPriority w:val="0"/>
    <w:pPr>
      <w:adjustRightInd w:val="0"/>
      <w:spacing w:after="80"/>
      <w:textAlignment w:val="baseline"/>
    </w:pPr>
    <w:rPr>
      <w:rFonts w:ascii="宋体" w:hAnsi="宋体"/>
      <w:color w:val="000000"/>
      <w:kern w:val="0"/>
      <w:szCs w:val="20"/>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22"/>
    <w:rPr>
      <w:b/>
      <w:bCs/>
    </w:rPr>
  </w:style>
  <w:style w:type="character" w:styleId="36">
    <w:name w:val="page number"/>
    <w:autoRedefine/>
    <w:qFormat/>
    <w:uiPriority w:val="0"/>
    <w:rPr>
      <w:rFonts w:ascii="Times New Roman" w:hAnsi="Times New Roman" w:eastAsia="宋体" w:cs="Times New Roman"/>
    </w:rPr>
  </w:style>
  <w:style w:type="character" w:styleId="37">
    <w:name w:val="FollowedHyperlink"/>
    <w:basedOn w:val="34"/>
    <w:autoRedefine/>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autoRedefine/>
    <w:qFormat/>
    <w:uiPriority w:val="20"/>
    <w:rPr>
      <w:rFonts w:asciiTheme="minorHAnsi" w:hAnsiTheme="minorHAnsi"/>
      <w:b/>
      <w:i/>
      <w:iCs/>
    </w:rPr>
  </w:style>
  <w:style w:type="character" w:styleId="39">
    <w:name w:val="Hyperlink"/>
    <w:basedOn w:val="34"/>
    <w:autoRedefine/>
    <w:unhideWhenUsed/>
    <w:qFormat/>
    <w:uiPriority w:val="99"/>
    <w:rPr>
      <w:color w:val="0563C1" w:themeColor="hyperlink"/>
      <w:u w:val="single"/>
      <w14:textFill>
        <w14:solidFill>
          <w14:schemeClr w14:val="hlink"/>
        </w14:solidFill>
      </w14:textFill>
    </w:rPr>
  </w:style>
  <w:style w:type="character" w:styleId="40">
    <w:name w:val="annotation reference"/>
    <w:basedOn w:val="34"/>
    <w:autoRedefine/>
    <w:semiHidden/>
    <w:unhideWhenUsed/>
    <w:qFormat/>
    <w:uiPriority w:val="99"/>
    <w:rPr>
      <w:sz w:val="21"/>
      <w:szCs w:val="21"/>
    </w:rPr>
  </w:style>
  <w:style w:type="paragraph" w:customStyle="1" w:styleId="41">
    <w:name w:val="※封面大标题"/>
    <w:basedOn w:val="1"/>
    <w:next w:val="1"/>
    <w:autoRedefine/>
    <w:qFormat/>
    <w:uiPriority w:val="0"/>
    <w:pPr>
      <w:jc w:val="center"/>
    </w:pPr>
    <w:rPr>
      <w:rFonts w:ascii="华文中宋" w:hAnsi="华文中宋" w:eastAsia="华文中宋"/>
      <w:sz w:val="96"/>
      <w:szCs w:val="96"/>
    </w:rPr>
  </w:style>
  <w:style w:type="paragraph" w:customStyle="1" w:styleId="42">
    <w:name w:val="※封面题颌"/>
    <w:basedOn w:val="1"/>
    <w:next w:val="1"/>
    <w:autoRedefine/>
    <w:qFormat/>
    <w:uiPriority w:val="0"/>
    <w:pPr>
      <w:jc w:val="center"/>
    </w:pPr>
    <w:rPr>
      <w:rFonts w:ascii="Calibri Light" w:hAnsi="Calibri Light" w:eastAsia="华文仿宋"/>
      <w:sz w:val="36"/>
      <w:szCs w:val="36"/>
    </w:rPr>
  </w:style>
  <w:style w:type="paragraph" w:customStyle="1" w:styleId="43">
    <w:name w:val="※封面题眉"/>
    <w:basedOn w:val="1"/>
    <w:next w:val="41"/>
    <w:autoRedefine/>
    <w:qFormat/>
    <w:uiPriority w:val="0"/>
    <w:pPr>
      <w:jc w:val="center"/>
    </w:pPr>
    <w:rPr>
      <w:rFonts w:ascii="华文仿宋" w:hAnsi="华文仿宋" w:eastAsia="华文仿宋"/>
      <w:sz w:val="52"/>
      <w:szCs w:val="28"/>
    </w:rPr>
  </w:style>
  <w:style w:type="paragraph" w:customStyle="1" w:styleId="44">
    <w:name w:val="※封面题须"/>
    <w:basedOn w:val="1"/>
    <w:autoRedefine/>
    <w:qFormat/>
    <w:uiPriority w:val="0"/>
    <w:pPr>
      <w:ind w:left="850" w:leftChars="350" w:right="250" w:rightChars="250" w:hanging="500" w:hangingChars="500"/>
    </w:pPr>
    <w:rPr>
      <w:rFonts w:ascii="Calibri" w:hAnsi="Calibri" w:eastAsia="宋体"/>
      <w:sz w:val="36"/>
      <w:szCs w:val="36"/>
    </w:rPr>
  </w:style>
  <w:style w:type="paragraph" w:customStyle="1" w:styleId="45">
    <w:name w:val="※目录（次）"/>
    <w:basedOn w:val="1"/>
    <w:autoRedefine/>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6">
    <w:name w:val="※目录（主）"/>
    <w:basedOn w:val="1"/>
    <w:autoRedefine/>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7">
    <w:name w:val="※小标题 1"/>
    <w:basedOn w:val="1"/>
    <w:next w:val="1"/>
    <w:autoRedefine/>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8">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49">
    <w:name w:val="※小标题 一"/>
    <w:basedOn w:val="48"/>
    <w:next w:val="48"/>
    <w:autoRedefine/>
    <w:qFormat/>
    <w:uiPriority w:val="0"/>
    <w:pPr>
      <w:spacing w:before="120" w:line="240" w:lineRule="auto"/>
      <w:outlineLvl w:val="2"/>
    </w:pPr>
    <w:rPr>
      <w:b/>
      <w:color w:val="203864" w:themeColor="accent5" w:themeShade="80"/>
      <w:sz w:val="32"/>
    </w:rPr>
  </w:style>
  <w:style w:type="paragraph" w:customStyle="1" w:styleId="50">
    <w:name w:val="※小标题（1）"/>
    <w:basedOn w:val="1"/>
    <w:next w:val="48"/>
    <w:autoRedefine/>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51">
    <w:name w:val="※小标题（一）"/>
    <w:basedOn w:val="1"/>
    <w:next w:val="48"/>
    <w:autoRedefine/>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52">
    <w:name w:val="※页脚（横屏）"/>
    <w:basedOn w:val="1"/>
    <w:autoRedefine/>
    <w:qFormat/>
    <w:uiPriority w:val="0"/>
    <w:pPr>
      <w:tabs>
        <w:tab w:val="center" w:pos="7000"/>
      </w:tabs>
      <w:wordWrap w:val="0"/>
      <w:spacing w:line="240" w:lineRule="atLeast"/>
    </w:pPr>
    <w:rPr>
      <w:rFonts w:ascii="宋体" w:hAnsi="宋体" w:eastAsia="宋体"/>
      <w:sz w:val="18"/>
      <w:szCs w:val="18"/>
    </w:rPr>
  </w:style>
  <w:style w:type="paragraph" w:customStyle="1" w:styleId="53">
    <w:name w:val="※页脚（竖屏）"/>
    <w:basedOn w:val="1"/>
    <w:autoRedefine/>
    <w:qFormat/>
    <w:uiPriority w:val="0"/>
    <w:pPr>
      <w:tabs>
        <w:tab w:val="center" w:pos="4536"/>
      </w:tabs>
      <w:wordWrap w:val="0"/>
      <w:spacing w:line="240" w:lineRule="atLeast"/>
    </w:pPr>
    <w:rPr>
      <w:rFonts w:ascii="宋体" w:hAnsi="宋体" w:eastAsia="宋体"/>
      <w:sz w:val="18"/>
      <w:szCs w:val="18"/>
    </w:rPr>
  </w:style>
  <w:style w:type="paragraph" w:customStyle="1" w:styleId="54">
    <w:name w:val="※页眉"/>
    <w:basedOn w:val="48"/>
    <w:autoRedefine/>
    <w:qFormat/>
    <w:uiPriority w:val="0"/>
    <w:pPr>
      <w:pBdr>
        <w:bottom w:val="single" w:color="auto" w:sz="4" w:space="1"/>
      </w:pBdr>
      <w:spacing w:line="240" w:lineRule="atLeast"/>
      <w:jc w:val="right"/>
    </w:pPr>
    <w:rPr>
      <w:rFonts w:ascii="宋体" w:hAnsi="宋体" w:eastAsia="宋体"/>
      <w:sz w:val="18"/>
    </w:rPr>
  </w:style>
  <w:style w:type="paragraph" w:customStyle="1" w:styleId="55">
    <w:name w:val="※章节标题（第X章）"/>
    <w:basedOn w:val="1"/>
    <w:autoRedefine/>
    <w:qFormat/>
    <w:uiPriority w:val="0"/>
    <w:pPr>
      <w:jc w:val="center"/>
      <w:outlineLvl w:val="0"/>
    </w:pPr>
    <w:rPr>
      <w:rFonts w:ascii="Calibri Light" w:hAnsi="Calibri Light" w:eastAsia="黑体"/>
      <w:sz w:val="36"/>
      <w:szCs w:val="28"/>
    </w:rPr>
  </w:style>
  <w:style w:type="paragraph" w:customStyle="1" w:styleId="56">
    <w:name w:val="※章节标题（第Y部分）"/>
    <w:basedOn w:val="1"/>
    <w:next w:val="1"/>
    <w:autoRedefine/>
    <w:qFormat/>
    <w:uiPriority w:val="0"/>
    <w:pPr>
      <w:jc w:val="center"/>
      <w:outlineLvl w:val="1"/>
    </w:pPr>
    <w:rPr>
      <w:rFonts w:ascii="Calibri Light" w:hAnsi="Calibri Light" w:eastAsia="黑体"/>
      <w:color w:val="1F4E79" w:themeColor="accent1" w:themeShade="80"/>
      <w:sz w:val="32"/>
      <w:szCs w:val="36"/>
    </w:rPr>
  </w:style>
  <w:style w:type="paragraph" w:customStyle="1" w:styleId="57">
    <w:name w:val="※章节标题（第Z部分分项）"/>
    <w:basedOn w:val="56"/>
    <w:autoRedefine/>
    <w:qFormat/>
    <w:uiPriority w:val="0"/>
    <w:pPr>
      <w:outlineLvl w:val="2"/>
    </w:pPr>
  </w:style>
  <w:style w:type="paragraph" w:customStyle="1" w:styleId="58">
    <w:name w:val="※正文（落款）"/>
    <w:basedOn w:val="1"/>
    <w:autoRedefine/>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9">
    <w:name w:val="※正文（缩进2）"/>
    <w:basedOn w:val="48"/>
    <w:autoRedefine/>
    <w:qFormat/>
    <w:uiPriority w:val="0"/>
    <w:pPr>
      <w:ind w:firstLine="200" w:firstLineChars="200"/>
    </w:pPr>
  </w:style>
  <w:style w:type="paragraph" w:customStyle="1" w:styleId="60">
    <w:name w:val="※正文（缩进4）"/>
    <w:basedOn w:val="48"/>
    <w:autoRedefine/>
    <w:qFormat/>
    <w:uiPriority w:val="0"/>
    <w:pPr>
      <w:ind w:firstLine="400" w:firstLineChars="400"/>
    </w:pPr>
  </w:style>
  <w:style w:type="character" w:customStyle="1" w:styleId="61">
    <w:name w:val="日期 Char"/>
    <w:basedOn w:val="34"/>
    <w:link w:val="20"/>
    <w:autoRedefine/>
    <w:semiHidden/>
    <w:qFormat/>
    <w:uiPriority w:val="99"/>
    <w:rPr>
      <w:rFonts w:ascii="华文仿宋" w:hAnsi="华文仿宋" w:eastAsia="华文仿宋"/>
      <w:sz w:val="28"/>
      <w:szCs w:val="28"/>
    </w:rPr>
  </w:style>
  <w:style w:type="character" w:customStyle="1" w:styleId="62">
    <w:name w:val="页眉 Char"/>
    <w:basedOn w:val="34"/>
    <w:link w:val="24"/>
    <w:autoRedefine/>
    <w:qFormat/>
    <w:uiPriority w:val="0"/>
    <w:rPr>
      <w:rFonts w:ascii="华文仿宋" w:hAnsi="华文仿宋" w:eastAsia="华文仿宋"/>
      <w:sz w:val="18"/>
      <w:szCs w:val="18"/>
    </w:rPr>
  </w:style>
  <w:style w:type="character" w:customStyle="1" w:styleId="63">
    <w:name w:val="页脚 Char"/>
    <w:basedOn w:val="34"/>
    <w:link w:val="23"/>
    <w:autoRedefine/>
    <w:qFormat/>
    <w:uiPriority w:val="99"/>
    <w:rPr>
      <w:rFonts w:ascii="华文仿宋" w:hAnsi="华文仿宋" w:eastAsia="华文仿宋"/>
      <w:sz w:val="18"/>
      <w:szCs w:val="18"/>
    </w:rPr>
  </w:style>
  <w:style w:type="character" w:customStyle="1" w:styleId="64">
    <w:name w:val="标题 1 Char"/>
    <w:basedOn w:val="34"/>
    <w:link w:val="3"/>
    <w:autoRedefine/>
    <w:qFormat/>
    <w:uiPriority w:val="9"/>
    <w:rPr>
      <w:rFonts w:ascii="Calibri" w:hAnsi="Calibri" w:eastAsia="黑体"/>
      <w:bCs/>
      <w:kern w:val="36"/>
      <w:sz w:val="32"/>
      <w:szCs w:val="32"/>
    </w:rPr>
  </w:style>
  <w:style w:type="character" w:customStyle="1" w:styleId="65">
    <w:name w:val="标题 2 Char"/>
    <w:basedOn w:val="34"/>
    <w:link w:val="4"/>
    <w:autoRedefine/>
    <w:qFormat/>
    <w:uiPriority w:val="9"/>
    <w:rPr>
      <w:rFonts w:ascii="Calibri" w:hAnsi="Calibri" w:eastAsia="黑体" w:cstheme="majorBidi"/>
      <w:bCs/>
      <w:iCs/>
      <w:kern w:val="32"/>
      <w:sz w:val="28"/>
      <w:szCs w:val="28"/>
    </w:rPr>
  </w:style>
  <w:style w:type="character" w:customStyle="1" w:styleId="66">
    <w:name w:val="标题 3 Char"/>
    <w:basedOn w:val="34"/>
    <w:link w:val="7"/>
    <w:autoRedefine/>
    <w:qFormat/>
    <w:uiPriority w:val="9"/>
    <w:rPr>
      <w:rFonts w:ascii="Calibri Light" w:hAnsi="Calibri Light" w:eastAsia="宋体"/>
      <w:b/>
      <w:bCs/>
      <w:kern w:val="30"/>
      <w:sz w:val="24"/>
      <w:szCs w:val="26"/>
    </w:rPr>
  </w:style>
  <w:style w:type="character" w:customStyle="1" w:styleId="67">
    <w:name w:val="标题 4 Char"/>
    <w:basedOn w:val="34"/>
    <w:link w:val="8"/>
    <w:autoRedefine/>
    <w:semiHidden/>
    <w:qFormat/>
    <w:uiPriority w:val="9"/>
    <w:rPr>
      <w:rFonts w:cstheme="majorBidi"/>
      <w:b/>
      <w:bCs/>
      <w:sz w:val="28"/>
      <w:szCs w:val="28"/>
    </w:rPr>
  </w:style>
  <w:style w:type="character" w:customStyle="1" w:styleId="68">
    <w:name w:val="标题 5 Char"/>
    <w:basedOn w:val="34"/>
    <w:link w:val="9"/>
    <w:autoRedefine/>
    <w:semiHidden/>
    <w:qFormat/>
    <w:uiPriority w:val="9"/>
    <w:rPr>
      <w:b/>
      <w:bCs/>
      <w:i/>
      <w:iCs/>
      <w:sz w:val="26"/>
      <w:szCs w:val="26"/>
    </w:rPr>
  </w:style>
  <w:style w:type="character" w:customStyle="1" w:styleId="69">
    <w:name w:val="标题 6 Char"/>
    <w:basedOn w:val="34"/>
    <w:link w:val="10"/>
    <w:autoRedefine/>
    <w:semiHidden/>
    <w:qFormat/>
    <w:uiPriority w:val="9"/>
    <w:rPr>
      <w:rFonts w:cstheme="majorBidi"/>
      <w:b/>
      <w:bCs/>
    </w:rPr>
  </w:style>
  <w:style w:type="character" w:customStyle="1" w:styleId="70">
    <w:name w:val="标题 7 Char"/>
    <w:basedOn w:val="34"/>
    <w:link w:val="11"/>
    <w:autoRedefine/>
    <w:semiHidden/>
    <w:qFormat/>
    <w:uiPriority w:val="9"/>
    <w:rPr>
      <w:sz w:val="24"/>
      <w:szCs w:val="24"/>
    </w:rPr>
  </w:style>
  <w:style w:type="character" w:customStyle="1" w:styleId="71">
    <w:name w:val="标题 8 Char"/>
    <w:basedOn w:val="34"/>
    <w:link w:val="12"/>
    <w:autoRedefine/>
    <w:semiHidden/>
    <w:qFormat/>
    <w:uiPriority w:val="9"/>
    <w:rPr>
      <w:rFonts w:cstheme="majorBidi"/>
      <w:i/>
      <w:iCs/>
      <w:sz w:val="24"/>
      <w:szCs w:val="24"/>
    </w:rPr>
  </w:style>
  <w:style w:type="character" w:customStyle="1" w:styleId="72">
    <w:name w:val="标题 9 Char"/>
    <w:basedOn w:val="34"/>
    <w:link w:val="13"/>
    <w:autoRedefine/>
    <w:semiHidden/>
    <w:qFormat/>
    <w:uiPriority w:val="9"/>
    <w:rPr>
      <w:rFonts w:asciiTheme="majorHAnsi" w:hAnsiTheme="majorHAnsi" w:eastAsiaTheme="majorEastAsia" w:cstheme="majorBidi"/>
    </w:rPr>
  </w:style>
  <w:style w:type="character" w:customStyle="1" w:styleId="73">
    <w:name w:val="标题 Char"/>
    <w:basedOn w:val="34"/>
    <w:link w:val="28"/>
    <w:autoRedefine/>
    <w:qFormat/>
    <w:uiPriority w:val="10"/>
    <w:rPr>
      <w:rFonts w:asciiTheme="majorHAnsi" w:hAnsiTheme="majorHAnsi" w:eastAsiaTheme="majorEastAsia" w:cstheme="majorBidi"/>
      <w:b/>
      <w:bCs/>
      <w:kern w:val="28"/>
      <w:sz w:val="32"/>
      <w:szCs w:val="32"/>
    </w:rPr>
  </w:style>
  <w:style w:type="character" w:customStyle="1" w:styleId="74">
    <w:name w:val="副标题 Char"/>
    <w:basedOn w:val="34"/>
    <w:link w:val="26"/>
    <w:autoRedefine/>
    <w:qFormat/>
    <w:uiPriority w:val="11"/>
    <w:rPr>
      <w:rFonts w:ascii="Calibri" w:hAnsi="Calibri" w:eastAsia="黑体" w:cstheme="majorBidi"/>
      <w:sz w:val="32"/>
      <w:szCs w:val="24"/>
    </w:rPr>
  </w:style>
  <w:style w:type="paragraph" w:styleId="75">
    <w:name w:val="No Spacing"/>
    <w:basedOn w:val="1"/>
    <w:autoRedefine/>
    <w:qFormat/>
    <w:uiPriority w:val="1"/>
    <w:rPr>
      <w:szCs w:val="32"/>
    </w:rPr>
  </w:style>
  <w:style w:type="paragraph" w:styleId="76">
    <w:name w:val="List Paragraph"/>
    <w:basedOn w:val="1"/>
    <w:autoRedefine/>
    <w:qFormat/>
    <w:uiPriority w:val="0"/>
    <w:pPr>
      <w:ind w:left="720"/>
      <w:contextualSpacing/>
    </w:pPr>
  </w:style>
  <w:style w:type="paragraph" w:styleId="77">
    <w:name w:val="Quote"/>
    <w:basedOn w:val="1"/>
    <w:next w:val="1"/>
    <w:link w:val="78"/>
    <w:autoRedefine/>
    <w:qFormat/>
    <w:uiPriority w:val="29"/>
    <w:rPr>
      <w:i/>
    </w:rPr>
  </w:style>
  <w:style w:type="character" w:customStyle="1" w:styleId="78">
    <w:name w:val="引用 Char"/>
    <w:basedOn w:val="34"/>
    <w:link w:val="77"/>
    <w:autoRedefine/>
    <w:qFormat/>
    <w:uiPriority w:val="29"/>
    <w:rPr>
      <w:i/>
      <w:sz w:val="24"/>
      <w:szCs w:val="24"/>
    </w:rPr>
  </w:style>
  <w:style w:type="paragraph" w:styleId="79">
    <w:name w:val="Intense Quote"/>
    <w:basedOn w:val="1"/>
    <w:next w:val="1"/>
    <w:link w:val="80"/>
    <w:autoRedefine/>
    <w:qFormat/>
    <w:uiPriority w:val="30"/>
    <w:pPr>
      <w:ind w:left="720" w:right="720"/>
    </w:pPr>
    <w:rPr>
      <w:b/>
      <w:i/>
      <w:szCs w:val="22"/>
    </w:rPr>
  </w:style>
  <w:style w:type="character" w:customStyle="1" w:styleId="80">
    <w:name w:val="明显引用 Char"/>
    <w:basedOn w:val="34"/>
    <w:link w:val="79"/>
    <w:autoRedefine/>
    <w:qFormat/>
    <w:uiPriority w:val="30"/>
    <w:rPr>
      <w:b/>
      <w:i/>
      <w:sz w:val="24"/>
    </w:rPr>
  </w:style>
  <w:style w:type="character" w:customStyle="1" w:styleId="81">
    <w:name w:val="Subtle Emphasis"/>
    <w:autoRedefine/>
    <w:qFormat/>
    <w:uiPriority w:val="19"/>
    <w:rPr>
      <w:i/>
      <w:color w:val="595959" w:themeColor="text1" w:themeTint="A6"/>
      <w14:textFill>
        <w14:solidFill>
          <w14:schemeClr w14:val="tx1">
            <w14:lumMod w14:val="65000"/>
            <w14:lumOff w14:val="35000"/>
          </w14:schemeClr>
        </w14:solidFill>
      </w14:textFill>
    </w:rPr>
  </w:style>
  <w:style w:type="character" w:customStyle="1" w:styleId="82">
    <w:name w:val="Intense Emphasis"/>
    <w:basedOn w:val="34"/>
    <w:autoRedefine/>
    <w:qFormat/>
    <w:uiPriority w:val="21"/>
    <w:rPr>
      <w:b/>
      <w:i/>
      <w:sz w:val="24"/>
      <w:szCs w:val="24"/>
      <w:u w:val="single"/>
    </w:rPr>
  </w:style>
  <w:style w:type="character" w:customStyle="1" w:styleId="83">
    <w:name w:val="Subtle Reference"/>
    <w:basedOn w:val="34"/>
    <w:autoRedefine/>
    <w:qFormat/>
    <w:uiPriority w:val="31"/>
    <w:rPr>
      <w:sz w:val="24"/>
      <w:szCs w:val="24"/>
      <w:u w:val="single"/>
    </w:rPr>
  </w:style>
  <w:style w:type="character" w:customStyle="1" w:styleId="84">
    <w:name w:val="Intense Reference"/>
    <w:basedOn w:val="34"/>
    <w:autoRedefine/>
    <w:qFormat/>
    <w:uiPriority w:val="32"/>
    <w:rPr>
      <w:b/>
      <w:sz w:val="24"/>
      <w:u w:val="single"/>
    </w:rPr>
  </w:style>
  <w:style w:type="character" w:customStyle="1" w:styleId="85">
    <w:name w:val="Book Title"/>
    <w:basedOn w:val="34"/>
    <w:autoRedefine/>
    <w:qFormat/>
    <w:uiPriority w:val="33"/>
    <w:rPr>
      <w:rFonts w:asciiTheme="majorHAnsi" w:hAnsiTheme="majorHAnsi" w:eastAsiaTheme="majorEastAsia"/>
      <w:b/>
      <w:i/>
      <w:sz w:val="24"/>
      <w:szCs w:val="24"/>
    </w:rPr>
  </w:style>
  <w:style w:type="paragraph" w:customStyle="1" w:styleId="86">
    <w:name w:val="TOC Heading"/>
    <w:basedOn w:val="3"/>
    <w:next w:val="1"/>
    <w:autoRedefine/>
    <w:semiHidden/>
    <w:unhideWhenUsed/>
    <w:qFormat/>
    <w:uiPriority w:val="39"/>
    <w:pPr>
      <w:outlineLvl w:val="9"/>
    </w:pPr>
  </w:style>
  <w:style w:type="character" w:customStyle="1" w:styleId="87">
    <w:name w:val="批注框文本 Char"/>
    <w:basedOn w:val="34"/>
    <w:link w:val="22"/>
    <w:autoRedefine/>
    <w:semiHidden/>
    <w:qFormat/>
    <w:uiPriority w:val="99"/>
    <w:rPr>
      <w:sz w:val="18"/>
      <w:szCs w:val="18"/>
    </w:rPr>
  </w:style>
  <w:style w:type="character" w:customStyle="1" w:styleId="88">
    <w:name w:val="批注文字 Char"/>
    <w:basedOn w:val="34"/>
    <w:link w:val="17"/>
    <w:autoRedefine/>
    <w:qFormat/>
    <w:uiPriority w:val="99"/>
    <w:rPr>
      <w:rFonts w:ascii="Calibri Light" w:hAnsi="Calibri Light" w:eastAsia="华文仿宋" w:cs="Calibri Light"/>
      <w:kern w:val="2"/>
      <w:sz w:val="28"/>
      <w:szCs w:val="28"/>
    </w:rPr>
  </w:style>
  <w:style w:type="paragraph" w:customStyle="1" w:styleId="89">
    <w:name w:val="@正文"/>
    <w:basedOn w:val="48"/>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90">
    <w:name w:val="@一级小标题"/>
    <w:basedOn w:val="1"/>
    <w:next w:val="89"/>
    <w:autoRedefine/>
    <w:qFormat/>
    <w:uiPriority w:val="0"/>
    <w:pPr>
      <w:keepNext/>
      <w:spacing w:before="120" w:after="60"/>
      <w:outlineLvl w:val="2"/>
    </w:pPr>
    <w:rPr>
      <w:rFonts w:ascii="Calibri" w:hAnsi="Calibri" w:eastAsia="黑体"/>
      <w:kern w:val="28"/>
      <w:sz w:val="28"/>
    </w:rPr>
  </w:style>
  <w:style w:type="paragraph" w:customStyle="1" w:styleId="91">
    <w:name w:val="@标题"/>
    <w:basedOn w:val="1"/>
    <w:next w:val="89"/>
    <w:autoRedefine/>
    <w:qFormat/>
    <w:uiPriority w:val="0"/>
    <w:pPr>
      <w:keepNext/>
      <w:spacing w:before="50" w:beforeLines="50" w:after="50" w:afterLines="50"/>
      <w:jc w:val="center"/>
      <w:outlineLvl w:val="1"/>
    </w:pPr>
    <w:rPr>
      <w:rFonts w:ascii="Calibri" w:hAnsi="Calibri" w:eastAsia="黑体"/>
      <w:kern w:val="32"/>
      <w:sz w:val="32"/>
    </w:rPr>
  </w:style>
  <w:style w:type="table" w:customStyle="1" w:styleId="92">
    <w:name w:val="网格型1"/>
    <w:basedOn w:val="32"/>
    <w:autoRedefine/>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3">
    <w:name w:val="页眉 Char1"/>
    <w:basedOn w:val="34"/>
    <w:autoRedefine/>
    <w:semiHidden/>
    <w:qFormat/>
    <w:uiPriority w:val="99"/>
    <w:rPr>
      <w:rFonts w:cs="Calibri Light"/>
      <w:sz w:val="18"/>
      <w:szCs w:val="18"/>
    </w:rPr>
  </w:style>
  <w:style w:type="character" w:customStyle="1" w:styleId="94">
    <w:name w:val="页脚 Char1"/>
    <w:basedOn w:val="34"/>
    <w:autoRedefine/>
    <w:semiHidden/>
    <w:qFormat/>
    <w:uiPriority w:val="99"/>
    <w:rPr>
      <w:rFonts w:cs="Calibri Light"/>
      <w:sz w:val="18"/>
      <w:szCs w:val="18"/>
    </w:rPr>
  </w:style>
  <w:style w:type="character" w:customStyle="1" w:styleId="95">
    <w:name w:val="批注主题 Char"/>
    <w:basedOn w:val="88"/>
    <w:link w:val="29"/>
    <w:autoRedefine/>
    <w:semiHidden/>
    <w:qFormat/>
    <w:uiPriority w:val="99"/>
    <w:rPr>
      <w:rFonts w:ascii="Calibri Light" w:hAnsi="Calibri Light" w:eastAsia="华文仿宋" w:cs="Calibri Light"/>
      <w:b/>
      <w:bCs/>
      <w:kern w:val="2"/>
      <w:sz w:val="28"/>
      <w:szCs w:val="28"/>
    </w:rPr>
  </w:style>
  <w:style w:type="character" w:customStyle="1" w:styleId="96">
    <w:name w:val="文档结构图 Char"/>
    <w:basedOn w:val="34"/>
    <w:link w:val="15"/>
    <w:autoRedefine/>
    <w:semiHidden/>
    <w:qFormat/>
    <w:uiPriority w:val="99"/>
    <w:rPr>
      <w:rFonts w:ascii="宋体" w:hAnsi="Calibri Light" w:eastAsia="宋体" w:cs="Calibri Light"/>
      <w:kern w:val="2"/>
      <w:sz w:val="18"/>
      <w:szCs w:val="18"/>
    </w:rPr>
  </w:style>
  <w:style w:type="character" w:styleId="97">
    <w:name w:val="Placeholder Text"/>
    <w:basedOn w:val="34"/>
    <w:autoRedefine/>
    <w:semiHidden/>
    <w:qFormat/>
    <w:uiPriority w:val="99"/>
    <w:rPr>
      <w:color w:val="808080"/>
    </w:rPr>
  </w:style>
  <w:style w:type="paragraph" w:customStyle="1" w:styleId="98">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9">
    <w:name w:val="样式 首行缩进:  2 字符"/>
    <w:autoRedefine/>
    <w:qFormat/>
    <w:uiPriority w:val="0"/>
    <w:pPr>
      <w:widowControl w:val="0"/>
      <w:spacing w:line="400" w:lineRule="exact"/>
      <w:ind w:firstLine="200" w:firstLineChars="200"/>
      <w:jc w:val="both"/>
    </w:pPr>
    <w:rPr>
      <w:rFonts w:ascii="宋体" w:hAnsi="Times New Roman" w:eastAsia="宋体" w:cs="宋体"/>
      <w:sz w:val="24"/>
      <w:szCs w:val="24"/>
      <w:lang w:val="en-US" w:eastAsia="zh-CN" w:bidi="ar-SA"/>
    </w:rPr>
  </w:style>
  <w:style w:type="paragraph" w:customStyle="1" w:styleId="100">
    <w:name w:val="p0"/>
    <w:autoRedefine/>
    <w:qFormat/>
    <w:uiPriority w:val="0"/>
    <w:pPr>
      <w:widowControl/>
      <w:snapToGrid w:val="0"/>
      <w:spacing w:line="312" w:lineRule="atLeast"/>
      <w:jc w:val="both"/>
      <w:textAlignment w:val="baseline"/>
    </w:pPr>
    <w:rPr>
      <w:rFonts w:ascii="宋体" w:hAnsi="Times New Roman" w:eastAsia="宋体" w:cs="Times New Roman"/>
      <w:kern w:val="0"/>
      <w:sz w:val="24"/>
      <w:szCs w:val="21"/>
      <w:lang w:val="en-US" w:eastAsia="zh-CN" w:bidi="ar-SA"/>
    </w:rPr>
  </w:style>
  <w:style w:type="table" w:customStyle="1" w:styleId="101">
    <w:name w:val="Table Normal"/>
    <w:autoRedefine/>
    <w:semiHidden/>
    <w:unhideWhenUsed/>
    <w:qFormat/>
    <w:uiPriority w:val="0"/>
    <w:tblPr>
      <w:tblCellMar>
        <w:top w:w="0" w:type="dxa"/>
        <w:left w:w="0" w:type="dxa"/>
        <w:bottom w:w="0" w:type="dxa"/>
        <w:right w:w="0" w:type="dxa"/>
      </w:tblCellMar>
    </w:tblPr>
  </w:style>
  <w:style w:type="paragraph" w:customStyle="1" w:styleId="102">
    <w:name w:val="Char1"/>
    <w:basedOn w:val="1"/>
    <w:autoRedefine/>
    <w:qFormat/>
    <w:uiPriority w:val="0"/>
    <w:rPr>
      <w:szCs w:val="21"/>
    </w:rPr>
  </w:style>
  <w:style w:type="character" w:customStyle="1" w:styleId="103">
    <w:name w:val="font11"/>
    <w:basedOn w:val="34"/>
    <w:autoRedefine/>
    <w:qFormat/>
    <w:uiPriority w:val="0"/>
    <w:rPr>
      <w:rFonts w:hint="eastAsia" w:ascii="宋体" w:hAnsi="宋体" w:eastAsia="宋体" w:cs="宋体"/>
      <w:color w:val="000000"/>
      <w:sz w:val="20"/>
      <w:szCs w:val="20"/>
      <w:u w:val="none"/>
    </w:rPr>
  </w:style>
  <w:style w:type="character" w:customStyle="1" w:styleId="104">
    <w:name w:val="font71"/>
    <w:basedOn w:val="34"/>
    <w:autoRedefine/>
    <w:qFormat/>
    <w:uiPriority w:val="0"/>
    <w:rPr>
      <w:rFonts w:hint="default" w:ascii="仿宋_GB2312" w:eastAsia="仿宋_GB2312" w:cs="仿宋_GB2312"/>
      <w:color w:val="000000"/>
      <w:sz w:val="20"/>
      <w:szCs w:val="20"/>
      <w:u w:val="none"/>
    </w:rPr>
  </w:style>
  <w:style w:type="character" w:customStyle="1" w:styleId="105">
    <w:name w:val="font51"/>
    <w:basedOn w:val="34"/>
    <w:autoRedefine/>
    <w:qFormat/>
    <w:uiPriority w:val="0"/>
    <w:rPr>
      <w:rFonts w:ascii="Calibri" w:hAnsi="Calibri" w:cs="Calibri"/>
      <w:color w:val="000000"/>
      <w:sz w:val="20"/>
      <w:szCs w:val="20"/>
      <w:u w:val="none"/>
    </w:rPr>
  </w:style>
  <w:style w:type="character" w:customStyle="1" w:styleId="106">
    <w:name w:val="font31"/>
    <w:basedOn w:val="34"/>
    <w:autoRedefine/>
    <w:qFormat/>
    <w:uiPriority w:val="0"/>
    <w:rPr>
      <w:rFonts w:hint="eastAsia" w:ascii="宋体" w:hAnsi="宋体" w:eastAsia="宋体" w:cs="宋体"/>
      <w:color w:val="000000"/>
      <w:sz w:val="22"/>
      <w:szCs w:val="22"/>
      <w:u w:val="none"/>
    </w:rPr>
  </w:style>
  <w:style w:type="character" w:customStyle="1" w:styleId="107">
    <w:name w:val="font01"/>
    <w:basedOn w:val="34"/>
    <w:autoRedefine/>
    <w:qFormat/>
    <w:uiPriority w:val="0"/>
    <w:rPr>
      <w:rFonts w:ascii="Arial" w:hAnsi="Arial" w:cs="Arial"/>
      <w:color w:val="000000"/>
      <w:sz w:val="22"/>
      <w:szCs w:val="22"/>
      <w:u w:val="none"/>
    </w:rPr>
  </w:style>
  <w:style w:type="paragraph" w:customStyle="1" w:styleId="108">
    <w:name w:val="Other|1"/>
    <w:basedOn w:val="1"/>
    <w:autoRedefine/>
    <w:qFormat/>
    <w:uiPriority w:val="0"/>
    <w:pPr>
      <w:spacing w:line="434" w:lineRule="auto"/>
      <w:ind w:firstLine="400"/>
      <w:jc w:val="left"/>
    </w:pPr>
    <w:rPr>
      <w:rFonts w:ascii="宋体" w:hAnsi="宋体" w:eastAsia="宋体" w:cs="宋体"/>
      <w:sz w:val="28"/>
      <w:szCs w:val="28"/>
      <w:lang w:val="zh-TW" w:eastAsia="zh-TW" w:bidi="zh-TW"/>
    </w:rPr>
  </w:style>
  <w:style w:type="character" w:customStyle="1" w:styleId="109">
    <w:name w:val="font21"/>
    <w:basedOn w:val="34"/>
    <w:autoRedefine/>
    <w:qFormat/>
    <w:uiPriority w:val="0"/>
    <w:rPr>
      <w:rFonts w:ascii="Calibri" w:hAnsi="Calibri" w:cs="Calibri"/>
      <w:color w:val="000000"/>
      <w:sz w:val="21"/>
      <w:szCs w:val="21"/>
      <w:u w:val="none"/>
    </w:rPr>
  </w:style>
  <w:style w:type="character" w:customStyle="1" w:styleId="110">
    <w:name w:val="font41"/>
    <w:basedOn w:val="34"/>
    <w:autoRedefine/>
    <w:qFormat/>
    <w:uiPriority w:val="0"/>
    <w:rPr>
      <w:rFonts w:hint="eastAsia" w:ascii="宋体" w:hAnsi="宋体" w:eastAsia="宋体" w:cs="宋体"/>
      <w:color w:val="000000"/>
      <w:sz w:val="20"/>
      <w:szCs w:val="20"/>
      <w:u w:val="none"/>
    </w:rPr>
  </w:style>
  <w:style w:type="character" w:customStyle="1" w:styleId="111">
    <w:name w:val="font81"/>
    <w:basedOn w:val="34"/>
    <w:autoRedefine/>
    <w:qFormat/>
    <w:uiPriority w:val="0"/>
    <w:rPr>
      <w:rFonts w:hint="default" w:ascii="Times New Roman" w:hAnsi="Times New Roman" w:cs="Times New Roman"/>
      <w:b/>
      <w:bCs/>
      <w:color w:val="000000"/>
      <w:sz w:val="20"/>
      <w:szCs w:val="20"/>
      <w:u w:val="none"/>
    </w:rPr>
  </w:style>
  <w:style w:type="character" w:customStyle="1" w:styleId="112">
    <w:name w:val="font101"/>
    <w:basedOn w:val="34"/>
    <w:autoRedefine/>
    <w:qFormat/>
    <w:uiPriority w:val="0"/>
    <w:rPr>
      <w:rFonts w:hint="default" w:ascii="Times New Roman" w:hAnsi="Times New Roman" w:cs="Times New Roman"/>
      <w:b/>
      <w:bCs/>
      <w:color w:val="000000"/>
      <w:sz w:val="20"/>
      <w:szCs w:val="20"/>
      <w:u w:val="none"/>
      <w:vertAlign w:val="superscript"/>
    </w:rPr>
  </w:style>
  <w:style w:type="character" w:customStyle="1" w:styleId="113">
    <w:name w:val="font91"/>
    <w:basedOn w:val="34"/>
    <w:autoRedefine/>
    <w:qFormat/>
    <w:uiPriority w:val="0"/>
    <w:rPr>
      <w:rFonts w:hint="default" w:ascii="Times New Roman" w:hAnsi="Times New Roman" w:cs="Times New Roman"/>
      <w:color w:val="000000"/>
      <w:sz w:val="18"/>
      <w:szCs w:val="18"/>
      <w:u w:val="none"/>
    </w:rPr>
  </w:style>
  <w:style w:type="character" w:customStyle="1" w:styleId="114">
    <w:name w:val="font112"/>
    <w:basedOn w:val="34"/>
    <w:autoRedefine/>
    <w:qFormat/>
    <w:uiPriority w:val="0"/>
    <w:rPr>
      <w:rFonts w:hint="default" w:ascii="Times New Roman" w:hAnsi="Times New Roman" w:cs="Times New Roman"/>
      <w:color w:val="000000"/>
      <w:sz w:val="18"/>
      <w:szCs w:val="18"/>
      <w:u w:val="none"/>
      <w:vertAlign w:val="superscript"/>
    </w:rPr>
  </w:style>
  <w:style w:type="character" w:customStyle="1" w:styleId="115">
    <w:name w:val="font61"/>
    <w:basedOn w:val="34"/>
    <w:autoRedefine/>
    <w:qFormat/>
    <w:uiPriority w:val="0"/>
    <w:rPr>
      <w:rFonts w:hint="default" w:ascii="Times New Roman" w:hAnsi="Times New Roman" w:cs="Times New Roman"/>
      <w:color w:val="000000"/>
      <w:sz w:val="18"/>
      <w:szCs w:val="18"/>
      <w:u w:val="none"/>
    </w:rPr>
  </w:style>
  <w:style w:type="character" w:customStyle="1" w:styleId="116">
    <w:name w:val="font111"/>
    <w:basedOn w:val="34"/>
    <w:autoRedefine/>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1A7E7-4D4B-4A90-9479-F4C73054B38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190</Pages>
  <Words>89038</Words>
  <Characters>102253</Characters>
  <Lines>1</Lines>
  <Paragraphs>1</Paragraphs>
  <TotalTime>27</TotalTime>
  <ScaleCrop>false</ScaleCrop>
  <LinksUpToDate>false</LinksUpToDate>
  <CharactersWithSpaces>105050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2022-04-08T07:22:00Z</dcterms:created>
  <dc:creator>lenovo</dc:creator>
  <cp:lastModifiedBy>熊掌孙</cp:lastModifiedBy>
  <cp:lastPrinted>2022-11-18T06:16:00Z</cp:lastPrinted>
  <dcterms:modified xsi:type="dcterms:W3CDTF">2025-03-26T02:56:20Z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548B802051FF4E35AC099429A5D0F278_13</vt:lpwstr>
  </property>
  <property fmtid="{D5CDD505-2E9C-101B-9397-08002B2CF9AE}" pid="4" name="KSOTemplateDocerSaveRecord">
    <vt:lpwstr>eyJoZGlkIjoiZGI0ZGIzYmI2OWViZTMxZTU3NzUxZjAzNDk3YTI1NDQiLCJ1c2VySWQiOiIzMTA4NTYyNDIifQ==</vt:lpwstr>
  </property>
</Properties>
</file>