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05577">
      <w:pPr>
        <w:pStyle w:val="7"/>
        <w:bidi w:val="0"/>
        <w:rPr>
          <w:rFonts w:hint="default" w:ascii="Times New Roman" w:hAnsi="Times New Roman" w:cs="Times New Roman"/>
          <w:color w:val="auto"/>
        </w:rPr>
      </w:pPr>
    </w:p>
    <w:p w14:paraId="46E3FCA2">
      <w:pPr>
        <w:pStyle w:val="2"/>
        <w:rPr>
          <w:rFonts w:hint="default" w:ascii="Times New Roman" w:hAnsi="Times New Roman" w:cs="Times New Roman"/>
          <w:color w:val="auto"/>
        </w:rPr>
      </w:pPr>
    </w:p>
    <w:p w14:paraId="66F18F2C">
      <w:pPr>
        <w:rPr>
          <w:rFonts w:hint="default" w:ascii="Times New Roman" w:hAnsi="Times New Roman" w:cs="Times New Roman"/>
          <w:color w:val="auto"/>
        </w:rPr>
      </w:pPr>
    </w:p>
    <w:p w14:paraId="59101545">
      <w:pPr>
        <w:pStyle w:val="2"/>
        <w:rPr>
          <w:rFonts w:hint="default"/>
        </w:rPr>
      </w:pPr>
    </w:p>
    <w:p w14:paraId="44DF89B2">
      <w:pPr>
        <w:spacing w:line="240" w:lineRule="auto"/>
        <w:jc w:val="center"/>
        <w:rPr>
          <w:rFonts w:hint="default" w:ascii="Times New Roman" w:hAnsi="Times New Roman" w:eastAsia="方正小标宋简体" w:cs="Times New Roman"/>
          <w:b w:val="0"/>
          <w:bCs/>
          <w:color w:val="auto"/>
          <w:sz w:val="52"/>
          <w:szCs w:val="52"/>
        </w:rPr>
      </w:pPr>
      <w:r>
        <w:rPr>
          <w:rFonts w:hint="default" w:ascii="Times New Roman" w:hAnsi="Times New Roman" w:eastAsia="方正小标宋简体" w:cs="Times New Roman"/>
          <w:b w:val="0"/>
          <w:bCs/>
          <w:color w:val="auto"/>
          <w:kern w:val="0"/>
          <w:sz w:val="96"/>
          <w:szCs w:val="96"/>
          <w:lang w:val="en-US" w:eastAsia="zh-CN"/>
        </w:rPr>
        <w:t>汉台区</w:t>
      </w:r>
      <w:r>
        <w:rPr>
          <w:rFonts w:hint="default" w:ascii="Times New Roman" w:hAnsi="Times New Roman" w:eastAsia="方正小标宋简体" w:cs="Times New Roman"/>
          <w:b w:val="0"/>
          <w:bCs/>
          <w:color w:val="auto"/>
          <w:kern w:val="0"/>
          <w:sz w:val="96"/>
          <w:szCs w:val="96"/>
        </w:rPr>
        <w:t>政府采购中心</w:t>
      </w:r>
    </w:p>
    <w:p w14:paraId="7BA30527">
      <w:pPr>
        <w:spacing w:line="240" w:lineRule="auto"/>
        <w:jc w:val="center"/>
        <w:rPr>
          <w:rFonts w:hint="default" w:ascii="Times New Roman" w:hAnsi="Times New Roman" w:eastAsia="仿宋_GB2312" w:cs="Times New Roman"/>
          <w:color w:val="auto"/>
          <w:sz w:val="44"/>
          <w:szCs w:val="44"/>
          <w:lang w:eastAsia="zh-CN"/>
        </w:rPr>
      </w:pPr>
      <w:r>
        <w:rPr>
          <w:rFonts w:hint="default" w:ascii="Times New Roman" w:hAnsi="Times New Roman" w:eastAsia="方正小标宋简体" w:cs="Times New Roman"/>
          <w:b w:val="0"/>
          <w:bCs/>
          <w:color w:val="auto"/>
          <w:kern w:val="0"/>
          <w:sz w:val="96"/>
          <w:szCs w:val="96"/>
        </w:rPr>
        <w:t>竞争性磋商文件</w:t>
      </w:r>
    </w:p>
    <w:p w14:paraId="6F4D1AB5">
      <w:pPr>
        <w:pStyle w:val="40"/>
        <w:spacing w:line="240" w:lineRule="auto"/>
        <w:ind w:left="0" w:leftChars="0" w:right="424" w:rightChars="150" w:firstLine="0" w:firstLineChars="0"/>
        <w:jc w:val="center"/>
        <w:rPr>
          <w:rFonts w:hint="default" w:ascii="Times New Roman" w:hAnsi="Times New Roman" w:eastAsia="仿宋_GB2312" w:cs="Times New Roman"/>
          <w:b w:val="0"/>
          <w:bCs w:val="0"/>
          <w:color w:val="auto"/>
          <w:w w:val="100"/>
          <w:sz w:val="36"/>
          <w:szCs w:val="36"/>
        </w:rPr>
      </w:pPr>
      <w:r>
        <w:rPr>
          <w:rFonts w:hint="default" w:ascii="Times New Roman" w:hAnsi="Times New Roman" w:eastAsia="仿宋_GB2312" w:cs="Times New Roman"/>
          <w:color w:val="auto"/>
          <w:sz w:val="44"/>
          <w:szCs w:val="44"/>
          <w:lang w:eastAsia="zh-CN"/>
        </w:rPr>
        <w:t>（专门</w:t>
      </w:r>
      <w:r>
        <w:rPr>
          <w:rFonts w:hint="default" w:ascii="Times New Roman" w:hAnsi="Times New Roman" w:eastAsia="仿宋_GB2312" w:cs="Times New Roman"/>
          <w:color w:val="auto"/>
          <w:sz w:val="44"/>
          <w:szCs w:val="44"/>
          <w:lang w:val="en-US" w:eastAsia="zh-CN"/>
        </w:rPr>
        <w:t>面向中小企业采购</w:t>
      </w:r>
      <w:r>
        <w:rPr>
          <w:rFonts w:hint="default" w:ascii="Times New Roman" w:hAnsi="Times New Roman" w:eastAsia="仿宋_GB2312" w:cs="Times New Roman"/>
          <w:color w:val="auto"/>
          <w:sz w:val="44"/>
          <w:szCs w:val="44"/>
          <w:lang w:eastAsia="zh-CN"/>
        </w:rPr>
        <w:t>）</w:t>
      </w:r>
    </w:p>
    <w:p w14:paraId="58E5EC8E">
      <w:pPr>
        <w:spacing w:line="240" w:lineRule="auto"/>
        <w:ind w:right="707" w:rightChars="250" w:firstLine="323" w:firstLineChars="100"/>
        <w:jc w:val="left"/>
        <w:rPr>
          <w:rFonts w:hint="default" w:ascii="Times New Roman" w:hAnsi="Times New Roman" w:eastAsia="仿宋_GB2312" w:cs="Times New Roman"/>
          <w:b w:val="0"/>
          <w:bCs w:val="0"/>
          <w:color w:val="auto"/>
          <w:w w:val="100"/>
          <w:sz w:val="32"/>
          <w:szCs w:val="32"/>
        </w:rPr>
      </w:pPr>
    </w:p>
    <w:p w14:paraId="48287FE8">
      <w:pPr>
        <w:pStyle w:val="2"/>
        <w:rPr>
          <w:rFonts w:hint="default"/>
        </w:rPr>
      </w:pPr>
      <w:bookmarkStart w:id="313" w:name="_GoBack"/>
      <w:bookmarkEnd w:id="313"/>
    </w:p>
    <w:p w14:paraId="2D4B3D6E">
      <w:pPr>
        <w:keepNext w:val="0"/>
        <w:keepLines w:val="0"/>
        <w:pageBreakBefore w:val="0"/>
        <w:widowControl/>
        <w:kinsoku/>
        <w:wordWrap/>
        <w:overflowPunct/>
        <w:topLinePunct w:val="0"/>
        <w:autoSpaceDE/>
        <w:autoSpaceDN/>
        <w:bidi w:val="0"/>
        <w:adjustRightInd/>
        <w:snapToGrid/>
        <w:spacing w:line="240" w:lineRule="auto"/>
        <w:ind w:right="707" w:rightChars="250" w:firstLine="969" w:firstLineChars="300"/>
        <w:jc w:val="left"/>
        <w:textAlignment w:val="auto"/>
        <w:rPr>
          <w:rFonts w:hint="default" w:ascii="Times New Roman" w:hAnsi="Times New Roman" w:eastAsia="仿宋_GB2312" w:cs="Times New Roman"/>
          <w:b w:val="0"/>
          <w:bCs w:val="0"/>
          <w:color w:val="auto"/>
          <w:w w:val="95"/>
          <w:sz w:val="32"/>
          <w:szCs w:val="32"/>
          <w:highlight w:val="yellow"/>
          <w:lang w:val="en-US" w:eastAsia="zh-CN"/>
        </w:rPr>
      </w:pPr>
      <w:r>
        <w:rPr>
          <w:rFonts w:hint="default" w:ascii="Times New Roman" w:hAnsi="Times New Roman" w:eastAsia="仿宋_GB2312" w:cs="Times New Roman"/>
          <w:b w:val="0"/>
          <w:bCs w:val="0"/>
          <w:color w:val="auto"/>
          <w:w w:val="100"/>
          <w:sz w:val="32"/>
          <w:szCs w:val="32"/>
        </w:rPr>
        <w:t>项目名称</w:t>
      </w:r>
      <w:r>
        <w:rPr>
          <w:rFonts w:hint="default" w:ascii="Times New Roman" w:hAnsi="Times New Roman" w:eastAsia="仿宋_GB2312" w:cs="Times New Roman"/>
          <w:b w:val="0"/>
          <w:bCs w:val="0"/>
          <w:color w:val="auto"/>
          <w:w w:val="100"/>
          <w:sz w:val="32"/>
          <w:szCs w:val="32"/>
          <w:lang w:val="en-US" w:eastAsia="zh-CN"/>
        </w:rPr>
        <w:t>:汉台区委办公室安保服务采购项目</w:t>
      </w:r>
    </w:p>
    <w:p w14:paraId="04AF1957">
      <w:pPr>
        <w:keepNext w:val="0"/>
        <w:keepLines w:val="0"/>
        <w:pageBreakBefore w:val="0"/>
        <w:widowControl/>
        <w:kinsoku/>
        <w:wordWrap/>
        <w:overflowPunct/>
        <w:topLinePunct w:val="0"/>
        <w:autoSpaceDE/>
        <w:autoSpaceDN/>
        <w:bidi w:val="0"/>
        <w:adjustRightInd/>
        <w:snapToGrid/>
        <w:spacing w:line="240" w:lineRule="auto"/>
        <w:ind w:right="707" w:rightChars="250" w:firstLine="969" w:firstLineChars="3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项目编号：</w:t>
      </w:r>
      <w:bookmarkStart w:id="0" w:name="_Toc10222_WPSOffice_Level1"/>
      <w:bookmarkStart w:id="1" w:name="_Toc30340_WPSOffice_Level1"/>
      <w:bookmarkStart w:id="2" w:name="_Toc30102_WPSOffice_Level1"/>
      <w:r>
        <w:rPr>
          <w:rFonts w:hint="default" w:ascii="Times New Roman" w:hAnsi="Times New Roman" w:eastAsia="仿宋_GB2312" w:cs="Times New Roman"/>
          <w:b w:val="0"/>
          <w:bCs w:val="0"/>
          <w:color w:val="auto"/>
          <w:sz w:val="32"/>
          <w:szCs w:val="32"/>
          <w:lang w:val="en-US" w:eastAsia="zh-CN"/>
        </w:rPr>
        <w:t>汉区采FW【2025】01号</w:t>
      </w:r>
    </w:p>
    <w:p w14:paraId="5410DC48">
      <w:pPr>
        <w:rPr>
          <w:rFonts w:hint="default" w:ascii="Times New Roman" w:hAnsi="Times New Roman" w:cs="Times New Roman"/>
          <w:color w:val="auto"/>
          <w:lang w:val="en-US" w:eastAsia="zh-CN"/>
        </w:rPr>
      </w:pPr>
    </w:p>
    <w:p w14:paraId="5CA5778D">
      <w:pPr>
        <w:spacing w:line="240" w:lineRule="auto"/>
        <w:ind w:right="707" w:rightChars="250"/>
        <w:jc w:val="both"/>
        <w:rPr>
          <w:rFonts w:hint="default" w:ascii="Times New Roman" w:hAnsi="Times New Roman" w:eastAsia="仿宋_GB2312" w:cs="Times New Roman"/>
          <w:b w:val="0"/>
          <w:bCs w:val="0"/>
          <w:color w:val="auto"/>
          <w:w w:val="100"/>
          <w:sz w:val="36"/>
          <w:szCs w:val="36"/>
          <w:lang w:val="en-US" w:eastAsia="zh-CN"/>
        </w:rPr>
      </w:pPr>
    </w:p>
    <w:p w14:paraId="066BDD4B">
      <w:pPr>
        <w:pStyle w:val="2"/>
        <w:jc w:val="both"/>
        <w:rPr>
          <w:rFonts w:hint="default" w:ascii="Times New Roman" w:hAnsi="Times New Roman" w:eastAsia="仿宋_GB2312" w:cs="Times New Roman"/>
          <w:b w:val="0"/>
          <w:bCs w:val="0"/>
          <w:color w:val="auto"/>
          <w:w w:val="100"/>
          <w:sz w:val="36"/>
          <w:szCs w:val="36"/>
          <w:lang w:val="en-US" w:eastAsia="zh-CN"/>
        </w:rPr>
      </w:pPr>
    </w:p>
    <w:p w14:paraId="0D3A2BB9">
      <w:pPr>
        <w:rPr>
          <w:rFonts w:hint="default" w:ascii="Times New Roman" w:hAnsi="Times New Roman" w:eastAsia="仿宋_GB2312" w:cs="Times New Roman"/>
          <w:b w:val="0"/>
          <w:bCs w:val="0"/>
          <w:color w:val="auto"/>
          <w:w w:val="100"/>
          <w:sz w:val="36"/>
          <w:szCs w:val="36"/>
          <w:lang w:val="en-US" w:eastAsia="zh-CN"/>
        </w:rPr>
      </w:pPr>
    </w:p>
    <w:p w14:paraId="7BC60FA5">
      <w:pPr>
        <w:pStyle w:val="2"/>
        <w:rPr>
          <w:rFonts w:hint="default" w:ascii="Times New Roman" w:hAnsi="Times New Roman" w:eastAsia="仿宋_GB2312" w:cs="Times New Roman"/>
          <w:b w:val="0"/>
          <w:bCs w:val="0"/>
          <w:color w:val="auto"/>
          <w:w w:val="100"/>
          <w:sz w:val="36"/>
          <w:szCs w:val="36"/>
          <w:lang w:val="en-US" w:eastAsia="zh-CN"/>
        </w:rPr>
      </w:pPr>
    </w:p>
    <w:p w14:paraId="45BABB61">
      <w:pPr>
        <w:rPr>
          <w:rFonts w:hint="default" w:ascii="Times New Roman" w:hAnsi="Times New Roman" w:cs="Times New Roman"/>
          <w:lang w:val="en-US" w:eastAsia="zh-CN"/>
        </w:rPr>
      </w:pPr>
    </w:p>
    <w:p w14:paraId="682B5105">
      <w:pPr>
        <w:rPr>
          <w:rFonts w:hint="default" w:ascii="Times New Roman" w:hAnsi="Times New Roman" w:cs="Times New Roman"/>
          <w:lang w:val="en-US" w:eastAsia="zh-CN"/>
        </w:rPr>
      </w:pPr>
    </w:p>
    <w:p w14:paraId="66A3E23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_GB2312" w:cs="Times New Roman"/>
          <w:b w:val="0"/>
          <w:bCs w:val="0"/>
          <w:color w:val="auto"/>
          <w:w w:val="100"/>
          <w:sz w:val="36"/>
          <w:szCs w:val="36"/>
          <w:lang w:val="en-US" w:eastAsia="zh-CN"/>
        </w:rPr>
      </w:pPr>
      <w:r>
        <w:rPr>
          <w:rFonts w:hint="default" w:ascii="Times New Roman" w:hAnsi="Times New Roman" w:eastAsia="仿宋_GB2312" w:cs="Times New Roman"/>
          <w:b w:val="0"/>
          <w:bCs w:val="0"/>
          <w:color w:val="auto"/>
          <w:w w:val="100"/>
          <w:sz w:val="36"/>
          <w:szCs w:val="36"/>
          <w:lang w:val="en-US" w:eastAsia="zh-CN"/>
        </w:rPr>
        <w:t>2025年3月</w:t>
      </w:r>
    </w:p>
    <w:p w14:paraId="283395CB">
      <w:pPr>
        <w:spacing w:line="240" w:lineRule="auto"/>
        <w:ind w:left="2539" w:leftChars="256" w:right="707" w:rightChars="250" w:hanging="1815" w:hangingChars="500"/>
        <w:jc w:val="left"/>
        <w:rPr>
          <w:rFonts w:hint="default" w:ascii="Times New Roman" w:hAnsi="Times New Roman" w:eastAsia="仿宋_GB2312" w:cs="Times New Roman"/>
          <w:b w:val="0"/>
          <w:bCs w:val="0"/>
          <w:color w:val="auto"/>
          <w:w w:val="100"/>
          <w:sz w:val="36"/>
          <w:szCs w:val="36"/>
          <w:lang w:val="en-US" w:eastAsia="zh-CN"/>
        </w:rPr>
        <w:sectPr>
          <w:footerReference r:id="rId5" w:type="default"/>
          <w:pgSz w:w="11906" w:h="16838"/>
          <w:pgMar w:top="1587" w:right="1417" w:bottom="1417" w:left="1417" w:header="1020" w:footer="992" w:gutter="0"/>
          <w:pgBorders>
            <w:top w:val="none" w:sz="0" w:space="0"/>
            <w:left w:val="none" w:sz="0" w:space="0"/>
            <w:bottom w:val="none" w:sz="0" w:space="0"/>
            <w:right w:val="none" w:sz="0" w:space="0"/>
          </w:pgBorders>
          <w:pgNumType w:fmt="decimal" w:start="1"/>
          <w:cols w:space="0" w:num="1"/>
          <w:rtlGutter w:val="0"/>
          <w:docGrid w:type="linesAndChars" w:linePitch="381" w:charSpace="704"/>
        </w:sectPr>
      </w:pPr>
    </w:p>
    <w:p w14:paraId="1DBE360C">
      <w:pPr>
        <w:tabs>
          <w:tab w:val="right" w:leader="hyphen" w:pos="8504"/>
        </w:tabs>
        <w:spacing w:line="240" w:lineRule="auto"/>
        <w:ind w:right="0" w:rightChars="0"/>
        <w:jc w:val="both"/>
        <w:rPr>
          <w:rFonts w:hint="default" w:ascii="Times New Roman" w:hAnsi="Times New Roman" w:eastAsia="黑体" w:cs="Times New Roman"/>
          <w:b w:val="0"/>
          <w:bCs/>
          <w:color w:val="auto"/>
          <w:sz w:val="44"/>
        </w:rPr>
      </w:pPr>
    </w:p>
    <w:p w14:paraId="1CCB6251">
      <w:pPr>
        <w:keepNext w:val="0"/>
        <w:keepLines w:val="0"/>
        <w:pageBreakBefore w:val="0"/>
        <w:widowControl w:val="0"/>
        <w:tabs>
          <w:tab w:val="center" w:pos="4312"/>
          <w:tab w:val="left" w:pos="6627"/>
          <w:tab w:val="right" w:leader="hyphen" w:pos="8504"/>
        </w:tabs>
        <w:kinsoku/>
        <w:wordWrap/>
        <w:overflowPunct/>
        <w:topLinePunct w:val="0"/>
        <w:autoSpaceDE/>
        <w:autoSpaceDN/>
        <w:bidi w:val="0"/>
        <w:adjustRightInd/>
        <w:spacing w:after="381" w:afterLines="100" w:line="540" w:lineRule="exact"/>
        <w:ind w:right="566" w:rightChars="200"/>
        <w:jc w:val="center"/>
        <w:textAlignment w:val="auto"/>
        <w:rPr>
          <w:rFonts w:hint="default" w:ascii="Times New Roman" w:hAnsi="Times New Roman" w:eastAsia="方正小标宋简体" w:cs="Times New Roman"/>
          <w:b w:val="0"/>
          <w:bCs/>
          <w:color w:val="auto"/>
          <w:sz w:val="44"/>
          <w:lang w:eastAsia="zh-CN"/>
        </w:rPr>
      </w:pPr>
      <w:bookmarkStart w:id="3" w:name="_Toc5655"/>
      <w:bookmarkStart w:id="4" w:name="_Toc21489"/>
      <w:bookmarkStart w:id="5" w:name="_Toc26235"/>
      <w:r>
        <w:rPr>
          <w:rFonts w:hint="default" w:ascii="Times New Roman" w:hAnsi="Times New Roman" w:eastAsia="方正小标宋简体" w:cs="Times New Roman"/>
          <w:b w:val="0"/>
          <w:bCs/>
          <w:color w:val="auto"/>
          <w:sz w:val="44"/>
        </w:rPr>
        <w:t>目  录</w:t>
      </w:r>
    </w:p>
    <w:p w14:paraId="26DAC8C5">
      <w:pPr>
        <w:pStyle w:val="15"/>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cs="Times New Roman"/>
          <w:color w:val="auto"/>
          <w:highlight w:val="yellow"/>
        </w:rPr>
      </w:pPr>
    </w:p>
    <w:p w14:paraId="23956A4B">
      <w:pPr>
        <w:pStyle w:val="17"/>
        <w:keepNext w:val="0"/>
        <w:keepLines w:val="0"/>
        <w:pageBreakBefore w:val="0"/>
        <w:widowControl w:val="0"/>
        <w:tabs>
          <w:tab w:val="right" w:leader="dot" w:pos="9072"/>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cs="Times New Roman"/>
          <w:color w:val="auto"/>
          <w:sz w:val="32"/>
          <w:szCs w:val="32"/>
          <w:lang w:val="en-US" w:eastAsia="zh-CN"/>
        </w:rPr>
        <w:fldChar w:fldCharType="begin"/>
      </w:r>
      <w:r>
        <w:rPr>
          <w:rFonts w:hint="default" w:ascii="Times New Roman" w:hAnsi="Times New Roman" w:cs="Times New Roman"/>
          <w:color w:val="auto"/>
          <w:sz w:val="32"/>
          <w:szCs w:val="32"/>
          <w:lang w:val="en-US" w:eastAsia="zh-CN"/>
        </w:rPr>
        <w:instrText xml:space="preserve">TOC \o "1-2" \u </w:instrText>
      </w:r>
      <w:r>
        <w:rPr>
          <w:rFonts w:hint="default" w:ascii="Times New Roman" w:hAnsi="Times New Roman" w:cs="Times New Roman"/>
          <w:color w:val="auto"/>
          <w:sz w:val="32"/>
          <w:szCs w:val="32"/>
          <w:lang w:val="en-US" w:eastAsia="zh-CN"/>
        </w:rPr>
        <w:fldChar w:fldCharType="separate"/>
      </w:r>
      <w:r>
        <w:rPr>
          <w:rFonts w:hint="default" w:ascii="Times New Roman" w:hAnsi="Times New Roman" w:eastAsia="黑体" w:cs="Times New Roman"/>
          <w:color w:val="auto"/>
          <w:sz w:val="32"/>
          <w:szCs w:val="32"/>
        </w:rPr>
        <w:t>第一章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磋商邀请函</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_Toc8073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fldChar w:fldCharType="end"/>
      </w:r>
    </w:p>
    <w:p w14:paraId="176240A7">
      <w:pPr>
        <w:pStyle w:val="17"/>
        <w:keepNext w:val="0"/>
        <w:keepLines w:val="0"/>
        <w:pageBreakBefore w:val="0"/>
        <w:widowControl w:val="0"/>
        <w:tabs>
          <w:tab w:val="right" w:leader="dot" w:pos="9072"/>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color w:val="auto"/>
          <w:sz w:val="32"/>
          <w:szCs w:val="32"/>
        </w:rPr>
        <w:t xml:space="preserve">第二章 </w:t>
      </w:r>
      <w:r>
        <w:rPr>
          <w:rFonts w:hint="default" w:ascii="Times New Roman" w:hAnsi="Times New Roman" w:eastAsia="黑体" w:cs="Times New Roman"/>
          <w:bCs/>
          <w:color w:val="auto"/>
          <w:sz w:val="32"/>
          <w:szCs w:val="32"/>
          <w:lang w:val="en-US" w:eastAsia="zh-CN"/>
        </w:rPr>
        <w:t xml:space="preserve"> </w:t>
      </w:r>
      <w:r>
        <w:rPr>
          <w:rFonts w:hint="default" w:ascii="Times New Roman" w:hAnsi="Times New Roman" w:eastAsia="黑体" w:cs="Times New Roman"/>
          <w:bCs/>
          <w:color w:val="auto"/>
          <w:sz w:val="32"/>
          <w:szCs w:val="32"/>
        </w:rPr>
        <w:t>供应商须知</w:t>
      </w:r>
      <w:r>
        <w:rPr>
          <w:rFonts w:hint="default"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4</w:t>
      </w:r>
    </w:p>
    <w:p w14:paraId="7EDAB05A">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一、定义</w:t>
      </w:r>
      <w:r>
        <w:rPr>
          <w:rFonts w:hint="default"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4</w:t>
      </w:r>
    </w:p>
    <w:p w14:paraId="07CA8082">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二、供应商注意事项</w:t>
      </w:r>
      <w:r>
        <w:rPr>
          <w:rFonts w:hint="default"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4</w:t>
      </w:r>
    </w:p>
    <w:p w14:paraId="79DF39B3">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三、磋商文件</w:t>
      </w:r>
      <w:r>
        <w:rPr>
          <w:rFonts w:hint="default"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8</w:t>
      </w:r>
    </w:p>
    <w:p w14:paraId="15483BEF">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、磋商报价</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_Toc3559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rPr>
        <w:fldChar w:fldCharType="end"/>
      </w:r>
    </w:p>
    <w:p w14:paraId="104C8461">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磋商</w:t>
      </w:r>
      <w:r>
        <w:rPr>
          <w:rFonts w:hint="default" w:ascii="Times New Roman" w:hAnsi="Times New Roman" w:eastAsia="仿宋_GB2312" w:cs="Times New Roman"/>
          <w:color w:val="auto"/>
          <w:sz w:val="32"/>
          <w:szCs w:val="32"/>
        </w:rPr>
        <w:t>响应文件</w:t>
      </w:r>
      <w:r>
        <w:rPr>
          <w:rFonts w:hint="default" w:ascii="Times New Roman" w:hAnsi="Times New Roman" w:eastAsia="仿宋_GB2312" w:cs="Times New Roman"/>
          <w:color w:val="auto"/>
          <w:sz w:val="32"/>
          <w:szCs w:val="32"/>
          <w:lang w:eastAsia="zh-CN"/>
        </w:rPr>
        <w:t>的编制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_Toc12154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rPr>
        <w:fldChar w:fldCharType="end"/>
      </w:r>
    </w:p>
    <w:p w14:paraId="4DD2671F">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响应文件开启</w:t>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0</w:t>
      </w:r>
    </w:p>
    <w:p w14:paraId="5E6FB8E3">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七、组织评审</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1</w:t>
      </w:r>
    </w:p>
    <w:p w14:paraId="552BB514">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成交</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p>
    <w:p w14:paraId="6097511D">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rPr>
        <w:t>、签订</w:t>
      </w:r>
      <w:r>
        <w:rPr>
          <w:rFonts w:hint="default" w:ascii="Times New Roman" w:hAnsi="Times New Roman" w:eastAsia="仿宋_GB2312" w:cs="Times New Roman"/>
          <w:color w:val="auto"/>
          <w:kern w:val="0"/>
          <w:sz w:val="32"/>
          <w:szCs w:val="32"/>
        </w:rPr>
        <w:t>政府采购合同</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_Toc23938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23</w:t>
      </w:r>
      <w:r>
        <w:rPr>
          <w:rFonts w:hint="default" w:ascii="Times New Roman" w:hAnsi="Times New Roman" w:eastAsia="仿宋_GB2312" w:cs="Times New Roman"/>
          <w:color w:val="auto"/>
          <w:sz w:val="32"/>
          <w:szCs w:val="32"/>
        </w:rPr>
        <w:fldChar w:fldCharType="end"/>
      </w:r>
    </w:p>
    <w:p w14:paraId="2179709C">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十、项目验收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p>
    <w:p w14:paraId="3960B121">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十一、付款方式</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p>
    <w:p w14:paraId="258A8893">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十二、</w:t>
      </w:r>
      <w:r>
        <w:rPr>
          <w:rFonts w:hint="default" w:ascii="Times New Roman" w:hAnsi="Times New Roman" w:eastAsia="仿宋_GB2312" w:cs="Times New Roman"/>
          <w:color w:val="auto"/>
          <w:sz w:val="32"/>
          <w:szCs w:val="32"/>
        </w:rPr>
        <w:t>采购代理服务费</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p>
    <w:p w14:paraId="6A83C30E">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十三、其他约定</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p>
    <w:p w14:paraId="36B5C190">
      <w:pPr>
        <w:pStyle w:val="17"/>
        <w:keepNext w:val="0"/>
        <w:keepLines w:val="0"/>
        <w:pageBreakBefore w:val="0"/>
        <w:widowControl w:val="0"/>
        <w:tabs>
          <w:tab w:val="right" w:leader="dot" w:pos="9072"/>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color w:val="auto"/>
          <w:sz w:val="32"/>
          <w:szCs w:val="32"/>
        </w:rPr>
        <w:t>第三章  磋商内容及采购要求</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5</w:t>
      </w:r>
    </w:p>
    <w:p w14:paraId="7BC5C3F9">
      <w:pPr>
        <w:pStyle w:val="17"/>
        <w:keepNext w:val="0"/>
        <w:keepLines w:val="0"/>
        <w:pageBreakBefore w:val="0"/>
        <w:widowControl w:val="0"/>
        <w:tabs>
          <w:tab w:val="right" w:leader="dot" w:pos="9072"/>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 xml:space="preserve">第四章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合同</w:t>
      </w:r>
      <w:r>
        <w:rPr>
          <w:rFonts w:hint="default" w:ascii="Times New Roman" w:hAnsi="Times New Roman" w:eastAsia="黑体" w:cs="Times New Roman"/>
          <w:color w:val="auto"/>
          <w:sz w:val="32"/>
          <w:szCs w:val="32"/>
          <w:lang w:val="en-US" w:eastAsia="zh-CN"/>
        </w:rPr>
        <w:t>草案</w:t>
      </w:r>
      <w:r>
        <w:rPr>
          <w:rFonts w:hint="default" w:ascii="Times New Roman" w:hAnsi="Times New Roman" w:eastAsia="黑体" w:cs="Times New Roman"/>
          <w:color w:val="auto"/>
          <w:sz w:val="32"/>
          <w:szCs w:val="32"/>
        </w:rPr>
        <w:t>条款</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7</w:t>
      </w:r>
    </w:p>
    <w:p w14:paraId="022E1AAE">
      <w:pPr>
        <w:pStyle w:val="17"/>
        <w:keepNext w:val="0"/>
        <w:keepLines w:val="0"/>
        <w:pageBreakBefore w:val="0"/>
        <w:widowControl w:val="0"/>
        <w:tabs>
          <w:tab w:val="right" w:leader="dot" w:pos="9072"/>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color w:val="auto"/>
          <w:sz w:val="32"/>
          <w:szCs w:val="32"/>
        </w:rPr>
        <w:t>第五章  响应文件构成及格式</w:t>
      </w:r>
      <w:r>
        <w:rPr>
          <w:rFonts w:hint="default" w:ascii="Times New Roman" w:hAnsi="Times New Roman" w:eastAsia="仿宋_GB2312" w:cs="Times New Roman"/>
          <w:color w:val="auto"/>
          <w:sz w:val="32"/>
          <w:szCs w:val="32"/>
        </w:rPr>
        <w:tab/>
      </w:r>
      <w:r>
        <w:rPr>
          <w:rFonts w:hint="eastAsia" w:ascii="Times New Roman" w:hAnsi="Times New Roman" w:eastAsia="仿宋_GB2312" w:cs="Times New Roman"/>
          <w:color w:val="auto"/>
          <w:sz w:val="32"/>
          <w:szCs w:val="32"/>
          <w:lang w:val="en-US" w:eastAsia="zh-CN"/>
        </w:rPr>
        <w:t>28</w:t>
      </w:r>
    </w:p>
    <w:p w14:paraId="6CCEF085">
      <w:pPr>
        <w:pStyle w:val="17"/>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color w:val="auto"/>
          <w:sz w:val="32"/>
          <w:szCs w:val="32"/>
        </w:rPr>
        <w:t>第一部分  资格证明文件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1</w:t>
      </w:r>
    </w:p>
    <w:p w14:paraId="0DAB60E7">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第二部分  符合性证明文件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PAGEREF _Toc9751 \h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40</w:t>
      </w:r>
      <w:r>
        <w:rPr>
          <w:rFonts w:hint="default" w:ascii="Times New Roman" w:hAnsi="Times New Roman" w:eastAsia="仿宋_GB2312" w:cs="Times New Roman"/>
          <w:color w:val="auto"/>
          <w:sz w:val="32"/>
          <w:szCs w:val="32"/>
        </w:rPr>
        <w:fldChar w:fldCharType="end"/>
      </w:r>
    </w:p>
    <w:p w14:paraId="03471724">
      <w:pPr>
        <w:pStyle w:val="19"/>
        <w:keepNext w:val="0"/>
        <w:keepLines w:val="0"/>
        <w:pageBreakBefore w:val="0"/>
        <w:widowControl w:val="0"/>
        <w:tabs>
          <w:tab w:val="right" w:leader="dot" w:pos="9072"/>
        </w:tabs>
        <w:kinsoku/>
        <w:wordWrap/>
        <w:overflowPunct/>
        <w:topLinePunct w:val="0"/>
        <w:autoSpaceDE/>
        <w:autoSpaceDN/>
        <w:bidi w:val="0"/>
        <w:adjustRightInd/>
        <w:snapToGrid/>
        <w:spacing w:line="540" w:lineRule="exact"/>
        <w:ind w:left="0" w:leftChars="0" w:firstLine="646"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bCs w:val="0"/>
          <w:color w:val="auto"/>
          <w:sz w:val="32"/>
          <w:szCs w:val="32"/>
        </w:rPr>
        <w:t>第三部分  响应方案</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6</w:t>
      </w:r>
    </w:p>
    <w:p w14:paraId="224FAA77">
      <w:pPr>
        <w:pStyle w:val="3"/>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b w:val="0"/>
          <w:color w:val="auto"/>
          <w:sz w:val="32"/>
          <w:szCs w:val="32"/>
        </w:rPr>
        <w:sectPr>
          <w:headerReference r:id="rId6" w:type="default"/>
          <w:footerReference r:id="rId7" w:type="default"/>
          <w:pgSz w:w="11906" w:h="16838"/>
          <w:pgMar w:top="1587" w:right="1417" w:bottom="1417" w:left="1417" w:header="1020" w:footer="992" w:gutter="0"/>
          <w:pgBorders>
            <w:top w:val="none" w:sz="0" w:space="0"/>
            <w:left w:val="none" w:sz="0" w:space="0"/>
            <w:bottom w:val="none" w:sz="0" w:space="0"/>
            <w:right w:val="none" w:sz="0" w:space="0"/>
          </w:pgBorders>
          <w:pgNumType w:fmt="decimal" w:start="1"/>
          <w:cols w:space="0" w:num="1"/>
          <w:rtlGutter w:val="0"/>
          <w:docGrid w:type="linesAndChars" w:linePitch="381" w:charSpace="704"/>
        </w:sectPr>
      </w:pPr>
    </w:p>
    <w:p w14:paraId="5DA9E2AD">
      <w:pPr>
        <w:pStyle w:val="3"/>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b w:val="0"/>
          <w:color w:val="auto"/>
          <w:sz w:val="32"/>
          <w:szCs w:val="32"/>
        </w:rPr>
      </w:pPr>
      <w:r>
        <w:rPr>
          <w:rFonts w:hint="default" w:ascii="Times New Roman" w:hAnsi="Times New Roman" w:eastAsia="仿宋_GB2312" w:cs="Times New Roman"/>
          <w:color w:val="auto"/>
          <w:sz w:val="32"/>
          <w:szCs w:val="32"/>
          <w:lang w:val="en-US" w:eastAsia="zh-CN"/>
        </w:rPr>
        <w:fldChar w:fldCharType="end"/>
      </w:r>
      <w:r>
        <w:rPr>
          <w:rFonts w:hint="default" w:ascii="Times New Roman" w:hAnsi="Times New Roman" w:eastAsia="黑体" w:cs="Times New Roman"/>
          <w:b w:val="0"/>
          <w:color w:val="auto"/>
          <w:sz w:val="32"/>
          <w:szCs w:val="32"/>
        </w:rPr>
        <w:t xml:space="preserve"> </w:t>
      </w:r>
      <w:bookmarkStart w:id="6" w:name="_Toc8073"/>
      <w:r>
        <w:rPr>
          <w:rFonts w:hint="default" w:ascii="Times New Roman" w:hAnsi="Times New Roman" w:eastAsia="黑体" w:cs="Times New Roman"/>
          <w:b w:val="0"/>
          <w:color w:val="auto"/>
          <w:sz w:val="32"/>
          <w:szCs w:val="32"/>
        </w:rPr>
        <w:t>磋商邀请函</w:t>
      </w:r>
      <w:bookmarkEnd w:id="0"/>
      <w:bookmarkEnd w:id="1"/>
      <w:bookmarkEnd w:id="2"/>
      <w:bookmarkEnd w:id="3"/>
      <w:bookmarkEnd w:id="4"/>
      <w:bookmarkEnd w:id="5"/>
      <w:bookmarkEnd w:id="6"/>
    </w:p>
    <w:p w14:paraId="7DB9E626">
      <w:pPr>
        <w:keepLines w:val="0"/>
        <w:pageBreakBefore w:val="0"/>
        <w:widowControl w:val="0"/>
        <w:kinsoku/>
        <w:wordWrap/>
        <w:overflowPunct/>
        <w:topLinePunct w:val="0"/>
        <w:bidi w:val="0"/>
        <w:snapToGrid/>
        <w:spacing w:line="500" w:lineRule="exact"/>
        <w:textAlignment w:val="auto"/>
        <w:rPr>
          <w:rFonts w:hint="default" w:ascii="Times New Roman" w:hAnsi="Times New Roman" w:eastAsia="仿宋_GB2312" w:cs="Times New Roman"/>
          <w:color w:val="auto"/>
          <w:sz w:val="28"/>
          <w:szCs w:val="28"/>
        </w:rPr>
      </w:pPr>
    </w:p>
    <w:p w14:paraId="69A066F9">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项目概况</w:t>
      </w:r>
    </w:p>
    <w:p w14:paraId="1D673ADA">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single"/>
          <w:lang w:val="en-US" w:eastAsia="zh-CN"/>
        </w:rPr>
        <w:t>汉台区委办公室安保服务采购项目</w:t>
      </w:r>
      <w:r>
        <w:rPr>
          <w:rFonts w:hint="default" w:ascii="Times New Roman" w:hAnsi="Times New Roman" w:eastAsia="仿宋_GB2312" w:cs="Times New Roman"/>
          <w:color w:val="auto"/>
          <w:sz w:val="28"/>
          <w:szCs w:val="28"/>
        </w:rPr>
        <w:t>的潜在供应商应在</w:t>
      </w:r>
      <w:r>
        <w:rPr>
          <w:rFonts w:hint="default" w:ascii="Times New Roman" w:hAnsi="Times New Roman" w:eastAsia="仿宋_GB2312" w:cs="Times New Roman"/>
          <w:color w:val="auto"/>
          <w:sz w:val="28"/>
          <w:szCs w:val="28"/>
          <w:u w:val="single"/>
          <w:lang w:val="en-US" w:eastAsia="zh-CN"/>
        </w:rPr>
        <w:t xml:space="preserve"> 汉中市汉台区政府采购中心 </w:t>
      </w:r>
      <w:r>
        <w:rPr>
          <w:rFonts w:hint="default" w:ascii="Times New Roman" w:hAnsi="Times New Roman" w:eastAsia="仿宋_GB2312" w:cs="Times New Roman"/>
          <w:color w:val="auto"/>
          <w:sz w:val="28"/>
          <w:szCs w:val="28"/>
        </w:rPr>
        <w:t>获取</w:t>
      </w:r>
      <w:r>
        <w:rPr>
          <w:rFonts w:hint="default" w:ascii="Times New Roman" w:hAnsi="Times New Roman" w:eastAsia="仿宋_GB2312" w:cs="Times New Roman"/>
          <w:color w:val="auto"/>
          <w:sz w:val="28"/>
          <w:szCs w:val="28"/>
          <w:lang w:eastAsia="zh-CN"/>
        </w:rPr>
        <w:t>磋商文件</w:t>
      </w:r>
      <w:r>
        <w:rPr>
          <w:rFonts w:hint="default" w:ascii="Times New Roman" w:hAnsi="Times New Roman" w:eastAsia="仿宋_GB2312" w:cs="Times New Roman"/>
          <w:color w:val="auto"/>
          <w:sz w:val="28"/>
          <w:szCs w:val="28"/>
        </w:rPr>
        <w:t>，并于</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u w:val="single"/>
          <w:lang w:val="en-US" w:eastAsia="zh-CN"/>
        </w:rPr>
        <w:t>2025年4月11日9点00分</w:t>
      </w:r>
      <w:r>
        <w:rPr>
          <w:rFonts w:hint="default" w:ascii="Times New Roman" w:hAnsi="Times New Roman" w:eastAsia="仿宋_GB2312" w:cs="Times New Roman"/>
          <w:bCs/>
          <w:color w:val="auto"/>
          <w:sz w:val="28"/>
          <w:szCs w:val="28"/>
        </w:rPr>
        <w:t>（北京时间）前提交响应文件</w:t>
      </w:r>
      <w:r>
        <w:rPr>
          <w:rFonts w:hint="default" w:ascii="Times New Roman" w:hAnsi="Times New Roman" w:eastAsia="仿宋_GB2312" w:cs="Times New Roman"/>
          <w:color w:val="auto"/>
          <w:sz w:val="28"/>
          <w:szCs w:val="28"/>
        </w:rPr>
        <w:t>。</w:t>
      </w:r>
    </w:p>
    <w:p w14:paraId="483D7B55">
      <w:pPr>
        <w:keepLines w:val="0"/>
        <w:pageBreakBefore w:val="0"/>
        <w:widowControl w:val="0"/>
        <w:kinsoku/>
        <w:wordWrap/>
        <w:overflowPunct/>
        <w:topLinePunct w:val="0"/>
        <w:bidi w:val="0"/>
        <w:snapToGrid/>
        <w:spacing w:line="240" w:lineRule="auto"/>
        <w:textAlignment w:val="auto"/>
        <w:rPr>
          <w:rFonts w:hint="default" w:ascii="Times New Roman" w:hAnsi="Times New Roman" w:eastAsia="仿宋_GB2312" w:cs="Times New Roman"/>
          <w:color w:val="auto"/>
          <w:sz w:val="28"/>
          <w:szCs w:val="28"/>
        </w:rPr>
      </w:pPr>
    </w:p>
    <w:p w14:paraId="065A379C">
      <w:pPr>
        <w:keepNext/>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1"/>
        <w:rPr>
          <w:rFonts w:hint="default" w:ascii="Times New Roman" w:hAnsi="Times New Roman" w:eastAsia="仿宋_GB2312" w:cs="Times New Roman"/>
          <w:b/>
          <w:bCs/>
          <w:color w:val="auto"/>
          <w:kern w:val="2"/>
          <w:sz w:val="28"/>
          <w:szCs w:val="28"/>
          <w:lang w:val="en-US" w:eastAsia="zh-CN" w:bidi="ar-SA"/>
        </w:rPr>
      </w:pPr>
      <w:bookmarkStart w:id="7" w:name="_Toc28840"/>
      <w:bookmarkStart w:id="8" w:name="_Toc28359089"/>
      <w:bookmarkStart w:id="9" w:name="_Toc28359012"/>
      <w:bookmarkStart w:id="10" w:name="_Toc35393798"/>
      <w:bookmarkStart w:id="11" w:name="_Toc35393629"/>
      <w:r>
        <w:rPr>
          <w:rFonts w:hint="default" w:ascii="Times New Roman" w:hAnsi="Times New Roman" w:eastAsia="仿宋_GB2312" w:cs="Times New Roman"/>
          <w:b/>
          <w:bCs/>
          <w:color w:val="auto"/>
          <w:kern w:val="2"/>
          <w:sz w:val="28"/>
          <w:szCs w:val="28"/>
          <w:lang w:val="en-US" w:eastAsia="zh-CN" w:bidi="ar-SA"/>
        </w:rPr>
        <w:t>一、项目基本情况</w:t>
      </w:r>
      <w:bookmarkEnd w:id="7"/>
      <w:bookmarkEnd w:id="8"/>
      <w:bookmarkEnd w:id="9"/>
      <w:bookmarkEnd w:id="10"/>
      <w:bookmarkEnd w:id="11"/>
    </w:p>
    <w:p w14:paraId="42D066C6">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项目编号：</w:t>
      </w:r>
      <w:r>
        <w:rPr>
          <w:rFonts w:hint="default" w:ascii="Times New Roman" w:hAnsi="Times New Roman" w:eastAsia="仿宋_GB2312" w:cs="Times New Roman"/>
          <w:color w:val="auto"/>
          <w:sz w:val="28"/>
          <w:szCs w:val="28"/>
          <w:lang w:eastAsia="zh-CN"/>
        </w:rPr>
        <w:t>汉区采FW【2025】01号</w:t>
      </w:r>
    </w:p>
    <w:p w14:paraId="070B5DEC">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highlight w:val="yellow"/>
          <w:u w:val="single"/>
          <w:lang w:val="en-US" w:eastAsia="zh-CN"/>
        </w:rPr>
      </w:pPr>
      <w:r>
        <w:rPr>
          <w:rFonts w:hint="default" w:ascii="Times New Roman" w:hAnsi="Times New Roman" w:eastAsia="仿宋_GB2312" w:cs="Times New Roman"/>
          <w:color w:val="auto"/>
          <w:sz w:val="28"/>
          <w:szCs w:val="28"/>
        </w:rPr>
        <w:t>项目名称：</w:t>
      </w:r>
      <w:r>
        <w:rPr>
          <w:rFonts w:hint="default" w:ascii="Times New Roman" w:hAnsi="Times New Roman" w:eastAsia="仿宋_GB2312" w:cs="Times New Roman"/>
          <w:color w:val="auto"/>
          <w:sz w:val="28"/>
          <w:szCs w:val="28"/>
          <w:lang w:val="en-US" w:eastAsia="zh-CN"/>
        </w:rPr>
        <w:t>汉台区委办公室安保服务采购项目</w:t>
      </w:r>
    </w:p>
    <w:p w14:paraId="44442616">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采购方式：竞争性磋商</w:t>
      </w:r>
    </w:p>
    <w:p w14:paraId="09469D21">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预算金额</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34.8</w:t>
      </w:r>
      <w:r>
        <w:rPr>
          <w:rFonts w:hint="default" w:ascii="Times New Roman" w:hAnsi="Times New Roman" w:eastAsia="仿宋_GB2312" w:cs="Times New Roman"/>
          <w:color w:val="auto"/>
          <w:sz w:val="28"/>
          <w:szCs w:val="28"/>
          <w:highlight w:val="none"/>
          <w:lang w:val="en-US" w:eastAsia="zh-CN"/>
        </w:rPr>
        <w:t>万</w:t>
      </w:r>
      <w:r>
        <w:rPr>
          <w:rFonts w:hint="default" w:ascii="Times New Roman" w:hAnsi="Times New Roman" w:eastAsia="仿宋_GB2312" w:cs="Times New Roman"/>
          <w:color w:val="auto"/>
          <w:sz w:val="28"/>
          <w:szCs w:val="28"/>
          <w:lang w:val="en-US" w:eastAsia="zh-CN"/>
        </w:rPr>
        <w:t>元</w:t>
      </w:r>
    </w:p>
    <w:p w14:paraId="56BF0C01">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最高限价：</w:t>
      </w:r>
      <w:r>
        <w:rPr>
          <w:rFonts w:hint="default" w:ascii="Times New Roman" w:hAnsi="Times New Roman" w:eastAsia="仿宋_GB2312" w:cs="Times New Roman"/>
          <w:color w:val="auto"/>
          <w:sz w:val="28"/>
          <w:szCs w:val="28"/>
          <w:lang w:val="en-US" w:eastAsia="zh-CN"/>
        </w:rPr>
        <w:t>无</w:t>
      </w:r>
    </w:p>
    <w:p w14:paraId="625CC0EF">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采购需求：</w:t>
      </w:r>
      <w:r>
        <w:rPr>
          <w:rFonts w:hint="default" w:ascii="Times New Roman" w:hAnsi="Times New Roman" w:eastAsia="仿宋_GB2312" w:cs="Times New Roman"/>
          <w:color w:val="auto"/>
          <w:sz w:val="28"/>
          <w:szCs w:val="28"/>
          <w:lang w:eastAsia="zh-CN"/>
        </w:rPr>
        <w:t>维护区委机关单位区域安全、做好门卫登记管理工作等</w:t>
      </w:r>
      <w:r>
        <w:rPr>
          <w:rFonts w:hint="default" w:ascii="Times New Roman" w:hAnsi="Times New Roman" w:eastAsia="仿宋_GB2312" w:cs="Times New Roman"/>
          <w:color w:val="auto"/>
          <w:sz w:val="28"/>
          <w:szCs w:val="28"/>
          <w:lang w:val="en-US" w:eastAsia="zh-CN"/>
        </w:rPr>
        <w:t>（具体要求详见磋商文件）</w:t>
      </w:r>
    </w:p>
    <w:p w14:paraId="4CDB5DCF">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合同履行期限：</w:t>
      </w:r>
      <w:r>
        <w:rPr>
          <w:rFonts w:hint="default" w:ascii="Times New Roman" w:hAnsi="Times New Roman" w:eastAsia="仿宋_GB2312" w:cs="Times New Roman"/>
          <w:color w:val="auto"/>
          <w:sz w:val="28"/>
          <w:szCs w:val="28"/>
          <w:lang w:eastAsia="zh-CN"/>
        </w:rPr>
        <w:t>一年</w:t>
      </w:r>
    </w:p>
    <w:p w14:paraId="067B538F">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rPr>
        <w:t>本项目接受联合体</w:t>
      </w:r>
      <w:r>
        <w:rPr>
          <w:rFonts w:hint="default" w:ascii="Times New Roman" w:hAnsi="Times New Roman" w:eastAsia="仿宋_GB2312" w:cs="Times New Roman"/>
          <w:b/>
          <w:bCs/>
          <w:color w:val="auto"/>
          <w:sz w:val="28"/>
          <w:szCs w:val="28"/>
          <w:lang w:eastAsia="zh-CN"/>
        </w:rPr>
        <w:t>磋商</w:t>
      </w:r>
      <w:r>
        <w:rPr>
          <w:rFonts w:hint="default" w:ascii="Times New Roman" w:hAnsi="Times New Roman" w:eastAsia="仿宋_GB2312" w:cs="Times New Roman"/>
          <w:b/>
          <w:bCs/>
          <w:color w:val="auto"/>
          <w:sz w:val="28"/>
          <w:szCs w:val="28"/>
        </w:rPr>
        <w:t>。</w:t>
      </w:r>
    </w:p>
    <w:p w14:paraId="727C6EAD">
      <w:pPr>
        <w:keepNext/>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1"/>
        <w:rPr>
          <w:rFonts w:hint="default" w:ascii="Times New Roman" w:hAnsi="Times New Roman" w:eastAsia="仿宋_GB2312" w:cs="Times New Roman"/>
          <w:b/>
          <w:bCs/>
          <w:color w:val="auto"/>
          <w:kern w:val="2"/>
          <w:sz w:val="28"/>
          <w:szCs w:val="28"/>
          <w:lang w:val="en-US" w:eastAsia="zh-CN" w:bidi="ar-SA"/>
        </w:rPr>
      </w:pPr>
      <w:bookmarkStart w:id="12" w:name="_Toc35393630"/>
      <w:bookmarkStart w:id="13" w:name="_Toc3608"/>
      <w:bookmarkStart w:id="14" w:name="_Toc35393799"/>
      <w:bookmarkStart w:id="15" w:name="_Toc28359013"/>
      <w:bookmarkStart w:id="16" w:name="_Toc28359090"/>
      <w:r>
        <w:rPr>
          <w:rFonts w:hint="default" w:ascii="Times New Roman" w:hAnsi="Times New Roman" w:eastAsia="仿宋_GB2312" w:cs="Times New Roman"/>
          <w:b/>
          <w:bCs/>
          <w:color w:val="auto"/>
          <w:kern w:val="2"/>
          <w:sz w:val="28"/>
          <w:szCs w:val="28"/>
          <w:lang w:val="en-US" w:eastAsia="zh-CN" w:bidi="ar-SA"/>
        </w:rPr>
        <w:t>二、申请人的资格要求：</w:t>
      </w:r>
      <w:bookmarkEnd w:id="12"/>
      <w:bookmarkEnd w:id="13"/>
      <w:bookmarkEnd w:id="14"/>
      <w:bookmarkEnd w:id="15"/>
      <w:bookmarkEnd w:id="16"/>
    </w:p>
    <w:p w14:paraId="11BA6F77">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1.满足《中华人民共和国政府采购法》第二十二条规定；</w:t>
      </w:r>
    </w:p>
    <w:p w14:paraId="4FE3D955">
      <w:pPr>
        <w:keepNext w:val="0"/>
        <w:keepLines w:val="0"/>
        <w:widowControl/>
        <w:suppressLineNumbers w:val="0"/>
        <w:ind w:firstLine="566" w:firstLineChars="200"/>
        <w:jc w:val="left"/>
        <w:rPr>
          <w:rFonts w:hint="default" w:ascii="Times New Roman" w:hAnsi="Times New Roman" w:eastAsia="仿宋_GB2312" w:cs="Times New Roman"/>
          <w:b/>
          <w:bCs/>
          <w:color w:val="auto"/>
          <w:sz w:val="28"/>
          <w:szCs w:val="28"/>
          <w:u w:val="single"/>
          <w:lang w:eastAsia="zh-CN"/>
        </w:rPr>
      </w:pPr>
      <w:bookmarkStart w:id="17" w:name="_Toc28359014"/>
      <w:bookmarkStart w:id="18" w:name="_Toc28359091"/>
      <w:r>
        <w:rPr>
          <w:rFonts w:hint="default" w:ascii="Times New Roman" w:hAnsi="Times New Roman" w:eastAsia="仿宋_GB2312" w:cs="Times New Roman"/>
          <w:color w:val="auto"/>
          <w:sz w:val="28"/>
          <w:szCs w:val="28"/>
        </w:rPr>
        <w:t>2.落实政府采购政策需满足的资格要求：</w:t>
      </w:r>
      <w:r>
        <w:rPr>
          <w:rFonts w:hint="default" w:ascii="Times New Roman" w:hAnsi="Times New Roman" w:eastAsia="仿宋_GB2312" w:cs="Times New Roman"/>
          <w:b/>
          <w:bCs/>
          <w:color w:val="auto"/>
          <w:kern w:val="0"/>
          <w:sz w:val="28"/>
          <w:szCs w:val="28"/>
          <w:lang w:val="en-US" w:eastAsia="zh-CN" w:bidi="ar"/>
        </w:rPr>
        <w:t>本项目为专门面向中小企业项目，响应人应为中型企业、小型企业、微型企业或监狱企业或残疾人福利性单位</w:t>
      </w:r>
      <w:r>
        <w:rPr>
          <w:rFonts w:hint="default" w:ascii="Times New Roman" w:hAnsi="Times New Roman" w:eastAsia="仿宋_GB2312" w:cs="Times New Roman"/>
          <w:color w:val="auto"/>
          <w:kern w:val="0"/>
          <w:sz w:val="28"/>
          <w:szCs w:val="28"/>
          <w:lang w:val="en-US" w:eastAsia="zh-CN" w:bidi="ar"/>
        </w:rPr>
        <w:t>。响应人为中小企业的，提供《中小企业声明函》，且中小企业的划分标准所属行业为</w:t>
      </w:r>
      <w:r>
        <w:rPr>
          <w:rFonts w:hint="default" w:ascii="Times New Roman" w:hAnsi="Times New Roman" w:eastAsia="仿宋_GB2312" w:cs="Times New Roman"/>
          <w:b/>
          <w:bCs/>
          <w:color w:val="auto"/>
          <w:kern w:val="0"/>
          <w:sz w:val="28"/>
          <w:szCs w:val="28"/>
          <w:lang w:val="en-US" w:eastAsia="zh-CN" w:bidi="ar"/>
        </w:rPr>
        <w:t>租赁和商务服务业</w:t>
      </w:r>
      <w:r>
        <w:rPr>
          <w:rFonts w:hint="default" w:ascii="Times New Roman" w:hAnsi="Times New Roman" w:eastAsia="仿宋_GB2312" w:cs="Times New Roman"/>
          <w:color w:val="auto"/>
          <w:kern w:val="0"/>
          <w:sz w:val="28"/>
          <w:szCs w:val="28"/>
          <w:lang w:val="en-US" w:eastAsia="zh-CN" w:bidi="ar"/>
        </w:rPr>
        <w:t>；响应人为监狱企业的，应提供监狱企业的证明文件；响应人为残疾人福利性单位的，应提供《残疾人福利性单位声明函》（监狱企业或残疾人福利性单位视同小型、微型企业）。</w:t>
      </w:r>
    </w:p>
    <w:p w14:paraId="34966CBC">
      <w:pPr>
        <w:keepNext/>
        <w:keepLines w:val="0"/>
        <w:pageBreakBefore w:val="0"/>
        <w:widowControl w:val="0"/>
        <w:kinsoku/>
        <w:wordWrap/>
        <w:overflowPunct/>
        <w:topLinePunct w:val="0"/>
        <w:autoSpaceDE w:val="0"/>
        <w:autoSpaceDN w:val="0"/>
        <w:bidi w:val="0"/>
        <w:adjustRightInd w:val="0"/>
        <w:snapToGrid/>
        <w:spacing w:line="240" w:lineRule="auto"/>
        <w:ind w:firstLine="566" w:firstLineChars="200"/>
        <w:jc w:val="both"/>
        <w:textAlignment w:val="auto"/>
        <w:outlineLvl w:val="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3.本项目的特定资格要求：</w:t>
      </w:r>
      <w:r>
        <w:rPr>
          <w:rFonts w:hint="default" w:ascii="Times New Roman" w:hAnsi="Times New Roman" w:eastAsia="仿宋_GB2312" w:cs="Times New Roman"/>
          <w:b/>
          <w:color w:val="auto"/>
          <w:kern w:val="1"/>
          <w:sz w:val="28"/>
          <w:szCs w:val="28"/>
        </w:rPr>
        <w:t>以下资质报名时不需提供，</w:t>
      </w:r>
      <w:r>
        <w:rPr>
          <w:rFonts w:hint="default" w:ascii="Times New Roman" w:hAnsi="Times New Roman" w:eastAsia="仿宋_GB2312" w:cs="Times New Roman"/>
          <w:b/>
          <w:color w:val="auto"/>
          <w:kern w:val="1"/>
          <w:sz w:val="28"/>
          <w:szCs w:val="28"/>
          <w:lang w:eastAsia="zh-CN"/>
        </w:rPr>
        <w:t>磋商</w:t>
      </w:r>
      <w:r>
        <w:rPr>
          <w:rFonts w:hint="default" w:ascii="Times New Roman" w:hAnsi="Times New Roman" w:eastAsia="仿宋_GB2312" w:cs="Times New Roman"/>
          <w:b/>
          <w:color w:val="auto"/>
          <w:kern w:val="1"/>
          <w:sz w:val="28"/>
          <w:szCs w:val="28"/>
        </w:rPr>
        <w:t>时须提供</w:t>
      </w:r>
      <w:r>
        <w:rPr>
          <w:rFonts w:hint="default" w:ascii="Times New Roman" w:hAnsi="Times New Roman" w:eastAsia="仿宋_GB2312" w:cs="Times New Roman"/>
          <w:b/>
          <w:color w:val="auto"/>
          <w:kern w:val="1"/>
          <w:sz w:val="28"/>
          <w:szCs w:val="28"/>
          <w:lang w:eastAsia="zh-CN"/>
        </w:rPr>
        <w:t>原件或</w:t>
      </w:r>
      <w:r>
        <w:rPr>
          <w:rFonts w:hint="default" w:ascii="Times New Roman" w:hAnsi="Times New Roman" w:eastAsia="仿宋_GB2312" w:cs="Times New Roman"/>
          <w:b/>
          <w:color w:val="auto"/>
          <w:kern w:val="1"/>
          <w:sz w:val="28"/>
          <w:szCs w:val="28"/>
        </w:rPr>
        <w:t>复印件加盖红色公章</w:t>
      </w:r>
      <w:r>
        <w:rPr>
          <w:rFonts w:hint="default" w:ascii="Times New Roman" w:hAnsi="Times New Roman" w:eastAsia="仿宋_GB2312" w:cs="Times New Roman"/>
          <w:b/>
          <w:color w:val="auto"/>
          <w:kern w:val="1"/>
          <w:sz w:val="28"/>
          <w:szCs w:val="28"/>
          <w:lang w:eastAsia="zh-CN"/>
        </w:rPr>
        <w:t>。</w:t>
      </w:r>
    </w:p>
    <w:p w14:paraId="0A6B27EE">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宋体" w:cs="Times New Roman"/>
          <w:color w:val="auto"/>
          <w:sz w:val="24"/>
          <w:szCs w:val="24"/>
          <w:u w:val="none"/>
        </w:rPr>
      </w:pPr>
      <w:r>
        <w:rPr>
          <w:rFonts w:hint="default" w:ascii="Times New Roman" w:hAnsi="Times New Roman" w:eastAsia="仿宋_GB2312" w:cs="Times New Roman"/>
          <w:color w:val="auto"/>
          <w:sz w:val="28"/>
          <w:szCs w:val="28"/>
        </w:rPr>
        <w:t>（1）营业执照等主体资格证明文件：提供有效存续的企业营业执照（副本）/事业单位法人证书/专业服务机构执业许可证/民办非企业单位登记证书。</w:t>
      </w:r>
      <w:r>
        <w:rPr>
          <w:rFonts w:hint="default" w:ascii="Times New Roman" w:hAnsi="Times New Roman" w:eastAsia="宋体" w:cs="Times New Roman"/>
          <w:color w:val="auto"/>
          <w:sz w:val="24"/>
          <w:szCs w:val="24"/>
          <w:u w:val="none"/>
        </w:rPr>
        <w:t xml:space="preserve"> </w:t>
      </w:r>
    </w:p>
    <w:p w14:paraId="540C2647">
      <w:pPr>
        <w:keepLines w:val="0"/>
        <w:pageBreakBefore w:val="0"/>
        <w:widowControl w:val="0"/>
        <w:numPr>
          <w:ilvl w:val="0"/>
          <w:numId w:val="0"/>
        </w:numP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sz w:val="28"/>
          <w:szCs w:val="28"/>
          <w:lang w:val="en-US" w:eastAsia="zh-CN"/>
        </w:rPr>
        <w:t>（2）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r>
        <w:rPr>
          <w:rFonts w:hint="default" w:ascii="Times New Roman" w:hAnsi="Times New Roman" w:eastAsia="仿宋_GB2312" w:cs="Times New Roman"/>
          <w:color w:val="auto"/>
          <w:kern w:val="2"/>
          <w:sz w:val="28"/>
          <w:szCs w:val="28"/>
          <w:lang w:val="en-US" w:eastAsia="zh-CN" w:bidi="ar-SA"/>
        </w:rPr>
        <w:t>（按第五章格式填写）</w:t>
      </w:r>
    </w:p>
    <w:p w14:paraId="5217286D">
      <w:pPr>
        <w:keepLines w:val="0"/>
        <w:pageBreakBefore w:val="0"/>
        <w:widowControl w:val="0"/>
        <w:numPr>
          <w:ilvl w:val="0"/>
          <w:numId w:val="0"/>
        </w:numP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法人的分支机构参与投标时，除提供《法定代表人授权委托书》外，还须同时提供法人给分支机构出具的授权书。</w:t>
      </w:r>
    </w:p>
    <w:p w14:paraId="67AB7EEE">
      <w:pPr>
        <w:keepLines w:val="0"/>
        <w:pageBreakBefore w:val="0"/>
        <w:widowControl w:val="0"/>
        <w:kinsoku/>
        <w:wordWrap/>
        <w:overflowPunct/>
        <w:topLinePunct w:val="0"/>
        <w:bidi w:val="0"/>
        <w:snapToGrid/>
        <w:spacing w:line="500" w:lineRule="exact"/>
        <w:ind w:firstLine="566" w:firstLineChars="200"/>
        <w:textAlignment w:val="auto"/>
        <w:rPr>
          <w:rFonts w:hint="default" w:ascii="Times New Roman" w:hAnsi="Times New Roman" w:eastAsia="华文仿宋" w:cs="Times New Roman"/>
          <w:color w:val="auto"/>
          <w:kern w:val="0"/>
          <w:sz w:val="28"/>
          <w:szCs w:val="28"/>
          <w:lang w:val="en-US" w:eastAsia="zh-CN" w:bidi="ar"/>
        </w:rPr>
      </w:pPr>
      <w:r>
        <w:rPr>
          <w:rFonts w:hint="default" w:ascii="Times New Roman" w:hAnsi="Times New Roman" w:eastAsia="仿宋_GB2312" w:cs="Times New Roman"/>
          <w:color w:val="auto"/>
          <w:sz w:val="28"/>
          <w:szCs w:val="28"/>
          <w:lang w:val="en-US" w:eastAsia="zh-CN"/>
        </w:rPr>
        <w:t>（3）资格承诺函：提供《汉台区政府采购供应商资格承诺函》。（按第五章格式填写）</w:t>
      </w:r>
    </w:p>
    <w:p w14:paraId="2B47D1DF">
      <w:pPr>
        <w:keepLines w:val="0"/>
        <w:pageBreakBefore w:val="0"/>
        <w:widowControl w:val="0"/>
        <w:numPr>
          <w:ilvl w:val="0"/>
          <w:numId w:val="0"/>
        </w:numP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（4）提供公安机关颁发的保安服务许可证。</w:t>
      </w:r>
    </w:p>
    <w:p w14:paraId="12E1E301">
      <w:pPr>
        <w:keepLines w:val="0"/>
        <w:pageBreakBefore w:val="0"/>
        <w:widowControl w:val="0"/>
        <w:numPr>
          <w:ilvl w:val="0"/>
          <w:numId w:val="0"/>
        </w:numP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（5）响应供应商须提供拟派人员无犯罪记录声明。(格式自拟）</w:t>
      </w:r>
    </w:p>
    <w:p w14:paraId="0FDBD86E">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备注：1、以上资格要求均为必备资格，须提供相关证明文件并加盖响应人公章（如相关证明材料由第三方出具，应有第三方公章），缺少其中任何一项，其响应文件视为无效文件。</w:t>
      </w:r>
    </w:p>
    <w:p w14:paraId="1DF27641">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2、分支机构参与磋商时，响应文件中应附法人出具的授权书。法人只能授权一家分支机构参与磋商，且不能与分支机构同时参与磋商。 </w:t>
      </w:r>
    </w:p>
    <w:p w14:paraId="0039A224">
      <w:pPr>
        <w:keepNext w:val="0"/>
        <w:keepLines w:val="0"/>
        <w:pageBreakBefore w:val="0"/>
        <w:widowControl w:val="0"/>
        <w:wordWrap/>
        <w:overflowPunct/>
        <w:topLinePunct w:val="0"/>
        <w:bidi w:val="0"/>
        <w:snapToGrid/>
        <w:spacing w:line="240" w:lineRule="auto"/>
        <w:textAlignment w:val="auto"/>
        <w:rPr>
          <w:rFonts w:hint="default" w:ascii="Times New Roman" w:hAnsi="Times New Roman" w:eastAsia="仿宋_GB2312" w:cs="Times New Roman"/>
          <w:b/>
          <w:bCs/>
          <w:color w:val="auto"/>
          <w:kern w:val="2"/>
          <w:sz w:val="28"/>
          <w:szCs w:val="28"/>
          <w:lang w:val="en-US" w:eastAsia="zh-CN" w:bidi="ar-SA"/>
        </w:rPr>
      </w:pPr>
      <w:bookmarkStart w:id="19" w:name="_Toc29259"/>
      <w:bookmarkStart w:id="20" w:name="_Toc35393631"/>
      <w:bookmarkStart w:id="21" w:name="_Toc35393800"/>
      <w:r>
        <w:rPr>
          <w:rFonts w:hint="default" w:ascii="Times New Roman" w:hAnsi="Times New Roman" w:eastAsia="仿宋_GB2312" w:cs="Times New Roman"/>
          <w:b/>
          <w:bCs/>
          <w:color w:val="auto"/>
          <w:kern w:val="2"/>
          <w:sz w:val="28"/>
          <w:szCs w:val="28"/>
          <w:lang w:val="en-US" w:eastAsia="zh-CN" w:bidi="ar-SA"/>
        </w:rPr>
        <w:t>三、获取</w:t>
      </w:r>
      <w:bookmarkEnd w:id="17"/>
      <w:bookmarkEnd w:id="18"/>
      <w:bookmarkEnd w:id="19"/>
      <w:bookmarkEnd w:id="20"/>
      <w:bookmarkEnd w:id="21"/>
      <w:r>
        <w:rPr>
          <w:rFonts w:hint="default" w:ascii="Times New Roman" w:hAnsi="Times New Roman" w:eastAsia="仿宋_GB2312" w:cs="Times New Roman"/>
          <w:b/>
          <w:bCs/>
          <w:color w:val="auto"/>
          <w:kern w:val="2"/>
          <w:sz w:val="28"/>
          <w:szCs w:val="28"/>
          <w:lang w:val="en-US" w:eastAsia="zh-CN" w:bidi="ar-SA"/>
        </w:rPr>
        <w:t>磋商文件：</w:t>
      </w:r>
      <w:r>
        <w:rPr>
          <w:rFonts w:hint="default" w:ascii="Times New Roman" w:hAnsi="Times New Roman" w:eastAsia="仿宋_GB2312" w:cs="Times New Roman"/>
          <w:b/>
          <w:bCs/>
          <w:color w:val="auto"/>
          <w:kern w:val="1"/>
          <w:sz w:val="28"/>
          <w:szCs w:val="28"/>
        </w:rPr>
        <w:t>获取文件时须提供企业介绍信或授权书及被介绍人或被授权人身份证原件和复印件</w:t>
      </w:r>
      <w:r>
        <w:rPr>
          <w:rFonts w:hint="default" w:ascii="Times New Roman" w:hAnsi="Times New Roman" w:eastAsia="仿宋_GB2312" w:cs="Times New Roman"/>
          <w:b/>
          <w:bCs/>
          <w:color w:val="auto"/>
          <w:kern w:val="1"/>
          <w:sz w:val="28"/>
          <w:szCs w:val="28"/>
          <w:lang w:eastAsia="zh-CN"/>
        </w:rPr>
        <w:t>。</w:t>
      </w:r>
    </w:p>
    <w:p w14:paraId="49256919">
      <w:pPr>
        <w:keepNext/>
        <w:keepLines w:val="0"/>
        <w:pageBreakBefore w:val="0"/>
        <w:widowControl w:val="0"/>
        <w:kinsoku/>
        <w:wordWrap/>
        <w:overflowPunct/>
        <w:topLinePunct w:val="0"/>
        <w:autoSpaceDE w:val="0"/>
        <w:autoSpaceDN w:val="0"/>
        <w:bidi w:val="0"/>
        <w:adjustRightInd w:val="0"/>
        <w:snapToGrid/>
        <w:spacing w:line="240" w:lineRule="auto"/>
        <w:ind w:left="0" w:leftChars="0" w:firstLine="556" w:firstLineChars="197"/>
        <w:jc w:val="both"/>
        <w:textAlignment w:val="auto"/>
        <w:outlineLvl w:val="1"/>
        <w:rPr>
          <w:rFonts w:hint="default" w:ascii="Times New Roman" w:hAnsi="Times New Roman" w:eastAsia="仿宋_GB2312" w:cs="Times New Roman"/>
          <w:b w:val="0"/>
          <w:bCs w:val="0"/>
          <w:color w:val="auto"/>
          <w:kern w:val="2"/>
          <w:sz w:val="28"/>
          <w:szCs w:val="28"/>
          <w:highlight w:val="none"/>
          <w:lang w:val="en-US" w:eastAsia="zh-CN" w:bidi="ar-SA"/>
        </w:rPr>
      </w:pPr>
      <w:bookmarkStart w:id="22" w:name="_Toc35393801"/>
      <w:bookmarkStart w:id="23" w:name="_Toc28359092"/>
      <w:bookmarkStart w:id="24" w:name="_Toc28359015"/>
      <w:bookmarkStart w:id="25" w:name="_Toc859"/>
      <w:bookmarkStart w:id="26" w:name="_Toc35393632"/>
      <w:r>
        <w:rPr>
          <w:rFonts w:hint="default" w:ascii="Times New Roman" w:hAnsi="Times New Roman" w:eastAsia="仿宋_GB2312" w:cs="Times New Roman"/>
          <w:b w:val="0"/>
          <w:bCs w:val="0"/>
          <w:color w:val="auto"/>
          <w:kern w:val="2"/>
          <w:sz w:val="28"/>
          <w:szCs w:val="28"/>
          <w:highlight w:val="none"/>
          <w:lang w:val="en-US" w:eastAsia="zh-CN" w:bidi="ar-SA"/>
        </w:rPr>
        <w:t>1、获取时间：2025年4月1日至2025年4月8日，每天上午8时至12时，下午14时至17:30时止（北京时间，法定节假日除外）</w:t>
      </w:r>
    </w:p>
    <w:p w14:paraId="1ACCDAFD">
      <w:pPr>
        <w:keepNext/>
        <w:keepLines w:val="0"/>
        <w:pageBreakBefore w:val="0"/>
        <w:widowControl w:val="0"/>
        <w:kinsoku/>
        <w:wordWrap/>
        <w:overflowPunct/>
        <w:topLinePunct w:val="0"/>
        <w:autoSpaceDE w:val="0"/>
        <w:autoSpaceDN w:val="0"/>
        <w:bidi w:val="0"/>
        <w:adjustRightInd w:val="0"/>
        <w:snapToGrid/>
        <w:spacing w:line="240" w:lineRule="auto"/>
        <w:ind w:left="0" w:leftChars="0" w:firstLine="556" w:firstLineChars="197"/>
        <w:jc w:val="both"/>
        <w:textAlignment w:val="auto"/>
        <w:outlineLvl w:val="1"/>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2、获取地点：汉台区政府采购中心工程服务股</w:t>
      </w:r>
    </w:p>
    <w:p w14:paraId="12F2F0D2">
      <w:pPr>
        <w:keepNext/>
        <w:keepLines w:val="0"/>
        <w:pageBreakBefore w:val="0"/>
        <w:widowControl w:val="0"/>
        <w:kinsoku/>
        <w:wordWrap/>
        <w:overflowPunct/>
        <w:topLinePunct w:val="0"/>
        <w:autoSpaceDE w:val="0"/>
        <w:autoSpaceDN w:val="0"/>
        <w:bidi w:val="0"/>
        <w:adjustRightInd w:val="0"/>
        <w:snapToGrid/>
        <w:spacing w:line="240" w:lineRule="auto"/>
        <w:ind w:left="0" w:leftChars="0" w:firstLine="556" w:firstLineChars="197"/>
        <w:jc w:val="both"/>
        <w:textAlignment w:val="auto"/>
        <w:outlineLvl w:val="1"/>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3、售价：0元</w:t>
      </w:r>
    </w:p>
    <w:p w14:paraId="3BA22A21">
      <w:pPr>
        <w:keepNext/>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1"/>
        <w:rPr>
          <w:rFonts w:hint="default" w:ascii="Times New Roman" w:hAnsi="Times New Roman" w:eastAsia="仿宋_GB2312" w:cs="Times New Roman"/>
          <w:b/>
          <w:bCs/>
          <w:color w:val="auto"/>
          <w:kern w:val="2"/>
          <w:sz w:val="28"/>
          <w:szCs w:val="28"/>
          <w:highlight w:val="none"/>
          <w:lang w:val="en-US" w:eastAsia="zh-CN" w:bidi="ar-SA"/>
        </w:rPr>
      </w:pPr>
      <w:r>
        <w:rPr>
          <w:rFonts w:hint="default" w:ascii="Times New Roman" w:hAnsi="Times New Roman" w:eastAsia="仿宋_GB2312" w:cs="Times New Roman"/>
          <w:b/>
          <w:bCs/>
          <w:color w:val="auto"/>
          <w:kern w:val="2"/>
          <w:sz w:val="28"/>
          <w:szCs w:val="28"/>
          <w:highlight w:val="none"/>
          <w:lang w:val="en-US" w:eastAsia="zh-CN" w:bidi="ar-SA"/>
        </w:rPr>
        <w:t>四、响应文件提交</w:t>
      </w:r>
      <w:bookmarkEnd w:id="22"/>
      <w:bookmarkEnd w:id="23"/>
      <w:bookmarkEnd w:id="24"/>
      <w:bookmarkEnd w:id="25"/>
      <w:bookmarkEnd w:id="26"/>
    </w:p>
    <w:p w14:paraId="44D1A0B5">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bCs/>
          <w:color w:val="auto"/>
          <w:sz w:val="28"/>
          <w:szCs w:val="28"/>
          <w:highlight w:val="none"/>
          <w:u w:val="none"/>
          <w:lang w:val="en-US" w:eastAsia="zh-CN"/>
        </w:rPr>
      </w:pPr>
      <w:r>
        <w:rPr>
          <w:rFonts w:hint="default" w:ascii="Times New Roman" w:hAnsi="Times New Roman" w:eastAsia="仿宋_GB2312" w:cs="Times New Roman"/>
          <w:bCs/>
          <w:color w:val="auto"/>
          <w:sz w:val="28"/>
          <w:szCs w:val="28"/>
          <w:highlight w:val="none"/>
          <w:u w:val="none"/>
          <w:lang w:val="en-US" w:eastAsia="zh-CN"/>
        </w:rPr>
        <w:t>截止时间：2025年4月11日上午9时（北京时间）</w:t>
      </w:r>
    </w:p>
    <w:p w14:paraId="70F3C5ED">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bCs/>
          <w:color w:val="auto"/>
          <w:sz w:val="28"/>
          <w:szCs w:val="28"/>
          <w:highlight w:val="none"/>
          <w:u w:val="none"/>
          <w:lang w:val="en-US" w:eastAsia="zh-CN"/>
        </w:rPr>
      </w:pPr>
      <w:r>
        <w:rPr>
          <w:rFonts w:hint="default" w:ascii="Times New Roman" w:hAnsi="Times New Roman" w:eastAsia="仿宋_GB2312" w:cs="Times New Roman"/>
          <w:bCs/>
          <w:color w:val="auto"/>
          <w:sz w:val="28"/>
          <w:szCs w:val="28"/>
          <w:highlight w:val="none"/>
          <w:u w:val="none"/>
          <w:lang w:val="en-US" w:eastAsia="zh-CN"/>
        </w:rPr>
        <w:t>地点：汉台区政府采购中心</w:t>
      </w:r>
      <w:r>
        <w:rPr>
          <w:rFonts w:hint="default" w:ascii="Times New Roman" w:hAnsi="Times New Roman" w:eastAsia="仿宋_GB2312" w:cs="Times New Roman"/>
          <w:bCs/>
          <w:color w:val="auto"/>
          <w:sz w:val="28"/>
          <w:szCs w:val="28"/>
          <w:u w:val="none"/>
          <w:lang w:eastAsia="zh-CN"/>
        </w:rPr>
        <w:t>五楼开标室</w:t>
      </w:r>
    </w:p>
    <w:p w14:paraId="269B39B8">
      <w:pPr>
        <w:keepNext/>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1"/>
        <w:rPr>
          <w:rFonts w:hint="default" w:ascii="Times New Roman" w:hAnsi="Times New Roman" w:eastAsia="仿宋_GB2312" w:cs="Times New Roman"/>
          <w:b/>
          <w:bCs/>
          <w:color w:val="auto"/>
          <w:kern w:val="2"/>
          <w:sz w:val="28"/>
          <w:szCs w:val="28"/>
          <w:highlight w:val="none"/>
          <w:lang w:val="en-US" w:eastAsia="zh-CN" w:bidi="ar-SA"/>
        </w:rPr>
      </w:pPr>
      <w:bookmarkStart w:id="27" w:name="_Toc35393802"/>
      <w:bookmarkStart w:id="28" w:name="_Toc28359093"/>
      <w:bookmarkStart w:id="29" w:name="_Toc32165"/>
      <w:bookmarkStart w:id="30" w:name="_Toc28359016"/>
      <w:bookmarkStart w:id="31" w:name="_Toc35393633"/>
      <w:r>
        <w:rPr>
          <w:rFonts w:hint="default" w:ascii="Times New Roman" w:hAnsi="Times New Roman" w:eastAsia="仿宋_GB2312" w:cs="Times New Roman"/>
          <w:b/>
          <w:bCs/>
          <w:color w:val="auto"/>
          <w:kern w:val="2"/>
          <w:sz w:val="28"/>
          <w:szCs w:val="28"/>
          <w:highlight w:val="none"/>
          <w:lang w:val="en-US" w:eastAsia="zh-CN" w:bidi="ar-SA"/>
        </w:rPr>
        <w:t>五、开启</w:t>
      </w:r>
      <w:bookmarkEnd w:id="27"/>
      <w:bookmarkEnd w:id="28"/>
      <w:bookmarkEnd w:id="29"/>
      <w:bookmarkEnd w:id="30"/>
      <w:bookmarkEnd w:id="31"/>
    </w:p>
    <w:p w14:paraId="2458B4E3">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bCs/>
          <w:color w:val="auto"/>
          <w:sz w:val="28"/>
          <w:szCs w:val="28"/>
          <w:u w:val="none"/>
        </w:rPr>
      </w:pPr>
      <w:r>
        <w:rPr>
          <w:rFonts w:hint="default" w:ascii="Times New Roman" w:hAnsi="Times New Roman" w:eastAsia="仿宋_GB2312" w:cs="Times New Roman"/>
          <w:bCs/>
          <w:color w:val="auto"/>
          <w:sz w:val="28"/>
          <w:szCs w:val="28"/>
          <w:u w:val="none"/>
        </w:rPr>
        <w:t>时间：</w:t>
      </w:r>
      <w:r>
        <w:rPr>
          <w:rFonts w:hint="default" w:ascii="Times New Roman" w:hAnsi="Times New Roman" w:eastAsia="仿宋_GB2312" w:cs="Times New Roman"/>
          <w:bCs/>
          <w:color w:val="auto"/>
          <w:sz w:val="28"/>
          <w:szCs w:val="28"/>
          <w:highlight w:val="none"/>
          <w:u w:val="none"/>
        </w:rPr>
        <w:t>202</w:t>
      </w:r>
      <w:r>
        <w:rPr>
          <w:rFonts w:hint="default" w:ascii="Times New Roman" w:hAnsi="Times New Roman" w:eastAsia="仿宋_GB2312" w:cs="Times New Roman"/>
          <w:bCs/>
          <w:color w:val="auto"/>
          <w:sz w:val="28"/>
          <w:szCs w:val="28"/>
          <w:highlight w:val="none"/>
          <w:u w:val="none"/>
          <w:lang w:val="en-US" w:eastAsia="zh-CN"/>
        </w:rPr>
        <w:t>5</w:t>
      </w:r>
      <w:r>
        <w:rPr>
          <w:rFonts w:hint="default" w:ascii="Times New Roman" w:hAnsi="Times New Roman" w:eastAsia="仿宋_GB2312" w:cs="Times New Roman"/>
          <w:bCs/>
          <w:color w:val="auto"/>
          <w:sz w:val="28"/>
          <w:szCs w:val="28"/>
          <w:highlight w:val="none"/>
          <w:u w:val="none"/>
        </w:rPr>
        <w:t>年</w:t>
      </w:r>
      <w:r>
        <w:rPr>
          <w:rFonts w:hint="default" w:ascii="Times New Roman" w:hAnsi="Times New Roman" w:eastAsia="仿宋_GB2312" w:cs="Times New Roman"/>
          <w:bCs/>
          <w:color w:val="auto"/>
          <w:sz w:val="28"/>
          <w:szCs w:val="28"/>
          <w:highlight w:val="none"/>
          <w:u w:val="none"/>
          <w:lang w:val="en-US" w:eastAsia="zh-CN"/>
        </w:rPr>
        <w:t>4</w:t>
      </w:r>
      <w:r>
        <w:rPr>
          <w:rFonts w:hint="default" w:ascii="Times New Roman" w:hAnsi="Times New Roman" w:eastAsia="仿宋_GB2312" w:cs="Times New Roman"/>
          <w:bCs/>
          <w:color w:val="auto"/>
          <w:sz w:val="28"/>
          <w:szCs w:val="28"/>
          <w:highlight w:val="none"/>
          <w:u w:val="none"/>
        </w:rPr>
        <w:t>月</w:t>
      </w:r>
      <w:r>
        <w:rPr>
          <w:rFonts w:hint="default" w:ascii="Times New Roman" w:hAnsi="Times New Roman" w:eastAsia="仿宋_GB2312" w:cs="Times New Roman"/>
          <w:bCs/>
          <w:color w:val="auto"/>
          <w:sz w:val="28"/>
          <w:szCs w:val="28"/>
          <w:highlight w:val="none"/>
          <w:u w:val="none"/>
          <w:lang w:val="en-US" w:eastAsia="zh-CN"/>
        </w:rPr>
        <w:t>11</w:t>
      </w:r>
      <w:r>
        <w:rPr>
          <w:rFonts w:hint="default" w:ascii="Times New Roman" w:hAnsi="Times New Roman" w:eastAsia="仿宋_GB2312" w:cs="Times New Roman"/>
          <w:bCs/>
          <w:color w:val="auto"/>
          <w:sz w:val="28"/>
          <w:szCs w:val="28"/>
          <w:highlight w:val="none"/>
          <w:u w:val="none"/>
        </w:rPr>
        <w:t>日上午9时（北京时间）</w:t>
      </w:r>
    </w:p>
    <w:p w14:paraId="00B3DCC1">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bCs/>
          <w:color w:val="auto"/>
          <w:sz w:val="28"/>
          <w:szCs w:val="28"/>
          <w:u w:val="single"/>
          <w:lang w:eastAsia="zh-CN"/>
        </w:rPr>
      </w:pPr>
      <w:r>
        <w:rPr>
          <w:rFonts w:hint="default" w:ascii="Times New Roman" w:hAnsi="Times New Roman" w:eastAsia="仿宋_GB2312" w:cs="Times New Roman"/>
          <w:bCs/>
          <w:color w:val="auto"/>
          <w:sz w:val="28"/>
          <w:szCs w:val="28"/>
          <w:u w:val="none"/>
        </w:rPr>
        <w:t>地点：汉台区政府采购中心</w:t>
      </w:r>
      <w:r>
        <w:rPr>
          <w:rFonts w:hint="default" w:ascii="Times New Roman" w:hAnsi="Times New Roman" w:eastAsia="仿宋_GB2312" w:cs="Times New Roman"/>
          <w:bCs/>
          <w:color w:val="auto"/>
          <w:sz w:val="28"/>
          <w:szCs w:val="28"/>
          <w:u w:val="none"/>
          <w:lang w:eastAsia="zh-CN"/>
        </w:rPr>
        <w:t>五楼开标室</w:t>
      </w:r>
    </w:p>
    <w:p w14:paraId="3113B301">
      <w:pPr>
        <w:keepNext/>
        <w:keepLines w:val="0"/>
        <w:pageBreakBefore w:val="0"/>
        <w:widowControl w:val="0"/>
        <w:kinsoku/>
        <w:wordWrap/>
        <w:overflowPunct/>
        <w:topLinePunct w:val="0"/>
        <w:autoSpaceDE w:val="0"/>
        <w:autoSpaceDN w:val="0"/>
        <w:bidi w:val="0"/>
        <w:adjustRightInd w:val="0"/>
        <w:snapToGrid/>
        <w:spacing w:line="240" w:lineRule="auto"/>
        <w:jc w:val="both"/>
        <w:textAlignment w:val="auto"/>
        <w:outlineLvl w:val="1"/>
        <w:rPr>
          <w:rFonts w:hint="default" w:ascii="Times New Roman" w:hAnsi="Times New Roman" w:eastAsia="仿宋_GB2312" w:cs="Times New Roman"/>
          <w:b/>
          <w:bCs/>
          <w:color w:val="auto"/>
          <w:kern w:val="2"/>
          <w:sz w:val="28"/>
          <w:szCs w:val="28"/>
          <w:lang w:val="en-US" w:eastAsia="zh-CN" w:bidi="ar-SA"/>
        </w:rPr>
      </w:pPr>
      <w:bookmarkStart w:id="32" w:name="_Toc35393634"/>
      <w:bookmarkStart w:id="33" w:name="_Toc35393803"/>
      <w:bookmarkStart w:id="34" w:name="_Toc4869"/>
      <w:bookmarkStart w:id="35" w:name="_Toc28359094"/>
      <w:bookmarkStart w:id="36" w:name="_Toc28359017"/>
      <w:r>
        <w:rPr>
          <w:rFonts w:hint="default" w:ascii="Times New Roman" w:hAnsi="Times New Roman" w:eastAsia="仿宋_GB2312" w:cs="Times New Roman"/>
          <w:b/>
          <w:bCs/>
          <w:color w:val="auto"/>
          <w:kern w:val="2"/>
          <w:sz w:val="28"/>
          <w:szCs w:val="28"/>
          <w:lang w:val="en-US" w:eastAsia="zh-CN" w:bidi="ar-SA"/>
        </w:rPr>
        <w:t>六、公告期限</w:t>
      </w:r>
      <w:bookmarkEnd w:id="32"/>
      <w:bookmarkEnd w:id="33"/>
      <w:bookmarkEnd w:id="34"/>
      <w:bookmarkEnd w:id="35"/>
      <w:bookmarkEnd w:id="36"/>
    </w:p>
    <w:p w14:paraId="17749DB4">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自本公告发布之日起3个工作日。</w:t>
      </w:r>
    </w:p>
    <w:p w14:paraId="7661114D">
      <w:pPr>
        <w:keepNext/>
        <w:keepLines w:val="0"/>
        <w:pageBreakBefore w:val="0"/>
        <w:widowControl w:val="0"/>
        <w:numPr>
          <w:ilvl w:val="0"/>
          <w:numId w:val="2"/>
        </w:numPr>
        <w:kinsoku/>
        <w:wordWrap/>
        <w:overflowPunct/>
        <w:topLinePunct w:val="0"/>
        <w:autoSpaceDE w:val="0"/>
        <w:autoSpaceDN w:val="0"/>
        <w:bidi w:val="0"/>
        <w:adjustRightInd w:val="0"/>
        <w:snapToGrid/>
        <w:spacing w:line="240" w:lineRule="auto"/>
        <w:jc w:val="both"/>
        <w:textAlignment w:val="auto"/>
        <w:outlineLvl w:val="1"/>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其他应说明的事项：</w:t>
      </w:r>
    </w:p>
    <w:p w14:paraId="16D7E4E2">
      <w:pPr>
        <w:keepNext w:val="0"/>
        <w:keepLines w:val="0"/>
        <w:pageBreakBefore w:val="0"/>
        <w:widowControl w:val="0"/>
        <w:kinsoku/>
        <w:wordWrap w:val="0"/>
        <w:overflowPunct/>
        <w:topLinePunct w:val="0"/>
        <w:autoSpaceDE/>
        <w:autoSpaceDN/>
        <w:bidi w:val="0"/>
        <w:adjustRightInd/>
        <w:snapToGrid/>
        <w:spacing w:line="240" w:lineRule="auto"/>
        <w:ind w:firstLine="539"/>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按照陕西省财政厅《关于政府采购供应商注册登记有关事项的通知》中的要求，供应商应通过陕西省政府采购网（http://www.ccgp-shaanxi.gov.cn/）注册登记，加入陕西省政府采购供应商库。供应商注册登记咨询电话：029-96702-7  87611761。</w:t>
      </w:r>
    </w:p>
    <w:p w14:paraId="3AF325AB">
      <w:pPr>
        <w:keepLines w:val="0"/>
        <w:pageBreakBefore w:val="0"/>
        <w:kinsoku/>
        <w:wordWrap/>
        <w:overflowPunct/>
        <w:topLinePunct w:val="0"/>
        <w:bidi w:val="0"/>
        <w:snapToGrid/>
        <w:spacing w:line="240" w:lineRule="auto"/>
        <w:ind w:firstLine="54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8"/>
          <w:szCs w:val="28"/>
          <w:lang w:val="en-US" w:eastAsia="zh-CN"/>
        </w:rPr>
        <w:t>2、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14:paraId="3B142CCD">
      <w:pPr>
        <w:keepLines w:val="0"/>
        <w:pageBreakBefore w:val="0"/>
        <w:widowControl w:val="0"/>
        <w:kinsoku/>
        <w:wordWrap/>
        <w:overflowPunct/>
        <w:topLinePunct w:val="0"/>
        <w:bidi w:val="0"/>
        <w:snapToGrid/>
        <w:spacing w:line="240" w:lineRule="auto"/>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b/>
          <w:bCs/>
          <w:color w:val="auto"/>
          <w:kern w:val="2"/>
          <w:sz w:val="28"/>
          <w:szCs w:val="28"/>
          <w:lang w:val="en-US" w:eastAsia="zh-CN" w:bidi="ar-SA"/>
        </w:rPr>
        <w:t>八、凡对本次采购提出询问，请按以下方式联系。</w:t>
      </w:r>
    </w:p>
    <w:p w14:paraId="69DE1D56">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lang w:eastAsia="zh-CN"/>
        </w:rPr>
      </w:pPr>
      <w:r>
        <w:rPr>
          <w:rFonts w:hint="default" w:ascii="Times New Roman" w:hAnsi="Times New Roman" w:eastAsia="仿宋_GB2312" w:cs="Times New Roman"/>
          <w:color w:val="auto"/>
          <w:kern w:val="0"/>
          <w:sz w:val="28"/>
          <w:szCs w:val="28"/>
        </w:rPr>
        <w:t>1、采购人名称：</w:t>
      </w:r>
      <w:r>
        <w:rPr>
          <w:rFonts w:hint="default" w:ascii="Times New Roman" w:hAnsi="Times New Roman" w:eastAsia="仿宋_GB2312" w:cs="Times New Roman"/>
          <w:color w:val="auto"/>
          <w:kern w:val="0"/>
          <w:sz w:val="28"/>
          <w:szCs w:val="28"/>
          <w:lang w:eastAsia="zh-CN"/>
        </w:rPr>
        <w:t>中共</w:t>
      </w:r>
      <w:r>
        <w:rPr>
          <w:rFonts w:hint="default" w:ascii="Times New Roman" w:hAnsi="Times New Roman" w:eastAsia="仿宋_GB2312" w:cs="Times New Roman"/>
          <w:color w:val="auto"/>
          <w:kern w:val="0"/>
          <w:sz w:val="28"/>
          <w:szCs w:val="28"/>
          <w:lang w:val="en-US" w:eastAsia="zh-CN"/>
        </w:rPr>
        <w:t xml:space="preserve">汉中市汉台区委办公室 </w:t>
      </w:r>
    </w:p>
    <w:p w14:paraId="5AD89BCA">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地    址：陕西省汉中市汉台区中山街82号</w:t>
      </w:r>
      <w:r>
        <w:rPr>
          <w:rFonts w:hint="default" w:ascii="Times New Roman" w:hAnsi="Times New Roman" w:eastAsia="仿宋_GB2312" w:cs="Times New Roman"/>
          <w:color w:val="auto"/>
          <w:kern w:val="0"/>
          <w:sz w:val="28"/>
          <w:szCs w:val="28"/>
          <w:lang w:val="en-US" w:eastAsia="zh-CN"/>
        </w:rPr>
        <w:t xml:space="preserve"> </w:t>
      </w:r>
    </w:p>
    <w:p w14:paraId="649EC1A9">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联系方式：</w:t>
      </w:r>
      <w:r>
        <w:rPr>
          <w:rFonts w:hint="default" w:ascii="Times New Roman" w:hAnsi="Times New Roman" w:eastAsia="仿宋_GB2312" w:cs="Times New Roman"/>
          <w:color w:val="auto"/>
          <w:kern w:val="0"/>
          <w:sz w:val="28"/>
          <w:szCs w:val="28"/>
          <w:lang w:val="en-US" w:eastAsia="zh-CN"/>
        </w:rPr>
        <w:t xml:space="preserve">13509168817 </w:t>
      </w:r>
    </w:p>
    <w:p w14:paraId="24A81EDC">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2、采购代理机构名称：汉台区政府采购中心</w:t>
      </w:r>
    </w:p>
    <w:p w14:paraId="0EAB1D77">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地    址：汉台区东建设巷1号</w:t>
      </w:r>
    </w:p>
    <w:p w14:paraId="13699F12">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联系方式：0916-2245542</w:t>
      </w:r>
    </w:p>
    <w:p w14:paraId="2286EA81">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3采购项目联系人：</w:t>
      </w:r>
    </w:p>
    <w:p w14:paraId="6CBFFFA5">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杨关海   </w:t>
      </w:r>
      <w:r>
        <w:rPr>
          <w:rFonts w:hint="default" w:ascii="Times New Roman" w:hAnsi="Times New Roman" w:eastAsia="仿宋_GB2312" w:cs="Times New Roman"/>
          <w:color w:val="auto"/>
          <w:kern w:val="0"/>
          <w:sz w:val="28"/>
          <w:szCs w:val="28"/>
        </w:rPr>
        <w:t>联系</w:t>
      </w:r>
      <w:r>
        <w:rPr>
          <w:rFonts w:hint="default" w:ascii="Times New Roman" w:hAnsi="Times New Roman" w:eastAsia="仿宋_GB2312" w:cs="Times New Roman"/>
          <w:color w:val="auto"/>
          <w:kern w:val="0"/>
          <w:sz w:val="28"/>
          <w:szCs w:val="28"/>
          <w:lang w:eastAsia="zh-CN"/>
        </w:rPr>
        <w:t>方式：</w:t>
      </w:r>
      <w:r>
        <w:rPr>
          <w:rFonts w:hint="default" w:ascii="Times New Roman" w:hAnsi="Times New Roman" w:eastAsia="仿宋_GB2312" w:cs="Times New Roman"/>
          <w:color w:val="auto"/>
          <w:kern w:val="0"/>
          <w:sz w:val="28"/>
          <w:szCs w:val="28"/>
          <w:lang w:val="en-US" w:eastAsia="zh-CN"/>
        </w:rPr>
        <w:t>13509168817</w:t>
      </w:r>
    </w:p>
    <w:p w14:paraId="4A083435">
      <w:pPr>
        <w:keepLines w:val="0"/>
        <w:pageBreakBefore w:val="0"/>
        <w:widowControl w:val="0"/>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rPr>
        <w:t xml:space="preserve">邓涛  </w:t>
      </w:r>
      <w:r>
        <w:rPr>
          <w:rFonts w:hint="default" w:ascii="Times New Roman" w:hAnsi="Times New Roman" w:eastAsia="仿宋_GB2312" w:cs="Times New Roman"/>
          <w:color w:val="auto"/>
          <w:kern w:val="0"/>
          <w:sz w:val="28"/>
          <w:szCs w:val="28"/>
          <w:lang w:eastAsia="zh-CN"/>
        </w:rPr>
        <w:t>杨倩</w:t>
      </w:r>
      <w:r>
        <w:rPr>
          <w:rFonts w:hint="default" w:ascii="Times New Roman" w:hAnsi="Times New Roman" w:eastAsia="仿宋_GB2312" w:cs="Times New Roman"/>
          <w:color w:val="auto"/>
          <w:kern w:val="0"/>
          <w:sz w:val="28"/>
          <w:szCs w:val="28"/>
        </w:rPr>
        <w:t xml:space="preserve"> </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rPr>
        <w:t>联系方式（电话/传真）：0916-2245542</w:t>
      </w:r>
    </w:p>
    <w:p w14:paraId="5338DC90">
      <w:pPr>
        <w:rPr>
          <w:rFonts w:hint="default" w:ascii="Times New Roman" w:hAnsi="Times New Roman" w:eastAsia="黑体" w:cs="Times New Roman"/>
          <w:color w:val="auto"/>
          <w:sz w:val="32"/>
          <w:szCs w:val="32"/>
        </w:rPr>
      </w:pPr>
      <w:bookmarkStart w:id="37" w:name="_Toc19337_WPSOffice_Level1"/>
      <w:bookmarkStart w:id="38" w:name="_Toc9601"/>
      <w:bookmarkStart w:id="39" w:name="_Toc15046_WPSOffice_Level1"/>
      <w:bookmarkStart w:id="40" w:name="_Toc495014584"/>
      <w:bookmarkStart w:id="41" w:name="_Toc7814"/>
      <w:bookmarkStart w:id="42" w:name="_Toc495014648"/>
      <w:bookmarkStart w:id="43" w:name="_Toc4326"/>
      <w:bookmarkStart w:id="44" w:name="_Toc495012820"/>
      <w:bookmarkStart w:id="45" w:name="_Toc495012770"/>
      <w:bookmarkStart w:id="46" w:name="_Toc22804_WPSOffice_Level1"/>
      <w:bookmarkStart w:id="47" w:name="_Toc495014610"/>
      <w:bookmarkStart w:id="48" w:name="_Toc445306492"/>
      <w:bookmarkStart w:id="49" w:name="_Toc10140"/>
      <w:bookmarkStart w:id="50" w:name="_Toc495014953"/>
      <w:bookmarkStart w:id="51" w:name="_Toc495014919"/>
      <w:r>
        <w:rPr>
          <w:rFonts w:hint="default" w:ascii="Times New Roman" w:hAnsi="Times New Roman" w:eastAsia="黑体" w:cs="Times New Roman"/>
          <w:b w:val="0"/>
          <w:bCs/>
          <w:color w:val="auto"/>
          <w:sz w:val="32"/>
          <w:szCs w:val="32"/>
        </w:rPr>
        <w:br w:type="page"/>
      </w:r>
      <w:r>
        <w:rPr>
          <w:rFonts w:hint="default" w:ascii="Times New Roman" w:hAnsi="Times New Roman" w:eastAsia="黑体" w:cs="Times New Roman"/>
          <w:b w:val="0"/>
          <w:bCs/>
          <w:color w:val="auto"/>
          <w:sz w:val="32"/>
          <w:szCs w:val="32"/>
          <w:lang w:val="en-US" w:eastAsia="zh-CN"/>
        </w:rPr>
        <w:t xml:space="preserve">               </w:t>
      </w:r>
      <w:r>
        <w:rPr>
          <w:rFonts w:hint="default" w:ascii="Times New Roman" w:hAnsi="Times New Roman" w:eastAsia="黑体" w:cs="Times New Roman"/>
          <w:b w:val="0"/>
          <w:bCs/>
          <w:color w:val="auto"/>
          <w:sz w:val="32"/>
          <w:szCs w:val="32"/>
        </w:rPr>
        <w:t xml:space="preserve">第二章  </w:t>
      </w:r>
      <w:r>
        <w:rPr>
          <w:rFonts w:hint="default" w:ascii="Times New Roman" w:hAnsi="Times New Roman" w:eastAsia="黑体" w:cs="Times New Roman"/>
          <w:b w:val="0"/>
          <w:bCs/>
          <w:color w:val="auto"/>
          <w:sz w:val="32"/>
          <w:szCs w:val="32"/>
          <w:lang w:eastAsia="zh-CN"/>
        </w:rPr>
        <w:t>磋商</w:t>
      </w:r>
      <w:r>
        <w:rPr>
          <w:rFonts w:hint="default" w:ascii="Times New Roman" w:hAnsi="Times New Roman" w:eastAsia="黑体" w:cs="Times New Roman"/>
          <w:b w:val="0"/>
          <w:bCs/>
          <w:color w:val="auto"/>
          <w:sz w:val="32"/>
          <w:szCs w:val="32"/>
        </w:rPr>
        <w:t>供应商须知</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EA42797">
      <w:pPr>
        <w:pStyle w:val="4"/>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bookmarkStart w:id="52" w:name="_Toc12337"/>
      <w:bookmarkStart w:id="53" w:name="_Toc23184"/>
      <w:bookmarkStart w:id="54" w:name="_Toc3858_WPSOffice_Level2"/>
      <w:bookmarkStart w:id="55" w:name="_Toc16238"/>
      <w:bookmarkStart w:id="56" w:name="_Toc3062"/>
      <w:bookmarkStart w:id="57" w:name="_Toc24451_WPSOffice_Level2"/>
      <w:bookmarkStart w:id="58" w:name="_Toc18466_WPSOffice_Level2"/>
      <w:r>
        <w:rPr>
          <w:rFonts w:hint="default" w:ascii="Times New Roman" w:hAnsi="Times New Roman" w:eastAsia="仿宋_GB2312" w:cs="Times New Roman"/>
          <w:color w:val="auto"/>
          <w:sz w:val="28"/>
          <w:szCs w:val="28"/>
        </w:rPr>
        <w:t>一、定义</w:t>
      </w:r>
      <w:bookmarkEnd w:id="52"/>
      <w:bookmarkEnd w:id="53"/>
      <w:bookmarkEnd w:id="54"/>
      <w:bookmarkEnd w:id="55"/>
      <w:bookmarkEnd w:id="56"/>
      <w:bookmarkEnd w:id="57"/>
      <w:bookmarkEnd w:id="58"/>
    </w:p>
    <w:p w14:paraId="35BC6C5C">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bookmarkStart w:id="59" w:name="_Toc11840_WPSOffice_Level3"/>
      <w:r>
        <w:rPr>
          <w:rFonts w:hint="default" w:ascii="Times New Roman" w:hAnsi="Times New Roman" w:eastAsia="仿宋_GB2312" w:cs="Times New Roman"/>
          <w:color w:val="auto"/>
          <w:sz w:val="28"/>
          <w:szCs w:val="28"/>
        </w:rPr>
        <w:t>（一）采 购 人</w:t>
      </w:r>
      <w:r>
        <w:rPr>
          <w:rFonts w:hint="default" w:ascii="Times New Roman" w:hAnsi="Times New Roman" w:eastAsia="仿宋_GB2312" w:cs="Times New Roman"/>
          <w:color w:val="auto"/>
          <w:sz w:val="28"/>
          <w:szCs w:val="28"/>
          <w:lang w:val="en-US" w:eastAsia="zh-CN"/>
        </w:rPr>
        <w:t>：</w:t>
      </w:r>
      <w:bookmarkEnd w:id="59"/>
      <w:bookmarkStart w:id="60" w:name="_Toc9917_WPSOffice_Level3"/>
      <w:r>
        <w:rPr>
          <w:rFonts w:hint="default" w:ascii="Times New Roman" w:hAnsi="Times New Roman" w:eastAsia="仿宋_GB2312" w:cs="Times New Roman"/>
          <w:color w:val="auto"/>
          <w:sz w:val="28"/>
          <w:szCs w:val="28"/>
          <w:lang w:val="en-US" w:eastAsia="zh-CN"/>
        </w:rPr>
        <w:t>中共汉中市汉台区委办公室</w:t>
      </w:r>
    </w:p>
    <w:p w14:paraId="6CBFEC12">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（二）监督机构：</w:t>
      </w:r>
      <w:bookmarkEnd w:id="60"/>
      <w:r>
        <w:rPr>
          <w:rFonts w:hint="default" w:ascii="Times New Roman" w:hAnsi="Times New Roman" w:eastAsia="仿宋_GB2312" w:cs="Times New Roman"/>
          <w:color w:val="auto"/>
          <w:sz w:val="28"/>
          <w:szCs w:val="28"/>
          <w:lang w:val="en-US" w:eastAsia="zh-CN"/>
        </w:rPr>
        <w:t>汉台区财政局</w:t>
      </w:r>
    </w:p>
    <w:p w14:paraId="4BBE4B93">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bookmarkStart w:id="61" w:name="_Toc8219_WPSOffice_Level3"/>
      <w:r>
        <w:rPr>
          <w:rFonts w:hint="default" w:ascii="Times New Roman" w:hAnsi="Times New Roman" w:eastAsia="仿宋_GB2312" w:cs="Times New Roman"/>
          <w:color w:val="auto"/>
          <w:sz w:val="28"/>
          <w:szCs w:val="28"/>
        </w:rPr>
        <w:t>（三）集中采购机构</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采购代理机构</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汉台区</w:t>
      </w:r>
      <w:r>
        <w:rPr>
          <w:rFonts w:hint="default" w:ascii="Times New Roman" w:hAnsi="Times New Roman" w:eastAsia="仿宋_GB2312" w:cs="Times New Roman"/>
          <w:color w:val="auto"/>
          <w:sz w:val="28"/>
          <w:szCs w:val="28"/>
        </w:rPr>
        <w:t>政府采购中心</w:t>
      </w:r>
      <w:bookmarkEnd w:id="61"/>
    </w:p>
    <w:p w14:paraId="259E288D">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bookmarkStart w:id="62" w:name="_Toc20141_WPSOffice_Level3"/>
      <w:r>
        <w:rPr>
          <w:rFonts w:hint="default" w:ascii="Times New Roman" w:hAnsi="Times New Roman" w:eastAsia="仿宋_GB2312" w:cs="Times New Roman"/>
          <w:color w:val="auto"/>
          <w:sz w:val="28"/>
          <w:szCs w:val="28"/>
        </w:rPr>
        <w:t>（四）供应商：拟向采购人提供货物、工程或者服务的法人、其他组织或者自然人</w:t>
      </w:r>
      <w:bookmarkEnd w:id="62"/>
    </w:p>
    <w:p w14:paraId="05BC39FB">
      <w:pPr>
        <w:snapToGrid w:val="0"/>
        <w:spacing w:line="240" w:lineRule="auto"/>
        <w:ind w:firstLine="566" w:firstLineChars="200"/>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联合体</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：两个以上供应商可以组成一个</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联合体，以一个</w:t>
      </w:r>
      <w:r>
        <w:rPr>
          <w:rFonts w:hint="eastAsia" w:ascii="仿宋_GB2312" w:hAnsi="仿宋_GB2312" w:eastAsia="仿宋_GB2312" w:cs="仿宋_GB2312"/>
          <w:color w:val="auto"/>
          <w:sz w:val="28"/>
          <w:szCs w:val="28"/>
          <w:lang w:eastAsia="zh-CN"/>
        </w:rPr>
        <w:t>磋商供应商</w:t>
      </w:r>
      <w:r>
        <w:rPr>
          <w:rFonts w:hint="eastAsia" w:ascii="仿宋_GB2312" w:hAnsi="仿宋_GB2312" w:eastAsia="仿宋_GB2312" w:cs="仿宋_GB2312"/>
          <w:color w:val="auto"/>
          <w:sz w:val="28"/>
          <w:szCs w:val="28"/>
        </w:rPr>
        <w:t>的身份</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。以联合体形式参加</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的，联合体各方均应当符合政府采购法第二十二条第一款规定的条件。采购人根据采购项目的特殊要求规定</w:t>
      </w:r>
      <w:r>
        <w:rPr>
          <w:rFonts w:hint="eastAsia" w:ascii="仿宋_GB2312" w:hAnsi="仿宋_GB2312" w:eastAsia="仿宋_GB2312" w:cs="仿宋_GB2312"/>
          <w:color w:val="auto"/>
          <w:sz w:val="28"/>
          <w:szCs w:val="28"/>
          <w:lang w:eastAsia="zh-CN"/>
        </w:rPr>
        <w:t>磋商供应商</w:t>
      </w:r>
      <w:r>
        <w:rPr>
          <w:rFonts w:hint="eastAsia" w:ascii="仿宋_GB2312" w:hAnsi="仿宋_GB2312" w:eastAsia="仿宋_GB2312" w:cs="仿宋_GB2312"/>
          <w:color w:val="auto"/>
          <w:sz w:val="28"/>
          <w:szCs w:val="28"/>
        </w:rPr>
        <w:t xml:space="preserve">特定条件的，联合体各方中至少应当有一方符合采购人规定的特定条件。 </w:t>
      </w:r>
      <w:r>
        <w:rPr>
          <w:rFonts w:hint="eastAsia" w:ascii="仿宋_GB2312" w:hAnsi="仿宋_GB2312" w:eastAsia="仿宋_GB2312" w:cs="仿宋_GB2312"/>
          <w:b/>
          <w:bCs/>
          <w:color w:val="auto"/>
          <w:sz w:val="28"/>
          <w:szCs w:val="28"/>
        </w:rPr>
        <w:t xml:space="preserve"> </w:t>
      </w:r>
      <w:r>
        <w:rPr>
          <w:rFonts w:hint="eastAsia" w:ascii="仿宋_GB2312" w:hAnsi="仿宋_GB2312" w:eastAsia="仿宋_GB2312" w:cs="仿宋_GB2312"/>
          <w:color w:val="auto"/>
          <w:sz w:val="28"/>
          <w:szCs w:val="28"/>
        </w:rPr>
        <w:t>联合体各方之间应当签订共同</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协议，明确约定联合体各方承担的工作和相应的责任，并将共同</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协议连同</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文件一并提交</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采购单位。联合体各方签订共同</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协议后，不得再以自己名义单独在同一项目中</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，也不得组成新的联合体参加同一项目</w:t>
      </w:r>
      <w:r>
        <w:rPr>
          <w:rFonts w:hint="eastAsia" w:ascii="仿宋_GB2312" w:hAnsi="仿宋_GB2312" w:eastAsia="仿宋_GB2312" w:cs="仿宋_GB2312"/>
          <w:color w:val="auto"/>
          <w:sz w:val="28"/>
          <w:szCs w:val="28"/>
          <w:lang w:eastAsia="zh-CN"/>
        </w:rPr>
        <w:t>磋商</w:t>
      </w:r>
      <w:r>
        <w:rPr>
          <w:rFonts w:hint="eastAsia" w:ascii="仿宋_GB2312" w:hAnsi="仿宋_GB2312" w:eastAsia="仿宋_GB2312" w:cs="仿宋_GB2312"/>
          <w:color w:val="auto"/>
          <w:sz w:val="28"/>
          <w:szCs w:val="28"/>
        </w:rPr>
        <w:t>。</w:t>
      </w:r>
    </w:p>
    <w:p w14:paraId="51EA9253">
      <w:pPr>
        <w:spacing w:line="240" w:lineRule="auto"/>
        <w:ind w:firstLine="888" w:firstLineChars="314"/>
        <w:rPr>
          <w:rFonts w:hint="default"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1"/>
          <w:sz w:val="28"/>
          <w:szCs w:val="28"/>
        </w:rPr>
        <w:t>本项目为政府采购服务项目。</w:t>
      </w:r>
      <w:r>
        <w:rPr>
          <w:rFonts w:hint="default" w:ascii="Times New Roman" w:hAnsi="Times New Roman" w:eastAsia="仿宋_GB2312" w:cs="Times New Roman"/>
          <w:b/>
          <w:bCs/>
          <w:color w:val="auto"/>
          <w:sz w:val="28"/>
          <w:szCs w:val="28"/>
          <w:lang w:val="en-US" w:eastAsia="zh-CN"/>
        </w:rPr>
        <w:t>本项目不接受联合体方式磋商，不允许分包。</w:t>
      </w:r>
      <w:r>
        <w:rPr>
          <w:rFonts w:hint="default" w:ascii="仿宋_GB2312" w:hAnsi="仿宋_GB2312" w:eastAsia="仿宋_GB2312" w:cs="仿宋_GB2312"/>
          <w:color w:val="auto"/>
          <w:sz w:val="28"/>
          <w:szCs w:val="28"/>
          <w:lang w:eastAsia="zh-CN"/>
        </w:rPr>
        <w:t>采购预算由保障性资金安排。</w:t>
      </w:r>
    </w:p>
    <w:p w14:paraId="0D27C500">
      <w:pPr>
        <w:snapToGrid w:val="0"/>
        <w:spacing w:line="240" w:lineRule="auto"/>
        <w:ind w:firstLine="566" w:firstLineChars="200"/>
        <w:outlineLvl w:val="1"/>
        <w:rPr>
          <w:rFonts w:hint="default" w:ascii="Times New Roman" w:hAnsi="Times New Roman" w:eastAsia="仿宋_GB2312" w:cs="Times New Roman"/>
          <w:b/>
          <w:bCs/>
          <w:color w:val="auto"/>
          <w:sz w:val="28"/>
          <w:szCs w:val="28"/>
        </w:rPr>
      </w:pPr>
      <w:bookmarkStart w:id="63" w:name="_Toc13654"/>
      <w:bookmarkStart w:id="64" w:name="_Toc20906_WPSOffice_Level2"/>
      <w:bookmarkStart w:id="65" w:name="_Toc9291"/>
      <w:bookmarkStart w:id="66" w:name="_Toc27278_WPSOffice_Level2"/>
      <w:bookmarkStart w:id="67" w:name="_Toc4606"/>
      <w:bookmarkStart w:id="68" w:name="_Toc11745_WPSOffice_Level2"/>
      <w:bookmarkStart w:id="69" w:name="_Toc24646"/>
      <w:r>
        <w:rPr>
          <w:rFonts w:hint="default" w:ascii="Times New Roman" w:hAnsi="Times New Roman" w:eastAsia="仿宋_GB2312" w:cs="Times New Roman"/>
          <w:b/>
          <w:bCs/>
          <w:color w:val="auto"/>
          <w:sz w:val="28"/>
          <w:szCs w:val="28"/>
        </w:rPr>
        <w:t>二、供应商</w:t>
      </w:r>
      <w:r>
        <w:rPr>
          <w:rFonts w:hint="default" w:ascii="仿宋_GB2312" w:hAnsi="仿宋_GB2312" w:eastAsia="仿宋_GB2312" w:cs="仿宋_GB2312"/>
          <w:b/>
          <w:bCs/>
          <w:color w:val="auto"/>
          <w:sz w:val="28"/>
          <w:szCs w:val="28"/>
          <w:lang w:eastAsia="zh-CN"/>
        </w:rPr>
        <w:t>注意</w:t>
      </w:r>
      <w:r>
        <w:rPr>
          <w:rFonts w:hint="default" w:ascii="Times New Roman" w:hAnsi="Times New Roman" w:eastAsia="仿宋_GB2312" w:cs="Times New Roman"/>
          <w:b/>
          <w:bCs/>
          <w:color w:val="auto"/>
          <w:sz w:val="28"/>
          <w:szCs w:val="28"/>
        </w:rPr>
        <w:t>事项</w:t>
      </w:r>
      <w:bookmarkEnd w:id="63"/>
      <w:bookmarkEnd w:id="64"/>
      <w:bookmarkEnd w:id="65"/>
      <w:bookmarkEnd w:id="66"/>
      <w:bookmarkEnd w:id="67"/>
      <w:bookmarkEnd w:id="68"/>
      <w:bookmarkEnd w:id="69"/>
    </w:p>
    <w:p w14:paraId="331E5619">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color w:val="auto"/>
          <w:sz w:val="28"/>
          <w:szCs w:val="28"/>
        </w:rPr>
      </w:pPr>
      <w:bookmarkStart w:id="70" w:name="_Toc26982_WPSOffice_Level3"/>
      <w:bookmarkStart w:id="71" w:name="_Toc21291"/>
      <w:r>
        <w:rPr>
          <w:rFonts w:hint="default" w:ascii="Times New Roman" w:hAnsi="Times New Roman" w:eastAsia="仿宋_GB2312" w:cs="Times New Roman"/>
          <w:b/>
          <w:bCs/>
          <w:color w:val="auto"/>
          <w:sz w:val="28"/>
          <w:szCs w:val="28"/>
        </w:rPr>
        <w:t>（一）</w:t>
      </w:r>
      <w:r>
        <w:rPr>
          <w:rFonts w:hint="default" w:ascii="Times New Roman" w:hAnsi="Times New Roman" w:eastAsia="仿宋_GB2312" w:cs="Times New Roman"/>
          <w:b/>
          <w:color w:val="auto"/>
          <w:sz w:val="28"/>
          <w:szCs w:val="28"/>
        </w:rPr>
        <w:t>现场</w:t>
      </w:r>
      <w:r>
        <w:rPr>
          <w:rFonts w:hint="default" w:ascii="Times New Roman" w:hAnsi="Times New Roman" w:eastAsia="仿宋_GB2312" w:cs="Times New Roman"/>
          <w:b/>
          <w:color w:val="auto"/>
          <w:sz w:val="28"/>
          <w:szCs w:val="28"/>
          <w:lang w:val="en-US" w:eastAsia="zh-CN"/>
        </w:rPr>
        <w:t>考察</w:t>
      </w:r>
      <w:r>
        <w:rPr>
          <w:rFonts w:hint="default" w:ascii="Times New Roman" w:hAnsi="Times New Roman" w:eastAsia="仿宋_GB2312" w:cs="Times New Roman"/>
          <w:b/>
          <w:color w:val="auto"/>
          <w:sz w:val="28"/>
          <w:szCs w:val="28"/>
        </w:rPr>
        <w:t>及</w:t>
      </w:r>
      <w:r>
        <w:rPr>
          <w:rFonts w:hint="default" w:ascii="Times New Roman" w:hAnsi="Times New Roman" w:eastAsia="仿宋_GB2312" w:cs="Times New Roman"/>
          <w:b/>
          <w:color w:val="auto"/>
          <w:sz w:val="28"/>
          <w:szCs w:val="28"/>
          <w:lang w:val="en-US" w:eastAsia="zh-CN"/>
        </w:rPr>
        <w:t>磋商</w:t>
      </w:r>
      <w:r>
        <w:rPr>
          <w:rFonts w:hint="default" w:ascii="Times New Roman" w:hAnsi="Times New Roman" w:eastAsia="仿宋_GB2312" w:cs="Times New Roman"/>
          <w:b/>
          <w:color w:val="auto"/>
          <w:sz w:val="28"/>
          <w:szCs w:val="28"/>
        </w:rPr>
        <w:t>前答疑会</w:t>
      </w:r>
    </w:p>
    <w:p w14:paraId="46683563">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cs="Times New Roman"/>
          <w:color w:val="auto"/>
          <w:sz w:val="10"/>
          <w:szCs w:val="10"/>
          <w:lang w:eastAsia="zh-CN"/>
        </w:rPr>
      </w:pPr>
      <w:r>
        <w:rPr>
          <w:rFonts w:hint="default" w:ascii="Times New Roman" w:hAnsi="Times New Roman" w:eastAsia="仿宋_GB2312" w:cs="Times New Roman"/>
          <w:bCs/>
          <w:color w:val="auto"/>
          <w:sz w:val="28"/>
          <w:szCs w:val="28"/>
        </w:rPr>
        <w:t>采购项目安排现场考察和</w:t>
      </w:r>
      <w:r>
        <w:rPr>
          <w:rFonts w:hint="default" w:ascii="Times New Roman" w:hAnsi="Times New Roman" w:eastAsia="仿宋_GB2312" w:cs="Times New Roman"/>
          <w:bCs/>
          <w:color w:val="auto"/>
          <w:sz w:val="28"/>
          <w:szCs w:val="28"/>
          <w:lang w:val="en-US" w:eastAsia="zh-CN"/>
        </w:rPr>
        <w:t>磋商</w:t>
      </w:r>
      <w:r>
        <w:rPr>
          <w:rFonts w:hint="default" w:ascii="Times New Roman" w:hAnsi="Times New Roman" w:eastAsia="仿宋_GB2312" w:cs="Times New Roman"/>
          <w:bCs/>
          <w:color w:val="auto"/>
          <w:sz w:val="28"/>
          <w:szCs w:val="28"/>
        </w:rPr>
        <w:t>前答疑的，采购人应尽量在现场予以解答 （口头提问可口头答复），现场不能做出解答的，应在三个工作日内书面答复，并交由</w:t>
      </w:r>
      <w:r>
        <w:rPr>
          <w:rFonts w:hint="default" w:ascii="Times New Roman" w:hAnsi="Times New Roman" w:eastAsia="仿宋_GB2312" w:cs="Times New Roman"/>
          <w:bCs/>
          <w:color w:val="auto"/>
          <w:sz w:val="28"/>
          <w:szCs w:val="28"/>
          <w:lang w:val="en-US" w:eastAsia="zh-CN"/>
        </w:rPr>
        <w:t>集中采购机构</w:t>
      </w:r>
      <w:r>
        <w:rPr>
          <w:rFonts w:hint="default" w:ascii="Times New Roman" w:hAnsi="Times New Roman" w:eastAsia="仿宋_GB2312" w:cs="Times New Roman"/>
          <w:bCs/>
          <w:color w:val="auto"/>
          <w:sz w:val="28"/>
          <w:szCs w:val="28"/>
        </w:rPr>
        <w:t>在财政部门指定的媒体上发布。 答复内容可能影响响应文件编制的，应当顺延</w:t>
      </w:r>
      <w:r>
        <w:rPr>
          <w:rFonts w:hint="default" w:ascii="Times New Roman" w:hAnsi="Times New Roman" w:eastAsia="仿宋_GB2312" w:cs="Times New Roman"/>
          <w:bCs/>
          <w:color w:val="auto"/>
          <w:sz w:val="28"/>
          <w:szCs w:val="28"/>
          <w:lang w:val="en-US" w:eastAsia="zh-CN"/>
        </w:rPr>
        <w:t>磋商</w:t>
      </w:r>
      <w:r>
        <w:rPr>
          <w:rFonts w:hint="default" w:ascii="Times New Roman" w:hAnsi="Times New Roman" w:eastAsia="仿宋_GB2312" w:cs="Times New Roman"/>
          <w:bCs/>
          <w:color w:val="auto"/>
          <w:sz w:val="28"/>
          <w:szCs w:val="28"/>
        </w:rPr>
        <w:t xml:space="preserve">时间。凡未参加现场考察及磋商前答疑会的供应商，由此造成的偏差由各供应商自行负责。 </w:t>
      </w:r>
      <w:bookmarkEnd w:id="70"/>
      <w:bookmarkEnd w:id="71"/>
      <w:bookmarkStart w:id="72" w:name="_Toc669_WPSOffice_Level3"/>
    </w:p>
    <w:p w14:paraId="2E069393">
      <w:pPr>
        <w:pStyle w:val="22"/>
        <w:spacing w:line="240" w:lineRule="auto"/>
        <w:ind w:left="0" w:leftChars="0" w:firstLine="566" w:firstLineChars="200"/>
        <w:rPr>
          <w:rFonts w:hint="default" w:ascii="Times New Roman" w:hAnsi="Times New Roman" w:eastAsia="仿宋_GB2312" w:cs="Times New Roman"/>
          <w:b/>
          <w:bCs w:val="0"/>
          <w:color w:val="auto"/>
          <w:sz w:val="28"/>
          <w:szCs w:val="28"/>
          <w:highlight w:val="none"/>
          <w:lang w:val="en-US" w:eastAsia="zh-CN"/>
        </w:rPr>
      </w:pPr>
      <w:r>
        <w:rPr>
          <w:rFonts w:hint="default" w:ascii="Times New Roman" w:hAnsi="Times New Roman" w:eastAsia="仿宋_GB2312" w:cs="Times New Roman"/>
          <w:b/>
          <w:bCs w:val="0"/>
          <w:color w:val="auto"/>
          <w:sz w:val="28"/>
          <w:szCs w:val="28"/>
          <w:lang w:eastAsia="zh-CN"/>
        </w:rPr>
        <w:t>本项目</w:t>
      </w:r>
      <w:r>
        <w:rPr>
          <w:rFonts w:hint="default" w:ascii="Times New Roman" w:hAnsi="Times New Roman" w:eastAsia="仿宋_GB2312" w:cs="Times New Roman"/>
          <w:b/>
          <w:bCs w:val="0"/>
          <w:color w:val="auto"/>
          <w:sz w:val="28"/>
          <w:szCs w:val="28"/>
          <w:lang w:val="en-US" w:eastAsia="zh-CN"/>
        </w:rPr>
        <w:t>不</w:t>
      </w:r>
      <w:r>
        <w:rPr>
          <w:rFonts w:hint="default" w:ascii="Times New Roman" w:hAnsi="Times New Roman" w:eastAsia="仿宋_GB2312" w:cs="Times New Roman"/>
          <w:b/>
          <w:bCs w:val="0"/>
          <w:color w:val="auto"/>
          <w:sz w:val="28"/>
          <w:szCs w:val="28"/>
          <w:lang w:eastAsia="zh-CN"/>
        </w:rPr>
        <w:t>组织集中踏勘</w:t>
      </w:r>
      <w:r>
        <w:rPr>
          <w:rFonts w:hint="default" w:ascii="Times New Roman" w:hAnsi="Times New Roman" w:eastAsia="仿宋_GB2312" w:cs="Times New Roman"/>
          <w:b/>
          <w:bCs w:val="0"/>
          <w:color w:val="auto"/>
          <w:sz w:val="28"/>
          <w:szCs w:val="28"/>
          <w:lang w:val="en-US" w:eastAsia="zh-CN"/>
        </w:rPr>
        <w:t>和磋商前答疑会</w:t>
      </w:r>
      <w:r>
        <w:rPr>
          <w:rFonts w:hint="default" w:ascii="Times New Roman" w:hAnsi="Times New Roman" w:eastAsia="仿宋_GB2312" w:cs="Times New Roman"/>
          <w:b/>
          <w:bCs w:val="0"/>
          <w:color w:val="auto"/>
          <w:sz w:val="28"/>
          <w:szCs w:val="28"/>
          <w:lang w:eastAsia="zh-CN"/>
        </w:rPr>
        <w:t>。</w:t>
      </w:r>
    </w:p>
    <w:p w14:paraId="4333587B">
      <w:pPr>
        <w:pageBreakBefore w:val="0"/>
        <w:widowControl/>
        <w:kinsoku/>
        <w:wordWrap/>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color w:val="auto"/>
          <w:sz w:val="28"/>
          <w:szCs w:val="28"/>
        </w:rPr>
        <w:t>（二）</w:t>
      </w:r>
      <w:bookmarkEnd w:id="72"/>
      <w:bookmarkStart w:id="73" w:name="_Toc9412_WPSOffice_Level3"/>
      <w:r>
        <w:rPr>
          <w:rFonts w:hint="default" w:ascii="Times New Roman" w:hAnsi="Times New Roman" w:eastAsia="仿宋_GB2312" w:cs="Times New Roman"/>
          <w:b/>
          <w:bCs/>
          <w:color w:val="auto"/>
          <w:sz w:val="28"/>
          <w:szCs w:val="28"/>
        </w:rPr>
        <w:t>询问</w:t>
      </w:r>
    </w:p>
    <w:p w14:paraId="202A7E94">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供应商</w:t>
      </w:r>
      <w:r>
        <w:rPr>
          <w:rFonts w:hint="default" w:ascii="Times New Roman" w:hAnsi="Times New Roman" w:eastAsia="仿宋_GB2312" w:cs="Times New Roman"/>
          <w:color w:val="auto"/>
          <w:sz w:val="28"/>
          <w:szCs w:val="28"/>
          <w:lang w:val="en-US" w:eastAsia="zh-CN"/>
        </w:rPr>
        <w:t>针对磋商文件，向采购人</w:t>
      </w:r>
      <w:r>
        <w:rPr>
          <w:rFonts w:hint="default" w:ascii="Times New Roman" w:hAnsi="Times New Roman" w:eastAsia="仿宋_GB2312" w:cs="Times New Roman"/>
          <w:color w:val="auto"/>
          <w:sz w:val="28"/>
          <w:szCs w:val="28"/>
        </w:rPr>
        <w:t>提出书面询问的，采购人应在三个工作日内书面答复；供应商向</w:t>
      </w: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提出书面询问的，</w:t>
      </w:r>
      <w:r>
        <w:rPr>
          <w:rFonts w:hint="default" w:ascii="Times New Roman" w:hAnsi="Times New Roman" w:eastAsia="仿宋_GB2312" w:cs="Times New Roman"/>
          <w:color w:val="auto"/>
          <w:sz w:val="28"/>
          <w:szCs w:val="28"/>
          <w:lang w:val="en-US" w:eastAsia="zh-CN"/>
        </w:rPr>
        <w:t>汉台区</w:t>
      </w:r>
      <w:r>
        <w:rPr>
          <w:rFonts w:hint="default" w:ascii="Times New Roman" w:hAnsi="Times New Roman" w:eastAsia="仿宋_GB2312" w:cs="Times New Roman"/>
          <w:color w:val="auto"/>
          <w:sz w:val="28"/>
          <w:szCs w:val="28"/>
        </w:rPr>
        <w:t>政府采购中心</w:t>
      </w:r>
      <w:r>
        <w:rPr>
          <w:rFonts w:hint="default" w:ascii="Times New Roman" w:hAnsi="Times New Roman" w:eastAsia="仿宋_GB2312" w:cs="Times New Roman"/>
          <w:color w:val="auto"/>
          <w:sz w:val="28"/>
          <w:szCs w:val="28"/>
          <w:lang w:val="en-US" w:eastAsia="zh-CN"/>
        </w:rPr>
        <w:t>在委托授权范围内作出答复，超出范围</w:t>
      </w:r>
      <w:r>
        <w:rPr>
          <w:rFonts w:hint="default" w:ascii="Times New Roman" w:hAnsi="Times New Roman" w:eastAsia="仿宋_GB2312" w:cs="Times New Roman"/>
          <w:color w:val="auto"/>
          <w:sz w:val="28"/>
          <w:szCs w:val="28"/>
        </w:rPr>
        <w:t>应告知采购人</w:t>
      </w:r>
      <w:r>
        <w:rPr>
          <w:rFonts w:hint="default" w:ascii="Times New Roman" w:hAnsi="Times New Roman" w:eastAsia="仿宋_GB2312" w:cs="Times New Roman"/>
          <w:color w:val="auto"/>
          <w:sz w:val="28"/>
          <w:szCs w:val="28"/>
          <w:lang w:val="en-US" w:eastAsia="zh-CN"/>
        </w:rPr>
        <w:t>作</w:t>
      </w:r>
      <w:r>
        <w:rPr>
          <w:rFonts w:hint="default" w:ascii="Times New Roman" w:hAnsi="Times New Roman" w:eastAsia="仿宋_GB2312" w:cs="Times New Roman"/>
          <w:color w:val="auto"/>
          <w:sz w:val="28"/>
          <w:szCs w:val="28"/>
        </w:rPr>
        <w:t xml:space="preserve">出答复。 </w:t>
      </w:r>
    </w:p>
    <w:p w14:paraId="738170F8">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供应商</w:t>
      </w:r>
      <w:r>
        <w:rPr>
          <w:rFonts w:hint="default" w:ascii="Times New Roman" w:hAnsi="Times New Roman" w:eastAsia="仿宋_GB2312" w:cs="Times New Roman"/>
          <w:color w:val="auto"/>
          <w:sz w:val="28"/>
          <w:szCs w:val="28"/>
          <w:lang w:val="en-US" w:eastAsia="zh-CN"/>
        </w:rPr>
        <w:t>针</w:t>
      </w:r>
      <w:r>
        <w:rPr>
          <w:rFonts w:hint="default" w:ascii="Times New Roman" w:hAnsi="Times New Roman" w:eastAsia="仿宋_GB2312" w:cs="Times New Roman"/>
          <w:color w:val="auto"/>
          <w:sz w:val="28"/>
          <w:szCs w:val="28"/>
        </w:rPr>
        <w:t>对采购过程、中标（成交）结果，向</w:t>
      </w: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提出书面询问的，</w:t>
      </w: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应在三个工作日内书面答复</w:t>
      </w:r>
      <w:r>
        <w:rPr>
          <w:rFonts w:hint="default" w:ascii="Times New Roman" w:hAnsi="Times New Roman" w:eastAsia="仿宋_GB2312" w:cs="Times New Roman"/>
          <w:color w:val="auto"/>
          <w:sz w:val="28"/>
          <w:szCs w:val="28"/>
          <w:lang w:eastAsia="zh-CN"/>
        </w:rPr>
        <w:t>。</w:t>
      </w:r>
    </w:p>
    <w:p w14:paraId="7899C3FB">
      <w:pPr>
        <w:pageBreakBefore w:val="0"/>
        <w:widowControl/>
        <w:kinsoku/>
        <w:wordWrap/>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（三）质疑和投诉</w:t>
      </w:r>
      <w:bookmarkEnd w:id="73"/>
    </w:p>
    <w:p w14:paraId="5C9F416E">
      <w:pPr>
        <w:pageBreakBefore w:val="0"/>
        <w:widowControl/>
        <w:kinsoku/>
        <w:wordWrap/>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供应商如果认为采购过程</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中标</w:t>
      </w:r>
      <w:r>
        <w:rPr>
          <w:rFonts w:hint="default" w:ascii="Times New Roman" w:hAnsi="Times New Roman" w:eastAsia="仿宋_GB2312" w:cs="Times New Roman"/>
          <w:color w:val="auto"/>
          <w:sz w:val="28"/>
          <w:szCs w:val="28"/>
          <w:lang w:val="en-US" w:eastAsia="zh-CN"/>
        </w:rPr>
        <w:t>或者成交</w:t>
      </w:r>
      <w:r>
        <w:rPr>
          <w:rFonts w:hint="default" w:ascii="Times New Roman" w:hAnsi="Times New Roman" w:eastAsia="仿宋_GB2312" w:cs="Times New Roman"/>
          <w:color w:val="auto"/>
          <w:sz w:val="28"/>
          <w:szCs w:val="28"/>
        </w:rPr>
        <w:t>结果使自身的合法权益受到损害，可以在知道或者应知其权益受到损害之日起7个工作日内，以书面形式向采购人、</w:t>
      </w: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提出质疑。</w:t>
      </w:r>
    </w:p>
    <w:p w14:paraId="08DAE972">
      <w:pPr>
        <w:keepNext w:val="0"/>
        <w:keepLines w:val="0"/>
        <w:pageBreakBefore w:val="0"/>
        <w:widowControl/>
        <w:kinsoku/>
        <w:wordWrap/>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潜在供应商已依法获取其可质疑的</w:t>
      </w:r>
      <w:r>
        <w:rPr>
          <w:rFonts w:hint="default" w:ascii="Times New Roman" w:hAnsi="Times New Roman" w:eastAsia="仿宋_GB2312" w:cs="Times New Roman"/>
          <w:color w:val="auto"/>
          <w:sz w:val="28"/>
          <w:szCs w:val="28"/>
          <w:lang w:eastAsia="zh-CN"/>
        </w:rPr>
        <w:t>磋商文件</w:t>
      </w:r>
      <w:r>
        <w:rPr>
          <w:rFonts w:hint="default" w:ascii="Times New Roman" w:hAnsi="Times New Roman" w:eastAsia="仿宋_GB2312" w:cs="Times New Roman"/>
          <w:color w:val="auto"/>
          <w:sz w:val="28"/>
          <w:szCs w:val="28"/>
        </w:rPr>
        <w:t>的，可以对该文件提出质疑。对</w:t>
      </w:r>
      <w:r>
        <w:rPr>
          <w:rFonts w:hint="default" w:ascii="Times New Roman" w:hAnsi="Times New Roman" w:eastAsia="仿宋_GB2312" w:cs="Times New Roman"/>
          <w:color w:val="auto"/>
          <w:sz w:val="28"/>
          <w:szCs w:val="28"/>
          <w:lang w:eastAsia="zh-CN"/>
        </w:rPr>
        <w:t>磋商文件</w:t>
      </w:r>
      <w:r>
        <w:rPr>
          <w:rFonts w:hint="default" w:ascii="Times New Roman" w:hAnsi="Times New Roman" w:eastAsia="仿宋_GB2312" w:cs="Times New Roman"/>
          <w:color w:val="auto"/>
          <w:sz w:val="28"/>
          <w:szCs w:val="28"/>
        </w:rPr>
        <w:t>提出质疑的，应当在获取</w:t>
      </w:r>
      <w:r>
        <w:rPr>
          <w:rFonts w:hint="default" w:ascii="Times New Roman" w:hAnsi="Times New Roman" w:eastAsia="仿宋_GB2312" w:cs="Times New Roman"/>
          <w:color w:val="auto"/>
          <w:sz w:val="28"/>
          <w:szCs w:val="28"/>
          <w:lang w:eastAsia="zh-CN"/>
        </w:rPr>
        <w:t>磋商文件</w:t>
      </w:r>
      <w:r>
        <w:rPr>
          <w:rFonts w:hint="default" w:ascii="Times New Roman" w:hAnsi="Times New Roman" w:eastAsia="仿宋_GB2312" w:cs="Times New Roman"/>
          <w:color w:val="auto"/>
          <w:sz w:val="28"/>
          <w:szCs w:val="28"/>
        </w:rPr>
        <w:t>或者</w:t>
      </w:r>
      <w:r>
        <w:rPr>
          <w:rFonts w:hint="default" w:ascii="Times New Roman" w:hAnsi="Times New Roman" w:eastAsia="仿宋_GB2312" w:cs="Times New Roman"/>
          <w:color w:val="auto"/>
          <w:sz w:val="28"/>
          <w:szCs w:val="28"/>
          <w:lang w:eastAsia="zh-CN"/>
        </w:rPr>
        <w:t>磋商文件</w:t>
      </w:r>
      <w:r>
        <w:rPr>
          <w:rFonts w:hint="default" w:ascii="Times New Roman" w:hAnsi="Times New Roman" w:eastAsia="仿宋_GB2312" w:cs="Times New Roman"/>
          <w:color w:val="auto"/>
          <w:sz w:val="28"/>
          <w:szCs w:val="28"/>
        </w:rPr>
        <w:t>公告期限届满之日起7个工作日内提出。</w:t>
      </w:r>
    </w:p>
    <w:p w14:paraId="7038DF26">
      <w:pPr>
        <w:keepNext w:val="0"/>
        <w:keepLines w:val="0"/>
        <w:pageBreakBefore w:val="0"/>
        <w:widowControl/>
        <w:kinsoku/>
        <w:wordWrap/>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pacing w:val="6"/>
          <w:sz w:val="28"/>
          <w:szCs w:val="28"/>
          <w:lang w:eastAsia="zh-CN"/>
        </w:rPr>
      </w:pP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pacing w:val="6"/>
          <w:sz w:val="28"/>
          <w:szCs w:val="28"/>
        </w:rPr>
        <w:t>供应商在法定质疑期内针对同一采购程序环节的质疑</w:t>
      </w:r>
      <w:r>
        <w:rPr>
          <w:rFonts w:hint="default" w:ascii="Times New Roman" w:hAnsi="Times New Roman" w:eastAsia="仿宋_GB2312" w:cs="Times New Roman"/>
          <w:color w:val="auto"/>
          <w:spacing w:val="6"/>
          <w:sz w:val="28"/>
          <w:szCs w:val="28"/>
          <w:lang w:val="en-US" w:eastAsia="zh-CN"/>
        </w:rPr>
        <w:t>应</w:t>
      </w:r>
      <w:r>
        <w:rPr>
          <w:rFonts w:hint="default" w:ascii="Times New Roman" w:hAnsi="Times New Roman" w:eastAsia="仿宋_GB2312" w:cs="Times New Roman"/>
          <w:color w:val="auto"/>
          <w:spacing w:val="6"/>
          <w:sz w:val="28"/>
          <w:szCs w:val="28"/>
        </w:rPr>
        <w:t>一次性提出</w:t>
      </w:r>
      <w:r>
        <w:rPr>
          <w:rFonts w:hint="default" w:ascii="Times New Roman" w:hAnsi="Times New Roman" w:eastAsia="仿宋_GB2312" w:cs="Times New Roman"/>
          <w:color w:val="auto"/>
          <w:spacing w:val="6"/>
          <w:sz w:val="28"/>
          <w:szCs w:val="28"/>
          <w:lang w:eastAsia="zh-CN"/>
        </w:rPr>
        <w:t>。</w:t>
      </w:r>
    </w:p>
    <w:p w14:paraId="0F7C33CB">
      <w:pPr>
        <w:pageBreakBefore w:val="0"/>
        <w:widowControl/>
        <w:kinsoku/>
        <w:wordWrap/>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14:paraId="1F3FA237">
      <w:pPr>
        <w:keepNext w:val="0"/>
        <w:keepLines w:val="0"/>
        <w:pageBreakBefore w:val="0"/>
        <w:widowControl/>
        <w:kinsoku/>
        <w:wordWrap/>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《政府采购供应商质疑函范本》链接地址</w:t>
      </w:r>
      <w:r>
        <w:rPr>
          <w:rFonts w:hint="default" w:ascii="Times New Roman" w:hAnsi="Times New Roman" w:eastAsia="仿宋_GB2312" w:cs="Times New Roman"/>
          <w:color w:val="auto"/>
          <w:sz w:val="28"/>
          <w:szCs w:val="28"/>
          <w:lang w:eastAsia="zh-CN"/>
        </w:rPr>
        <w:t>：</w:t>
      </w:r>
    </w:p>
    <w:p w14:paraId="4569E0F9">
      <w:pPr>
        <w:keepNext w:val="0"/>
        <w:keepLines w:val="0"/>
        <w:pageBreakBefore w:val="0"/>
        <w:widowControl/>
        <w:kinsoku/>
        <w:wordWrap/>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http://gks.mof.gov.cn/ztztz/zhengfucaigouguanli/201802/t20180201_2804589.htm</w:t>
      </w:r>
    </w:p>
    <w:p w14:paraId="11987A8C">
      <w:pPr>
        <w:pageBreakBefore w:val="0"/>
        <w:widowControl/>
        <w:kinsoku/>
        <w:overflowPunct/>
        <w:topLinePunct w:val="0"/>
        <w:autoSpaceDE/>
        <w:autoSpaceDN/>
        <w:bidi w:val="0"/>
        <w:adjustRightInd/>
        <w:snapToGrid/>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14:paraId="7B7C1CC0">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bookmarkStart w:id="74" w:name="_Toc17868_WPSOffice_Level2"/>
      <w:bookmarkStart w:id="75" w:name="_Toc2960"/>
      <w:bookmarkStart w:id="76" w:name="_Toc8798_WPSOffice_Level2"/>
      <w:bookmarkStart w:id="77" w:name="_Toc30436"/>
      <w:bookmarkStart w:id="78" w:name="_Toc3130"/>
      <w:bookmarkStart w:id="79" w:name="_Toc9976"/>
      <w:bookmarkStart w:id="80" w:name="_Toc10768_WPSOffice_Level2"/>
      <w:r>
        <w:rPr>
          <w:rFonts w:hint="default" w:ascii="Times New Roman" w:hAnsi="Times New Roman" w:eastAsia="仿宋_GB2312" w:cs="Times New Roman"/>
          <w:color w:val="auto"/>
          <w:sz w:val="28"/>
          <w:szCs w:val="28"/>
          <w:lang w:val="en-US" w:eastAsia="zh-CN"/>
        </w:rPr>
        <w:t xml:space="preserve">6、在法定质疑期内，针对同一采购程序环节的质疑应当一次性提出。 </w:t>
      </w:r>
    </w:p>
    <w:p w14:paraId="1FE58B1B">
      <w:pPr>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采购代理机构或采购人将在收到书面质疑后 7 个工作日内做出答复，并以 </w:t>
      </w:r>
    </w:p>
    <w:p w14:paraId="0B4A71AC">
      <w:pPr>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书面形式通知质疑人和其他有关供应商。 </w:t>
      </w:r>
    </w:p>
    <w:p w14:paraId="23EB4038">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pacing w:val="6"/>
          <w:sz w:val="28"/>
          <w:szCs w:val="28"/>
          <w:lang w:val="en-US" w:eastAsia="zh-CN"/>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pacing w:val="6"/>
          <w:sz w:val="28"/>
          <w:szCs w:val="28"/>
          <w:lang w:val="en-US" w:eastAsia="zh-CN"/>
        </w:rPr>
        <w:t xml:space="preserve">有下列情形之一的，属于无效质疑，采购代理机构和采购人不予受理： </w:t>
      </w:r>
    </w:p>
    <w:p w14:paraId="77A45438">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（1）质疑人不是参与本次政府采购项目的供应商或潜在供应商； </w:t>
      </w:r>
    </w:p>
    <w:p w14:paraId="75F3243F">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（2）质疑人与质疑事项不存在利害关系的； </w:t>
      </w:r>
    </w:p>
    <w:p w14:paraId="3A95BA0F">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（3）未在法定期限内提出质疑的； </w:t>
      </w:r>
    </w:p>
    <w:p w14:paraId="1052D2BA">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（4）质疑未以书面形式提出，或质疑函主要内容构成不完整的，或缺 乏必要的证明材料及证明材料不完整的； </w:t>
      </w:r>
    </w:p>
    <w:p w14:paraId="113C03D4">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（5）质疑函没有合法有效的签字、盖章或授权的； </w:t>
      </w:r>
    </w:p>
    <w:p w14:paraId="29829882">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（6）以非法手段取得证据、材料的； </w:t>
      </w:r>
    </w:p>
    <w:p w14:paraId="26419C5E">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（7）质疑答复后，同一质疑人就同一事项再次提出质疑的； </w:t>
      </w:r>
    </w:p>
    <w:p w14:paraId="7C2D7CC7">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（8）不符合法律、法规、规章和政府采购监管机构规定的其他条件的。 </w:t>
      </w:r>
    </w:p>
    <w:p w14:paraId="333898FB">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8、质疑人对采购代理机构或采购人的答复不满意，以及采购代理机构 </w:t>
      </w:r>
    </w:p>
    <w:p w14:paraId="407B38BE">
      <w:pPr>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或采购人未在规定时间内做出答复的，可以在答复期满后 15 个工作日内 </w:t>
      </w:r>
    </w:p>
    <w:p w14:paraId="4B4931BE">
      <w:pPr>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向政府采购监管机构提出投诉。 </w:t>
      </w:r>
    </w:p>
    <w:p w14:paraId="3F1056CB">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9、供应商投诉的事项不得超出已质疑事项的范围。 </w:t>
      </w:r>
    </w:p>
    <w:p w14:paraId="56EE5340">
      <w:pPr>
        <w:keepNext w:val="0"/>
        <w:keepLines w:val="0"/>
        <w:pageBreakBefore w:val="0"/>
        <w:widowControl w:val="0"/>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 xml:space="preserve">10、对捏造事实、提供虚假材料进行质疑、投诉的行为予以严肃处理： </w:t>
      </w:r>
    </w:p>
    <w:p w14:paraId="5C557133">
      <w:pPr>
        <w:keepNext w:val="0"/>
        <w:keepLines w:val="0"/>
        <w:pageBreakBefore w:val="0"/>
        <w:widowControl w:val="0"/>
        <w:suppressLineNumbers w:val="0"/>
        <w:kinsoku/>
        <w:wordWrap/>
        <w:overflowPunct/>
        <w:topLinePunct w:val="0"/>
        <w:autoSpaceDE/>
        <w:autoSpaceDN/>
        <w:bidi w:val="0"/>
        <w:adjustRightInd/>
        <w:snapToGrid/>
        <w:spacing w:line="240" w:lineRule="auto"/>
        <w:ind w:firstLine="283" w:firstLineChars="1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依据《中华人民共和国政府采购法》及其实施条例、《政府采购竞争性磋商采购方式管理暂行办法》及有关问题的补充通知、《政府采购质疑和投诉办法》等法律法规文件的规定，供应商质疑、投诉应当有明确的请 </w:t>
      </w:r>
    </w:p>
    <w:p w14:paraId="45306B5D">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求和必要的证明材料。</w:t>
      </w:r>
      <w:r>
        <w:rPr>
          <w:rFonts w:hint="default" w:ascii="Times New Roman" w:hAnsi="Times New Roman" w:eastAsia="仿宋_GB2312" w:cs="Times New Roman"/>
          <w:b/>
          <w:bCs/>
          <w:color w:val="auto"/>
          <w:kern w:val="0"/>
          <w:sz w:val="28"/>
          <w:szCs w:val="28"/>
          <w:lang w:val="en-US" w:eastAsia="zh-CN" w:bidi="ar"/>
        </w:rPr>
        <w:t xml:space="preserve">投诉人在全国范围内十二个月内三次以上投诉查无 </w:t>
      </w:r>
    </w:p>
    <w:p w14:paraId="5501A505">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实据的，由财政部门列入不良行为记录名单</w:t>
      </w:r>
      <w:r>
        <w:rPr>
          <w:rFonts w:hint="default" w:ascii="Times New Roman" w:hAnsi="Times New Roman" w:eastAsia="仿宋_GB2312" w:cs="Times New Roman"/>
          <w:color w:val="auto"/>
          <w:kern w:val="0"/>
          <w:sz w:val="28"/>
          <w:szCs w:val="28"/>
          <w:lang w:val="en-US" w:eastAsia="zh-CN" w:bidi="ar"/>
        </w:rPr>
        <w:t xml:space="preserve">。对于捏造事实、提供虚假材 </w:t>
      </w:r>
    </w:p>
    <w:p w14:paraId="47EA22ED">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料或者以非法手段取得证明材料进行投诉的，财政部门应当予以驳回，并 </w:t>
      </w:r>
    </w:p>
    <w:p w14:paraId="7F0131E1">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将其列入不良行为记录名单，禁止其一至三年内参加政府采购活动。 </w:t>
      </w:r>
    </w:p>
    <w:p w14:paraId="2784D41F">
      <w:pPr>
        <w:keepNext w:val="0"/>
        <w:keepLines w:val="0"/>
        <w:pageBreakBefore w:val="0"/>
        <w:widowControl w:val="0"/>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11、</w:t>
      </w:r>
      <w:r>
        <w:rPr>
          <w:rFonts w:hint="default" w:ascii="Times New Roman" w:hAnsi="Times New Roman" w:eastAsia="仿宋_GB2312" w:cs="Times New Roman"/>
          <w:b/>
          <w:bCs/>
          <w:color w:val="auto"/>
          <w:kern w:val="0"/>
          <w:sz w:val="28"/>
          <w:szCs w:val="28"/>
          <w:lang w:val="en-US" w:eastAsia="zh-CN" w:bidi="ar"/>
        </w:rPr>
        <w:t xml:space="preserve">对捏造事实诬告陷害他人、诽谤他人的法律适用： </w:t>
      </w:r>
    </w:p>
    <w:p w14:paraId="76E4AD2E">
      <w:pPr>
        <w:keepNext w:val="0"/>
        <w:keepLines w:val="0"/>
        <w:pageBreakBefore w:val="0"/>
        <w:widowControl w:val="0"/>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《中华人民共和国刑法》第 243 条【诬告陷害罪】捏造事实诬告陷害 </w:t>
      </w:r>
    </w:p>
    <w:p w14:paraId="3CB14CD8">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他人，意图使他人受刑事追究，情节严重的，处三年以下有期徒刑、拘役 </w:t>
      </w:r>
    </w:p>
    <w:p w14:paraId="7D0018E0">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或者管制；造成严重后果的，处三年以上十年以下有期徒刑。 </w:t>
      </w:r>
    </w:p>
    <w:p w14:paraId="64B622A5">
      <w:pPr>
        <w:keepNext w:val="0"/>
        <w:keepLines w:val="0"/>
        <w:pageBreakBefore w:val="0"/>
        <w:widowControl w:val="0"/>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《中华人民共和国刑法》第 246 条【侮辱罪、诽谤罪】以暴力或者其 </w:t>
      </w:r>
    </w:p>
    <w:p w14:paraId="646EDB5F">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他方法公然侮辱他人或者捏造事实诽谤他人，情节严重的，处三年以下有 </w:t>
      </w:r>
    </w:p>
    <w:p w14:paraId="751F886D">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期徒刑、拘役、管制或者剥夺政治权利。 </w:t>
      </w:r>
    </w:p>
    <w:p w14:paraId="0930C3FF">
      <w:pPr>
        <w:keepNext w:val="0"/>
        <w:keepLines w:val="0"/>
        <w:pageBreakBefore w:val="0"/>
        <w:widowControl w:val="0"/>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12、接收质疑函方式：现场递交或邮件（快递）寄送； </w:t>
      </w:r>
    </w:p>
    <w:p w14:paraId="4B78AEF1">
      <w:pPr>
        <w:keepNext w:val="0"/>
        <w:keepLines w:val="0"/>
        <w:pageBreakBefore w:val="0"/>
        <w:widowControl w:val="0"/>
        <w:suppressLineNumbers w:val="0"/>
        <w:kinsoku/>
        <w:wordWrap/>
        <w:overflowPunct/>
        <w:topLinePunct w:val="0"/>
        <w:autoSpaceDE/>
        <w:autoSpaceDN/>
        <w:bidi w:val="0"/>
        <w:adjustRightInd/>
        <w:snapToGrid/>
        <w:ind w:firstLine="1132" w:firstLineChars="4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联系部门：汉中市汉台区政府采购中心工程服务股 </w:t>
      </w:r>
    </w:p>
    <w:p w14:paraId="0DDFC444">
      <w:pPr>
        <w:keepNext w:val="0"/>
        <w:keepLines w:val="0"/>
        <w:pageBreakBefore w:val="0"/>
        <w:widowControl w:val="0"/>
        <w:suppressLineNumbers w:val="0"/>
        <w:kinsoku/>
        <w:wordWrap/>
        <w:overflowPunct/>
        <w:topLinePunct w:val="0"/>
        <w:autoSpaceDE/>
        <w:autoSpaceDN/>
        <w:bidi w:val="0"/>
        <w:adjustRightInd/>
        <w:snapToGrid/>
        <w:ind w:firstLine="1132" w:firstLineChars="4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联系电话：0916-2245542；汉台区政府采购中心 </w:t>
      </w:r>
    </w:p>
    <w:p w14:paraId="24259EFC">
      <w:pPr>
        <w:keepNext w:val="0"/>
        <w:keepLines w:val="0"/>
        <w:pageBreakBefore w:val="0"/>
        <w:widowControl w:val="0"/>
        <w:suppressLineNumbers w:val="0"/>
        <w:kinsoku/>
        <w:wordWrap/>
        <w:overflowPunct/>
        <w:topLinePunct w:val="0"/>
        <w:autoSpaceDE/>
        <w:autoSpaceDN/>
        <w:bidi w:val="0"/>
        <w:adjustRightInd/>
        <w:snapToGrid/>
        <w:ind w:firstLine="1132" w:firstLineChars="4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通讯地址：汉中市汉台区莲湖路东建设巷 1 号。 </w:t>
      </w:r>
    </w:p>
    <w:p w14:paraId="2FCD4922">
      <w:pPr>
        <w:keepNext w:val="0"/>
        <w:keepLines w:val="0"/>
        <w:pageBreakBefore w:val="0"/>
        <w:widowControl w:val="0"/>
        <w:numPr>
          <w:ilvl w:val="0"/>
          <w:numId w:val="3"/>
        </w:numPr>
        <w:suppressLineNumbers w:val="0"/>
        <w:kinsoku/>
        <w:wordWrap/>
        <w:overflowPunct/>
        <w:topLinePunct w:val="0"/>
        <w:autoSpaceDE/>
        <w:autoSpaceDN/>
        <w:bidi w:val="0"/>
        <w:adjustRightInd/>
        <w:snapToGrid/>
        <w:ind w:firstLine="566"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没有提出异议视同完全接受磋商文件所有条款内容。</w:t>
      </w:r>
    </w:p>
    <w:p w14:paraId="3DEF1624">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w:t>
      </w:r>
      <w:r>
        <w:rPr>
          <w:rFonts w:hint="default" w:ascii="Times New Roman" w:hAnsi="Times New Roman" w:eastAsia="仿宋_GB2312" w:cs="Times New Roman"/>
          <w:b/>
          <w:color w:val="auto"/>
          <w:sz w:val="28"/>
          <w:szCs w:val="28"/>
          <w:lang w:eastAsia="zh-CN"/>
        </w:rPr>
        <w:t>四</w:t>
      </w:r>
      <w:r>
        <w:rPr>
          <w:rFonts w:hint="default" w:ascii="Times New Roman" w:hAnsi="Times New Roman" w:eastAsia="仿宋_GB2312" w:cs="Times New Roman"/>
          <w:b/>
          <w:color w:val="auto"/>
          <w:sz w:val="28"/>
          <w:szCs w:val="28"/>
        </w:rPr>
        <w:t>）对参加政府采购活动的中小企业的扶持政策[依据《政府采购促进中小企业发展管理办法》（财库〔2020〕46号）相关规定]</w:t>
      </w:r>
    </w:p>
    <w:p w14:paraId="5BB3EDA5">
      <w:pPr>
        <w:keepNext w:val="0"/>
        <w:keepLines w:val="0"/>
        <w:widowControl/>
        <w:suppressLineNumbers w:val="0"/>
        <w:ind w:firstLine="566" w:firstLineChars="200"/>
        <w:jc w:val="left"/>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lang w:val="en-US" w:eastAsia="zh-CN"/>
        </w:rPr>
        <w:t>本项目专门面向中小企业采购；</w:t>
      </w:r>
      <w:r>
        <w:rPr>
          <w:rFonts w:hint="default" w:ascii="Times New Roman" w:hAnsi="Times New Roman" w:eastAsia="仿宋_GB2312" w:cs="Times New Roman"/>
          <w:b/>
          <w:bCs/>
          <w:color w:val="auto"/>
          <w:sz w:val="28"/>
          <w:szCs w:val="28"/>
        </w:rPr>
        <w:t>本项目采购标的对应的中小企业划分标准所属行业为：</w:t>
      </w:r>
      <w:r>
        <w:rPr>
          <w:rFonts w:hint="default" w:ascii="Times New Roman" w:hAnsi="Times New Roman" w:eastAsia="仿宋_GB2312" w:cs="Times New Roman"/>
          <w:b/>
          <w:bCs/>
          <w:color w:val="auto"/>
          <w:kern w:val="0"/>
          <w:sz w:val="28"/>
          <w:szCs w:val="28"/>
          <w:u w:val="single"/>
          <w:lang w:val="en-US" w:eastAsia="zh-CN" w:bidi="ar"/>
        </w:rPr>
        <w:t>租赁和商务服务业</w:t>
      </w:r>
      <w:r>
        <w:rPr>
          <w:rFonts w:hint="default" w:ascii="Times New Roman" w:hAnsi="Times New Roman" w:eastAsia="仿宋_GB2312" w:cs="Times New Roman"/>
          <w:b/>
          <w:bCs/>
          <w:color w:val="auto"/>
          <w:sz w:val="28"/>
          <w:szCs w:val="28"/>
          <w:highlight w:val="none"/>
        </w:rPr>
        <w:t>。</w:t>
      </w:r>
    </w:p>
    <w:p w14:paraId="59CDBC3A">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供应商提供的货物、工程或者服务符合下列情形的，享受相关中小企业扶持政策：</w:t>
      </w:r>
    </w:p>
    <w:p w14:paraId="68AFA071">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（1）在货物采购项目中，货物由中小企业制造，即货物由中小企业生产且使用该中小企业商号或者注册商标；</w:t>
      </w:r>
    </w:p>
    <w:p w14:paraId="5706DD58">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（2）在工程采购项目中，工程由中小企业承建，即工程施工单位为中小企业；</w:t>
      </w:r>
    </w:p>
    <w:p w14:paraId="42475357">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（3）在服务采购项目中，服务由中小企业承接，即提供服务的人员为中小企业依照《中华人民共和国劳动合同法》订立劳动合同的从业人员。</w:t>
      </w:r>
    </w:p>
    <w:p w14:paraId="4EE6403E">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在货物采购项目中，供应商提供的货物既有中小企业制造货物，也有大型企业制造货物的，不享受相关中小企业扶持政策。</w:t>
      </w:r>
    </w:p>
    <w:p w14:paraId="3DF4E489">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以联合体形式参</w:t>
      </w:r>
      <w:r>
        <w:rPr>
          <w:rFonts w:hint="default" w:ascii="Times New Roman" w:hAnsi="Times New Roman" w:eastAsia="仿宋_GB2312" w:cs="Times New Roman"/>
          <w:color w:val="auto"/>
          <w:spacing w:val="6"/>
          <w:sz w:val="28"/>
          <w:szCs w:val="28"/>
        </w:rPr>
        <w:t>加政府采购活动，联合体各方均为中小企业的，联合体视同中小企业。其中，联合体各</w:t>
      </w:r>
      <w:r>
        <w:rPr>
          <w:rFonts w:hint="default" w:ascii="Times New Roman" w:hAnsi="Times New Roman" w:eastAsia="仿宋_GB2312" w:cs="Times New Roman"/>
          <w:color w:val="auto"/>
          <w:sz w:val="28"/>
          <w:szCs w:val="28"/>
        </w:rPr>
        <w:t>方均为小微企业的，联合体视同小微企业。</w:t>
      </w:r>
    </w:p>
    <w:p w14:paraId="4E758135">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对符合上述情形的</w:t>
      </w:r>
      <w:r>
        <w:rPr>
          <w:rFonts w:hint="default" w:ascii="Times New Roman" w:hAnsi="Times New Roman" w:eastAsia="仿宋_GB2312" w:cs="Times New Roman"/>
          <w:b w:val="0"/>
          <w:bCs w:val="0"/>
          <w:color w:val="auto"/>
          <w:sz w:val="28"/>
          <w:szCs w:val="28"/>
        </w:rPr>
        <w:t>小微企业</w:t>
      </w:r>
      <w:r>
        <w:rPr>
          <w:rFonts w:hint="default" w:ascii="Times New Roman" w:hAnsi="Times New Roman" w:eastAsia="仿宋_GB2312" w:cs="Times New Roman"/>
          <w:color w:val="auto"/>
          <w:sz w:val="28"/>
          <w:szCs w:val="28"/>
        </w:rPr>
        <w:t>报价给予</w:t>
      </w: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%（工程项目为5%）的扣除，用扣除后的价格参加评审。适用</w:t>
      </w:r>
      <w:r>
        <w:rPr>
          <w:rFonts w:hint="default" w:ascii="Times New Roman" w:hAnsi="Times New Roman" w:eastAsia="仿宋_GB2312" w:cs="Times New Roman"/>
          <w:color w:val="auto"/>
          <w:sz w:val="28"/>
          <w:szCs w:val="28"/>
          <w:lang w:eastAsia="zh-CN"/>
        </w:rPr>
        <w:t>磋商</w:t>
      </w:r>
      <w:r>
        <w:rPr>
          <w:rFonts w:hint="default" w:ascii="Times New Roman" w:hAnsi="Times New Roman" w:eastAsia="仿宋_GB2312" w:cs="Times New Roman"/>
          <w:color w:val="auto"/>
          <w:sz w:val="28"/>
          <w:szCs w:val="28"/>
        </w:rPr>
        <w:t>投标法的政府采购工程建设项目，采用综合评估法但未采用低价优先法计算价格分的，评标时应当在采用原报价进行评分的基础上增加其价格得分的5%作为其价格分。</w:t>
      </w:r>
    </w:p>
    <w:p w14:paraId="49F2933E">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%（工程项目为2%）的扣除，用扣除后的价格参加评审。适用</w:t>
      </w:r>
      <w:r>
        <w:rPr>
          <w:rFonts w:hint="default" w:ascii="Times New Roman" w:hAnsi="Times New Roman" w:eastAsia="仿宋_GB2312" w:cs="Times New Roman"/>
          <w:color w:val="auto"/>
          <w:sz w:val="28"/>
          <w:szCs w:val="28"/>
          <w:lang w:eastAsia="zh-CN"/>
        </w:rPr>
        <w:t>磋商</w:t>
      </w:r>
      <w:r>
        <w:rPr>
          <w:rFonts w:hint="default" w:ascii="Times New Roman" w:hAnsi="Times New Roman" w:eastAsia="仿宋_GB2312" w:cs="Times New Roman"/>
          <w:color w:val="auto"/>
          <w:sz w:val="28"/>
          <w:szCs w:val="28"/>
        </w:rPr>
        <w:t>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28A71163">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价格扣除比例或者价格分加分比例对小型企业和微型企业同等对待，不作区分。</w:t>
      </w:r>
    </w:p>
    <w:p w14:paraId="46C2F51A">
      <w:pPr>
        <w:keepNext w:val="0"/>
        <w:keepLines w:val="0"/>
        <w:widowControl/>
        <w:suppressLineNumbers w:val="0"/>
        <w:ind w:firstLine="566" w:firstLineChars="200"/>
        <w:jc w:val="lef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3</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中小企业参加政府采购活动，应当出具《中小企业声明函》（见附件）</w:t>
      </w:r>
      <w:r>
        <w:rPr>
          <w:rFonts w:hint="default" w:ascii="Times New Roman" w:hAnsi="Times New Roman" w:eastAsia="仿宋_GB2312" w:cs="Times New Roman"/>
          <w:color w:val="auto"/>
          <w:sz w:val="28"/>
          <w:szCs w:val="28"/>
          <w:lang w:eastAsia="zh-CN"/>
        </w:rPr>
        <w:t>。</w:t>
      </w:r>
    </w:p>
    <w:p w14:paraId="5F435721">
      <w:pPr>
        <w:snapToGrid w:val="0"/>
        <w:spacing w:line="240" w:lineRule="auto"/>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中标、成交供应商享受相关中小企业扶持政策的，将随中标、成交结果公开中标、成交供应商的《中小企业声明函》。适用</w:t>
      </w:r>
      <w:r>
        <w:rPr>
          <w:rFonts w:hint="default" w:ascii="Times New Roman" w:hAnsi="Times New Roman" w:eastAsia="仿宋_GB2312" w:cs="Times New Roman"/>
          <w:color w:val="auto"/>
          <w:sz w:val="28"/>
          <w:szCs w:val="28"/>
          <w:lang w:eastAsia="zh-CN"/>
        </w:rPr>
        <w:t>磋商</w:t>
      </w:r>
      <w:r>
        <w:rPr>
          <w:rFonts w:hint="default" w:ascii="Times New Roman" w:hAnsi="Times New Roman" w:eastAsia="仿宋_GB2312" w:cs="Times New Roman"/>
          <w:color w:val="auto"/>
          <w:sz w:val="28"/>
          <w:szCs w:val="28"/>
        </w:rPr>
        <w:t>投标法的政府采购工程建设项目，将在公示中标候选人时公开中标</w:t>
      </w:r>
      <w:r>
        <w:rPr>
          <w:rFonts w:hint="default" w:ascii="Times New Roman" w:hAnsi="Times New Roman" w:eastAsia="仿宋_GB2312" w:cs="Times New Roman"/>
          <w:color w:val="auto"/>
          <w:sz w:val="28"/>
          <w:szCs w:val="28"/>
          <w:lang w:val="en-US" w:eastAsia="zh-CN"/>
        </w:rPr>
        <w:t>/成交</w:t>
      </w:r>
      <w:r>
        <w:rPr>
          <w:rFonts w:hint="default" w:ascii="Times New Roman" w:hAnsi="Times New Roman" w:eastAsia="仿宋_GB2312" w:cs="Times New Roman"/>
          <w:color w:val="auto"/>
          <w:sz w:val="28"/>
          <w:szCs w:val="28"/>
        </w:rPr>
        <w:t>候选人的《中小企业声明函》。</w:t>
      </w:r>
    </w:p>
    <w:p w14:paraId="7AB2303D">
      <w:pPr>
        <w:snapToGrid w:val="0"/>
        <w:spacing w:line="240" w:lineRule="auto"/>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b/>
          <w:bCs/>
          <w:color w:val="auto"/>
          <w:sz w:val="28"/>
          <w:szCs w:val="28"/>
          <w:lang w:eastAsia="zh-CN"/>
        </w:rPr>
        <w:t>本项目无</w:t>
      </w:r>
      <w:r>
        <w:rPr>
          <w:rFonts w:hint="default" w:ascii="Times New Roman" w:hAnsi="Times New Roman" w:eastAsia="仿宋_GB2312" w:cs="Times New Roman"/>
          <w:b/>
          <w:bCs/>
          <w:color w:val="auto"/>
          <w:sz w:val="28"/>
          <w:szCs w:val="28"/>
        </w:rPr>
        <w:t>预付款。</w:t>
      </w:r>
    </w:p>
    <w:p w14:paraId="3302C453">
      <w:pPr>
        <w:snapToGrid w:val="0"/>
        <w:spacing w:line="240" w:lineRule="auto"/>
        <w:ind w:firstLine="566" w:firstLineChars="200"/>
        <w:rPr>
          <w:rFonts w:hint="default" w:ascii="Times New Roman" w:hAnsi="Times New Roman" w:eastAsia="仿宋_GB2312" w:cs="Times New Roman"/>
          <w:b/>
          <w:bCs/>
          <w:color w:val="auto"/>
          <w:sz w:val="24"/>
        </w:rPr>
      </w:pPr>
      <w:r>
        <w:rPr>
          <w:rFonts w:hint="default" w:ascii="Times New Roman" w:hAnsi="Times New Roman" w:eastAsia="仿宋_GB2312" w:cs="Times New Roman"/>
          <w:color w:val="auto"/>
          <w:sz w:val="28"/>
          <w:szCs w:val="28"/>
        </w:rPr>
        <w:t>6</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中小企业投标（包括磋商、谈判、询价）保证金（需要交纳保证金时）减半，履约保证金全免。</w:t>
      </w:r>
    </w:p>
    <w:p w14:paraId="45392540">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本项目不收取磋商保证金。</w:t>
      </w:r>
    </w:p>
    <w:p w14:paraId="15E1B7B7">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7</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 xml:space="preserve">监狱企业应符合《财政部司法部关于政府采购支持监狱企业发展有 </w:t>
      </w:r>
    </w:p>
    <w:p w14:paraId="5256685C">
      <w:pPr>
        <w:pageBreakBefore w:val="0"/>
        <w:widowControl/>
        <w:kinsoku/>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关问题的通知》（财库〔2014〕68 号）文件规定，并提供由省级以上监狱管理局、戒毒管理局(含新疆生产建设兵团)出具的属于监狱企业的证明文件复印件，监狱和戒毒企业视同小型、微型企业。</w:t>
      </w:r>
    </w:p>
    <w:p w14:paraId="6D14DA67">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8、根据财政部、民政部、中国残疾人联合会下发的《关于促进残疾人就业政府采购政策的通知》（财库〔2017〕141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 </w:t>
      </w:r>
    </w:p>
    <w:p w14:paraId="5C0190C5">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参加政府采购活动的残疾人单位应提供《残疾人福利性单位声明函》。</w:t>
      </w:r>
    </w:p>
    <w:p w14:paraId="5FC8F1DF">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未尽事宜以《政府采购促进中小企业发展管理办法》（财库〔2020〕46号）为准。</w:t>
      </w:r>
    </w:p>
    <w:p w14:paraId="15659E1C">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三、磋商文件</w:t>
      </w:r>
      <w:bookmarkEnd w:id="74"/>
      <w:bookmarkEnd w:id="75"/>
      <w:bookmarkEnd w:id="76"/>
      <w:bookmarkEnd w:id="77"/>
      <w:bookmarkEnd w:id="78"/>
      <w:bookmarkEnd w:id="79"/>
      <w:bookmarkEnd w:id="80"/>
    </w:p>
    <w:p w14:paraId="51B116C3">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color w:val="auto"/>
          <w:sz w:val="28"/>
          <w:szCs w:val="28"/>
        </w:rPr>
      </w:pPr>
      <w:bookmarkStart w:id="81" w:name="_Toc20873_WPSOffice_Level3"/>
      <w:r>
        <w:rPr>
          <w:rFonts w:hint="default" w:ascii="Times New Roman" w:hAnsi="Times New Roman" w:eastAsia="仿宋_GB2312" w:cs="Times New Roman"/>
          <w:b/>
          <w:color w:val="auto"/>
          <w:sz w:val="28"/>
          <w:szCs w:val="28"/>
        </w:rPr>
        <w:t>（一）磋商文件包括下列内容</w:t>
      </w:r>
      <w:bookmarkEnd w:id="81"/>
    </w:p>
    <w:p w14:paraId="76855755">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第一章　磋商邀请函</w:t>
      </w:r>
    </w:p>
    <w:p w14:paraId="6A013FBF">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第二章　供应商须知</w:t>
      </w:r>
    </w:p>
    <w:p w14:paraId="27B91B88">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rPr>
      </w:pPr>
      <w:bookmarkStart w:id="82" w:name="_Toc20041_WPSOffice_Level3"/>
      <w:r>
        <w:rPr>
          <w:rFonts w:hint="default" w:ascii="Times New Roman" w:hAnsi="Times New Roman" w:eastAsia="仿宋_GB2312" w:cs="Times New Roman"/>
          <w:bCs/>
          <w:color w:val="auto"/>
          <w:sz w:val="28"/>
          <w:szCs w:val="28"/>
        </w:rPr>
        <w:t>第三章　磋商内容及采购要求</w:t>
      </w:r>
    </w:p>
    <w:p w14:paraId="69630C00">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第四章　合同</w:t>
      </w:r>
      <w:r>
        <w:rPr>
          <w:rFonts w:hint="default" w:ascii="Times New Roman" w:hAnsi="Times New Roman" w:eastAsia="仿宋_GB2312" w:cs="Times New Roman"/>
          <w:bCs/>
          <w:color w:val="auto"/>
          <w:sz w:val="28"/>
          <w:szCs w:val="28"/>
          <w:lang w:val="en-US" w:eastAsia="zh-CN"/>
        </w:rPr>
        <w:t>草案</w:t>
      </w:r>
      <w:r>
        <w:rPr>
          <w:rFonts w:hint="default" w:ascii="Times New Roman" w:hAnsi="Times New Roman" w:eastAsia="仿宋_GB2312" w:cs="Times New Roman"/>
          <w:bCs/>
          <w:color w:val="auto"/>
          <w:sz w:val="28"/>
          <w:szCs w:val="28"/>
        </w:rPr>
        <w:t>条款</w:t>
      </w:r>
    </w:p>
    <w:p w14:paraId="1C5EFD69">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第五章　响应文件构成及格式</w:t>
      </w:r>
    </w:p>
    <w:p w14:paraId="0B41C43B">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（二）磋商文件的检查及阅读</w:t>
      </w:r>
      <w:bookmarkEnd w:id="82"/>
    </w:p>
    <w:p w14:paraId="156DF353">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highlight w:val="none"/>
        </w:rPr>
        <w:t>供应商应仔细阅读检查磋商文件中的所有</w:t>
      </w:r>
      <w:r>
        <w:rPr>
          <w:rFonts w:hint="default" w:ascii="Times New Roman" w:hAnsi="Times New Roman" w:eastAsia="仿宋_GB2312" w:cs="Times New Roman"/>
          <w:color w:val="auto"/>
          <w:sz w:val="28"/>
          <w:szCs w:val="28"/>
        </w:rPr>
        <w:t>内容，按照磋商文件中所列事项、条款、规范要求及格式，在响应文件中对磋商文件做出全面的响</w:t>
      </w:r>
      <w:r>
        <w:rPr>
          <w:rFonts w:hint="default" w:ascii="Times New Roman" w:hAnsi="Times New Roman" w:eastAsia="仿宋_GB2312" w:cs="Times New Roman"/>
          <w:color w:val="auto"/>
          <w:w w:val="1"/>
          <w:sz w:val="28"/>
          <w:szCs w:val="28"/>
        </w:rPr>
        <w:t xml:space="preserve"> </w:t>
      </w:r>
      <w:r>
        <w:rPr>
          <w:rFonts w:hint="default" w:ascii="Times New Roman" w:hAnsi="Times New Roman" w:eastAsia="仿宋_GB2312" w:cs="Times New Roman"/>
          <w:color w:val="auto"/>
          <w:sz w:val="28"/>
          <w:szCs w:val="28"/>
        </w:rPr>
        <w:t>应，并按磋商文件的要求提交全部资料。</w:t>
      </w:r>
    </w:p>
    <w:p w14:paraId="5A8F784B">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磋商供应商未能全面、正确理解磋商文件而产生的误解、疏漏以及所带来的不利后果，其责任由磋商供应商承担。</w:t>
      </w:r>
    </w:p>
    <w:p w14:paraId="32071DC3">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color w:val="auto"/>
          <w:sz w:val="28"/>
          <w:szCs w:val="28"/>
        </w:rPr>
      </w:pPr>
      <w:bookmarkStart w:id="83" w:name="_Toc12798_WPSOffice_Level3"/>
      <w:r>
        <w:rPr>
          <w:rFonts w:hint="default" w:ascii="Times New Roman" w:hAnsi="Times New Roman" w:eastAsia="仿宋_GB2312" w:cs="Times New Roman"/>
          <w:b/>
          <w:color w:val="auto"/>
          <w:sz w:val="28"/>
          <w:szCs w:val="28"/>
        </w:rPr>
        <w:t>（三）磋商文件的修改、澄清</w:t>
      </w:r>
      <w:bookmarkEnd w:id="83"/>
    </w:p>
    <w:p w14:paraId="6EB3B489">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1、在提交响应文件截止之日前，</w:t>
      </w:r>
      <w:r>
        <w:rPr>
          <w:rFonts w:hint="default" w:ascii="Times New Roman" w:hAnsi="Times New Roman" w:eastAsia="仿宋_GB2312" w:cs="Times New Roman"/>
          <w:color w:val="auto"/>
          <w:sz w:val="28"/>
          <w:szCs w:val="28"/>
          <w:highlight w:val="none"/>
          <w:lang w:val="en-US" w:eastAsia="zh-CN"/>
        </w:rPr>
        <w:t>采购代理机构</w:t>
      </w:r>
      <w:r>
        <w:rPr>
          <w:rFonts w:hint="default" w:ascii="Times New Roman" w:hAnsi="Times New Roman" w:eastAsia="仿宋_GB2312" w:cs="Times New Roman"/>
          <w:color w:val="auto"/>
          <w:sz w:val="28"/>
          <w:szCs w:val="28"/>
        </w:rPr>
        <w:t>可对已发出的磋商文件进行必要的澄清或者修改，澄清或者修改的内容作为磋商文件的组成部分。澄清或者修改的内容可能影响响应文件编制的，</w:t>
      </w:r>
      <w:r>
        <w:rPr>
          <w:rFonts w:hint="default" w:ascii="Times New Roman" w:hAnsi="Times New Roman" w:eastAsia="仿宋_GB2312" w:cs="Times New Roman"/>
          <w:color w:val="auto"/>
          <w:sz w:val="28"/>
          <w:szCs w:val="28"/>
          <w:highlight w:val="none"/>
          <w:lang w:val="en-US" w:eastAsia="zh-CN"/>
        </w:rPr>
        <w:t>采购代理机构</w:t>
      </w:r>
      <w:r>
        <w:rPr>
          <w:rFonts w:hint="default" w:ascii="Times New Roman" w:hAnsi="Times New Roman" w:eastAsia="仿宋_GB2312" w:cs="Times New Roman"/>
          <w:color w:val="auto"/>
          <w:sz w:val="28"/>
          <w:szCs w:val="28"/>
        </w:rPr>
        <w:t>将在提交响应文件截止之日至少5日前，在财政部门指定的政府采购信息发布媒体上</w:t>
      </w:r>
      <w:r>
        <w:rPr>
          <w:rFonts w:hint="default" w:ascii="Times New Roman" w:hAnsi="Times New Roman" w:eastAsia="仿宋_GB2312" w:cs="Times New Roman"/>
          <w:b/>
          <w:bCs/>
          <w:color w:val="auto"/>
          <w:sz w:val="28"/>
          <w:szCs w:val="28"/>
        </w:rPr>
        <w:t>发布更正公告</w:t>
      </w:r>
      <w:r>
        <w:rPr>
          <w:rFonts w:hint="default" w:ascii="Times New Roman" w:hAnsi="Times New Roman" w:eastAsia="仿宋_GB2312" w:cs="Times New Roman"/>
          <w:color w:val="auto"/>
          <w:sz w:val="28"/>
          <w:szCs w:val="28"/>
        </w:rPr>
        <w:t>；不足5日，</w:t>
      </w:r>
      <w:r>
        <w:rPr>
          <w:rFonts w:hint="default" w:ascii="Times New Roman" w:hAnsi="Times New Roman" w:eastAsia="仿宋_GB2312" w:cs="Times New Roman"/>
          <w:color w:val="auto"/>
          <w:sz w:val="28"/>
          <w:szCs w:val="28"/>
          <w:highlight w:val="none"/>
          <w:lang w:val="en-US" w:eastAsia="zh-CN"/>
        </w:rPr>
        <w:t>采购代理机构</w:t>
      </w:r>
      <w:r>
        <w:rPr>
          <w:rFonts w:hint="default" w:ascii="Times New Roman" w:hAnsi="Times New Roman" w:eastAsia="仿宋_GB2312" w:cs="Times New Roman"/>
          <w:color w:val="auto"/>
          <w:sz w:val="28"/>
          <w:szCs w:val="28"/>
        </w:rPr>
        <w:t>将顺延提交响应文件的截止时间。</w:t>
      </w:r>
    </w:p>
    <w:p w14:paraId="7E4E8F87">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2、各供应商在提交响应文件截止时间之前，应随时关注下列地址发布的变更公告，</w:t>
      </w:r>
      <w:r>
        <w:rPr>
          <w:rFonts w:hint="default" w:ascii="Times New Roman" w:hAnsi="Times New Roman" w:eastAsia="仿宋_GB2312" w:cs="Times New Roman"/>
          <w:color w:val="auto"/>
          <w:sz w:val="28"/>
          <w:szCs w:val="28"/>
          <w:lang w:val="en-US" w:eastAsia="zh-CN"/>
        </w:rPr>
        <w:t>集中代理机构</w:t>
      </w:r>
      <w:r>
        <w:rPr>
          <w:rFonts w:hint="default" w:ascii="Times New Roman" w:hAnsi="Times New Roman" w:eastAsia="仿宋_GB2312" w:cs="Times New Roman"/>
          <w:b/>
          <w:bCs/>
          <w:color w:val="auto"/>
          <w:sz w:val="28"/>
          <w:szCs w:val="28"/>
        </w:rPr>
        <w:t>不再单独通知，因供应商未及时关注所造成的一切后果由供应商自行承担：</w:t>
      </w:r>
    </w:p>
    <w:p w14:paraId="20B790C3">
      <w:pPr>
        <w:pageBreakBefore w:val="0"/>
        <w:widowControl/>
        <w:kinsoku/>
        <w:wordWrap w:val="0"/>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"http://www.ccgp-shaanxi.gov.cn/" </w:instrText>
      </w:r>
      <w:r>
        <w:rPr>
          <w:rFonts w:hint="default" w:ascii="Times New Roman" w:hAnsi="Times New Roman" w:eastAsia="仿宋_GB2312" w:cs="Times New Roman"/>
          <w:color w:val="auto"/>
          <w:sz w:val="28"/>
          <w:szCs w:val="28"/>
        </w:rPr>
        <w:fldChar w:fldCharType="separate"/>
      </w:r>
      <w:r>
        <w:rPr>
          <w:rStyle w:val="34"/>
          <w:rFonts w:hint="default" w:ascii="Times New Roman" w:hAnsi="Times New Roman" w:eastAsia="仿宋_GB2312" w:cs="Times New Roman"/>
          <w:color w:val="auto"/>
          <w:sz w:val="28"/>
          <w:szCs w:val="28"/>
        </w:rPr>
        <w:t>陕西省政府采购网</w:t>
      </w:r>
      <w:r>
        <w:rPr>
          <w:rStyle w:val="34"/>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sz w:val="28"/>
          <w:szCs w:val="28"/>
        </w:rPr>
        <w:t>（www.ccgp-shaanxi.gov.cn/）】中的〖首页·〉</w:t>
      </w:r>
      <w:r>
        <w:rPr>
          <w:rFonts w:hint="default" w:ascii="Times New Roman" w:hAnsi="Times New Roman" w:eastAsia="仿宋_GB2312" w:cs="Times New Roman"/>
          <w:color w:val="auto"/>
          <w:sz w:val="28"/>
          <w:szCs w:val="28"/>
          <w:lang w:val="en-US" w:eastAsia="zh-CN"/>
        </w:rPr>
        <w:t>县（区）级</w:t>
      </w:r>
      <w:r>
        <w:rPr>
          <w:rFonts w:hint="default" w:ascii="Times New Roman" w:hAnsi="Times New Roman" w:eastAsia="仿宋_GB2312" w:cs="Times New Roman"/>
          <w:color w:val="auto"/>
          <w:sz w:val="28"/>
          <w:szCs w:val="28"/>
        </w:rPr>
        <w:t>公告·〉更正公告〗</w:t>
      </w:r>
      <w:r>
        <w:rPr>
          <w:rFonts w:hint="default" w:ascii="Times New Roman" w:hAnsi="Times New Roman" w:eastAsia="仿宋_GB2312" w:cs="Times New Roman"/>
          <w:color w:val="auto"/>
          <w:sz w:val="28"/>
          <w:szCs w:val="28"/>
          <w:lang w:eastAsia="zh-CN"/>
        </w:rPr>
        <w:t>。</w:t>
      </w:r>
    </w:p>
    <w:p w14:paraId="1F59B26A">
      <w:pPr>
        <w:pageBreakBefore w:val="0"/>
        <w:widowControl/>
        <w:numPr>
          <w:ilvl w:val="0"/>
          <w:numId w:val="4"/>
        </w:numPr>
        <w:kinsoku/>
        <w:wordWrap w:val="0"/>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磋商文件由采购代理机构登记发放。</w:t>
      </w:r>
    </w:p>
    <w:p w14:paraId="73B6B24C">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lang w:val="en-US" w:eastAsia="zh-CN"/>
        </w:rPr>
      </w:pPr>
      <w:bookmarkStart w:id="84" w:name="_Toc18733_WPSOffice_Level3"/>
      <w:r>
        <w:rPr>
          <w:rFonts w:hint="default" w:ascii="Times New Roman" w:hAnsi="Times New Roman" w:eastAsia="仿宋_GB2312" w:cs="Times New Roman"/>
          <w:b/>
          <w:color w:val="auto"/>
          <w:sz w:val="28"/>
          <w:szCs w:val="28"/>
        </w:rPr>
        <w:t>（四）磋商文件的解释权归</w:t>
      </w:r>
      <w:r>
        <w:rPr>
          <w:rFonts w:hint="default" w:ascii="Times New Roman" w:hAnsi="Times New Roman" w:eastAsia="仿宋_GB2312" w:cs="Times New Roman"/>
          <w:b/>
          <w:color w:val="auto"/>
          <w:sz w:val="28"/>
          <w:szCs w:val="28"/>
          <w:lang w:val="en-US" w:eastAsia="zh-CN"/>
        </w:rPr>
        <w:t>集中采购机构</w:t>
      </w:r>
      <w:r>
        <w:rPr>
          <w:rFonts w:hint="default" w:ascii="Times New Roman" w:hAnsi="Times New Roman" w:eastAsia="仿宋_GB2312" w:cs="Times New Roman"/>
          <w:b/>
          <w:color w:val="auto"/>
          <w:sz w:val="28"/>
          <w:szCs w:val="28"/>
        </w:rPr>
        <w:t>。</w:t>
      </w:r>
      <w:bookmarkEnd w:id="84"/>
      <w:bookmarkStart w:id="85" w:name="_Toc3559"/>
      <w:bookmarkStart w:id="86" w:name="_Toc13064"/>
      <w:bookmarkStart w:id="87" w:name="_Toc30415"/>
      <w:bookmarkStart w:id="88" w:name="_Toc22501_WPSOffice_Level2"/>
      <w:bookmarkStart w:id="89" w:name="_Toc30095"/>
      <w:bookmarkStart w:id="90" w:name="_Toc20873_WPSOffice_Level2"/>
      <w:bookmarkStart w:id="91" w:name="_Toc19768_WPSOffice_Level2"/>
    </w:p>
    <w:p w14:paraId="7888838A">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四</w:t>
      </w:r>
      <w:r>
        <w:rPr>
          <w:rFonts w:hint="default" w:ascii="Times New Roman" w:hAnsi="Times New Roman" w:eastAsia="仿宋_GB2312" w:cs="Times New Roman"/>
          <w:color w:val="auto"/>
          <w:sz w:val="28"/>
          <w:szCs w:val="28"/>
        </w:rPr>
        <w:t>、磋商报价</w:t>
      </w:r>
      <w:bookmarkEnd w:id="85"/>
      <w:bookmarkEnd w:id="86"/>
      <w:bookmarkEnd w:id="87"/>
      <w:bookmarkEnd w:id="88"/>
      <w:bookmarkEnd w:id="89"/>
      <w:bookmarkEnd w:id="90"/>
      <w:bookmarkEnd w:id="91"/>
    </w:p>
    <w:p w14:paraId="341A2700">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highlight w:val="none"/>
        </w:rPr>
        <w:t>磋商报价是供应商响应</w:t>
      </w:r>
      <w:r>
        <w:rPr>
          <w:rFonts w:hint="default" w:ascii="Times New Roman" w:hAnsi="Times New Roman" w:eastAsia="仿宋_GB2312" w:cs="Times New Roman"/>
          <w:color w:val="auto"/>
          <w:sz w:val="28"/>
          <w:szCs w:val="28"/>
          <w:highlight w:val="none"/>
          <w:lang w:val="en-US" w:eastAsia="zh-CN"/>
        </w:rPr>
        <w:t>采购</w:t>
      </w:r>
      <w:r>
        <w:rPr>
          <w:rFonts w:hint="default" w:ascii="Times New Roman" w:hAnsi="Times New Roman" w:eastAsia="仿宋_GB2312" w:cs="Times New Roman"/>
          <w:color w:val="auto"/>
          <w:sz w:val="28"/>
          <w:szCs w:val="28"/>
          <w:highlight w:val="none"/>
        </w:rPr>
        <w:t>项目要求</w:t>
      </w:r>
      <w:r>
        <w:rPr>
          <w:rFonts w:hint="default" w:ascii="Times New Roman" w:hAnsi="Times New Roman" w:eastAsia="仿宋_GB2312" w:cs="Times New Roman"/>
          <w:color w:val="auto"/>
          <w:sz w:val="28"/>
          <w:szCs w:val="28"/>
        </w:rPr>
        <w:t>的全部工作内容的价格体现，包括完成采购内容所需的直接费、间接费、利润、税金及其它相关的一切费用。供应商在报价时应充分考虑所有可能发生的费用，</w:t>
      </w:r>
      <w:r>
        <w:rPr>
          <w:rFonts w:hint="default" w:ascii="Times New Roman" w:hAnsi="Times New Roman" w:eastAsia="仿宋_GB2312" w:cs="Times New Roman"/>
          <w:color w:val="auto"/>
          <w:sz w:val="28"/>
          <w:szCs w:val="28"/>
          <w:lang w:val="zh-CN"/>
        </w:rPr>
        <w:t>磋商</w:t>
      </w:r>
      <w:r>
        <w:rPr>
          <w:rFonts w:hint="default" w:ascii="Times New Roman" w:hAnsi="Times New Roman" w:eastAsia="仿宋_GB2312" w:cs="Times New Roman"/>
          <w:color w:val="auto"/>
          <w:sz w:val="28"/>
          <w:szCs w:val="28"/>
        </w:rPr>
        <w:t>文件未列明，而供应商认为应当计取的费用均应列入报价中。报价时不论是否计取，采购人均按已计取对待。</w:t>
      </w:r>
    </w:p>
    <w:p w14:paraId="194F7AF4">
      <w:pPr>
        <w:pageBreakBefore w:val="0"/>
        <w:widowControl/>
        <w:numPr>
          <w:ilvl w:val="0"/>
          <w:numId w:val="5"/>
        </w:numPr>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供应商应按照《响应文件构成及格式》中</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报价一览</w:t>
      </w:r>
      <w:r>
        <w:rPr>
          <w:rFonts w:hint="default" w:ascii="Times New Roman" w:hAnsi="Times New Roman" w:eastAsia="仿宋_GB2312" w:cs="Times New Roman"/>
          <w:color w:val="auto"/>
          <w:sz w:val="28"/>
          <w:szCs w:val="28"/>
          <w:highlight w:val="none"/>
        </w:rPr>
        <w:t>表》</w:t>
      </w:r>
      <w:r>
        <w:rPr>
          <w:rFonts w:hint="default" w:ascii="Times New Roman" w:hAnsi="Times New Roman" w:eastAsia="仿宋_GB2312" w:cs="Times New Roman"/>
          <w:color w:val="auto"/>
          <w:sz w:val="28"/>
          <w:szCs w:val="28"/>
        </w:rPr>
        <w:t>的相关要求填写需要响应的内容。</w:t>
      </w:r>
    </w:p>
    <w:p w14:paraId="23B2F946">
      <w:pPr>
        <w:pageBreakBefore w:val="0"/>
        <w:widowControl/>
        <w:numPr>
          <w:ilvl w:val="0"/>
          <w:numId w:val="5"/>
        </w:numPr>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磋商报价采取多轮报价的办法，最后报价作为计算价格分值的依据。供应商应在磋商当天，磋商小组规定的报价时间内，</w:t>
      </w:r>
      <w:r>
        <w:rPr>
          <w:rFonts w:hint="default" w:ascii="Times New Roman" w:hAnsi="Times New Roman" w:eastAsia="仿宋_GB2312" w:cs="Times New Roman"/>
          <w:b/>
          <w:bCs/>
          <w:color w:val="auto"/>
          <w:sz w:val="28"/>
          <w:szCs w:val="28"/>
          <w:lang w:eastAsia="zh-CN"/>
        </w:rPr>
        <w:t>现场</w:t>
      </w:r>
      <w:r>
        <w:rPr>
          <w:rFonts w:hint="default" w:ascii="Times New Roman" w:hAnsi="Times New Roman" w:eastAsia="仿宋_GB2312" w:cs="Times New Roman"/>
          <w:b/>
          <w:bCs/>
          <w:color w:val="auto"/>
          <w:sz w:val="28"/>
          <w:szCs w:val="28"/>
        </w:rPr>
        <w:t>填写最后报价表，签章并提交。</w:t>
      </w:r>
    </w:p>
    <w:p w14:paraId="08956C74">
      <w:pPr>
        <w:pageBreakBefore w:val="0"/>
        <w:widowControl/>
        <w:numPr>
          <w:ilvl w:val="0"/>
          <w:numId w:val="5"/>
        </w:numPr>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14:paraId="61E88280">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（四）</w:t>
      </w:r>
      <w:r>
        <w:rPr>
          <w:rFonts w:hint="default" w:ascii="Times New Roman" w:hAnsi="Times New Roman" w:eastAsia="仿宋_GB2312" w:cs="Times New Roman"/>
          <w:color w:val="auto"/>
          <w:sz w:val="28"/>
          <w:szCs w:val="28"/>
          <w:lang w:val="zh-CN"/>
        </w:rPr>
        <w:t>磋商</w:t>
      </w:r>
      <w:r>
        <w:rPr>
          <w:rFonts w:hint="default" w:ascii="Times New Roman" w:hAnsi="Times New Roman" w:eastAsia="仿宋_GB2312" w:cs="Times New Roman"/>
          <w:color w:val="auto"/>
          <w:sz w:val="28"/>
          <w:szCs w:val="28"/>
        </w:rPr>
        <w:t>报价货币：</w:t>
      </w:r>
      <w:r>
        <w:rPr>
          <w:rFonts w:hint="default" w:ascii="Times New Roman" w:hAnsi="Times New Roman" w:eastAsia="仿宋_GB2312" w:cs="Times New Roman"/>
          <w:b/>
          <w:color w:val="auto"/>
          <w:sz w:val="28"/>
          <w:szCs w:val="28"/>
        </w:rPr>
        <w:t>人民币</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b/>
          <w:bCs/>
          <w:color w:val="auto"/>
          <w:sz w:val="28"/>
          <w:szCs w:val="28"/>
        </w:rPr>
        <w:t>单位：元</w:t>
      </w:r>
      <w:r>
        <w:rPr>
          <w:rFonts w:hint="default" w:ascii="Times New Roman" w:hAnsi="Times New Roman" w:eastAsia="仿宋_GB2312" w:cs="Times New Roman"/>
          <w:bCs/>
          <w:color w:val="auto"/>
          <w:sz w:val="28"/>
          <w:szCs w:val="28"/>
        </w:rPr>
        <w:t>，</w:t>
      </w:r>
      <w:r>
        <w:rPr>
          <w:rFonts w:hint="default" w:ascii="Times New Roman" w:hAnsi="Times New Roman" w:eastAsia="仿宋_GB2312" w:cs="Times New Roman"/>
          <w:b/>
          <w:color w:val="auto"/>
          <w:sz w:val="28"/>
          <w:szCs w:val="28"/>
        </w:rPr>
        <w:t>保留到元</w:t>
      </w:r>
      <w:r>
        <w:rPr>
          <w:rFonts w:hint="default" w:ascii="Times New Roman" w:hAnsi="Times New Roman" w:eastAsia="仿宋_GB2312" w:cs="Times New Roman"/>
          <w:bCs/>
          <w:color w:val="auto"/>
          <w:sz w:val="28"/>
          <w:szCs w:val="28"/>
        </w:rPr>
        <w:t>。</w:t>
      </w:r>
    </w:p>
    <w:p w14:paraId="5BED8AF4">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（五）磋商报价大小写不一致的以大写为准。</w:t>
      </w:r>
    </w:p>
    <w:p w14:paraId="7DEC642E">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（六）因供应商对磋商文件理解不透、误解、疏漏或对市场行情了解不清造成的后果和风险，均由供应商自己负责。</w:t>
      </w:r>
    </w:p>
    <w:p w14:paraId="784EC747">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bCs/>
          <w:color w:val="auto"/>
          <w:sz w:val="28"/>
          <w:szCs w:val="28"/>
          <w:highlight w:val="none"/>
        </w:rPr>
      </w:pPr>
      <w:bookmarkStart w:id="92" w:name="_Toc14979"/>
      <w:bookmarkStart w:id="93" w:name="_Toc666"/>
      <w:bookmarkStart w:id="94" w:name="_Toc12154"/>
      <w:bookmarkStart w:id="95" w:name="_Toc20041_WPSOffice_Level2"/>
      <w:bookmarkStart w:id="96" w:name="_Toc29669_WPSOffice_Level2"/>
      <w:bookmarkStart w:id="97" w:name="_Toc11009"/>
      <w:bookmarkStart w:id="98" w:name="_Toc14959_WPSOffice_Level2"/>
      <w:r>
        <w:rPr>
          <w:rFonts w:hint="default" w:ascii="Times New Roman" w:hAnsi="Times New Roman" w:eastAsia="仿宋_GB2312" w:cs="Times New Roman"/>
          <w:b/>
          <w:bCs/>
          <w:color w:val="auto"/>
          <w:sz w:val="28"/>
          <w:szCs w:val="28"/>
          <w:lang w:val="en-US" w:eastAsia="zh-CN"/>
        </w:rPr>
        <w:t>五</w:t>
      </w:r>
      <w:r>
        <w:rPr>
          <w:rFonts w:hint="default" w:ascii="Times New Roman" w:hAnsi="Times New Roman" w:eastAsia="仿宋_GB2312" w:cs="Times New Roman"/>
          <w:b/>
          <w:bCs/>
          <w:color w:val="auto"/>
          <w:sz w:val="28"/>
          <w:szCs w:val="28"/>
        </w:rPr>
        <w:t>、</w:t>
      </w:r>
      <w:bookmarkEnd w:id="92"/>
      <w:bookmarkEnd w:id="93"/>
      <w:bookmarkEnd w:id="94"/>
      <w:bookmarkEnd w:id="95"/>
      <w:bookmarkEnd w:id="96"/>
      <w:bookmarkEnd w:id="97"/>
      <w:bookmarkEnd w:id="98"/>
      <w:bookmarkStart w:id="99" w:name="_Toc7898_WPSOffice_Level2"/>
      <w:bookmarkStart w:id="100" w:name="_Toc18733_WPSOffice_Level2"/>
      <w:bookmarkStart w:id="101" w:name="_Toc30535_WPSOffice_Level2"/>
      <w:r>
        <w:rPr>
          <w:rFonts w:hint="default" w:ascii="Times New Roman" w:hAnsi="Times New Roman" w:eastAsia="仿宋_GB2312" w:cs="Times New Roman"/>
          <w:b/>
          <w:bCs/>
          <w:color w:val="auto"/>
          <w:sz w:val="28"/>
          <w:szCs w:val="28"/>
          <w:highlight w:val="none"/>
        </w:rPr>
        <w:t>磋商响应文件的编制</w:t>
      </w:r>
    </w:p>
    <w:p w14:paraId="3671DF05">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磋商的所有文件、资料、函电文字均应使用中文（通用缩写、代号、名称除外）。</w:t>
      </w:r>
    </w:p>
    <w:p w14:paraId="2E5DCC7F">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磋商使用的计量单位须使用公制单位（另有规定的除外）。</w:t>
      </w:r>
    </w:p>
    <w:p w14:paraId="5538A2FF">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供应商须依据磋商文件内容和格式的要求编制磋商响应文件，明确表达磋商意愿，详细说明磋商方案、承诺及价格。磋商供应商必须保证其编制、递交的磋商响应文件内容的真实、合法、有效，并承担相应的法律责任。</w:t>
      </w:r>
    </w:p>
    <w:p w14:paraId="53C9864D">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磋商响应文件格式及构成（详见《磋商文件格式及构成》章节要求）。</w:t>
      </w:r>
    </w:p>
    <w:p w14:paraId="4FDA3A92">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磋商响应文件中未要求提供备选方案的，磋商供应商只能提交唯一的磋商方案，否则其磋商无效。</w:t>
      </w:r>
    </w:p>
    <w:p w14:paraId="4A3620C7">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磋商报价只能提交唯一、不可选择的报价。磋商货币：人民币。</w:t>
      </w:r>
    </w:p>
    <w:p w14:paraId="1E01AC0A">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磋商有效期</w:t>
      </w:r>
    </w:p>
    <w:p w14:paraId="4F967B09">
      <w:pPr>
        <w:pageBreakBefore w:val="0"/>
        <w:widowControl/>
        <w:kinsoku/>
        <w:overflowPunct/>
        <w:topLinePunct w:val="0"/>
        <w:autoSpaceDE/>
        <w:autoSpaceDN/>
        <w:bidi w:val="0"/>
        <w:adjustRightInd/>
        <w:snapToGrid/>
        <w:spacing w:line="240" w:lineRule="auto"/>
        <w:ind w:firstLine="849" w:firstLineChars="3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7-1.磋商有效期为90天。（自磋商大会之日起计算）</w:t>
      </w:r>
    </w:p>
    <w:p w14:paraId="4B42781D">
      <w:pPr>
        <w:pageBreakBefore w:val="0"/>
        <w:widowControl/>
        <w:kinsoku/>
        <w:overflowPunct/>
        <w:topLinePunct w:val="0"/>
        <w:autoSpaceDE/>
        <w:autoSpaceDN/>
        <w:bidi w:val="0"/>
        <w:adjustRightInd/>
        <w:snapToGrid/>
        <w:spacing w:line="240" w:lineRule="auto"/>
        <w:ind w:firstLine="849" w:firstLineChars="3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7-2.在特殊情况下，在磋商响应文件有效期满之前，</w:t>
      </w:r>
      <w:r>
        <w:rPr>
          <w:rFonts w:hint="default" w:ascii="Times New Roman" w:hAnsi="Times New Roman" w:eastAsia="仿宋_GB2312" w:cs="Times New Roman"/>
          <w:color w:val="auto"/>
          <w:sz w:val="28"/>
          <w:szCs w:val="28"/>
          <w:highlight w:val="none"/>
          <w:lang w:eastAsia="zh-CN"/>
        </w:rPr>
        <w:t>采购代理机构</w:t>
      </w:r>
      <w:r>
        <w:rPr>
          <w:rFonts w:hint="default" w:ascii="Times New Roman" w:hAnsi="Times New Roman" w:eastAsia="仿宋_GB2312" w:cs="Times New Roman"/>
          <w:color w:val="auto"/>
          <w:sz w:val="28"/>
          <w:szCs w:val="28"/>
          <w:highlight w:val="none"/>
        </w:rPr>
        <w:t>可向磋商供应商提出延长磋商响应文件有效期的书面要求。磋商供应商书面同意延长磋商响应文件有效期的，其磋商供应商资格、保证金有效期相应延长。磋商供应商也可书面拒绝延长有效期（在规定时限内无应答的视为拒绝），其响应资格则自动丧失。</w:t>
      </w:r>
    </w:p>
    <w:p w14:paraId="30D20F58">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磋商响应文件式样及签署</w:t>
      </w:r>
    </w:p>
    <w:p w14:paraId="14F43217">
      <w:pPr>
        <w:pageBreakBefore w:val="0"/>
        <w:widowControl/>
        <w:kinsoku/>
        <w:overflowPunct/>
        <w:topLinePunct w:val="0"/>
        <w:autoSpaceDE/>
        <w:autoSpaceDN/>
        <w:bidi w:val="0"/>
        <w:adjustRightInd/>
        <w:snapToGrid/>
        <w:spacing w:line="240" w:lineRule="auto"/>
        <w:ind w:firstLine="849" w:firstLineChars="3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8-1磋商响应文件应使用A4纸打印或使用不褪色蓝（黑）墨水书写，按序编制页码。</w:t>
      </w:r>
    </w:p>
    <w:p w14:paraId="3A44BD6C">
      <w:pPr>
        <w:pageBreakBefore w:val="0"/>
        <w:widowControl/>
        <w:kinsoku/>
        <w:overflowPunct/>
        <w:topLinePunct w:val="0"/>
        <w:autoSpaceDE/>
        <w:autoSpaceDN/>
        <w:bidi w:val="0"/>
        <w:adjustRightInd/>
        <w:snapToGrid/>
        <w:spacing w:line="240" w:lineRule="auto"/>
        <w:ind w:firstLine="849" w:firstLineChars="3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8-2磋商供应商应编制磋商响应文件正本1份、副本2份，各自装订成册，并在封面标明“正本”/“副本”字样。</w:t>
      </w:r>
    </w:p>
    <w:p w14:paraId="4453B80E">
      <w:pPr>
        <w:pageBreakBefore w:val="0"/>
        <w:widowControl/>
        <w:kinsoku/>
        <w:overflowPunct/>
        <w:topLinePunct w:val="0"/>
        <w:autoSpaceDE/>
        <w:autoSpaceDN/>
        <w:bidi w:val="0"/>
        <w:adjustRightInd/>
        <w:snapToGrid/>
        <w:spacing w:line="240" w:lineRule="auto"/>
        <w:ind w:firstLine="849" w:firstLineChars="3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8-3磋商响应文件的任何行间插字、涂改和增删，须由法定代表人或被授权人在改动处旁签字方为有效。</w:t>
      </w:r>
    </w:p>
    <w:p w14:paraId="408EFE85">
      <w:pPr>
        <w:pageBreakBefore w:val="0"/>
        <w:widowControl/>
        <w:kinsoku/>
        <w:overflowPunct/>
        <w:topLinePunct w:val="0"/>
        <w:autoSpaceDE/>
        <w:autoSpaceDN/>
        <w:bidi w:val="0"/>
        <w:adjustRightInd/>
        <w:snapToGrid/>
        <w:spacing w:line="240" w:lineRule="auto"/>
        <w:ind w:firstLine="849" w:firstLineChars="3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8-4磋商供应商须在磋商响应文件中指定页面的落款处，加盖法人公章以及由法定代表人或被授权人签名盖章。</w:t>
      </w:r>
    </w:p>
    <w:p w14:paraId="7B1C133D">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9</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磋商响应文件的密封：磋商响应文件的正本、副本须封装密封（封袋不得有破损），加贴封条，并在封线处加盖公章（骑缝章）。</w:t>
      </w:r>
    </w:p>
    <w:p w14:paraId="52FF4E14">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磋商响应文件的递交</w:t>
      </w:r>
    </w:p>
    <w:p w14:paraId="1DEB45A8">
      <w:pPr>
        <w:pageBreakBefore w:val="0"/>
        <w:widowControl/>
        <w:kinsoku/>
        <w:overflowPunct/>
        <w:topLinePunct w:val="0"/>
        <w:autoSpaceDE/>
        <w:autoSpaceDN/>
        <w:bidi w:val="0"/>
        <w:adjustRightInd/>
        <w:snapToGrid/>
        <w:spacing w:line="240" w:lineRule="auto"/>
        <w:ind w:firstLine="849" w:firstLineChars="3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10-1磋商供应商须按磋商文件确定的时间和地点，将全部磋商响应文件递交至</w:t>
      </w:r>
      <w:r>
        <w:rPr>
          <w:rFonts w:hint="default" w:ascii="Times New Roman" w:hAnsi="Times New Roman" w:eastAsia="仿宋_GB2312" w:cs="Times New Roman"/>
          <w:color w:val="auto"/>
          <w:sz w:val="28"/>
          <w:szCs w:val="28"/>
          <w:highlight w:val="none"/>
          <w:lang w:eastAsia="zh-CN"/>
        </w:rPr>
        <w:t>集中采购代理机构</w:t>
      </w:r>
      <w:r>
        <w:rPr>
          <w:rFonts w:hint="default" w:ascii="Times New Roman" w:hAnsi="Times New Roman" w:eastAsia="仿宋_GB2312" w:cs="Times New Roman"/>
          <w:color w:val="auto"/>
          <w:sz w:val="28"/>
          <w:szCs w:val="28"/>
          <w:highlight w:val="none"/>
        </w:rPr>
        <w:t>。</w:t>
      </w:r>
    </w:p>
    <w:p w14:paraId="491AB6DF">
      <w:pPr>
        <w:pageBreakBefore w:val="0"/>
        <w:widowControl/>
        <w:kinsoku/>
        <w:overflowPunct/>
        <w:topLinePunct w:val="0"/>
        <w:autoSpaceDE/>
        <w:autoSpaceDN/>
        <w:bidi w:val="0"/>
        <w:adjustRightInd/>
        <w:snapToGrid/>
        <w:spacing w:line="240" w:lineRule="auto"/>
        <w:ind w:firstLine="849" w:firstLineChars="3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10-2</w:t>
      </w:r>
      <w:r>
        <w:rPr>
          <w:rFonts w:hint="default" w:ascii="Times New Roman" w:hAnsi="Times New Roman" w:eastAsia="仿宋_GB2312" w:cs="Times New Roman"/>
          <w:color w:val="auto"/>
          <w:sz w:val="28"/>
          <w:szCs w:val="28"/>
          <w:highlight w:val="none"/>
          <w:lang w:eastAsia="zh-CN"/>
        </w:rPr>
        <w:t>采购代理机构</w:t>
      </w:r>
      <w:r>
        <w:rPr>
          <w:rFonts w:hint="default" w:ascii="Times New Roman" w:hAnsi="Times New Roman" w:eastAsia="仿宋_GB2312" w:cs="Times New Roman"/>
          <w:color w:val="auto"/>
          <w:sz w:val="28"/>
          <w:szCs w:val="28"/>
          <w:highlight w:val="none"/>
        </w:rPr>
        <w:t>负责磋商响应文件的接收、清点、记录工作，并请递交人签</w:t>
      </w:r>
      <w:r>
        <w:rPr>
          <w:rFonts w:hint="default" w:ascii="Times New Roman" w:hAnsi="Times New Roman" w:eastAsia="仿宋_GB2312" w:cs="Times New Roman"/>
          <w:color w:val="auto"/>
          <w:sz w:val="28"/>
          <w:szCs w:val="28"/>
          <w:highlight w:val="none"/>
          <w:lang w:eastAsia="zh-CN"/>
        </w:rPr>
        <w:t>字确认</w:t>
      </w:r>
      <w:r>
        <w:rPr>
          <w:rFonts w:hint="default" w:ascii="Times New Roman" w:hAnsi="Times New Roman" w:eastAsia="仿宋_GB2312" w:cs="Times New Roman"/>
          <w:color w:val="auto"/>
          <w:sz w:val="28"/>
          <w:szCs w:val="28"/>
          <w:highlight w:val="none"/>
        </w:rPr>
        <w:t>。</w:t>
      </w:r>
    </w:p>
    <w:p w14:paraId="25C59FBD">
      <w:pPr>
        <w:pageBreakBefore w:val="0"/>
        <w:widowControl/>
        <w:kinsoku/>
        <w:overflowPunct/>
        <w:topLinePunct w:val="0"/>
        <w:autoSpaceDE/>
        <w:autoSpaceDN/>
        <w:bidi w:val="0"/>
        <w:adjustRightInd/>
        <w:snapToGrid/>
        <w:spacing w:line="240" w:lineRule="auto"/>
        <w:ind w:firstLine="849" w:firstLineChars="3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10-3在宣布递交磋商响应文件时间截止之后，任何人送达、递交的磋商响应文件和文书资料，</w:t>
      </w:r>
      <w:r>
        <w:rPr>
          <w:rFonts w:hint="default" w:ascii="Times New Roman" w:hAnsi="Times New Roman" w:eastAsia="仿宋_GB2312" w:cs="Times New Roman"/>
          <w:color w:val="auto"/>
          <w:sz w:val="28"/>
          <w:szCs w:val="28"/>
          <w:highlight w:val="none"/>
          <w:lang w:eastAsia="zh-CN"/>
        </w:rPr>
        <w:t>采购代理机构</w:t>
      </w:r>
      <w:r>
        <w:rPr>
          <w:rFonts w:hint="default" w:ascii="Times New Roman" w:hAnsi="Times New Roman" w:eastAsia="仿宋_GB2312" w:cs="Times New Roman"/>
          <w:color w:val="auto"/>
          <w:sz w:val="28"/>
          <w:szCs w:val="28"/>
          <w:highlight w:val="none"/>
        </w:rPr>
        <w:t>拒绝接收。</w:t>
      </w:r>
    </w:p>
    <w:p w14:paraId="1CCC7C2F">
      <w:pPr>
        <w:pageBreakBefore w:val="0"/>
        <w:widowControl/>
        <w:kinsoku/>
        <w:overflowPunct/>
        <w:topLinePunct w:val="0"/>
        <w:autoSpaceDE/>
        <w:autoSpaceDN/>
        <w:bidi w:val="0"/>
        <w:adjustRightInd/>
        <w:snapToGrid/>
        <w:spacing w:line="240" w:lineRule="auto"/>
        <w:ind w:firstLine="849" w:firstLineChars="300"/>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10-4无论磋商供应商成交与否，其磋商响应文件将不予退还。</w:t>
      </w:r>
      <w:bookmarkStart w:id="102" w:name="_Toc404175352"/>
    </w:p>
    <w:p w14:paraId="3940D1C9">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华文仿宋" w:cs="Times New Roman"/>
          <w:b/>
          <w:bCs/>
          <w:color w:val="auto"/>
          <w:kern w:val="0"/>
          <w:sz w:val="28"/>
          <w:szCs w:val="28"/>
          <w:lang w:val="en-US" w:eastAsia="zh-CN" w:bidi="ar"/>
        </w:rPr>
        <w:t>六、响应文件开启</w:t>
      </w:r>
    </w:p>
    <w:p w14:paraId="1E2452F7">
      <w:pPr>
        <w:keepNext w:val="0"/>
        <w:keepLines w:val="0"/>
        <w:widowControl/>
        <w:suppressLineNumbers w:val="0"/>
        <w:ind w:firstLine="283" w:firstLineChars="1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（一）汉中市汉台区政府采购中心组织响应文件开启、评审工作， 整个过程受政府采购监管机构的监督、管理。 </w:t>
      </w:r>
    </w:p>
    <w:p w14:paraId="51B171DD">
      <w:pPr>
        <w:keepNext w:val="0"/>
        <w:keepLines w:val="0"/>
        <w:widowControl/>
        <w:suppressLineNumbers w:val="0"/>
        <w:ind w:firstLine="283" w:firstLineChars="1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（二）汉中市汉台区政府采购中心在磋商文件规定的时间和地点组织响应文件开启，供应商须派法定代表人或授权代表参加，并签名报到。 法定代表人参加的，须出示本人身份证原件；授权代表参加的，须出示法定代表人授权委托书原件（按《响应文件构成及格式》中给定格式填写）和授权代表的身份证原件。 </w:t>
      </w:r>
    </w:p>
    <w:p w14:paraId="6D459D65">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华文仿宋" w:cs="Times New Roman"/>
          <w:b/>
          <w:bCs/>
          <w:color w:val="auto"/>
          <w:kern w:val="0"/>
          <w:sz w:val="28"/>
          <w:szCs w:val="28"/>
          <w:lang w:val="en-US" w:eastAsia="zh-CN" w:bidi="ar"/>
        </w:rPr>
        <w:t xml:space="preserve">供应商不足 </w:t>
      </w:r>
      <w:r>
        <w:rPr>
          <w:rFonts w:hint="default" w:ascii="Times New Roman" w:hAnsi="Times New Roman" w:eastAsia="宋体" w:cs="Times New Roman"/>
          <w:b/>
          <w:bCs/>
          <w:color w:val="auto"/>
          <w:kern w:val="0"/>
          <w:sz w:val="28"/>
          <w:szCs w:val="28"/>
          <w:lang w:val="en-US" w:eastAsia="zh-CN" w:bidi="ar"/>
        </w:rPr>
        <w:t xml:space="preserve">3 </w:t>
      </w:r>
      <w:r>
        <w:rPr>
          <w:rFonts w:hint="default" w:ascii="Times New Roman" w:hAnsi="Times New Roman" w:eastAsia="华文仿宋" w:cs="Times New Roman"/>
          <w:b/>
          <w:bCs/>
          <w:color w:val="auto"/>
          <w:kern w:val="0"/>
          <w:sz w:val="28"/>
          <w:szCs w:val="28"/>
          <w:lang w:val="en-US" w:eastAsia="zh-CN" w:bidi="ar"/>
        </w:rPr>
        <w:t xml:space="preserve">家的，不得开启响应文件。 </w:t>
      </w:r>
    </w:p>
    <w:p w14:paraId="11687E5C">
      <w:pPr>
        <w:keepNext w:val="0"/>
        <w:keepLines w:val="0"/>
        <w:pageBreakBefore w:val="0"/>
        <w:widowControl w:val="0"/>
        <w:suppressLineNumbers w:val="0"/>
        <w:kinsoku/>
        <w:wordWrap/>
        <w:overflowPunct/>
        <w:topLinePunct w:val="0"/>
        <w:autoSpaceDE/>
        <w:autoSpaceDN/>
        <w:bidi w:val="0"/>
        <w:adjustRightInd/>
        <w:snapToGrid/>
        <w:ind w:firstLine="283" w:firstLineChars="1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8"/>
          <w:szCs w:val="28"/>
          <w:lang w:val="en-US" w:eastAsia="zh-CN" w:bidi="ar"/>
        </w:rPr>
        <w:t xml:space="preserve">（三）响应文件开启过程由汉中市汉台区政府采购中心指定专人记录，由参加响应文件开启的相关工作人员签字确认后随采购文件一并存档。 </w:t>
      </w:r>
    </w:p>
    <w:p w14:paraId="4546023C">
      <w:pPr>
        <w:keepNext w:val="0"/>
        <w:keepLines w:val="0"/>
        <w:pageBreakBefore w:val="0"/>
        <w:widowControl w:val="0"/>
        <w:suppressLineNumbers w:val="0"/>
        <w:kinsoku/>
        <w:wordWrap/>
        <w:overflowPunct/>
        <w:topLinePunct w:val="0"/>
        <w:autoSpaceDE/>
        <w:autoSpaceDN/>
        <w:bidi w:val="0"/>
        <w:adjustRightInd/>
        <w:snapToGrid/>
        <w:ind w:firstLine="283" w:firstLineChars="1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8"/>
          <w:szCs w:val="28"/>
          <w:lang w:val="en-US" w:eastAsia="zh-CN" w:bidi="ar"/>
        </w:rPr>
        <w:t xml:space="preserve">（四）响应人对响应文件开启过程和记录有疑义，以及认为采购人、 </w:t>
      </w:r>
    </w:p>
    <w:p w14:paraId="279DDE46">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8"/>
          <w:szCs w:val="28"/>
          <w:lang w:val="en-US" w:eastAsia="zh-CN" w:bidi="ar"/>
        </w:rPr>
        <w:t xml:space="preserve">汉中市汉台区政府采购中心相关工作人员有需要回避情形的，应在响应文 </w:t>
      </w:r>
    </w:p>
    <w:p w14:paraId="6C15F897">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kern w:val="0"/>
          <w:sz w:val="28"/>
          <w:szCs w:val="28"/>
          <w:lang w:val="en-US" w:eastAsia="zh-CN" w:bidi="ar"/>
        </w:rPr>
        <w:t xml:space="preserve">件开启现场提出询问或回避申请，采购人、汉中市汉台区政府采购中心应 </w:t>
      </w:r>
    </w:p>
    <w:p w14:paraId="728659C6">
      <w:pPr>
        <w:keepNext w:val="0"/>
        <w:keepLines w:val="0"/>
        <w:pageBreakBefore w:val="0"/>
        <w:widowControl w:val="0"/>
        <w:suppressLineNumbers w:val="0"/>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当及时处理。</w:t>
      </w:r>
    </w:p>
    <w:p w14:paraId="38360A8A">
      <w:pPr>
        <w:keepNext w:val="0"/>
        <w:keepLines w:val="0"/>
        <w:pageBreakBefore w:val="0"/>
        <w:widowControl w:val="0"/>
        <w:suppressLineNumbers w:val="0"/>
        <w:kinsoku/>
        <w:wordWrap/>
        <w:overflowPunct/>
        <w:topLinePunct w:val="0"/>
        <w:autoSpaceDE/>
        <w:autoSpaceDN/>
        <w:bidi w:val="0"/>
        <w:adjustRightInd/>
        <w:snapToGrid/>
        <w:ind w:firstLine="283" w:firstLineChars="100"/>
        <w:jc w:val="left"/>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color w:val="auto"/>
          <w:kern w:val="0"/>
          <w:sz w:val="28"/>
          <w:szCs w:val="28"/>
          <w:lang w:val="en-US" w:eastAsia="zh-CN" w:bidi="ar"/>
        </w:rPr>
        <w:t>（五）响应供应商未参加响应文件开启的，视同认可开启结果。</w:t>
      </w:r>
    </w:p>
    <w:p w14:paraId="2B1700D3">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highlight w:val="none"/>
          <w:lang w:val="en-US" w:eastAsia="zh-CN"/>
        </w:rPr>
        <w:t>七</w:t>
      </w:r>
      <w:r>
        <w:rPr>
          <w:rFonts w:hint="default" w:ascii="Times New Roman" w:hAnsi="Times New Roman" w:eastAsia="仿宋_GB2312" w:cs="Times New Roman"/>
          <w:b/>
          <w:bCs/>
          <w:color w:val="auto"/>
          <w:sz w:val="28"/>
          <w:szCs w:val="28"/>
          <w:highlight w:val="none"/>
        </w:rPr>
        <w:t>、</w:t>
      </w:r>
      <w:bookmarkEnd w:id="102"/>
      <w:bookmarkStart w:id="103" w:name="_Toc31905"/>
      <w:bookmarkStart w:id="104" w:name="_Toc8349"/>
      <w:bookmarkStart w:id="105" w:name="_Toc31720"/>
      <w:bookmarkStart w:id="106" w:name="_Toc8460"/>
      <w:r>
        <w:rPr>
          <w:rFonts w:hint="default" w:ascii="Times New Roman" w:hAnsi="Times New Roman" w:eastAsia="仿宋_GB2312" w:cs="Times New Roman"/>
          <w:color w:val="auto"/>
          <w:sz w:val="28"/>
          <w:szCs w:val="28"/>
        </w:rPr>
        <w:t>组织评审</w:t>
      </w:r>
      <w:bookmarkEnd w:id="99"/>
      <w:bookmarkEnd w:id="100"/>
      <w:bookmarkEnd w:id="101"/>
      <w:bookmarkEnd w:id="103"/>
      <w:bookmarkEnd w:id="104"/>
      <w:bookmarkEnd w:id="105"/>
      <w:bookmarkEnd w:id="106"/>
    </w:p>
    <w:p w14:paraId="198E87E7">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bCs/>
          <w:color w:val="auto"/>
          <w:sz w:val="28"/>
          <w:szCs w:val="28"/>
        </w:rPr>
      </w:pPr>
      <w:bookmarkStart w:id="107" w:name="_Toc3816_WPSOffice_Level3"/>
      <w:r>
        <w:rPr>
          <w:rFonts w:hint="default" w:ascii="Times New Roman" w:hAnsi="Times New Roman" w:eastAsia="仿宋_GB2312" w:cs="Times New Roman"/>
          <w:b/>
          <w:bCs/>
          <w:color w:val="auto"/>
          <w:sz w:val="28"/>
          <w:szCs w:val="28"/>
          <w:shd w:val="clear" w:color="auto" w:fill="FFFFFF"/>
        </w:rPr>
        <w:t>（一）</w:t>
      </w:r>
      <w:bookmarkEnd w:id="107"/>
      <w:r>
        <w:rPr>
          <w:rFonts w:hint="default" w:ascii="Times New Roman" w:hAnsi="Times New Roman" w:eastAsia="仿宋_GB2312" w:cs="Times New Roman"/>
          <w:b/>
          <w:bCs/>
          <w:color w:val="auto"/>
          <w:sz w:val="28"/>
          <w:szCs w:val="28"/>
        </w:rPr>
        <w:t>成立磋商小组</w:t>
      </w:r>
    </w:p>
    <w:p w14:paraId="036D081A">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14:paraId="1E5741EC">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评审专家对本单位的采购项目只能作为采购人代表参与评审。采购代理机构工作人员不得参加由本机构代理的政府采购项目的评审。</w:t>
      </w:r>
    </w:p>
    <w:p w14:paraId="3CD946D5">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磋商小组成员名单在评审结果公告前应当保密。</w:t>
      </w:r>
    </w:p>
    <w:p w14:paraId="07BC42B8">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14:paraId="2436C2C2">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3、评审中因磋商小组成员缺席、回避或者健康等特殊原因导致磋商小组组成不符合规定的，</w:t>
      </w: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应当依法补足后继续评审。被更换的磋商小组成员所做出的评审意见无效。无法及时补足磋商小组成员的，</w:t>
      </w: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应当停止评审活动，封存所有响应文件和开标、评审资料，依法重新组建磋商小组进行评审。原磋商小组所做出的评审意见无效。</w:t>
      </w:r>
    </w:p>
    <w:p w14:paraId="142674D2">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集中采购机构</w:t>
      </w:r>
      <w:r>
        <w:rPr>
          <w:rFonts w:hint="default" w:ascii="Times New Roman" w:hAnsi="Times New Roman" w:eastAsia="仿宋_GB2312" w:cs="Times New Roman"/>
          <w:color w:val="auto"/>
          <w:sz w:val="28"/>
          <w:szCs w:val="28"/>
        </w:rPr>
        <w:t>应当将变更、重新组建磋商小组的情况予以记录，并随</w:t>
      </w:r>
      <w:r>
        <w:rPr>
          <w:rFonts w:hint="default" w:ascii="Times New Roman" w:hAnsi="Times New Roman" w:eastAsia="仿宋_GB2312" w:cs="Times New Roman"/>
          <w:color w:val="auto"/>
          <w:sz w:val="28"/>
          <w:szCs w:val="28"/>
          <w:lang w:eastAsia="zh-CN"/>
        </w:rPr>
        <w:t>磋商文件</w:t>
      </w:r>
      <w:r>
        <w:rPr>
          <w:rFonts w:hint="default" w:ascii="Times New Roman" w:hAnsi="Times New Roman" w:eastAsia="仿宋_GB2312" w:cs="Times New Roman"/>
          <w:color w:val="auto"/>
          <w:sz w:val="28"/>
          <w:szCs w:val="28"/>
        </w:rPr>
        <w:t>一并存档。</w:t>
      </w:r>
    </w:p>
    <w:p w14:paraId="33754B16">
      <w:pPr>
        <w:pStyle w:val="20"/>
        <w:pageBreakBefore w:val="0"/>
        <w:widowControl/>
        <w:kinsoku/>
        <w:overflowPunct/>
        <w:topLinePunct w:val="0"/>
        <w:autoSpaceDE/>
        <w:autoSpaceDN/>
        <w:bidi w:val="0"/>
        <w:adjustRightInd/>
        <w:snapToGrid/>
        <w:spacing w:beforeAutospacing="0" w:afterAutospacing="0" w:line="500" w:lineRule="exact"/>
        <w:ind w:firstLine="420"/>
        <w:textAlignment w:val="auto"/>
        <w:rPr>
          <w:rFonts w:hint="default" w:ascii="Times New Roman" w:hAnsi="Times New Roman" w:eastAsia="仿宋_GB2312" w:cs="Times New Roman"/>
          <w:b/>
          <w:bCs/>
          <w:color w:val="auto"/>
          <w:sz w:val="28"/>
          <w:szCs w:val="28"/>
        </w:rPr>
      </w:pPr>
      <w:bookmarkStart w:id="108" w:name="_Toc3147_WPSOffice_Level3"/>
      <w:r>
        <w:rPr>
          <w:rFonts w:hint="default" w:ascii="Times New Roman" w:hAnsi="Times New Roman" w:eastAsia="仿宋_GB2312" w:cs="Times New Roman"/>
          <w:b/>
          <w:bCs/>
          <w:color w:val="auto"/>
          <w:sz w:val="28"/>
          <w:szCs w:val="28"/>
          <w:shd w:val="clear" w:color="auto" w:fill="FFFFFF"/>
        </w:rPr>
        <w:t>（二）磋商小组负责具体评审事务，并独立履行下列职责：</w:t>
      </w:r>
      <w:bookmarkEnd w:id="108"/>
    </w:p>
    <w:p w14:paraId="515BF11B">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lang w:val="en-US" w:eastAsia="zh-CN"/>
        </w:rPr>
      </w:pPr>
      <w:r>
        <w:rPr>
          <w:rFonts w:hint="default" w:ascii="Times New Roman" w:hAnsi="Times New Roman" w:eastAsia="仿宋_GB2312" w:cs="Times New Roman"/>
          <w:color w:val="auto"/>
          <w:sz w:val="28"/>
          <w:szCs w:val="28"/>
          <w:shd w:val="clear" w:color="auto" w:fill="FFFFFF"/>
          <w:lang w:val="en-US" w:eastAsia="zh-CN"/>
        </w:rPr>
        <w:t>1、遵守评审工作纪律，不得泄露评审情况和评审中获悉的商业秘密；</w:t>
      </w:r>
    </w:p>
    <w:p w14:paraId="01D788F4">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lang w:val="en-US" w:eastAsia="zh-CN"/>
        </w:rPr>
        <w:t xml:space="preserve">2、按照客观、公正、审慎的原则，根据磋商文件规定的评审程序、评审方法和评审标准进行独立评审； </w:t>
      </w:r>
    </w:p>
    <w:p w14:paraId="383D05A7">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lang w:val="en-US" w:eastAsia="zh-CN"/>
        </w:rPr>
        <w:t xml:space="preserve">3、要求供应商对响应文件有关事项做出澄清或者说明； </w:t>
      </w:r>
    </w:p>
    <w:p w14:paraId="14D8CF40">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lang w:val="en-US" w:eastAsia="zh-CN"/>
        </w:rPr>
        <w:t xml:space="preserve">4、与供应商分别进行磋商； </w:t>
      </w:r>
    </w:p>
    <w:p w14:paraId="45F2F245">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lang w:val="en-US" w:eastAsia="zh-CN"/>
        </w:rPr>
        <w:t xml:space="preserve">5、对响应文件进行比较和评价； </w:t>
      </w:r>
    </w:p>
    <w:p w14:paraId="70F81EDE">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lang w:val="en-US" w:eastAsia="zh-CN"/>
        </w:rPr>
        <w:t xml:space="preserve">6、确定成交候选人名单，以及根据采购人委托直接确定成交供应商； </w:t>
      </w:r>
    </w:p>
    <w:p w14:paraId="7D91FF23">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shd w:val="clear" w:color="auto" w:fill="FFFFFF"/>
        </w:rPr>
      </w:pPr>
      <w:r>
        <w:rPr>
          <w:rFonts w:hint="default" w:ascii="Times New Roman" w:hAnsi="Times New Roman" w:eastAsia="仿宋_GB2312" w:cs="Times New Roman"/>
          <w:color w:val="auto"/>
          <w:sz w:val="28"/>
          <w:szCs w:val="28"/>
          <w:shd w:val="clear" w:color="auto" w:fill="FFFFFF"/>
          <w:lang w:val="en-US" w:eastAsia="zh-CN"/>
        </w:rPr>
        <w:t xml:space="preserve">7、配合答复供应商的询问、质疑和投诉等事项，不得泄露评审文件、评审情况和在评审过程中获悉的商业秘密； </w:t>
      </w:r>
    </w:p>
    <w:p w14:paraId="6C830211">
      <w:pPr>
        <w:pStyle w:val="20"/>
        <w:pageBreakBefore w:val="0"/>
        <w:widowControl/>
        <w:kinsoku/>
        <w:overflowPunct/>
        <w:topLinePunct w:val="0"/>
        <w:autoSpaceDE/>
        <w:autoSpaceDN/>
        <w:bidi w:val="0"/>
        <w:adjustRightInd/>
        <w:snapToGrid/>
        <w:spacing w:beforeAutospacing="0" w:afterAutospacing="0" w:line="240" w:lineRule="auto"/>
        <w:ind w:firstLine="590" w:firstLineChars="200"/>
        <w:textAlignment w:val="auto"/>
        <w:rPr>
          <w:rFonts w:hint="default" w:ascii="Times New Roman" w:hAnsi="Times New Roman" w:eastAsia="仿宋_GB2312" w:cs="Times New Roman"/>
          <w:color w:val="auto"/>
          <w:spacing w:val="6"/>
          <w:sz w:val="28"/>
          <w:szCs w:val="28"/>
        </w:rPr>
      </w:pPr>
      <w:r>
        <w:rPr>
          <w:rFonts w:hint="default" w:ascii="Times New Roman" w:hAnsi="Times New Roman" w:eastAsia="仿宋_GB2312" w:cs="Times New Roman"/>
          <w:color w:val="auto"/>
          <w:spacing w:val="6"/>
          <w:sz w:val="28"/>
          <w:szCs w:val="28"/>
          <w:shd w:val="clear" w:color="auto" w:fill="FFFFFF"/>
          <w:lang w:val="en-US" w:eastAsia="zh-CN"/>
        </w:rPr>
        <w:t xml:space="preserve">8、向采购人、集中采购机构或者有关部门报告评审中发现的违法行为。 </w:t>
      </w:r>
    </w:p>
    <w:p w14:paraId="13BCE391">
      <w:pPr>
        <w:pStyle w:val="20"/>
        <w:pageBreakBefore w:val="0"/>
        <w:widowControl/>
        <w:kinsoku/>
        <w:overflowPunct/>
        <w:topLinePunct w:val="0"/>
        <w:autoSpaceDE/>
        <w:autoSpaceDN/>
        <w:bidi w:val="0"/>
        <w:adjustRightInd/>
        <w:snapToGrid/>
        <w:spacing w:beforeAutospacing="0" w:afterAutospacing="0" w:line="500" w:lineRule="exact"/>
        <w:ind w:firstLine="420"/>
        <w:textAlignment w:val="auto"/>
        <w:rPr>
          <w:rFonts w:hint="default" w:ascii="Times New Roman" w:hAnsi="Times New Roman" w:eastAsia="仿宋_GB2312" w:cs="Times New Roman"/>
          <w:b/>
          <w:bCs/>
          <w:color w:val="auto"/>
          <w:sz w:val="28"/>
          <w:szCs w:val="28"/>
        </w:rPr>
      </w:pPr>
      <w:bookmarkStart w:id="109" w:name="_Toc8872_WPSOffice_Level3"/>
      <w:r>
        <w:rPr>
          <w:rFonts w:hint="default" w:ascii="Times New Roman" w:hAnsi="Times New Roman" w:eastAsia="仿宋_GB2312" w:cs="Times New Roman"/>
          <w:b/>
          <w:bCs/>
          <w:color w:val="auto"/>
          <w:sz w:val="28"/>
          <w:szCs w:val="28"/>
        </w:rPr>
        <w:t>（三）</w:t>
      </w:r>
      <w:r>
        <w:rPr>
          <w:rFonts w:hint="default" w:ascii="Times New Roman" w:hAnsi="Times New Roman" w:eastAsia="仿宋_GB2312" w:cs="Times New Roman"/>
          <w:b/>
          <w:bCs/>
          <w:color w:val="auto"/>
          <w:sz w:val="28"/>
          <w:szCs w:val="28"/>
          <w:shd w:val="clear" w:color="auto" w:fill="FFFFFF"/>
        </w:rPr>
        <w:t>集中采购机构负责组织评审工作，并履行下列职责：</w:t>
      </w:r>
    </w:p>
    <w:p w14:paraId="7B1127E9">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1、核</w:t>
      </w:r>
      <w:r>
        <w:rPr>
          <w:rFonts w:hint="default" w:ascii="Times New Roman" w:hAnsi="Times New Roman" w:eastAsia="仿宋_GB2312" w:cs="Times New Roman"/>
          <w:color w:val="auto"/>
          <w:spacing w:val="6"/>
          <w:sz w:val="28"/>
          <w:szCs w:val="28"/>
          <w:shd w:val="clear" w:color="auto" w:fill="FFFFFF"/>
        </w:rPr>
        <w:t>对评审专家身份和采购人代表授权函，对评审专家在政府采购活动中的职责履</w:t>
      </w:r>
      <w:r>
        <w:rPr>
          <w:rFonts w:hint="default" w:ascii="Times New Roman" w:hAnsi="Times New Roman" w:eastAsia="仿宋_GB2312" w:cs="Times New Roman"/>
          <w:color w:val="auto"/>
          <w:sz w:val="28"/>
          <w:szCs w:val="28"/>
          <w:shd w:val="clear" w:color="auto" w:fill="FFFFFF"/>
        </w:rPr>
        <w:t>行情况予以记录，并及时将有关违法违规行为向财政部门报告;</w:t>
      </w:r>
    </w:p>
    <w:p w14:paraId="03DA006E">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2、宣布评审纪律;</w:t>
      </w:r>
    </w:p>
    <w:p w14:paraId="10C55F7B">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3、公布</w:t>
      </w:r>
      <w:r>
        <w:rPr>
          <w:rFonts w:hint="default" w:ascii="Times New Roman" w:hAnsi="Times New Roman" w:eastAsia="仿宋_GB2312" w:cs="Times New Roman"/>
          <w:color w:val="auto"/>
          <w:sz w:val="28"/>
          <w:szCs w:val="28"/>
          <w:shd w:val="clear" w:color="auto" w:fill="FFFFFF"/>
          <w:lang w:val="en-US" w:eastAsia="zh-CN"/>
        </w:rPr>
        <w:t>供应商</w:t>
      </w:r>
      <w:r>
        <w:rPr>
          <w:rFonts w:hint="default" w:ascii="Times New Roman" w:hAnsi="Times New Roman" w:eastAsia="仿宋_GB2312" w:cs="Times New Roman"/>
          <w:color w:val="auto"/>
          <w:sz w:val="28"/>
          <w:szCs w:val="28"/>
          <w:shd w:val="clear" w:color="auto" w:fill="FFFFFF"/>
        </w:rPr>
        <w:t>名单，告知评审专家应当回避的情形;</w:t>
      </w:r>
    </w:p>
    <w:p w14:paraId="5AA75DD1">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4、组织磋商小组推选评审组长，采购人代表不得担任组长;</w:t>
      </w:r>
    </w:p>
    <w:p w14:paraId="0F2EE12C">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5、在评审期间采取必要的通讯管理措施，保证评审活动不受外界干扰;</w:t>
      </w:r>
    </w:p>
    <w:p w14:paraId="232BDE54">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6、根据磋商小组的要求介绍政府采购相关政策法规、磋商文件;</w:t>
      </w:r>
    </w:p>
    <w:p w14:paraId="1DC2A8B1">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14:paraId="6FF4EFC9">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8、核对评审结果;</w:t>
      </w:r>
    </w:p>
    <w:p w14:paraId="6E18FC1F">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9、评审工作完成后，按照规定向评审专家支付劳务报酬和异地评审差旅费，不得向评审专家以外的其他人员支付评审劳务报酬;</w:t>
      </w:r>
    </w:p>
    <w:p w14:paraId="2715C815">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10、处理与评审有关的其他事项。</w:t>
      </w:r>
    </w:p>
    <w:p w14:paraId="7BAB92A4">
      <w:pPr>
        <w:pStyle w:val="20"/>
        <w:pageBreakBefore w:val="0"/>
        <w:widowControl/>
        <w:kinsoku/>
        <w:overflowPunct/>
        <w:topLinePunct w:val="0"/>
        <w:autoSpaceDE/>
        <w:autoSpaceDN/>
        <w:bidi w:val="0"/>
        <w:adjustRightInd/>
        <w:snapToGrid/>
        <w:spacing w:beforeAutospacing="0" w:afterAutospacing="0"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shd w:val="clear" w:color="auto" w:fill="FFFFFF"/>
        </w:rPr>
        <w:t>采购人可以在评审前说明项目背景和采购需求，说明内容不得含有歧视性、倾向性意见，不得超出磋商文件所述范围。说明应当提交书面材料，并随</w:t>
      </w:r>
      <w:r>
        <w:rPr>
          <w:rFonts w:hint="default" w:ascii="Times New Roman" w:hAnsi="Times New Roman" w:eastAsia="仿宋_GB2312" w:cs="Times New Roman"/>
          <w:color w:val="auto"/>
          <w:sz w:val="28"/>
          <w:szCs w:val="28"/>
          <w:shd w:val="clear" w:color="auto" w:fill="FFFFFF"/>
          <w:lang w:eastAsia="zh-CN"/>
        </w:rPr>
        <w:t>磋商文件</w:t>
      </w:r>
      <w:r>
        <w:rPr>
          <w:rFonts w:hint="default" w:ascii="Times New Roman" w:hAnsi="Times New Roman" w:eastAsia="仿宋_GB2312" w:cs="Times New Roman"/>
          <w:color w:val="auto"/>
          <w:sz w:val="28"/>
          <w:szCs w:val="28"/>
          <w:shd w:val="clear" w:color="auto" w:fill="FFFFFF"/>
        </w:rPr>
        <w:t>一并存档。</w:t>
      </w:r>
      <w:bookmarkEnd w:id="109"/>
    </w:p>
    <w:p w14:paraId="3A9D5DBF">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color w:val="auto"/>
          <w:sz w:val="28"/>
          <w:szCs w:val="28"/>
        </w:rPr>
      </w:pPr>
      <w:bookmarkStart w:id="110" w:name="_Toc4079_WPSOffice_Level3"/>
      <w:r>
        <w:rPr>
          <w:rFonts w:hint="default" w:ascii="Times New Roman" w:hAnsi="Times New Roman" w:eastAsia="仿宋_GB2312" w:cs="Times New Roman"/>
          <w:b/>
          <w:color w:val="auto"/>
          <w:sz w:val="28"/>
          <w:szCs w:val="28"/>
        </w:rPr>
        <w:t>（四）评审方法：综合评分法</w:t>
      </w:r>
      <w:bookmarkEnd w:id="110"/>
    </w:p>
    <w:p w14:paraId="3D89A96E">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综合评分法，是指响应文件满足磋商文件全部实质性要求且按评审因 素的量化指标评审得分最高的供应商为成交候选供应商的评审方法。</w:t>
      </w:r>
    </w:p>
    <w:p w14:paraId="5D823A45">
      <w:pPr>
        <w:pageBreakBefore w:val="0"/>
        <w:widowControl/>
        <w:kinsoku/>
        <w:overflowPunct/>
        <w:topLinePunct w:val="0"/>
        <w:autoSpaceDE/>
        <w:autoSpaceDN/>
        <w:bidi w:val="0"/>
        <w:adjustRightInd/>
        <w:snapToGrid/>
        <w:spacing w:line="500" w:lineRule="exact"/>
        <w:ind w:left="567"/>
        <w:textAlignment w:val="auto"/>
        <w:rPr>
          <w:rFonts w:hint="default" w:ascii="Times New Roman" w:hAnsi="Times New Roman" w:eastAsia="仿宋_GB2312" w:cs="Times New Roman"/>
          <w:color w:val="auto"/>
          <w:sz w:val="28"/>
          <w:szCs w:val="28"/>
        </w:rPr>
      </w:pPr>
      <w:bookmarkStart w:id="111" w:name="_Toc25396_WPSOffice_Level3"/>
      <w:r>
        <w:rPr>
          <w:rFonts w:hint="default" w:ascii="Times New Roman" w:hAnsi="Times New Roman" w:eastAsia="仿宋_GB2312" w:cs="Times New Roman"/>
          <w:b/>
          <w:color w:val="auto"/>
          <w:sz w:val="28"/>
          <w:szCs w:val="28"/>
        </w:rPr>
        <w:t>（五）评审程序</w:t>
      </w:r>
      <w:bookmarkEnd w:id="111"/>
    </w:p>
    <w:p w14:paraId="12DA0F5E">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分步评审，每一步评审不符合磋商文件要求者，不得进入下一步评审，全部评审合格的供应商，进入最后的打分，最后按得分由高向低排序，推荐成交候选供应商。</w:t>
      </w:r>
    </w:p>
    <w:p w14:paraId="53EFB1A4">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1、资格性审查</w:t>
      </w:r>
    </w:p>
    <w:p w14:paraId="4414A450">
      <w:pPr>
        <w:pageBreakBefore w:val="0"/>
        <w:widowControl/>
        <w:kinsoku/>
        <w:overflowPunct/>
        <w:topLinePunct w:val="0"/>
        <w:autoSpaceDE/>
        <w:autoSpaceDN/>
        <w:bidi w:val="0"/>
        <w:adjustRightInd/>
        <w:snapToGrid/>
        <w:spacing w:after="190" w:afterLines="50"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响应文件开启</w:t>
      </w:r>
      <w:r>
        <w:rPr>
          <w:rFonts w:hint="default" w:ascii="Times New Roman" w:hAnsi="Times New Roman" w:eastAsia="仿宋_GB2312" w:cs="Times New Roman"/>
          <w:color w:val="auto"/>
          <w:sz w:val="28"/>
          <w:szCs w:val="28"/>
        </w:rPr>
        <w:t>结束后，磋商小组依据法律法规和磋商文件的规定，对响应文件中的供应商资格证明文件进行审查，以确定供应商是否具备磋商资格。</w:t>
      </w:r>
    </w:p>
    <w:p w14:paraId="7A323B62">
      <w:pP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br w:type="page"/>
      </w:r>
    </w:p>
    <w:p w14:paraId="309638B4">
      <w:pPr>
        <w:pageBreakBefore w:val="0"/>
        <w:kinsoku/>
        <w:overflowPunct/>
        <w:topLinePunct w:val="0"/>
        <w:bidi w:val="0"/>
        <w:spacing w:line="500" w:lineRule="exact"/>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资格审查表</w:t>
      </w:r>
    </w:p>
    <w:tbl>
      <w:tblPr>
        <w:tblStyle w:val="24"/>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858"/>
        <w:gridCol w:w="5152"/>
        <w:gridCol w:w="548"/>
        <w:gridCol w:w="1102"/>
      </w:tblGrid>
      <w:tr w14:paraId="777A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551" w:type="dxa"/>
            <w:vAlign w:val="center"/>
          </w:tcPr>
          <w:p w14:paraId="286567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序号</w:t>
            </w:r>
          </w:p>
        </w:tc>
        <w:tc>
          <w:tcPr>
            <w:tcW w:w="1858" w:type="dxa"/>
            <w:vAlign w:val="center"/>
          </w:tcPr>
          <w:p w14:paraId="76E9B5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color w:val="auto"/>
                <w:kern w:val="28"/>
                <w:sz w:val="24"/>
                <w:szCs w:val="24"/>
              </w:rPr>
            </w:pPr>
            <w:r>
              <w:rPr>
                <w:rFonts w:hint="default" w:ascii="Times New Roman" w:hAnsi="Times New Roman" w:eastAsia="仿宋_GB2312" w:cs="Times New Roman"/>
                <w:b/>
                <w:color w:val="auto"/>
                <w:kern w:val="28"/>
                <w:sz w:val="24"/>
                <w:szCs w:val="24"/>
              </w:rPr>
              <w:t>资格审查项</w:t>
            </w:r>
          </w:p>
        </w:tc>
        <w:tc>
          <w:tcPr>
            <w:tcW w:w="5152" w:type="dxa"/>
            <w:vAlign w:val="center"/>
          </w:tcPr>
          <w:p w14:paraId="126C90B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color w:val="auto"/>
                <w:kern w:val="28"/>
                <w:sz w:val="24"/>
                <w:szCs w:val="24"/>
              </w:rPr>
            </w:pPr>
            <w:r>
              <w:rPr>
                <w:rFonts w:hint="default" w:ascii="Times New Roman" w:hAnsi="Times New Roman" w:eastAsia="仿宋_GB2312" w:cs="Times New Roman"/>
                <w:b/>
                <w:color w:val="auto"/>
                <w:kern w:val="28"/>
                <w:sz w:val="24"/>
                <w:szCs w:val="24"/>
              </w:rPr>
              <w:t>通过条件</w:t>
            </w:r>
          </w:p>
        </w:tc>
        <w:tc>
          <w:tcPr>
            <w:tcW w:w="548" w:type="dxa"/>
            <w:vAlign w:val="center"/>
          </w:tcPr>
          <w:p w14:paraId="0D5073BA">
            <w:pPr>
              <w:keepNext w:val="0"/>
              <w:keepLines w:val="0"/>
              <w:pageBreakBefore w:val="0"/>
              <w:widowControl/>
              <w:kinsoku/>
              <w:wordWrap/>
              <w:overflowPunct/>
              <w:topLinePunct w:val="0"/>
              <w:autoSpaceDE/>
              <w:autoSpaceDN/>
              <w:bidi w:val="0"/>
              <w:adjustRightInd/>
              <w:snapToGrid/>
              <w:spacing w:before="40" w:after="40" w:line="280" w:lineRule="exact"/>
              <w:jc w:val="center"/>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结论</w:t>
            </w:r>
          </w:p>
        </w:tc>
        <w:tc>
          <w:tcPr>
            <w:tcW w:w="1102" w:type="dxa"/>
            <w:vAlign w:val="center"/>
          </w:tcPr>
          <w:p w14:paraId="03C18023">
            <w:pPr>
              <w:keepNext w:val="0"/>
              <w:keepLines w:val="0"/>
              <w:pageBreakBefore w:val="0"/>
              <w:widowControl/>
              <w:kinsoku/>
              <w:wordWrap/>
              <w:overflowPunct/>
              <w:topLinePunct w:val="0"/>
              <w:autoSpaceDE/>
              <w:autoSpaceDN/>
              <w:bidi w:val="0"/>
              <w:adjustRightInd/>
              <w:snapToGrid/>
              <w:spacing w:before="40" w:after="40" w:line="280" w:lineRule="exact"/>
              <w:jc w:val="center"/>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不通过原因</w:t>
            </w:r>
          </w:p>
        </w:tc>
      </w:tr>
      <w:tr w14:paraId="60B4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551" w:type="dxa"/>
            <w:vAlign w:val="center"/>
          </w:tcPr>
          <w:p w14:paraId="4E8257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1</w:t>
            </w:r>
          </w:p>
        </w:tc>
        <w:tc>
          <w:tcPr>
            <w:tcW w:w="1858" w:type="dxa"/>
            <w:vAlign w:val="center"/>
          </w:tcPr>
          <w:p w14:paraId="345F570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kern w:val="28"/>
                <w:sz w:val="24"/>
                <w:szCs w:val="24"/>
              </w:rPr>
            </w:pPr>
            <w:r>
              <w:rPr>
                <w:rFonts w:hint="default" w:ascii="Times New Roman" w:hAnsi="Times New Roman" w:eastAsia="仿宋_GB2312" w:cs="Times New Roman"/>
                <w:color w:val="auto"/>
                <w:kern w:val="28"/>
                <w:sz w:val="24"/>
                <w:szCs w:val="24"/>
              </w:rPr>
              <w:t>营业执照等主体资格证明文件</w:t>
            </w:r>
          </w:p>
        </w:tc>
        <w:tc>
          <w:tcPr>
            <w:tcW w:w="5152" w:type="dxa"/>
            <w:vAlign w:val="center"/>
          </w:tcPr>
          <w:p w14:paraId="68D6AF5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kern w:val="28"/>
                <w:sz w:val="24"/>
                <w:szCs w:val="24"/>
              </w:rPr>
            </w:pPr>
            <w:r>
              <w:rPr>
                <w:rFonts w:hint="default" w:ascii="Times New Roman" w:hAnsi="Times New Roman" w:eastAsia="仿宋_GB2312" w:cs="Times New Roman"/>
                <w:color w:val="auto"/>
                <w:kern w:val="28"/>
                <w:sz w:val="24"/>
                <w:szCs w:val="24"/>
              </w:rPr>
              <w:t>提供有效存续的企业营业执照（副本）/事业单位法人证书/专业服务机构执业许可证/民办非企业单位登记证书。</w:t>
            </w:r>
          </w:p>
        </w:tc>
        <w:tc>
          <w:tcPr>
            <w:tcW w:w="548" w:type="dxa"/>
            <w:vAlign w:val="center"/>
          </w:tcPr>
          <w:p w14:paraId="1881CC78">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568BBE95">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7F63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551" w:type="dxa"/>
            <w:vAlign w:val="center"/>
          </w:tcPr>
          <w:p w14:paraId="71F4AF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lang w:eastAsia="zh-CN"/>
              </w:rPr>
            </w:pPr>
            <w:r>
              <w:rPr>
                <w:rFonts w:hint="default" w:ascii="Times New Roman" w:hAnsi="Times New Roman" w:eastAsia="仿宋_GB2312" w:cs="Times New Roman"/>
                <w:bCs/>
                <w:color w:val="auto"/>
                <w:sz w:val="24"/>
                <w:szCs w:val="24"/>
                <w:lang w:val="en-US" w:eastAsia="zh-CN"/>
              </w:rPr>
              <w:t>2</w:t>
            </w:r>
          </w:p>
        </w:tc>
        <w:tc>
          <w:tcPr>
            <w:tcW w:w="1858" w:type="dxa"/>
            <w:vAlign w:val="center"/>
          </w:tcPr>
          <w:p w14:paraId="48397F8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kern w:val="28"/>
                <w:sz w:val="24"/>
                <w:szCs w:val="24"/>
              </w:rPr>
            </w:pPr>
            <w:r>
              <w:rPr>
                <w:rFonts w:hint="default" w:ascii="Times New Roman" w:hAnsi="Times New Roman" w:eastAsia="仿宋_GB2312" w:cs="Times New Roman"/>
                <w:color w:val="auto"/>
                <w:kern w:val="28"/>
                <w:sz w:val="24"/>
                <w:szCs w:val="24"/>
              </w:rPr>
              <w:t>法定代表人授权委托书</w:t>
            </w:r>
          </w:p>
        </w:tc>
        <w:tc>
          <w:tcPr>
            <w:tcW w:w="5152" w:type="dxa"/>
            <w:vAlign w:val="center"/>
          </w:tcPr>
          <w:p w14:paraId="52458C4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8"/>
                <w:sz w:val="24"/>
                <w:szCs w:val="24"/>
              </w:rPr>
            </w:pPr>
            <w:r>
              <w:rPr>
                <w:rFonts w:hint="default" w:ascii="Times New Roman" w:hAnsi="Times New Roman" w:eastAsia="仿宋_GB2312" w:cs="Times New Roman"/>
                <w:color w:val="auto"/>
                <w:kern w:val="28"/>
                <w:sz w:val="24"/>
                <w:szCs w:val="24"/>
              </w:rPr>
              <w:t>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w:t>
            </w:r>
            <w:r>
              <w:rPr>
                <w:rFonts w:hint="eastAsia" w:ascii="仿宋_GB2312" w:hAnsi="仿宋_GB2312" w:eastAsia="仿宋_GB2312" w:cs="仿宋_GB2312"/>
                <w:color w:val="auto"/>
                <w:kern w:val="28"/>
                <w:sz w:val="24"/>
                <w:szCs w:val="24"/>
              </w:rPr>
              <w:t>式填写）</w:t>
            </w:r>
            <w:r>
              <w:rPr>
                <w:rFonts w:hint="eastAsia" w:ascii="仿宋_GB2312" w:hAnsi="仿宋_GB2312" w:eastAsia="仿宋_GB2312" w:cs="仿宋_GB2312"/>
                <w:color w:val="auto"/>
                <w:kern w:val="0"/>
                <w:sz w:val="24"/>
                <w:szCs w:val="24"/>
                <w:lang w:val="en-US" w:eastAsia="zh-CN" w:bidi="ar"/>
              </w:rPr>
              <w:t>法人的分支机构参与投标时，除提供《法定代表人授权委托书》外，还须同时提供法人给分支机构出具的授权书。</w:t>
            </w:r>
          </w:p>
        </w:tc>
        <w:tc>
          <w:tcPr>
            <w:tcW w:w="548" w:type="dxa"/>
            <w:vAlign w:val="center"/>
          </w:tcPr>
          <w:p w14:paraId="31FB7F6E">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217186DA">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7368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51" w:type="dxa"/>
            <w:vAlign w:val="center"/>
          </w:tcPr>
          <w:p w14:paraId="6B047C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3</w:t>
            </w:r>
          </w:p>
        </w:tc>
        <w:tc>
          <w:tcPr>
            <w:tcW w:w="1858" w:type="dxa"/>
            <w:vAlign w:val="center"/>
          </w:tcPr>
          <w:p w14:paraId="06B5200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kern w:val="28"/>
                <w:sz w:val="24"/>
                <w:szCs w:val="24"/>
              </w:rPr>
            </w:pPr>
            <w:r>
              <w:rPr>
                <w:rFonts w:hint="default" w:ascii="Times New Roman" w:hAnsi="Times New Roman" w:eastAsia="仿宋_GB2312" w:cs="Times New Roman"/>
                <w:color w:val="auto"/>
                <w:sz w:val="24"/>
                <w:szCs w:val="24"/>
                <w:lang w:val="en-US" w:eastAsia="zh-CN"/>
              </w:rPr>
              <w:t>资格承诺函</w:t>
            </w:r>
          </w:p>
        </w:tc>
        <w:tc>
          <w:tcPr>
            <w:tcW w:w="5152" w:type="dxa"/>
            <w:vAlign w:val="center"/>
          </w:tcPr>
          <w:p w14:paraId="0B8E40A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kern w:val="28"/>
                <w:sz w:val="24"/>
                <w:szCs w:val="24"/>
              </w:rPr>
            </w:pPr>
            <w:r>
              <w:rPr>
                <w:rFonts w:hint="default" w:ascii="Times New Roman" w:hAnsi="Times New Roman" w:eastAsia="仿宋_GB2312" w:cs="Times New Roman"/>
                <w:color w:val="auto"/>
                <w:sz w:val="24"/>
                <w:szCs w:val="24"/>
                <w:lang w:val="en-US" w:eastAsia="zh-CN"/>
              </w:rPr>
              <w:t>提供《汉台区政府采购供应商资格承诺函》。（按第五章格式填写）</w:t>
            </w:r>
          </w:p>
        </w:tc>
        <w:tc>
          <w:tcPr>
            <w:tcW w:w="548" w:type="dxa"/>
            <w:vAlign w:val="center"/>
          </w:tcPr>
          <w:p w14:paraId="3A18ACD1">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1A86D6A1">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38DE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51" w:type="dxa"/>
            <w:vMerge w:val="restart"/>
            <w:vAlign w:val="center"/>
          </w:tcPr>
          <w:p w14:paraId="1F8C27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4</w:t>
            </w:r>
          </w:p>
        </w:tc>
        <w:tc>
          <w:tcPr>
            <w:tcW w:w="1858" w:type="dxa"/>
            <w:vAlign w:val="center"/>
          </w:tcPr>
          <w:p w14:paraId="7560BFF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资质证书</w:t>
            </w:r>
          </w:p>
        </w:tc>
        <w:tc>
          <w:tcPr>
            <w:tcW w:w="5152" w:type="dxa"/>
            <w:vAlign w:val="center"/>
          </w:tcPr>
          <w:p w14:paraId="5AE5FF2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lang w:val="en-US" w:eastAsia="zh-CN" w:bidi="ar"/>
              </w:rPr>
              <w:t>提供公安机关颁发的保安服务许可证。</w:t>
            </w:r>
          </w:p>
        </w:tc>
        <w:tc>
          <w:tcPr>
            <w:tcW w:w="548" w:type="dxa"/>
            <w:vAlign w:val="center"/>
          </w:tcPr>
          <w:p w14:paraId="3DF5B85E">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751718D4">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0FE0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551" w:type="dxa"/>
            <w:vMerge w:val="continue"/>
            <w:vAlign w:val="center"/>
          </w:tcPr>
          <w:p w14:paraId="3FCBD0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lang w:val="en-US" w:eastAsia="zh-CN"/>
              </w:rPr>
            </w:pPr>
          </w:p>
        </w:tc>
        <w:tc>
          <w:tcPr>
            <w:tcW w:w="1858" w:type="dxa"/>
            <w:vAlign w:val="center"/>
          </w:tcPr>
          <w:p w14:paraId="612B043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资质证书</w:t>
            </w:r>
          </w:p>
        </w:tc>
        <w:tc>
          <w:tcPr>
            <w:tcW w:w="5152" w:type="dxa"/>
            <w:vAlign w:val="center"/>
          </w:tcPr>
          <w:p w14:paraId="4C88827F">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lang w:val="en-US" w:eastAsia="zh-CN" w:bidi="ar"/>
              </w:rPr>
              <w:t>响应供应商须提供拟派人员无犯罪记录声明。(格式自拟）</w:t>
            </w:r>
          </w:p>
        </w:tc>
        <w:tc>
          <w:tcPr>
            <w:tcW w:w="548" w:type="dxa"/>
            <w:vAlign w:val="center"/>
          </w:tcPr>
          <w:p w14:paraId="3CA53577">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777D0C94">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5081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51" w:type="dxa"/>
            <w:vAlign w:val="center"/>
          </w:tcPr>
          <w:p w14:paraId="73E5D2A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5</w:t>
            </w:r>
          </w:p>
        </w:tc>
        <w:tc>
          <w:tcPr>
            <w:tcW w:w="1858" w:type="dxa"/>
            <w:vAlign w:val="center"/>
          </w:tcPr>
          <w:p w14:paraId="546D4A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kern w:val="0"/>
                <w:sz w:val="24"/>
                <w:szCs w:val="24"/>
                <w:lang w:val="en-US" w:eastAsia="zh-CN" w:bidi="ar"/>
              </w:rPr>
              <w:t>本项目不接受联合体响应，不允许分包</w:t>
            </w:r>
          </w:p>
        </w:tc>
        <w:tc>
          <w:tcPr>
            <w:tcW w:w="5152" w:type="dxa"/>
            <w:vAlign w:val="center"/>
          </w:tcPr>
          <w:p w14:paraId="5DC2151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供应商提供《非联合体不分包投标声明》，视为独立响应，不分包。</w:t>
            </w:r>
          </w:p>
        </w:tc>
        <w:tc>
          <w:tcPr>
            <w:tcW w:w="548" w:type="dxa"/>
            <w:vAlign w:val="center"/>
          </w:tcPr>
          <w:p w14:paraId="1A54595B">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1A41A82F">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0B35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551" w:type="dxa"/>
            <w:vAlign w:val="center"/>
          </w:tcPr>
          <w:p w14:paraId="6D7CF8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6</w:t>
            </w:r>
          </w:p>
        </w:tc>
        <w:tc>
          <w:tcPr>
            <w:tcW w:w="1858" w:type="dxa"/>
            <w:vAlign w:val="center"/>
          </w:tcPr>
          <w:p w14:paraId="59D7E79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kern w:val="28"/>
                <w:sz w:val="24"/>
                <w:szCs w:val="24"/>
                <w:highlight w:val="none"/>
              </w:rPr>
            </w:pPr>
            <w:r>
              <w:rPr>
                <w:rFonts w:hint="default" w:ascii="Times New Roman" w:hAnsi="Times New Roman" w:eastAsia="仿宋_GB2312" w:cs="Times New Roman"/>
                <w:color w:val="auto"/>
                <w:kern w:val="28"/>
                <w:sz w:val="24"/>
                <w:szCs w:val="24"/>
                <w:highlight w:val="none"/>
              </w:rPr>
              <w:t>落实政府采购政策需满足的资格要求</w:t>
            </w:r>
          </w:p>
        </w:tc>
        <w:tc>
          <w:tcPr>
            <w:tcW w:w="5152" w:type="dxa"/>
            <w:vAlign w:val="center"/>
          </w:tcPr>
          <w:p w14:paraId="6EC6B07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本项目专门面向中小企业采购，供应商应为中小微企业，磋商时须提供《中小企业声明函》（按第五章格式填写）。本项目采购标的对应的中小企业划分标准所属行业为：</w:t>
            </w:r>
            <w:r>
              <w:rPr>
                <w:rFonts w:hint="default" w:ascii="Times New Roman" w:hAnsi="Times New Roman" w:eastAsia="仿宋_GB2312" w:cs="Times New Roman"/>
                <w:b/>
                <w:bCs w:val="0"/>
                <w:color w:val="auto"/>
                <w:kern w:val="2"/>
                <w:sz w:val="24"/>
                <w:szCs w:val="24"/>
                <w:u w:val="none"/>
                <w:lang w:val="en-US" w:eastAsia="zh-CN" w:bidi="ar-SA"/>
              </w:rPr>
              <w:t>租赁和商务服务业</w:t>
            </w:r>
            <w:r>
              <w:rPr>
                <w:rFonts w:hint="default" w:ascii="Times New Roman" w:hAnsi="Times New Roman" w:eastAsia="仿宋_GB2312" w:cs="Times New Roman"/>
                <w:color w:val="auto"/>
                <w:sz w:val="24"/>
                <w:szCs w:val="24"/>
                <w:highlight w:val="none"/>
              </w:rPr>
              <w:t>。</w:t>
            </w:r>
          </w:p>
        </w:tc>
        <w:tc>
          <w:tcPr>
            <w:tcW w:w="548" w:type="dxa"/>
            <w:vAlign w:val="center"/>
          </w:tcPr>
          <w:p w14:paraId="0D8E112E">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c>
          <w:tcPr>
            <w:tcW w:w="1102" w:type="dxa"/>
            <w:vAlign w:val="center"/>
          </w:tcPr>
          <w:p w14:paraId="46862A9A">
            <w:pPr>
              <w:keepNext w:val="0"/>
              <w:keepLines w:val="0"/>
              <w:pageBreakBefore w:val="0"/>
              <w:widowControl/>
              <w:kinsoku/>
              <w:wordWrap/>
              <w:overflowPunct/>
              <w:topLinePunct w:val="0"/>
              <w:autoSpaceDE/>
              <w:autoSpaceDN/>
              <w:bidi w:val="0"/>
              <w:adjustRightInd/>
              <w:snapToGrid/>
              <w:spacing w:before="40" w:after="40" w:line="280" w:lineRule="exact"/>
              <w:textAlignment w:val="auto"/>
              <w:rPr>
                <w:rFonts w:hint="default" w:ascii="Times New Roman" w:hAnsi="Times New Roman" w:eastAsia="仿宋_GB2312" w:cs="Times New Roman"/>
                <w:b/>
                <w:color w:val="auto"/>
                <w:sz w:val="24"/>
                <w:szCs w:val="24"/>
              </w:rPr>
            </w:pPr>
          </w:p>
        </w:tc>
      </w:tr>
      <w:tr w14:paraId="449D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9211" w:type="dxa"/>
            <w:gridSpan w:val="5"/>
            <w:vAlign w:val="center"/>
          </w:tcPr>
          <w:p w14:paraId="65D86C5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bCs/>
                <w:color w:val="auto"/>
                <w:kern w:val="0"/>
                <w:sz w:val="24"/>
                <w:szCs w:val="24"/>
              </w:rPr>
              <w:t>磋商小组成员：（签字或盖章）</w:t>
            </w:r>
          </w:p>
        </w:tc>
      </w:tr>
    </w:tbl>
    <w:p w14:paraId="2A904972">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bCs w:val="0"/>
          <w:color w:val="auto"/>
          <w:kern w:val="2"/>
          <w:sz w:val="28"/>
          <w:szCs w:val="28"/>
          <w:u w:val="none"/>
          <w:lang w:val="en-US" w:eastAsia="zh-CN" w:bidi="ar-SA"/>
        </w:rPr>
      </w:pPr>
      <w:r>
        <w:rPr>
          <w:rFonts w:hint="default" w:ascii="Times New Roman" w:hAnsi="Times New Roman" w:eastAsia="仿宋_GB2312" w:cs="Times New Roman"/>
          <w:b/>
          <w:bCs w:val="0"/>
          <w:color w:val="auto"/>
          <w:kern w:val="2"/>
          <w:sz w:val="28"/>
          <w:szCs w:val="28"/>
          <w:u w:val="none"/>
          <w:lang w:val="en-US" w:eastAsia="zh-CN" w:bidi="ar-SA"/>
        </w:rPr>
        <w:t>注：1、响应人按要求单独封装一套完整的上述资格证明文件，以备审核。</w:t>
      </w:r>
    </w:p>
    <w:p w14:paraId="654E201B">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val="0"/>
          <w:bCs/>
          <w:color w:val="auto"/>
          <w:kern w:val="2"/>
          <w:sz w:val="28"/>
          <w:szCs w:val="28"/>
          <w:u w:val="none"/>
          <w:lang w:val="en-US" w:eastAsia="zh-CN" w:bidi="ar-SA"/>
        </w:rPr>
      </w:pPr>
      <w:r>
        <w:rPr>
          <w:rFonts w:hint="default" w:ascii="Times New Roman" w:hAnsi="Times New Roman" w:eastAsia="仿宋_GB2312" w:cs="Times New Roman"/>
          <w:b w:val="0"/>
          <w:bCs/>
          <w:color w:val="auto"/>
          <w:kern w:val="2"/>
          <w:sz w:val="28"/>
          <w:szCs w:val="28"/>
          <w:u w:val="none"/>
          <w:lang w:val="en-US" w:eastAsia="zh-CN" w:bidi="ar-SA"/>
        </w:rPr>
        <w:t>2、磋商响应文件正、副本内均需提供上列资格证明文件复印件（法定代表人授权书须将1份原件装订于正本内），并加盖磋商供应商红色公章。</w:t>
      </w:r>
    </w:p>
    <w:p w14:paraId="4CFBCF99">
      <w:pPr>
        <w:keepNext w:val="0"/>
        <w:keepLines w:val="0"/>
        <w:pageBreakBefore w:val="0"/>
        <w:kinsoku/>
        <w:wordWrap/>
        <w:overflowPunct/>
        <w:topLinePunct w:val="0"/>
        <w:autoSpaceDE/>
        <w:autoSpaceDN/>
        <w:bidi w:val="0"/>
        <w:adjustRightInd/>
        <w:spacing w:line="500" w:lineRule="exact"/>
        <w:textAlignment w:val="auto"/>
        <w:rPr>
          <w:rFonts w:hint="default" w:ascii="Times New Roman" w:hAnsi="Times New Roman" w:eastAsia="仿宋_GB2312" w:cs="Times New Roman"/>
          <w:b/>
          <w:bCs/>
          <w:color w:val="auto"/>
          <w:sz w:val="28"/>
          <w:szCs w:val="28"/>
        </w:rPr>
      </w:pPr>
    </w:p>
    <w:p w14:paraId="4AA53532">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default" w:ascii="Times New Roman" w:hAnsi="Times New Roman" w:eastAsia="仿宋_GB2312" w:cs="Times New Roman"/>
          <w:b/>
          <w:bCs/>
          <w:color w:val="auto"/>
          <w:sz w:val="28"/>
          <w:szCs w:val="28"/>
        </w:rPr>
      </w:pPr>
    </w:p>
    <w:p w14:paraId="72370154">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出现下列情形的，响应文件将被视为无效：</w:t>
      </w:r>
    </w:p>
    <w:p w14:paraId="0F7CAC3A">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（1）不具备磋商文件中规定的资格要求的；</w:t>
      </w:r>
    </w:p>
    <w:p w14:paraId="1F360E65">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（2）未按磋商文件要求提供资格证明文件原件，或未按磋商文件要求加盖公章的；</w:t>
      </w:r>
    </w:p>
    <w:p w14:paraId="7A670285">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（3）磋商小组认为供应商的资格证明文件存在疑点，要求供应商现场提供原件，供应商不能在规定时限内提供原件或其所提供的原件无法证实响应文件所附证明文件有效性的。</w:t>
      </w:r>
    </w:p>
    <w:p w14:paraId="0311D6B0">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资格审查结束后，磋商小组成员应当对审查结果进行签字确认，并告知无效投标供应商资格审查未通过的原因。</w:t>
      </w:r>
    </w:p>
    <w:p w14:paraId="50B726BE">
      <w:pPr>
        <w:keepNext w:val="0"/>
        <w:keepLines w:val="0"/>
        <w:widowControl/>
        <w:suppressLineNumbers w:val="0"/>
        <w:ind w:firstLine="283" w:firstLineChars="100"/>
        <w:jc w:val="lef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b/>
          <w:bCs/>
          <w:color w:val="auto"/>
          <w:sz w:val="28"/>
          <w:szCs w:val="28"/>
          <w:lang w:val="en-US" w:eastAsia="zh-CN"/>
        </w:rPr>
        <w:t>通过资格审查的供应商不足3家的，不得进行符合性审查，应予以废标。</w:t>
      </w:r>
    </w:p>
    <w:p w14:paraId="30319755">
      <w:pPr>
        <w:keepNext w:val="0"/>
        <w:keepLines w:val="0"/>
        <w:pageBreakBefore w:val="0"/>
        <w:numPr>
          <w:ilvl w:val="0"/>
          <w:numId w:val="6"/>
        </w:numPr>
        <w:kinsoku/>
        <w:wordWrap/>
        <w:overflowPunct/>
        <w:topLinePunct w:val="0"/>
        <w:autoSpaceDE/>
        <w:autoSpaceDN/>
        <w:bidi w:val="0"/>
        <w:adjustRightInd/>
        <w:spacing w:line="500" w:lineRule="exact"/>
        <w:ind w:firstLine="566" w:firstLineChars="200"/>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报价要求</w:t>
      </w:r>
    </w:p>
    <w:p w14:paraId="680E05F3">
      <w:pPr>
        <w:pageBreakBefore w:val="0"/>
        <w:widowControl/>
        <w:kinsoku/>
        <w:overflowPunct/>
        <w:topLinePunct w:val="0"/>
        <w:autoSpaceDE/>
        <w:autoSpaceDN/>
        <w:bidi w:val="0"/>
        <w:adjustRightInd/>
        <w:snapToGrid/>
        <w:spacing w:after="190" w:afterLines="50" w:line="240" w:lineRule="auto"/>
        <w:ind w:firstLine="566" w:firstLineChars="200"/>
        <w:jc w:val="lef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8"/>
          <w:szCs w:val="28"/>
          <w:lang w:val="en-US" w:eastAsia="zh-CN"/>
        </w:rPr>
        <w:t>磋商报价是供应商响应采购项目要求的全部工作内容的价格体现，包括完成采购内容所需的直接费、间接费、利润、税金及其它相关的一切费用。供应商在报价时应充分考虑所有可能发生的费用，</w:t>
      </w:r>
      <w:r>
        <w:rPr>
          <w:rFonts w:hint="default" w:ascii="Times New Roman" w:hAnsi="Times New Roman" w:eastAsia="仿宋_GB2312" w:cs="Times New Roman"/>
          <w:color w:val="auto"/>
          <w:sz w:val="28"/>
          <w:szCs w:val="28"/>
          <w:lang w:val="zh-CN" w:eastAsia="zh-CN"/>
        </w:rPr>
        <w:t>磋商</w:t>
      </w:r>
      <w:r>
        <w:rPr>
          <w:rFonts w:hint="default" w:ascii="Times New Roman" w:hAnsi="Times New Roman" w:eastAsia="仿宋_GB2312" w:cs="Times New Roman"/>
          <w:color w:val="auto"/>
          <w:sz w:val="28"/>
          <w:szCs w:val="28"/>
          <w:lang w:val="en-US" w:eastAsia="zh-CN"/>
        </w:rPr>
        <w:t>文件未列明，而供应商认为应当计取的费用均应列入报价中。报价时不论是否计取，采购人均按已计取对待。</w:t>
      </w:r>
    </w:p>
    <w:p w14:paraId="051B7278">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政府采购项目采购竞争性磋商采购方式的，无论是首轮报价、多轮报价，或是最后报价环节均不安排“唱标”。采购人、采购代理机构应依法采取必要措施，保证磋商在严格保密的情况下进行。在磋商过程中，磋商的任何一方不得透露与磋商有关的其他供应商的技术资料、价格和其他信息。</w:t>
      </w:r>
      <w:r>
        <w:rPr>
          <w:rFonts w:hint="default" w:ascii="Times New Roman" w:hAnsi="Times New Roman" w:eastAsia="仿宋_GB2312" w:cs="Times New Roman"/>
          <w:color w:val="auto"/>
          <w:sz w:val="28"/>
          <w:szCs w:val="28"/>
          <w:lang w:eastAsia="zh-CN"/>
        </w:rPr>
        <w:t>法律依据为：根据</w:t>
      </w:r>
      <w:r>
        <w:rPr>
          <w:rFonts w:hint="default" w:ascii="Times New Roman" w:hAnsi="Times New Roman" w:eastAsia="仿宋_GB2312" w:cs="Times New Roman"/>
          <w:color w:val="auto"/>
          <w:sz w:val="28"/>
          <w:szCs w:val="28"/>
        </w:rPr>
        <w:t>《政府采购竞争性磋商采购方式管理暂行办法》第五条 采购人、采购代理机构应当按照政府采购法和本办法的规定组织开展竞争性磋商，并采取必要措施，保证磋商在严格保密的情况下进行。任何单位和个人不得非法干预、影响磋商过程和结果。</w:t>
      </w:r>
    </w:p>
    <w:p w14:paraId="2B2BB5B6">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、响应文件的符合性审查</w:t>
      </w:r>
    </w:p>
    <w:p w14:paraId="4D875D4A">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磋商小组依据磋商文件的规定，对响应文件的有效性、完整性和对磋商文件的响应程度进行审查，以确定是否对磋商文件的全部实质性要求做出响应。</w:t>
      </w:r>
    </w:p>
    <w:p w14:paraId="3837D4F2">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磋商小组要审查每份响应文件是否实质上响应了磋商文件的要求。实质上没有响应磋商文件要求的响应文件作</w:t>
      </w:r>
      <w:r>
        <w:rPr>
          <w:rFonts w:hint="default" w:ascii="Times New Roman" w:hAnsi="Times New Roman" w:eastAsia="仿宋_GB2312" w:cs="Times New Roman"/>
          <w:b/>
          <w:bCs/>
          <w:color w:val="auto"/>
          <w:sz w:val="28"/>
          <w:szCs w:val="28"/>
        </w:rPr>
        <w:t>无效响应处理</w:t>
      </w:r>
      <w:r>
        <w:rPr>
          <w:rFonts w:hint="default" w:ascii="Times New Roman" w:hAnsi="Times New Roman" w:eastAsia="仿宋_GB2312" w:cs="Times New Roman"/>
          <w:color w:val="auto"/>
          <w:sz w:val="28"/>
          <w:szCs w:val="28"/>
        </w:rPr>
        <w:t>，磋商小组要告知有关供应商未通过审查的原因。供应商不得通过修正或撤销不符之处而使其成为实质上响应。</w:t>
      </w:r>
    </w:p>
    <w:p w14:paraId="5F8F4F1C">
      <w:pPr>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br w:type="page"/>
      </w:r>
    </w:p>
    <w:p w14:paraId="191EB8C2">
      <w:pPr>
        <w:pageBreakBefore w:val="0"/>
        <w:kinsoku/>
        <w:overflowPunct/>
        <w:topLinePunct w:val="0"/>
        <w:bidi w:val="0"/>
        <w:spacing w:line="500" w:lineRule="exact"/>
        <w:ind w:firstLine="566" w:firstLineChars="200"/>
        <w:jc w:val="center"/>
        <w:textAlignment w:val="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rPr>
        <w:t>响应文件的符合性审查</w:t>
      </w:r>
      <w:r>
        <w:rPr>
          <w:rFonts w:hint="default" w:ascii="Times New Roman" w:hAnsi="Times New Roman" w:eastAsia="仿宋_GB2312" w:cs="Times New Roman"/>
          <w:b/>
          <w:bCs/>
          <w:color w:val="auto"/>
          <w:sz w:val="28"/>
          <w:szCs w:val="28"/>
          <w:lang w:eastAsia="zh-CN"/>
        </w:rPr>
        <w:t>表</w:t>
      </w:r>
    </w:p>
    <w:tbl>
      <w:tblPr>
        <w:tblStyle w:val="24"/>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83"/>
        <w:gridCol w:w="4335"/>
        <w:gridCol w:w="786"/>
        <w:gridCol w:w="1195"/>
      </w:tblGrid>
      <w:tr w14:paraId="79EE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shd w:val="clear" w:color="auto" w:fill="D9D9D9"/>
            <w:vAlign w:val="center"/>
          </w:tcPr>
          <w:p w14:paraId="6E7177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序号</w:t>
            </w:r>
          </w:p>
        </w:tc>
        <w:tc>
          <w:tcPr>
            <w:tcW w:w="2783" w:type="dxa"/>
            <w:shd w:val="clear" w:color="auto" w:fill="D9D9D9"/>
            <w:vAlign w:val="center"/>
          </w:tcPr>
          <w:p w14:paraId="32213BF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符合性审查项</w:t>
            </w:r>
          </w:p>
        </w:tc>
        <w:tc>
          <w:tcPr>
            <w:tcW w:w="4335" w:type="dxa"/>
            <w:shd w:val="clear" w:color="auto" w:fill="D9D9D9"/>
            <w:vAlign w:val="center"/>
          </w:tcPr>
          <w:p w14:paraId="35A75D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通过条件</w:t>
            </w:r>
          </w:p>
        </w:tc>
        <w:tc>
          <w:tcPr>
            <w:tcW w:w="786" w:type="dxa"/>
            <w:shd w:val="clear" w:color="auto" w:fill="D9D9D9"/>
            <w:vAlign w:val="center"/>
          </w:tcPr>
          <w:p w14:paraId="07F057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结论</w:t>
            </w:r>
          </w:p>
        </w:tc>
        <w:tc>
          <w:tcPr>
            <w:tcW w:w="1195" w:type="dxa"/>
            <w:shd w:val="clear" w:color="auto" w:fill="D9D9D9"/>
            <w:vAlign w:val="center"/>
          </w:tcPr>
          <w:p w14:paraId="49DEE2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未通过原因</w:t>
            </w:r>
          </w:p>
        </w:tc>
      </w:tr>
      <w:tr w14:paraId="1627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48" w:type="dxa"/>
            <w:vAlign w:val="center"/>
          </w:tcPr>
          <w:p w14:paraId="18C09C1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1</w:t>
            </w:r>
          </w:p>
        </w:tc>
        <w:tc>
          <w:tcPr>
            <w:tcW w:w="2783" w:type="dxa"/>
            <w:vAlign w:val="center"/>
          </w:tcPr>
          <w:p w14:paraId="0CB0BAC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响应文件语言及有效期</w:t>
            </w:r>
          </w:p>
        </w:tc>
        <w:tc>
          <w:tcPr>
            <w:tcW w:w="4335" w:type="dxa"/>
            <w:vAlign w:val="center"/>
          </w:tcPr>
          <w:p w14:paraId="61DE5D0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响应文件语言</w:t>
            </w:r>
            <w:r>
              <w:rPr>
                <w:rFonts w:hint="default" w:ascii="Times New Roman" w:hAnsi="Times New Roman" w:eastAsia="仿宋_GB2312" w:cs="Times New Roman"/>
                <w:bCs/>
                <w:color w:val="auto"/>
                <w:kern w:val="0"/>
                <w:sz w:val="24"/>
                <w:szCs w:val="24"/>
              </w:rPr>
              <w:t>及有效期</w:t>
            </w:r>
            <w:r>
              <w:rPr>
                <w:rFonts w:hint="default" w:ascii="Times New Roman" w:hAnsi="Times New Roman" w:eastAsia="仿宋_GB2312" w:cs="Times New Roman"/>
                <w:color w:val="auto"/>
                <w:sz w:val="24"/>
                <w:szCs w:val="24"/>
              </w:rPr>
              <w:t>符合磋商文件要求。</w:t>
            </w:r>
          </w:p>
        </w:tc>
        <w:tc>
          <w:tcPr>
            <w:tcW w:w="786" w:type="dxa"/>
            <w:vAlign w:val="center"/>
          </w:tcPr>
          <w:p w14:paraId="4324B5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1195" w:type="dxa"/>
            <w:vAlign w:val="center"/>
          </w:tcPr>
          <w:p w14:paraId="1056A57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6389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48" w:type="dxa"/>
            <w:vAlign w:val="center"/>
          </w:tcPr>
          <w:p w14:paraId="5E4F46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2</w:t>
            </w:r>
          </w:p>
        </w:tc>
        <w:tc>
          <w:tcPr>
            <w:tcW w:w="2783" w:type="dxa"/>
            <w:vAlign w:val="center"/>
          </w:tcPr>
          <w:p w14:paraId="5C3950A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响应文件封面、响应 函、法定代表人授权 委托书三处的项目名 称、项目编号、标段 （如有）</w:t>
            </w:r>
          </w:p>
        </w:tc>
        <w:tc>
          <w:tcPr>
            <w:tcW w:w="4335" w:type="dxa"/>
            <w:vAlign w:val="center"/>
          </w:tcPr>
          <w:p w14:paraId="5D4F7F5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三处均无遗漏，且与所投项目名称、 项目编号、标段（如有）一致。</w:t>
            </w:r>
          </w:p>
        </w:tc>
        <w:tc>
          <w:tcPr>
            <w:tcW w:w="786" w:type="dxa"/>
            <w:vAlign w:val="center"/>
          </w:tcPr>
          <w:p w14:paraId="3CB269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1195" w:type="dxa"/>
            <w:vAlign w:val="center"/>
          </w:tcPr>
          <w:p w14:paraId="0090DC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7D27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14:paraId="095BC5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rPr>
            </w:pPr>
            <w:r>
              <w:rPr>
                <w:rFonts w:hint="default" w:ascii="Times New Roman" w:hAnsi="Times New Roman" w:eastAsia="仿宋_GB2312" w:cs="Times New Roman"/>
                <w:bCs/>
                <w:color w:val="auto"/>
                <w:kern w:val="0"/>
                <w:sz w:val="28"/>
                <w:szCs w:val="28"/>
              </w:rPr>
              <w:t>3</w:t>
            </w:r>
          </w:p>
        </w:tc>
        <w:tc>
          <w:tcPr>
            <w:tcW w:w="2783" w:type="dxa"/>
            <w:vAlign w:val="center"/>
          </w:tcPr>
          <w:p w14:paraId="3E4F1E3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响应文件签署、盖章</w:t>
            </w:r>
          </w:p>
        </w:tc>
        <w:tc>
          <w:tcPr>
            <w:tcW w:w="4335" w:type="dxa"/>
            <w:vAlign w:val="center"/>
          </w:tcPr>
          <w:p w14:paraId="1EC3527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rPr>
              <w:t>均按磋商文件要求签字、盖章（评分标准中要求提供的证明材料除外）。</w:t>
            </w:r>
          </w:p>
        </w:tc>
        <w:tc>
          <w:tcPr>
            <w:tcW w:w="786" w:type="dxa"/>
            <w:vAlign w:val="center"/>
          </w:tcPr>
          <w:p w14:paraId="13AD95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1195" w:type="dxa"/>
            <w:vAlign w:val="center"/>
          </w:tcPr>
          <w:p w14:paraId="613607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4A68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14:paraId="4C59EB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bCs/>
                <w:color w:val="auto"/>
                <w:kern w:val="0"/>
                <w:sz w:val="28"/>
                <w:szCs w:val="28"/>
                <w:lang w:val="en-US" w:eastAsia="zh-CN"/>
              </w:rPr>
              <w:t>4</w:t>
            </w:r>
          </w:p>
        </w:tc>
        <w:tc>
          <w:tcPr>
            <w:tcW w:w="2783" w:type="dxa"/>
            <w:vAlign w:val="center"/>
          </w:tcPr>
          <w:p w14:paraId="62EC0E3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bCs/>
                <w:color w:val="auto"/>
                <w:kern w:val="0"/>
                <w:sz w:val="24"/>
                <w:szCs w:val="24"/>
              </w:rPr>
              <w:t>第一次磋商报价表</w:t>
            </w:r>
          </w:p>
        </w:tc>
        <w:tc>
          <w:tcPr>
            <w:tcW w:w="4335" w:type="dxa"/>
          </w:tcPr>
          <w:p w14:paraId="61C6BCE8">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（1）第一次磋商报价表填写符合要求；</w:t>
            </w:r>
          </w:p>
          <w:p w14:paraId="5018B5B6">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（2）计量单位、报价货币均符合磋商文件要求；</w:t>
            </w:r>
          </w:p>
          <w:p w14:paraId="28C81185">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（3）第一次磋商报价未超出采购预算或磋商文件规定的最高限价。</w:t>
            </w:r>
          </w:p>
        </w:tc>
        <w:tc>
          <w:tcPr>
            <w:tcW w:w="786" w:type="dxa"/>
            <w:vAlign w:val="center"/>
          </w:tcPr>
          <w:p w14:paraId="2BE748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1195" w:type="dxa"/>
            <w:vAlign w:val="center"/>
          </w:tcPr>
          <w:p w14:paraId="313C37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3EA6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14:paraId="2C8625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lang w:val="en-US" w:eastAsia="zh-CN"/>
              </w:rPr>
            </w:pPr>
            <w:r>
              <w:rPr>
                <w:rFonts w:hint="default" w:ascii="Times New Roman" w:hAnsi="Times New Roman" w:eastAsia="仿宋_GB2312" w:cs="Times New Roman"/>
                <w:bCs/>
                <w:color w:val="auto"/>
                <w:kern w:val="0"/>
                <w:sz w:val="28"/>
                <w:szCs w:val="28"/>
                <w:lang w:val="en-US" w:eastAsia="zh-CN"/>
              </w:rPr>
              <w:t>5</w:t>
            </w:r>
          </w:p>
        </w:tc>
        <w:tc>
          <w:tcPr>
            <w:tcW w:w="2783" w:type="dxa"/>
            <w:vAlign w:val="center"/>
          </w:tcPr>
          <w:p w14:paraId="44F8DC10">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响应文件完整性</w:t>
            </w:r>
          </w:p>
        </w:tc>
        <w:tc>
          <w:tcPr>
            <w:tcW w:w="4335" w:type="dxa"/>
            <w:vAlign w:val="center"/>
          </w:tcPr>
          <w:p w14:paraId="6808E18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响应文件按照磋商文件要求编制，三部分内容齐全，无重大缺漏项。</w:t>
            </w:r>
          </w:p>
        </w:tc>
        <w:tc>
          <w:tcPr>
            <w:tcW w:w="786" w:type="dxa"/>
            <w:vAlign w:val="center"/>
          </w:tcPr>
          <w:p w14:paraId="0627B3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1195" w:type="dxa"/>
            <w:vAlign w:val="center"/>
          </w:tcPr>
          <w:p w14:paraId="658D49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3CC4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14:paraId="237AD6C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bCs/>
                <w:color w:val="auto"/>
                <w:kern w:val="0"/>
                <w:sz w:val="28"/>
                <w:szCs w:val="28"/>
                <w:lang w:val="en-US" w:eastAsia="zh-CN"/>
              </w:rPr>
              <w:t>6</w:t>
            </w:r>
          </w:p>
        </w:tc>
        <w:tc>
          <w:tcPr>
            <w:tcW w:w="2783" w:type="dxa"/>
            <w:vAlign w:val="center"/>
          </w:tcPr>
          <w:p w14:paraId="1DD3273A">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rPr>
              <w:t>技术服务要求</w:t>
            </w:r>
          </w:p>
        </w:tc>
        <w:tc>
          <w:tcPr>
            <w:tcW w:w="4335" w:type="dxa"/>
            <w:vAlign w:val="center"/>
          </w:tcPr>
          <w:p w14:paraId="73889B1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rPr>
              <w:t>完全理解并接受对合格供应商、合格的货物、工程或服务要求，根据响应文件中《技术服务偏差表》第三章“★”标识的实质性要求没有负偏离。</w:t>
            </w:r>
          </w:p>
        </w:tc>
        <w:tc>
          <w:tcPr>
            <w:tcW w:w="786" w:type="dxa"/>
            <w:vAlign w:val="center"/>
          </w:tcPr>
          <w:p w14:paraId="6C1284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1195" w:type="dxa"/>
            <w:vAlign w:val="center"/>
          </w:tcPr>
          <w:p w14:paraId="5C2A15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423F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14:paraId="5EF0DA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lang w:val="en-US" w:eastAsia="zh-CN"/>
              </w:rPr>
            </w:pPr>
            <w:r>
              <w:rPr>
                <w:rFonts w:hint="default" w:ascii="Times New Roman" w:hAnsi="Times New Roman" w:eastAsia="仿宋_GB2312" w:cs="Times New Roman"/>
                <w:bCs/>
                <w:color w:val="auto"/>
                <w:kern w:val="0"/>
                <w:sz w:val="28"/>
                <w:szCs w:val="28"/>
                <w:lang w:val="en-US" w:eastAsia="zh-CN"/>
              </w:rPr>
              <w:t>7</w:t>
            </w:r>
          </w:p>
        </w:tc>
        <w:tc>
          <w:tcPr>
            <w:tcW w:w="2783" w:type="dxa"/>
            <w:vAlign w:val="center"/>
          </w:tcPr>
          <w:p w14:paraId="52222C6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合同草案响应</w:t>
            </w:r>
          </w:p>
        </w:tc>
        <w:tc>
          <w:tcPr>
            <w:tcW w:w="4335" w:type="dxa"/>
            <w:vAlign w:val="center"/>
          </w:tcPr>
          <w:p w14:paraId="64FA963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有完全理解并接受磋商文件合同草案 条款要求的描述。</w:t>
            </w:r>
          </w:p>
        </w:tc>
        <w:tc>
          <w:tcPr>
            <w:tcW w:w="786" w:type="dxa"/>
            <w:vAlign w:val="center"/>
          </w:tcPr>
          <w:p w14:paraId="641428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1195" w:type="dxa"/>
            <w:vAlign w:val="center"/>
          </w:tcPr>
          <w:p w14:paraId="4F7A61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5F01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14:paraId="3E7882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lang w:val="en-US" w:eastAsia="zh-CN"/>
              </w:rPr>
            </w:pPr>
            <w:r>
              <w:rPr>
                <w:rFonts w:hint="default" w:ascii="Times New Roman" w:hAnsi="Times New Roman" w:eastAsia="仿宋_GB2312" w:cs="Times New Roman"/>
                <w:bCs/>
                <w:color w:val="auto"/>
                <w:kern w:val="0"/>
                <w:sz w:val="28"/>
                <w:szCs w:val="28"/>
                <w:lang w:val="en-US" w:eastAsia="zh-CN"/>
              </w:rPr>
              <w:t>8</w:t>
            </w:r>
          </w:p>
        </w:tc>
        <w:tc>
          <w:tcPr>
            <w:tcW w:w="2783" w:type="dxa"/>
            <w:vAlign w:val="center"/>
          </w:tcPr>
          <w:p w14:paraId="69D04B7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供应商承诺书</w:t>
            </w:r>
          </w:p>
        </w:tc>
        <w:tc>
          <w:tcPr>
            <w:tcW w:w="4335" w:type="dxa"/>
            <w:vAlign w:val="center"/>
          </w:tcPr>
          <w:p w14:paraId="2675E2D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完全理解并填写《拒绝政府采购领域商业贿赂承诺书》。</w:t>
            </w:r>
          </w:p>
        </w:tc>
        <w:tc>
          <w:tcPr>
            <w:tcW w:w="786" w:type="dxa"/>
            <w:vAlign w:val="center"/>
          </w:tcPr>
          <w:p w14:paraId="34E019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1195" w:type="dxa"/>
            <w:vAlign w:val="center"/>
          </w:tcPr>
          <w:p w14:paraId="6BDA3F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33BD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14:paraId="477DDA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Cs/>
                <w:color w:val="auto"/>
                <w:kern w:val="0"/>
                <w:sz w:val="28"/>
                <w:szCs w:val="28"/>
                <w:lang w:eastAsia="zh-CN"/>
              </w:rPr>
            </w:pPr>
            <w:r>
              <w:rPr>
                <w:rFonts w:hint="default" w:ascii="Times New Roman" w:hAnsi="Times New Roman" w:eastAsia="仿宋_GB2312" w:cs="Times New Roman"/>
                <w:bCs/>
                <w:color w:val="auto"/>
                <w:kern w:val="0"/>
                <w:sz w:val="28"/>
                <w:szCs w:val="28"/>
                <w:lang w:val="en-US" w:eastAsia="zh-CN"/>
              </w:rPr>
              <w:t>9</w:t>
            </w:r>
          </w:p>
        </w:tc>
        <w:tc>
          <w:tcPr>
            <w:tcW w:w="2783" w:type="dxa"/>
            <w:vAlign w:val="center"/>
          </w:tcPr>
          <w:p w14:paraId="6F305D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rPr>
              <w:t>无其他磋商文件或法规明确规定响应无效的事项</w:t>
            </w:r>
          </w:p>
        </w:tc>
        <w:tc>
          <w:tcPr>
            <w:tcW w:w="4335" w:type="dxa"/>
            <w:vAlign w:val="center"/>
          </w:tcPr>
          <w:p w14:paraId="42CDB3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Cs/>
                <w:color w:val="auto"/>
                <w:kern w:val="0"/>
                <w:sz w:val="24"/>
                <w:szCs w:val="24"/>
              </w:rPr>
            </w:pPr>
            <w:r>
              <w:rPr>
                <w:rFonts w:hint="default" w:ascii="Times New Roman" w:hAnsi="Times New Roman" w:eastAsia="仿宋_GB2312" w:cs="Times New Roman"/>
                <w:color w:val="auto"/>
                <w:sz w:val="24"/>
                <w:szCs w:val="24"/>
              </w:rPr>
              <w:t>没有不符合磋商文件规定的被视为无效响应的其他条款。</w:t>
            </w:r>
          </w:p>
        </w:tc>
        <w:tc>
          <w:tcPr>
            <w:tcW w:w="786" w:type="dxa"/>
            <w:vAlign w:val="center"/>
          </w:tcPr>
          <w:p w14:paraId="1E7D0A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c>
          <w:tcPr>
            <w:tcW w:w="1195" w:type="dxa"/>
            <w:vAlign w:val="center"/>
          </w:tcPr>
          <w:p w14:paraId="5D90F3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kern w:val="0"/>
                <w:sz w:val="28"/>
                <w:szCs w:val="28"/>
              </w:rPr>
            </w:pPr>
          </w:p>
        </w:tc>
      </w:tr>
      <w:tr w14:paraId="3A0E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747" w:type="dxa"/>
            <w:gridSpan w:val="5"/>
            <w:vAlign w:val="center"/>
          </w:tcPr>
          <w:p w14:paraId="320CF97C">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磋商小组成员：（签字或盖章）</w:t>
            </w:r>
          </w:p>
        </w:tc>
      </w:tr>
    </w:tbl>
    <w:p w14:paraId="151D168F">
      <w:pPr>
        <w:rPr>
          <w:rFonts w:hint="default" w:ascii="Times New Roman" w:hAnsi="Times New Roman" w:eastAsia="仿宋_GB2312" w:cs="Times New Roman"/>
          <w:b/>
          <w:color w:val="auto"/>
          <w:sz w:val="28"/>
          <w:szCs w:val="28"/>
          <w:lang w:val="en-US" w:eastAsia="zh-CN"/>
        </w:rPr>
      </w:pPr>
      <w:r>
        <w:rPr>
          <w:rFonts w:hint="default" w:ascii="Times New Roman" w:hAnsi="Times New Roman" w:eastAsia="仿宋_GB2312" w:cs="Times New Roman"/>
          <w:b/>
          <w:color w:val="auto"/>
          <w:sz w:val="28"/>
          <w:szCs w:val="28"/>
          <w:lang w:val="en-US" w:eastAsia="zh-CN"/>
        </w:rPr>
        <w:br w:type="page"/>
      </w:r>
    </w:p>
    <w:p w14:paraId="0742CC4B">
      <w:pPr>
        <w:pageBreakBefore w:val="0"/>
        <w:kinsoku/>
        <w:overflowPunct/>
        <w:topLinePunct w:val="0"/>
        <w:bidi w:val="0"/>
        <w:spacing w:line="500" w:lineRule="exact"/>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lang w:val="en-US" w:eastAsia="zh-CN"/>
        </w:rPr>
        <w:t>4</w:t>
      </w:r>
      <w:r>
        <w:rPr>
          <w:rFonts w:hint="default" w:ascii="Times New Roman" w:hAnsi="Times New Roman" w:eastAsia="仿宋_GB2312" w:cs="Times New Roman"/>
          <w:b/>
          <w:color w:val="auto"/>
          <w:sz w:val="28"/>
          <w:szCs w:val="28"/>
        </w:rPr>
        <w:t>、响应文件的澄清</w:t>
      </w:r>
    </w:p>
    <w:p w14:paraId="4C541192">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14:paraId="0A4A645A">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（2）依照《中华人民共和国民法典》中的过失责任原则，澄清、说明 或更正前磋商小组将按最不利于参与本次磋商供应商的原则对响应文件做出评判。</w:t>
      </w:r>
    </w:p>
    <w:p w14:paraId="62F7DA5B">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（3）磋商小组要求供应商澄清、说明或者更正响应文件应通过书面形式做出。供应商应当在规定的澄清时限内通过书面形式提交，</w:t>
      </w:r>
      <w:r>
        <w:rPr>
          <w:rFonts w:hint="default" w:ascii="Times New Roman" w:hAnsi="Times New Roman" w:eastAsia="仿宋_GB2312" w:cs="Times New Roman"/>
          <w:color w:val="auto"/>
          <w:sz w:val="28"/>
          <w:szCs w:val="28"/>
          <w:lang w:val="en-US" w:eastAsia="zh-CN"/>
        </w:rPr>
        <w:t>提交的</w:t>
      </w:r>
      <w:r>
        <w:rPr>
          <w:rFonts w:hint="default" w:ascii="Times New Roman" w:hAnsi="Times New Roman" w:eastAsia="仿宋_GB2312" w:cs="Times New Roman"/>
          <w:color w:val="auto"/>
          <w:sz w:val="28"/>
          <w:szCs w:val="28"/>
        </w:rPr>
        <w:t>澄清、说明或者更正应当由法定代表人或其授权代表签字或者加盖公章。</w:t>
      </w:r>
    </w:p>
    <w:p w14:paraId="1BE14AA2">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（4）供应商的澄清、说明或者更正不得超出响应文件的范围或者改变响应文件的实质性内容。澄清、说明或者更正的内容将作为合同履行的重要依据。</w:t>
      </w:r>
    </w:p>
    <w:p w14:paraId="5149352D">
      <w:pPr>
        <w:keepNext w:val="0"/>
        <w:keepLines w:val="0"/>
        <w:pageBreakBefore w:val="0"/>
        <w:kinsoku/>
        <w:wordWrap/>
        <w:overflowPunct/>
        <w:topLinePunct w:val="0"/>
        <w:autoSpaceDE/>
        <w:autoSpaceDN/>
        <w:bidi w:val="0"/>
        <w:adjustRightInd/>
        <w:spacing w:line="240" w:lineRule="auto"/>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除采用竞争性磋商方式采购的政府购买服务项目、市场竞争不充分的 科研项目以及需要扶持的科技成果转化项目外，通过符合性审查的供应商不足3家的，不得进行后续磋商活动，应予以</w:t>
      </w:r>
      <w:r>
        <w:rPr>
          <w:rFonts w:hint="default" w:ascii="Times New Roman" w:hAnsi="Times New Roman" w:eastAsia="仿宋_GB2312" w:cs="Times New Roman"/>
          <w:b/>
          <w:bCs/>
          <w:color w:val="auto"/>
          <w:sz w:val="28"/>
          <w:szCs w:val="28"/>
          <w:lang w:val="en-US" w:eastAsia="zh-CN"/>
        </w:rPr>
        <w:t>终止</w:t>
      </w:r>
      <w:r>
        <w:rPr>
          <w:rFonts w:hint="default" w:ascii="Times New Roman" w:hAnsi="Times New Roman" w:eastAsia="仿宋_GB2312" w:cs="Times New Roman"/>
          <w:b/>
          <w:bCs/>
          <w:color w:val="auto"/>
          <w:sz w:val="28"/>
          <w:szCs w:val="28"/>
        </w:rPr>
        <w:t>。</w:t>
      </w:r>
    </w:p>
    <w:p w14:paraId="448BF1B7">
      <w:pPr>
        <w:pageBreakBefore w:val="0"/>
        <w:kinsoku/>
        <w:overflowPunct/>
        <w:topLinePunct w:val="0"/>
        <w:bidi w:val="0"/>
        <w:spacing w:line="500" w:lineRule="exact"/>
        <w:ind w:firstLine="566" w:firstLineChars="200"/>
        <w:contextualSpacing/>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lang w:val="en-US" w:eastAsia="zh-CN"/>
        </w:rPr>
        <w:t>5</w:t>
      </w:r>
      <w:r>
        <w:rPr>
          <w:rFonts w:hint="default" w:ascii="Times New Roman" w:hAnsi="Times New Roman" w:eastAsia="仿宋_GB2312" w:cs="Times New Roman"/>
          <w:b/>
          <w:color w:val="auto"/>
          <w:sz w:val="28"/>
          <w:szCs w:val="28"/>
          <w:highlight w:val="none"/>
        </w:rPr>
        <w:t>、磋商</w:t>
      </w:r>
    </w:p>
    <w:p w14:paraId="663F2363">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bCs/>
          <w:color w:val="auto"/>
          <w:sz w:val="28"/>
          <w:szCs w:val="28"/>
          <w:u w:val="none"/>
        </w:rPr>
      </w:pPr>
      <w:r>
        <w:rPr>
          <w:rFonts w:hint="default" w:ascii="Times New Roman" w:hAnsi="Times New Roman" w:eastAsia="仿宋_GB2312" w:cs="Times New Roman"/>
          <w:bCs/>
          <w:color w:val="auto"/>
          <w:sz w:val="28"/>
          <w:szCs w:val="28"/>
          <w:lang w:val="en-US" w:eastAsia="zh-CN"/>
        </w:rPr>
        <w:t>5-1</w:t>
      </w:r>
      <w:r>
        <w:rPr>
          <w:rFonts w:hint="default" w:ascii="Times New Roman" w:hAnsi="Times New Roman" w:eastAsia="仿宋_GB2312" w:cs="Times New Roman"/>
          <w:bCs/>
          <w:color w:val="auto"/>
          <w:sz w:val="28"/>
          <w:szCs w:val="28"/>
          <w:u w:val="none"/>
        </w:rPr>
        <w:t>磋商小组所有成员集中与单一磋商供应商就技术、商务等分别进行磋商。磋商文件有实质性变动的，磋商小组以书面形式通知所有参加磋商的供应商。对磋商响应文件中含义不明确、同类问题表述不一致或者有明显文字和计算错误的内容，磋商小组可以要求磋商供应商做出必要的澄清、说明或者纠正。磋商供应商的澄清、说明或者补正应当采用书面形式，由其授权代理人签字。</w:t>
      </w:r>
    </w:p>
    <w:p w14:paraId="49DEF6E9">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bCs/>
          <w:color w:val="auto"/>
          <w:sz w:val="28"/>
          <w:szCs w:val="28"/>
          <w:u w:val="none"/>
        </w:rPr>
      </w:pPr>
      <w:r>
        <w:rPr>
          <w:rFonts w:hint="default" w:ascii="Times New Roman" w:hAnsi="Times New Roman" w:eastAsia="仿宋_GB2312" w:cs="Times New Roman"/>
          <w:bCs/>
          <w:color w:val="auto"/>
          <w:sz w:val="28"/>
          <w:szCs w:val="28"/>
          <w:u w:val="none"/>
          <w:lang w:val="en-US" w:eastAsia="zh-CN"/>
        </w:rPr>
        <w:t>5-2</w:t>
      </w:r>
      <w:r>
        <w:rPr>
          <w:rFonts w:hint="default" w:ascii="Times New Roman" w:hAnsi="Times New Roman" w:eastAsia="仿宋_GB2312" w:cs="Times New Roman"/>
          <w:bCs/>
          <w:color w:val="auto"/>
          <w:sz w:val="28"/>
          <w:szCs w:val="28"/>
          <w:u w:val="none"/>
        </w:rPr>
        <w:t>磋商小组逐一与供应商磋商后，磋商小组将根据调整后（如有调整）的采购内容要求所有参加磋商的供应商在规定时间内进行最后报价。如无实质性内容调整，最后报价不得高于前一次报价，否则为无效报价。</w:t>
      </w:r>
    </w:p>
    <w:p w14:paraId="251326B6">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bCs/>
          <w:color w:val="auto"/>
          <w:sz w:val="28"/>
          <w:szCs w:val="28"/>
          <w:u w:val="none"/>
        </w:rPr>
      </w:pPr>
      <w:r>
        <w:rPr>
          <w:rFonts w:hint="default" w:ascii="Times New Roman" w:hAnsi="Times New Roman" w:eastAsia="仿宋_GB2312" w:cs="Times New Roman"/>
          <w:bCs/>
          <w:color w:val="auto"/>
          <w:sz w:val="28"/>
          <w:szCs w:val="28"/>
          <w:u w:val="none"/>
          <w:lang w:val="en-US" w:eastAsia="zh-CN"/>
        </w:rPr>
        <w:t>5-3</w:t>
      </w:r>
      <w:r>
        <w:rPr>
          <w:rFonts w:hint="default" w:ascii="Times New Roman" w:hAnsi="Times New Roman" w:eastAsia="仿宋_GB2312" w:cs="Times New Roman"/>
          <w:bCs/>
          <w:color w:val="auto"/>
          <w:sz w:val="28"/>
          <w:szCs w:val="28"/>
          <w:u w:val="none"/>
        </w:rPr>
        <w:t>本次磋商采用</w:t>
      </w:r>
      <w:r>
        <w:rPr>
          <w:rFonts w:hint="default" w:ascii="Times New Roman" w:hAnsi="Times New Roman" w:eastAsia="仿宋_GB2312" w:cs="Times New Roman"/>
          <w:b/>
          <w:bCs w:val="0"/>
          <w:color w:val="auto"/>
          <w:sz w:val="28"/>
          <w:szCs w:val="28"/>
          <w:u w:val="none"/>
        </w:rPr>
        <w:t>综合评分法</w:t>
      </w:r>
      <w:r>
        <w:rPr>
          <w:rFonts w:hint="default" w:ascii="Times New Roman" w:hAnsi="Times New Roman" w:eastAsia="仿宋_GB2312" w:cs="Times New Roman"/>
          <w:bCs/>
          <w:color w:val="auto"/>
          <w:sz w:val="28"/>
          <w:szCs w:val="28"/>
          <w:u w:val="none"/>
        </w:rPr>
        <w:t>（其中报价得分按磋商供应商</w:t>
      </w:r>
      <w:r>
        <w:rPr>
          <w:rFonts w:hint="default" w:ascii="Times New Roman" w:hAnsi="Times New Roman" w:eastAsia="仿宋_GB2312" w:cs="Times New Roman"/>
          <w:b/>
          <w:bCs w:val="0"/>
          <w:color w:val="auto"/>
          <w:sz w:val="28"/>
          <w:szCs w:val="28"/>
          <w:u w:val="none"/>
        </w:rPr>
        <w:t>最后报价</w:t>
      </w:r>
      <w:r>
        <w:rPr>
          <w:rFonts w:hint="default" w:ascii="Times New Roman" w:hAnsi="Times New Roman" w:eastAsia="仿宋_GB2312" w:cs="Times New Roman"/>
          <w:bCs/>
          <w:color w:val="auto"/>
          <w:sz w:val="28"/>
          <w:szCs w:val="28"/>
          <w:u w:val="none"/>
        </w:rPr>
        <w:t>计算），具体评审方法详见《</w:t>
      </w:r>
      <w:r>
        <w:rPr>
          <w:rFonts w:hint="default" w:ascii="Times New Roman" w:hAnsi="Times New Roman" w:eastAsia="仿宋_GB2312" w:cs="Times New Roman"/>
          <w:bCs/>
          <w:color w:val="auto"/>
          <w:sz w:val="28"/>
          <w:szCs w:val="28"/>
          <w:u w:val="none"/>
          <w:lang w:eastAsia="zh-CN"/>
        </w:rPr>
        <w:t>组织</w:t>
      </w:r>
      <w:r>
        <w:rPr>
          <w:rFonts w:hint="default" w:ascii="Times New Roman" w:hAnsi="Times New Roman" w:eastAsia="仿宋_GB2312" w:cs="Times New Roman"/>
          <w:bCs/>
          <w:color w:val="auto"/>
          <w:sz w:val="28"/>
          <w:szCs w:val="28"/>
          <w:u w:val="none"/>
        </w:rPr>
        <w:t>评审》章节的规定。</w:t>
      </w:r>
    </w:p>
    <w:p w14:paraId="0EB877E7">
      <w:pPr>
        <w:pageBreakBefore w:val="0"/>
        <w:kinsoku/>
        <w:overflowPunct/>
        <w:topLinePunct w:val="0"/>
        <w:bidi w:val="0"/>
        <w:spacing w:line="500" w:lineRule="exact"/>
        <w:ind w:firstLine="566" w:firstLineChars="200"/>
        <w:contextualSpacing/>
        <w:textAlignment w:val="auto"/>
        <w:rPr>
          <w:rFonts w:hint="default" w:ascii="Times New Roman" w:hAnsi="Times New Roman" w:eastAsia="仿宋_GB2312" w:cs="Times New Roman"/>
          <w:b/>
          <w:color w:val="auto"/>
          <w:sz w:val="28"/>
          <w:szCs w:val="28"/>
          <w:highlight w:val="none"/>
        </w:rPr>
      </w:pPr>
      <w:r>
        <w:rPr>
          <w:rFonts w:hint="default" w:ascii="Times New Roman" w:hAnsi="Times New Roman" w:eastAsia="仿宋_GB2312" w:cs="Times New Roman"/>
          <w:b/>
          <w:color w:val="auto"/>
          <w:sz w:val="28"/>
          <w:szCs w:val="28"/>
          <w:highlight w:val="none"/>
          <w:lang w:val="en-US" w:eastAsia="zh-CN"/>
        </w:rPr>
        <w:t>6</w:t>
      </w:r>
      <w:r>
        <w:rPr>
          <w:rFonts w:hint="default" w:ascii="Times New Roman" w:hAnsi="Times New Roman" w:eastAsia="仿宋_GB2312" w:cs="Times New Roman"/>
          <w:b/>
          <w:color w:val="auto"/>
          <w:sz w:val="28"/>
          <w:szCs w:val="28"/>
          <w:highlight w:val="none"/>
        </w:rPr>
        <w:t>、磋商文件的实质性变更</w:t>
      </w:r>
    </w:p>
    <w:p w14:paraId="01796299">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highlight w:val="yellow"/>
        </w:rPr>
      </w:pPr>
      <w:r>
        <w:rPr>
          <w:rFonts w:hint="default" w:ascii="Times New Roman" w:hAnsi="Times New Roman" w:eastAsia="仿宋_GB2312" w:cs="Times New Roman"/>
          <w:color w:val="auto"/>
          <w:sz w:val="28"/>
          <w:szCs w:val="28"/>
          <w:highlight w:val="none"/>
        </w:rPr>
        <w:t>（1）在磋商过程中，磋商小组可以根据磋商文件和磋商情况实质性变动采购需求中的技术、服务要求以及合同</w:t>
      </w:r>
      <w:r>
        <w:rPr>
          <w:rFonts w:hint="default" w:ascii="Times New Roman" w:hAnsi="Times New Roman" w:eastAsia="仿宋_GB2312" w:cs="Times New Roman"/>
          <w:color w:val="auto"/>
          <w:sz w:val="28"/>
          <w:szCs w:val="28"/>
          <w:highlight w:val="none"/>
          <w:lang w:val="en-US" w:eastAsia="zh-CN"/>
        </w:rPr>
        <w:t>草案</w:t>
      </w:r>
      <w:r>
        <w:rPr>
          <w:rFonts w:hint="default" w:ascii="Times New Roman" w:hAnsi="Times New Roman" w:eastAsia="仿宋_GB2312" w:cs="Times New Roman"/>
          <w:color w:val="auto"/>
          <w:sz w:val="28"/>
          <w:szCs w:val="28"/>
          <w:highlight w:val="none"/>
        </w:rPr>
        <w:t>条款，但不得变动磋商文件中的其他内容。实质性变动的内容，须经采购人代表确认。</w:t>
      </w:r>
    </w:p>
    <w:p w14:paraId="62A7B489">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实质性变动不得改变原标的物，且应遵循有利于采购活动顺利实施的原则，当出现下列情形时，可实质性变动：</w:t>
      </w:r>
    </w:p>
    <w:p w14:paraId="445315C2">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①</w:t>
      </w:r>
      <w:r>
        <w:rPr>
          <w:rFonts w:hint="default" w:ascii="Times New Roman" w:hAnsi="Times New Roman" w:eastAsia="仿宋_GB2312" w:cs="Times New Roman"/>
          <w:color w:val="auto"/>
          <w:sz w:val="28"/>
          <w:szCs w:val="28"/>
        </w:rPr>
        <w:t>当磋商小组发现磋商文件有明显错误、自相矛盾时，可通过实质性变动纠正错误，且应尽可能保证该变动不会排除各参与供应商；</w:t>
      </w:r>
    </w:p>
    <w:p w14:paraId="350740E7">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②</w:t>
      </w:r>
      <w:r>
        <w:rPr>
          <w:rFonts w:hint="default" w:ascii="Times New Roman" w:hAnsi="Times New Roman" w:eastAsia="仿宋_GB2312" w:cs="Times New Roman"/>
          <w:color w:val="auto"/>
          <w:sz w:val="28"/>
          <w:szCs w:val="28"/>
        </w:rPr>
        <w:t>当进入最后报价环节的供应商不足</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家时，可通过实质性变动实现不少于</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家供应商提交最后报价，但不得通过实质性变动将原本进入最后报价环节的供应商排除在外。</w:t>
      </w:r>
    </w:p>
    <w:p w14:paraId="3F46AFAB">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）对磋商文件作出的实质性变动是磋商文件的有效组成部分，磋商小组将通过书面形式通知所有参加磋商的供应商。</w:t>
      </w:r>
    </w:p>
    <w:p w14:paraId="653FE7DD">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）供应商应当按照磋商文件的变动情况和磋商小组的要求，在磋商 小组规定的时限内重新提交响应文件，并由法定代表人或其授权代表签字或者加盖公章。</w:t>
      </w:r>
    </w:p>
    <w:p w14:paraId="69E6F1BB">
      <w:pPr>
        <w:pStyle w:val="22"/>
        <w:pageBreakBefore w:val="0"/>
        <w:kinsoku/>
        <w:overflowPunct/>
        <w:topLinePunct w:val="0"/>
        <w:bidi w:val="0"/>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）供应商未能在规定的时间内按照磋商小组的要求提交实质性变更响应文件的，视作未实质性响应。</w:t>
      </w:r>
    </w:p>
    <w:p w14:paraId="6AFC7704">
      <w:pPr>
        <w:pageBreakBefore w:val="0"/>
        <w:kinsoku/>
        <w:overflowPunct/>
        <w:topLinePunct w:val="0"/>
        <w:bidi w:val="0"/>
        <w:spacing w:line="500" w:lineRule="exact"/>
        <w:ind w:firstLine="566" w:firstLineChars="200"/>
        <w:contextualSpacing/>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color w:val="auto"/>
          <w:sz w:val="28"/>
          <w:szCs w:val="28"/>
          <w:highlight w:val="none"/>
          <w:lang w:val="en-US" w:eastAsia="zh-CN"/>
        </w:rPr>
        <w:t>7</w:t>
      </w:r>
      <w:r>
        <w:rPr>
          <w:rFonts w:hint="default" w:ascii="Times New Roman" w:hAnsi="Times New Roman" w:eastAsia="仿宋_GB2312" w:cs="Times New Roman"/>
          <w:b/>
          <w:color w:val="auto"/>
          <w:sz w:val="28"/>
          <w:szCs w:val="28"/>
          <w:highlight w:val="none"/>
        </w:rPr>
        <w:t>、最后报价</w:t>
      </w:r>
    </w:p>
    <w:p w14:paraId="0839F7A1">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（1）磋商文件能够详细列明采购标的的技术、服务要求的，磋商结束 后，磋商小组应当要求所有实质性响应的供应商在规定时间内提交最后报 价，提交最后报价的供应商不得少于3家。</w:t>
      </w:r>
    </w:p>
    <w:p w14:paraId="028BF5DF">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14:paraId="5347E87A">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商可以为2家。根据《财政部关于政府采购竞争性磋商采购方式管理暂行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14:paraId="2BB77A92">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highlight w:val="none"/>
        </w:rPr>
        <w:t>（4）供应商要在规定时间内</w:t>
      </w:r>
      <w:r>
        <w:rPr>
          <w:rFonts w:hint="default" w:ascii="Times New Roman" w:hAnsi="Times New Roman" w:eastAsia="仿宋_GB2312" w:cs="Times New Roman"/>
          <w:color w:val="auto"/>
          <w:sz w:val="28"/>
          <w:szCs w:val="28"/>
        </w:rPr>
        <w:t>以书面形式提交最后报价。最后报价表应由其法定代表人或被授权代表签字或者加盖公章。最后报价将作为综合评分法中价格分的计算依据。</w:t>
      </w:r>
    </w:p>
    <w:p w14:paraId="2EA1D8E9">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（5）已提交响应文件的供应商，在提交最后报价之前，可以根据磋商 情况书面申请退出磋商，书面申请应由其法定代表人或被授权代表签字或 者加盖公章。</w:t>
      </w:r>
    </w:p>
    <w:p w14:paraId="6EEA05BF">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b/>
          <w:bCs/>
          <w:color w:val="auto"/>
          <w:sz w:val="28"/>
          <w:szCs w:val="28"/>
          <w:u w:val="double"/>
        </w:rPr>
      </w:pPr>
      <w:r>
        <w:rPr>
          <w:rFonts w:hint="default" w:ascii="Times New Roman" w:hAnsi="Times New Roman" w:eastAsia="仿宋_GB2312" w:cs="Times New Roman"/>
          <w:color w:val="auto"/>
          <w:sz w:val="28"/>
          <w:szCs w:val="28"/>
        </w:rPr>
        <w:t>（6）磋商小组认为供应商的报价明显低于其他通过符合性和响应性审查供应商的报价，有可能影响工程、货物、服务质量或者不能诚信履约的，要求供应商在规定时间内通过书面形式提供说明（必要时提交相关证明材料），供应商不能证明其报价合理性的，按无效响应</w:t>
      </w:r>
      <w:r>
        <w:rPr>
          <w:rFonts w:hint="default" w:ascii="Times New Roman" w:hAnsi="Times New Roman" w:eastAsia="仿宋_GB2312" w:cs="Times New Roman"/>
          <w:color w:val="auto"/>
          <w:sz w:val="28"/>
          <w:szCs w:val="28"/>
          <w:lang w:val="en-US" w:eastAsia="zh-CN"/>
        </w:rPr>
        <w:t>处理</w:t>
      </w:r>
      <w:r>
        <w:rPr>
          <w:rFonts w:hint="default" w:ascii="Times New Roman" w:hAnsi="Times New Roman" w:eastAsia="仿宋_GB2312" w:cs="Times New Roman"/>
          <w:color w:val="auto"/>
          <w:sz w:val="28"/>
          <w:szCs w:val="28"/>
        </w:rPr>
        <w:t>。</w:t>
      </w:r>
    </w:p>
    <w:p w14:paraId="76A6FAC7">
      <w:pPr>
        <w:pageBreakBefore w:val="0"/>
        <w:kinsoku/>
        <w:overflowPunct/>
        <w:topLinePunct w:val="0"/>
        <w:bidi w:val="0"/>
        <w:spacing w:line="500" w:lineRule="exact"/>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lang w:val="en-US" w:eastAsia="zh-CN"/>
        </w:rPr>
        <w:t>8</w:t>
      </w:r>
      <w:r>
        <w:rPr>
          <w:rFonts w:hint="default" w:ascii="Times New Roman" w:hAnsi="Times New Roman" w:eastAsia="仿宋_GB2312" w:cs="Times New Roman"/>
          <w:b/>
          <w:color w:val="auto"/>
          <w:sz w:val="28"/>
          <w:szCs w:val="28"/>
        </w:rPr>
        <w:t>、综合比较与评价</w:t>
      </w:r>
    </w:p>
    <w:p w14:paraId="5B734250">
      <w:pPr>
        <w:pageBreakBefore w:val="0"/>
        <w:kinsoku/>
        <w:overflowPunct/>
        <w:topLinePunct w:val="0"/>
        <w:bidi w:val="0"/>
        <w:spacing w:line="240" w:lineRule="auto"/>
        <w:ind w:firstLine="566" w:firstLineChars="200"/>
        <w:textAlignment w:val="auto"/>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14:paraId="33FB856D">
      <w:pPr>
        <w:pageBreakBefore w:val="0"/>
        <w:kinsoku/>
        <w:overflowPunct/>
        <w:topLinePunct w:val="0"/>
        <w:bidi w:val="0"/>
        <w:spacing w:line="240" w:lineRule="auto"/>
        <w:ind w:firstLine="566" w:firstLineChars="200"/>
        <w:contextualSpacing/>
        <w:textAlignment w:val="auto"/>
        <w:rPr>
          <w:rFonts w:hint="default" w:ascii="Times New Roman" w:hAnsi="Times New Roman" w:eastAsia="仿宋_GB2312" w:cs="Times New Roman"/>
          <w:b/>
          <w:bCs/>
          <w:color w:val="auto"/>
          <w:sz w:val="28"/>
          <w:szCs w:val="28"/>
          <w:u w:val="double"/>
        </w:rPr>
      </w:pPr>
      <w:r>
        <w:rPr>
          <w:rFonts w:hint="default" w:ascii="Times New Roman" w:hAnsi="Times New Roman" w:eastAsia="仿宋_GB2312" w:cs="Times New Roman"/>
          <w:color w:val="auto"/>
          <w:sz w:val="28"/>
          <w:szCs w:val="28"/>
        </w:rPr>
        <w:t>评审时，磋商小组各成员应当独立对每个有效响应的文件进行评价、打分，然后汇总每个供应商每项评审因素的得分。</w:t>
      </w:r>
    </w:p>
    <w:p w14:paraId="16B44216">
      <w:pPr>
        <w:rPr>
          <w:rFonts w:hint="default" w:ascii="Times New Roman" w:hAnsi="Times New Roman" w:eastAsia="仿宋_GB2312" w:cs="Times New Roman"/>
          <w:b/>
          <w:bCs/>
          <w:color w:val="auto"/>
          <w:sz w:val="28"/>
          <w:szCs w:val="28"/>
        </w:rPr>
      </w:pPr>
      <w:bookmarkStart w:id="112" w:name="_Toc9626"/>
      <w:bookmarkStart w:id="113" w:name="_Toc2392"/>
      <w:bookmarkStart w:id="114" w:name="_Toc27797"/>
      <w:bookmarkStart w:id="115" w:name="_Toc27187"/>
      <w:r>
        <w:rPr>
          <w:rFonts w:hint="default" w:ascii="Times New Roman" w:hAnsi="Times New Roman" w:eastAsia="仿宋_GB2312" w:cs="Times New Roman"/>
          <w:b/>
          <w:bCs/>
          <w:color w:val="auto"/>
          <w:sz w:val="28"/>
          <w:szCs w:val="28"/>
        </w:rPr>
        <w:br w:type="page"/>
      </w:r>
    </w:p>
    <w:p w14:paraId="7B5D6168">
      <w:pPr>
        <w:keepNext w:val="0"/>
        <w:keepLines w:val="0"/>
        <w:pageBreakBefore w:val="0"/>
        <w:widowControl w:val="0"/>
        <w:kinsoku/>
        <w:wordWrap/>
        <w:overflowPunct/>
        <w:topLinePunct w:val="0"/>
        <w:autoSpaceDE/>
        <w:autoSpaceDN/>
        <w:bidi w:val="0"/>
        <w:adjustRightInd/>
        <w:snapToGrid w:val="0"/>
        <w:spacing w:line="340" w:lineRule="exact"/>
        <w:ind w:left="0" w:leftChars="0" w:firstLine="3392" w:firstLineChars="1199"/>
        <w:textAlignment w:val="auto"/>
        <w:rPr>
          <w:rFonts w:hint="default" w:ascii="Times New Roman" w:hAnsi="Times New Roman" w:eastAsia="仿宋" w:cs="Times New Roman"/>
          <w:b/>
          <w:bCs/>
          <w:color w:val="auto"/>
          <w:sz w:val="28"/>
          <w:szCs w:val="28"/>
        </w:rPr>
      </w:pPr>
      <w:r>
        <w:rPr>
          <w:rFonts w:hint="default" w:ascii="Times New Roman" w:hAnsi="Times New Roman" w:eastAsia="仿宋_GB2312" w:cs="Times New Roman"/>
          <w:b/>
          <w:bCs/>
          <w:color w:val="auto"/>
          <w:sz w:val="28"/>
          <w:szCs w:val="28"/>
        </w:rPr>
        <w:t>评审要素及分值一览表</w:t>
      </w:r>
      <w:bookmarkEnd w:id="112"/>
      <w:bookmarkEnd w:id="113"/>
      <w:bookmarkEnd w:id="114"/>
      <w:bookmarkEnd w:id="115"/>
      <w:r>
        <w:rPr>
          <w:rFonts w:hint="default" w:ascii="Times New Roman" w:hAnsi="Times New Roman" w:eastAsia="仿宋_GB2312" w:cs="Times New Roman"/>
          <w:b/>
          <w:bCs/>
          <w:color w:val="auto"/>
          <w:sz w:val="28"/>
          <w:szCs w:val="28"/>
        </w:rPr>
        <w:t xml:space="preserve"> </w:t>
      </w:r>
    </w:p>
    <w:tbl>
      <w:tblPr>
        <w:tblStyle w:val="24"/>
        <w:tblW w:w="9288" w:type="dxa"/>
        <w:tblInd w:w="0" w:type="dxa"/>
        <w:tblLayout w:type="fixed"/>
        <w:tblCellMar>
          <w:top w:w="0" w:type="dxa"/>
          <w:left w:w="108" w:type="dxa"/>
          <w:bottom w:w="0" w:type="dxa"/>
          <w:right w:w="108" w:type="dxa"/>
        </w:tblCellMar>
      </w:tblPr>
      <w:tblGrid>
        <w:gridCol w:w="648"/>
        <w:gridCol w:w="900"/>
        <w:gridCol w:w="900"/>
        <w:gridCol w:w="5988"/>
        <w:gridCol w:w="852"/>
      </w:tblGrid>
      <w:tr w14:paraId="55837D0D">
        <w:tblPrEx>
          <w:tblCellMar>
            <w:top w:w="0" w:type="dxa"/>
            <w:left w:w="108" w:type="dxa"/>
            <w:bottom w:w="0" w:type="dxa"/>
            <w:right w:w="108" w:type="dxa"/>
          </w:tblCellMar>
        </w:tblPrEx>
        <w:trPr>
          <w:trHeight w:val="36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CC3D708">
            <w:pPr>
              <w:snapToGrid w:val="0"/>
              <w:spacing w:line="26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项别</w:t>
            </w:r>
          </w:p>
        </w:tc>
        <w:tc>
          <w:tcPr>
            <w:tcW w:w="1800" w:type="dxa"/>
            <w:gridSpan w:val="2"/>
            <w:tcBorders>
              <w:top w:val="single" w:color="000000" w:sz="4" w:space="0"/>
              <w:left w:val="nil"/>
              <w:bottom w:val="single" w:color="000000" w:sz="4" w:space="0"/>
              <w:right w:val="single" w:color="000000" w:sz="4" w:space="0"/>
            </w:tcBorders>
            <w:noWrap w:val="0"/>
            <w:vAlign w:val="center"/>
          </w:tcPr>
          <w:p w14:paraId="07146E38">
            <w:pPr>
              <w:snapToGrid w:val="0"/>
              <w:spacing w:line="26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总 分 值</w:t>
            </w:r>
          </w:p>
        </w:tc>
        <w:tc>
          <w:tcPr>
            <w:tcW w:w="5988" w:type="dxa"/>
            <w:vMerge w:val="restart"/>
            <w:tcBorders>
              <w:top w:val="single" w:color="000000" w:sz="4" w:space="0"/>
              <w:left w:val="nil"/>
              <w:bottom w:val="single" w:color="000000" w:sz="4" w:space="0"/>
              <w:right w:val="single" w:color="000000" w:sz="4" w:space="0"/>
            </w:tcBorders>
            <w:noWrap w:val="0"/>
            <w:vAlign w:val="center"/>
          </w:tcPr>
          <w:p w14:paraId="597B5533">
            <w:pPr>
              <w:snapToGrid w:val="0"/>
              <w:spacing w:line="26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评 审 要 素</w:t>
            </w:r>
          </w:p>
        </w:tc>
        <w:tc>
          <w:tcPr>
            <w:tcW w:w="852" w:type="dxa"/>
            <w:vMerge w:val="restart"/>
            <w:tcBorders>
              <w:top w:val="single" w:color="000000" w:sz="4" w:space="0"/>
              <w:left w:val="nil"/>
              <w:bottom w:val="single" w:color="000000" w:sz="4" w:space="0"/>
              <w:right w:val="single" w:color="000000" w:sz="4" w:space="0"/>
            </w:tcBorders>
            <w:noWrap w:val="0"/>
            <w:vAlign w:val="center"/>
          </w:tcPr>
          <w:p w14:paraId="46ED2419">
            <w:pPr>
              <w:snapToGrid w:val="0"/>
              <w:spacing w:line="26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备注</w:t>
            </w:r>
          </w:p>
        </w:tc>
      </w:tr>
      <w:tr w14:paraId="2949EF16">
        <w:tblPrEx>
          <w:tblCellMar>
            <w:top w:w="0" w:type="dxa"/>
            <w:left w:w="108" w:type="dxa"/>
            <w:bottom w:w="0" w:type="dxa"/>
            <w:right w:w="108" w:type="dxa"/>
          </w:tblCellMar>
        </w:tblPrEx>
        <w:trPr>
          <w:trHeight w:val="38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FB055">
            <w:pPr>
              <w:snapToGrid w:val="0"/>
              <w:spacing w:line="260" w:lineRule="exact"/>
              <w:rPr>
                <w:rFonts w:hint="default" w:ascii="Times New Roman" w:hAnsi="Times New Roman" w:eastAsia="仿宋" w:cs="Times New Roman"/>
                <w:color w:val="auto"/>
                <w:sz w:val="24"/>
                <w:szCs w:val="24"/>
              </w:rPr>
            </w:pPr>
          </w:p>
        </w:tc>
        <w:tc>
          <w:tcPr>
            <w:tcW w:w="900" w:type="dxa"/>
            <w:tcBorders>
              <w:top w:val="single" w:color="000000" w:sz="4" w:space="0"/>
              <w:left w:val="nil"/>
              <w:bottom w:val="single" w:color="000000" w:sz="4" w:space="0"/>
              <w:right w:val="single" w:color="000000" w:sz="4" w:space="0"/>
            </w:tcBorders>
            <w:noWrap w:val="0"/>
            <w:vAlign w:val="center"/>
          </w:tcPr>
          <w:p w14:paraId="327A0191">
            <w:pPr>
              <w:snapToGrid w:val="0"/>
              <w:spacing w:line="26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lang w:val="en-US" w:eastAsia="zh-CN"/>
              </w:rPr>
              <w:t>100</w:t>
            </w:r>
          </w:p>
        </w:tc>
        <w:tc>
          <w:tcPr>
            <w:tcW w:w="900" w:type="dxa"/>
            <w:tcBorders>
              <w:top w:val="single" w:color="000000" w:sz="4" w:space="0"/>
              <w:left w:val="nil"/>
              <w:bottom w:val="single" w:color="000000" w:sz="4" w:space="0"/>
              <w:right w:val="single" w:color="000000" w:sz="4" w:space="0"/>
            </w:tcBorders>
            <w:noWrap w:val="0"/>
            <w:vAlign w:val="center"/>
          </w:tcPr>
          <w:p w14:paraId="78E11590">
            <w:pPr>
              <w:snapToGrid w:val="0"/>
              <w:spacing w:line="260" w:lineRule="exact"/>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2"/>
                <w:szCs w:val="22"/>
              </w:rPr>
              <w:t>分项值</w:t>
            </w:r>
          </w:p>
        </w:tc>
        <w:tc>
          <w:tcPr>
            <w:tcW w:w="5988" w:type="dxa"/>
            <w:vMerge w:val="continue"/>
            <w:tcBorders>
              <w:top w:val="single" w:color="000000" w:sz="4" w:space="0"/>
              <w:left w:val="nil"/>
              <w:bottom w:val="single" w:color="000000" w:sz="4" w:space="0"/>
              <w:right w:val="single" w:color="000000" w:sz="4" w:space="0"/>
            </w:tcBorders>
            <w:noWrap w:val="0"/>
            <w:vAlign w:val="center"/>
          </w:tcPr>
          <w:p w14:paraId="6411AB62">
            <w:pPr>
              <w:snapToGrid w:val="0"/>
              <w:spacing w:line="260" w:lineRule="exact"/>
              <w:rPr>
                <w:rFonts w:hint="default" w:ascii="Times New Roman" w:hAnsi="Times New Roman" w:eastAsia="仿宋" w:cs="Times New Roman"/>
                <w:color w:val="auto"/>
                <w:sz w:val="24"/>
                <w:szCs w:val="24"/>
              </w:rPr>
            </w:pPr>
          </w:p>
        </w:tc>
        <w:tc>
          <w:tcPr>
            <w:tcW w:w="852" w:type="dxa"/>
            <w:vMerge w:val="continue"/>
            <w:tcBorders>
              <w:top w:val="single" w:color="000000" w:sz="4" w:space="0"/>
              <w:left w:val="nil"/>
              <w:bottom w:val="single" w:color="000000" w:sz="4" w:space="0"/>
              <w:right w:val="single" w:color="000000" w:sz="4" w:space="0"/>
            </w:tcBorders>
            <w:noWrap w:val="0"/>
            <w:vAlign w:val="center"/>
          </w:tcPr>
          <w:p w14:paraId="1A58D187">
            <w:pPr>
              <w:snapToGrid w:val="0"/>
              <w:spacing w:line="260" w:lineRule="exact"/>
              <w:rPr>
                <w:rFonts w:hint="default" w:ascii="Times New Roman" w:hAnsi="Times New Roman" w:eastAsia="仿宋" w:cs="Times New Roman"/>
                <w:color w:val="auto"/>
                <w:sz w:val="24"/>
                <w:szCs w:val="24"/>
              </w:rPr>
            </w:pPr>
          </w:p>
        </w:tc>
      </w:tr>
      <w:tr w14:paraId="38830061">
        <w:tblPrEx>
          <w:tblCellMar>
            <w:top w:w="0" w:type="dxa"/>
            <w:left w:w="108" w:type="dxa"/>
            <w:bottom w:w="0" w:type="dxa"/>
            <w:right w:w="108" w:type="dxa"/>
          </w:tblCellMar>
        </w:tblPrEx>
        <w:trPr>
          <w:trHeight w:val="841"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7B8F2A50">
            <w:pPr>
              <w:snapToGrid w:val="0"/>
              <w:spacing w:line="26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价格</w:t>
            </w:r>
          </w:p>
        </w:tc>
        <w:tc>
          <w:tcPr>
            <w:tcW w:w="900" w:type="dxa"/>
            <w:tcBorders>
              <w:top w:val="single" w:color="000000" w:sz="4" w:space="0"/>
              <w:left w:val="nil"/>
              <w:bottom w:val="single" w:color="000000" w:sz="4" w:space="0"/>
              <w:right w:val="single" w:color="000000" w:sz="4" w:space="0"/>
            </w:tcBorders>
            <w:noWrap w:val="0"/>
            <w:vAlign w:val="center"/>
          </w:tcPr>
          <w:p w14:paraId="2A823272">
            <w:pPr>
              <w:snapToGrid w:val="0"/>
              <w:spacing w:line="2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900" w:type="dxa"/>
            <w:tcBorders>
              <w:top w:val="single" w:color="000000" w:sz="4" w:space="0"/>
              <w:left w:val="nil"/>
              <w:bottom w:val="single" w:color="000000" w:sz="4" w:space="0"/>
              <w:right w:val="single" w:color="000000" w:sz="4" w:space="0"/>
            </w:tcBorders>
            <w:noWrap w:val="0"/>
            <w:vAlign w:val="center"/>
          </w:tcPr>
          <w:p w14:paraId="2FF0DB95">
            <w:pPr>
              <w:snapToGrid w:val="0"/>
              <w:spacing w:line="2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w:t>
            </w:r>
          </w:p>
        </w:tc>
        <w:tc>
          <w:tcPr>
            <w:tcW w:w="5988" w:type="dxa"/>
            <w:tcBorders>
              <w:top w:val="single" w:color="000000" w:sz="4" w:space="0"/>
              <w:left w:val="nil"/>
              <w:bottom w:val="single" w:color="000000" w:sz="4" w:space="0"/>
              <w:right w:val="single" w:color="000000" w:sz="4" w:space="0"/>
            </w:tcBorders>
            <w:noWrap w:val="0"/>
            <w:vAlign w:val="center"/>
          </w:tcPr>
          <w:p w14:paraId="4CB73B6F">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rPr>
              <w:t>有效最低响应人报价为基准价计</w:t>
            </w:r>
            <w:r>
              <w:rPr>
                <w:rFonts w:hint="default" w:ascii="Times New Roman" w:hAnsi="Times New Roman" w:eastAsia="仿宋_GB2312" w:cs="Times New Roman"/>
                <w:color w:val="auto"/>
                <w:sz w:val="24"/>
                <w:szCs w:val="24"/>
                <w:lang w:val="en-US" w:eastAsia="zh-CN"/>
              </w:rPr>
              <w:t>20</w:t>
            </w:r>
            <w:r>
              <w:rPr>
                <w:rFonts w:hint="default" w:ascii="Times New Roman" w:hAnsi="Times New Roman" w:eastAsia="仿宋_GB2312" w:cs="Times New Roman"/>
                <w:color w:val="auto"/>
                <w:sz w:val="24"/>
                <w:szCs w:val="24"/>
              </w:rPr>
              <w:t>分；其他各响应人的报价按下列公式计算：报价得分=（基准价/最后报价）×</w:t>
            </w:r>
            <w:r>
              <w:rPr>
                <w:rFonts w:hint="default" w:ascii="Times New Roman" w:hAnsi="Times New Roman" w:eastAsia="仿宋_GB2312" w:cs="Times New Roman"/>
                <w:color w:val="auto"/>
                <w:sz w:val="24"/>
                <w:szCs w:val="24"/>
                <w:lang w:val="en-US" w:eastAsia="zh-CN"/>
              </w:rPr>
              <w:t>20</w:t>
            </w:r>
          </w:p>
        </w:tc>
        <w:tc>
          <w:tcPr>
            <w:tcW w:w="852" w:type="dxa"/>
            <w:tcBorders>
              <w:top w:val="single" w:color="000000" w:sz="4" w:space="0"/>
              <w:left w:val="nil"/>
              <w:bottom w:val="single" w:color="000000" w:sz="4" w:space="0"/>
              <w:right w:val="single" w:color="000000" w:sz="4" w:space="0"/>
            </w:tcBorders>
            <w:noWrap w:val="0"/>
            <w:vAlign w:val="center"/>
          </w:tcPr>
          <w:p w14:paraId="302AD1C9">
            <w:pPr>
              <w:snapToGrid w:val="0"/>
              <w:spacing w:line="260" w:lineRule="exact"/>
              <w:rPr>
                <w:rFonts w:hint="default" w:ascii="Times New Roman" w:hAnsi="Times New Roman" w:eastAsia="仿宋" w:cs="Times New Roman"/>
                <w:color w:val="auto"/>
                <w:sz w:val="24"/>
                <w:szCs w:val="24"/>
              </w:rPr>
            </w:pPr>
          </w:p>
        </w:tc>
      </w:tr>
      <w:tr w14:paraId="36B13CE1">
        <w:tblPrEx>
          <w:tblCellMar>
            <w:top w:w="0" w:type="dxa"/>
            <w:left w:w="108" w:type="dxa"/>
            <w:bottom w:w="0" w:type="dxa"/>
            <w:right w:w="108" w:type="dxa"/>
          </w:tblCellMar>
        </w:tblPrEx>
        <w:trPr>
          <w:trHeight w:val="3295" w:hRule="atLeast"/>
        </w:trPr>
        <w:tc>
          <w:tcPr>
            <w:tcW w:w="648" w:type="dxa"/>
            <w:vMerge w:val="restart"/>
            <w:tcBorders>
              <w:top w:val="single" w:color="000000" w:sz="4" w:space="0"/>
              <w:left w:val="single" w:color="000000" w:sz="4" w:space="0"/>
              <w:bottom w:val="single" w:color="auto" w:sz="4" w:space="0"/>
              <w:right w:val="single" w:color="000000" w:sz="4" w:space="0"/>
            </w:tcBorders>
            <w:noWrap w:val="0"/>
            <w:vAlign w:val="center"/>
          </w:tcPr>
          <w:p w14:paraId="26C31E49">
            <w:pPr>
              <w:snapToGrid w:val="0"/>
              <w:spacing w:line="26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技术服务</w:t>
            </w:r>
          </w:p>
        </w:tc>
        <w:tc>
          <w:tcPr>
            <w:tcW w:w="900" w:type="dxa"/>
            <w:vMerge w:val="restart"/>
            <w:tcBorders>
              <w:top w:val="single" w:color="000000" w:sz="4" w:space="0"/>
              <w:left w:val="nil"/>
              <w:bottom w:val="single" w:color="auto" w:sz="4" w:space="0"/>
              <w:right w:val="single" w:color="000000" w:sz="4" w:space="0"/>
            </w:tcBorders>
            <w:noWrap w:val="0"/>
            <w:vAlign w:val="center"/>
          </w:tcPr>
          <w:p w14:paraId="7A60735E">
            <w:pPr>
              <w:pStyle w:val="22"/>
              <w:ind w:firstLine="240"/>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73</w:t>
            </w:r>
          </w:p>
        </w:tc>
        <w:tc>
          <w:tcPr>
            <w:tcW w:w="900" w:type="dxa"/>
            <w:tcBorders>
              <w:top w:val="single" w:color="000000" w:sz="4" w:space="0"/>
              <w:left w:val="nil"/>
              <w:bottom w:val="single" w:color="auto" w:sz="4" w:space="0"/>
              <w:right w:val="single" w:color="000000" w:sz="4" w:space="0"/>
            </w:tcBorders>
            <w:noWrap w:val="0"/>
            <w:vAlign w:val="center"/>
          </w:tcPr>
          <w:p w14:paraId="53784F9C">
            <w:pPr>
              <w:snapToGrid w:val="0"/>
              <w:spacing w:line="260" w:lineRule="exact"/>
              <w:jc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总体服务方案</w:t>
            </w:r>
          </w:p>
          <w:p w14:paraId="5EC6A979">
            <w:pPr>
              <w:snapToGrid w:val="0"/>
              <w:spacing w:line="260" w:lineRule="exact"/>
              <w:jc w:val="center"/>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10</w:t>
            </w:r>
          </w:p>
        </w:tc>
        <w:tc>
          <w:tcPr>
            <w:tcW w:w="5988" w:type="dxa"/>
            <w:tcBorders>
              <w:top w:val="single" w:color="000000" w:sz="4" w:space="0"/>
              <w:left w:val="nil"/>
              <w:bottom w:val="single" w:color="auto" w:sz="4" w:space="0"/>
              <w:right w:val="single" w:color="000000" w:sz="4" w:space="0"/>
            </w:tcBorders>
            <w:noWrap w:val="0"/>
            <w:vAlign w:val="center"/>
          </w:tcPr>
          <w:p w14:paraId="03862101">
            <w:pPr>
              <w:keepNext w:val="0"/>
              <w:keepLines w:val="0"/>
              <w:pageBreakBefore w:val="0"/>
              <w:widowControl/>
              <w:numPr>
                <w:ilvl w:val="0"/>
                <w:numId w:val="7"/>
              </w:numPr>
              <w:kinsoku/>
              <w:wordWrap/>
              <w:overflowPunct/>
              <w:topLinePunct w:val="0"/>
              <w:autoSpaceDE w:val="0"/>
              <w:autoSpaceDN w:val="0"/>
              <w:bidi w:val="0"/>
              <w:adjustRightInd w:val="0"/>
              <w:snapToGrid/>
              <w:spacing w:line="260" w:lineRule="exact"/>
              <w:textAlignment w:val="auto"/>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
                <w:bCs/>
                <w:color w:val="auto"/>
                <w:sz w:val="24"/>
                <w:szCs w:val="24"/>
                <w:lang w:eastAsia="zh-CN"/>
              </w:rPr>
              <w:t>评审内容</w:t>
            </w:r>
          </w:p>
          <w:p w14:paraId="35FE87FB">
            <w:pPr>
              <w:keepNext w:val="0"/>
              <w:keepLines w:val="0"/>
              <w:pageBreakBefore w:val="0"/>
              <w:widowControl/>
              <w:numPr>
                <w:ilvl w:val="0"/>
                <w:numId w:val="0"/>
              </w:numPr>
              <w:kinsoku/>
              <w:wordWrap/>
              <w:overflowPunct/>
              <w:topLinePunct w:val="0"/>
              <w:autoSpaceDE w:val="0"/>
              <w:autoSpaceDN w:val="0"/>
              <w:bidi w:val="0"/>
              <w:adjustRightInd w:val="0"/>
              <w:snapToGrid/>
              <w:spacing w:line="2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响应人提供本项目总体服务方案，包括①服务</w:t>
            </w:r>
            <w:r>
              <w:rPr>
                <w:rFonts w:hint="default" w:ascii="Times New Roman" w:hAnsi="Times New Roman" w:eastAsia="仿宋_GB2312" w:cs="Times New Roman"/>
                <w:color w:val="auto"/>
                <w:sz w:val="24"/>
                <w:szCs w:val="24"/>
                <w:lang w:eastAsia="zh-CN"/>
              </w:rPr>
              <w:t>定位及</w:t>
            </w:r>
            <w:r>
              <w:rPr>
                <w:rFonts w:hint="default" w:ascii="Times New Roman" w:hAnsi="Times New Roman" w:eastAsia="仿宋_GB2312" w:cs="Times New Roman"/>
                <w:color w:val="auto"/>
                <w:sz w:val="24"/>
                <w:szCs w:val="24"/>
              </w:rPr>
              <w:t>目标②管理理念③重难点分析及保障措施</w:t>
            </w:r>
            <w:r>
              <w:rPr>
                <w:rFonts w:hint="default" w:ascii="Times New Roman" w:hAnsi="Times New Roman" w:eastAsia="仿宋_GB2312" w:cs="Times New Roman"/>
                <w:color w:val="auto"/>
                <w:sz w:val="24"/>
                <w:szCs w:val="24"/>
                <w:lang w:eastAsia="zh-CN"/>
              </w:rPr>
              <w:t>④</w:t>
            </w:r>
            <w:r>
              <w:rPr>
                <w:rFonts w:hint="default" w:ascii="Times New Roman" w:hAnsi="Times New Roman" w:eastAsia="仿宋_GB2312" w:cs="Times New Roman"/>
                <w:color w:val="auto"/>
                <w:sz w:val="24"/>
                <w:szCs w:val="24"/>
              </w:rPr>
              <w:t>项目进驻及筹备程序。</w:t>
            </w:r>
          </w:p>
          <w:p w14:paraId="6691A962">
            <w:pPr>
              <w:keepNext w:val="0"/>
              <w:keepLines w:val="0"/>
              <w:pageBreakBefore w:val="0"/>
              <w:widowControl/>
              <w:numPr>
                <w:ilvl w:val="0"/>
                <w:numId w:val="7"/>
              </w:numPr>
              <w:kinsoku/>
              <w:wordWrap/>
              <w:overflowPunct/>
              <w:topLinePunct w:val="0"/>
              <w:autoSpaceDE w:val="0"/>
              <w:autoSpaceDN w:val="0"/>
              <w:bidi w:val="0"/>
              <w:adjustRightInd w:val="0"/>
              <w:snapToGrid/>
              <w:spacing w:line="260" w:lineRule="exact"/>
              <w:ind w:left="0" w:leftChars="0" w:firstLine="0" w:firstLineChars="0"/>
              <w:textAlignment w:val="auto"/>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
                <w:bCs/>
                <w:color w:val="auto"/>
                <w:sz w:val="24"/>
                <w:szCs w:val="24"/>
                <w:lang w:eastAsia="zh-CN"/>
              </w:rPr>
              <w:t>赋分标准</w:t>
            </w:r>
          </w:p>
          <w:p w14:paraId="10ADC423">
            <w:pPr>
              <w:keepNext w:val="0"/>
              <w:keepLines w:val="0"/>
              <w:pageBreakBefore w:val="0"/>
              <w:widowControl/>
              <w:numPr>
                <w:ilvl w:val="0"/>
                <w:numId w:val="0"/>
              </w:numPr>
              <w:kinsoku/>
              <w:wordWrap/>
              <w:overflowPunct/>
              <w:topLinePunct w:val="0"/>
              <w:autoSpaceDE w:val="0"/>
              <w:autoSpaceDN w:val="0"/>
              <w:bidi w:val="0"/>
              <w:adjustRightInd w:val="0"/>
              <w:snapToGrid/>
              <w:spacing w:line="260" w:lineRule="exact"/>
              <w:ind w:left="0" w:left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1、</w:t>
            </w:r>
            <w:r>
              <w:rPr>
                <w:rFonts w:hint="default" w:ascii="Times New Roman" w:hAnsi="Times New Roman" w:eastAsia="仿宋_GB2312" w:cs="Times New Roman"/>
                <w:color w:val="auto"/>
                <w:sz w:val="24"/>
                <w:szCs w:val="24"/>
              </w:rPr>
              <w:t>完整性：方案内容完整全面，对上述各项内容均有详细描述及说明，得</w:t>
            </w: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分；缺1项，得</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分；缺2项，得</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分；缺3项，得</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 xml:space="preserve">分。 </w:t>
            </w:r>
          </w:p>
          <w:p w14:paraId="21BB48FE">
            <w:pPr>
              <w:keepNext w:val="0"/>
              <w:keepLines w:val="0"/>
              <w:pageBreakBefore w:val="0"/>
              <w:widowControl/>
              <w:numPr>
                <w:ilvl w:val="0"/>
                <w:numId w:val="0"/>
              </w:numPr>
              <w:kinsoku/>
              <w:wordWrap/>
              <w:overflowPunct/>
              <w:topLinePunct w:val="0"/>
              <w:autoSpaceDE w:val="0"/>
              <w:autoSpaceDN w:val="0"/>
              <w:bidi w:val="0"/>
              <w:adjustRightInd w:val="0"/>
              <w:snapToGrid/>
              <w:spacing w:line="260" w:lineRule="exact"/>
              <w:ind w:left="0" w:left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2、</w:t>
            </w:r>
            <w:r>
              <w:rPr>
                <w:rFonts w:hint="default" w:ascii="Times New Roman" w:hAnsi="Times New Roman" w:eastAsia="仿宋_GB2312" w:cs="Times New Roman"/>
                <w:color w:val="auto"/>
                <w:sz w:val="24"/>
                <w:szCs w:val="24"/>
              </w:rPr>
              <w:t>针对性：针对性强，得</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分；针对性一般，得</w:t>
            </w:r>
            <w:r>
              <w:rPr>
                <w:rFonts w:hint="default" w:ascii="Times New Roman" w:hAnsi="Times New Roman" w:eastAsia="仿宋_GB2312" w:cs="Times New Roman"/>
                <w:color w:val="auto"/>
                <w:sz w:val="24"/>
                <w:szCs w:val="24"/>
                <w:lang w:val="en-US" w:eastAsia="zh-CN"/>
              </w:rPr>
              <w:t>1.5</w:t>
            </w:r>
            <w:r>
              <w:rPr>
                <w:rFonts w:hint="default" w:ascii="Times New Roman" w:hAnsi="Times New Roman" w:eastAsia="仿宋_GB2312" w:cs="Times New Roman"/>
                <w:color w:val="auto"/>
                <w:sz w:val="24"/>
                <w:szCs w:val="24"/>
              </w:rPr>
              <w:t xml:space="preserve">分；缺乏针对性，得0分。 </w:t>
            </w:r>
          </w:p>
          <w:p w14:paraId="06B568AB">
            <w:pPr>
              <w:keepNext w:val="0"/>
              <w:keepLines w:val="0"/>
              <w:pageBreakBefore w:val="0"/>
              <w:widowControl/>
              <w:numPr>
                <w:ilvl w:val="0"/>
                <w:numId w:val="0"/>
              </w:numPr>
              <w:kinsoku/>
              <w:wordWrap/>
              <w:overflowPunct/>
              <w:topLinePunct w:val="0"/>
              <w:autoSpaceDE w:val="0"/>
              <w:autoSpaceDN w:val="0"/>
              <w:bidi w:val="0"/>
              <w:adjustRightInd w:val="0"/>
              <w:snapToGrid/>
              <w:spacing w:line="260" w:lineRule="exact"/>
              <w:ind w:left="0" w:left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3、</w:t>
            </w:r>
            <w:r>
              <w:rPr>
                <w:rFonts w:hint="default" w:ascii="Times New Roman" w:hAnsi="Times New Roman" w:eastAsia="仿宋_GB2312" w:cs="Times New Roman"/>
                <w:color w:val="auto"/>
                <w:sz w:val="24"/>
                <w:szCs w:val="24"/>
              </w:rPr>
              <w:t>可实施性：可实施性强，得</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分；可实施性一般，得</w:t>
            </w:r>
            <w:r>
              <w:rPr>
                <w:rFonts w:hint="default" w:ascii="Times New Roman" w:hAnsi="Times New Roman" w:eastAsia="仿宋_GB2312" w:cs="Times New Roman"/>
                <w:color w:val="auto"/>
                <w:sz w:val="24"/>
                <w:szCs w:val="24"/>
                <w:lang w:val="en-US" w:eastAsia="zh-CN"/>
              </w:rPr>
              <w:t>1.5</w:t>
            </w:r>
            <w:r>
              <w:rPr>
                <w:rFonts w:hint="default" w:ascii="Times New Roman" w:hAnsi="Times New Roman" w:eastAsia="仿宋_GB2312" w:cs="Times New Roman"/>
                <w:color w:val="auto"/>
                <w:sz w:val="24"/>
                <w:szCs w:val="24"/>
              </w:rPr>
              <w:t xml:space="preserve">分；缺乏可实施性，得0分。 </w:t>
            </w:r>
          </w:p>
          <w:p w14:paraId="25E64E24">
            <w:pPr>
              <w:keepNext w:val="0"/>
              <w:keepLines w:val="0"/>
              <w:pageBreakBefore w:val="0"/>
              <w:widowControl/>
              <w:numPr>
                <w:ilvl w:val="0"/>
                <w:numId w:val="0"/>
              </w:numPr>
              <w:kinsoku/>
              <w:wordWrap/>
              <w:overflowPunct/>
              <w:topLinePunct w:val="0"/>
              <w:autoSpaceDE w:val="0"/>
              <w:autoSpaceDN w:val="0"/>
              <w:bidi w:val="0"/>
              <w:adjustRightInd w:val="0"/>
              <w:snapToGrid/>
              <w:spacing w:line="260" w:lineRule="exact"/>
              <w:ind w:left="0" w:leftChars="0"/>
              <w:textAlignment w:val="auto"/>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kern w:val="2"/>
                <w:sz w:val="24"/>
                <w:szCs w:val="24"/>
                <w:lang w:val="en-US" w:eastAsia="zh-CN" w:bidi="ar-SA"/>
              </w:rPr>
              <w:t>4、</w:t>
            </w:r>
            <w:r>
              <w:rPr>
                <w:rFonts w:hint="default" w:ascii="Times New Roman" w:hAnsi="Times New Roman" w:eastAsia="仿宋_GB2312" w:cs="Times New Roman"/>
                <w:color w:val="auto"/>
                <w:sz w:val="24"/>
                <w:szCs w:val="24"/>
              </w:rPr>
              <w:t>此项不提供不得分。</w:t>
            </w:r>
          </w:p>
        </w:tc>
        <w:tc>
          <w:tcPr>
            <w:tcW w:w="852" w:type="dxa"/>
            <w:vMerge w:val="restart"/>
            <w:tcBorders>
              <w:top w:val="single" w:color="000000" w:sz="4" w:space="0"/>
              <w:left w:val="nil"/>
              <w:bottom w:val="single" w:color="auto" w:sz="4" w:space="0"/>
              <w:right w:val="single" w:color="000000" w:sz="4" w:space="0"/>
            </w:tcBorders>
            <w:noWrap w:val="0"/>
            <w:vAlign w:val="center"/>
          </w:tcPr>
          <w:p w14:paraId="7D4C83D4">
            <w:pPr>
              <w:snapToGrid w:val="0"/>
              <w:spacing w:line="260" w:lineRule="exact"/>
              <w:rPr>
                <w:rFonts w:hint="default" w:ascii="Times New Roman" w:hAnsi="Times New Roman" w:eastAsia="仿宋_GB2312" w:cs="Times New Roman"/>
                <w:color w:val="auto"/>
                <w:sz w:val="24"/>
                <w:szCs w:val="24"/>
              </w:rPr>
            </w:pPr>
          </w:p>
          <w:p w14:paraId="7EDBB7A8">
            <w:pPr>
              <w:snapToGrid w:val="0"/>
              <w:spacing w:line="260" w:lineRule="exact"/>
              <w:rPr>
                <w:rFonts w:hint="default" w:ascii="Times New Roman" w:hAnsi="Times New Roman" w:eastAsia="仿宋_GB2312" w:cs="Times New Roman"/>
                <w:color w:val="auto"/>
                <w:sz w:val="24"/>
                <w:szCs w:val="24"/>
              </w:rPr>
            </w:pPr>
          </w:p>
          <w:p w14:paraId="07E2510D">
            <w:pPr>
              <w:snapToGrid w:val="0"/>
              <w:spacing w:line="260" w:lineRule="exact"/>
              <w:rPr>
                <w:rFonts w:hint="default" w:ascii="Times New Roman" w:hAnsi="Times New Roman" w:eastAsia="仿宋" w:cs="Times New Roman"/>
                <w:color w:val="auto"/>
                <w:sz w:val="24"/>
                <w:szCs w:val="24"/>
              </w:rPr>
            </w:pPr>
          </w:p>
        </w:tc>
      </w:tr>
      <w:tr w14:paraId="1D1874B8">
        <w:tblPrEx>
          <w:tblCellMar>
            <w:top w:w="0" w:type="dxa"/>
            <w:left w:w="108" w:type="dxa"/>
            <w:bottom w:w="0" w:type="dxa"/>
            <w:right w:w="108" w:type="dxa"/>
          </w:tblCellMar>
        </w:tblPrEx>
        <w:trPr>
          <w:trHeight w:val="844"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75394F6A">
            <w:pPr>
              <w:snapToGrid w:val="0"/>
              <w:spacing w:line="260" w:lineRule="exact"/>
              <w:jc w:val="center"/>
              <w:rPr>
                <w:rFonts w:hint="default" w:ascii="Times New Roman" w:hAnsi="Times New Roman" w:eastAsia="仿宋" w:cs="Times New Roman"/>
                <w:color w:val="auto"/>
                <w:sz w:val="24"/>
                <w:szCs w:val="24"/>
              </w:rPr>
            </w:pPr>
          </w:p>
        </w:tc>
        <w:tc>
          <w:tcPr>
            <w:tcW w:w="900" w:type="dxa"/>
            <w:vMerge w:val="continue"/>
            <w:tcBorders>
              <w:top w:val="single" w:color="auto" w:sz="4" w:space="0"/>
              <w:left w:val="nil"/>
              <w:bottom w:val="single" w:color="auto" w:sz="4" w:space="0"/>
              <w:right w:val="single" w:color="000000" w:sz="4" w:space="0"/>
            </w:tcBorders>
            <w:noWrap w:val="0"/>
            <w:vAlign w:val="center"/>
          </w:tcPr>
          <w:p w14:paraId="4FB2D290">
            <w:pPr>
              <w:snapToGrid w:val="0"/>
              <w:spacing w:line="260" w:lineRule="exact"/>
              <w:jc w:val="center"/>
              <w:rPr>
                <w:rFonts w:hint="default" w:ascii="Times New Roman" w:hAnsi="Times New Roman" w:eastAsia="仿宋" w:cs="Times New Roman"/>
                <w:color w:val="auto"/>
                <w:sz w:val="24"/>
                <w:szCs w:val="24"/>
              </w:rPr>
            </w:pPr>
          </w:p>
        </w:tc>
        <w:tc>
          <w:tcPr>
            <w:tcW w:w="900" w:type="dxa"/>
            <w:tcBorders>
              <w:top w:val="single" w:color="auto" w:sz="4" w:space="0"/>
              <w:left w:val="nil"/>
              <w:bottom w:val="single" w:color="auto" w:sz="4" w:space="0"/>
              <w:right w:val="single" w:color="000000" w:sz="4" w:space="0"/>
            </w:tcBorders>
            <w:noWrap w:val="0"/>
            <w:vAlign w:val="center"/>
          </w:tcPr>
          <w:p w14:paraId="3EEF9A8B">
            <w:pPr>
              <w:snapToGrid w:val="0"/>
              <w:spacing w:line="260" w:lineRule="exact"/>
              <w:jc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 xml:space="preserve">门卫 </w:t>
            </w:r>
          </w:p>
          <w:p w14:paraId="2E8FFA18">
            <w:pPr>
              <w:snapToGrid w:val="0"/>
              <w:spacing w:line="260" w:lineRule="exact"/>
              <w:jc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 xml:space="preserve">服务 </w:t>
            </w:r>
          </w:p>
          <w:p w14:paraId="0EB8624C">
            <w:pPr>
              <w:snapToGrid w:val="0"/>
              <w:spacing w:line="260" w:lineRule="exact"/>
              <w:jc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方案</w:t>
            </w:r>
          </w:p>
          <w:p w14:paraId="3B07925C">
            <w:pPr>
              <w:snapToGrid w:val="0"/>
              <w:spacing w:line="260" w:lineRule="exact"/>
              <w:jc w:val="center"/>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9</w:t>
            </w:r>
          </w:p>
        </w:tc>
        <w:tc>
          <w:tcPr>
            <w:tcW w:w="5988" w:type="dxa"/>
            <w:tcBorders>
              <w:top w:val="single" w:color="auto" w:sz="4" w:space="0"/>
              <w:left w:val="nil"/>
              <w:bottom w:val="single" w:color="auto" w:sz="4" w:space="0"/>
              <w:right w:val="single" w:color="000000" w:sz="4" w:space="0"/>
            </w:tcBorders>
            <w:noWrap w:val="0"/>
            <w:vAlign w:val="center"/>
          </w:tcPr>
          <w:p w14:paraId="0A16E14B">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一、</w:t>
            </w:r>
            <w:r>
              <w:rPr>
                <w:rFonts w:hint="default" w:ascii="Times New Roman" w:hAnsi="Times New Roman" w:eastAsia="仿宋_GB2312" w:cs="Times New Roman"/>
                <w:b/>
                <w:bCs/>
                <w:color w:val="auto"/>
                <w:sz w:val="24"/>
                <w:szCs w:val="24"/>
                <w:lang w:val="en-US" w:eastAsia="zh-CN"/>
              </w:rPr>
              <w:t xml:space="preserve">评审内容 </w:t>
            </w:r>
          </w:p>
          <w:p w14:paraId="2352E610">
            <w:pPr>
              <w:keepNext w:val="0"/>
              <w:keepLines w:val="0"/>
              <w:pageBreakBefore w:val="0"/>
              <w:widowControl/>
              <w:numPr>
                <w:ilvl w:val="0"/>
                <w:numId w:val="0"/>
              </w:numPr>
              <w:kinsoku/>
              <w:wordWrap/>
              <w:overflowPunct/>
              <w:topLinePunct w:val="0"/>
              <w:autoSpaceDE w:val="0"/>
              <w:autoSpaceDN w:val="0"/>
              <w:bidi w:val="0"/>
              <w:adjustRightInd w:val="0"/>
              <w:spacing w:line="260" w:lineRule="exact"/>
              <w:ind w:left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针对本项目提出门卫服务方案，内容包括①门卫值守、检查登记② 秩序维护及门岗紧急情况处理③勤务制度。</w:t>
            </w:r>
          </w:p>
          <w:p w14:paraId="0F89BCFC">
            <w:pPr>
              <w:keepNext w:val="0"/>
              <w:keepLines w:val="0"/>
              <w:pageBreakBefore w:val="0"/>
              <w:widowControl/>
              <w:numPr>
                <w:ilvl w:val="0"/>
                <w:numId w:val="0"/>
              </w:numPr>
              <w:kinsoku/>
              <w:wordWrap/>
              <w:overflowPunct/>
              <w:topLinePunct w:val="0"/>
              <w:autoSpaceDE w:val="0"/>
              <w:autoSpaceDN w:val="0"/>
              <w:bidi w:val="0"/>
              <w:adjustRightInd w:val="0"/>
              <w:spacing w:line="260" w:lineRule="exact"/>
              <w:ind w:leftChars="0"/>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二、</w:t>
            </w:r>
            <w:r>
              <w:rPr>
                <w:rFonts w:hint="default" w:ascii="Times New Roman" w:hAnsi="Times New Roman" w:eastAsia="仿宋_GB2312" w:cs="Times New Roman"/>
                <w:b/>
                <w:bCs/>
                <w:color w:val="auto"/>
                <w:sz w:val="24"/>
                <w:szCs w:val="24"/>
                <w:lang w:val="en-US" w:eastAsia="zh-CN"/>
              </w:rPr>
              <w:t>赋分标准</w:t>
            </w:r>
          </w:p>
          <w:p w14:paraId="6C4B2DFB">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1、完整性：方案必须全面，对评审内容中的各项要求有详细描述及说明，得3分；每缺1项，扣1分；</w:t>
            </w:r>
          </w:p>
          <w:p w14:paraId="4F387299">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不提供不得分。</w:t>
            </w:r>
          </w:p>
          <w:p w14:paraId="2E27608B">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2、针对性：方案能够紧扣项目实际情况，内容科学合理，得3分；针对性一般，得1.5分；缺乏针对性，得0分。</w:t>
            </w:r>
          </w:p>
          <w:p w14:paraId="116C7ED7">
            <w:pPr>
              <w:keepNext w:val="0"/>
              <w:keepLines w:val="0"/>
              <w:pageBreakBefore w:val="0"/>
              <w:widowControl/>
              <w:numPr>
                <w:ilvl w:val="0"/>
                <w:numId w:val="0"/>
              </w:numPr>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3、可实施性：切合本项目实际情况，提出步骤清晰、合理的方案，得3分；可实施性一般，得1.5分；缺乏可实施性，得0分。</w:t>
            </w:r>
          </w:p>
          <w:p w14:paraId="72F7F949">
            <w:pPr>
              <w:keepNext w:val="0"/>
              <w:keepLines w:val="0"/>
              <w:pageBreakBefore w:val="0"/>
              <w:widowControl/>
              <w:numPr>
                <w:ilvl w:val="0"/>
                <w:numId w:val="0"/>
              </w:numPr>
              <w:kinsoku/>
              <w:wordWrap/>
              <w:overflowPunct/>
              <w:topLinePunct w:val="0"/>
              <w:bidi w:val="0"/>
              <w:snapToGrid w:val="0"/>
              <w:spacing w:line="260" w:lineRule="exac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24"/>
                <w:szCs w:val="24"/>
                <w:lang w:val="en-US" w:eastAsia="zh-CN"/>
              </w:rPr>
              <w:t>4、不提供不得分。</w:t>
            </w:r>
          </w:p>
        </w:tc>
        <w:tc>
          <w:tcPr>
            <w:tcW w:w="852" w:type="dxa"/>
            <w:vMerge w:val="continue"/>
            <w:tcBorders>
              <w:top w:val="single" w:color="auto" w:sz="4" w:space="0"/>
              <w:left w:val="nil"/>
              <w:right w:val="single" w:color="000000" w:sz="4" w:space="0"/>
            </w:tcBorders>
            <w:noWrap w:val="0"/>
            <w:vAlign w:val="center"/>
          </w:tcPr>
          <w:p w14:paraId="71868A1C">
            <w:pPr>
              <w:snapToGrid w:val="0"/>
              <w:spacing w:line="260" w:lineRule="exact"/>
              <w:rPr>
                <w:rFonts w:hint="default" w:ascii="Times New Roman" w:hAnsi="Times New Roman" w:eastAsia="仿宋" w:cs="Times New Roman"/>
                <w:color w:val="auto"/>
                <w:sz w:val="24"/>
                <w:szCs w:val="24"/>
              </w:rPr>
            </w:pPr>
          </w:p>
        </w:tc>
      </w:tr>
      <w:tr w14:paraId="7B3EC49D">
        <w:tblPrEx>
          <w:tblCellMar>
            <w:top w:w="0" w:type="dxa"/>
            <w:left w:w="108" w:type="dxa"/>
            <w:bottom w:w="0" w:type="dxa"/>
            <w:right w:w="108" w:type="dxa"/>
          </w:tblCellMar>
        </w:tblPrEx>
        <w:trPr>
          <w:trHeight w:val="4406"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52D05670">
            <w:pPr>
              <w:snapToGrid w:val="0"/>
              <w:spacing w:line="260" w:lineRule="exact"/>
              <w:jc w:val="center"/>
              <w:rPr>
                <w:rFonts w:hint="default" w:ascii="Times New Roman" w:hAnsi="Times New Roman" w:eastAsia="仿宋" w:cs="Times New Roman"/>
                <w:color w:val="auto"/>
                <w:sz w:val="24"/>
                <w:szCs w:val="24"/>
              </w:rPr>
            </w:pPr>
          </w:p>
        </w:tc>
        <w:tc>
          <w:tcPr>
            <w:tcW w:w="900" w:type="dxa"/>
            <w:vMerge w:val="continue"/>
            <w:tcBorders>
              <w:top w:val="single" w:color="auto" w:sz="4" w:space="0"/>
              <w:left w:val="nil"/>
              <w:bottom w:val="single" w:color="auto" w:sz="4" w:space="0"/>
              <w:right w:val="single" w:color="000000" w:sz="4" w:space="0"/>
            </w:tcBorders>
            <w:noWrap w:val="0"/>
            <w:vAlign w:val="center"/>
          </w:tcPr>
          <w:p w14:paraId="0CDE4B44">
            <w:pPr>
              <w:snapToGrid w:val="0"/>
              <w:spacing w:line="260" w:lineRule="exact"/>
              <w:jc w:val="center"/>
              <w:rPr>
                <w:rFonts w:hint="default" w:ascii="Times New Roman" w:hAnsi="Times New Roman" w:eastAsia="仿宋" w:cs="Times New Roman"/>
                <w:color w:val="auto"/>
                <w:sz w:val="24"/>
                <w:szCs w:val="24"/>
              </w:rPr>
            </w:pPr>
          </w:p>
        </w:tc>
        <w:tc>
          <w:tcPr>
            <w:tcW w:w="900" w:type="dxa"/>
            <w:tcBorders>
              <w:top w:val="single" w:color="auto" w:sz="4" w:space="0"/>
              <w:left w:val="nil"/>
              <w:bottom w:val="single" w:color="auto" w:sz="4" w:space="0"/>
              <w:right w:val="single" w:color="000000" w:sz="4" w:space="0"/>
            </w:tcBorders>
            <w:noWrap w:val="0"/>
            <w:vAlign w:val="center"/>
          </w:tcPr>
          <w:p w14:paraId="1892C852">
            <w:pPr>
              <w:snapToGrid w:val="0"/>
              <w:spacing w:line="260" w:lineRule="exact"/>
              <w:jc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 xml:space="preserve">安全 </w:t>
            </w:r>
          </w:p>
          <w:p w14:paraId="2223A213">
            <w:pPr>
              <w:snapToGrid w:val="0"/>
              <w:spacing w:line="260" w:lineRule="exact"/>
              <w:jc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 xml:space="preserve">巡逻 </w:t>
            </w:r>
          </w:p>
          <w:p w14:paraId="1536B0CB">
            <w:pPr>
              <w:snapToGrid w:val="0"/>
              <w:spacing w:line="260" w:lineRule="exact"/>
              <w:jc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 xml:space="preserve">巡查 </w:t>
            </w:r>
          </w:p>
          <w:p w14:paraId="7AFAC926">
            <w:pPr>
              <w:snapToGrid w:val="0"/>
              <w:spacing w:line="260" w:lineRule="exact"/>
              <w:jc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方案</w:t>
            </w:r>
          </w:p>
          <w:p w14:paraId="36743FD8">
            <w:pPr>
              <w:snapToGrid w:val="0"/>
              <w:spacing w:line="260" w:lineRule="exact"/>
              <w:jc w:val="center"/>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6</w:t>
            </w:r>
          </w:p>
        </w:tc>
        <w:tc>
          <w:tcPr>
            <w:tcW w:w="5988" w:type="dxa"/>
            <w:tcBorders>
              <w:top w:val="single" w:color="auto" w:sz="4" w:space="0"/>
              <w:left w:val="nil"/>
              <w:bottom w:val="single" w:color="auto" w:sz="4" w:space="0"/>
              <w:right w:val="single" w:color="000000" w:sz="4" w:space="0"/>
            </w:tcBorders>
            <w:noWrap w:val="0"/>
            <w:vAlign w:val="center"/>
          </w:tcPr>
          <w:p w14:paraId="60C95BC7">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一、</w:t>
            </w:r>
            <w:r>
              <w:rPr>
                <w:rFonts w:hint="default" w:ascii="Times New Roman" w:hAnsi="Times New Roman" w:eastAsia="仿宋_GB2312" w:cs="Times New Roman"/>
                <w:b/>
                <w:bCs/>
                <w:color w:val="auto"/>
                <w:sz w:val="24"/>
                <w:szCs w:val="24"/>
                <w:lang w:val="en-US" w:eastAsia="zh-CN"/>
              </w:rPr>
              <w:t xml:space="preserve">评审内容 </w:t>
            </w:r>
          </w:p>
          <w:p w14:paraId="528993F6">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针对本项目提出安全巡逻巡查方案，内容包括①日常巡逻巡查：包含服务范围内的建筑物及重点区域、要害部位②紧急情况处置：包含巡逻巡查过程对不安全因素、安全隐患及不文明行为具有紧急情况的处置能力。</w:t>
            </w:r>
          </w:p>
          <w:p w14:paraId="087455C8">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二、</w:t>
            </w:r>
            <w:r>
              <w:rPr>
                <w:rFonts w:hint="default" w:ascii="Times New Roman" w:hAnsi="Times New Roman" w:eastAsia="仿宋_GB2312" w:cs="Times New Roman"/>
                <w:b/>
                <w:bCs/>
                <w:color w:val="auto"/>
                <w:sz w:val="24"/>
                <w:szCs w:val="24"/>
                <w:lang w:val="en-US" w:eastAsia="zh-CN"/>
              </w:rPr>
              <w:t>赋分标准</w:t>
            </w:r>
            <w:r>
              <w:rPr>
                <w:rFonts w:hint="default" w:ascii="Times New Roman" w:hAnsi="Times New Roman" w:eastAsia="仿宋_GB2312" w:cs="Times New Roman"/>
                <w:color w:val="auto"/>
                <w:sz w:val="24"/>
                <w:szCs w:val="24"/>
                <w:lang w:val="en-US" w:eastAsia="zh-CN"/>
              </w:rPr>
              <w:t xml:space="preserve"> </w:t>
            </w:r>
          </w:p>
          <w:p w14:paraId="26624E82">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1、完整性：方案必须全面，对评审内容中的各项要求有详细描述及说明，得2分；缺1项，得1分；缺2项，得0分。</w:t>
            </w:r>
          </w:p>
          <w:p w14:paraId="7D3064EC">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2、针对性：方案能够紧扣项目实际情况，内容科学合理，得2分；针对性一般，得1分；缺乏针对性，得0分。</w:t>
            </w:r>
          </w:p>
          <w:p w14:paraId="4EF37524">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3、可实施性：切合本项目实际情况，提出步骤清晰、合理的方案，得2分；可实施性一般，得1分；缺乏可实施性，得0分。 </w:t>
            </w:r>
          </w:p>
          <w:p w14:paraId="5058F618">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4、此项不提供不得分。</w:t>
            </w:r>
          </w:p>
        </w:tc>
        <w:tc>
          <w:tcPr>
            <w:tcW w:w="852" w:type="dxa"/>
            <w:vMerge w:val="continue"/>
            <w:tcBorders>
              <w:left w:val="nil"/>
              <w:right w:val="single" w:color="000000" w:sz="4" w:space="0"/>
            </w:tcBorders>
            <w:noWrap w:val="0"/>
            <w:vAlign w:val="center"/>
          </w:tcPr>
          <w:p w14:paraId="308CFDDE">
            <w:pPr>
              <w:snapToGrid w:val="0"/>
              <w:spacing w:line="260" w:lineRule="exact"/>
              <w:rPr>
                <w:rFonts w:hint="default" w:ascii="Times New Roman" w:hAnsi="Times New Roman" w:eastAsia="仿宋" w:cs="Times New Roman"/>
                <w:color w:val="auto"/>
                <w:sz w:val="24"/>
                <w:szCs w:val="24"/>
              </w:rPr>
            </w:pPr>
          </w:p>
        </w:tc>
      </w:tr>
      <w:tr w14:paraId="7E28C0F5">
        <w:tblPrEx>
          <w:tblCellMar>
            <w:top w:w="0" w:type="dxa"/>
            <w:left w:w="108" w:type="dxa"/>
            <w:bottom w:w="0" w:type="dxa"/>
            <w:right w:w="108" w:type="dxa"/>
          </w:tblCellMar>
        </w:tblPrEx>
        <w:trPr>
          <w:trHeight w:val="90" w:hRule="atLeast"/>
        </w:trPr>
        <w:tc>
          <w:tcPr>
            <w:tcW w:w="648" w:type="dxa"/>
            <w:vMerge w:val="restart"/>
            <w:tcBorders>
              <w:top w:val="single" w:color="auto" w:sz="4" w:space="0"/>
              <w:left w:val="single" w:color="000000" w:sz="4" w:space="0"/>
              <w:right w:val="single" w:color="000000" w:sz="4" w:space="0"/>
            </w:tcBorders>
            <w:noWrap w:val="0"/>
            <w:vAlign w:val="center"/>
          </w:tcPr>
          <w:p w14:paraId="1E4F7868">
            <w:pPr>
              <w:snapToGrid w:val="0"/>
              <w:spacing w:line="26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技术服务</w:t>
            </w:r>
          </w:p>
        </w:tc>
        <w:tc>
          <w:tcPr>
            <w:tcW w:w="900" w:type="dxa"/>
            <w:vMerge w:val="restart"/>
            <w:tcBorders>
              <w:top w:val="single" w:color="auto" w:sz="4" w:space="0"/>
              <w:left w:val="nil"/>
              <w:right w:val="single" w:color="000000" w:sz="4" w:space="0"/>
            </w:tcBorders>
            <w:noWrap w:val="0"/>
            <w:vAlign w:val="center"/>
          </w:tcPr>
          <w:p w14:paraId="1961DF22">
            <w:pPr>
              <w:pStyle w:val="22"/>
              <w:ind w:firstLine="243" w:firstLineChars="100"/>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lang w:val="en-US" w:eastAsia="zh-CN"/>
              </w:rPr>
              <w:t>73</w:t>
            </w:r>
          </w:p>
        </w:tc>
        <w:tc>
          <w:tcPr>
            <w:tcW w:w="900" w:type="dxa"/>
            <w:tcBorders>
              <w:top w:val="single" w:color="auto" w:sz="4" w:space="0"/>
              <w:left w:val="nil"/>
              <w:bottom w:val="single" w:color="auto" w:sz="4" w:space="0"/>
              <w:right w:val="single" w:color="000000" w:sz="4" w:space="0"/>
            </w:tcBorders>
            <w:noWrap w:val="0"/>
            <w:vAlign w:val="center"/>
          </w:tcPr>
          <w:p w14:paraId="44D299B7">
            <w:pPr>
              <w:snapToGrid w:val="0"/>
              <w:spacing w:line="260" w:lineRule="exact"/>
              <w:jc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 xml:space="preserve">值守 </w:t>
            </w:r>
          </w:p>
          <w:p w14:paraId="05A40E33">
            <w:pPr>
              <w:snapToGrid w:val="0"/>
              <w:spacing w:line="260" w:lineRule="exact"/>
              <w:jc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 xml:space="preserve">服务 </w:t>
            </w:r>
          </w:p>
          <w:p w14:paraId="6B009B28">
            <w:pPr>
              <w:snapToGrid w:val="0"/>
              <w:spacing w:line="260" w:lineRule="exact"/>
              <w:jc w:val="center"/>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方案</w:t>
            </w:r>
          </w:p>
          <w:p w14:paraId="0C128D20">
            <w:pPr>
              <w:snapToGrid w:val="0"/>
              <w:spacing w:line="260" w:lineRule="exact"/>
              <w:jc w:val="center"/>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6</w:t>
            </w:r>
          </w:p>
        </w:tc>
        <w:tc>
          <w:tcPr>
            <w:tcW w:w="5988" w:type="dxa"/>
            <w:tcBorders>
              <w:top w:val="single" w:color="auto" w:sz="4" w:space="0"/>
              <w:left w:val="nil"/>
              <w:bottom w:val="single" w:color="auto" w:sz="4" w:space="0"/>
              <w:right w:val="single" w:color="000000" w:sz="4" w:space="0"/>
            </w:tcBorders>
            <w:noWrap w:val="0"/>
            <w:vAlign w:val="center"/>
          </w:tcPr>
          <w:p w14:paraId="28D0ABE1">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一、评审内容</w:t>
            </w:r>
          </w:p>
          <w:p w14:paraId="4B8163AC">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针对本项目服务内容提出值守服务方案，方案包括：①公共财物巡查方案②公共财物出入管理。</w:t>
            </w:r>
          </w:p>
          <w:p w14:paraId="14DD5619">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二、赋分标准</w:t>
            </w:r>
          </w:p>
          <w:p w14:paraId="2F6F79E4">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1、完整性：方案内容完整全面，对上述各项内容均有详细</w:t>
            </w:r>
            <w:r>
              <w:rPr>
                <w:rFonts w:hint="default" w:ascii="Times New Roman" w:hAnsi="Times New Roman" w:eastAsia="仿宋_GB2312" w:cs="Times New Roman"/>
                <w:color w:val="auto"/>
                <w:spacing w:val="-6"/>
                <w:sz w:val="24"/>
                <w:szCs w:val="24"/>
                <w:lang w:val="en-US" w:eastAsia="zh-CN"/>
              </w:rPr>
              <w:t>描述及说明，得2分；缺1项，得1分；缺2项，得0分。</w:t>
            </w:r>
          </w:p>
          <w:p w14:paraId="65C01790">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2、针对性：针对性强，得2分；针对性一般，得1分；缺乏针对性，得0分。</w:t>
            </w:r>
          </w:p>
          <w:p w14:paraId="4D1E1F58">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3、可实施性：可实施性强，得2分；可实施性一般，得1分；缺乏可实施性，得0分。</w:t>
            </w:r>
          </w:p>
          <w:p w14:paraId="16487767">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4、此项不提供不得分。</w:t>
            </w:r>
          </w:p>
        </w:tc>
        <w:tc>
          <w:tcPr>
            <w:tcW w:w="852" w:type="dxa"/>
            <w:vMerge w:val="continue"/>
            <w:tcBorders>
              <w:left w:val="nil"/>
              <w:right w:val="single" w:color="000000" w:sz="4" w:space="0"/>
            </w:tcBorders>
            <w:noWrap w:val="0"/>
            <w:vAlign w:val="center"/>
          </w:tcPr>
          <w:p w14:paraId="53B2E2BE">
            <w:pPr>
              <w:snapToGrid w:val="0"/>
              <w:spacing w:line="260" w:lineRule="exact"/>
              <w:rPr>
                <w:rFonts w:hint="default" w:ascii="Times New Roman" w:hAnsi="Times New Roman" w:eastAsia="仿宋" w:cs="Times New Roman"/>
                <w:color w:val="auto"/>
                <w:sz w:val="24"/>
                <w:szCs w:val="24"/>
              </w:rPr>
            </w:pPr>
          </w:p>
        </w:tc>
      </w:tr>
      <w:tr w14:paraId="3FDBC28A">
        <w:tblPrEx>
          <w:tblCellMar>
            <w:top w:w="0" w:type="dxa"/>
            <w:left w:w="108" w:type="dxa"/>
            <w:bottom w:w="0" w:type="dxa"/>
            <w:right w:w="108" w:type="dxa"/>
          </w:tblCellMar>
        </w:tblPrEx>
        <w:trPr>
          <w:trHeight w:val="90" w:hRule="atLeast"/>
        </w:trPr>
        <w:tc>
          <w:tcPr>
            <w:tcW w:w="648" w:type="dxa"/>
            <w:vMerge w:val="continue"/>
            <w:tcBorders>
              <w:left w:val="single" w:color="000000" w:sz="4" w:space="0"/>
              <w:right w:val="single" w:color="000000" w:sz="4" w:space="0"/>
            </w:tcBorders>
            <w:noWrap w:val="0"/>
            <w:vAlign w:val="center"/>
          </w:tcPr>
          <w:p w14:paraId="4D9ED5DE">
            <w:pPr>
              <w:snapToGrid w:val="0"/>
              <w:spacing w:line="260" w:lineRule="exact"/>
              <w:jc w:val="center"/>
              <w:rPr>
                <w:rFonts w:hint="default" w:ascii="Times New Roman" w:hAnsi="Times New Roman" w:eastAsia="仿宋" w:cs="Times New Roman"/>
                <w:color w:val="auto"/>
                <w:sz w:val="24"/>
                <w:szCs w:val="24"/>
              </w:rPr>
            </w:pPr>
          </w:p>
        </w:tc>
        <w:tc>
          <w:tcPr>
            <w:tcW w:w="900" w:type="dxa"/>
            <w:vMerge w:val="continue"/>
            <w:tcBorders>
              <w:left w:val="nil"/>
              <w:right w:val="single" w:color="000000" w:sz="4" w:space="0"/>
            </w:tcBorders>
            <w:noWrap w:val="0"/>
            <w:vAlign w:val="center"/>
          </w:tcPr>
          <w:p w14:paraId="18949A0C">
            <w:pPr>
              <w:snapToGrid w:val="0"/>
              <w:spacing w:line="260" w:lineRule="exact"/>
              <w:jc w:val="center"/>
              <w:rPr>
                <w:rFonts w:hint="default" w:ascii="Times New Roman" w:hAnsi="Times New Roman" w:eastAsia="仿宋" w:cs="Times New Roman"/>
                <w:color w:val="auto"/>
                <w:sz w:val="24"/>
                <w:szCs w:val="24"/>
              </w:rPr>
            </w:pPr>
          </w:p>
        </w:tc>
        <w:tc>
          <w:tcPr>
            <w:tcW w:w="900" w:type="dxa"/>
            <w:tcBorders>
              <w:top w:val="single" w:color="auto" w:sz="4" w:space="0"/>
              <w:left w:val="nil"/>
              <w:bottom w:val="single" w:color="auto" w:sz="4" w:space="0"/>
              <w:right w:val="single" w:color="000000" w:sz="4" w:space="0"/>
            </w:tcBorders>
            <w:noWrap w:val="0"/>
            <w:vAlign w:val="center"/>
          </w:tcPr>
          <w:p w14:paraId="21AE92F9">
            <w:pPr>
              <w:snapToGrid w:val="0"/>
              <w:spacing w:line="260" w:lineRule="exact"/>
              <w:jc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人员配备</w:t>
            </w:r>
          </w:p>
          <w:p w14:paraId="1010D979">
            <w:pPr>
              <w:snapToGrid w:val="0"/>
              <w:spacing w:line="260" w:lineRule="exact"/>
              <w:jc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6</w:t>
            </w:r>
          </w:p>
        </w:tc>
        <w:tc>
          <w:tcPr>
            <w:tcW w:w="5988" w:type="dxa"/>
            <w:tcBorders>
              <w:top w:val="single" w:color="auto" w:sz="4" w:space="0"/>
              <w:left w:val="nil"/>
              <w:bottom w:val="single" w:color="auto" w:sz="4" w:space="0"/>
              <w:right w:val="single" w:color="000000" w:sz="4" w:space="0"/>
            </w:tcBorders>
            <w:noWrap w:val="0"/>
            <w:vAlign w:val="center"/>
          </w:tcPr>
          <w:p w14:paraId="639A9A4E">
            <w:pPr>
              <w:keepNext w:val="0"/>
              <w:keepLines w:val="0"/>
              <w:pageBreakBefore w:val="0"/>
              <w:widowControl/>
              <w:numPr>
                <w:ilvl w:val="0"/>
                <w:numId w:val="8"/>
              </w:numPr>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评审内容</w:t>
            </w:r>
          </w:p>
          <w:p w14:paraId="7EE399AE">
            <w:pPr>
              <w:keepNext w:val="0"/>
              <w:keepLines w:val="0"/>
              <w:pageBreakBefore w:val="0"/>
              <w:widowControl/>
              <w:numPr>
                <w:ilvl w:val="0"/>
                <w:numId w:val="0"/>
              </w:numPr>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对拟派人员情况进行综合比较：</w:t>
            </w:r>
          </w:p>
          <w:p w14:paraId="52E25D9B">
            <w:pPr>
              <w:keepNext w:val="0"/>
              <w:keepLines w:val="0"/>
              <w:pageBreakBefore w:val="0"/>
              <w:widowControl/>
              <w:numPr>
                <w:ilvl w:val="0"/>
                <w:numId w:val="8"/>
              </w:numPr>
              <w:kinsoku/>
              <w:wordWrap/>
              <w:overflowPunct/>
              <w:topLinePunct w:val="0"/>
              <w:autoSpaceDE w:val="0"/>
              <w:autoSpaceDN w:val="0"/>
              <w:bidi w:val="0"/>
              <w:adjustRightInd w:val="0"/>
              <w:spacing w:line="260" w:lineRule="exact"/>
              <w:ind w:left="0" w:leftChars="0" w:firstLine="0" w:firstLineChars="0"/>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赋分标准</w:t>
            </w:r>
          </w:p>
          <w:p w14:paraId="74E2F91E">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拟派保安队长:</w:t>
            </w:r>
            <w:r>
              <w:rPr>
                <w:rFonts w:hint="default" w:ascii="Times New Roman" w:hAnsi="Times New Roman" w:eastAsia="仿宋_GB2312" w:cs="Times New Roman"/>
                <w:color w:val="auto"/>
                <w:sz w:val="24"/>
                <w:szCs w:val="24"/>
                <w:lang w:val="en-US" w:eastAsia="zh-CN"/>
              </w:rPr>
              <w:t>具有3年及以上类似安保服务管理经验，得1分；增加一年管理经验额外增加0.5分，最多增加1分。（提供相关管理经验证明材料或被服务单位加盖公章的管理经验证明材料，证明材料可累计，格式不限，不提供或提供无效材料均不得分。）</w:t>
            </w:r>
          </w:p>
          <w:p w14:paraId="17102A7D">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bCs/>
                <w:color w:val="auto"/>
                <w:sz w:val="24"/>
                <w:szCs w:val="24"/>
                <w:lang w:val="en-US" w:eastAsia="zh-CN"/>
              </w:rPr>
              <w:t>拟派其他工作人员</w:t>
            </w:r>
            <w:r>
              <w:rPr>
                <w:rFonts w:hint="default" w:ascii="Times New Roman" w:hAnsi="Times New Roman" w:eastAsia="仿宋_GB2312" w:cs="Times New Roman"/>
                <w:color w:val="auto"/>
                <w:sz w:val="24"/>
                <w:szCs w:val="24"/>
                <w:lang w:val="en-US" w:eastAsia="zh-CN"/>
              </w:rPr>
              <w:t>：</w:t>
            </w:r>
          </w:p>
          <w:p w14:paraId="5F5FF580">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pacing w:val="-6"/>
                <w:sz w:val="24"/>
                <w:szCs w:val="24"/>
                <w:lang w:val="en-US" w:eastAsia="zh-CN"/>
              </w:rPr>
              <w:t>人员充足，经验丰富，职责划分清晰、合理，得4分；</w:t>
            </w:r>
          </w:p>
          <w:p w14:paraId="265FE3F6">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2、拟派人员较充足，经验较丰富，职责划分较清晰、较合理，得2分；</w:t>
            </w:r>
          </w:p>
          <w:p w14:paraId="1BD47F3E">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3、拟派人员满足第三章最低要求，有一定工作经验，有职责划分，得1分；</w:t>
            </w:r>
          </w:p>
          <w:p w14:paraId="0BC585E6">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4、不提供不得分。</w:t>
            </w:r>
          </w:p>
        </w:tc>
        <w:tc>
          <w:tcPr>
            <w:tcW w:w="852" w:type="dxa"/>
            <w:vMerge w:val="continue"/>
            <w:tcBorders>
              <w:left w:val="nil"/>
              <w:right w:val="single" w:color="000000" w:sz="4" w:space="0"/>
            </w:tcBorders>
            <w:noWrap w:val="0"/>
            <w:vAlign w:val="center"/>
          </w:tcPr>
          <w:p w14:paraId="1076A4EB">
            <w:pPr>
              <w:snapToGrid w:val="0"/>
              <w:spacing w:line="260" w:lineRule="exact"/>
              <w:rPr>
                <w:rFonts w:hint="default" w:ascii="Times New Roman" w:hAnsi="Times New Roman" w:eastAsia="仿宋" w:cs="Times New Roman"/>
                <w:color w:val="auto"/>
                <w:sz w:val="24"/>
                <w:szCs w:val="24"/>
              </w:rPr>
            </w:pPr>
          </w:p>
        </w:tc>
      </w:tr>
      <w:tr w14:paraId="38E2849F">
        <w:tblPrEx>
          <w:tblCellMar>
            <w:top w:w="0" w:type="dxa"/>
            <w:left w:w="108" w:type="dxa"/>
            <w:bottom w:w="0" w:type="dxa"/>
            <w:right w:w="108" w:type="dxa"/>
          </w:tblCellMar>
        </w:tblPrEx>
        <w:trPr>
          <w:trHeight w:val="2960" w:hRule="atLeast"/>
        </w:trPr>
        <w:tc>
          <w:tcPr>
            <w:tcW w:w="648" w:type="dxa"/>
            <w:vMerge w:val="continue"/>
            <w:tcBorders>
              <w:left w:val="single" w:color="000000" w:sz="4" w:space="0"/>
              <w:right w:val="single" w:color="000000" w:sz="4" w:space="0"/>
            </w:tcBorders>
            <w:noWrap w:val="0"/>
            <w:vAlign w:val="center"/>
          </w:tcPr>
          <w:p w14:paraId="57B3C345">
            <w:pPr>
              <w:snapToGrid w:val="0"/>
              <w:spacing w:line="260" w:lineRule="exact"/>
              <w:jc w:val="center"/>
              <w:rPr>
                <w:rFonts w:hint="default" w:ascii="Times New Roman" w:hAnsi="Times New Roman" w:eastAsia="仿宋" w:cs="Times New Roman"/>
                <w:color w:val="auto"/>
                <w:sz w:val="24"/>
                <w:szCs w:val="24"/>
              </w:rPr>
            </w:pPr>
          </w:p>
        </w:tc>
        <w:tc>
          <w:tcPr>
            <w:tcW w:w="900" w:type="dxa"/>
            <w:vMerge w:val="continue"/>
            <w:tcBorders>
              <w:left w:val="nil"/>
              <w:right w:val="single" w:color="000000" w:sz="4" w:space="0"/>
            </w:tcBorders>
            <w:noWrap w:val="0"/>
            <w:vAlign w:val="center"/>
          </w:tcPr>
          <w:p w14:paraId="6A07AB1F">
            <w:pPr>
              <w:snapToGrid w:val="0"/>
              <w:spacing w:line="260" w:lineRule="exact"/>
              <w:jc w:val="center"/>
              <w:rPr>
                <w:rFonts w:hint="default" w:ascii="Times New Roman" w:hAnsi="Times New Roman" w:eastAsia="仿宋" w:cs="Times New Roman"/>
                <w:color w:val="auto"/>
                <w:sz w:val="24"/>
                <w:szCs w:val="24"/>
              </w:rPr>
            </w:pPr>
          </w:p>
        </w:tc>
        <w:tc>
          <w:tcPr>
            <w:tcW w:w="900" w:type="dxa"/>
            <w:tcBorders>
              <w:top w:val="single" w:color="auto" w:sz="4" w:space="0"/>
              <w:left w:val="nil"/>
              <w:bottom w:val="single" w:color="auto" w:sz="4" w:space="0"/>
              <w:right w:val="single" w:color="000000" w:sz="4" w:space="0"/>
            </w:tcBorders>
            <w:noWrap w:val="0"/>
            <w:vAlign w:val="center"/>
          </w:tcPr>
          <w:p w14:paraId="10B7E0E1">
            <w:pPr>
              <w:snapToGrid w:val="0"/>
              <w:spacing w:line="26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机动车（非机动车）辆管理服务方案</w:t>
            </w:r>
          </w:p>
          <w:p w14:paraId="1AD7A9E0">
            <w:pPr>
              <w:snapToGrid w:val="0"/>
              <w:spacing w:line="2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5988" w:type="dxa"/>
            <w:tcBorders>
              <w:top w:val="single" w:color="auto" w:sz="4" w:space="0"/>
              <w:left w:val="nil"/>
              <w:bottom w:val="single" w:color="auto" w:sz="4" w:space="0"/>
              <w:right w:val="single" w:color="000000" w:sz="4" w:space="0"/>
            </w:tcBorders>
            <w:noWrap w:val="0"/>
            <w:vAlign w:val="center"/>
          </w:tcPr>
          <w:p w14:paraId="7DA017C2">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一、评审内容</w:t>
            </w:r>
          </w:p>
          <w:p w14:paraId="587F2B24">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响应人提供本项目车辆管理服务方案，包括①指挥车辆停放②维持停车秩序③突发情况紧急处置。</w:t>
            </w:r>
          </w:p>
          <w:p w14:paraId="548A9D84">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二、赋分标准</w:t>
            </w:r>
          </w:p>
          <w:p w14:paraId="7D8CD59D">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1、完整性：方案内容完整全面，对上述各项内容均有详细描述及</w:t>
            </w:r>
            <w:r>
              <w:rPr>
                <w:rFonts w:hint="default" w:ascii="Times New Roman" w:hAnsi="Times New Roman" w:eastAsia="仿宋_GB2312" w:cs="Times New Roman"/>
                <w:color w:val="auto"/>
                <w:spacing w:val="-6"/>
                <w:sz w:val="24"/>
                <w:szCs w:val="24"/>
                <w:lang w:val="en-US" w:eastAsia="zh-CN"/>
              </w:rPr>
              <w:t>说明，得3分；缺1项，得2分；缺2项，得1分。</w:t>
            </w:r>
          </w:p>
          <w:p w14:paraId="1693DD6B">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2、针对性：针对性强，得3分；针对性一般，得1.5分；缺乏针对性，得0分。</w:t>
            </w:r>
          </w:p>
          <w:p w14:paraId="04A02261">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3、可实施性：可实施性强，得3分；可实施性一般，得1.5分；缺乏可实施性，得0分。</w:t>
            </w:r>
          </w:p>
          <w:p w14:paraId="1DC66D4F">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4、此项不提供不得分。</w:t>
            </w:r>
          </w:p>
        </w:tc>
        <w:tc>
          <w:tcPr>
            <w:tcW w:w="852" w:type="dxa"/>
            <w:vMerge w:val="continue"/>
            <w:tcBorders>
              <w:left w:val="nil"/>
              <w:right w:val="single" w:color="000000" w:sz="4" w:space="0"/>
            </w:tcBorders>
            <w:noWrap w:val="0"/>
            <w:vAlign w:val="center"/>
          </w:tcPr>
          <w:p w14:paraId="5942D6D7">
            <w:pPr>
              <w:snapToGrid w:val="0"/>
              <w:spacing w:line="260" w:lineRule="exact"/>
              <w:rPr>
                <w:rFonts w:hint="default" w:ascii="Times New Roman" w:hAnsi="Times New Roman" w:eastAsia="仿宋" w:cs="Times New Roman"/>
                <w:color w:val="auto"/>
                <w:sz w:val="24"/>
                <w:szCs w:val="24"/>
              </w:rPr>
            </w:pPr>
          </w:p>
        </w:tc>
      </w:tr>
      <w:tr w14:paraId="1507FF97">
        <w:tblPrEx>
          <w:tblCellMar>
            <w:top w:w="0" w:type="dxa"/>
            <w:left w:w="108" w:type="dxa"/>
            <w:bottom w:w="0" w:type="dxa"/>
            <w:right w:w="108" w:type="dxa"/>
          </w:tblCellMar>
        </w:tblPrEx>
        <w:trPr>
          <w:trHeight w:val="478" w:hRule="atLeast"/>
        </w:trPr>
        <w:tc>
          <w:tcPr>
            <w:tcW w:w="648" w:type="dxa"/>
            <w:vMerge w:val="continue"/>
            <w:tcBorders>
              <w:left w:val="single" w:color="000000" w:sz="4" w:space="0"/>
              <w:bottom w:val="single" w:color="auto" w:sz="4" w:space="0"/>
              <w:right w:val="single" w:color="000000" w:sz="4" w:space="0"/>
            </w:tcBorders>
            <w:noWrap w:val="0"/>
            <w:vAlign w:val="center"/>
          </w:tcPr>
          <w:p w14:paraId="3A963999">
            <w:pPr>
              <w:pStyle w:val="10"/>
              <w:rPr>
                <w:rFonts w:hint="default" w:ascii="Times New Roman" w:hAnsi="Times New Roman" w:eastAsia="仿宋" w:cs="Times New Roman"/>
                <w:color w:val="auto"/>
                <w:sz w:val="24"/>
                <w:szCs w:val="24"/>
              </w:rPr>
            </w:pPr>
          </w:p>
        </w:tc>
        <w:tc>
          <w:tcPr>
            <w:tcW w:w="900" w:type="dxa"/>
            <w:vMerge w:val="continue"/>
            <w:tcBorders>
              <w:left w:val="nil"/>
              <w:bottom w:val="single" w:color="auto" w:sz="4" w:space="0"/>
              <w:right w:val="single" w:color="000000" w:sz="4" w:space="0"/>
            </w:tcBorders>
            <w:noWrap w:val="0"/>
            <w:vAlign w:val="center"/>
          </w:tcPr>
          <w:p w14:paraId="60823B73">
            <w:pPr>
              <w:snapToGrid w:val="0"/>
              <w:spacing w:line="260" w:lineRule="exact"/>
              <w:jc w:val="center"/>
              <w:rPr>
                <w:rFonts w:hint="default" w:ascii="Times New Roman" w:hAnsi="Times New Roman" w:eastAsia="仿宋" w:cs="Times New Roman"/>
                <w:color w:val="auto"/>
                <w:sz w:val="24"/>
                <w:szCs w:val="24"/>
              </w:rPr>
            </w:pPr>
          </w:p>
        </w:tc>
        <w:tc>
          <w:tcPr>
            <w:tcW w:w="900" w:type="dxa"/>
            <w:tcBorders>
              <w:top w:val="single" w:color="auto" w:sz="4" w:space="0"/>
              <w:left w:val="nil"/>
              <w:bottom w:val="single" w:color="auto" w:sz="4" w:space="0"/>
              <w:right w:val="single" w:color="000000" w:sz="4" w:space="0"/>
            </w:tcBorders>
            <w:noWrap w:val="0"/>
            <w:vAlign w:val="center"/>
          </w:tcPr>
          <w:p w14:paraId="6916218D">
            <w:pPr>
              <w:snapToGrid w:val="0"/>
              <w:spacing w:line="26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应急预案</w:t>
            </w:r>
          </w:p>
          <w:p w14:paraId="083C437C">
            <w:pPr>
              <w:snapToGrid w:val="0"/>
              <w:spacing w:line="2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5988" w:type="dxa"/>
            <w:tcBorders>
              <w:top w:val="single" w:color="auto" w:sz="4" w:space="0"/>
              <w:left w:val="nil"/>
              <w:bottom w:val="single" w:color="auto" w:sz="4" w:space="0"/>
              <w:right w:val="single" w:color="000000" w:sz="4" w:space="0"/>
            </w:tcBorders>
            <w:noWrap w:val="0"/>
            <w:vAlign w:val="center"/>
          </w:tcPr>
          <w:p w14:paraId="41FB2539">
            <w:pPr>
              <w:keepNext w:val="0"/>
              <w:keepLines w:val="0"/>
              <w:pageBreakBefore w:val="0"/>
              <w:widowControl/>
              <w:numPr>
                <w:ilvl w:val="0"/>
                <w:numId w:val="9"/>
              </w:numPr>
              <w:kinsoku/>
              <w:wordWrap/>
              <w:overflowPunct/>
              <w:topLinePunct w:val="0"/>
              <w:bidi w:val="0"/>
              <w:snapToGrid w:val="0"/>
              <w:spacing w:line="260" w:lineRule="exact"/>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评审内容</w:t>
            </w:r>
          </w:p>
          <w:p w14:paraId="22BE722F">
            <w:pPr>
              <w:keepNext w:val="0"/>
              <w:keepLines w:val="0"/>
              <w:pageBreakBefore w:val="0"/>
              <w:widowControl/>
              <w:numPr>
                <w:ilvl w:val="0"/>
                <w:numId w:val="0"/>
              </w:numPr>
              <w:kinsoku/>
              <w:wordWrap/>
              <w:overflowPunct/>
              <w:topLinePunct w:val="0"/>
              <w:bidi w:val="0"/>
              <w:snapToGrid w:val="0"/>
              <w:spacing w:line="260" w:lineRule="exact"/>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根据本项目服务工作特点制定应急预案，内容包括①违法事件：如盗窃、暴恐、爆炸、破坏的预防及处置措施②群体性公共安全事件：如打架斗殴、寻衅滋事、意外伤亡、踩踏事件、非法聚集的处置措施③自然紧急事件：恶劣天气、停水停电、消防、防汛的预防及处置措施。</w:t>
            </w:r>
          </w:p>
          <w:p w14:paraId="0B31B5F5">
            <w:pPr>
              <w:keepNext w:val="0"/>
              <w:keepLines w:val="0"/>
              <w:pageBreakBefore w:val="0"/>
              <w:widowControl/>
              <w:numPr>
                <w:ilvl w:val="0"/>
                <w:numId w:val="0"/>
              </w:numPr>
              <w:kinsoku/>
              <w:wordWrap/>
              <w:overflowPunct/>
              <w:topLinePunct w:val="0"/>
              <w:bidi w:val="0"/>
              <w:snapToGrid w:val="0"/>
              <w:spacing w:line="260" w:lineRule="exact"/>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二、赋分标准</w:t>
            </w:r>
          </w:p>
          <w:p w14:paraId="28F785DF">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1、完整性：方案内容完整全面，对上述各项内容均有详细描述及说明，得3分；缺1项，得2分；缺2项，得1分。</w:t>
            </w:r>
          </w:p>
          <w:p w14:paraId="6E1B0B90">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2、针对性：针对性强，得3分；针对性一般，得1.5分；缺乏针对性，得0分。</w:t>
            </w:r>
          </w:p>
          <w:p w14:paraId="15AC1277">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3、可实施性：可实施性强，得3分；可实施性一般，得1.5分；缺乏可实施性，得0分。</w:t>
            </w:r>
          </w:p>
          <w:p w14:paraId="02C92942">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lang w:val="en-US" w:eastAsia="zh-CN"/>
              </w:rPr>
              <w:t>4、此项不提供不得分。</w:t>
            </w:r>
          </w:p>
        </w:tc>
        <w:tc>
          <w:tcPr>
            <w:tcW w:w="852" w:type="dxa"/>
            <w:vMerge w:val="continue"/>
            <w:tcBorders>
              <w:left w:val="nil"/>
              <w:bottom w:val="single" w:color="auto" w:sz="4" w:space="0"/>
              <w:right w:val="single" w:color="000000" w:sz="4" w:space="0"/>
            </w:tcBorders>
            <w:noWrap w:val="0"/>
            <w:vAlign w:val="center"/>
          </w:tcPr>
          <w:p w14:paraId="036344A4">
            <w:pPr>
              <w:snapToGrid w:val="0"/>
              <w:spacing w:line="260" w:lineRule="exact"/>
              <w:rPr>
                <w:rFonts w:hint="default" w:ascii="Times New Roman" w:hAnsi="Times New Roman" w:eastAsia="仿宋" w:cs="Times New Roman"/>
                <w:color w:val="auto"/>
                <w:sz w:val="24"/>
                <w:szCs w:val="24"/>
              </w:rPr>
            </w:pPr>
          </w:p>
        </w:tc>
      </w:tr>
      <w:tr w14:paraId="0F8A86B2">
        <w:tblPrEx>
          <w:tblCellMar>
            <w:top w:w="0" w:type="dxa"/>
            <w:left w:w="108" w:type="dxa"/>
            <w:bottom w:w="0" w:type="dxa"/>
            <w:right w:w="108" w:type="dxa"/>
          </w:tblCellMar>
        </w:tblPrEx>
        <w:trPr>
          <w:trHeight w:val="4283" w:hRule="atLeast"/>
        </w:trPr>
        <w:tc>
          <w:tcPr>
            <w:tcW w:w="648" w:type="dxa"/>
            <w:vMerge w:val="restart"/>
            <w:tcBorders>
              <w:top w:val="single" w:color="auto" w:sz="4" w:space="0"/>
              <w:left w:val="single" w:color="000000" w:sz="4" w:space="0"/>
              <w:bottom w:val="single" w:color="auto" w:sz="4" w:space="0"/>
              <w:right w:val="single" w:color="000000" w:sz="4" w:space="0"/>
            </w:tcBorders>
            <w:noWrap w:val="0"/>
            <w:vAlign w:val="center"/>
          </w:tcPr>
          <w:p w14:paraId="16747CA8">
            <w:pPr>
              <w:snapToGrid w:val="0"/>
              <w:spacing w:line="26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技术服务</w:t>
            </w:r>
          </w:p>
        </w:tc>
        <w:tc>
          <w:tcPr>
            <w:tcW w:w="900" w:type="dxa"/>
            <w:vMerge w:val="restart"/>
            <w:tcBorders>
              <w:top w:val="single" w:color="auto" w:sz="4" w:space="0"/>
              <w:left w:val="nil"/>
              <w:bottom w:val="single" w:color="auto" w:sz="4" w:space="0"/>
              <w:right w:val="single" w:color="000000" w:sz="4" w:space="0"/>
            </w:tcBorders>
            <w:noWrap w:val="0"/>
            <w:vAlign w:val="center"/>
          </w:tcPr>
          <w:p w14:paraId="7674C896">
            <w:pPr>
              <w:snapToGrid w:val="0"/>
              <w:spacing w:line="26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lang w:val="en-US" w:eastAsia="zh-CN"/>
              </w:rPr>
              <w:t>73</w:t>
            </w:r>
          </w:p>
        </w:tc>
        <w:tc>
          <w:tcPr>
            <w:tcW w:w="900" w:type="dxa"/>
            <w:tcBorders>
              <w:top w:val="single" w:color="auto" w:sz="4" w:space="0"/>
              <w:left w:val="nil"/>
              <w:bottom w:val="single" w:color="auto" w:sz="4" w:space="0"/>
              <w:right w:val="single" w:color="000000" w:sz="4" w:space="0"/>
            </w:tcBorders>
            <w:noWrap w:val="0"/>
            <w:vAlign w:val="center"/>
          </w:tcPr>
          <w:p w14:paraId="1B2634CE">
            <w:pPr>
              <w:snapToGrid w:val="0"/>
              <w:spacing w:line="260" w:lineRule="exact"/>
              <w:jc w:val="center"/>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eastAsia="zh-CN"/>
              </w:rPr>
              <w:t>管理制度</w:t>
            </w:r>
          </w:p>
          <w:p w14:paraId="3E85B929">
            <w:pPr>
              <w:snapToGrid w:val="0"/>
              <w:spacing w:line="2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9</w:t>
            </w:r>
          </w:p>
        </w:tc>
        <w:tc>
          <w:tcPr>
            <w:tcW w:w="5988" w:type="dxa"/>
            <w:tcBorders>
              <w:top w:val="single" w:color="auto" w:sz="4" w:space="0"/>
              <w:left w:val="nil"/>
              <w:right w:val="single" w:color="000000" w:sz="4" w:space="0"/>
            </w:tcBorders>
            <w:noWrap w:val="0"/>
            <w:vAlign w:val="center"/>
          </w:tcPr>
          <w:p w14:paraId="42D397B4">
            <w:pPr>
              <w:keepNext w:val="0"/>
              <w:keepLines w:val="0"/>
              <w:pageBreakBefore w:val="0"/>
              <w:widowControl/>
              <w:numPr>
                <w:ilvl w:val="0"/>
                <w:numId w:val="10"/>
              </w:numPr>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eastAsia="zh-CN"/>
              </w:rPr>
              <w:t>评审内容</w:t>
            </w:r>
          </w:p>
          <w:p w14:paraId="2C72C6C7">
            <w:pPr>
              <w:keepNext w:val="0"/>
              <w:keepLines w:val="0"/>
              <w:pageBreakBefore w:val="0"/>
              <w:widowControl/>
              <w:numPr>
                <w:ilvl w:val="0"/>
                <w:numId w:val="0"/>
              </w:numPr>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提供针对本项目</w:t>
            </w:r>
            <w:r>
              <w:rPr>
                <w:rFonts w:hint="default" w:ascii="Times New Roman" w:hAnsi="Times New Roman" w:eastAsia="仿宋_GB2312" w:cs="Times New Roman"/>
                <w:color w:val="auto"/>
                <w:sz w:val="24"/>
                <w:szCs w:val="24"/>
                <w:lang w:eastAsia="zh-CN"/>
              </w:rPr>
              <w:t>管理制度</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①工作制度：岗位工作职责、服务质量标准、工作记录及档案管理制度②内控制度：</w:t>
            </w:r>
            <w:r>
              <w:rPr>
                <w:rFonts w:hint="default" w:ascii="Times New Roman" w:hAnsi="Times New Roman" w:eastAsia="仿宋_GB2312" w:cs="Times New Roman"/>
                <w:color w:val="auto"/>
                <w:kern w:val="0"/>
                <w:sz w:val="24"/>
                <w:szCs w:val="24"/>
                <w:lang w:val="en-US" w:eastAsia="zh-CN" w:bidi="ar"/>
              </w:rPr>
              <w:t>具有廉洁敬业制度、监督机制、自查制度、物资管理制度③人员管理制度：具有员工日常管理制度、请销假制度、奖惩措施、激励机制、仪容仪表制度。</w:t>
            </w:r>
          </w:p>
          <w:p w14:paraId="3E331D11">
            <w:pPr>
              <w:keepNext w:val="0"/>
              <w:keepLines w:val="0"/>
              <w:pageBreakBefore w:val="0"/>
              <w:widowControl/>
              <w:numPr>
                <w:ilvl w:val="0"/>
                <w:numId w:val="0"/>
              </w:numPr>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二、赋分标准</w:t>
            </w:r>
          </w:p>
          <w:p w14:paraId="4722F76D">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1、完</w:t>
            </w:r>
            <w:r>
              <w:rPr>
                <w:rFonts w:hint="default" w:ascii="Times New Roman" w:hAnsi="Times New Roman" w:eastAsia="仿宋_GB2312" w:cs="Times New Roman"/>
                <w:color w:val="auto"/>
                <w:spacing w:val="-6"/>
                <w:sz w:val="24"/>
                <w:szCs w:val="24"/>
                <w:lang w:val="en-US" w:eastAsia="zh-CN"/>
              </w:rPr>
              <w:t>整性：方案内容完整全面，对上述各项内容均有详细描述及说明，得3分；缺1项，得2分；缺2项，得1分。</w:t>
            </w:r>
          </w:p>
          <w:p w14:paraId="2EE68F76">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2、针对性：针对性强，得3分；针对性一般，得1.5分；缺乏针对性，得0分。</w:t>
            </w:r>
          </w:p>
          <w:p w14:paraId="3A1536B3">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3、可实施性：可实施性强，得3分；可实施性一般，得1.5分；缺乏可实施性，得0分。</w:t>
            </w:r>
          </w:p>
          <w:p w14:paraId="3F0FD2BB">
            <w:pPr>
              <w:keepNext w:val="0"/>
              <w:keepLines w:val="0"/>
              <w:pageBreakBefore w:val="0"/>
              <w:widowControl/>
              <w:kinsoku/>
              <w:wordWrap/>
              <w:overflowPunct/>
              <w:topLinePunct w:val="0"/>
              <w:autoSpaceDE w:val="0"/>
              <w:autoSpaceDN w:val="0"/>
              <w:bidi w:val="0"/>
              <w:adjustRightInd w:val="0"/>
              <w:spacing w:line="26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4、不提供不得分。</w:t>
            </w:r>
          </w:p>
        </w:tc>
        <w:tc>
          <w:tcPr>
            <w:tcW w:w="852" w:type="dxa"/>
            <w:tcBorders>
              <w:top w:val="single" w:color="auto" w:sz="4" w:space="0"/>
              <w:left w:val="nil"/>
              <w:right w:val="single" w:color="000000" w:sz="4" w:space="0"/>
            </w:tcBorders>
            <w:noWrap w:val="0"/>
            <w:vAlign w:val="center"/>
          </w:tcPr>
          <w:p w14:paraId="70DD4BF7">
            <w:pPr>
              <w:snapToGrid w:val="0"/>
              <w:spacing w:line="260" w:lineRule="exact"/>
              <w:rPr>
                <w:rFonts w:hint="default" w:ascii="Times New Roman" w:hAnsi="Times New Roman" w:eastAsia="仿宋" w:cs="Times New Roman"/>
                <w:color w:val="auto"/>
                <w:sz w:val="24"/>
                <w:szCs w:val="24"/>
              </w:rPr>
            </w:pPr>
          </w:p>
        </w:tc>
      </w:tr>
      <w:tr w14:paraId="5D99BE5E">
        <w:tblPrEx>
          <w:tblCellMar>
            <w:top w:w="0" w:type="dxa"/>
            <w:left w:w="108" w:type="dxa"/>
            <w:bottom w:w="0" w:type="dxa"/>
            <w:right w:w="108" w:type="dxa"/>
          </w:tblCellMar>
        </w:tblPrEx>
        <w:trPr>
          <w:trHeight w:val="4314"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2E17E439">
            <w:pPr>
              <w:snapToGrid w:val="0"/>
              <w:spacing w:line="260" w:lineRule="exact"/>
              <w:jc w:val="center"/>
              <w:rPr>
                <w:rFonts w:hint="default" w:ascii="Times New Roman" w:hAnsi="Times New Roman" w:eastAsia="仿宋" w:cs="Times New Roman"/>
                <w:color w:val="auto"/>
                <w:sz w:val="24"/>
                <w:szCs w:val="24"/>
              </w:rPr>
            </w:pPr>
          </w:p>
        </w:tc>
        <w:tc>
          <w:tcPr>
            <w:tcW w:w="900" w:type="dxa"/>
            <w:vMerge w:val="continue"/>
            <w:tcBorders>
              <w:top w:val="single" w:color="auto" w:sz="4" w:space="0"/>
              <w:left w:val="nil"/>
              <w:bottom w:val="single" w:color="auto" w:sz="4" w:space="0"/>
              <w:right w:val="single" w:color="000000" w:sz="4" w:space="0"/>
            </w:tcBorders>
            <w:noWrap w:val="0"/>
            <w:vAlign w:val="center"/>
          </w:tcPr>
          <w:p w14:paraId="1E3748B3">
            <w:pPr>
              <w:snapToGrid w:val="0"/>
              <w:spacing w:line="260" w:lineRule="exact"/>
              <w:jc w:val="center"/>
              <w:rPr>
                <w:rFonts w:hint="default" w:ascii="Times New Roman" w:hAnsi="Times New Roman" w:eastAsia="仿宋" w:cs="Times New Roman"/>
                <w:color w:val="auto"/>
                <w:sz w:val="24"/>
                <w:szCs w:val="24"/>
              </w:rPr>
            </w:pPr>
          </w:p>
        </w:tc>
        <w:tc>
          <w:tcPr>
            <w:tcW w:w="900" w:type="dxa"/>
            <w:tcBorders>
              <w:top w:val="single" w:color="auto" w:sz="4" w:space="0"/>
              <w:left w:val="nil"/>
              <w:bottom w:val="single" w:color="auto" w:sz="4" w:space="0"/>
              <w:right w:val="single" w:color="000000" w:sz="4" w:space="0"/>
            </w:tcBorders>
            <w:noWrap w:val="0"/>
            <w:vAlign w:val="center"/>
          </w:tcPr>
          <w:p w14:paraId="5AE8AD18">
            <w:pPr>
              <w:snapToGrid w:val="0"/>
              <w:spacing w:line="26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培训 </w:t>
            </w:r>
          </w:p>
          <w:p w14:paraId="6D42FAB4">
            <w:pPr>
              <w:snapToGrid w:val="0"/>
              <w:spacing w:line="26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考核 </w:t>
            </w:r>
          </w:p>
          <w:p w14:paraId="6496012D">
            <w:pPr>
              <w:snapToGrid w:val="0"/>
              <w:spacing w:line="26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方案</w:t>
            </w:r>
          </w:p>
          <w:p w14:paraId="5A3E9EDC">
            <w:pPr>
              <w:snapToGrid w:val="0"/>
              <w:spacing w:line="2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9</w:t>
            </w:r>
          </w:p>
        </w:tc>
        <w:tc>
          <w:tcPr>
            <w:tcW w:w="5988" w:type="dxa"/>
            <w:tcBorders>
              <w:top w:val="single" w:color="auto" w:sz="4" w:space="0"/>
              <w:left w:val="nil"/>
              <w:right w:val="single" w:color="000000" w:sz="4" w:space="0"/>
            </w:tcBorders>
            <w:noWrap w:val="0"/>
            <w:vAlign w:val="center"/>
          </w:tcPr>
          <w:p w14:paraId="00520833">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 xml:space="preserve">一、评审内容 </w:t>
            </w:r>
          </w:p>
          <w:p w14:paraId="32584FFD">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根据本项目制定详细、可行的培训考核方案，保证上岗人员的专业素质、服务质量符合采购人要求，方案内容包含：①岗前培训②定期常态化培训③培训后的考核及奖惩措施。 </w:t>
            </w:r>
          </w:p>
          <w:p w14:paraId="5C3362A2">
            <w:pPr>
              <w:keepNext w:val="0"/>
              <w:keepLines w:val="0"/>
              <w:pageBreakBefore w:val="0"/>
              <w:widowControl/>
              <w:numPr>
                <w:ilvl w:val="0"/>
                <w:numId w:val="0"/>
              </w:numPr>
              <w:kinsoku/>
              <w:wordWrap/>
              <w:overflowPunct/>
              <w:topLinePunct w:val="0"/>
              <w:bidi w:val="0"/>
              <w:snapToGrid w:val="0"/>
              <w:spacing w:line="260" w:lineRule="exact"/>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二、赋分标准</w:t>
            </w:r>
          </w:p>
          <w:p w14:paraId="043CDD1F">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1、完整性：方案内容完整全面，对上述各项内容均有详细描述及说明，得3分；缺1项，得2分；缺2项，得1分。</w:t>
            </w:r>
          </w:p>
          <w:p w14:paraId="4F6F2A88">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2、针对性：针对性强，得3分；针对性一般，得1.5分；缺乏针对性，得0分。</w:t>
            </w:r>
          </w:p>
          <w:p w14:paraId="75B1E22E">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3、可实施性：可实施性强，得3分；可实施性一般，得1.5分；缺乏可实施性，得0分。</w:t>
            </w:r>
          </w:p>
          <w:p w14:paraId="07C80E64">
            <w:pPr>
              <w:keepNext w:val="0"/>
              <w:keepLines w:val="0"/>
              <w:pageBreakBefore w:val="0"/>
              <w:widowControl/>
              <w:kinsoku/>
              <w:wordWrap/>
              <w:overflowPunct/>
              <w:topLinePunct w:val="0"/>
              <w:bidi w:val="0"/>
              <w:snapToGrid w:val="0"/>
              <w:spacing w:line="260" w:lineRule="exac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4、此项不提供不得分。</w:t>
            </w:r>
          </w:p>
        </w:tc>
        <w:tc>
          <w:tcPr>
            <w:tcW w:w="852" w:type="dxa"/>
            <w:tcBorders>
              <w:left w:val="nil"/>
              <w:right w:val="single" w:color="000000" w:sz="4" w:space="0"/>
            </w:tcBorders>
            <w:noWrap w:val="0"/>
            <w:vAlign w:val="center"/>
          </w:tcPr>
          <w:p w14:paraId="1E4057AF">
            <w:pPr>
              <w:snapToGrid w:val="0"/>
              <w:spacing w:line="260" w:lineRule="exact"/>
              <w:rPr>
                <w:rFonts w:hint="default" w:ascii="Times New Roman" w:hAnsi="Times New Roman" w:eastAsia="仿宋" w:cs="Times New Roman"/>
                <w:color w:val="auto"/>
                <w:sz w:val="24"/>
                <w:szCs w:val="24"/>
              </w:rPr>
            </w:pPr>
          </w:p>
        </w:tc>
      </w:tr>
      <w:tr w14:paraId="7DF3C4CD">
        <w:tblPrEx>
          <w:tblCellMar>
            <w:top w:w="0" w:type="dxa"/>
            <w:left w:w="108" w:type="dxa"/>
            <w:bottom w:w="0" w:type="dxa"/>
            <w:right w:w="108" w:type="dxa"/>
          </w:tblCellMar>
        </w:tblPrEx>
        <w:trPr>
          <w:trHeight w:val="2638" w:hRule="atLeast"/>
        </w:trPr>
        <w:tc>
          <w:tcPr>
            <w:tcW w:w="648" w:type="dxa"/>
            <w:vMerge w:val="restart"/>
            <w:tcBorders>
              <w:top w:val="single" w:color="auto" w:sz="4" w:space="0"/>
              <w:left w:val="single" w:color="000000" w:sz="4" w:space="0"/>
              <w:bottom w:val="single" w:color="auto" w:sz="4" w:space="0"/>
              <w:right w:val="single" w:color="000000" w:sz="4" w:space="0"/>
            </w:tcBorders>
            <w:noWrap w:val="0"/>
            <w:vAlign w:val="center"/>
          </w:tcPr>
          <w:p w14:paraId="4B315019">
            <w:pPr>
              <w:snapToGrid w:val="0"/>
              <w:spacing w:line="26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商务</w:t>
            </w:r>
          </w:p>
        </w:tc>
        <w:tc>
          <w:tcPr>
            <w:tcW w:w="900" w:type="dxa"/>
            <w:vMerge w:val="restart"/>
            <w:tcBorders>
              <w:top w:val="single" w:color="auto" w:sz="4" w:space="0"/>
              <w:left w:val="nil"/>
              <w:bottom w:val="single" w:color="auto" w:sz="4" w:space="0"/>
              <w:right w:val="single" w:color="auto" w:sz="4" w:space="0"/>
            </w:tcBorders>
            <w:noWrap w:val="0"/>
            <w:vAlign w:val="center"/>
          </w:tcPr>
          <w:p w14:paraId="727F58B5">
            <w:pPr>
              <w:snapToGrid w:val="0"/>
              <w:spacing w:line="2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900" w:type="dxa"/>
            <w:tcBorders>
              <w:top w:val="single" w:color="000000" w:sz="4" w:space="0"/>
              <w:left w:val="single" w:color="auto" w:sz="4" w:space="0"/>
              <w:right w:val="single" w:color="000000" w:sz="4" w:space="0"/>
            </w:tcBorders>
            <w:noWrap w:val="0"/>
            <w:vAlign w:val="center"/>
          </w:tcPr>
          <w:p w14:paraId="58E8A84F">
            <w:pPr>
              <w:snapToGrid w:val="0"/>
              <w:spacing w:line="26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业绩</w:t>
            </w:r>
          </w:p>
          <w:p w14:paraId="08DF59D5">
            <w:pPr>
              <w:snapToGrid w:val="0"/>
              <w:spacing w:line="2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5988" w:type="dxa"/>
            <w:tcBorders>
              <w:top w:val="single" w:color="000000" w:sz="4" w:space="0"/>
              <w:left w:val="nil"/>
              <w:right w:val="single" w:color="000000" w:sz="4" w:space="0"/>
            </w:tcBorders>
            <w:noWrap w:val="0"/>
            <w:vAlign w:val="center"/>
          </w:tcPr>
          <w:p w14:paraId="16FC281C">
            <w:pPr>
              <w:keepNext w:val="0"/>
              <w:keepLines w:val="0"/>
              <w:pageBreakBefore w:val="0"/>
              <w:widowControl/>
              <w:numPr>
                <w:ilvl w:val="0"/>
                <w:numId w:val="11"/>
              </w:numPr>
              <w:kinsoku/>
              <w:wordWrap/>
              <w:overflowPunct/>
              <w:topLinePunct w:val="0"/>
              <w:bidi w:val="0"/>
              <w:snapToGrid w:val="0"/>
              <w:spacing w:line="2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提供 202</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年</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月</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日以来</w:t>
            </w:r>
            <w:r>
              <w:rPr>
                <w:rFonts w:hint="default" w:ascii="Times New Roman" w:hAnsi="Times New Roman" w:eastAsia="仿宋_GB2312" w:cs="Times New Roman"/>
                <w:color w:val="auto"/>
                <w:sz w:val="24"/>
                <w:szCs w:val="24"/>
                <w:lang w:eastAsia="zh-CN"/>
              </w:rPr>
              <w:t>类似</w:t>
            </w:r>
            <w:r>
              <w:rPr>
                <w:rFonts w:hint="default" w:ascii="Times New Roman" w:hAnsi="Times New Roman" w:eastAsia="仿宋_GB2312" w:cs="Times New Roman"/>
                <w:color w:val="auto"/>
                <w:sz w:val="24"/>
                <w:szCs w:val="24"/>
              </w:rPr>
              <w:t>项目业绩（以合同签订日期为准），每份合格业绩合同计 1 分，满分</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 xml:space="preserve">分； 备注：须提供完整合同业绩及对应发票复印件（发票可提供服务期内任意一张），并加盖供应商公章，以上两种证明材料同时提供方可得分，否则不得分。 </w:t>
            </w:r>
          </w:p>
          <w:p w14:paraId="02D6C1E6">
            <w:pPr>
              <w:keepNext w:val="0"/>
              <w:keepLines w:val="0"/>
              <w:pageBreakBefore w:val="0"/>
              <w:widowControl/>
              <w:numPr>
                <w:ilvl w:val="0"/>
                <w:numId w:val="0"/>
              </w:numPr>
              <w:kinsoku/>
              <w:wordWrap/>
              <w:overflowPunct/>
              <w:topLinePunct w:val="0"/>
              <w:bidi w:val="0"/>
              <w:snapToGrid w:val="0"/>
              <w:spacing w:line="260" w:lineRule="exact"/>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2、每提供一份对应合格业绩的服务好评（以被服务单位加盖公章的好评证明材料为计分依据，格式自拟），得1分</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满分</w:t>
            </w:r>
            <w:r>
              <w:rPr>
                <w:rFonts w:hint="default" w:ascii="Times New Roman" w:hAnsi="Times New Roman" w:eastAsia="仿宋_GB2312" w:cs="Times New Roman"/>
                <w:color w:val="auto"/>
                <w:sz w:val="24"/>
                <w:szCs w:val="24"/>
                <w:lang w:val="en-US" w:eastAsia="zh-CN"/>
              </w:rPr>
              <w:t>2分</w:t>
            </w:r>
            <w:r>
              <w:rPr>
                <w:rFonts w:hint="default" w:ascii="Times New Roman" w:hAnsi="Times New Roman" w:eastAsia="仿宋_GB2312" w:cs="Times New Roman"/>
                <w:color w:val="auto"/>
                <w:sz w:val="24"/>
                <w:szCs w:val="24"/>
              </w:rPr>
              <w:t>。</w:t>
            </w:r>
          </w:p>
        </w:tc>
        <w:tc>
          <w:tcPr>
            <w:tcW w:w="852" w:type="dxa"/>
            <w:tcBorders>
              <w:top w:val="single" w:color="000000" w:sz="4" w:space="0"/>
              <w:left w:val="nil"/>
              <w:bottom w:val="single" w:color="auto" w:sz="4" w:space="0"/>
              <w:right w:val="single" w:color="000000" w:sz="4" w:space="0"/>
            </w:tcBorders>
            <w:noWrap w:val="0"/>
            <w:vAlign w:val="center"/>
          </w:tcPr>
          <w:p w14:paraId="6F80D195">
            <w:pPr>
              <w:snapToGrid w:val="0"/>
              <w:spacing w:line="260" w:lineRule="exact"/>
              <w:rPr>
                <w:rFonts w:hint="default" w:ascii="Times New Roman" w:hAnsi="Times New Roman" w:eastAsia="仿宋" w:cs="Times New Roman"/>
                <w:color w:val="auto"/>
                <w:sz w:val="24"/>
                <w:szCs w:val="24"/>
              </w:rPr>
            </w:pPr>
          </w:p>
        </w:tc>
      </w:tr>
      <w:tr w14:paraId="11DE50C2">
        <w:tblPrEx>
          <w:tblCellMar>
            <w:top w:w="0" w:type="dxa"/>
            <w:left w:w="108" w:type="dxa"/>
            <w:bottom w:w="0" w:type="dxa"/>
            <w:right w:w="108" w:type="dxa"/>
          </w:tblCellMar>
        </w:tblPrEx>
        <w:trPr>
          <w:trHeight w:val="2456"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2F990A41">
            <w:pPr>
              <w:snapToGrid w:val="0"/>
              <w:spacing w:line="260" w:lineRule="exact"/>
              <w:jc w:val="center"/>
              <w:rPr>
                <w:rFonts w:hint="default" w:ascii="Times New Roman" w:hAnsi="Times New Roman" w:eastAsia="仿宋" w:cs="Times New Roman"/>
                <w:color w:val="auto"/>
                <w:sz w:val="24"/>
                <w:szCs w:val="24"/>
              </w:rPr>
            </w:pPr>
          </w:p>
        </w:tc>
        <w:tc>
          <w:tcPr>
            <w:tcW w:w="900" w:type="dxa"/>
            <w:vMerge w:val="continue"/>
            <w:tcBorders>
              <w:top w:val="single" w:color="auto" w:sz="4" w:space="0"/>
              <w:left w:val="single" w:color="000000" w:sz="4" w:space="0"/>
              <w:bottom w:val="single" w:color="auto" w:sz="4" w:space="0"/>
              <w:right w:val="single" w:color="auto" w:sz="4" w:space="0"/>
            </w:tcBorders>
            <w:noWrap w:val="0"/>
            <w:vAlign w:val="center"/>
          </w:tcPr>
          <w:p w14:paraId="18FC800D">
            <w:pPr>
              <w:snapToGrid w:val="0"/>
              <w:spacing w:line="260" w:lineRule="exact"/>
              <w:jc w:val="center"/>
              <w:rPr>
                <w:rFonts w:hint="default" w:ascii="Times New Roman" w:hAnsi="Times New Roman" w:eastAsia="仿宋" w:cs="Times New Roman"/>
                <w:color w:val="auto"/>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0C346CB">
            <w:pPr>
              <w:snapToGrid w:val="0"/>
              <w:spacing w:line="260" w:lineRule="exact"/>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承诺</w:t>
            </w:r>
          </w:p>
          <w:p w14:paraId="1F26C95B">
            <w:pPr>
              <w:snapToGrid w:val="0"/>
              <w:spacing w:line="260" w:lineRule="exact"/>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3分</w:t>
            </w:r>
          </w:p>
        </w:tc>
        <w:tc>
          <w:tcPr>
            <w:tcW w:w="5988" w:type="dxa"/>
            <w:tcBorders>
              <w:top w:val="single" w:color="auto" w:sz="4" w:space="0"/>
              <w:left w:val="single" w:color="auto" w:sz="4" w:space="0"/>
              <w:bottom w:val="single" w:color="auto" w:sz="4" w:space="0"/>
              <w:right w:val="single" w:color="auto" w:sz="4" w:space="0"/>
            </w:tcBorders>
            <w:noWrap w:val="0"/>
            <w:vAlign w:val="center"/>
          </w:tcPr>
          <w:p w14:paraId="7538772E">
            <w:pPr>
              <w:keepNext w:val="0"/>
              <w:keepLines w:val="0"/>
              <w:pageBreakBefore w:val="0"/>
              <w:widowControl/>
              <w:numPr>
                <w:ilvl w:val="0"/>
                <w:numId w:val="12"/>
              </w:numPr>
              <w:kinsoku/>
              <w:wordWrap/>
              <w:overflowPunct/>
              <w:topLinePunct w:val="0"/>
              <w:bidi w:val="0"/>
              <w:snapToGrid w:val="0"/>
              <w:spacing w:line="2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承诺：接受采购人对本项目服务的考核、监督及管理， 定期调研采购人对服务质量的满意度并加以改进，确保服务工作的优质高效，得</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 xml:space="preserve">分。无承诺不得分。 </w:t>
            </w:r>
          </w:p>
          <w:p w14:paraId="2824A41F">
            <w:pPr>
              <w:keepNext w:val="0"/>
              <w:keepLines w:val="0"/>
              <w:pageBreakBefore w:val="0"/>
              <w:widowControl/>
              <w:numPr>
                <w:ilvl w:val="0"/>
                <w:numId w:val="12"/>
              </w:numPr>
              <w:kinsoku/>
              <w:wordWrap/>
              <w:overflowPunct/>
              <w:topLinePunct w:val="0"/>
              <w:bidi w:val="0"/>
              <w:snapToGrid w:val="0"/>
              <w:spacing w:line="26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承诺：上岗人员固定，不随意更换，若出现服务人员因事</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病等不能工作的，能及时调整其他服务人员补充，确保服务工作的正常进行，得</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分。无承诺不得分。</w:t>
            </w:r>
          </w:p>
          <w:p w14:paraId="10F42EE8">
            <w:pPr>
              <w:keepNext w:val="0"/>
              <w:keepLines w:val="0"/>
              <w:pageBreakBefore w:val="0"/>
              <w:widowControl/>
              <w:numPr>
                <w:ilvl w:val="0"/>
                <w:numId w:val="12"/>
              </w:numPr>
              <w:kinsoku/>
              <w:wordWrap/>
              <w:overflowPunct/>
              <w:topLinePunct w:val="0"/>
              <w:bidi w:val="0"/>
              <w:snapToGrid w:val="0"/>
              <w:spacing w:line="260" w:lineRule="exact"/>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承诺：储备可调度人员，调度人员可保障重大活动、突发事件的临时任务调度需要，得1分。无承诺不得分。</w:t>
            </w:r>
          </w:p>
        </w:tc>
        <w:tc>
          <w:tcPr>
            <w:tcW w:w="852" w:type="dxa"/>
            <w:tcBorders>
              <w:top w:val="single" w:color="auto" w:sz="4" w:space="0"/>
              <w:left w:val="single" w:color="auto" w:sz="4" w:space="0"/>
              <w:bottom w:val="single" w:color="auto" w:sz="4" w:space="0"/>
              <w:right w:val="single" w:color="auto" w:sz="4" w:space="0"/>
            </w:tcBorders>
            <w:noWrap w:val="0"/>
            <w:vAlign w:val="center"/>
          </w:tcPr>
          <w:p w14:paraId="58227E4D">
            <w:pPr>
              <w:snapToGrid w:val="0"/>
              <w:spacing w:line="260" w:lineRule="exact"/>
              <w:jc w:val="center"/>
              <w:rPr>
                <w:rFonts w:hint="default" w:ascii="Times New Roman" w:hAnsi="Times New Roman" w:eastAsia="仿宋" w:cs="Times New Roman"/>
                <w:color w:val="auto"/>
                <w:sz w:val="24"/>
                <w:szCs w:val="24"/>
              </w:rPr>
            </w:pPr>
          </w:p>
        </w:tc>
      </w:tr>
      <w:tr w14:paraId="25F215F2">
        <w:tblPrEx>
          <w:tblCellMar>
            <w:top w:w="0" w:type="dxa"/>
            <w:left w:w="108" w:type="dxa"/>
            <w:bottom w:w="0" w:type="dxa"/>
            <w:right w:w="108" w:type="dxa"/>
          </w:tblCellMar>
        </w:tblPrEx>
        <w:trPr>
          <w:trHeight w:val="3916" w:hRule="atLeast"/>
        </w:trPr>
        <w:tc>
          <w:tcPr>
            <w:tcW w:w="648" w:type="dxa"/>
            <w:vMerge w:val="restart"/>
            <w:tcBorders>
              <w:top w:val="single" w:color="auto" w:sz="4" w:space="0"/>
              <w:left w:val="single" w:color="auto" w:sz="4" w:space="0"/>
              <w:right w:val="single" w:color="000000" w:sz="4" w:space="0"/>
            </w:tcBorders>
            <w:noWrap w:val="0"/>
            <w:vAlign w:val="center"/>
          </w:tcPr>
          <w:p w14:paraId="355BB2BA">
            <w:pPr>
              <w:snapToGrid w:val="0"/>
              <w:spacing w:line="260" w:lineRule="exact"/>
              <w:jc w:val="center"/>
              <w:rPr>
                <w:rFonts w:hint="default" w:ascii="Times New Roman" w:hAnsi="Times New Roman" w:eastAsia="仿宋" w:cs="Times New Roman"/>
                <w:color w:val="auto"/>
                <w:sz w:val="24"/>
                <w:szCs w:val="24"/>
                <w:lang w:eastAsia="zh-CN"/>
              </w:rPr>
            </w:pPr>
            <w:r>
              <w:rPr>
                <w:rFonts w:hint="default" w:ascii="Times New Roman" w:hAnsi="Times New Roman" w:eastAsia="仿宋_GB2312" w:cs="Times New Roman"/>
                <w:color w:val="auto"/>
                <w:sz w:val="24"/>
                <w:szCs w:val="24"/>
                <w:lang w:eastAsia="zh-CN"/>
              </w:rPr>
              <w:t>说明</w:t>
            </w:r>
          </w:p>
        </w:tc>
        <w:tc>
          <w:tcPr>
            <w:tcW w:w="8640" w:type="dxa"/>
            <w:gridSpan w:val="4"/>
            <w:tcBorders>
              <w:top w:val="single" w:color="auto" w:sz="4" w:space="0"/>
              <w:left w:val="single" w:color="000000" w:sz="4" w:space="0"/>
              <w:bottom w:val="single" w:color="auto" w:sz="4" w:space="0"/>
              <w:right w:val="single" w:color="auto" w:sz="4" w:space="0"/>
            </w:tcBorders>
            <w:noWrap w:val="0"/>
            <w:vAlign w:val="center"/>
          </w:tcPr>
          <w:p w14:paraId="09CE02F3">
            <w:pPr>
              <w:snapToGrid w:val="0"/>
              <w:spacing w:line="260" w:lineRule="exact"/>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评审标准：</w:t>
            </w:r>
          </w:p>
          <w:p w14:paraId="2A5CF8B4">
            <w:pPr>
              <w:snapToGrid w:val="0"/>
              <w:spacing w:line="260" w:lineRule="exact"/>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1、针对性：</w:t>
            </w:r>
          </w:p>
          <w:p w14:paraId="7DCB9A53">
            <w:pPr>
              <w:snapToGrid w:val="0"/>
              <w:spacing w:line="260" w:lineRule="exact"/>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（1）针对性强：方案能够完全切合本项目实际情况。</w:t>
            </w:r>
          </w:p>
          <w:p w14:paraId="5D973BBA">
            <w:pPr>
              <w:snapToGrid w:val="0"/>
              <w:spacing w:line="260" w:lineRule="exact"/>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（2）针对性一般：方案中多数内容能够切合本项目实际情况，但存在至少一处不适用本项目实际的内容。</w:t>
            </w:r>
          </w:p>
          <w:p w14:paraId="059027AE">
            <w:pPr>
              <w:snapToGrid w:val="0"/>
              <w:spacing w:line="260" w:lineRule="exact"/>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（3）缺乏针对性：方案描述不符合本项目</w:t>
            </w:r>
            <w:r>
              <w:rPr>
                <w:rFonts w:hint="default" w:ascii="Times New Roman" w:hAnsi="Times New Roman" w:eastAsia="仿宋_GB2312" w:cs="Times New Roman"/>
                <w:color w:val="auto"/>
                <w:sz w:val="24"/>
                <w:szCs w:val="24"/>
                <w:lang w:val="en-US" w:eastAsia="zh-CN"/>
              </w:rPr>
              <w:t>实际情况</w:t>
            </w:r>
            <w:r>
              <w:rPr>
                <w:rFonts w:hint="default" w:ascii="Times New Roman" w:hAnsi="Times New Roman" w:eastAsia="仿宋_GB2312" w:cs="Times New Roman"/>
                <w:color w:val="auto"/>
                <w:sz w:val="24"/>
                <w:szCs w:val="24"/>
                <w:lang w:eastAsia="zh-CN"/>
              </w:rPr>
              <w:t>，存在明显套用其他项目方案的内容。</w:t>
            </w:r>
          </w:p>
          <w:p w14:paraId="736FA784">
            <w:pPr>
              <w:snapToGrid w:val="0"/>
              <w:spacing w:line="260" w:lineRule="exact"/>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2、可实施性：</w:t>
            </w:r>
          </w:p>
          <w:p w14:paraId="632EEED3">
            <w:pPr>
              <w:snapToGrid w:val="0"/>
              <w:spacing w:line="260" w:lineRule="exact"/>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（1）可实施性强：方案</w:t>
            </w:r>
            <w:r>
              <w:rPr>
                <w:rFonts w:hint="default" w:ascii="Times New Roman" w:hAnsi="Times New Roman" w:eastAsia="仿宋_GB2312" w:cs="Times New Roman"/>
                <w:color w:val="auto"/>
                <w:sz w:val="24"/>
                <w:szCs w:val="24"/>
                <w:lang w:val="en-US" w:eastAsia="zh-CN"/>
              </w:rPr>
              <w:t>工作流程完善，</w:t>
            </w:r>
            <w:r>
              <w:rPr>
                <w:rFonts w:hint="default" w:ascii="Times New Roman" w:hAnsi="Times New Roman" w:eastAsia="仿宋_GB2312" w:cs="Times New Roman"/>
                <w:color w:val="auto"/>
                <w:sz w:val="24"/>
                <w:szCs w:val="24"/>
                <w:lang w:eastAsia="zh-CN"/>
              </w:rPr>
              <w:t>实施步骤清晰，科学合理，可操作性强。</w:t>
            </w:r>
          </w:p>
          <w:p w14:paraId="4519BD5F">
            <w:pPr>
              <w:snapToGrid w:val="0"/>
              <w:spacing w:line="260" w:lineRule="exact"/>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（2）可实施性一般：方案中存在至少一处表述模糊、难以执行或不够科学合理的内容。</w:t>
            </w:r>
          </w:p>
          <w:p w14:paraId="4B325DB5">
            <w:pPr>
              <w:snapToGrid w:val="0"/>
              <w:spacing w:line="260" w:lineRule="exact"/>
              <w:jc w:val="left"/>
              <w:rPr>
                <w:rFonts w:hint="default" w:ascii="Times New Roman" w:hAnsi="Times New Roman" w:eastAsia="仿宋" w:cs="Times New Roman"/>
                <w:color w:val="auto"/>
                <w:sz w:val="24"/>
                <w:szCs w:val="24"/>
                <w:lang w:eastAsia="zh-CN"/>
              </w:rPr>
            </w:pPr>
            <w:r>
              <w:rPr>
                <w:rFonts w:hint="default" w:ascii="Times New Roman" w:hAnsi="Times New Roman" w:eastAsia="仿宋_GB2312" w:cs="Times New Roman"/>
                <w:color w:val="auto"/>
                <w:sz w:val="24"/>
                <w:szCs w:val="24"/>
                <w:lang w:eastAsia="zh-CN"/>
              </w:rPr>
              <w:t>（3）缺乏可实施性：方案内容空洞，工作流程不完善，实施标准、实施质量不利于采购需求的实现，存在逻辑漏洞、</w:t>
            </w:r>
            <w:r>
              <w:rPr>
                <w:rFonts w:hint="default" w:ascii="Times New Roman" w:hAnsi="Times New Roman" w:eastAsia="仿宋_GB2312" w:cs="Times New Roman"/>
                <w:color w:val="auto"/>
                <w:sz w:val="24"/>
                <w:szCs w:val="24"/>
                <w:lang w:val="en-US" w:eastAsia="zh-CN"/>
              </w:rPr>
              <w:t>常识错误</w:t>
            </w:r>
            <w:r>
              <w:rPr>
                <w:rFonts w:hint="default" w:ascii="Times New Roman" w:hAnsi="Times New Roman" w:eastAsia="仿宋_GB2312" w:cs="Times New Roman"/>
                <w:color w:val="auto"/>
                <w:sz w:val="24"/>
                <w:szCs w:val="24"/>
                <w:lang w:eastAsia="zh-CN"/>
              </w:rPr>
              <w:t>或合理性差</w:t>
            </w:r>
            <w:r>
              <w:rPr>
                <w:rFonts w:hint="default" w:ascii="Times New Roman" w:hAnsi="Times New Roman" w:eastAsia="仿宋_GB2312" w:cs="Times New Roman"/>
                <w:color w:val="auto"/>
                <w:sz w:val="24"/>
                <w:szCs w:val="24"/>
                <w:lang w:val="en-US" w:eastAsia="zh-CN"/>
              </w:rPr>
              <w:t>。</w:t>
            </w:r>
          </w:p>
        </w:tc>
      </w:tr>
      <w:tr w14:paraId="0D4CC6FC">
        <w:tblPrEx>
          <w:tblCellMar>
            <w:top w:w="0" w:type="dxa"/>
            <w:left w:w="108" w:type="dxa"/>
            <w:bottom w:w="0" w:type="dxa"/>
            <w:right w:w="108" w:type="dxa"/>
          </w:tblCellMar>
        </w:tblPrEx>
        <w:trPr>
          <w:trHeight w:val="1866" w:hRule="atLeast"/>
        </w:trPr>
        <w:tc>
          <w:tcPr>
            <w:tcW w:w="648" w:type="dxa"/>
            <w:vMerge w:val="continue"/>
            <w:tcBorders>
              <w:left w:val="single" w:color="auto" w:sz="4" w:space="0"/>
              <w:bottom w:val="single" w:color="auto" w:sz="4" w:space="0"/>
              <w:right w:val="single" w:color="000000" w:sz="4" w:space="0"/>
            </w:tcBorders>
            <w:noWrap w:val="0"/>
            <w:vAlign w:val="center"/>
          </w:tcPr>
          <w:p w14:paraId="07A4AA03">
            <w:pPr>
              <w:snapToGrid w:val="0"/>
              <w:spacing w:line="260" w:lineRule="exact"/>
              <w:jc w:val="center"/>
              <w:rPr>
                <w:rFonts w:hint="default" w:ascii="Times New Roman" w:hAnsi="Times New Roman" w:eastAsia="仿宋" w:cs="Times New Roman"/>
                <w:color w:val="auto"/>
                <w:sz w:val="24"/>
                <w:szCs w:val="24"/>
                <w:lang w:eastAsia="zh-CN"/>
              </w:rPr>
            </w:pPr>
          </w:p>
        </w:tc>
        <w:tc>
          <w:tcPr>
            <w:tcW w:w="8640" w:type="dxa"/>
            <w:gridSpan w:val="4"/>
            <w:tcBorders>
              <w:top w:val="single" w:color="auto" w:sz="4" w:space="0"/>
              <w:left w:val="single" w:color="000000" w:sz="4" w:space="0"/>
              <w:bottom w:val="single" w:color="auto" w:sz="4" w:space="0"/>
              <w:right w:val="single" w:color="auto" w:sz="4" w:space="0"/>
            </w:tcBorders>
            <w:noWrap w:val="0"/>
            <w:vAlign w:val="center"/>
          </w:tcPr>
          <w:p w14:paraId="2D7FAFD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_GB2312" w:cs="Times New Roman"/>
                <w:color w:val="auto"/>
                <w:sz w:val="24"/>
                <w:szCs w:val="24"/>
                <w:lang w:eastAsia="zh-CN"/>
              </w:rPr>
              <w:t>注：1.各种计算数字“四舍五入”保留二位小数。2.响应人提供的资质证书、企业经营状况及声明，经查证为虚假、伪造的，依照《政府采购法》第七十七条之规定处理。</w:t>
            </w:r>
            <w:r>
              <w:rPr>
                <w:rFonts w:hint="default" w:ascii="Times New Roman" w:hAnsi="Times New Roman" w:eastAsia="仿宋_GB2312" w:cs="Times New Roman"/>
                <w:b/>
                <w:bCs/>
                <w:color w:val="auto"/>
                <w:sz w:val="24"/>
                <w:szCs w:val="24"/>
                <w:lang w:eastAsia="zh-CN"/>
              </w:rPr>
              <w:t>3.响应人针对《评审要素及分值一览表 》中各打分项目的相关说明，需在提交的投标文件中标注该说明所在具体位置及页码</w:t>
            </w:r>
            <w:r>
              <w:rPr>
                <w:rFonts w:hint="default" w:ascii="Times New Roman" w:hAnsi="Times New Roman" w:eastAsia="仿宋_GB2312" w:cs="Times New Roman"/>
                <w:color w:val="auto"/>
                <w:sz w:val="24"/>
                <w:szCs w:val="24"/>
                <w:lang w:eastAsia="zh-CN"/>
              </w:rPr>
              <w:t>。4.为确保合同的真实性，采购代理机构视情况可对投标人提供的合同与中标公告一并公示。</w:t>
            </w:r>
          </w:p>
        </w:tc>
      </w:tr>
    </w:tbl>
    <w:p w14:paraId="5BC12FC8">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lang w:val="en-US" w:eastAsia="zh-CN"/>
        </w:rPr>
        <w:t>9</w:t>
      </w:r>
      <w:r>
        <w:rPr>
          <w:rFonts w:hint="default" w:ascii="Times New Roman" w:hAnsi="Times New Roman" w:eastAsia="仿宋_GB2312" w:cs="Times New Roman"/>
          <w:b/>
          <w:color w:val="auto"/>
          <w:sz w:val="28"/>
          <w:szCs w:val="28"/>
        </w:rPr>
        <w:t>、推荐成交候选供应商</w:t>
      </w:r>
    </w:p>
    <w:p w14:paraId="0270A4AC">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14:paraId="04C7C45D">
      <w:pPr>
        <w:pageBreakBefore w:val="0"/>
        <w:widowControl/>
        <w:kinsoku/>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lang w:val="en-US" w:eastAsia="zh-CN"/>
        </w:rPr>
        <w:t>10</w:t>
      </w:r>
      <w:r>
        <w:rPr>
          <w:rFonts w:hint="default" w:ascii="Times New Roman" w:hAnsi="Times New Roman" w:eastAsia="仿宋_GB2312" w:cs="Times New Roman"/>
          <w:b/>
          <w:color w:val="auto"/>
          <w:sz w:val="28"/>
          <w:szCs w:val="28"/>
        </w:rPr>
        <w:t>、编写评审报告</w:t>
      </w:r>
    </w:p>
    <w:p w14:paraId="396A6477">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14:paraId="46E6D49E">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当排序推荐磋商供应商名单出现多数评委成员的评审意见比较一致，某一个别评委的赋分畸高畸低，导致排序结果改变的，该评委</w:t>
      </w:r>
      <w:r>
        <w:rPr>
          <w:rFonts w:hint="default" w:ascii="Times New Roman" w:hAnsi="Times New Roman" w:eastAsia="仿宋_GB2312" w:cs="Times New Roman"/>
          <w:color w:val="auto"/>
          <w:sz w:val="28"/>
          <w:szCs w:val="28"/>
          <w:lang w:val="en-US" w:eastAsia="zh-CN"/>
        </w:rPr>
        <w:t>应当</w:t>
      </w:r>
      <w:r>
        <w:rPr>
          <w:rFonts w:hint="default" w:ascii="Times New Roman" w:hAnsi="Times New Roman" w:eastAsia="仿宋_GB2312" w:cs="Times New Roman"/>
          <w:color w:val="auto"/>
          <w:sz w:val="28"/>
          <w:szCs w:val="28"/>
        </w:rPr>
        <w:t>重新进行评价，并向磋商</w:t>
      </w:r>
      <w:r>
        <w:rPr>
          <w:rFonts w:hint="default" w:ascii="Times New Roman" w:hAnsi="Times New Roman" w:eastAsia="仿宋_GB2312" w:cs="Times New Roman"/>
          <w:color w:val="auto"/>
          <w:sz w:val="28"/>
          <w:szCs w:val="28"/>
          <w:lang w:val="en-US" w:eastAsia="zh-CN"/>
        </w:rPr>
        <w:t>小组</w:t>
      </w:r>
      <w:r>
        <w:rPr>
          <w:rFonts w:hint="default" w:ascii="Times New Roman" w:hAnsi="Times New Roman" w:eastAsia="仿宋_GB2312" w:cs="Times New Roman"/>
          <w:color w:val="auto"/>
          <w:sz w:val="28"/>
          <w:szCs w:val="28"/>
        </w:rPr>
        <w:t>说明其赋分的合理理由，对拒绝说明、拒绝重新评价的，报告同级财政政府采购管理部门处理。</w:t>
      </w:r>
    </w:p>
    <w:p w14:paraId="2AF4CED5">
      <w:pPr>
        <w:pageBreakBefore w:val="0"/>
        <w:widowControl/>
        <w:kinsoku/>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8"/>
          <w:szCs w:val="28"/>
          <w:highlight w:val="none"/>
          <w:lang w:val="en-US" w:eastAsia="zh-CN"/>
        </w:rPr>
        <w:t>（3）采购人书面授权磋商小组直接确定成交供应商的，磋商小组应在评审报告中明确成交供应商及成交金额。</w:t>
      </w:r>
    </w:p>
    <w:p w14:paraId="3458165F">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除下列情形外，任何人不得以任何理由组织重新评审：</w:t>
      </w:r>
    </w:p>
    <w:p w14:paraId="772F8A07">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①</w:t>
      </w:r>
      <w:r>
        <w:rPr>
          <w:rFonts w:hint="default" w:ascii="Times New Roman" w:hAnsi="Times New Roman" w:eastAsia="仿宋_GB2312" w:cs="Times New Roman"/>
          <w:color w:val="auto"/>
          <w:sz w:val="28"/>
          <w:szCs w:val="28"/>
        </w:rPr>
        <w:t>资格性检查认定错误的；</w:t>
      </w:r>
    </w:p>
    <w:p w14:paraId="503F94AA">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②</w:t>
      </w:r>
      <w:r>
        <w:rPr>
          <w:rFonts w:hint="default" w:ascii="Times New Roman" w:hAnsi="Times New Roman" w:eastAsia="仿宋_GB2312" w:cs="Times New Roman"/>
          <w:color w:val="auto"/>
          <w:sz w:val="28"/>
          <w:szCs w:val="28"/>
        </w:rPr>
        <w:t xml:space="preserve">分值汇总计算错误的； </w:t>
      </w:r>
    </w:p>
    <w:p w14:paraId="3D09AB0B">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③</w:t>
      </w:r>
      <w:r>
        <w:rPr>
          <w:rFonts w:hint="default" w:ascii="Times New Roman" w:hAnsi="Times New Roman" w:eastAsia="仿宋_GB2312" w:cs="Times New Roman"/>
          <w:color w:val="auto"/>
          <w:sz w:val="28"/>
          <w:szCs w:val="28"/>
        </w:rPr>
        <w:t>分项评分超出评分标准范围的；</w:t>
      </w:r>
    </w:p>
    <w:p w14:paraId="25E6B509">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④</w:t>
      </w:r>
      <w:r>
        <w:rPr>
          <w:rFonts w:hint="default" w:ascii="Times New Roman" w:hAnsi="Times New Roman" w:eastAsia="仿宋_GB2312" w:cs="Times New Roman"/>
          <w:color w:val="auto"/>
          <w:sz w:val="28"/>
          <w:szCs w:val="28"/>
        </w:rPr>
        <w:t>客观分因素评分不一致的；</w:t>
      </w:r>
    </w:p>
    <w:p w14:paraId="564DEFE6">
      <w:pPr>
        <w:pageBreakBefore w:val="0"/>
        <w:widowControl/>
        <w:kinsoku/>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⑤</w:t>
      </w:r>
      <w:r>
        <w:rPr>
          <w:rFonts w:hint="default" w:ascii="Times New Roman" w:hAnsi="Times New Roman" w:eastAsia="仿宋_GB2312" w:cs="Times New Roman"/>
          <w:color w:val="auto"/>
          <w:sz w:val="28"/>
          <w:szCs w:val="28"/>
        </w:rPr>
        <w:t>经磋商小组一致认定评分畸高、畸低的情形。</w:t>
      </w:r>
    </w:p>
    <w:p w14:paraId="701A9EDD">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（六）有下列情况之一的，视为供应商串通投标，其投标无效：</w:t>
      </w:r>
    </w:p>
    <w:p w14:paraId="56E68DB0">
      <w:pPr>
        <w:keepNext w:val="0"/>
        <w:keepLines w:val="0"/>
        <w:widowControl/>
        <w:suppressLineNumbers w:val="0"/>
        <w:ind w:firstLine="566" w:firstLineChars="200"/>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1、不同供应商的响应文件由同一单位或者个人编制；</w:t>
      </w:r>
    </w:p>
    <w:p w14:paraId="40A20BFB">
      <w:pPr>
        <w:keepNext w:val="0"/>
        <w:keepLines w:val="0"/>
        <w:widowControl/>
        <w:suppressLineNumbers w:val="0"/>
        <w:ind w:firstLine="566" w:firstLineChars="200"/>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2、不同供应商的响应文件由同一台电脑编制；</w:t>
      </w:r>
    </w:p>
    <w:p w14:paraId="72CFF0E0">
      <w:pPr>
        <w:keepNext w:val="0"/>
        <w:keepLines w:val="0"/>
        <w:widowControl/>
        <w:suppressLineNumbers w:val="0"/>
        <w:ind w:firstLine="566" w:firstLineChars="200"/>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3、不同供应商委托同一单位或者个人办理投标事宜；</w:t>
      </w:r>
    </w:p>
    <w:p w14:paraId="0ECA47CE">
      <w:pPr>
        <w:keepNext w:val="0"/>
        <w:keepLines w:val="0"/>
        <w:widowControl/>
        <w:suppressLineNumbers w:val="0"/>
        <w:ind w:firstLine="566" w:firstLineChars="200"/>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4、不同供应商的响应文件载明的项目管理成员或者联系人员为同一人；</w:t>
      </w:r>
    </w:p>
    <w:p w14:paraId="6A729603">
      <w:pPr>
        <w:keepNext w:val="0"/>
        <w:keepLines w:val="0"/>
        <w:widowControl/>
        <w:suppressLineNumbers w:val="0"/>
        <w:ind w:firstLine="566" w:firstLineChars="200"/>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5、不同供应商的响应文件异常一致或者磋商报价呈规律性差异；</w:t>
      </w:r>
    </w:p>
    <w:p w14:paraId="10DAB023">
      <w:pPr>
        <w:keepNext w:val="0"/>
        <w:keepLines w:val="0"/>
        <w:widowControl/>
        <w:suppressLineNumbers w:val="0"/>
        <w:ind w:firstLine="566" w:firstLineChars="200"/>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6、不同供应商的响应文件相互混装；</w:t>
      </w:r>
    </w:p>
    <w:p w14:paraId="2921263B">
      <w:pPr>
        <w:keepNext w:val="0"/>
        <w:keepLines w:val="0"/>
        <w:widowControl/>
        <w:suppressLineNumbers w:val="0"/>
        <w:ind w:firstLine="566" w:firstLineChars="200"/>
        <w:jc w:val="left"/>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7、政府采购法律法规及磋商文件规定的其他情形。</w:t>
      </w:r>
      <w:bookmarkStart w:id="116" w:name="_Toc4670"/>
      <w:bookmarkStart w:id="117" w:name="_Toc22712"/>
      <w:bookmarkStart w:id="118" w:name="_Toc28287"/>
      <w:bookmarkStart w:id="119" w:name="_Toc17612"/>
      <w:bookmarkStart w:id="120" w:name="_Toc3023"/>
      <w:bookmarkStart w:id="121" w:name="_Toc25855"/>
      <w:bookmarkStart w:id="122" w:name="_Toc28384"/>
      <w:bookmarkStart w:id="123" w:name="_Toc495012821"/>
      <w:bookmarkStart w:id="124" w:name="_Toc495012771"/>
      <w:bookmarkStart w:id="125" w:name="_Toc619_WPSOffice_Level1"/>
      <w:bookmarkStart w:id="126" w:name="_Toc28286_WPSOffice_Level1"/>
      <w:bookmarkStart w:id="127" w:name="_Toc495014585"/>
      <w:bookmarkStart w:id="128" w:name="_Toc445306493"/>
      <w:bookmarkStart w:id="129" w:name="_Toc495014920"/>
      <w:bookmarkStart w:id="130" w:name="_Toc424636365"/>
      <w:bookmarkStart w:id="131" w:name="_Toc495014611"/>
      <w:bookmarkStart w:id="132" w:name="_Toc495014649"/>
      <w:bookmarkStart w:id="133" w:name="_Toc495014954"/>
    </w:p>
    <w:p w14:paraId="5B60388E">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16"/>
      <w:bookmarkEnd w:id="117"/>
      <w:bookmarkEnd w:id="118"/>
      <w:bookmarkEnd w:id="119"/>
      <w:bookmarkEnd w:id="120"/>
      <w:bookmarkEnd w:id="121"/>
      <w:bookmarkEnd w:id="122"/>
    </w:p>
    <w:p w14:paraId="0B1A2DAE">
      <w:pPr>
        <w:keepNext w:val="0"/>
        <w:keepLines w:val="0"/>
        <w:widowControl/>
        <w:suppressLineNumbers w:val="0"/>
        <w:ind w:firstLine="566"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8"/>
          <w:szCs w:val="28"/>
          <w:lang w:val="en-US" w:eastAsia="zh-CN" w:bidi="ar"/>
        </w:rPr>
        <w:t>（一）本项目采用第</w:t>
      </w:r>
      <w:r>
        <w:rPr>
          <w:rFonts w:hint="eastAsia" w:ascii="仿宋_GB2312" w:hAnsi="仿宋_GB2312" w:eastAsia="仿宋_GB2312" w:cs="仿宋_GB2312"/>
          <w:color w:val="auto"/>
          <w:kern w:val="0"/>
          <w:sz w:val="28"/>
          <w:szCs w:val="28"/>
          <w:u w:val="single"/>
          <w:lang w:val="en-US" w:eastAsia="zh-CN" w:bidi="ar"/>
        </w:rPr>
        <w:t xml:space="preserve"> 1 </w:t>
      </w:r>
      <w:r>
        <w:rPr>
          <w:rFonts w:hint="eastAsia" w:ascii="仿宋_GB2312" w:hAnsi="仿宋_GB2312" w:eastAsia="仿宋_GB2312" w:cs="仿宋_GB2312"/>
          <w:color w:val="auto"/>
          <w:kern w:val="0"/>
          <w:sz w:val="28"/>
          <w:szCs w:val="28"/>
          <w:lang w:val="en-US" w:eastAsia="zh-CN" w:bidi="ar"/>
        </w:rPr>
        <w:t xml:space="preserve">种方式确定成交供应商： </w:t>
      </w:r>
    </w:p>
    <w:p w14:paraId="2E1262DB">
      <w:pPr>
        <w:keepNext w:val="0"/>
        <w:keepLines w:val="0"/>
        <w:widowControl/>
        <w:suppressLineNumbers w:val="0"/>
        <w:ind w:firstLine="849" w:firstLineChars="30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8"/>
          <w:szCs w:val="28"/>
          <w:lang w:val="en-US" w:eastAsia="zh-CN" w:bidi="ar"/>
        </w:rPr>
        <w:t xml:space="preserve">1、采购人根据磋商小组评审结果确认。 </w:t>
      </w:r>
    </w:p>
    <w:p w14:paraId="2484E531">
      <w:pPr>
        <w:keepNext w:val="0"/>
        <w:keepLines w:val="0"/>
        <w:widowControl/>
        <w:suppressLineNumbers w:val="0"/>
        <w:ind w:firstLine="566"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8"/>
          <w:szCs w:val="28"/>
          <w:lang w:val="en-US" w:eastAsia="zh-CN" w:bidi="ar"/>
        </w:rPr>
        <w:t xml:space="preserve">采购代理机构在评审结束后 2 个工作日内将评审报告送采购人确认。采购人在收到评审报告之日起 5 个工作日内，从评审报告提出的成交候选供应商中，按照排序由高到低的原则确定成交供应商。采购人逾期未确定成交供应商且不提出异议的，视同按评审报告提出的排序第一的供应商为成交供应商。 </w:t>
      </w:r>
    </w:p>
    <w:p w14:paraId="2CBB8E5B">
      <w:pPr>
        <w:keepNext w:val="0"/>
        <w:keepLines w:val="0"/>
        <w:widowControl/>
        <w:suppressLineNumbers w:val="0"/>
        <w:ind w:firstLine="566"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8"/>
          <w:szCs w:val="28"/>
          <w:lang w:val="en-US" w:eastAsia="zh-CN" w:bidi="ar"/>
        </w:rPr>
        <w:t xml:space="preserve">2、采购人书面授权磋商小组直接确定成交供应商。 </w:t>
      </w:r>
    </w:p>
    <w:p w14:paraId="4E46CC12">
      <w:pPr>
        <w:keepNext w:val="0"/>
        <w:keepLines w:val="0"/>
        <w:widowControl/>
        <w:suppressLineNumbers w:val="0"/>
        <w:ind w:firstLine="566"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8"/>
          <w:szCs w:val="28"/>
          <w:lang w:val="en-US" w:eastAsia="zh-CN" w:bidi="ar"/>
        </w:rPr>
        <w:t xml:space="preserve">采购人在评审前提供《委托评审小组定标授权书》，磋商小组将根据 </w:t>
      </w:r>
    </w:p>
    <w:p w14:paraId="4616A98D">
      <w:pPr>
        <w:keepNext w:val="0"/>
        <w:keepLines w:val="0"/>
        <w:widowControl/>
        <w:suppressLineNumbers w:val="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0"/>
          <w:sz w:val="28"/>
          <w:szCs w:val="28"/>
          <w:lang w:val="en-US" w:eastAsia="zh-CN" w:bidi="ar"/>
        </w:rPr>
        <w:t>采购人授权直接确定成交供应商。</w:t>
      </w:r>
    </w:p>
    <w:p w14:paraId="1F9BED0D">
      <w:pPr>
        <w:pageBreakBefore w:val="0"/>
        <w:widowControl/>
        <w:kinsoku/>
        <w:wordWrap w:val="0"/>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14:paraId="79A86177">
      <w:pPr>
        <w:pageBreakBefore w:val="0"/>
        <w:widowControl/>
        <w:kinsoku/>
        <w:wordWrap w:val="0"/>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【陕西省政府采购网（www.ccgp-shaanxi.gov.cn/）】中的〖首页·〉</w:t>
      </w:r>
      <w:r>
        <w:rPr>
          <w:rFonts w:hint="eastAsia" w:ascii="仿宋_GB2312" w:hAnsi="仿宋_GB2312" w:eastAsia="仿宋_GB2312" w:cs="仿宋_GB2312"/>
          <w:color w:val="auto"/>
          <w:sz w:val="28"/>
          <w:szCs w:val="28"/>
          <w:lang w:eastAsia="zh-CN"/>
        </w:rPr>
        <w:t>县（区）</w:t>
      </w:r>
      <w:r>
        <w:rPr>
          <w:rFonts w:hint="eastAsia" w:ascii="仿宋_GB2312" w:hAnsi="仿宋_GB2312" w:eastAsia="仿宋_GB2312" w:cs="仿宋_GB2312"/>
          <w:color w:val="auto"/>
          <w:sz w:val="28"/>
          <w:szCs w:val="28"/>
        </w:rPr>
        <w:t>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14:paraId="05BF26E9">
      <w:pPr>
        <w:pageBreakBefore w:val="0"/>
        <w:widowControl/>
        <w:kinsoku/>
        <w:wordWrap w:val="0"/>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bCs/>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14:paraId="3AC023E2">
      <w:pPr>
        <w:pStyle w:val="4"/>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34" w:name="_Toc3100"/>
      <w:bookmarkStart w:id="135" w:name="_Toc20049"/>
      <w:bookmarkStart w:id="136" w:name="_Toc28870"/>
      <w:bookmarkStart w:id="137" w:name="_Toc10386"/>
      <w:bookmarkStart w:id="138" w:name="_Toc23938"/>
      <w:bookmarkStart w:id="139" w:name="_Toc18233"/>
      <w:bookmarkStart w:id="140" w:name="_Toc14009"/>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34"/>
      <w:bookmarkEnd w:id="135"/>
      <w:bookmarkEnd w:id="136"/>
      <w:bookmarkEnd w:id="137"/>
      <w:bookmarkEnd w:id="138"/>
      <w:bookmarkEnd w:id="139"/>
      <w:bookmarkEnd w:id="140"/>
    </w:p>
    <w:p w14:paraId="353761A8">
      <w:pPr>
        <w:pageBreakBefore w:val="0"/>
        <w:widowControl/>
        <w:kinsoku/>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14:paraId="20F665FB">
      <w:pPr>
        <w:pageBreakBefore w:val="0"/>
        <w:widowControl/>
        <w:kinsoku/>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）合同在执行过程中，确需修改、变更时，应当按照相应的审核批准程序办理。</w:t>
      </w:r>
    </w:p>
    <w:p w14:paraId="432818B6">
      <w:pPr>
        <w:pageBreakBefore w:val="0"/>
        <w:widowControl/>
        <w:kinsoku/>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）磋商文件、补充通知、磋商响应文件、补充协议等为合同的组成部分，具有同等法律效力。成交供应商不得将合同分包、转让他人。</w:t>
      </w:r>
    </w:p>
    <w:p w14:paraId="3AC836BE">
      <w:pPr>
        <w:pageBreakBefore w:val="0"/>
        <w:widowControl/>
        <w:kinsoku/>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b/>
          <w:bCs/>
          <w:color w:val="auto"/>
          <w:sz w:val="28"/>
          <w:szCs w:val="28"/>
        </w:rPr>
      </w:pPr>
      <w:bookmarkStart w:id="141" w:name="_Toc402799208"/>
      <w:bookmarkStart w:id="142" w:name="_Toc404175353"/>
      <w:r>
        <w:rPr>
          <w:rFonts w:hint="eastAsia" w:ascii="仿宋_GB2312" w:hAnsi="仿宋_GB2312" w:eastAsia="仿宋_GB2312" w:cs="仿宋_GB2312"/>
          <w:b/>
          <w:bCs/>
          <w:color w:val="auto"/>
          <w:sz w:val="28"/>
          <w:szCs w:val="28"/>
          <w:lang w:eastAsia="zh-CN"/>
        </w:rPr>
        <w:t>十、</w:t>
      </w:r>
      <w:r>
        <w:rPr>
          <w:rFonts w:hint="eastAsia" w:ascii="仿宋_GB2312" w:hAnsi="仿宋_GB2312" w:eastAsia="仿宋_GB2312" w:cs="仿宋_GB2312"/>
          <w:b/>
          <w:bCs/>
          <w:color w:val="auto"/>
          <w:sz w:val="28"/>
          <w:szCs w:val="28"/>
        </w:rPr>
        <w:t>项目验收</w:t>
      </w:r>
      <w:bookmarkEnd w:id="141"/>
      <w:bookmarkEnd w:id="142"/>
    </w:p>
    <w:p w14:paraId="047D37FE">
      <w:pPr>
        <w:pageBreakBefore w:val="0"/>
        <w:widowControl/>
        <w:kinsoku/>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依据合同约定（验收时间、人员、方式等），采购人定期对服务情况进行检查验收。</w:t>
      </w:r>
    </w:p>
    <w:p w14:paraId="744193D8">
      <w:pPr>
        <w:pageBreakBefore w:val="0"/>
        <w:widowControl/>
        <w:kinsoku/>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b w:val="0"/>
          <w:bCs/>
          <w:color w:val="auto"/>
          <w:sz w:val="28"/>
          <w:szCs w:val="28"/>
        </w:rPr>
      </w:pPr>
      <w:bookmarkStart w:id="143" w:name="_Toc404175354"/>
      <w:bookmarkStart w:id="144" w:name="_Toc402799209"/>
      <w:r>
        <w:rPr>
          <w:rFonts w:hint="eastAsia" w:ascii="仿宋_GB2312" w:hAnsi="仿宋_GB2312" w:eastAsia="仿宋_GB2312" w:cs="仿宋_GB2312"/>
          <w:b/>
          <w:color w:val="auto"/>
          <w:sz w:val="28"/>
          <w:szCs w:val="28"/>
          <w:lang w:val="en-US" w:eastAsia="zh-CN"/>
        </w:rPr>
        <w:t>十一、</w:t>
      </w:r>
      <w:r>
        <w:rPr>
          <w:rFonts w:hint="eastAsia" w:ascii="仿宋_GB2312" w:hAnsi="仿宋_GB2312" w:eastAsia="仿宋_GB2312" w:cs="仿宋_GB2312"/>
          <w:b/>
          <w:color w:val="auto"/>
          <w:sz w:val="28"/>
          <w:szCs w:val="28"/>
        </w:rPr>
        <w:t>付款方式</w:t>
      </w:r>
      <w:bookmarkEnd w:id="143"/>
      <w:bookmarkEnd w:id="144"/>
    </w:p>
    <w:p w14:paraId="72218B8B">
      <w:pPr>
        <w:snapToGrid w:val="0"/>
        <w:spacing w:line="240" w:lineRule="auto"/>
        <w:ind w:firstLine="566"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采购人依照合同价格每月根据考勤及考核情况据实支付费用;考核事项在具体合同中约定。</w:t>
      </w:r>
    </w:p>
    <w:p w14:paraId="41BA5A84">
      <w:pPr>
        <w:pStyle w:val="4"/>
        <w:pageBreakBefore w:val="0"/>
        <w:widowControl/>
        <w:numPr>
          <w:ilvl w:val="0"/>
          <w:numId w:val="0"/>
        </w:numPr>
        <w:kinsoku/>
        <w:overflowPunct/>
        <w:topLinePunct w:val="0"/>
        <w:autoSpaceDE/>
        <w:autoSpaceDN/>
        <w:bidi w:val="0"/>
        <w:adjustRightInd/>
        <w:snapToGrid/>
        <w:spacing w:line="240" w:lineRule="auto"/>
        <w:ind w:firstLine="566" w:firstLineChars="200"/>
        <w:textAlignment w:val="auto"/>
        <w:rPr>
          <w:rFonts w:hint="eastAsia" w:ascii="仿宋_GB2312" w:hAnsi="仿宋_GB2312" w:eastAsia="仿宋_GB2312" w:cs="仿宋_GB2312"/>
          <w:color w:val="auto"/>
          <w:lang w:val="en-US" w:eastAsia="zh-CN"/>
        </w:rPr>
      </w:pPr>
      <w:bookmarkStart w:id="145" w:name="_Toc5278"/>
      <w:bookmarkStart w:id="146" w:name="_Toc17324"/>
      <w:bookmarkStart w:id="147" w:name="_Toc23303"/>
      <w:bookmarkStart w:id="148" w:name="_Toc11780"/>
      <w:bookmarkStart w:id="149" w:name="_Toc11584"/>
      <w:bookmarkStart w:id="150" w:name="_Toc8426"/>
      <w:bookmarkStart w:id="151" w:name="_Toc14560"/>
      <w:bookmarkStart w:id="152" w:name="_Toc10336"/>
      <w:bookmarkStart w:id="153" w:name="_Toc4764"/>
      <w:r>
        <w:rPr>
          <w:rFonts w:hint="eastAsia" w:ascii="仿宋_GB2312" w:hAnsi="仿宋_GB2312" w:eastAsia="仿宋_GB2312" w:cs="仿宋_GB2312"/>
          <w:color w:val="auto"/>
          <w:sz w:val="28"/>
          <w:szCs w:val="28"/>
          <w:lang w:eastAsia="zh-CN"/>
        </w:rPr>
        <w:t>十二</w:t>
      </w:r>
      <w:r>
        <w:rPr>
          <w:rFonts w:hint="eastAsia" w:ascii="仿宋_GB2312" w:hAnsi="仿宋_GB2312" w:eastAsia="仿宋_GB2312" w:cs="仿宋_GB2312"/>
          <w:color w:val="auto"/>
          <w:sz w:val="28"/>
          <w:szCs w:val="28"/>
        </w:rPr>
        <w:t>采购代理服务费</w:t>
      </w:r>
      <w:bookmarkEnd w:id="145"/>
      <w:bookmarkEnd w:id="146"/>
      <w:bookmarkEnd w:id="147"/>
      <w:bookmarkEnd w:id="148"/>
      <w:bookmarkEnd w:id="149"/>
      <w:bookmarkEnd w:id="150"/>
      <w:bookmarkEnd w:id="151"/>
      <w:bookmarkEnd w:id="152"/>
      <w:bookmarkEnd w:id="153"/>
      <w:r>
        <w:rPr>
          <w:rFonts w:hint="eastAsia" w:ascii="仿宋_GB2312" w:hAnsi="仿宋_GB2312" w:eastAsia="仿宋_GB2312" w:cs="仿宋_GB2312"/>
          <w:color w:val="auto"/>
          <w:sz w:val="28"/>
          <w:szCs w:val="28"/>
          <w:lang w:eastAsia="zh-CN"/>
        </w:rPr>
        <w:t>：免费</w:t>
      </w:r>
      <w:r>
        <w:rPr>
          <w:rFonts w:hint="eastAsia" w:ascii="仿宋_GB2312" w:hAnsi="仿宋_GB2312" w:eastAsia="仿宋_GB2312" w:cs="仿宋_GB2312"/>
          <w:color w:val="auto"/>
          <w:sz w:val="28"/>
          <w:szCs w:val="28"/>
          <w:lang w:val="en-US" w:eastAsia="zh-CN"/>
        </w:rPr>
        <w:t xml:space="preserve">  </w:t>
      </w:r>
    </w:p>
    <w:p w14:paraId="766274B5">
      <w:pPr>
        <w:snapToGrid w:val="0"/>
        <w:spacing w:line="240" w:lineRule="auto"/>
        <w:ind w:firstLine="566"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十三、其它约定</w:t>
      </w:r>
    </w:p>
    <w:p w14:paraId="2AF255D4">
      <w:pPr>
        <w:snapToGrid w:val="0"/>
        <w:spacing w:line="240" w:lineRule="auto"/>
        <w:ind w:firstLine="566" w:firstLineChars="200"/>
        <w:rPr>
          <w:rFonts w:hint="default" w:ascii="Times New Roman" w:hAnsi="Times New Roman" w:cs="Times New Roman"/>
          <w:color w:val="auto"/>
          <w:lang w:val="en-US" w:eastAsia="zh-CN"/>
        </w:rPr>
        <w:sectPr>
          <w:footerReference r:id="rId8" w:type="default"/>
          <w:pgSz w:w="11906" w:h="16838"/>
          <w:pgMar w:top="1587" w:right="1417" w:bottom="1417" w:left="1417" w:header="1020" w:footer="992" w:gutter="0"/>
          <w:pgBorders>
            <w:top w:val="none" w:sz="0" w:space="0"/>
            <w:left w:val="none" w:sz="0" w:space="0"/>
            <w:bottom w:val="none" w:sz="0" w:space="0"/>
            <w:right w:val="none" w:sz="0" w:space="0"/>
          </w:pgBorders>
          <w:pgNumType w:fmt="decimal" w:start="1"/>
          <w:cols w:space="0" w:num="1"/>
          <w:rtlGutter w:val="0"/>
          <w:docGrid w:type="linesAndChars" w:linePitch="381" w:charSpace="704"/>
        </w:sectPr>
      </w:pPr>
      <w:r>
        <w:rPr>
          <w:rFonts w:hint="eastAsia" w:ascii="仿宋_GB2312" w:hAnsi="仿宋_GB2312" w:eastAsia="仿宋_GB2312" w:cs="仿宋_GB2312"/>
          <w:color w:val="auto"/>
          <w:sz w:val="28"/>
          <w:szCs w:val="28"/>
          <w:lang w:val="en-US" w:eastAsia="zh-CN"/>
        </w:rPr>
        <w:t>为了保证采购活动顺利进行，要求各供应商要认真仔细阅读采购文件，严格按采购文件中规定条款制作响应文件。因供应商自身工作失误（如：①不按采购文件约定制作、封装“法人授权书”的；②不按要求密封采购文件的；③报价计算错误的；④评委会一致认定的其它行为。），造成有效响应供应商不足三家而导致采购活动失败的，将其列入“不良行为名单”一次，情节严重的按《政府采购法》有关规定予以处罚。</w:t>
      </w:r>
    </w:p>
    <w:p w14:paraId="68C28F19">
      <w:pPr>
        <w:pStyle w:val="3"/>
        <w:ind w:firstLine="1938" w:firstLineChars="600"/>
        <w:jc w:val="both"/>
        <w:rPr>
          <w:rFonts w:hint="default" w:ascii="Times New Roman" w:hAnsi="Times New Roman" w:eastAsia="黑体" w:cs="Times New Roman"/>
          <w:color w:val="auto"/>
          <w:sz w:val="32"/>
          <w:szCs w:val="32"/>
        </w:rPr>
      </w:pPr>
      <w:bookmarkStart w:id="154" w:name="_Toc10476_WPSOffice_Level1"/>
      <w:bookmarkStart w:id="155" w:name="_Toc22915"/>
      <w:bookmarkStart w:id="156" w:name="_Toc2772"/>
      <w:bookmarkStart w:id="157" w:name="_Toc31517"/>
      <w:bookmarkStart w:id="158" w:name="_Toc6345"/>
      <w:r>
        <w:rPr>
          <w:rFonts w:hint="default" w:ascii="Times New Roman" w:hAnsi="Times New Roman" w:eastAsia="黑体" w:cs="Times New Roman"/>
          <w:b w:val="0"/>
          <w:bCs/>
          <w:color w:val="auto"/>
          <w:sz w:val="32"/>
          <w:szCs w:val="40"/>
          <w:highlight w:val="none"/>
        </w:rPr>
        <w:t>第三章  磋商内容及采</w:t>
      </w:r>
      <w:bookmarkEnd w:id="154"/>
      <w:r>
        <w:rPr>
          <w:rFonts w:hint="default" w:ascii="Times New Roman" w:hAnsi="Times New Roman" w:eastAsia="黑体" w:cs="Times New Roman"/>
          <w:b w:val="0"/>
          <w:bCs/>
          <w:color w:val="auto"/>
          <w:sz w:val="32"/>
          <w:szCs w:val="40"/>
          <w:highlight w:val="none"/>
        </w:rPr>
        <w:t>购要求</w:t>
      </w:r>
      <w:bookmarkEnd w:id="123"/>
      <w:bookmarkEnd w:id="124"/>
      <w:bookmarkEnd w:id="125"/>
      <w:bookmarkEnd w:id="126"/>
      <w:bookmarkEnd w:id="127"/>
      <w:bookmarkEnd w:id="128"/>
      <w:bookmarkEnd w:id="129"/>
      <w:bookmarkEnd w:id="130"/>
      <w:bookmarkEnd w:id="131"/>
      <w:bookmarkEnd w:id="132"/>
      <w:bookmarkEnd w:id="133"/>
      <w:bookmarkEnd w:id="155"/>
      <w:bookmarkEnd w:id="156"/>
      <w:bookmarkEnd w:id="157"/>
      <w:bookmarkEnd w:id="158"/>
      <w:bookmarkStart w:id="159" w:name="_Toc10371"/>
      <w:bookmarkStart w:id="160" w:name="_Toc35871571"/>
      <w:bookmarkStart w:id="161" w:name="_Toc18466_WPSOffice_Level1"/>
      <w:bookmarkStart w:id="162" w:name="_Toc14089"/>
      <w:bookmarkStart w:id="163" w:name="_Toc12628"/>
      <w:bookmarkStart w:id="164" w:name="_Toc19317"/>
      <w:bookmarkStart w:id="165" w:name="_Toc495012823"/>
      <w:bookmarkStart w:id="166" w:name="_Toc495014613"/>
      <w:bookmarkStart w:id="167" w:name="_Toc495014922"/>
      <w:bookmarkStart w:id="168" w:name="_Toc18484_WPSOffice_Level1"/>
      <w:bookmarkStart w:id="169" w:name="_Toc495014651"/>
      <w:bookmarkStart w:id="170" w:name="_Toc784_WPSOffice_Level1"/>
      <w:bookmarkStart w:id="171" w:name="_Toc495012773"/>
      <w:bookmarkStart w:id="172" w:name="_Toc495014587"/>
      <w:bookmarkStart w:id="173" w:name="_Toc445306495"/>
      <w:bookmarkStart w:id="174" w:name="_Toc495014956"/>
    </w:p>
    <w:p w14:paraId="5D570E1A">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一、服务区域</w:t>
      </w:r>
    </w:p>
    <w:p w14:paraId="7EDAE9A5">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中共汉中市汉台区委办公室安全保卫责任区域。</w:t>
      </w:r>
    </w:p>
    <w:p w14:paraId="5B01E720">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二、服务要求</w:t>
      </w:r>
    </w:p>
    <w:p w14:paraId="428FF635">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（一）总体要求</w:t>
      </w:r>
    </w:p>
    <w:p w14:paraId="16EE1107">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1、安保人员遵纪守法、文明执勤，上班着保安服。身体健康，无任何传染疾病。</w:t>
      </w:r>
    </w:p>
    <w:p w14:paraId="6EFF0A4B">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2、安保人员年龄不超过56岁（特别优秀者可适当放宽），具备保安员上岗资质。</w:t>
      </w:r>
    </w:p>
    <w:p w14:paraId="49909620">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3、响应供应商须提供拟派人员无犯罪记录声明。</w:t>
      </w:r>
    </w:p>
    <w:p w14:paraId="302DAD7C">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4、应聘保安公司需具有公安部门颁发的保安经营资质。</w:t>
      </w:r>
    </w:p>
    <w:p w14:paraId="2ACC3138">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（二）服务内容</w:t>
      </w:r>
    </w:p>
    <w:p w14:paraId="65E24484">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1、维护区委机关单位区域安全，不定时地对所属区域进行安全巡逻、巡查，做好放火、防盗工作，预防不安全事故发生，白天指挥院内车辆有序停放，晚间按规定巡逻、巡查。</w:t>
      </w:r>
    </w:p>
    <w:p w14:paraId="36CA035E">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做好门卫登记管理工作，严格履行保安员的工作职责，协助总值班室做好信访处置工作，认真做好进出人员出入登记，物品出门要有出门证才能放行，发现问题及时处理，紧急情况及时向甲方主管领导汇报，必要时报警。</w:t>
      </w:r>
    </w:p>
    <w:p w14:paraId="244E2349">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3、保安员执行每天24小时上班，三班轮流值班制度，要求按时上、下班，服装整洁，不得迟到、早退、脱岗、旷工，上班期间不得酗酒、不得从事与工作无关的事，做好当班工作记录，交接班清楚。</w:t>
      </w:r>
    </w:p>
    <w:p w14:paraId="79AC39BA">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4、班长每月组织列队训练不少于两次，每次不能少于20分钟。</w:t>
      </w:r>
    </w:p>
    <w:p w14:paraId="139EEB36">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5、保证保安值班室干净整洁，不得放置杂物，门口责任区整洁卫生。</w:t>
      </w:r>
    </w:p>
    <w:p w14:paraId="7E6F6A79">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6、服从本单位主管领导及指派人员的管理，完成领导交办的其它安保工作任务。保安人员若工作出现失职、渎职、脱岗、不服从管理现象，单位有权对保安进行处罚，要求及时调换人员并及时调整人员到岗。</w:t>
      </w:r>
    </w:p>
    <w:p w14:paraId="4C4B1AB7">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三、人员要求</w:t>
      </w:r>
    </w:p>
    <w:p w14:paraId="7748B747">
      <w:pPr>
        <w:snapToGrid w:val="0"/>
        <w:spacing w:line="240" w:lineRule="auto"/>
        <w:ind w:firstLine="566"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安保人数配备10人，具体岗位及保安人员配备情况如下：</w:t>
      </w:r>
    </w:p>
    <w:tbl>
      <w:tblPr>
        <w:tblStyle w:val="24"/>
        <w:tblW w:w="800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42"/>
        <w:gridCol w:w="1888"/>
        <w:gridCol w:w="1006"/>
        <w:gridCol w:w="4170"/>
      </w:tblGrid>
      <w:tr w14:paraId="55D6B4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7" w:hRule="atLeast"/>
          <w:jc w:val="center"/>
        </w:trPr>
        <w:tc>
          <w:tcPr>
            <w:tcW w:w="942" w:type="dxa"/>
            <w:tcBorders>
              <w:top w:val="single" w:color="auto" w:sz="12" w:space="0"/>
              <w:bottom w:val="single" w:color="auto" w:sz="2" w:space="0"/>
            </w:tcBorders>
            <w:shd w:val="clear" w:color="auto" w:fill="auto"/>
            <w:noWrap/>
            <w:vAlign w:val="center"/>
          </w:tcPr>
          <w:p w14:paraId="26E23EE4">
            <w:pPr>
              <w:widowControl w:val="0"/>
              <w:spacing w:line="320" w:lineRule="exact"/>
              <w:jc w:val="center"/>
              <w:rPr>
                <w:rFonts w:hint="default" w:ascii="Times New Roman" w:hAnsi="Times New Roman" w:eastAsia="仿宋" w:cs="Times New Roman"/>
                <w:b/>
                <w:bCs/>
                <w:color w:val="auto"/>
                <w:sz w:val="28"/>
                <w:szCs w:val="28"/>
                <w:shd w:val="clear" w:color="auto" w:fill="auto"/>
              </w:rPr>
            </w:pPr>
            <w:r>
              <w:rPr>
                <w:rFonts w:hint="default" w:ascii="Times New Roman" w:hAnsi="Times New Roman" w:eastAsia="仿宋_GB2312" w:cs="Times New Roman"/>
                <w:b/>
                <w:bCs/>
                <w:color w:val="auto"/>
                <w:sz w:val="28"/>
                <w:szCs w:val="28"/>
                <w:shd w:val="clear" w:color="auto" w:fill="auto"/>
              </w:rPr>
              <w:t>序号</w:t>
            </w:r>
          </w:p>
        </w:tc>
        <w:tc>
          <w:tcPr>
            <w:tcW w:w="1888" w:type="dxa"/>
            <w:tcBorders>
              <w:top w:val="single" w:color="auto" w:sz="12" w:space="0"/>
              <w:bottom w:val="single" w:color="auto" w:sz="2" w:space="0"/>
            </w:tcBorders>
            <w:shd w:val="clear" w:color="auto" w:fill="auto"/>
            <w:noWrap/>
            <w:vAlign w:val="center"/>
          </w:tcPr>
          <w:p w14:paraId="7F9B6085">
            <w:pPr>
              <w:widowControl w:val="0"/>
              <w:spacing w:line="320" w:lineRule="exact"/>
              <w:jc w:val="center"/>
              <w:rPr>
                <w:rFonts w:hint="default" w:ascii="Times New Roman" w:hAnsi="Times New Roman" w:eastAsia="仿宋" w:cs="Times New Roman"/>
                <w:b/>
                <w:bCs/>
                <w:color w:val="auto"/>
                <w:sz w:val="28"/>
                <w:szCs w:val="28"/>
                <w:shd w:val="clear" w:color="auto" w:fill="auto"/>
                <w:lang w:val="en-US" w:eastAsia="zh-CN"/>
              </w:rPr>
            </w:pPr>
            <w:r>
              <w:rPr>
                <w:rFonts w:hint="default" w:ascii="Times New Roman" w:hAnsi="Times New Roman" w:eastAsia="仿宋_GB2312" w:cs="Times New Roman"/>
                <w:b/>
                <w:bCs/>
                <w:color w:val="auto"/>
                <w:sz w:val="28"/>
                <w:szCs w:val="28"/>
                <w:shd w:val="clear" w:color="auto" w:fill="auto"/>
              </w:rPr>
              <w:t>岗位</w:t>
            </w:r>
          </w:p>
        </w:tc>
        <w:tc>
          <w:tcPr>
            <w:tcW w:w="1006" w:type="dxa"/>
            <w:tcBorders>
              <w:top w:val="single" w:color="auto" w:sz="12" w:space="0"/>
              <w:bottom w:val="single" w:color="auto" w:sz="2" w:space="0"/>
            </w:tcBorders>
            <w:shd w:val="clear" w:color="auto" w:fill="auto"/>
            <w:noWrap/>
            <w:vAlign w:val="center"/>
          </w:tcPr>
          <w:p w14:paraId="323D2177">
            <w:pPr>
              <w:widowControl w:val="0"/>
              <w:spacing w:line="320" w:lineRule="exact"/>
              <w:jc w:val="center"/>
              <w:rPr>
                <w:rFonts w:hint="default" w:ascii="Times New Roman" w:hAnsi="Times New Roman" w:eastAsia="仿宋" w:cs="Times New Roman"/>
                <w:b/>
                <w:bCs/>
                <w:color w:val="auto"/>
                <w:sz w:val="28"/>
                <w:szCs w:val="28"/>
                <w:shd w:val="clear" w:color="auto" w:fill="auto"/>
                <w:lang w:val="en-US" w:eastAsia="zh-CN"/>
              </w:rPr>
            </w:pPr>
            <w:r>
              <w:rPr>
                <w:rFonts w:hint="default" w:ascii="Times New Roman" w:hAnsi="Times New Roman" w:eastAsia="仿宋_GB2312" w:cs="Times New Roman"/>
                <w:b/>
                <w:bCs/>
                <w:color w:val="auto"/>
                <w:sz w:val="28"/>
                <w:szCs w:val="28"/>
                <w:shd w:val="clear" w:color="auto" w:fill="auto"/>
                <w:lang w:val="en-US" w:eastAsia="zh-CN"/>
              </w:rPr>
              <w:t>人数</w:t>
            </w:r>
          </w:p>
        </w:tc>
        <w:tc>
          <w:tcPr>
            <w:tcW w:w="4170" w:type="dxa"/>
            <w:tcBorders>
              <w:top w:val="single" w:color="auto" w:sz="12" w:space="0"/>
              <w:bottom w:val="single" w:color="auto" w:sz="2" w:space="0"/>
            </w:tcBorders>
            <w:shd w:val="clear" w:color="auto" w:fill="auto"/>
            <w:noWrap/>
            <w:vAlign w:val="center"/>
          </w:tcPr>
          <w:p w14:paraId="2A5E26A2">
            <w:pPr>
              <w:widowControl w:val="0"/>
              <w:spacing w:line="320" w:lineRule="exact"/>
              <w:jc w:val="center"/>
              <w:rPr>
                <w:rFonts w:hint="default" w:ascii="Times New Roman" w:hAnsi="Times New Roman" w:eastAsia="仿宋" w:cs="Times New Roman"/>
                <w:b/>
                <w:bCs/>
                <w:color w:val="auto"/>
                <w:sz w:val="28"/>
                <w:szCs w:val="28"/>
                <w:shd w:val="clear" w:color="auto" w:fill="auto"/>
                <w:lang w:eastAsia="zh-CN"/>
              </w:rPr>
            </w:pPr>
            <w:r>
              <w:rPr>
                <w:rFonts w:hint="default" w:ascii="Times New Roman" w:hAnsi="Times New Roman" w:eastAsia="仿宋_GB2312" w:cs="Times New Roman"/>
                <w:b/>
                <w:bCs/>
                <w:color w:val="auto"/>
                <w:sz w:val="28"/>
                <w:szCs w:val="28"/>
                <w:shd w:val="clear" w:color="auto" w:fill="auto"/>
                <w:lang w:eastAsia="zh-CN"/>
              </w:rPr>
              <w:t>备注</w:t>
            </w:r>
          </w:p>
        </w:tc>
      </w:tr>
      <w:tr w14:paraId="094A63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42" w:type="dxa"/>
            <w:tcBorders>
              <w:top w:val="single" w:color="auto" w:sz="2" w:space="0"/>
            </w:tcBorders>
            <w:noWrap/>
            <w:vAlign w:val="center"/>
          </w:tcPr>
          <w:p w14:paraId="266FDC72">
            <w:pPr>
              <w:widowControl w:val="0"/>
              <w:spacing w:line="320" w:lineRule="exact"/>
              <w:jc w:val="center"/>
              <w:rPr>
                <w:rFonts w:hint="default" w:ascii="Times New Roman" w:hAnsi="Times New Roman" w:eastAsia="仿宋" w:cs="Times New Roman"/>
                <w:color w:val="auto"/>
                <w:sz w:val="28"/>
                <w:szCs w:val="28"/>
              </w:rPr>
            </w:pPr>
            <w:r>
              <w:rPr>
                <w:rFonts w:hint="default" w:ascii="Times New Roman" w:hAnsi="Times New Roman" w:eastAsia="仿宋_GB2312" w:cs="Times New Roman"/>
                <w:color w:val="auto"/>
                <w:sz w:val="28"/>
                <w:szCs w:val="28"/>
              </w:rPr>
              <w:t>1</w:t>
            </w:r>
          </w:p>
        </w:tc>
        <w:tc>
          <w:tcPr>
            <w:tcW w:w="1888" w:type="dxa"/>
            <w:tcBorders>
              <w:top w:val="single" w:color="auto" w:sz="2" w:space="0"/>
            </w:tcBorders>
            <w:noWrap/>
            <w:vAlign w:val="center"/>
          </w:tcPr>
          <w:p w14:paraId="2A0B840A">
            <w:pPr>
              <w:widowControl w:val="0"/>
              <w:spacing w:line="320" w:lineRule="exact"/>
              <w:jc w:val="center"/>
              <w:rPr>
                <w:rFonts w:hint="default" w:ascii="Times New Roman" w:hAnsi="Times New Roman" w:eastAsia="仿宋" w:cs="Times New Roman"/>
                <w:color w:val="auto"/>
                <w:kern w:val="0"/>
                <w:sz w:val="28"/>
                <w:szCs w:val="28"/>
                <w:highlight w:val="red"/>
                <w:lang w:val="en-US" w:eastAsia="zh-CN" w:bidi="ar-SA"/>
              </w:rPr>
            </w:pPr>
            <w:r>
              <w:rPr>
                <w:rFonts w:hint="default" w:ascii="Times New Roman" w:hAnsi="Times New Roman" w:eastAsia="仿宋_GB2312" w:cs="Times New Roman"/>
                <w:color w:val="auto"/>
                <w:sz w:val="28"/>
                <w:szCs w:val="28"/>
                <w:lang w:eastAsia="zh-CN"/>
              </w:rPr>
              <w:t>中山街门卫</w:t>
            </w:r>
          </w:p>
        </w:tc>
        <w:tc>
          <w:tcPr>
            <w:tcW w:w="1006" w:type="dxa"/>
            <w:tcBorders>
              <w:top w:val="single" w:color="auto" w:sz="2" w:space="0"/>
            </w:tcBorders>
            <w:noWrap/>
            <w:vAlign w:val="center"/>
          </w:tcPr>
          <w:p w14:paraId="03F47103">
            <w:pPr>
              <w:widowControl w:val="0"/>
              <w:spacing w:line="320" w:lineRule="exact"/>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6人</w:t>
            </w:r>
          </w:p>
        </w:tc>
        <w:tc>
          <w:tcPr>
            <w:tcW w:w="4170" w:type="dxa"/>
            <w:vMerge w:val="restart"/>
            <w:tcBorders>
              <w:top w:val="single" w:color="auto" w:sz="2" w:space="0"/>
            </w:tcBorders>
            <w:noWrap/>
            <w:vAlign w:val="center"/>
          </w:tcPr>
          <w:p w14:paraId="24960B2D">
            <w:pPr>
              <w:widowControl w:val="0"/>
              <w:spacing w:line="320" w:lineRule="exact"/>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每天</w:t>
            </w:r>
            <w:r>
              <w:rPr>
                <w:rFonts w:hint="default" w:ascii="Times New Roman" w:hAnsi="Times New Roman" w:eastAsia="仿宋_GB2312" w:cs="Times New Roman"/>
                <w:color w:val="auto"/>
                <w:sz w:val="28"/>
                <w:szCs w:val="28"/>
                <w:lang w:val="en-US" w:eastAsia="zh-CN"/>
              </w:rPr>
              <w:t xml:space="preserve">24小时上班，三班轮流值班制度。 </w:t>
            </w:r>
          </w:p>
        </w:tc>
      </w:tr>
      <w:tr w14:paraId="4EE8DC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42" w:type="dxa"/>
            <w:noWrap/>
            <w:vAlign w:val="center"/>
          </w:tcPr>
          <w:p w14:paraId="736D9B9F">
            <w:pPr>
              <w:widowControl w:val="0"/>
              <w:spacing w:line="320" w:lineRule="exact"/>
              <w:jc w:val="center"/>
              <w:rPr>
                <w:rFonts w:hint="default" w:ascii="Times New Roman" w:hAnsi="Times New Roman" w:eastAsia="仿宋" w:cs="Times New Roman"/>
                <w:color w:val="auto"/>
                <w:sz w:val="28"/>
                <w:szCs w:val="28"/>
              </w:rPr>
            </w:pPr>
            <w:r>
              <w:rPr>
                <w:rFonts w:hint="default" w:ascii="Times New Roman" w:hAnsi="Times New Roman" w:eastAsia="仿宋_GB2312" w:cs="Times New Roman"/>
                <w:color w:val="auto"/>
                <w:sz w:val="28"/>
                <w:szCs w:val="28"/>
              </w:rPr>
              <w:t>2</w:t>
            </w:r>
          </w:p>
        </w:tc>
        <w:tc>
          <w:tcPr>
            <w:tcW w:w="1888" w:type="dxa"/>
            <w:noWrap/>
            <w:vAlign w:val="center"/>
          </w:tcPr>
          <w:p w14:paraId="2191BB92">
            <w:pPr>
              <w:widowControl w:val="0"/>
              <w:spacing w:line="320" w:lineRule="exact"/>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周公巷门卫</w:t>
            </w:r>
          </w:p>
        </w:tc>
        <w:tc>
          <w:tcPr>
            <w:tcW w:w="1006" w:type="dxa"/>
            <w:noWrap/>
            <w:vAlign w:val="center"/>
          </w:tcPr>
          <w:p w14:paraId="224949D1">
            <w:pPr>
              <w:widowControl w:val="0"/>
              <w:spacing w:line="320" w:lineRule="exact"/>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3人</w:t>
            </w:r>
          </w:p>
        </w:tc>
        <w:tc>
          <w:tcPr>
            <w:tcW w:w="4170" w:type="dxa"/>
            <w:vMerge w:val="continue"/>
            <w:noWrap/>
            <w:vAlign w:val="center"/>
          </w:tcPr>
          <w:p w14:paraId="34844C80">
            <w:pPr>
              <w:widowControl w:val="0"/>
              <w:spacing w:line="320" w:lineRule="exact"/>
              <w:jc w:val="center"/>
              <w:rPr>
                <w:rFonts w:hint="default" w:ascii="Times New Roman" w:hAnsi="Times New Roman" w:eastAsia="仿宋" w:cs="Times New Roman"/>
                <w:color w:val="auto"/>
                <w:sz w:val="28"/>
                <w:szCs w:val="28"/>
                <w:lang w:eastAsia="zh-CN"/>
              </w:rPr>
            </w:pPr>
          </w:p>
        </w:tc>
      </w:tr>
      <w:tr w14:paraId="769065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42" w:type="dxa"/>
            <w:noWrap/>
            <w:vAlign w:val="center"/>
          </w:tcPr>
          <w:p w14:paraId="0C3827CB">
            <w:pPr>
              <w:widowControl w:val="0"/>
              <w:spacing w:line="320" w:lineRule="exact"/>
              <w:jc w:val="center"/>
              <w:rPr>
                <w:rFonts w:hint="default" w:ascii="Times New Roman" w:hAnsi="Times New Roman" w:eastAsia="仿宋" w:cs="Times New Roman"/>
                <w:color w:val="auto"/>
                <w:sz w:val="28"/>
                <w:szCs w:val="28"/>
              </w:rPr>
            </w:pPr>
            <w:r>
              <w:rPr>
                <w:rFonts w:hint="default" w:ascii="Times New Roman" w:hAnsi="Times New Roman" w:eastAsia="仿宋_GB2312" w:cs="Times New Roman"/>
                <w:color w:val="auto"/>
                <w:sz w:val="28"/>
                <w:szCs w:val="28"/>
              </w:rPr>
              <w:t>3</w:t>
            </w:r>
          </w:p>
        </w:tc>
        <w:tc>
          <w:tcPr>
            <w:tcW w:w="1888" w:type="dxa"/>
            <w:noWrap/>
            <w:vAlign w:val="center"/>
          </w:tcPr>
          <w:p w14:paraId="0D07C82C">
            <w:pPr>
              <w:widowControl w:val="0"/>
              <w:spacing w:line="320" w:lineRule="exact"/>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办公楼</w:t>
            </w:r>
          </w:p>
        </w:tc>
        <w:tc>
          <w:tcPr>
            <w:tcW w:w="1006" w:type="dxa"/>
            <w:noWrap/>
            <w:vAlign w:val="center"/>
          </w:tcPr>
          <w:p w14:paraId="1D759F5D">
            <w:pPr>
              <w:widowControl w:val="0"/>
              <w:spacing w:line="320" w:lineRule="exact"/>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1人</w:t>
            </w:r>
          </w:p>
        </w:tc>
        <w:tc>
          <w:tcPr>
            <w:tcW w:w="4170" w:type="dxa"/>
            <w:noWrap/>
            <w:vAlign w:val="center"/>
          </w:tcPr>
          <w:p w14:paraId="1EEFF7E3">
            <w:pPr>
              <w:widowControl w:val="0"/>
              <w:spacing w:line="320" w:lineRule="exact"/>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8小时</w:t>
            </w:r>
          </w:p>
        </w:tc>
      </w:tr>
      <w:tr w14:paraId="7A44EE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942" w:type="dxa"/>
            <w:noWrap/>
            <w:vAlign w:val="center"/>
          </w:tcPr>
          <w:p w14:paraId="569F315C">
            <w:pPr>
              <w:widowControl w:val="0"/>
              <w:spacing w:line="320" w:lineRule="exact"/>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合计</w:t>
            </w:r>
          </w:p>
        </w:tc>
        <w:tc>
          <w:tcPr>
            <w:tcW w:w="1888" w:type="dxa"/>
            <w:noWrap/>
            <w:vAlign w:val="center"/>
          </w:tcPr>
          <w:p w14:paraId="2FE46297">
            <w:pPr>
              <w:widowControl w:val="0"/>
              <w:spacing w:line="320" w:lineRule="exact"/>
              <w:jc w:val="center"/>
              <w:rPr>
                <w:rFonts w:hint="default" w:ascii="Times New Roman" w:hAnsi="Times New Roman" w:eastAsia="仿宋"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w:t>
            </w:r>
          </w:p>
        </w:tc>
        <w:tc>
          <w:tcPr>
            <w:tcW w:w="1006" w:type="dxa"/>
            <w:noWrap/>
            <w:vAlign w:val="center"/>
          </w:tcPr>
          <w:p w14:paraId="39D3F7E0">
            <w:pPr>
              <w:widowControl w:val="0"/>
              <w:spacing w:line="320" w:lineRule="exact"/>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10人</w:t>
            </w:r>
          </w:p>
        </w:tc>
        <w:tc>
          <w:tcPr>
            <w:tcW w:w="4170" w:type="dxa"/>
            <w:noWrap/>
            <w:vAlign w:val="center"/>
          </w:tcPr>
          <w:p w14:paraId="433E3CEB">
            <w:pPr>
              <w:widowControl w:val="0"/>
              <w:spacing w:line="320" w:lineRule="exact"/>
              <w:jc w:val="center"/>
              <w:rPr>
                <w:rFonts w:hint="default" w:ascii="Times New Roman" w:hAnsi="Times New Roman" w:eastAsia="仿宋"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p>
        </w:tc>
      </w:tr>
    </w:tbl>
    <w:p w14:paraId="08C8FB58">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四、付款方式</w:t>
      </w:r>
    </w:p>
    <w:p w14:paraId="4E4BB124">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依照合同价格每月根据考勤及考核情况据实支付费用;考核事项在具体合同中约定。</w:t>
      </w:r>
    </w:p>
    <w:p w14:paraId="3EF6EC12">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五、合同期限</w:t>
      </w:r>
    </w:p>
    <w:p w14:paraId="089790B1">
      <w:pPr>
        <w:snapToGrid w:val="0"/>
        <w:spacing w:line="240" w:lineRule="auto"/>
        <w:ind w:firstLine="566"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合同履行期限为一年。</w:t>
      </w:r>
    </w:p>
    <w:p w14:paraId="6740E85E">
      <w:pPr>
        <w:numPr>
          <w:ilvl w:val="0"/>
          <w:numId w:val="0"/>
        </w:numPr>
        <w:ind w:firstLine="566" w:firstLineChars="200"/>
        <w:rPr>
          <w:rFonts w:hint="default" w:ascii="Times New Roman" w:hAnsi="Times New Roman" w:eastAsia="仿宋_GB2312" w:cs="Times New Roman"/>
          <w:color w:val="auto"/>
          <w:sz w:val="28"/>
          <w:szCs w:val="28"/>
          <w:lang w:val="en-US" w:eastAsia="zh-CN"/>
        </w:rPr>
      </w:pPr>
    </w:p>
    <w:p w14:paraId="07DAD44D">
      <w:pPr>
        <w:widowControl/>
        <w:numPr>
          <w:ilvl w:val="0"/>
          <w:numId w:val="0"/>
        </w:numPr>
        <w:jc w:val="left"/>
        <w:rPr>
          <w:rFonts w:hint="default" w:ascii="Times New Roman" w:hAnsi="Times New Roman" w:eastAsia="仿宋_GB2312" w:cs="Times New Roman"/>
          <w:color w:val="auto"/>
          <w:sz w:val="28"/>
          <w:szCs w:val="28"/>
          <w:lang w:val="en-US" w:eastAsia="zh-CN"/>
        </w:rPr>
      </w:pPr>
    </w:p>
    <w:p w14:paraId="27D95E04">
      <w:pPr>
        <w:rPr>
          <w:rFonts w:hint="default" w:ascii="Times New Roman" w:hAnsi="Times New Roman" w:eastAsia="仿宋_GB2312" w:cs="Times New Roman"/>
          <w:color w:val="auto"/>
          <w:sz w:val="28"/>
          <w:szCs w:val="28"/>
        </w:rPr>
      </w:pPr>
    </w:p>
    <w:p w14:paraId="7BE9EE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6" w:firstLineChars="200"/>
        <w:jc w:val="center"/>
        <w:textAlignment w:val="auto"/>
        <w:rPr>
          <w:rFonts w:hint="default" w:ascii="Times New Roman" w:hAnsi="Times New Roman" w:eastAsia="仿宋_GB2312" w:cs="Times New Roman"/>
          <w:b w:val="0"/>
          <w:color w:val="auto"/>
          <w:sz w:val="28"/>
          <w:szCs w:val="28"/>
        </w:rPr>
      </w:pPr>
    </w:p>
    <w:p w14:paraId="3469DD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52346B8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35F67F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4E2CDD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044981D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77C9BF4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3DE863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515788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38DC5CE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339206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750EC4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2C38B3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27FD2F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384711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13FF50F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7934196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037E66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1F5950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65BFFDB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p>
    <w:p w14:paraId="699284A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default" w:ascii="Times New Roman" w:hAnsi="Times New Roman" w:eastAsia="黑体" w:cs="Times New Roman"/>
          <w:b w:val="0"/>
          <w:color w:val="auto"/>
          <w:sz w:val="32"/>
          <w:szCs w:val="32"/>
        </w:rPr>
      </w:pPr>
    </w:p>
    <w:p w14:paraId="0D8F49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6" w:firstLineChars="200"/>
        <w:jc w:val="center"/>
        <w:textAlignment w:val="auto"/>
        <w:rPr>
          <w:rFonts w:hint="default" w:ascii="Times New Roman" w:hAnsi="Times New Roman" w:eastAsia="黑体" w:cs="Times New Roman"/>
          <w:b w:val="0"/>
          <w:color w:val="auto"/>
          <w:sz w:val="32"/>
          <w:szCs w:val="32"/>
        </w:rPr>
      </w:pPr>
      <w:r>
        <w:rPr>
          <w:rFonts w:hint="default" w:ascii="Times New Roman" w:hAnsi="Times New Roman" w:eastAsia="黑体" w:cs="Times New Roman"/>
          <w:b w:val="0"/>
          <w:color w:val="auto"/>
          <w:sz w:val="32"/>
          <w:szCs w:val="32"/>
        </w:rPr>
        <w:t xml:space="preserve">第四章 </w:t>
      </w:r>
      <w:bookmarkEnd w:id="159"/>
      <w:bookmarkEnd w:id="160"/>
      <w:r>
        <w:rPr>
          <w:rFonts w:hint="default" w:ascii="Times New Roman" w:hAnsi="Times New Roman" w:eastAsia="黑体" w:cs="Times New Roman"/>
          <w:b w:val="0"/>
          <w:color w:val="auto"/>
          <w:sz w:val="32"/>
          <w:szCs w:val="32"/>
        </w:rPr>
        <w:t>合同主要条款</w:t>
      </w:r>
    </w:p>
    <w:p w14:paraId="104A3954">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 xml:space="preserve">一、基本条件 </w:t>
      </w:r>
    </w:p>
    <w:p w14:paraId="3BFA9353">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（一）项目名称：汉台区委办公室机关安保服务采购项目</w:t>
      </w:r>
    </w:p>
    <w:p w14:paraId="179189A7">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（二）</w:t>
      </w:r>
      <w:r>
        <w:rPr>
          <w:rFonts w:hint="default" w:ascii="Times New Roman" w:hAnsi="Times New Roman" w:eastAsia="仿宋_GB2312" w:cs="Times New Roman"/>
          <w:color w:val="auto"/>
          <w:kern w:val="0"/>
          <w:sz w:val="28"/>
          <w:szCs w:val="28"/>
          <w:lang w:val="en-US" w:eastAsia="zh-CN" w:bidi="ar"/>
        </w:rPr>
        <w:t>服务</w:t>
      </w:r>
      <w:r>
        <w:rPr>
          <w:rFonts w:hint="default" w:ascii="Times New Roman" w:hAnsi="Times New Roman" w:eastAsia="仿宋_GB2312" w:cs="Times New Roman"/>
          <w:color w:val="auto"/>
          <w:kern w:val="0"/>
          <w:sz w:val="28"/>
          <w:szCs w:val="28"/>
          <w:highlight w:val="none"/>
          <w:lang w:val="en-US" w:eastAsia="zh-CN" w:bidi="ar"/>
        </w:rPr>
        <w:t>地点：</w:t>
      </w:r>
      <w:r>
        <w:rPr>
          <w:rFonts w:hint="default" w:ascii="Times New Roman" w:hAnsi="Times New Roman" w:eastAsia="仿宋_GB2312" w:cs="Times New Roman"/>
          <w:color w:val="auto"/>
          <w:kern w:val="0"/>
          <w:sz w:val="28"/>
          <w:szCs w:val="28"/>
          <w:lang w:val="en-US" w:eastAsia="zh-CN" w:bidi="ar"/>
        </w:rPr>
        <w:t>汉台区委办公室指定地点</w:t>
      </w:r>
    </w:p>
    <w:p w14:paraId="238F90B5">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kern w:val="0"/>
          <w:sz w:val="28"/>
          <w:szCs w:val="28"/>
          <w:highlight w:val="none"/>
          <w:lang w:val="en-US" w:eastAsia="zh-CN" w:bidi="ar"/>
        </w:rPr>
      </w:pPr>
      <w:r>
        <w:rPr>
          <w:rFonts w:hint="default" w:ascii="Times New Roman" w:hAnsi="Times New Roman" w:eastAsia="仿宋_GB2312" w:cs="Times New Roman"/>
          <w:color w:val="auto"/>
          <w:kern w:val="0"/>
          <w:sz w:val="28"/>
          <w:szCs w:val="28"/>
          <w:highlight w:val="none"/>
          <w:lang w:val="en-US" w:eastAsia="zh-CN" w:bidi="ar"/>
        </w:rPr>
        <w:t>（三）服务期：一年</w:t>
      </w:r>
    </w:p>
    <w:p w14:paraId="5A67AEA8">
      <w:pPr>
        <w:widowControl w:val="0"/>
        <w:snapToGrid w:val="0"/>
        <w:spacing w:line="240" w:lineRule="auto"/>
        <w:ind w:firstLine="1132" w:firstLineChars="400"/>
        <w:rPr>
          <w:rFonts w:hint="eastAsia" w:ascii="仿宋_GB2312" w:hAnsi="仿宋_GB2312" w:eastAsia="仿宋_GB2312" w:cs="仿宋_GB2312"/>
          <w:color w:val="auto"/>
          <w:lang w:val="en-US"/>
        </w:rPr>
      </w:pPr>
      <w:r>
        <w:rPr>
          <w:rFonts w:hint="eastAsia" w:ascii="仿宋_GB2312" w:hAnsi="仿宋_GB2312" w:eastAsia="仿宋_GB2312" w:cs="仿宋_GB2312"/>
          <w:color w:val="auto"/>
          <w:sz w:val="28"/>
          <w:szCs w:val="28"/>
        </w:rPr>
        <w:t>本合同有效期</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日至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14:paraId="0D45AC31">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二、合同价款 </w:t>
      </w:r>
    </w:p>
    <w:p w14:paraId="1ABAED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132" w:firstLineChars="4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合同总价一次性包死，不受市场价格变化因素的影响。</w:t>
      </w:r>
    </w:p>
    <w:p w14:paraId="06D99EE8">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三、款项结算 </w:t>
      </w:r>
    </w:p>
    <w:p w14:paraId="1ED1C2FC">
      <w:pPr>
        <w:snapToGrid w:val="0"/>
        <w:spacing w:line="240" w:lineRule="auto"/>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（一）</w:t>
      </w:r>
      <w:r>
        <w:rPr>
          <w:rFonts w:hint="eastAsia" w:ascii="仿宋_GB2312" w:hAnsi="仿宋_GB2312" w:eastAsia="仿宋_GB2312" w:cs="仿宋_GB2312"/>
          <w:color w:val="auto"/>
          <w:kern w:val="0"/>
          <w:sz w:val="28"/>
          <w:szCs w:val="28"/>
          <w:highlight w:val="none"/>
          <w:lang w:val="en-US" w:eastAsia="zh-CN" w:bidi="ar"/>
        </w:rPr>
        <w:t>结算方式：</w:t>
      </w:r>
      <w:r>
        <w:rPr>
          <w:rFonts w:hint="eastAsia" w:ascii="仿宋_GB2312" w:hAnsi="仿宋_GB2312" w:eastAsia="仿宋_GB2312" w:cs="仿宋_GB2312"/>
          <w:color w:val="auto"/>
          <w:sz w:val="28"/>
          <w:szCs w:val="28"/>
        </w:rPr>
        <w:t>采购人依照合同价格</w:t>
      </w:r>
      <w:r>
        <w:rPr>
          <w:rFonts w:hint="eastAsia" w:ascii="仿宋_GB2312" w:hAnsi="仿宋_GB2312" w:eastAsia="仿宋_GB2312" w:cs="仿宋_GB2312"/>
          <w:color w:val="auto"/>
          <w:sz w:val="28"/>
          <w:szCs w:val="28"/>
          <w:lang w:val="en-US" w:eastAsia="zh-CN"/>
        </w:rPr>
        <w:t>每月根据考勤及考核情况据实</w:t>
      </w:r>
      <w:r>
        <w:rPr>
          <w:rFonts w:hint="eastAsia" w:ascii="仿宋_GB2312" w:hAnsi="仿宋_GB2312" w:eastAsia="仿宋_GB2312" w:cs="仿宋_GB2312"/>
          <w:color w:val="auto"/>
          <w:sz w:val="28"/>
          <w:szCs w:val="28"/>
        </w:rPr>
        <w:t>支付成交人费用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考核事项在具体合同中约定。</w:t>
      </w:r>
    </w:p>
    <w:p w14:paraId="20DECB58">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（二）货币单位：人民币 </w:t>
      </w:r>
    </w:p>
    <w:p w14:paraId="491F9733">
      <w:pPr>
        <w:keepNext/>
        <w:keepLines/>
        <w:pageBreakBefore w:val="0"/>
        <w:widowControl/>
        <w:kinsoku/>
        <w:wordWrap/>
        <w:overflowPunct/>
        <w:topLinePunct w:val="0"/>
        <w:autoSpaceDE/>
        <w:autoSpaceDN/>
        <w:bidi w:val="0"/>
        <w:adjustRightInd/>
        <w:snapToGrid/>
        <w:spacing w:line="240" w:lineRule="auto"/>
        <w:ind w:firstLine="566" w:firstLineChars="200"/>
        <w:textAlignment w:val="auto"/>
        <w:outlineLvl w:val="1"/>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kern w:val="0"/>
          <w:sz w:val="28"/>
          <w:szCs w:val="28"/>
          <w:lang w:val="en-US" w:eastAsia="zh-CN" w:bidi="ar"/>
        </w:rPr>
        <w:t>四、</w:t>
      </w:r>
      <w:r>
        <w:rPr>
          <w:rFonts w:hint="default" w:ascii="Times New Roman" w:hAnsi="Times New Roman" w:eastAsia="仿宋_GB2312" w:cs="Times New Roman"/>
          <w:b/>
          <w:bCs/>
          <w:color w:val="auto"/>
          <w:sz w:val="28"/>
          <w:szCs w:val="28"/>
        </w:rPr>
        <w:t>服务保证</w:t>
      </w:r>
    </w:p>
    <w:p w14:paraId="1A5FF668">
      <w:pPr>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1、成交供应商提供服务时，服务要求应按不低于国家、省、市有关部门规定的质量标准执行。</w:t>
      </w:r>
    </w:p>
    <w:p w14:paraId="001EE58B">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2、成交供应商承诺与拟投入人员均有劳动合同或聘用协议。</w:t>
      </w:r>
      <w:r>
        <w:rPr>
          <w:rFonts w:hint="default" w:ascii="Times New Roman" w:hAnsi="Times New Roman" w:eastAsia="仿宋_GB2312" w:cs="Times New Roman"/>
          <w:color w:val="auto"/>
          <w:kern w:val="0"/>
          <w:sz w:val="28"/>
          <w:szCs w:val="28"/>
          <w:lang w:val="en-US" w:eastAsia="zh-CN" w:bidi="ar"/>
        </w:rPr>
        <w:t>引起劳动关系问题由成交供应商负责。</w:t>
      </w:r>
    </w:p>
    <w:p w14:paraId="0CE5790B">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3、成交供应商须保障所有人员待遇不得低于当地最低工资标准。</w:t>
      </w:r>
    </w:p>
    <w:p w14:paraId="4817E543">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4、在签订合同前，成交供应商应按照磋商文件中所有承诺事项要求落实。</w:t>
      </w:r>
    </w:p>
    <w:p w14:paraId="125C3CE0">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 xml:space="preserve">五、服务承诺 </w:t>
      </w:r>
    </w:p>
    <w:p w14:paraId="1FB3CAD1">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kern w:val="0"/>
          <w:sz w:val="28"/>
          <w:szCs w:val="28"/>
          <w:lang w:val="en-US" w:eastAsia="zh-CN" w:bidi="ar"/>
        </w:rPr>
      </w:pPr>
      <w:r>
        <w:rPr>
          <w:rFonts w:hint="default" w:ascii="Times New Roman" w:hAnsi="Times New Roman" w:eastAsia="仿宋_GB2312" w:cs="Times New Roman"/>
          <w:color w:val="auto"/>
          <w:kern w:val="0"/>
          <w:sz w:val="28"/>
          <w:szCs w:val="28"/>
          <w:lang w:val="en-US" w:eastAsia="zh-CN" w:bidi="ar"/>
        </w:rPr>
        <w:t>以响应文件、澄清表（函）、合同等相关文件为准。</w:t>
      </w:r>
    </w:p>
    <w:p w14:paraId="129C964F">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 xml:space="preserve">六、违约责任 </w:t>
      </w:r>
    </w:p>
    <w:p w14:paraId="082FB99A">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14:paraId="7290EAF0">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 xml:space="preserve">七、争议解决 </w:t>
      </w:r>
    </w:p>
    <w:p w14:paraId="6BC1CE5E">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执行本合同中产生纠纷，由采购人与成交供应商双方协商解决；协商不成，向有管辖权的人民法院提起诉讼。 </w:t>
      </w:r>
    </w:p>
    <w:p w14:paraId="61CB5E4D">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 xml:space="preserve">八、合同生效及其他 </w:t>
      </w:r>
    </w:p>
    <w:p w14:paraId="0AE510F2">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1、本合同自签订之日起生效。 </w:t>
      </w:r>
    </w:p>
    <w:p w14:paraId="503BE626">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2、本合同一式三份，经双方签字盖章后生效。（采购人、成交供应商、采购代理机构各执一份）</w:t>
      </w:r>
    </w:p>
    <w:p w14:paraId="35439E08">
      <w:pPr>
        <w:keepNext w:val="0"/>
        <w:keepLines w:val="0"/>
        <w:pageBreakBefore w:val="0"/>
        <w:widowControl/>
        <w:suppressLineNumbers w:val="0"/>
        <w:kinsoku/>
        <w:wordWrap/>
        <w:overflowPunct/>
        <w:topLinePunct w:val="0"/>
        <w:autoSpaceDE/>
        <w:autoSpaceDN/>
        <w:bidi w:val="0"/>
        <w:adjustRightInd/>
        <w:snapToGrid/>
        <w:spacing w:line="240" w:lineRule="auto"/>
        <w:ind w:firstLine="566" w:firstLineChars="20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3、未尽事宜由双方在签订合同时具体明确。</w:t>
      </w:r>
    </w:p>
    <w:bookmarkEnd w:id="161"/>
    <w:bookmarkEnd w:id="162"/>
    <w:bookmarkEnd w:id="163"/>
    <w:bookmarkEnd w:id="164"/>
    <w:p w14:paraId="156A7C0B">
      <w:pPr>
        <w:pStyle w:val="2"/>
        <w:jc w:val="both"/>
        <w:rPr>
          <w:rFonts w:hint="default" w:ascii="Times New Roman" w:hAnsi="Times New Roman" w:cs="Times New Roman"/>
          <w:color w:val="auto"/>
        </w:rPr>
      </w:pPr>
      <w:bookmarkStart w:id="175" w:name="_Toc5571"/>
    </w:p>
    <w:p w14:paraId="20B64B1A">
      <w:pPr>
        <w:numPr>
          <w:ilvl w:val="0"/>
          <w:numId w:val="13"/>
        </w:numPr>
        <w:ind w:firstLine="2261" w:firstLineChars="70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 xml:space="preserve"> 响应文件构成及格式</w:t>
      </w:r>
      <w:bookmarkEnd w:id="175"/>
    </w:p>
    <w:tbl>
      <w:tblPr>
        <w:tblStyle w:val="24"/>
        <w:tblpPr w:leftFromText="180" w:rightFromText="180" w:vertAnchor="text" w:horzAnchor="page" w:tblpX="1911" w:tblpY="471"/>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1A3F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8400" w:type="dxa"/>
          </w:tcPr>
          <w:p w14:paraId="0FF8403E">
            <w:pPr>
              <w:spacing w:before="120" w:line="240"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注释： </w:t>
            </w:r>
          </w:p>
          <w:p w14:paraId="5867CC3A">
            <w:pPr>
              <w:snapToGrid w:val="0"/>
              <w:spacing w:line="240" w:lineRule="auto"/>
              <w:ind w:firstLine="486"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1、本章分为三部分，是为方便投标人制作响应文件设计。第一、二部分应按要求或给定格式选择填报。</w:t>
            </w:r>
          </w:p>
          <w:p w14:paraId="6FDFCAA0">
            <w:pPr>
              <w:snapToGrid w:val="0"/>
              <w:spacing w:line="240" w:lineRule="auto"/>
              <w:ind w:firstLine="486"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2、第三部分</w:t>
            </w:r>
            <w:r>
              <w:rPr>
                <w:rFonts w:hint="default" w:ascii="Times New Roman" w:hAnsi="Times New Roman" w:eastAsia="仿宋_GB2312" w:cs="Times New Roman"/>
                <w:color w:val="auto"/>
                <w:sz w:val="24"/>
                <w:lang w:val="en-US" w:eastAsia="zh-CN"/>
              </w:rPr>
              <w:t>响应</w:t>
            </w:r>
            <w:r>
              <w:rPr>
                <w:rFonts w:hint="default" w:ascii="Times New Roman" w:hAnsi="Times New Roman" w:eastAsia="仿宋_GB2312" w:cs="Times New Roman"/>
                <w:color w:val="auto"/>
                <w:sz w:val="24"/>
              </w:rPr>
              <w:t>方案格式仅供参考，</w:t>
            </w:r>
            <w:r>
              <w:rPr>
                <w:rFonts w:hint="default" w:ascii="Times New Roman" w:hAnsi="Times New Roman" w:eastAsia="仿宋_GB2312" w:cs="Times New Roman"/>
                <w:color w:val="auto"/>
                <w:sz w:val="24"/>
                <w:lang w:val="en-US" w:eastAsia="zh-CN"/>
              </w:rPr>
              <w:t>供应商</w:t>
            </w:r>
            <w:r>
              <w:rPr>
                <w:rFonts w:hint="default" w:ascii="Times New Roman" w:hAnsi="Times New Roman" w:eastAsia="仿宋_GB2312" w:cs="Times New Roman"/>
                <w:color w:val="auto"/>
                <w:sz w:val="24"/>
              </w:rPr>
              <w:t>应根据项目特点，结合本次</w:t>
            </w:r>
            <w:r>
              <w:rPr>
                <w:rFonts w:hint="default" w:ascii="Times New Roman" w:hAnsi="Times New Roman" w:eastAsia="仿宋_GB2312" w:cs="Times New Roman"/>
                <w:color w:val="auto"/>
                <w:sz w:val="24"/>
                <w:lang w:val="en-US" w:eastAsia="zh-CN"/>
              </w:rPr>
              <w:t>磋商</w:t>
            </w:r>
            <w:r>
              <w:rPr>
                <w:rFonts w:hint="default" w:ascii="Times New Roman" w:hAnsi="Times New Roman" w:eastAsia="仿宋_GB2312" w:cs="Times New Roman"/>
                <w:color w:val="auto"/>
                <w:sz w:val="24"/>
              </w:rPr>
              <w:t>要求，对有关表格进行补充或修改，但不得对实质性文件的相关条款作出变动。</w:t>
            </w:r>
          </w:p>
          <w:p w14:paraId="75C78EA4">
            <w:pPr>
              <w:snapToGrid w:val="0"/>
              <w:spacing w:line="240" w:lineRule="auto"/>
              <w:ind w:firstLine="486"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3、磋商响应文件的正本、副本必须按照要求编制，凡正、副本不相符的，以正本为准。</w:t>
            </w:r>
          </w:p>
          <w:p w14:paraId="40E587C1">
            <w:pPr>
              <w:snapToGrid w:val="0"/>
              <w:spacing w:line="240" w:lineRule="auto"/>
              <w:ind w:firstLine="486" w:firstLineChars="200"/>
              <w:rPr>
                <w:rFonts w:hint="default" w:ascii="Times New Roman" w:hAnsi="Times New Roman" w:cs="Times New Roman"/>
                <w:color w:val="auto"/>
              </w:rPr>
            </w:pPr>
            <w:r>
              <w:rPr>
                <w:rFonts w:hint="default" w:ascii="Times New Roman" w:hAnsi="Times New Roman" w:eastAsia="仿宋_GB2312" w:cs="Times New Roman"/>
                <w:b/>
                <w:bCs/>
                <w:color w:val="auto"/>
                <w:kern w:val="1"/>
                <w:sz w:val="24"/>
              </w:rPr>
              <w:t>4、磋商文件应严格按照要求封装，凡未按要求分装、密封、盖章、贴标识者，视为无效标。</w:t>
            </w:r>
          </w:p>
        </w:tc>
      </w:tr>
    </w:tbl>
    <w:p w14:paraId="2E39F3DE">
      <w:pPr>
        <w:pStyle w:val="2"/>
        <w:numPr>
          <w:ilvl w:val="0"/>
          <w:numId w:val="0"/>
        </w:numPr>
        <w:jc w:val="both"/>
        <w:rPr>
          <w:rFonts w:hint="default" w:ascii="Times New Roman" w:hAnsi="Times New Roman" w:cs="Times New Roman"/>
          <w:color w:val="auto"/>
        </w:rPr>
      </w:pPr>
    </w:p>
    <w:p w14:paraId="7C9F70B5">
      <w:pPr>
        <w:rPr>
          <w:rFonts w:hint="default" w:ascii="Times New Roman" w:hAnsi="Times New Roman" w:eastAsia="仿宋_GB2312" w:cs="Times New Roman"/>
          <w:b/>
          <w:color w:val="auto"/>
          <w:sz w:val="32"/>
          <w:szCs w:val="32"/>
        </w:rPr>
      </w:pPr>
    </w:p>
    <w:p w14:paraId="25E509F2">
      <w:pPr>
        <w:snapToGrid w:val="0"/>
        <w:spacing w:line="360" w:lineRule="auto"/>
        <w:ind w:firstLine="2584" w:firstLineChars="8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响应文件封袋正面标识式样</w:t>
      </w:r>
    </w:p>
    <w:p w14:paraId="30ACBFA8">
      <w:pPr>
        <w:rPr>
          <w:rFonts w:hint="default" w:ascii="Times New Roman" w:hAnsi="Times New Roman" w:eastAsia="仿宋_GB2312" w:cs="Times New Roman"/>
          <w:color w:val="auto"/>
          <w:sz w:val="32"/>
          <w:szCs w:val="32"/>
        </w:rPr>
      </w:pPr>
      <w:r>
        <w:rPr>
          <w:rFonts w:hint="default" w:ascii="Times New Roman" w:hAnsi="Times New Roman" w:eastAsia="仿宋" w:cs="Times New Roman"/>
          <w:b/>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116840</wp:posOffset>
                </wp:positionV>
                <wp:extent cx="5383530" cy="2644775"/>
                <wp:effectExtent l="19050" t="19050" r="26670" b="22225"/>
                <wp:wrapNone/>
                <wp:docPr id="13" name="文本框 13"/>
                <wp:cNvGraphicFramePr/>
                <a:graphic xmlns:a="http://schemas.openxmlformats.org/drawingml/2006/main">
                  <a:graphicData uri="http://schemas.microsoft.com/office/word/2010/wordprocessingShape">
                    <wps:wsp>
                      <wps:cNvSpPr txBox="1"/>
                      <wps:spPr>
                        <a:xfrm>
                          <a:off x="0" y="0"/>
                          <a:ext cx="5383530" cy="2644775"/>
                        </a:xfrm>
                        <a:prstGeom prst="rect">
                          <a:avLst/>
                        </a:prstGeom>
                        <a:solidFill>
                          <a:srgbClr val="FFFFFF"/>
                        </a:solidFill>
                        <a:ln w="38100" cap="flat" cmpd="dbl">
                          <a:solidFill>
                            <a:srgbClr val="000000"/>
                          </a:solidFill>
                          <a:prstDash val="solid"/>
                          <a:miter/>
                          <a:headEnd type="none" w="med" len="med"/>
                          <a:tailEnd type="none" w="med" len="med"/>
                        </a:ln>
                      </wps:spPr>
                      <wps:txbx>
                        <w:txbxContent>
                          <w:p w14:paraId="0326D7CC">
                            <w:pPr>
                              <w:spacing w:line="440" w:lineRule="exact"/>
                              <w:rPr>
                                <w:rFonts w:hint="eastAsia" w:ascii="仿宋" w:hAnsi="仿宋" w:eastAsia="仿宋_GB2312"/>
                                <w:sz w:val="24"/>
                              </w:rPr>
                            </w:pPr>
                            <w:r>
                              <w:rPr>
                                <w:rFonts w:hint="eastAsia" w:ascii="仿宋" w:hAnsi="仿宋" w:eastAsia="仿宋_GB2312"/>
                                <w:sz w:val="24"/>
                              </w:rPr>
                              <w:t>致：汉台区政府采购中心</w:t>
                            </w:r>
                          </w:p>
                          <w:p w14:paraId="312D59A7">
                            <w:pPr>
                              <w:spacing w:line="440" w:lineRule="exact"/>
                              <w:rPr>
                                <w:rFonts w:hint="eastAsia"/>
                              </w:rPr>
                            </w:pPr>
                            <w:r>
                              <w:rPr>
                                <w:rFonts w:hint="eastAsia" w:ascii="仿宋" w:hAnsi="仿宋" w:eastAsia="仿宋_GB2312"/>
                                <w:sz w:val="24"/>
                              </w:rPr>
                              <w:t>文件编号：</w:t>
                            </w:r>
                          </w:p>
                          <w:p w14:paraId="6E40AE58">
                            <w:pPr>
                              <w:spacing w:line="440" w:lineRule="exact"/>
                              <w:rPr>
                                <w:rFonts w:hint="eastAsia" w:ascii="仿宋" w:hAnsi="仿宋" w:eastAsia="仿宋_GB2312"/>
                                <w:sz w:val="36"/>
                                <w:szCs w:val="36"/>
                              </w:rPr>
                            </w:pPr>
                            <w:r>
                              <w:rPr>
                                <w:rFonts w:hint="eastAsia" w:ascii="仿宋" w:hAnsi="仿宋" w:eastAsia="仿宋_GB2312"/>
                                <w:color w:val="000000"/>
                                <w:sz w:val="24"/>
                              </w:rPr>
                              <w:t>项目名称：</w:t>
                            </w:r>
                          </w:p>
                          <w:p w14:paraId="39763C63">
                            <w:pPr>
                              <w:spacing w:line="440" w:lineRule="exact"/>
                              <w:jc w:val="center"/>
                              <w:rPr>
                                <w:rFonts w:hint="eastAsia" w:ascii="仿宋" w:hAnsi="仿宋" w:eastAsia="仿宋_GB2312"/>
                                <w:sz w:val="36"/>
                                <w:szCs w:val="36"/>
                              </w:rPr>
                            </w:pPr>
                            <w:r>
                              <w:rPr>
                                <w:rFonts w:ascii="仿宋" w:hAnsi="仿宋" w:eastAsia="仿宋_GB2312"/>
                                <w:sz w:val="36"/>
                                <w:szCs w:val="36"/>
                              </w:rPr>
                              <w:t>竞</w:t>
                            </w:r>
                            <w:r>
                              <w:rPr>
                                <w:rFonts w:hint="eastAsia" w:ascii="仿宋" w:hAnsi="仿宋" w:eastAsia="仿宋_GB2312"/>
                                <w:sz w:val="36"/>
                                <w:szCs w:val="36"/>
                              </w:rPr>
                              <w:t xml:space="preserve"> </w:t>
                            </w:r>
                            <w:r>
                              <w:rPr>
                                <w:rFonts w:ascii="仿宋" w:hAnsi="仿宋" w:eastAsia="仿宋_GB2312"/>
                                <w:sz w:val="36"/>
                                <w:szCs w:val="36"/>
                              </w:rPr>
                              <w:t>争</w:t>
                            </w:r>
                            <w:r>
                              <w:rPr>
                                <w:rFonts w:hint="eastAsia" w:ascii="仿宋" w:hAnsi="仿宋" w:eastAsia="仿宋_GB2312"/>
                                <w:sz w:val="36"/>
                                <w:szCs w:val="36"/>
                              </w:rPr>
                              <w:t xml:space="preserve"> </w:t>
                            </w:r>
                            <w:r>
                              <w:rPr>
                                <w:rFonts w:ascii="仿宋" w:hAnsi="仿宋" w:eastAsia="仿宋_GB2312"/>
                                <w:sz w:val="36"/>
                                <w:szCs w:val="36"/>
                              </w:rPr>
                              <w:t>性</w:t>
                            </w:r>
                            <w:r>
                              <w:rPr>
                                <w:rFonts w:hint="eastAsia" w:ascii="仿宋" w:hAnsi="仿宋" w:eastAsia="仿宋_GB2312"/>
                                <w:sz w:val="36"/>
                                <w:szCs w:val="36"/>
                              </w:rPr>
                              <w:t xml:space="preserve"> 磋 商</w:t>
                            </w:r>
                          </w:p>
                          <w:p w14:paraId="58C99A86">
                            <w:pPr>
                              <w:spacing w:line="440" w:lineRule="exact"/>
                              <w:jc w:val="center"/>
                              <w:rPr>
                                <w:rFonts w:hint="eastAsia" w:ascii="仿宋" w:hAnsi="仿宋" w:eastAsia="仿宋_GB2312"/>
                                <w:sz w:val="36"/>
                                <w:szCs w:val="36"/>
                              </w:rPr>
                            </w:pPr>
                            <w:r>
                              <w:rPr>
                                <w:rFonts w:hint="eastAsia" w:ascii="仿宋" w:hAnsi="仿宋" w:eastAsia="仿宋_GB2312"/>
                                <w:sz w:val="36"/>
                                <w:szCs w:val="36"/>
                              </w:rPr>
                              <w:t>响 应 文 件（正本或副本）</w:t>
                            </w:r>
                          </w:p>
                          <w:p w14:paraId="78A51762">
                            <w:pPr>
                              <w:spacing w:line="440" w:lineRule="exact"/>
                              <w:jc w:val="center"/>
                              <w:rPr>
                                <w:rFonts w:hint="eastAsia" w:ascii="仿宋" w:hAnsi="仿宋" w:eastAsia="仿宋_GB2312"/>
                                <w:sz w:val="24"/>
                              </w:rPr>
                            </w:pPr>
                            <w:r>
                              <w:rPr>
                                <w:rFonts w:hint="eastAsia" w:ascii="仿宋" w:hAnsi="仿宋" w:eastAsia="仿宋_GB2312"/>
                                <w:sz w:val="24"/>
                              </w:rPr>
                              <w:t>（非磋商大会不得启封）</w:t>
                            </w:r>
                          </w:p>
                          <w:p w14:paraId="751E8F68">
                            <w:pPr>
                              <w:jc w:val="center"/>
                              <w:rPr>
                                <w:rFonts w:hint="eastAsia" w:ascii="仿宋_GB2312" w:eastAsia="仿宋_GB2312"/>
                                <w:sz w:val="24"/>
                              </w:rPr>
                            </w:pPr>
                          </w:p>
                          <w:p w14:paraId="4C87C9AE">
                            <w:pPr>
                              <w:rPr>
                                <w:rFonts w:hint="eastAsia" w:ascii="仿宋_GB2312" w:eastAsia="仿宋_GB2312"/>
                                <w:sz w:val="24"/>
                              </w:rPr>
                            </w:pPr>
                            <w:r>
                              <w:rPr>
                                <w:rFonts w:hint="eastAsia" w:ascii="仿宋" w:hAnsi="仿宋" w:eastAsia="仿宋_GB2312"/>
                                <w:sz w:val="24"/>
                              </w:rPr>
                              <w:t>响应人名称：（法人&lt;或负责人&gt;公章）</w:t>
                            </w:r>
                          </w:p>
                        </w:txbxContent>
                      </wps:txbx>
                      <wps:bodyPr upright="1"/>
                    </wps:wsp>
                  </a:graphicData>
                </a:graphic>
              </wp:anchor>
            </w:drawing>
          </mc:Choice>
          <mc:Fallback>
            <w:pict>
              <v:shape id="_x0000_s1026" o:spid="_x0000_s1026" o:spt="202" type="#_x0000_t202" style="position:absolute;left:0pt;margin-left:21.4pt;margin-top:9.2pt;height:208.25pt;width:423.9pt;z-index:251659264;mso-width-relative:page;mso-height-relative:page;" fillcolor="#FFFFFF" filled="t" stroked="t" coordsize="21600,21600" o:gfxdata="UEsDBAoAAAAAAIdO4kAAAAAAAAAAAAAAAAAEAAAAZHJzL1BLAwQUAAAACACHTuJATFLXYNgAAAAJ&#10;AQAADwAAAGRycy9kb3ducmV2LnhtbE2Py07DMBBF90j8gzVI7KidkpY0xKkEEiKiC0TgA5xkSCLs&#10;cRq7D/6eYQXLmXN150yxPTsrjjiH0ZOGZKFAILW+G6nX8PH+dJOBCNFQZ6wn1PCNAbbl5UVh8s6f&#10;6A2PdewFl1DIjYYhximXMrQDOhMWfkJi9ulnZyKPcy+72Zy43Fm5VGotnRmJLwxmwscB26/64DRU&#10;uzu7ctWrberkYd+u4suzqvZaX18l6h5ExHP8C8OvPqtDyU6NP1AXhNWQLtk88j5LQTDPNmoNomFw&#10;m25AloX8/0H5A1BLAwQUAAAACACHTuJAyzi0Kw0CAAA6BAAADgAAAGRycy9lMm9Eb2MueG1srVNL&#10;jhMxEN0jcQfLe9KdZDITtdIZCULYIEAaOIBjV6ct+SfbSXcuADdgxYY958o5puzOZD6wyIJeuMtV&#10;z89Vr8qL214rsgcfpDU1HY9KSsBwK6TZ1vTb1/WbOSUhMiOYsgZqeoBAb5evXy06V8HEtlYJ8ARJ&#10;TKg6V9M2RlcVReAtaBZG1oHBYGO9ZhG3flsIzzpk16qYlOV10VkvnLccQkDvagjSE6O/hNA2jeSw&#10;snynwcSB1YNiEUsKrXSBLnO2TQM8fm6aAJGommKlMa94CdqbtBbLBau2nrlW8lMK7JIUXtSkmTR4&#10;6ZlqxSIjOy//otKSextsE0fc6mIoJCuCVYzLF9rctcxBrgWlDu4sevh/tPzT/osnUuAkTCkxTGPH&#10;jz9/HH/9Of7+TtCHAnUuVIi7c4iM/VvbI/jBH9CZ6u4br9MfKyIYR3kPZ3mhj4SjczadT2dTDHGM&#10;Ta6vrm5uZomneDzufIgfwGqSjJp67F+Wle0/hjhAHyDptmCVFGupVN747ead8mTPsNfr/J3Yn8GU&#10;IV1Np/NxmTJhOMENTg6a2qEKYqPyhc+OhKfMZf7+xZwyW7HQDhlkhgRjlZYRfLZaYOK9ESQeHApt&#10;8IHRlI0GQYkCfI/JysjIpLoEieIpgxqmJg3NSFbsNz3SJHNjxQEbt3NeblvUNLcuw3Gksvin8U8z&#10;+3SfSR+f/PI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FLXYNgAAAAJAQAADwAAAAAAAAABACAA&#10;AAAiAAAAZHJzL2Rvd25yZXYueG1sUEsBAhQAFAAAAAgAh07iQMs4tCsNAgAAOgQAAA4AAAAAAAAA&#10;AQAgAAAAJwEAAGRycy9lMm9Eb2MueG1sUEsFBgAAAAAGAAYAWQEAAKYFAAAAAA==&#10;">
                <v:fill on="t" focussize="0,0"/>
                <v:stroke weight="3pt" color="#000000" linestyle="thinThin" joinstyle="miter"/>
                <v:imagedata o:title=""/>
                <o:lock v:ext="edit" aspectratio="f"/>
                <v:textbox>
                  <w:txbxContent>
                    <w:p w14:paraId="0326D7CC">
                      <w:pPr>
                        <w:spacing w:line="440" w:lineRule="exact"/>
                        <w:rPr>
                          <w:rFonts w:hint="eastAsia" w:ascii="仿宋" w:hAnsi="仿宋" w:eastAsia="仿宋_GB2312"/>
                          <w:sz w:val="24"/>
                        </w:rPr>
                      </w:pPr>
                      <w:r>
                        <w:rPr>
                          <w:rFonts w:hint="eastAsia" w:ascii="仿宋" w:hAnsi="仿宋" w:eastAsia="仿宋_GB2312"/>
                          <w:sz w:val="24"/>
                        </w:rPr>
                        <w:t>致：汉台区政府采购中心</w:t>
                      </w:r>
                    </w:p>
                    <w:p w14:paraId="312D59A7">
                      <w:pPr>
                        <w:spacing w:line="440" w:lineRule="exact"/>
                        <w:rPr>
                          <w:rFonts w:hint="eastAsia"/>
                        </w:rPr>
                      </w:pPr>
                      <w:r>
                        <w:rPr>
                          <w:rFonts w:hint="eastAsia" w:ascii="仿宋" w:hAnsi="仿宋" w:eastAsia="仿宋_GB2312"/>
                          <w:sz w:val="24"/>
                        </w:rPr>
                        <w:t>文件编号：</w:t>
                      </w:r>
                    </w:p>
                    <w:p w14:paraId="6E40AE58">
                      <w:pPr>
                        <w:spacing w:line="440" w:lineRule="exact"/>
                        <w:rPr>
                          <w:rFonts w:hint="eastAsia" w:ascii="仿宋" w:hAnsi="仿宋" w:eastAsia="仿宋_GB2312"/>
                          <w:sz w:val="36"/>
                          <w:szCs w:val="36"/>
                        </w:rPr>
                      </w:pPr>
                      <w:r>
                        <w:rPr>
                          <w:rFonts w:hint="eastAsia" w:ascii="仿宋" w:hAnsi="仿宋" w:eastAsia="仿宋_GB2312"/>
                          <w:color w:val="000000"/>
                          <w:sz w:val="24"/>
                        </w:rPr>
                        <w:t>项目名称：</w:t>
                      </w:r>
                    </w:p>
                    <w:p w14:paraId="39763C63">
                      <w:pPr>
                        <w:spacing w:line="440" w:lineRule="exact"/>
                        <w:jc w:val="center"/>
                        <w:rPr>
                          <w:rFonts w:hint="eastAsia" w:ascii="仿宋" w:hAnsi="仿宋" w:eastAsia="仿宋_GB2312"/>
                          <w:sz w:val="36"/>
                          <w:szCs w:val="36"/>
                        </w:rPr>
                      </w:pPr>
                      <w:r>
                        <w:rPr>
                          <w:rFonts w:ascii="仿宋" w:hAnsi="仿宋" w:eastAsia="仿宋_GB2312"/>
                          <w:sz w:val="36"/>
                          <w:szCs w:val="36"/>
                        </w:rPr>
                        <w:t>竞</w:t>
                      </w:r>
                      <w:r>
                        <w:rPr>
                          <w:rFonts w:hint="eastAsia" w:ascii="仿宋" w:hAnsi="仿宋" w:eastAsia="仿宋_GB2312"/>
                          <w:sz w:val="36"/>
                          <w:szCs w:val="36"/>
                        </w:rPr>
                        <w:t xml:space="preserve"> </w:t>
                      </w:r>
                      <w:r>
                        <w:rPr>
                          <w:rFonts w:ascii="仿宋" w:hAnsi="仿宋" w:eastAsia="仿宋_GB2312"/>
                          <w:sz w:val="36"/>
                          <w:szCs w:val="36"/>
                        </w:rPr>
                        <w:t>争</w:t>
                      </w:r>
                      <w:r>
                        <w:rPr>
                          <w:rFonts w:hint="eastAsia" w:ascii="仿宋" w:hAnsi="仿宋" w:eastAsia="仿宋_GB2312"/>
                          <w:sz w:val="36"/>
                          <w:szCs w:val="36"/>
                        </w:rPr>
                        <w:t xml:space="preserve"> </w:t>
                      </w:r>
                      <w:r>
                        <w:rPr>
                          <w:rFonts w:ascii="仿宋" w:hAnsi="仿宋" w:eastAsia="仿宋_GB2312"/>
                          <w:sz w:val="36"/>
                          <w:szCs w:val="36"/>
                        </w:rPr>
                        <w:t>性</w:t>
                      </w:r>
                      <w:r>
                        <w:rPr>
                          <w:rFonts w:hint="eastAsia" w:ascii="仿宋" w:hAnsi="仿宋" w:eastAsia="仿宋_GB2312"/>
                          <w:sz w:val="36"/>
                          <w:szCs w:val="36"/>
                        </w:rPr>
                        <w:t xml:space="preserve"> 磋 商</w:t>
                      </w:r>
                    </w:p>
                    <w:p w14:paraId="58C99A86">
                      <w:pPr>
                        <w:spacing w:line="440" w:lineRule="exact"/>
                        <w:jc w:val="center"/>
                        <w:rPr>
                          <w:rFonts w:hint="eastAsia" w:ascii="仿宋" w:hAnsi="仿宋" w:eastAsia="仿宋_GB2312"/>
                          <w:sz w:val="36"/>
                          <w:szCs w:val="36"/>
                        </w:rPr>
                      </w:pPr>
                      <w:r>
                        <w:rPr>
                          <w:rFonts w:hint="eastAsia" w:ascii="仿宋" w:hAnsi="仿宋" w:eastAsia="仿宋_GB2312"/>
                          <w:sz w:val="36"/>
                          <w:szCs w:val="36"/>
                        </w:rPr>
                        <w:t>响 应 文 件（正本或副本）</w:t>
                      </w:r>
                    </w:p>
                    <w:p w14:paraId="78A51762">
                      <w:pPr>
                        <w:spacing w:line="440" w:lineRule="exact"/>
                        <w:jc w:val="center"/>
                        <w:rPr>
                          <w:rFonts w:hint="eastAsia" w:ascii="仿宋" w:hAnsi="仿宋" w:eastAsia="仿宋_GB2312"/>
                          <w:sz w:val="24"/>
                        </w:rPr>
                      </w:pPr>
                      <w:r>
                        <w:rPr>
                          <w:rFonts w:hint="eastAsia" w:ascii="仿宋" w:hAnsi="仿宋" w:eastAsia="仿宋_GB2312"/>
                          <w:sz w:val="24"/>
                        </w:rPr>
                        <w:t>（非磋商大会不得启封）</w:t>
                      </w:r>
                    </w:p>
                    <w:p w14:paraId="751E8F68">
                      <w:pPr>
                        <w:jc w:val="center"/>
                        <w:rPr>
                          <w:rFonts w:hint="eastAsia" w:ascii="仿宋_GB2312" w:eastAsia="仿宋_GB2312"/>
                          <w:sz w:val="24"/>
                        </w:rPr>
                      </w:pPr>
                    </w:p>
                    <w:p w14:paraId="4C87C9AE">
                      <w:pPr>
                        <w:rPr>
                          <w:rFonts w:hint="eastAsia" w:ascii="仿宋_GB2312" w:eastAsia="仿宋_GB2312"/>
                          <w:sz w:val="24"/>
                        </w:rPr>
                      </w:pPr>
                      <w:r>
                        <w:rPr>
                          <w:rFonts w:hint="eastAsia" w:ascii="仿宋" w:hAnsi="仿宋" w:eastAsia="仿宋_GB2312"/>
                          <w:sz w:val="24"/>
                        </w:rPr>
                        <w:t>响应人名称：（法人&lt;或负责人&gt;公章）</w:t>
                      </w:r>
                    </w:p>
                  </w:txbxContent>
                </v:textbox>
              </v:shape>
            </w:pict>
          </mc:Fallback>
        </mc:AlternateContent>
      </w:r>
    </w:p>
    <w:p w14:paraId="30439CEC">
      <w:pPr>
        <w:rPr>
          <w:rFonts w:hint="default" w:ascii="Times New Roman" w:hAnsi="Times New Roman" w:eastAsia="仿宋_GB2312" w:cs="Times New Roman"/>
          <w:color w:val="auto"/>
          <w:sz w:val="32"/>
          <w:szCs w:val="32"/>
        </w:rPr>
      </w:pPr>
    </w:p>
    <w:p w14:paraId="440B1E6A">
      <w:pPr>
        <w:rPr>
          <w:rFonts w:hint="default" w:ascii="Times New Roman" w:hAnsi="Times New Roman" w:eastAsia="仿宋_GB2312" w:cs="Times New Roman"/>
          <w:color w:val="auto"/>
          <w:sz w:val="32"/>
          <w:szCs w:val="32"/>
        </w:rPr>
      </w:pPr>
    </w:p>
    <w:p w14:paraId="1496B332">
      <w:pPr>
        <w:rPr>
          <w:rFonts w:hint="default" w:ascii="Times New Roman" w:hAnsi="Times New Roman" w:eastAsia="仿宋_GB2312" w:cs="Times New Roman"/>
          <w:color w:val="auto"/>
          <w:sz w:val="32"/>
          <w:szCs w:val="32"/>
        </w:rPr>
      </w:pPr>
    </w:p>
    <w:p w14:paraId="4A2F4F49">
      <w:pPr>
        <w:rPr>
          <w:rFonts w:hint="default" w:ascii="Times New Roman" w:hAnsi="Times New Roman" w:eastAsia="仿宋_GB2312" w:cs="Times New Roman"/>
          <w:color w:val="auto"/>
          <w:sz w:val="32"/>
          <w:szCs w:val="32"/>
        </w:rPr>
      </w:pPr>
    </w:p>
    <w:p w14:paraId="35294B4A">
      <w:pPr>
        <w:rPr>
          <w:rFonts w:hint="default" w:ascii="Times New Roman" w:hAnsi="Times New Roman" w:eastAsia="仿宋_GB2312" w:cs="Times New Roman"/>
          <w:color w:val="auto"/>
          <w:sz w:val="32"/>
          <w:szCs w:val="32"/>
        </w:rPr>
      </w:pPr>
    </w:p>
    <w:p w14:paraId="49C90B86">
      <w:pPr>
        <w:rPr>
          <w:rFonts w:hint="default" w:ascii="Times New Roman" w:hAnsi="Times New Roman" w:eastAsia="仿宋_GB2312" w:cs="Times New Roman"/>
          <w:color w:val="auto"/>
          <w:sz w:val="32"/>
          <w:szCs w:val="32"/>
        </w:rPr>
      </w:pPr>
    </w:p>
    <w:p w14:paraId="37DE75FD">
      <w:pPr>
        <w:pStyle w:val="1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b/>
          <w:color w:val="auto"/>
          <w:sz w:val="32"/>
          <w:szCs w:val="32"/>
          <w:lang w:val="en-US" w:eastAsia="zh-CN"/>
        </w:rPr>
        <w:t xml:space="preserve">            </w:t>
      </w:r>
    </w:p>
    <w:p w14:paraId="4E5DB4CE">
      <w:pPr>
        <w:pStyle w:val="10"/>
        <w:jc w:val="center"/>
        <w:rPr>
          <w:rFonts w:hint="default" w:ascii="Times New Roman" w:hAnsi="Times New Roman" w:cs="Times New Roman"/>
          <w:color w:val="auto"/>
        </w:rPr>
      </w:pPr>
      <w:r>
        <w:rPr>
          <w:rFonts w:hint="default" w:ascii="Times New Roman" w:hAnsi="Times New Roman" w:eastAsia="仿宋_GB2312" w:cs="Times New Roman"/>
          <w:b/>
          <w:color w:val="auto"/>
          <w:sz w:val="32"/>
          <w:szCs w:val="32"/>
        </w:rPr>
        <w:t>报价一览表封袋正面标识式样</w:t>
      </w:r>
    </w:p>
    <w:p w14:paraId="53FAA5B8">
      <w:pPr>
        <w:pStyle w:val="22"/>
        <w:ind w:left="0" w:leftChars="0" w:firstLine="0" w:firstLineChars="0"/>
        <w:rPr>
          <w:rFonts w:hint="default" w:ascii="Times New Roman" w:hAnsi="Times New Roman" w:eastAsia="仿宋_GB2312" w:cs="Times New Roman"/>
          <w:color w:val="auto"/>
        </w:rPr>
      </w:pPr>
    </w:p>
    <w:p w14:paraId="10ABA746">
      <w:pPr>
        <w:rPr>
          <w:rFonts w:hint="default" w:ascii="Times New Roman" w:hAnsi="Times New Roman" w:eastAsia="仿宋_GB2312" w:cs="Times New Roman"/>
          <w:color w:val="auto"/>
        </w:rPr>
      </w:pPr>
    </w:p>
    <w:p w14:paraId="150B6CDB">
      <w:pPr>
        <w:pStyle w:val="10"/>
        <w:rPr>
          <w:rFonts w:hint="default" w:ascii="Times New Roman" w:hAnsi="Times New Roman" w:eastAsia="仿宋_GB2312" w:cs="Times New Roman"/>
          <w:color w:val="auto"/>
          <w:sz w:val="28"/>
          <w:szCs w:val="28"/>
        </w:rPr>
      </w:pPr>
    </w:p>
    <w:p w14:paraId="5828EF23">
      <w:pPr>
        <w:pStyle w:val="10"/>
        <w:rPr>
          <w:rFonts w:hint="default" w:ascii="Times New Roman" w:hAnsi="Times New Roman" w:eastAsia="仿宋_GB2312" w:cs="Times New Roman"/>
          <w:color w:val="auto"/>
          <w:sz w:val="28"/>
          <w:szCs w:val="28"/>
        </w:rPr>
      </w:pPr>
    </w:p>
    <w:p w14:paraId="38E4C5F8">
      <w:pPr>
        <w:rPr>
          <w:rFonts w:hint="default" w:ascii="Times New Roman" w:hAnsi="Times New Roman" w:cs="Times New Roman"/>
          <w:color w:val="auto"/>
        </w:rPr>
      </w:pPr>
    </w:p>
    <w:p w14:paraId="074092A7">
      <w:pPr>
        <w:rPr>
          <w:rFonts w:hint="default" w:ascii="Times New Roman" w:hAnsi="Times New Roman" w:cs="Times New Roman"/>
          <w:color w:val="auto"/>
        </w:rPr>
      </w:pPr>
    </w:p>
    <w:p w14:paraId="01A4A459">
      <w:pPr>
        <w:spacing w:line="360" w:lineRule="auto"/>
        <w:jc w:val="center"/>
        <w:rPr>
          <w:rFonts w:hint="default" w:ascii="Times New Roman" w:hAnsi="Times New Roman" w:eastAsia="仿宋_GB2312" w:cs="Times New Roman"/>
          <w:color w:val="auto"/>
          <w:sz w:val="44"/>
          <w:szCs w:val="44"/>
        </w:rPr>
      </w:pPr>
    </w:p>
    <w:p w14:paraId="13FB7509">
      <w:pPr>
        <w:spacing w:line="360" w:lineRule="auto"/>
        <w:jc w:val="center"/>
        <w:rPr>
          <w:rFonts w:hint="default" w:ascii="Times New Roman" w:hAnsi="Times New Roman" w:eastAsia="仿宋_GB2312" w:cs="Times New Roman"/>
          <w:color w:val="auto"/>
          <w:sz w:val="44"/>
          <w:szCs w:val="44"/>
        </w:rPr>
      </w:pPr>
    </w:p>
    <w:p w14:paraId="2D5DD3EB">
      <w:pPr>
        <w:spacing w:line="360" w:lineRule="auto"/>
        <w:jc w:val="center"/>
        <w:rPr>
          <w:rFonts w:hint="default" w:ascii="Times New Roman" w:hAnsi="Times New Roman" w:eastAsia="仿宋_GB2312" w:cs="Times New Roman"/>
          <w:color w:val="auto"/>
          <w:sz w:val="44"/>
          <w:szCs w:val="44"/>
        </w:rPr>
      </w:pPr>
      <w:r>
        <w:rPr>
          <w:rFonts w:hint="default" w:ascii="Times New Roman" w:hAnsi="Times New Roman" w:eastAsia="仿宋_GB2312" w:cs="Times New Roman"/>
          <w:color w:val="auto"/>
          <w:sz w:val="44"/>
          <w:szCs w:val="44"/>
        </w:rPr>
        <w:t>汉台区政府采购项目</w:t>
      </w:r>
    </w:p>
    <w:p w14:paraId="2F186939">
      <w:pPr>
        <w:spacing w:line="160" w:lineRule="exact"/>
        <w:rPr>
          <w:rFonts w:hint="default" w:ascii="Times New Roman" w:hAnsi="Times New Roman" w:eastAsia="仿宋_GB2312" w:cs="Times New Roman"/>
          <w:color w:val="auto"/>
        </w:rPr>
      </w:pPr>
    </w:p>
    <w:p w14:paraId="6C7D590A">
      <w:pPr>
        <w:spacing w:line="360" w:lineRule="auto"/>
        <w:jc w:val="center"/>
        <w:rPr>
          <w:rFonts w:hint="default" w:ascii="Times New Roman" w:hAnsi="Times New Roman" w:eastAsia="仿宋_GB2312" w:cs="Times New Roman"/>
          <w:color w:val="auto"/>
          <w:sz w:val="44"/>
          <w:szCs w:val="44"/>
        </w:rPr>
      </w:pPr>
      <w:r>
        <w:rPr>
          <w:rFonts w:hint="default" w:ascii="Times New Roman" w:hAnsi="Times New Roman" w:eastAsia="仿宋_GB2312" w:cs="Times New Roman"/>
          <w:color w:val="auto"/>
          <w:sz w:val="44"/>
          <w:szCs w:val="44"/>
        </w:rPr>
        <w:t>竞争性磋商响应文件（格式）</w:t>
      </w:r>
    </w:p>
    <w:p w14:paraId="6A67AD4B">
      <w:pPr>
        <w:spacing w:line="360" w:lineRule="auto"/>
        <w:jc w:val="center"/>
        <w:rPr>
          <w:rFonts w:hint="default" w:ascii="Times New Roman" w:hAnsi="Times New Roman" w:eastAsia="仿宋_GB2312" w:cs="Times New Roman"/>
          <w:bCs/>
          <w:color w:val="auto"/>
          <w:sz w:val="72"/>
          <w:szCs w:val="52"/>
        </w:rPr>
      </w:pPr>
    </w:p>
    <w:p w14:paraId="580B4540">
      <w:pPr>
        <w:spacing w:line="360" w:lineRule="auto"/>
        <w:jc w:val="center"/>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（正本或副本）</w:t>
      </w:r>
    </w:p>
    <w:p w14:paraId="59B9DA90">
      <w:pPr>
        <w:keepNext w:val="0"/>
        <w:keepLines w:val="0"/>
        <w:pageBreakBefore w:val="0"/>
        <w:widowControl w:val="0"/>
        <w:tabs>
          <w:tab w:val="right" w:leader="dot" w:pos="9022"/>
        </w:tabs>
        <w:kinsoku/>
        <w:wordWrap/>
        <w:overflowPunct/>
        <w:topLinePunct w:val="0"/>
        <w:autoSpaceDE w:val="0"/>
        <w:autoSpaceDN w:val="0"/>
        <w:bidi w:val="0"/>
        <w:adjustRightInd w:val="0"/>
        <w:snapToGrid/>
        <w:spacing w:line="700" w:lineRule="exact"/>
        <w:ind w:firstLine="7073" w:firstLineChars="1100"/>
        <w:jc w:val="left"/>
        <w:textAlignment w:val="auto"/>
        <w:rPr>
          <w:rFonts w:hint="default" w:ascii="Times New Roman" w:hAnsi="Times New Roman" w:eastAsia="仿宋_GB2312" w:cs="Times New Roman"/>
          <w:bCs/>
          <w:caps/>
          <w:color w:val="auto"/>
          <w:sz w:val="64"/>
          <w:szCs w:val="64"/>
        </w:rPr>
      </w:pPr>
    </w:p>
    <w:p w14:paraId="75208916">
      <w:pPr>
        <w:tabs>
          <w:tab w:val="right" w:leader="dot" w:pos="9022"/>
        </w:tabs>
        <w:autoSpaceDE w:val="0"/>
        <w:autoSpaceDN w:val="0"/>
        <w:adjustRightInd w:val="0"/>
        <w:spacing w:line="500" w:lineRule="exact"/>
        <w:ind w:firstLine="3553" w:firstLineChars="1100"/>
        <w:jc w:val="left"/>
        <w:rPr>
          <w:rFonts w:hint="default" w:ascii="Times New Roman" w:hAnsi="Times New Roman" w:eastAsia="仿宋_GB2312" w:cs="Times New Roman"/>
          <w:bCs/>
          <w:caps/>
          <w:color w:val="auto"/>
          <w:sz w:val="32"/>
          <w:szCs w:val="32"/>
        </w:rPr>
      </w:pPr>
    </w:p>
    <w:p w14:paraId="34BD78DD">
      <w:pPr>
        <w:tabs>
          <w:tab w:val="right" w:leader="dot" w:pos="9022"/>
        </w:tabs>
        <w:autoSpaceDE w:val="0"/>
        <w:autoSpaceDN w:val="0"/>
        <w:adjustRightInd w:val="0"/>
        <w:spacing w:line="500" w:lineRule="exact"/>
        <w:ind w:firstLine="3553" w:firstLineChars="1100"/>
        <w:jc w:val="left"/>
        <w:rPr>
          <w:rFonts w:hint="default" w:ascii="Times New Roman" w:hAnsi="Times New Roman" w:eastAsia="仿宋_GB2312" w:cs="Times New Roman"/>
          <w:bCs/>
          <w:caps/>
          <w:color w:val="auto"/>
          <w:sz w:val="32"/>
          <w:szCs w:val="32"/>
        </w:rPr>
      </w:pPr>
    </w:p>
    <w:p w14:paraId="4BEEBE73">
      <w:pPr>
        <w:tabs>
          <w:tab w:val="right" w:leader="dot" w:pos="9022"/>
        </w:tabs>
        <w:autoSpaceDE w:val="0"/>
        <w:autoSpaceDN w:val="0"/>
        <w:adjustRightInd w:val="0"/>
        <w:spacing w:line="500" w:lineRule="exact"/>
        <w:ind w:firstLine="3553" w:firstLineChars="1100"/>
        <w:jc w:val="left"/>
        <w:rPr>
          <w:rFonts w:hint="default" w:ascii="Times New Roman" w:hAnsi="Times New Roman" w:eastAsia="仿宋_GB2312" w:cs="Times New Roman"/>
          <w:bCs/>
          <w:caps/>
          <w:color w:val="auto"/>
          <w:sz w:val="32"/>
          <w:szCs w:val="32"/>
        </w:rPr>
      </w:pPr>
    </w:p>
    <w:p w14:paraId="0B2CEEEC">
      <w:pPr>
        <w:tabs>
          <w:tab w:val="right" w:leader="dot" w:pos="9022"/>
        </w:tabs>
        <w:autoSpaceDE w:val="0"/>
        <w:autoSpaceDN w:val="0"/>
        <w:adjustRightInd w:val="0"/>
        <w:spacing w:line="500" w:lineRule="exact"/>
        <w:ind w:firstLine="3553" w:firstLineChars="1100"/>
        <w:jc w:val="left"/>
        <w:rPr>
          <w:rFonts w:hint="default" w:ascii="Times New Roman" w:hAnsi="Times New Roman" w:eastAsia="仿宋_GB2312" w:cs="Times New Roman"/>
          <w:bCs/>
          <w:caps/>
          <w:color w:val="auto"/>
          <w:sz w:val="32"/>
          <w:szCs w:val="32"/>
        </w:rPr>
      </w:pPr>
    </w:p>
    <w:p w14:paraId="44486069">
      <w:pPr>
        <w:tabs>
          <w:tab w:val="right" w:leader="dot" w:pos="9022"/>
        </w:tabs>
        <w:autoSpaceDE w:val="0"/>
        <w:autoSpaceDN w:val="0"/>
        <w:adjustRightInd w:val="0"/>
        <w:spacing w:line="500" w:lineRule="exact"/>
        <w:jc w:val="left"/>
        <w:rPr>
          <w:rFonts w:hint="default" w:ascii="Times New Roman" w:hAnsi="Times New Roman" w:eastAsia="仿宋_GB2312" w:cs="Times New Roman"/>
          <w:color w:val="auto"/>
          <w:sz w:val="32"/>
          <w:szCs w:val="24"/>
        </w:rPr>
      </w:pPr>
    </w:p>
    <w:p w14:paraId="7C2166BA">
      <w:pPr>
        <w:keepNext w:val="0"/>
        <w:keepLines w:val="0"/>
        <w:pageBreakBefore w:val="0"/>
        <w:widowControl w:val="0"/>
        <w:kinsoku/>
        <w:wordWrap/>
        <w:overflowPunct/>
        <w:topLinePunct w:val="0"/>
        <w:autoSpaceDE/>
        <w:autoSpaceDN/>
        <w:bidi w:val="0"/>
        <w:adjustRightInd/>
        <w:snapToGrid/>
        <w:spacing w:line="240" w:lineRule="auto"/>
        <w:ind w:firstLine="2584" w:firstLineChars="800"/>
        <w:jc w:val="both"/>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项  目：</w:t>
      </w:r>
      <w:r>
        <w:rPr>
          <w:rFonts w:hint="default" w:ascii="Times New Roman" w:hAnsi="Times New Roman" w:eastAsia="仿宋_GB2312" w:cs="Times New Roman"/>
          <w:color w:val="auto"/>
          <w:sz w:val="36"/>
          <w:u w:val="single"/>
        </w:rPr>
        <w:t xml:space="preserve"> </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2"/>
          <w:szCs w:val="24"/>
        </w:rPr>
        <w:t xml:space="preserve">                     </w:t>
      </w:r>
    </w:p>
    <w:p w14:paraId="1D0E29C5">
      <w:pPr>
        <w:pStyle w:val="41"/>
        <w:spacing w:line="240" w:lineRule="auto"/>
        <w:ind w:firstLine="2261" w:firstLineChars="700"/>
        <w:outlineLvl w:val="0"/>
        <w:rPr>
          <w:rFonts w:hint="default" w:ascii="Times New Roman" w:hAnsi="Times New Roman" w:eastAsia="仿宋_GB2312" w:cs="Times New Roman"/>
          <w:color w:val="auto"/>
          <w:kern w:val="2"/>
          <w:sz w:val="36"/>
          <w:szCs w:val="36"/>
          <w:u w:val="single"/>
          <w:lang w:val="en-US" w:eastAsia="zh-CN" w:bidi="ar-SA"/>
        </w:rPr>
      </w:pPr>
      <w:bookmarkStart w:id="176" w:name="_Toc16607"/>
      <w:r>
        <w:rPr>
          <w:rFonts w:hint="default" w:ascii="Times New Roman" w:hAnsi="Times New Roman" w:eastAsia="仿宋_GB2312" w:cs="Times New Roman"/>
          <w:bCs/>
          <w:color w:val="auto"/>
          <w:sz w:val="32"/>
          <w:szCs w:val="32"/>
        </w:rPr>
        <w:t>项目</w:t>
      </w:r>
      <w:r>
        <w:rPr>
          <w:rFonts w:hint="default" w:ascii="Times New Roman" w:hAnsi="Times New Roman" w:eastAsia="仿宋_GB2312" w:cs="Times New Roman"/>
          <w:bCs/>
          <w:color w:val="auto"/>
          <w:sz w:val="32"/>
          <w:szCs w:val="32"/>
          <w:lang w:val="en-US" w:eastAsia="zh-CN"/>
        </w:rPr>
        <w:t>编号</w:t>
      </w:r>
      <w:r>
        <w:rPr>
          <w:rFonts w:hint="default" w:ascii="Times New Roman" w:hAnsi="Times New Roman" w:eastAsia="仿宋_GB2312" w:cs="Times New Roman"/>
          <w:bCs/>
          <w:color w:val="auto"/>
          <w:sz w:val="32"/>
          <w:szCs w:val="32"/>
        </w:rPr>
        <w:t>：</w:t>
      </w:r>
      <w:bookmarkEnd w:id="176"/>
      <w:r>
        <w:rPr>
          <w:rFonts w:hint="default" w:ascii="Times New Roman" w:hAnsi="Times New Roman" w:eastAsia="仿宋_GB2312" w:cs="Times New Roman"/>
          <w:color w:val="auto"/>
          <w:kern w:val="2"/>
          <w:sz w:val="36"/>
          <w:szCs w:val="36"/>
          <w:u w:val="single"/>
          <w:lang w:val="en-US" w:eastAsia="zh-CN" w:bidi="ar-SA"/>
        </w:rPr>
        <w:t xml:space="preserve">             </w:t>
      </w:r>
      <w:bookmarkStart w:id="177" w:name="_Toc18959"/>
    </w:p>
    <w:p w14:paraId="373F0180">
      <w:pPr>
        <w:keepNext w:val="0"/>
        <w:keepLines w:val="0"/>
        <w:pageBreakBefore w:val="0"/>
        <w:widowControl w:val="0"/>
        <w:kinsoku/>
        <w:wordWrap/>
        <w:overflowPunct/>
        <w:topLinePunct w:val="0"/>
        <w:autoSpaceDE/>
        <w:autoSpaceDN/>
        <w:bidi w:val="0"/>
        <w:adjustRightInd/>
        <w:snapToGrid/>
        <w:spacing w:line="240" w:lineRule="auto"/>
        <w:ind w:firstLine="2584" w:firstLineChars="800"/>
        <w:jc w:val="both"/>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供应商：</w:t>
      </w:r>
      <w:r>
        <w:rPr>
          <w:rFonts w:hint="default" w:ascii="Times New Roman" w:hAnsi="Times New Roman" w:eastAsia="仿宋_GB2312" w:cs="Times New Roman"/>
          <w:color w:val="auto"/>
          <w:sz w:val="36"/>
          <w:u w:val="single"/>
        </w:rPr>
        <w:t xml:space="preserve"> </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2"/>
          <w:szCs w:val="24"/>
        </w:rPr>
        <w:t xml:space="preserve">（公章）          </w:t>
      </w:r>
      <w:bookmarkEnd w:id="177"/>
    </w:p>
    <w:p w14:paraId="52DA9E1A">
      <w:pPr>
        <w:keepNext w:val="0"/>
        <w:keepLines w:val="0"/>
        <w:pageBreakBefore w:val="0"/>
        <w:widowControl w:val="0"/>
        <w:kinsoku/>
        <w:wordWrap/>
        <w:overflowPunct/>
        <w:topLinePunct w:val="0"/>
        <w:autoSpaceDE/>
        <w:autoSpaceDN/>
        <w:bidi w:val="0"/>
        <w:adjustRightInd/>
        <w:snapToGrid/>
        <w:spacing w:line="240" w:lineRule="auto"/>
        <w:ind w:firstLine="2584" w:firstLineChars="800"/>
        <w:jc w:val="both"/>
        <w:textAlignment w:val="auto"/>
        <w:rPr>
          <w:rFonts w:hint="default" w:ascii="Times New Roman" w:hAnsi="Times New Roman" w:eastAsia="仿宋_GB2312" w:cs="Times New Roman"/>
          <w:color w:val="auto"/>
          <w:sz w:val="32"/>
          <w:szCs w:val="24"/>
        </w:rPr>
      </w:pPr>
      <w:bookmarkStart w:id="178" w:name="_Toc7734"/>
      <w:bookmarkStart w:id="179" w:name="_Toc9715"/>
      <w:bookmarkStart w:id="180" w:name="_Toc21702"/>
      <w:bookmarkStart w:id="181" w:name="_Toc5243"/>
      <w:bookmarkStart w:id="182" w:name="_Toc15429"/>
      <w:bookmarkStart w:id="183" w:name="_Toc880"/>
      <w:bookmarkStart w:id="184" w:name="_Toc26250"/>
      <w:bookmarkStart w:id="185" w:name="_Toc24294"/>
      <w:r>
        <w:rPr>
          <w:rFonts w:hint="default" w:ascii="Times New Roman" w:hAnsi="Times New Roman" w:eastAsia="仿宋_GB2312" w:cs="Times New Roman"/>
          <w:color w:val="auto"/>
          <w:sz w:val="32"/>
          <w:szCs w:val="24"/>
          <w:lang w:eastAsia="zh-CN"/>
        </w:rPr>
        <w:t>日</w:t>
      </w:r>
      <w:r>
        <w:rPr>
          <w:rFonts w:hint="default" w:ascii="Times New Roman" w:hAnsi="Times New Roman" w:eastAsia="仿宋_GB2312" w:cs="Times New Roman"/>
          <w:color w:val="auto"/>
          <w:sz w:val="32"/>
          <w:szCs w:val="24"/>
          <w:lang w:val="en-US" w:eastAsia="zh-CN"/>
        </w:rPr>
        <w:t xml:space="preserve">  </w:t>
      </w:r>
      <w:r>
        <w:rPr>
          <w:rFonts w:hint="default" w:ascii="Times New Roman" w:hAnsi="Times New Roman" w:eastAsia="仿宋_GB2312" w:cs="Times New Roman"/>
          <w:color w:val="auto"/>
          <w:sz w:val="32"/>
          <w:szCs w:val="24"/>
          <w:lang w:eastAsia="zh-CN"/>
        </w:rPr>
        <w:t>期</w:t>
      </w:r>
      <w:r>
        <w:rPr>
          <w:rFonts w:hint="default" w:ascii="Times New Roman" w:hAnsi="Times New Roman" w:eastAsia="仿宋_GB2312" w:cs="Times New Roman"/>
          <w:color w:val="auto"/>
          <w:sz w:val="32"/>
          <w:szCs w:val="24"/>
        </w:rPr>
        <w:t>：</w:t>
      </w:r>
      <w:bookmarkEnd w:id="178"/>
      <w:bookmarkEnd w:id="179"/>
      <w:bookmarkEnd w:id="180"/>
      <w:r>
        <w:rPr>
          <w:rFonts w:hint="default" w:ascii="Times New Roman" w:hAnsi="Times New Roman" w:eastAsia="仿宋_GB2312" w:cs="Times New Roman"/>
          <w:b w:val="0"/>
          <w:bCs w:val="0"/>
          <w:color w:val="auto"/>
          <w:kern w:val="2"/>
          <w:sz w:val="36"/>
          <w:szCs w:val="36"/>
          <w:u w:val="single"/>
          <w:lang w:val="en-US" w:eastAsia="zh-CN" w:bidi="ar-SA"/>
        </w:rPr>
        <w:t xml:space="preserve">             </w:t>
      </w:r>
      <w:bookmarkEnd w:id="181"/>
      <w:bookmarkEnd w:id="182"/>
      <w:bookmarkEnd w:id="183"/>
      <w:bookmarkEnd w:id="184"/>
      <w:bookmarkEnd w:id="185"/>
    </w:p>
    <w:p w14:paraId="4679FA31">
      <w:pPr>
        <w:keepNext w:val="0"/>
        <w:keepLines w:val="0"/>
        <w:pageBreakBefore w:val="0"/>
        <w:widowControl w:val="0"/>
        <w:kinsoku/>
        <w:wordWrap/>
        <w:overflowPunct/>
        <w:topLinePunct w:val="0"/>
        <w:autoSpaceDE/>
        <w:autoSpaceDN/>
        <w:bidi w:val="0"/>
        <w:adjustRightInd/>
        <w:snapToGrid/>
        <w:spacing w:line="360" w:lineRule="auto"/>
        <w:ind w:firstLine="2584" w:firstLineChars="800"/>
        <w:jc w:val="both"/>
        <w:textAlignment w:val="auto"/>
        <w:rPr>
          <w:rFonts w:hint="default" w:ascii="Times New Roman" w:hAnsi="Times New Roman" w:eastAsia="仿宋_GB2312" w:cs="Times New Roman"/>
          <w:color w:val="auto"/>
          <w:sz w:val="32"/>
          <w:szCs w:val="24"/>
        </w:rPr>
      </w:pPr>
      <w:r>
        <w:rPr>
          <w:rFonts w:hint="default" w:ascii="Times New Roman" w:hAnsi="Times New Roman" w:eastAsia="仿宋_GB2312" w:cs="Times New Roman"/>
          <w:color w:val="auto"/>
          <w:sz w:val="32"/>
          <w:szCs w:val="24"/>
        </w:rPr>
        <w:t xml:space="preserve">                     </w:t>
      </w:r>
    </w:p>
    <w:p w14:paraId="481FDFCB">
      <w:pPr>
        <w:keepNext w:val="0"/>
        <w:keepLines w:val="0"/>
        <w:pageBreakBefore w:val="0"/>
        <w:widowControl w:val="0"/>
        <w:kinsoku/>
        <w:wordWrap/>
        <w:overflowPunct/>
        <w:topLinePunct w:val="0"/>
        <w:autoSpaceDE/>
        <w:autoSpaceDN/>
        <w:bidi w:val="0"/>
        <w:adjustRightInd/>
        <w:snapToGrid/>
        <w:spacing w:line="360" w:lineRule="auto"/>
        <w:ind w:firstLine="2584" w:firstLineChars="800"/>
        <w:jc w:val="both"/>
        <w:textAlignment w:val="auto"/>
        <w:rPr>
          <w:rFonts w:hint="default" w:ascii="Times New Roman" w:hAnsi="Times New Roman" w:eastAsia="仿宋_GB2312" w:cs="Times New Roman"/>
          <w:color w:val="auto"/>
          <w:sz w:val="32"/>
          <w:szCs w:val="24"/>
        </w:rPr>
      </w:pPr>
    </w:p>
    <w:p w14:paraId="742CF383">
      <w:pPr>
        <w:rPr>
          <w:rFonts w:hint="default" w:ascii="Times New Roman" w:hAnsi="Times New Roman" w:eastAsia="黑体" w:cs="Times New Roman"/>
          <w:b w:val="0"/>
          <w:bCs w:val="0"/>
          <w:color w:val="auto"/>
          <w:sz w:val="44"/>
          <w:szCs w:val="44"/>
        </w:rPr>
      </w:pPr>
      <w:bookmarkStart w:id="186" w:name="_Toc24906"/>
      <w:bookmarkStart w:id="187" w:name="_Toc23450"/>
      <w:bookmarkStart w:id="188" w:name="_Toc10193"/>
      <w:bookmarkStart w:id="189" w:name="_Toc11156"/>
      <w:bookmarkStart w:id="190" w:name="_Toc27037"/>
      <w:r>
        <w:rPr>
          <w:rFonts w:hint="default" w:ascii="Times New Roman" w:hAnsi="Times New Roman" w:eastAsia="黑体" w:cs="Times New Roman"/>
          <w:b w:val="0"/>
          <w:bCs w:val="0"/>
          <w:color w:val="auto"/>
          <w:sz w:val="44"/>
          <w:szCs w:val="44"/>
        </w:rPr>
        <w:br w:type="page"/>
      </w:r>
      <w:bookmarkEnd w:id="165"/>
      <w:bookmarkEnd w:id="166"/>
      <w:bookmarkEnd w:id="167"/>
      <w:bookmarkEnd w:id="168"/>
      <w:bookmarkEnd w:id="169"/>
      <w:bookmarkEnd w:id="170"/>
      <w:bookmarkEnd w:id="171"/>
      <w:bookmarkEnd w:id="172"/>
      <w:bookmarkEnd w:id="173"/>
      <w:bookmarkEnd w:id="174"/>
      <w:bookmarkEnd w:id="186"/>
      <w:bookmarkEnd w:id="187"/>
      <w:bookmarkEnd w:id="188"/>
      <w:bookmarkEnd w:id="189"/>
      <w:bookmarkEnd w:id="190"/>
    </w:p>
    <w:p w14:paraId="61E81639">
      <w:pPr>
        <w:pStyle w:val="45"/>
        <w:rPr>
          <w:rFonts w:hint="default" w:ascii="Times New Roman" w:hAnsi="Times New Roman" w:eastAsia="黑体" w:cs="Times New Roman"/>
          <w:b w:val="0"/>
          <w:bCs w:val="0"/>
          <w:color w:val="auto"/>
          <w:sz w:val="36"/>
          <w:szCs w:val="36"/>
        </w:rPr>
      </w:pPr>
      <w:r>
        <w:rPr>
          <w:rFonts w:hint="default" w:ascii="Times New Roman" w:hAnsi="Times New Roman" w:eastAsia="黑体" w:cs="Times New Roman"/>
          <w:b w:val="0"/>
          <w:bCs w:val="0"/>
          <w:color w:val="auto"/>
          <w:sz w:val="44"/>
          <w:szCs w:val="44"/>
        </w:rPr>
        <w:t>目  录</w:t>
      </w:r>
    </w:p>
    <w:p w14:paraId="0B71C7B9">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hint="default" w:ascii="Times New Roman" w:hAnsi="Times New Roman" w:eastAsia="黑体" w:cs="Times New Roman"/>
          <w:color w:val="auto"/>
          <w:sz w:val="32"/>
          <w:szCs w:val="32"/>
        </w:rPr>
      </w:pPr>
      <w:bookmarkStart w:id="191" w:name="_Toc19993_WPSOffice_Level1"/>
      <w:bookmarkStart w:id="192" w:name="_Toc26192_WPSOffice_Level1"/>
      <w:bookmarkStart w:id="193" w:name="_Toc8294_WPSOffice_Level1"/>
      <w:bookmarkStart w:id="194" w:name="_Toc25537_WPSOffice_Level1"/>
      <w:r>
        <w:rPr>
          <w:rFonts w:hint="default" w:ascii="Times New Roman" w:hAnsi="Times New Roman" w:eastAsia="黑体" w:cs="Times New Roman"/>
          <w:color w:val="auto"/>
          <w:sz w:val="32"/>
          <w:szCs w:val="32"/>
        </w:rPr>
        <w:t>第一部分  资格证明文件</w:t>
      </w:r>
      <w:r>
        <w:rPr>
          <w:rFonts w:hint="default" w:ascii="Times New Roman" w:hAnsi="Times New Roman" w:eastAsia="黑体" w:cs="Times New Roman"/>
          <w:color w:val="auto"/>
          <w:sz w:val="32"/>
          <w:szCs w:val="32"/>
        </w:rPr>
        <w:tab/>
      </w:r>
      <w:r>
        <w:rPr>
          <w:rFonts w:hint="default" w:ascii="Times New Roman" w:hAnsi="Times New Roman" w:eastAsia="黑体" w:cs="Times New Roman"/>
          <w:color w:val="auto"/>
          <w:sz w:val="32"/>
          <w:szCs w:val="32"/>
        </w:rPr>
        <w:t>X</w:t>
      </w:r>
      <w:bookmarkEnd w:id="191"/>
      <w:bookmarkEnd w:id="192"/>
      <w:bookmarkEnd w:id="193"/>
      <w:bookmarkEnd w:id="194"/>
    </w:p>
    <w:p w14:paraId="20884699">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195" w:name="_Toc14464_WPSOffice_Level2"/>
      <w:bookmarkStart w:id="196" w:name="_Toc19993_WPSOffice_Level2"/>
      <w:bookmarkStart w:id="197" w:name="_Toc31082_WPSOffice_Level2"/>
      <w:bookmarkStart w:id="198" w:name="_Toc25969_WPSOffice_Level2"/>
      <w:bookmarkStart w:id="199" w:name="_Toc28184_WPSOffice_Level1"/>
      <w:bookmarkStart w:id="200" w:name="_Toc30252_WPSOffice_Level1"/>
      <w:bookmarkStart w:id="201" w:name="_Toc22849_WPSOffice_Level1"/>
      <w:bookmarkStart w:id="202" w:name="_Toc27026_WPSOffice_Level1"/>
      <w:r>
        <w:rPr>
          <w:rFonts w:hint="default" w:ascii="Times New Roman" w:hAnsi="Times New Roman" w:eastAsia="仿宋_GB2312" w:cs="Times New Roman"/>
          <w:color w:val="auto"/>
          <w:sz w:val="32"/>
          <w:szCs w:val="32"/>
        </w:rPr>
        <w:t>一、营业执照等主体资格证明文件</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195"/>
      <w:bookmarkEnd w:id="196"/>
      <w:bookmarkEnd w:id="197"/>
      <w:bookmarkEnd w:id="198"/>
    </w:p>
    <w:p w14:paraId="0EC5BCD0">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03" w:name="_Toc21196_WPSOffice_Level2"/>
      <w:bookmarkStart w:id="204" w:name="_Toc5115_WPSOffice_Level2"/>
      <w:bookmarkStart w:id="205" w:name="_Toc12145_WPSOffice_Level2"/>
      <w:bookmarkStart w:id="206" w:name="_Toc17236_WPSOffice_Level2"/>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、法定代表人授权委托书</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03"/>
      <w:bookmarkEnd w:id="204"/>
      <w:bookmarkEnd w:id="205"/>
      <w:bookmarkEnd w:id="206"/>
    </w:p>
    <w:p w14:paraId="36D2EA91">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、资格承诺函</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5646814E">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、特定资格要求</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0006540B">
      <w:pPr>
        <w:keepNext w:val="0"/>
        <w:keepLines w:val="0"/>
        <w:pageBreakBefore w:val="0"/>
        <w:widowControl/>
        <w:tabs>
          <w:tab w:val="right" w:leader="hyphen" w:pos="8504"/>
        </w:tabs>
        <w:kinsoku/>
        <w:wordWrap/>
        <w:overflowPunct/>
        <w:topLinePunct w:val="0"/>
        <w:autoSpaceDE/>
        <w:autoSpaceDN/>
        <w:bidi w:val="0"/>
        <w:adjustRightInd/>
        <w:snapToGrid/>
        <w:spacing w:line="540" w:lineRule="exact"/>
        <w:ind w:right="849" w:rightChars="300" w:firstLine="1292" w:firstLine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五、落实政府采购政策需满足的资格要求</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7A1E2C0F">
      <w:pPr>
        <w:keepNext w:val="0"/>
        <w:keepLines w:val="0"/>
        <w:pageBreakBefore w:val="0"/>
        <w:widowControl/>
        <w:suppressLineNumbers w:val="0"/>
        <w:kinsoku/>
        <w:wordWrap/>
        <w:overflowPunct/>
        <w:topLinePunct w:val="0"/>
        <w:autoSpaceDE/>
        <w:autoSpaceDN/>
        <w:bidi w:val="0"/>
        <w:adjustRightInd/>
        <w:snapToGrid/>
        <w:spacing w:line="540" w:lineRule="exact"/>
        <w:ind w:firstLine="1292" w:firstLineChars="4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lang w:val="en-US" w:eastAsia="zh-CN" w:bidi="ar"/>
        </w:rPr>
        <w:t>六、</w:t>
      </w:r>
      <w:r>
        <w:rPr>
          <w:rFonts w:hint="eastAsia" w:ascii="仿宋_GB2312" w:hAnsi="仿宋_GB2312" w:eastAsia="仿宋_GB2312" w:cs="仿宋_GB2312"/>
          <w:color w:val="auto"/>
          <w:kern w:val="0"/>
          <w:sz w:val="32"/>
          <w:szCs w:val="32"/>
          <w:lang w:val="en-US" w:eastAsia="zh-CN" w:bidi="ar"/>
        </w:rPr>
        <w:t>本项目不接受联合体投标，不允许分包</w:t>
      </w:r>
      <w:r>
        <w:rPr>
          <w:rFonts w:hint="default" w:ascii="Times New Roman" w:hAnsi="Times New Roman" w:eastAsia="宋体"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val="en-US" w:eastAsia="zh-CN" w:bidi="ar"/>
        </w:rPr>
        <w:t>X</w:t>
      </w:r>
    </w:p>
    <w:p w14:paraId="7A59A94E">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第二部分  符合性证明文件</w:t>
      </w:r>
      <w:r>
        <w:rPr>
          <w:rFonts w:hint="default" w:ascii="Times New Roman" w:hAnsi="Times New Roman" w:cs="Times New Roman"/>
          <w:color w:val="auto"/>
          <w:sz w:val="32"/>
          <w:szCs w:val="32"/>
        </w:rPr>
        <w:tab/>
      </w:r>
      <w:r>
        <w:rPr>
          <w:rFonts w:hint="default" w:ascii="Times New Roman" w:hAnsi="Times New Roman" w:cs="Times New Roman"/>
          <w:color w:val="auto"/>
          <w:sz w:val="32"/>
          <w:szCs w:val="32"/>
        </w:rPr>
        <w:t>X</w:t>
      </w:r>
      <w:bookmarkEnd w:id="199"/>
      <w:bookmarkEnd w:id="200"/>
      <w:bookmarkEnd w:id="201"/>
      <w:bookmarkEnd w:id="202"/>
    </w:p>
    <w:p w14:paraId="625C0BB7">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07" w:name="_Toc7348_WPSOffice_Level2"/>
      <w:bookmarkStart w:id="208" w:name="_Toc183_WPSOffice_Level2"/>
      <w:bookmarkStart w:id="209" w:name="_Toc5795_WPSOffice_Level2"/>
      <w:bookmarkStart w:id="210" w:name="_Toc28631_WPSOffice_Level2"/>
      <w:r>
        <w:rPr>
          <w:rFonts w:hint="default" w:ascii="Times New Roman" w:hAnsi="Times New Roman" w:eastAsia="仿宋_GB2312" w:cs="Times New Roman"/>
          <w:color w:val="auto"/>
          <w:sz w:val="32"/>
          <w:szCs w:val="32"/>
        </w:rPr>
        <w:t>一、响应函格式</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07"/>
      <w:bookmarkEnd w:id="208"/>
      <w:bookmarkEnd w:id="209"/>
      <w:bookmarkEnd w:id="210"/>
    </w:p>
    <w:p w14:paraId="4FEF8905">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11" w:name="_Toc9021_WPSOffice_Level2"/>
      <w:bookmarkStart w:id="212" w:name="_Toc8116_WPSOffice_Level2"/>
      <w:bookmarkStart w:id="213" w:name="_Toc1168_WPSOffice_Level2"/>
      <w:bookmarkStart w:id="214" w:name="_Toc27223_WPSOffice_Level2"/>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响应报价表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11"/>
      <w:bookmarkEnd w:id="212"/>
      <w:bookmarkEnd w:id="213"/>
      <w:bookmarkEnd w:id="214"/>
    </w:p>
    <w:p w14:paraId="3F755949">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响应报价明细</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41413AE7">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15" w:name="_Toc11630_WPSOffice_Level2"/>
      <w:bookmarkStart w:id="216" w:name="_Toc27170_WPSOffice_Level2"/>
      <w:bookmarkStart w:id="217" w:name="_Toc29414_WPSOffice_Level2"/>
      <w:bookmarkStart w:id="218" w:name="_Toc3525_WPSOffice_Level2"/>
      <w:r>
        <w:rPr>
          <w:rFonts w:hint="default" w:ascii="Times New Roman" w:hAnsi="Times New Roman" w:eastAsia="仿宋_GB2312" w:cs="Times New Roman"/>
          <w:color w:val="auto"/>
          <w:sz w:val="32"/>
          <w:szCs w:val="32"/>
        </w:rPr>
        <w:t>三、供应商参加政府采购活动承诺书</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15"/>
      <w:bookmarkEnd w:id="216"/>
      <w:bookmarkEnd w:id="217"/>
      <w:bookmarkEnd w:id="218"/>
    </w:p>
    <w:p w14:paraId="28DCE47D">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19" w:name="_Toc20504_WPSOffice_Level2"/>
      <w:bookmarkStart w:id="220" w:name="_Toc31457_WPSOffice_Level2"/>
      <w:bookmarkStart w:id="221" w:name="_Toc18811_WPSOffice_Level2"/>
      <w:bookmarkStart w:id="222" w:name="_Toc1782_WPSOffice_Level2"/>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、技术服务偏差表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19"/>
      <w:bookmarkEnd w:id="220"/>
      <w:bookmarkEnd w:id="221"/>
      <w:bookmarkEnd w:id="222"/>
    </w:p>
    <w:p w14:paraId="3CE0CD1E">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23" w:name="_Toc28279_WPSOffice_Level2"/>
      <w:bookmarkStart w:id="224" w:name="_Toc13258_WPSOffice_Level2"/>
      <w:bookmarkStart w:id="225" w:name="_Toc17428_WPSOffice_Level2"/>
      <w:bookmarkStart w:id="226" w:name="_Toc19486_WPSOffice_Level2"/>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、合同</w:t>
      </w:r>
      <w:r>
        <w:rPr>
          <w:rFonts w:hint="default" w:ascii="Times New Roman" w:hAnsi="Times New Roman" w:eastAsia="仿宋_GB2312" w:cs="Times New Roman"/>
          <w:color w:val="auto"/>
          <w:sz w:val="32"/>
          <w:szCs w:val="32"/>
          <w:lang w:val="en-US" w:eastAsia="zh-CN"/>
        </w:rPr>
        <w:t>草案</w:t>
      </w:r>
      <w:r>
        <w:rPr>
          <w:rFonts w:hint="default" w:ascii="Times New Roman" w:hAnsi="Times New Roman" w:eastAsia="仿宋_GB2312" w:cs="Times New Roman"/>
          <w:color w:val="auto"/>
          <w:sz w:val="32"/>
          <w:szCs w:val="32"/>
        </w:rPr>
        <w:t>条款响应</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23"/>
      <w:bookmarkEnd w:id="224"/>
      <w:bookmarkEnd w:id="225"/>
      <w:bookmarkEnd w:id="226"/>
    </w:p>
    <w:p w14:paraId="7B3395FD">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hint="default" w:ascii="Times New Roman" w:hAnsi="Times New Roman" w:eastAsia="黑体" w:cs="Times New Roman"/>
          <w:color w:val="auto"/>
          <w:sz w:val="32"/>
          <w:szCs w:val="32"/>
        </w:rPr>
      </w:pPr>
      <w:bookmarkStart w:id="227" w:name="_Toc22808_WPSOffice_Level1"/>
      <w:bookmarkStart w:id="228" w:name="_Toc23092_WPSOffice_Level1"/>
      <w:bookmarkStart w:id="229" w:name="_Toc27464_WPSOffice_Level1"/>
      <w:bookmarkStart w:id="230" w:name="_Toc21905_WPSOffice_Level1"/>
      <w:r>
        <w:rPr>
          <w:rFonts w:hint="default" w:ascii="Times New Roman" w:hAnsi="Times New Roman" w:eastAsia="黑体" w:cs="Times New Roman"/>
          <w:color w:val="auto"/>
          <w:sz w:val="32"/>
          <w:szCs w:val="32"/>
        </w:rPr>
        <w:t>第三部分  响应方案</w:t>
      </w:r>
      <w:bookmarkEnd w:id="227"/>
      <w:bookmarkEnd w:id="228"/>
      <w:bookmarkEnd w:id="229"/>
      <w:bookmarkEnd w:id="230"/>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p>
    <w:p w14:paraId="1C0A1DEB">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31" w:name="_Toc7951_WPSOffice_Level2"/>
      <w:bookmarkStart w:id="232" w:name="_Toc8316_WPSOffice_Level2"/>
      <w:bookmarkStart w:id="233" w:name="_Toc980_WPSOffice_Level2"/>
      <w:bookmarkStart w:id="234" w:name="_Toc7544_WPSOffice_Level2"/>
      <w:r>
        <w:rPr>
          <w:rFonts w:hint="default" w:ascii="Times New Roman" w:hAnsi="Times New Roman" w:eastAsia="仿宋_GB2312" w:cs="Times New Roman"/>
          <w:color w:val="auto"/>
          <w:sz w:val="32"/>
          <w:szCs w:val="32"/>
        </w:rPr>
        <w:t>一、供应商</w:t>
      </w:r>
      <w:bookmarkEnd w:id="231"/>
      <w:r>
        <w:rPr>
          <w:rFonts w:hint="default" w:ascii="Times New Roman" w:hAnsi="Times New Roman" w:eastAsia="仿宋_GB2312" w:cs="Times New Roman"/>
          <w:color w:val="auto"/>
          <w:sz w:val="32"/>
          <w:szCs w:val="32"/>
          <w:lang w:val="en-US" w:eastAsia="zh-CN"/>
        </w:rPr>
        <w:t>基本情况及其性质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32"/>
      <w:bookmarkEnd w:id="233"/>
      <w:bookmarkEnd w:id="234"/>
    </w:p>
    <w:p w14:paraId="7FF6C6DD">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35" w:name="_Toc15474_WPSOffice_Level2"/>
      <w:bookmarkStart w:id="236" w:name="_Toc2987_WPSOffice_Level2"/>
      <w:bookmarkStart w:id="237" w:name="_Toc10127_WPSOffice_Level2"/>
      <w:bookmarkStart w:id="238" w:name="_Toc2999_WPSOffice_Level2"/>
      <w:r>
        <w:rPr>
          <w:rFonts w:hint="default" w:ascii="Times New Roman" w:hAnsi="Times New Roman" w:eastAsia="仿宋_GB2312" w:cs="Times New Roman"/>
          <w:color w:val="auto"/>
          <w:sz w:val="32"/>
          <w:szCs w:val="32"/>
        </w:rPr>
        <w:t>二、技术服务方案</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35"/>
      <w:bookmarkEnd w:id="236"/>
      <w:bookmarkEnd w:id="237"/>
      <w:bookmarkEnd w:id="238"/>
    </w:p>
    <w:p w14:paraId="7616EDE7">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default" w:ascii="Times New Roman" w:hAnsi="Times New Roman" w:eastAsia="仿宋_GB2312" w:cs="Times New Roman"/>
          <w:color w:val="auto"/>
          <w:sz w:val="32"/>
          <w:szCs w:val="32"/>
        </w:rPr>
      </w:pPr>
      <w:bookmarkStart w:id="239" w:name="_Toc28542_WPSOffice_Level2"/>
      <w:bookmarkStart w:id="240" w:name="_Toc13401_WPSOffice_Level2"/>
      <w:bookmarkStart w:id="241" w:name="_Toc22913_WPSOffice_Level2"/>
      <w:bookmarkStart w:id="242" w:name="_Toc15492_WPSOffice_Level2"/>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参考样表</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X</w:t>
      </w:r>
      <w:bookmarkEnd w:id="239"/>
      <w:bookmarkEnd w:id="240"/>
      <w:bookmarkEnd w:id="241"/>
      <w:bookmarkEnd w:id="242"/>
    </w:p>
    <w:p w14:paraId="6725FC59">
      <w:pPr>
        <w:spacing w:line="500" w:lineRule="exact"/>
        <w:jc w:val="center"/>
        <w:rPr>
          <w:rFonts w:hint="default" w:ascii="Times New Roman" w:hAnsi="Times New Roman" w:eastAsia="黑体" w:cs="Times New Roman"/>
          <w:b/>
          <w:color w:val="auto"/>
        </w:rPr>
      </w:pPr>
    </w:p>
    <w:p w14:paraId="5519B173">
      <w:pPr>
        <w:spacing w:line="500" w:lineRule="exact"/>
        <w:jc w:val="center"/>
        <w:rPr>
          <w:rFonts w:hint="default" w:ascii="Times New Roman" w:hAnsi="Times New Roman" w:eastAsia="黑体" w:cs="Times New Roman"/>
          <w:b/>
          <w:color w:val="auto"/>
        </w:rPr>
      </w:pPr>
    </w:p>
    <w:p w14:paraId="434E0E3D">
      <w:pPr>
        <w:spacing w:line="500" w:lineRule="exact"/>
        <w:jc w:val="center"/>
        <w:rPr>
          <w:rFonts w:hint="default" w:ascii="Times New Roman" w:hAnsi="Times New Roman" w:eastAsia="黑体" w:cs="Times New Roman"/>
          <w:b/>
          <w:color w:val="auto"/>
        </w:rPr>
      </w:pPr>
    </w:p>
    <w:p w14:paraId="2639DFF0">
      <w:pPr>
        <w:spacing w:line="500" w:lineRule="exact"/>
        <w:jc w:val="center"/>
        <w:rPr>
          <w:rFonts w:hint="default" w:ascii="Times New Roman" w:hAnsi="Times New Roman" w:eastAsia="黑体" w:cs="Times New Roman"/>
          <w:b/>
          <w:color w:val="auto"/>
        </w:rPr>
      </w:pPr>
    </w:p>
    <w:p w14:paraId="372B6384">
      <w:pPr>
        <w:spacing w:line="500" w:lineRule="exact"/>
        <w:jc w:val="center"/>
        <w:rPr>
          <w:rFonts w:hint="default" w:ascii="Times New Roman" w:hAnsi="Times New Roman" w:eastAsia="黑体" w:cs="Times New Roman"/>
          <w:b/>
          <w:color w:val="auto"/>
        </w:rPr>
      </w:pPr>
    </w:p>
    <w:p w14:paraId="55F2C5E0">
      <w:pPr>
        <w:spacing w:line="500" w:lineRule="exact"/>
        <w:jc w:val="center"/>
        <w:rPr>
          <w:rFonts w:hint="default" w:ascii="Times New Roman" w:hAnsi="Times New Roman" w:eastAsia="黑体" w:cs="Times New Roman"/>
          <w:b/>
          <w:color w:val="auto"/>
        </w:rPr>
      </w:pPr>
    </w:p>
    <w:p w14:paraId="1FA2E421">
      <w:pPr>
        <w:keepNext w:val="0"/>
        <w:keepLines w:val="0"/>
        <w:pageBreakBefore w:val="0"/>
        <w:widowControl/>
        <w:kinsoku/>
        <w:wordWrap/>
        <w:overflowPunct/>
        <w:topLinePunct w:val="0"/>
        <w:autoSpaceDE/>
        <w:autoSpaceDN/>
        <w:bidi w:val="0"/>
        <w:adjustRightInd/>
        <w:snapToGrid/>
        <w:spacing w:line="560" w:lineRule="exact"/>
        <w:ind w:firstLine="2584" w:firstLineChars="800"/>
        <w:jc w:val="both"/>
        <w:textAlignment w:val="auto"/>
        <w:rPr>
          <w:rFonts w:hint="default" w:ascii="Times New Roman" w:hAnsi="Times New Roman" w:eastAsia="黑体" w:cs="Times New Roman"/>
          <w:b/>
          <w:color w:val="auto"/>
        </w:rPr>
      </w:pPr>
      <w:bookmarkStart w:id="243" w:name="_Toc6199"/>
      <w:bookmarkStart w:id="244" w:name="_Toc23478"/>
      <w:bookmarkStart w:id="245" w:name="_Toc3534_WPSOffice_Level1"/>
      <w:bookmarkStart w:id="246" w:name="_Toc5115_WPSOffice_Level1"/>
      <w:bookmarkStart w:id="247" w:name="_Toc8079"/>
      <w:bookmarkStart w:id="248" w:name="_Toc14670_WPSOffice_Level1"/>
      <w:bookmarkStart w:id="249" w:name="_Toc16498"/>
      <w:r>
        <w:rPr>
          <w:rStyle w:val="46"/>
          <w:rFonts w:hint="default" w:ascii="Times New Roman" w:hAnsi="Times New Roman" w:eastAsia="黑体" w:cs="Times New Roman"/>
          <w:b w:val="0"/>
          <w:bCs/>
          <w:color w:val="auto"/>
          <w:sz w:val="32"/>
          <w:szCs w:val="40"/>
        </w:rPr>
        <w:t>第一部分  资格证明文件</w:t>
      </w:r>
      <w:bookmarkEnd w:id="243"/>
      <w:bookmarkEnd w:id="244"/>
      <w:bookmarkEnd w:id="245"/>
      <w:bookmarkEnd w:id="246"/>
      <w:bookmarkEnd w:id="247"/>
      <w:bookmarkEnd w:id="248"/>
      <w:bookmarkEnd w:id="249"/>
    </w:p>
    <w:p w14:paraId="08C27A44">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p>
    <w:p w14:paraId="10CAD7AA">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供应商应按照磋商文件第</w:t>
      </w:r>
      <w:r>
        <w:rPr>
          <w:rFonts w:hint="default" w:ascii="Times New Roman" w:hAnsi="Times New Roman" w:eastAsia="仿宋_GB2312" w:cs="Times New Roman"/>
          <w:color w:val="auto"/>
          <w:sz w:val="28"/>
          <w:szCs w:val="28"/>
          <w:lang w:val="en-US" w:eastAsia="zh-CN"/>
        </w:rPr>
        <w:t>二</w:t>
      </w:r>
      <w:r>
        <w:rPr>
          <w:rFonts w:hint="default" w:ascii="Times New Roman" w:hAnsi="Times New Roman" w:eastAsia="仿宋_GB2312" w:cs="Times New Roman"/>
          <w:color w:val="auto"/>
          <w:sz w:val="28"/>
          <w:szCs w:val="28"/>
        </w:rPr>
        <w:t>章</w:t>
      </w:r>
      <w:r>
        <w:rPr>
          <w:rFonts w:hint="default" w:ascii="Times New Roman" w:hAnsi="Times New Roman" w:eastAsia="仿宋_GB2312" w:cs="Times New Roman"/>
          <w:color w:val="auto"/>
          <w:sz w:val="28"/>
          <w:szCs w:val="28"/>
          <w:lang w:val="en-US" w:eastAsia="zh-CN"/>
        </w:rPr>
        <w:t>《资格审查表》</w:t>
      </w:r>
      <w:r>
        <w:rPr>
          <w:rFonts w:hint="default" w:ascii="Times New Roman" w:hAnsi="Times New Roman" w:eastAsia="仿宋_GB2312" w:cs="Times New Roman"/>
          <w:color w:val="auto"/>
          <w:sz w:val="28"/>
          <w:szCs w:val="28"/>
        </w:rPr>
        <w:t>所列</w:t>
      </w:r>
      <w:r>
        <w:rPr>
          <w:rFonts w:hint="default" w:ascii="Times New Roman" w:hAnsi="Times New Roman" w:eastAsia="仿宋_GB2312" w:cs="Times New Roman"/>
          <w:color w:val="auto"/>
          <w:sz w:val="28"/>
          <w:szCs w:val="28"/>
          <w:lang w:val="en-US" w:eastAsia="zh-CN"/>
        </w:rPr>
        <w:t>审查项</w:t>
      </w:r>
      <w:r>
        <w:rPr>
          <w:rFonts w:hint="default" w:ascii="Times New Roman" w:hAnsi="Times New Roman" w:eastAsia="仿宋_GB2312" w:cs="Times New Roman"/>
          <w:color w:val="auto"/>
          <w:sz w:val="28"/>
          <w:szCs w:val="28"/>
        </w:rPr>
        <w:t>逐一提供全部资格证明文件。</w:t>
      </w:r>
      <w:r>
        <w:rPr>
          <w:rFonts w:hint="default" w:ascii="Times New Roman" w:hAnsi="Times New Roman" w:eastAsia="仿宋_GB2312" w:cs="Times New Roman"/>
          <w:b/>
          <w:bCs/>
          <w:color w:val="auto"/>
          <w:sz w:val="28"/>
          <w:szCs w:val="28"/>
        </w:rPr>
        <w:t>缺少其中任何一项，其响应文件将被视为无效文件。</w:t>
      </w:r>
    </w:p>
    <w:p w14:paraId="067691E5">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其中，《法定代表人授权委托书》</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eastAsia="zh-CN"/>
        </w:rPr>
        <w:t>汉台区</w:t>
      </w:r>
      <w:r>
        <w:rPr>
          <w:rFonts w:hint="default" w:ascii="Times New Roman" w:hAnsi="Times New Roman" w:eastAsia="仿宋_GB2312" w:cs="Times New Roman"/>
          <w:color w:val="auto"/>
          <w:sz w:val="28"/>
          <w:szCs w:val="28"/>
        </w:rPr>
        <w:t>政府采购供应商资格承诺函》</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《中小企业声明函》须按下文给定格式填写须按下文给定格式填写，</w:t>
      </w:r>
      <w:r>
        <w:rPr>
          <w:rFonts w:hint="default" w:ascii="Times New Roman" w:hAnsi="Times New Roman" w:eastAsia="仿宋_GB2312" w:cs="Times New Roman"/>
          <w:b/>
          <w:bCs/>
          <w:color w:val="auto"/>
          <w:sz w:val="28"/>
          <w:szCs w:val="28"/>
        </w:rPr>
        <w:t>否则按无效处理。</w:t>
      </w:r>
      <w:r>
        <w:rPr>
          <w:rFonts w:hint="default" w:ascii="Times New Roman" w:hAnsi="Times New Roman" w:eastAsia="仿宋_GB2312" w:cs="Times New Roman"/>
          <w:color w:val="auto"/>
          <w:sz w:val="28"/>
          <w:szCs w:val="28"/>
        </w:rPr>
        <w:t>特别说明，法定代表人亲自参加</w:t>
      </w:r>
      <w:r>
        <w:rPr>
          <w:rFonts w:hint="default" w:ascii="Times New Roman" w:hAnsi="Times New Roman" w:eastAsia="仿宋_GB2312" w:cs="Times New Roman"/>
          <w:color w:val="auto"/>
          <w:sz w:val="28"/>
          <w:szCs w:val="28"/>
          <w:lang w:val="en-US" w:eastAsia="zh-CN"/>
        </w:rPr>
        <w:t>磋商</w:t>
      </w:r>
      <w:r>
        <w:rPr>
          <w:rFonts w:hint="default" w:ascii="Times New Roman" w:hAnsi="Times New Roman" w:eastAsia="仿宋_GB2312" w:cs="Times New Roman"/>
          <w:color w:val="auto"/>
          <w:sz w:val="28"/>
          <w:szCs w:val="28"/>
        </w:rPr>
        <w:t>的，可不提供法定代表人授权委托书，但须提供其本人身份证（正反面）复印件。</w:t>
      </w:r>
    </w:p>
    <w:p w14:paraId="0629C489">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bookmarkStart w:id="250" w:name="_Toc19075_WPSOffice_Level2"/>
      <w:bookmarkStart w:id="251" w:name="_Toc26041_WPSOffice_Level2"/>
      <w:bookmarkStart w:id="252" w:name="_Toc9954_WPSOffice_Level2"/>
      <w:bookmarkStart w:id="253" w:name="_Toc6967_WPSOffice_Level2"/>
      <w:r>
        <w:rPr>
          <w:rFonts w:hint="default" w:ascii="Times New Roman" w:hAnsi="Times New Roman" w:eastAsia="仿宋_GB2312" w:cs="Times New Roman"/>
          <w:b/>
          <w:color w:val="auto"/>
          <w:sz w:val="28"/>
          <w:szCs w:val="28"/>
        </w:rPr>
        <w:t>一、营业执照等主体资格证明文件</w:t>
      </w:r>
      <w:bookmarkEnd w:id="250"/>
      <w:bookmarkEnd w:id="251"/>
      <w:bookmarkEnd w:id="252"/>
      <w:bookmarkEnd w:id="253"/>
    </w:p>
    <w:p w14:paraId="2AEA1B69">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5492D185">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4AD305DC">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3FEE7B83">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3C0E8A6C">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45E672AF">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1086CF82">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22D1C878">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A576006">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2D825B2">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40C907B5">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68235CA">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2D566E0">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35A8A2B3">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206E06EA">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FEE0E1B">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0EEC4601">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default" w:ascii="Times New Roman" w:hAnsi="Times New Roman" w:eastAsia="仿宋_GB2312" w:cs="Times New Roman"/>
          <w:b/>
          <w:color w:val="auto"/>
          <w:sz w:val="28"/>
          <w:szCs w:val="28"/>
        </w:rPr>
      </w:pPr>
    </w:p>
    <w:p w14:paraId="665CBB3E">
      <w:pPr>
        <w:pStyle w:val="47"/>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default" w:ascii="Times New Roman" w:hAnsi="Times New Roman" w:eastAsia="仿宋_GB2312" w:cs="Times New Roman"/>
          <w:color w:val="auto"/>
          <w:sz w:val="30"/>
          <w:szCs w:val="30"/>
        </w:rPr>
      </w:pPr>
      <w:bookmarkStart w:id="254" w:name="_Toc23486_WPSOffice_Level2"/>
      <w:bookmarkStart w:id="255" w:name="_Toc24625_WPSOffice_Level2"/>
      <w:bookmarkStart w:id="256" w:name="_Toc14516_WPSOffice_Level2"/>
      <w:bookmarkStart w:id="257" w:name="_Toc13298_WPSOffice_Level2"/>
      <w:r>
        <w:rPr>
          <w:rFonts w:hint="default" w:ascii="Times New Roman" w:hAnsi="Times New Roman" w:eastAsia="仿宋_GB2312" w:cs="Times New Roman"/>
          <w:color w:val="auto"/>
          <w:sz w:val="30"/>
          <w:szCs w:val="30"/>
          <w:lang w:eastAsia="zh-CN"/>
        </w:rPr>
        <w:t>二</w:t>
      </w:r>
      <w:r>
        <w:rPr>
          <w:rFonts w:hint="default" w:ascii="Times New Roman" w:hAnsi="Times New Roman" w:eastAsia="仿宋_GB2312" w:cs="Times New Roman"/>
          <w:color w:val="auto"/>
          <w:sz w:val="30"/>
          <w:szCs w:val="30"/>
        </w:rPr>
        <w:t>、法定代表人授权委托书</w:t>
      </w:r>
      <w:bookmarkEnd w:id="254"/>
      <w:bookmarkEnd w:id="255"/>
      <w:bookmarkEnd w:id="256"/>
      <w:bookmarkEnd w:id="257"/>
      <w:bookmarkStart w:id="258" w:name="_Toc19993_WPSOffice_Level3"/>
    </w:p>
    <w:bookmarkEnd w:id="258"/>
    <w:p w14:paraId="7669F454">
      <w:pPr>
        <w:tabs>
          <w:tab w:val="left" w:pos="1260"/>
        </w:tabs>
        <w:spacing w:line="440" w:lineRule="exact"/>
        <w:ind w:firstLine="1938" w:firstLineChars="600"/>
        <w:rPr>
          <w:rFonts w:hint="default" w:ascii="Times New Roman" w:hAnsi="Times New Roman" w:eastAsia="仿宋_GB2312" w:cs="Times New Roman"/>
          <w:b/>
          <w:bCs/>
          <w:color w:val="auto"/>
          <w:sz w:val="32"/>
          <w:szCs w:val="32"/>
          <w:u w:val="none"/>
        </w:rPr>
      </w:pPr>
      <w:r>
        <w:rPr>
          <w:rFonts w:hint="default" w:ascii="Times New Roman" w:hAnsi="Times New Roman" w:eastAsia="仿宋_GB2312" w:cs="Times New Roman"/>
          <w:b/>
          <w:color w:val="auto"/>
          <w:kern w:val="1"/>
          <w:sz w:val="32"/>
          <w:szCs w:val="32"/>
          <w:u w:val="none"/>
        </w:rPr>
        <w:t>法定代表人（或负责人）授权书</w:t>
      </w:r>
    </w:p>
    <w:p w14:paraId="75EE333C">
      <w:pPr>
        <w:tabs>
          <w:tab w:val="left" w:pos="1260"/>
        </w:tabs>
        <w:spacing w:line="240" w:lineRule="exact"/>
        <w:rPr>
          <w:rFonts w:hint="default" w:ascii="Times New Roman" w:hAnsi="Times New Roman" w:eastAsia="仿宋" w:cs="Times New Roman"/>
          <w:b/>
          <w:bCs/>
          <w:color w:val="auto"/>
          <w:sz w:val="36"/>
          <w:szCs w:val="44"/>
        </w:rPr>
      </w:pPr>
    </w:p>
    <w:tbl>
      <w:tblPr>
        <w:tblStyle w:val="24"/>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28"/>
        <w:gridCol w:w="10"/>
        <w:gridCol w:w="1559"/>
        <w:gridCol w:w="294"/>
        <w:gridCol w:w="2038"/>
        <w:gridCol w:w="2241"/>
      </w:tblGrid>
      <w:tr w14:paraId="2BB5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944" w:type="dxa"/>
            <w:gridSpan w:val="7"/>
            <w:noWrap w:val="0"/>
            <w:vAlign w:val="center"/>
          </w:tcPr>
          <w:p w14:paraId="58CB0BA1">
            <w:pPr>
              <w:tabs>
                <w:tab w:val="left" w:pos="1260"/>
              </w:tabs>
              <w:spacing w:line="440" w:lineRule="exact"/>
              <w:ind w:firstLine="135" w:firstLineChars="56"/>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致：汉台区政府采购中心</w:t>
            </w:r>
          </w:p>
        </w:tc>
      </w:tr>
      <w:tr w14:paraId="7591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restart"/>
            <w:noWrap w:val="0"/>
            <w:vAlign w:val="center"/>
          </w:tcPr>
          <w:p w14:paraId="16BC7A58">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被授权人</w:t>
            </w:r>
          </w:p>
        </w:tc>
        <w:tc>
          <w:tcPr>
            <w:tcW w:w="2038" w:type="dxa"/>
            <w:gridSpan w:val="2"/>
            <w:noWrap w:val="0"/>
            <w:vAlign w:val="center"/>
          </w:tcPr>
          <w:p w14:paraId="31D44597">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姓    名</w:t>
            </w:r>
          </w:p>
        </w:tc>
        <w:tc>
          <w:tcPr>
            <w:tcW w:w="1853" w:type="dxa"/>
            <w:gridSpan w:val="2"/>
            <w:noWrap w:val="0"/>
            <w:vAlign w:val="top"/>
          </w:tcPr>
          <w:p w14:paraId="4DA853C2">
            <w:pPr>
              <w:tabs>
                <w:tab w:val="left" w:pos="1260"/>
              </w:tabs>
              <w:spacing w:line="440" w:lineRule="exact"/>
              <w:rPr>
                <w:rFonts w:hint="default" w:ascii="Times New Roman" w:hAnsi="Times New Roman" w:eastAsia="仿宋" w:cs="Times New Roman"/>
                <w:color w:val="auto"/>
                <w:sz w:val="24"/>
              </w:rPr>
            </w:pPr>
          </w:p>
        </w:tc>
        <w:tc>
          <w:tcPr>
            <w:tcW w:w="2038" w:type="dxa"/>
            <w:noWrap w:val="0"/>
            <w:vAlign w:val="top"/>
          </w:tcPr>
          <w:p w14:paraId="728DED35">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性    别</w:t>
            </w:r>
          </w:p>
        </w:tc>
        <w:tc>
          <w:tcPr>
            <w:tcW w:w="2241" w:type="dxa"/>
            <w:noWrap w:val="0"/>
            <w:vAlign w:val="top"/>
          </w:tcPr>
          <w:p w14:paraId="6BCB35E3">
            <w:pPr>
              <w:tabs>
                <w:tab w:val="left" w:pos="1260"/>
              </w:tabs>
              <w:spacing w:line="440" w:lineRule="exact"/>
              <w:rPr>
                <w:rFonts w:hint="default" w:ascii="Times New Roman" w:hAnsi="Times New Roman" w:eastAsia="仿宋" w:cs="Times New Roman"/>
                <w:color w:val="auto"/>
                <w:sz w:val="24"/>
              </w:rPr>
            </w:pPr>
          </w:p>
        </w:tc>
      </w:tr>
      <w:tr w14:paraId="63B7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continue"/>
            <w:noWrap w:val="0"/>
            <w:vAlign w:val="center"/>
          </w:tcPr>
          <w:p w14:paraId="22AE5A37">
            <w:pPr>
              <w:tabs>
                <w:tab w:val="left" w:pos="1260"/>
              </w:tabs>
              <w:spacing w:line="360" w:lineRule="exact"/>
              <w:jc w:val="center"/>
              <w:rPr>
                <w:rFonts w:hint="default" w:ascii="Times New Roman" w:hAnsi="Times New Roman" w:eastAsia="仿宋" w:cs="Times New Roman"/>
                <w:color w:val="auto"/>
                <w:sz w:val="24"/>
              </w:rPr>
            </w:pPr>
          </w:p>
        </w:tc>
        <w:tc>
          <w:tcPr>
            <w:tcW w:w="2038" w:type="dxa"/>
            <w:gridSpan w:val="2"/>
            <w:noWrap w:val="0"/>
            <w:vAlign w:val="center"/>
          </w:tcPr>
          <w:p w14:paraId="0C58BC55">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职    务</w:t>
            </w:r>
          </w:p>
        </w:tc>
        <w:tc>
          <w:tcPr>
            <w:tcW w:w="1853" w:type="dxa"/>
            <w:gridSpan w:val="2"/>
            <w:noWrap w:val="0"/>
            <w:vAlign w:val="top"/>
          </w:tcPr>
          <w:p w14:paraId="0A8D0049">
            <w:pPr>
              <w:tabs>
                <w:tab w:val="left" w:pos="1260"/>
              </w:tabs>
              <w:spacing w:line="440" w:lineRule="exact"/>
              <w:rPr>
                <w:rFonts w:hint="default" w:ascii="Times New Roman" w:hAnsi="Times New Roman" w:eastAsia="仿宋" w:cs="Times New Roman"/>
                <w:color w:val="auto"/>
                <w:sz w:val="24"/>
              </w:rPr>
            </w:pPr>
          </w:p>
        </w:tc>
        <w:tc>
          <w:tcPr>
            <w:tcW w:w="2038" w:type="dxa"/>
            <w:noWrap w:val="0"/>
            <w:vAlign w:val="top"/>
          </w:tcPr>
          <w:p w14:paraId="547E9036">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手机号码</w:t>
            </w:r>
          </w:p>
        </w:tc>
        <w:tc>
          <w:tcPr>
            <w:tcW w:w="2241" w:type="dxa"/>
            <w:noWrap w:val="0"/>
            <w:vAlign w:val="top"/>
          </w:tcPr>
          <w:p w14:paraId="5E30EFE2">
            <w:pPr>
              <w:tabs>
                <w:tab w:val="left" w:pos="1260"/>
              </w:tabs>
              <w:spacing w:line="440" w:lineRule="exact"/>
              <w:rPr>
                <w:rFonts w:hint="default" w:ascii="Times New Roman" w:hAnsi="Times New Roman" w:eastAsia="仿宋" w:cs="Times New Roman"/>
                <w:color w:val="auto"/>
                <w:sz w:val="24"/>
              </w:rPr>
            </w:pPr>
          </w:p>
        </w:tc>
      </w:tr>
      <w:tr w14:paraId="3A02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continue"/>
            <w:noWrap w:val="0"/>
            <w:vAlign w:val="center"/>
          </w:tcPr>
          <w:p w14:paraId="2F81B3C0">
            <w:pPr>
              <w:tabs>
                <w:tab w:val="left" w:pos="1260"/>
              </w:tabs>
              <w:spacing w:line="360" w:lineRule="exact"/>
              <w:jc w:val="center"/>
              <w:rPr>
                <w:rFonts w:hint="default" w:ascii="Times New Roman" w:hAnsi="Times New Roman" w:eastAsia="仿宋" w:cs="Times New Roman"/>
                <w:color w:val="auto"/>
                <w:sz w:val="24"/>
              </w:rPr>
            </w:pPr>
          </w:p>
        </w:tc>
        <w:tc>
          <w:tcPr>
            <w:tcW w:w="2038" w:type="dxa"/>
            <w:gridSpan w:val="2"/>
            <w:noWrap w:val="0"/>
            <w:vAlign w:val="center"/>
          </w:tcPr>
          <w:p w14:paraId="2A824695">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联系电话</w:t>
            </w:r>
          </w:p>
        </w:tc>
        <w:tc>
          <w:tcPr>
            <w:tcW w:w="1853" w:type="dxa"/>
            <w:gridSpan w:val="2"/>
            <w:noWrap w:val="0"/>
            <w:vAlign w:val="top"/>
          </w:tcPr>
          <w:p w14:paraId="09ECDC1A">
            <w:pPr>
              <w:tabs>
                <w:tab w:val="left" w:pos="1260"/>
              </w:tabs>
              <w:spacing w:line="440" w:lineRule="exact"/>
              <w:rPr>
                <w:rFonts w:hint="default" w:ascii="Times New Roman" w:hAnsi="Times New Roman" w:eastAsia="仿宋" w:cs="Times New Roman"/>
                <w:color w:val="auto"/>
                <w:sz w:val="24"/>
              </w:rPr>
            </w:pPr>
          </w:p>
        </w:tc>
        <w:tc>
          <w:tcPr>
            <w:tcW w:w="2038" w:type="dxa"/>
            <w:noWrap w:val="0"/>
            <w:vAlign w:val="top"/>
          </w:tcPr>
          <w:p w14:paraId="6AB45104">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图文传真</w:t>
            </w:r>
          </w:p>
        </w:tc>
        <w:tc>
          <w:tcPr>
            <w:tcW w:w="2241" w:type="dxa"/>
            <w:noWrap w:val="0"/>
            <w:vAlign w:val="top"/>
          </w:tcPr>
          <w:p w14:paraId="7140BEB8">
            <w:pPr>
              <w:tabs>
                <w:tab w:val="left" w:pos="1260"/>
              </w:tabs>
              <w:spacing w:line="440" w:lineRule="exact"/>
              <w:rPr>
                <w:rFonts w:hint="default" w:ascii="Times New Roman" w:hAnsi="Times New Roman" w:eastAsia="仿宋" w:cs="Times New Roman"/>
                <w:color w:val="auto"/>
                <w:sz w:val="24"/>
              </w:rPr>
            </w:pPr>
          </w:p>
        </w:tc>
      </w:tr>
      <w:tr w14:paraId="2A96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continue"/>
            <w:noWrap w:val="0"/>
            <w:vAlign w:val="center"/>
          </w:tcPr>
          <w:p w14:paraId="4C47D1D8">
            <w:pPr>
              <w:tabs>
                <w:tab w:val="left" w:pos="1260"/>
              </w:tabs>
              <w:spacing w:line="360" w:lineRule="exact"/>
              <w:jc w:val="center"/>
              <w:rPr>
                <w:rFonts w:hint="default" w:ascii="Times New Roman" w:hAnsi="Times New Roman" w:eastAsia="仿宋" w:cs="Times New Roman"/>
                <w:color w:val="auto"/>
                <w:sz w:val="24"/>
              </w:rPr>
            </w:pPr>
          </w:p>
        </w:tc>
        <w:tc>
          <w:tcPr>
            <w:tcW w:w="2038" w:type="dxa"/>
            <w:gridSpan w:val="2"/>
            <w:noWrap w:val="0"/>
            <w:vAlign w:val="center"/>
          </w:tcPr>
          <w:p w14:paraId="3EF35313">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通讯地址</w:t>
            </w:r>
          </w:p>
        </w:tc>
        <w:tc>
          <w:tcPr>
            <w:tcW w:w="6132" w:type="dxa"/>
            <w:gridSpan w:val="4"/>
            <w:noWrap w:val="0"/>
            <w:vAlign w:val="top"/>
          </w:tcPr>
          <w:p w14:paraId="2B1B0633">
            <w:pPr>
              <w:tabs>
                <w:tab w:val="left" w:pos="1260"/>
              </w:tabs>
              <w:spacing w:line="440" w:lineRule="exact"/>
              <w:rPr>
                <w:rFonts w:hint="default" w:ascii="Times New Roman" w:hAnsi="Times New Roman" w:eastAsia="仿宋" w:cs="Times New Roman"/>
                <w:color w:val="auto"/>
                <w:sz w:val="24"/>
              </w:rPr>
            </w:pPr>
          </w:p>
        </w:tc>
      </w:tr>
      <w:tr w14:paraId="425A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774" w:type="dxa"/>
            <w:vMerge w:val="continue"/>
            <w:noWrap w:val="0"/>
            <w:vAlign w:val="center"/>
          </w:tcPr>
          <w:p w14:paraId="085A883B">
            <w:pPr>
              <w:tabs>
                <w:tab w:val="left" w:pos="1260"/>
              </w:tabs>
              <w:spacing w:line="360" w:lineRule="exact"/>
              <w:jc w:val="center"/>
              <w:rPr>
                <w:rFonts w:hint="default" w:ascii="Times New Roman" w:hAnsi="Times New Roman" w:eastAsia="仿宋" w:cs="Times New Roman"/>
                <w:color w:val="auto"/>
                <w:sz w:val="24"/>
              </w:rPr>
            </w:pPr>
          </w:p>
        </w:tc>
        <w:tc>
          <w:tcPr>
            <w:tcW w:w="2038" w:type="dxa"/>
            <w:gridSpan w:val="2"/>
            <w:noWrap w:val="0"/>
            <w:vAlign w:val="center"/>
          </w:tcPr>
          <w:p w14:paraId="3707C36F">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网    址</w:t>
            </w:r>
          </w:p>
        </w:tc>
        <w:tc>
          <w:tcPr>
            <w:tcW w:w="6132" w:type="dxa"/>
            <w:gridSpan w:val="4"/>
            <w:noWrap w:val="0"/>
            <w:vAlign w:val="top"/>
          </w:tcPr>
          <w:p w14:paraId="2F795528">
            <w:pPr>
              <w:tabs>
                <w:tab w:val="left" w:pos="1260"/>
              </w:tabs>
              <w:spacing w:line="440" w:lineRule="exact"/>
              <w:rPr>
                <w:rFonts w:hint="default" w:ascii="Times New Roman" w:hAnsi="Times New Roman" w:eastAsia="仿宋" w:cs="Times New Roman"/>
                <w:color w:val="auto"/>
                <w:sz w:val="24"/>
              </w:rPr>
            </w:pPr>
          </w:p>
        </w:tc>
      </w:tr>
      <w:tr w14:paraId="4585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restart"/>
            <w:noWrap w:val="0"/>
            <w:vAlign w:val="center"/>
          </w:tcPr>
          <w:p w14:paraId="25FDD289">
            <w:pPr>
              <w:tabs>
                <w:tab w:val="left" w:pos="1260"/>
              </w:tabs>
              <w:spacing w:line="32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被授权项目与内容</w:t>
            </w:r>
          </w:p>
        </w:tc>
        <w:tc>
          <w:tcPr>
            <w:tcW w:w="2028" w:type="dxa"/>
            <w:noWrap w:val="0"/>
            <w:vAlign w:val="center"/>
          </w:tcPr>
          <w:p w14:paraId="5C9B8E7C">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项目名称</w:t>
            </w:r>
          </w:p>
        </w:tc>
        <w:tc>
          <w:tcPr>
            <w:tcW w:w="6142" w:type="dxa"/>
            <w:gridSpan w:val="5"/>
            <w:noWrap w:val="0"/>
            <w:vAlign w:val="top"/>
          </w:tcPr>
          <w:p w14:paraId="6B8B50F2">
            <w:pPr>
              <w:tabs>
                <w:tab w:val="left" w:pos="1260"/>
              </w:tabs>
              <w:spacing w:line="440" w:lineRule="exact"/>
              <w:rPr>
                <w:rFonts w:hint="default" w:ascii="Times New Roman" w:hAnsi="Times New Roman" w:eastAsia="仿宋" w:cs="Times New Roman"/>
                <w:color w:val="auto"/>
                <w:sz w:val="24"/>
              </w:rPr>
            </w:pPr>
          </w:p>
        </w:tc>
      </w:tr>
      <w:tr w14:paraId="7352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continue"/>
            <w:noWrap w:val="0"/>
            <w:vAlign w:val="center"/>
          </w:tcPr>
          <w:p w14:paraId="6A8E5E11">
            <w:pPr>
              <w:tabs>
                <w:tab w:val="left" w:pos="1260"/>
              </w:tabs>
              <w:spacing w:line="440" w:lineRule="exact"/>
              <w:jc w:val="center"/>
              <w:rPr>
                <w:rFonts w:hint="default" w:ascii="Times New Roman" w:hAnsi="Times New Roman" w:eastAsia="仿宋" w:cs="Times New Roman"/>
                <w:color w:val="auto"/>
                <w:sz w:val="24"/>
              </w:rPr>
            </w:pPr>
          </w:p>
        </w:tc>
        <w:tc>
          <w:tcPr>
            <w:tcW w:w="2028" w:type="dxa"/>
            <w:noWrap w:val="0"/>
            <w:vAlign w:val="center"/>
          </w:tcPr>
          <w:p w14:paraId="41ADC044">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文件编号</w:t>
            </w:r>
          </w:p>
        </w:tc>
        <w:tc>
          <w:tcPr>
            <w:tcW w:w="6142" w:type="dxa"/>
            <w:gridSpan w:val="5"/>
            <w:noWrap w:val="0"/>
            <w:vAlign w:val="top"/>
          </w:tcPr>
          <w:p w14:paraId="5147DAE3">
            <w:pPr>
              <w:tabs>
                <w:tab w:val="left" w:pos="1260"/>
              </w:tabs>
              <w:spacing w:line="440" w:lineRule="exact"/>
              <w:rPr>
                <w:rFonts w:hint="default" w:ascii="Times New Roman" w:hAnsi="Times New Roman" w:eastAsia="仿宋" w:cs="Times New Roman"/>
                <w:b/>
                <w:color w:val="auto"/>
                <w:sz w:val="24"/>
              </w:rPr>
            </w:pPr>
          </w:p>
        </w:tc>
      </w:tr>
      <w:tr w14:paraId="5962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74" w:type="dxa"/>
            <w:vMerge w:val="continue"/>
            <w:noWrap w:val="0"/>
            <w:vAlign w:val="center"/>
          </w:tcPr>
          <w:p w14:paraId="3B13E670">
            <w:pPr>
              <w:tabs>
                <w:tab w:val="left" w:pos="1260"/>
              </w:tabs>
              <w:spacing w:line="440" w:lineRule="exact"/>
              <w:jc w:val="center"/>
              <w:rPr>
                <w:rFonts w:hint="default" w:ascii="Times New Roman" w:hAnsi="Times New Roman" w:eastAsia="仿宋" w:cs="Times New Roman"/>
                <w:color w:val="auto"/>
                <w:sz w:val="24"/>
              </w:rPr>
            </w:pPr>
          </w:p>
        </w:tc>
        <w:tc>
          <w:tcPr>
            <w:tcW w:w="2028" w:type="dxa"/>
            <w:noWrap w:val="0"/>
            <w:vAlign w:val="center"/>
          </w:tcPr>
          <w:p w14:paraId="474D9883">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授权范围</w:t>
            </w:r>
          </w:p>
        </w:tc>
        <w:tc>
          <w:tcPr>
            <w:tcW w:w="6142" w:type="dxa"/>
            <w:gridSpan w:val="5"/>
            <w:noWrap w:val="0"/>
            <w:vAlign w:val="center"/>
          </w:tcPr>
          <w:p w14:paraId="5CF28110">
            <w:pPr>
              <w:tabs>
                <w:tab w:val="left" w:pos="1260"/>
              </w:tabs>
              <w:spacing w:line="36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全权办理本磋商采购项目的响应、联系、洽谈、签约、执行等具体事务，签署全部有关的文件、文书、协议及合同。</w:t>
            </w:r>
          </w:p>
        </w:tc>
      </w:tr>
      <w:tr w14:paraId="2762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4" w:type="dxa"/>
            <w:vMerge w:val="continue"/>
            <w:noWrap w:val="0"/>
            <w:vAlign w:val="center"/>
          </w:tcPr>
          <w:p w14:paraId="48BF2DDC">
            <w:pPr>
              <w:tabs>
                <w:tab w:val="left" w:pos="1260"/>
              </w:tabs>
              <w:spacing w:line="440" w:lineRule="exact"/>
              <w:jc w:val="center"/>
              <w:rPr>
                <w:rFonts w:hint="default" w:ascii="Times New Roman" w:hAnsi="Times New Roman" w:eastAsia="仿宋" w:cs="Times New Roman"/>
                <w:color w:val="auto"/>
                <w:sz w:val="24"/>
              </w:rPr>
            </w:pPr>
          </w:p>
        </w:tc>
        <w:tc>
          <w:tcPr>
            <w:tcW w:w="2028" w:type="dxa"/>
            <w:noWrap w:val="0"/>
            <w:vAlign w:val="center"/>
          </w:tcPr>
          <w:p w14:paraId="36C4C047">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法律责任</w:t>
            </w:r>
          </w:p>
        </w:tc>
        <w:tc>
          <w:tcPr>
            <w:tcW w:w="6142" w:type="dxa"/>
            <w:gridSpan w:val="5"/>
            <w:noWrap w:val="0"/>
            <w:vAlign w:val="center"/>
          </w:tcPr>
          <w:p w14:paraId="3FA8A765">
            <w:pPr>
              <w:tabs>
                <w:tab w:val="left" w:pos="1260"/>
              </w:tabs>
              <w:spacing w:line="36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本公司对被授权人在本项目中的签名承担全部法律责任。</w:t>
            </w:r>
          </w:p>
        </w:tc>
      </w:tr>
      <w:tr w14:paraId="79D8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4" w:type="dxa"/>
            <w:vMerge w:val="continue"/>
            <w:noWrap w:val="0"/>
            <w:vAlign w:val="center"/>
          </w:tcPr>
          <w:p w14:paraId="0BFF2422">
            <w:pPr>
              <w:tabs>
                <w:tab w:val="left" w:pos="1260"/>
              </w:tabs>
              <w:spacing w:line="440" w:lineRule="exact"/>
              <w:jc w:val="center"/>
              <w:rPr>
                <w:rFonts w:hint="default" w:ascii="Times New Roman" w:hAnsi="Times New Roman" w:eastAsia="仿宋" w:cs="Times New Roman"/>
                <w:color w:val="auto"/>
                <w:sz w:val="24"/>
              </w:rPr>
            </w:pPr>
          </w:p>
        </w:tc>
        <w:tc>
          <w:tcPr>
            <w:tcW w:w="2028" w:type="dxa"/>
            <w:noWrap w:val="0"/>
            <w:vAlign w:val="center"/>
          </w:tcPr>
          <w:p w14:paraId="75D4230C">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授权期限</w:t>
            </w:r>
          </w:p>
        </w:tc>
        <w:tc>
          <w:tcPr>
            <w:tcW w:w="6142" w:type="dxa"/>
            <w:gridSpan w:val="5"/>
            <w:noWrap w:val="0"/>
            <w:vAlign w:val="center"/>
          </w:tcPr>
          <w:p w14:paraId="2CF6CA1A">
            <w:pPr>
              <w:tabs>
                <w:tab w:val="left" w:pos="1260"/>
              </w:tabs>
              <w:spacing w:line="360" w:lineRule="exact"/>
              <w:ind w:firstLine="237" w:firstLineChars="98"/>
              <w:rPr>
                <w:rFonts w:hint="default" w:ascii="Times New Roman" w:hAnsi="Times New Roman" w:eastAsia="仿宋" w:cs="Times New Roman"/>
                <w:b/>
                <w:color w:val="auto"/>
                <w:sz w:val="24"/>
              </w:rPr>
            </w:pPr>
            <w:r>
              <w:rPr>
                <w:rFonts w:hint="default" w:ascii="Times New Roman" w:hAnsi="Times New Roman" w:eastAsia="仿宋_GB2312" w:cs="Times New Roman"/>
                <w:b/>
                <w:color w:val="auto"/>
                <w:sz w:val="24"/>
              </w:rPr>
              <w:t>本授权书自磋商大会之日计算有效期为90天。</w:t>
            </w:r>
          </w:p>
        </w:tc>
      </w:tr>
      <w:tr w14:paraId="76A9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371" w:type="dxa"/>
            <w:gridSpan w:val="4"/>
            <w:noWrap w:val="0"/>
            <w:vAlign w:val="center"/>
          </w:tcPr>
          <w:p w14:paraId="35DCAB03">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被授权人身份证复印件</w:t>
            </w:r>
          </w:p>
        </w:tc>
        <w:tc>
          <w:tcPr>
            <w:tcW w:w="4573" w:type="dxa"/>
            <w:gridSpan w:val="3"/>
            <w:noWrap w:val="0"/>
            <w:vAlign w:val="center"/>
          </w:tcPr>
          <w:p w14:paraId="132143BE">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法定代表人（或负责人）签署栏</w:t>
            </w:r>
          </w:p>
        </w:tc>
      </w:tr>
      <w:tr w14:paraId="676C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trPr>
        <w:tc>
          <w:tcPr>
            <w:tcW w:w="4371" w:type="dxa"/>
            <w:gridSpan w:val="4"/>
            <w:vMerge w:val="restart"/>
            <w:noWrap w:val="0"/>
            <w:vAlign w:val="center"/>
          </w:tcPr>
          <w:p w14:paraId="0B281477">
            <w:pPr>
              <w:tabs>
                <w:tab w:val="left" w:pos="1260"/>
              </w:tabs>
              <w:spacing w:line="44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复印件正反面（粘贴处）</w:t>
            </w:r>
          </w:p>
        </w:tc>
        <w:tc>
          <w:tcPr>
            <w:tcW w:w="4573" w:type="dxa"/>
            <w:gridSpan w:val="3"/>
            <w:noWrap w:val="0"/>
            <w:vAlign w:val="center"/>
          </w:tcPr>
          <w:p w14:paraId="7DDE55E2">
            <w:pPr>
              <w:tabs>
                <w:tab w:val="left" w:pos="1260"/>
              </w:tabs>
              <w:spacing w:line="440" w:lineRule="exact"/>
              <w:jc w:val="center"/>
              <w:rPr>
                <w:rFonts w:hint="default" w:ascii="Times New Roman" w:hAnsi="Times New Roman" w:eastAsia="仿宋_GB2312" w:cs="Times New Roman"/>
                <w:color w:val="auto"/>
                <w:kern w:val="1"/>
                <w:sz w:val="24"/>
              </w:rPr>
            </w:pPr>
            <w:r>
              <w:rPr>
                <w:rFonts w:hint="default" w:ascii="Times New Roman" w:hAnsi="Times New Roman" w:eastAsia="仿宋_GB2312" w:cs="Times New Roman"/>
                <w:color w:val="auto"/>
                <w:kern w:val="1"/>
                <w:sz w:val="24"/>
              </w:rPr>
              <w:t>（法人&lt;或负责人&gt;公章）</w:t>
            </w:r>
          </w:p>
          <w:p w14:paraId="603F69E5">
            <w:pPr>
              <w:tabs>
                <w:tab w:val="left" w:pos="1260"/>
              </w:tabs>
              <w:spacing w:line="220" w:lineRule="exact"/>
              <w:jc w:val="center"/>
              <w:rPr>
                <w:rFonts w:hint="default" w:ascii="Times New Roman" w:hAnsi="Times New Roman" w:eastAsia="仿宋_GB2312" w:cs="Times New Roman"/>
                <w:color w:val="auto"/>
                <w:sz w:val="24"/>
              </w:rPr>
            </w:pPr>
          </w:p>
          <w:p w14:paraId="46037FC9">
            <w:pPr>
              <w:tabs>
                <w:tab w:val="left" w:pos="1260"/>
              </w:tabs>
              <w:spacing w:line="440" w:lineRule="exact"/>
              <w:jc w:val="right"/>
              <w:rPr>
                <w:rFonts w:hint="default" w:ascii="Times New Roman" w:hAnsi="Times New Roman" w:eastAsia="仿宋" w:cs="Times New Roman"/>
                <w:color w:val="auto"/>
                <w:sz w:val="24"/>
              </w:rPr>
            </w:pPr>
          </w:p>
        </w:tc>
      </w:tr>
      <w:tr w14:paraId="0708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trPr>
        <w:tc>
          <w:tcPr>
            <w:tcW w:w="4371" w:type="dxa"/>
            <w:gridSpan w:val="4"/>
            <w:vMerge w:val="continue"/>
            <w:noWrap w:val="0"/>
            <w:vAlign w:val="center"/>
          </w:tcPr>
          <w:p w14:paraId="7C728AEA">
            <w:pPr>
              <w:tabs>
                <w:tab w:val="left" w:pos="1260"/>
              </w:tabs>
              <w:spacing w:line="440" w:lineRule="exact"/>
              <w:jc w:val="right"/>
              <w:rPr>
                <w:rFonts w:hint="default" w:ascii="Times New Roman" w:hAnsi="Times New Roman" w:eastAsia="仿宋" w:cs="Times New Roman"/>
                <w:color w:val="auto"/>
              </w:rPr>
            </w:pPr>
          </w:p>
        </w:tc>
        <w:tc>
          <w:tcPr>
            <w:tcW w:w="4573" w:type="dxa"/>
            <w:gridSpan w:val="3"/>
            <w:noWrap w:val="0"/>
            <w:vAlign w:val="center"/>
          </w:tcPr>
          <w:p w14:paraId="1A4641A6">
            <w:pPr>
              <w:tabs>
                <w:tab w:val="left" w:pos="1260"/>
              </w:tabs>
              <w:spacing w:line="440" w:lineRule="exact"/>
              <w:jc w:val="center"/>
              <w:rPr>
                <w:rFonts w:hint="default" w:ascii="Times New Roman" w:hAnsi="Times New Roman" w:eastAsia="仿宋_GB2312" w:cs="Times New Roman"/>
                <w:color w:val="auto"/>
                <w:kern w:val="1"/>
                <w:sz w:val="24"/>
              </w:rPr>
            </w:pPr>
            <w:r>
              <w:rPr>
                <w:rFonts w:hint="default" w:ascii="Times New Roman" w:hAnsi="Times New Roman" w:eastAsia="仿宋_GB2312" w:cs="Times New Roman"/>
                <w:color w:val="auto"/>
                <w:kern w:val="1"/>
                <w:sz w:val="24"/>
              </w:rPr>
              <w:t>（法定代表人&lt;或负责人&gt;签字或盖章）</w:t>
            </w:r>
          </w:p>
          <w:p w14:paraId="203839F1">
            <w:pPr>
              <w:tabs>
                <w:tab w:val="left" w:pos="1260"/>
              </w:tabs>
              <w:spacing w:line="220" w:lineRule="exact"/>
              <w:jc w:val="center"/>
              <w:rPr>
                <w:rFonts w:hint="default" w:ascii="Times New Roman" w:hAnsi="Times New Roman" w:eastAsia="仿宋_GB2312" w:cs="Times New Roman"/>
                <w:color w:val="auto"/>
                <w:kern w:val="1"/>
                <w:sz w:val="24"/>
              </w:rPr>
            </w:pPr>
          </w:p>
          <w:p w14:paraId="496E2443">
            <w:pPr>
              <w:tabs>
                <w:tab w:val="left" w:pos="1260"/>
              </w:tabs>
              <w:spacing w:line="440" w:lineRule="exact"/>
              <w:jc w:val="right"/>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年   月   日</w:t>
            </w:r>
          </w:p>
        </w:tc>
      </w:tr>
    </w:tbl>
    <w:p w14:paraId="6E2770C5">
      <w:pPr>
        <w:spacing w:line="480" w:lineRule="exact"/>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重要提示：</w:t>
      </w:r>
    </w:p>
    <w:p w14:paraId="623FB7CC">
      <w:pPr>
        <w:numPr>
          <w:ilvl w:val="0"/>
          <w:numId w:val="0"/>
        </w:numPr>
        <w:tabs>
          <w:tab w:val="left" w:pos="360"/>
        </w:tabs>
        <w:autoSpaceDE w:val="0"/>
        <w:autoSpaceDN w:val="0"/>
        <w:adjustRightInd w:val="0"/>
        <w:spacing w:line="400" w:lineRule="exact"/>
        <w:ind w:left="0" w:leftChars="0" w:firstLine="310" w:firstLineChars="128"/>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kern w:val="2"/>
          <w:sz w:val="24"/>
          <w:szCs w:val="28"/>
          <w:lang w:val="en-US" w:eastAsia="zh-CN" w:bidi="ar-SA"/>
        </w:rPr>
        <w:t>1.</w:t>
      </w:r>
      <w:r>
        <w:rPr>
          <w:rFonts w:hint="default" w:ascii="Times New Roman" w:hAnsi="Times New Roman" w:eastAsia="仿宋_GB2312" w:cs="Times New Roman"/>
          <w:color w:val="auto"/>
          <w:sz w:val="24"/>
        </w:rPr>
        <w:t>非法定代表人响应的须有法定代表人授权，并要求响应</w:t>
      </w:r>
      <w:r>
        <w:rPr>
          <w:rFonts w:hint="default" w:ascii="Times New Roman" w:hAnsi="Times New Roman" w:eastAsia="仿宋_GB2312" w:cs="Times New Roman"/>
          <w:bCs/>
          <w:color w:val="auto"/>
          <w:sz w:val="24"/>
        </w:rPr>
        <w:t>文件正本内装订授权书</w:t>
      </w:r>
      <w:r>
        <w:rPr>
          <w:rFonts w:hint="default" w:ascii="Times New Roman" w:hAnsi="Times New Roman" w:eastAsia="仿宋_GB2312" w:cs="Times New Roman"/>
          <w:b/>
          <w:bCs w:val="0"/>
          <w:color w:val="auto"/>
          <w:sz w:val="24"/>
        </w:rPr>
        <w:t>原件</w:t>
      </w:r>
      <w:r>
        <w:rPr>
          <w:rFonts w:hint="default" w:ascii="Times New Roman" w:hAnsi="Times New Roman" w:eastAsia="仿宋_GB2312" w:cs="Times New Roman"/>
          <w:color w:val="auto"/>
          <w:sz w:val="24"/>
        </w:rPr>
        <w:t>，</w:t>
      </w:r>
      <w:r>
        <w:rPr>
          <w:rFonts w:hint="default" w:ascii="Times New Roman" w:hAnsi="Times New Roman" w:eastAsia="仿宋_GB2312" w:cs="Times New Roman"/>
          <w:bCs/>
          <w:color w:val="auto"/>
          <w:sz w:val="24"/>
        </w:rPr>
        <w:t>否则作为符合性审查不合格处理，响应文件</w:t>
      </w:r>
      <w:r>
        <w:rPr>
          <w:rFonts w:hint="default" w:ascii="Times New Roman" w:hAnsi="Times New Roman" w:eastAsia="仿宋_GB2312" w:cs="Times New Roman"/>
          <w:b/>
          <w:bCs w:val="0"/>
          <w:color w:val="auto"/>
          <w:sz w:val="24"/>
        </w:rPr>
        <w:t>自动失效</w:t>
      </w:r>
      <w:r>
        <w:rPr>
          <w:rFonts w:hint="default" w:ascii="Times New Roman" w:hAnsi="Times New Roman" w:eastAsia="仿宋_GB2312" w:cs="Times New Roman"/>
          <w:bCs/>
          <w:color w:val="auto"/>
          <w:sz w:val="24"/>
        </w:rPr>
        <w:t xml:space="preserve">。 </w:t>
      </w:r>
    </w:p>
    <w:p w14:paraId="0C718E85">
      <w:pPr>
        <w:numPr>
          <w:ilvl w:val="0"/>
          <w:numId w:val="0"/>
        </w:numPr>
        <w:tabs>
          <w:tab w:val="left" w:pos="360"/>
        </w:tabs>
        <w:autoSpaceDE w:val="0"/>
        <w:autoSpaceDN w:val="0"/>
        <w:adjustRightInd w:val="0"/>
        <w:spacing w:line="400" w:lineRule="exact"/>
        <w:ind w:left="0" w:leftChars="0" w:firstLine="310" w:firstLineChars="128"/>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2.</w:t>
      </w:r>
      <w:r>
        <w:rPr>
          <w:rFonts w:hint="default" w:ascii="Times New Roman" w:hAnsi="Times New Roman" w:eastAsia="仿宋_GB2312" w:cs="Times New Roman"/>
          <w:color w:val="auto"/>
          <w:sz w:val="24"/>
        </w:rPr>
        <w:t>本授权书有效期应自磋商大会之日计算不得少于九十天。</w:t>
      </w:r>
    </w:p>
    <w:p w14:paraId="38F04489">
      <w:pP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p>
    <w:p w14:paraId="2ECC000F">
      <w:pPr>
        <w:pStyle w:val="47"/>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default" w:ascii="Times New Roman" w:hAnsi="Times New Roman" w:eastAsia="仿宋_GB2312" w:cs="Times New Roman"/>
          <w:color w:val="auto"/>
          <w:sz w:val="30"/>
          <w:szCs w:val="30"/>
          <w:lang w:val="en-US" w:eastAsia="zh-CN"/>
        </w:rPr>
      </w:pPr>
      <w:bookmarkStart w:id="259" w:name="_Toc28770"/>
      <w:bookmarkStart w:id="260" w:name="_Toc1034"/>
      <w:bookmarkStart w:id="261" w:name="_Toc18829"/>
      <w:bookmarkStart w:id="262" w:name="_Toc29866"/>
      <w:bookmarkStart w:id="263" w:name="_Toc2083"/>
      <w:bookmarkStart w:id="264" w:name="_Toc9519_WPSOffice_Level2"/>
      <w:bookmarkStart w:id="265" w:name="_Toc29102_WPSOffice_Level2"/>
      <w:bookmarkStart w:id="266" w:name="_Toc17773_WPSOffice_Level2"/>
      <w:bookmarkStart w:id="267" w:name="_Toc20137"/>
      <w:bookmarkStart w:id="268" w:name="_Toc29990_WPSOffice_Level2"/>
      <w:r>
        <w:rPr>
          <w:rFonts w:hint="default" w:ascii="Times New Roman" w:hAnsi="Times New Roman" w:eastAsia="仿宋_GB2312" w:cs="Times New Roman"/>
          <w:color w:val="auto"/>
          <w:sz w:val="30"/>
          <w:szCs w:val="30"/>
          <w:lang w:val="en-US" w:eastAsia="zh-CN"/>
        </w:rPr>
        <w:t>三、</w:t>
      </w:r>
      <w:bookmarkStart w:id="269" w:name="OLE_LINK2"/>
      <w:r>
        <w:rPr>
          <w:rFonts w:hint="default" w:ascii="Times New Roman" w:hAnsi="Times New Roman" w:eastAsia="仿宋_GB2312" w:cs="Times New Roman"/>
          <w:color w:val="auto"/>
          <w:sz w:val="30"/>
          <w:szCs w:val="30"/>
          <w:lang w:val="en-US" w:eastAsia="zh-CN"/>
        </w:rPr>
        <w:t>汉台区政府采购供应商资格承诺函</w:t>
      </w:r>
      <w:bookmarkEnd w:id="269"/>
    </w:p>
    <w:p w14:paraId="26F8CC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14:paraId="3B64A6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汉台区</w:t>
      </w:r>
      <w:r>
        <w:rPr>
          <w:rFonts w:hint="default" w:ascii="Times New Roman" w:hAnsi="Times New Roman" w:eastAsia="仿宋_GB2312" w:cs="Times New Roman"/>
          <w:b/>
          <w:bCs/>
          <w:color w:val="auto"/>
          <w:sz w:val="32"/>
          <w:szCs w:val="32"/>
        </w:rPr>
        <w:t>政府采购供应商资格承诺函</w:t>
      </w:r>
    </w:p>
    <w:p w14:paraId="04439BAB">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default" w:ascii="Times New Roman" w:hAnsi="Times New Roman" w:eastAsia="仿宋_GB2312" w:cs="Times New Roman"/>
          <w:color w:val="auto"/>
          <w:sz w:val="32"/>
          <w:szCs w:val="32"/>
        </w:rPr>
      </w:pPr>
    </w:p>
    <w:p w14:paraId="2A8E83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致：（采购人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采购代理机构名称）</w:t>
      </w:r>
    </w:p>
    <w:p w14:paraId="7289159E">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b/>
          <w:bCs/>
          <w:color w:val="auto"/>
          <w:sz w:val="28"/>
          <w:szCs w:val="28"/>
          <w:lang w:eastAsia="zh-CN"/>
        </w:rPr>
        <w:t>响应</w:t>
      </w:r>
      <w:r>
        <w:rPr>
          <w:rFonts w:hint="default" w:ascii="Times New Roman" w:hAnsi="Times New Roman" w:eastAsia="仿宋_GB2312" w:cs="Times New Roman"/>
          <w:b/>
          <w:bCs/>
          <w:color w:val="auto"/>
          <w:sz w:val="28"/>
          <w:szCs w:val="28"/>
        </w:rPr>
        <w:t>人名称）郑重承诺：</w:t>
      </w:r>
    </w:p>
    <w:p w14:paraId="0818FBD7">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1.我方具有良好的商业信誉和健全的财务会计制度，具有履行合同所必需的设备和专业技术能力，具有依法缴纳税收和社会保障金的良好记录，参加本项目采购活动前三年内无重大违法活动记录。</w:t>
      </w:r>
    </w:p>
    <w:p w14:paraId="4205CD1B">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2.我方未列入在信用中国网站“失信被执行人”、“重大税收违法案件当事人名单”中（www.creditchina.gov.cn），也未列入中国政府采购网“政府采购严重违法失信行为记录名单”中（www.ccgp.g</w:t>
      </w:r>
      <w:r>
        <w:rPr>
          <w:rFonts w:hint="default" w:ascii="Times New Roman" w:hAnsi="Times New Roman" w:eastAsia="仿宋_GB2312" w:cs="Times New Roman"/>
          <w:color w:val="auto"/>
          <w:sz w:val="28"/>
          <w:szCs w:val="28"/>
          <w:lang w:val="en-US" w:eastAsia="zh-CN"/>
        </w:rPr>
        <w:t>o</w:t>
      </w:r>
      <w:r>
        <w:rPr>
          <w:rFonts w:hint="default" w:ascii="Times New Roman" w:hAnsi="Times New Roman" w:eastAsia="仿宋_GB2312" w:cs="Times New Roman"/>
          <w:color w:val="auto"/>
          <w:sz w:val="28"/>
          <w:szCs w:val="28"/>
        </w:rPr>
        <w:t>v.cn）</w:t>
      </w:r>
      <w:r>
        <w:rPr>
          <w:rFonts w:hint="default" w:ascii="Times New Roman" w:hAnsi="Times New Roman" w:eastAsia="仿宋_GB2312" w:cs="Times New Roman"/>
          <w:color w:val="auto"/>
          <w:sz w:val="28"/>
          <w:szCs w:val="28"/>
          <w:lang w:eastAsia="zh-CN"/>
        </w:rPr>
        <w:t>。</w:t>
      </w:r>
    </w:p>
    <w:p w14:paraId="2DA63ABF">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3.我方在采购项目评审（评标）环节结束后，随时接受采购人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采购代理机构的检查验证，配合提供相关证明材料，证明符合《中华人民共和国政府采购法》规定的投标人基本资格条件。</w:t>
      </w:r>
    </w:p>
    <w:p w14:paraId="00711670">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我方对以上承诺负全部法律责任。</w:t>
      </w:r>
    </w:p>
    <w:p w14:paraId="6BF6CF74">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p>
    <w:p w14:paraId="2DC81ADF">
      <w:pPr>
        <w:keepNext w:val="0"/>
        <w:keepLines w:val="0"/>
        <w:pageBreakBefore w:val="0"/>
        <w:widowControl w:val="0"/>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特此承诺。</w:t>
      </w:r>
    </w:p>
    <w:p w14:paraId="664018A9">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响应</w:t>
      </w:r>
      <w:r>
        <w:rPr>
          <w:rFonts w:hint="default" w:ascii="Times New Roman" w:hAnsi="Times New Roman" w:eastAsia="仿宋_GB2312" w:cs="Times New Roman"/>
          <w:color w:val="auto"/>
          <w:sz w:val="28"/>
          <w:szCs w:val="28"/>
        </w:rPr>
        <w:t>人公章）</w:t>
      </w:r>
      <w:r>
        <w:rPr>
          <w:rFonts w:hint="default" w:ascii="Times New Roman" w:hAnsi="Times New Roman" w:eastAsia="仿宋_GB2312" w:cs="Times New Roman"/>
          <w:color w:val="auto"/>
          <w:sz w:val="28"/>
          <w:szCs w:val="28"/>
          <w:lang w:val="en-US" w:eastAsia="zh-CN"/>
        </w:rPr>
        <w:t xml:space="preserve">     </w:t>
      </w:r>
    </w:p>
    <w:p w14:paraId="49D057C6">
      <w:pPr>
        <w:keepNext w:val="0"/>
        <w:keepLines w:val="0"/>
        <w:pageBreakBefore w:val="0"/>
        <w:widowControl w:val="0"/>
        <w:kinsoku/>
        <w:wordWrap w:val="0"/>
        <w:overflowPunct/>
        <w:topLinePunct w:val="0"/>
        <w:autoSpaceDE/>
        <w:autoSpaceDN/>
        <w:bidi w:val="0"/>
        <w:adjustRightInd/>
        <w:snapToGrid/>
        <w:spacing w:line="560" w:lineRule="exact"/>
        <w:ind w:firstLine="566" w:firstLineChars="200"/>
        <w:jc w:val="righ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日期：</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日</w:t>
      </w:r>
      <w:r>
        <w:rPr>
          <w:rFonts w:hint="default" w:ascii="Times New Roman" w:hAnsi="Times New Roman" w:eastAsia="仿宋_GB2312" w:cs="Times New Roman"/>
          <w:color w:val="auto"/>
          <w:sz w:val="28"/>
          <w:szCs w:val="28"/>
          <w:lang w:val="en-US" w:eastAsia="zh-CN"/>
        </w:rPr>
        <w:t xml:space="preserve">  </w:t>
      </w:r>
    </w:p>
    <w:p w14:paraId="51EDA97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272BB86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740CF17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37A347B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3587FA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p>
    <w:p w14:paraId="3678CD5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四、特定资格要求：（</w:t>
      </w:r>
      <w:r>
        <w:rPr>
          <w:rFonts w:hint="default" w:ascii="Times New Roman" w:hAnsi="Times New Roman" w:eastAsia="仿宋_GB2312" w:cs="Times New Roman"/>
          <w:b/>
          <w:bCs w:val="0"/>
          <w:color w:val="auto"/>
          <w:sz w:val="32"/>
          <w:szCs w:val="32"/>
          <w:lang w:val="en-US" w:eastAsia="zh-CN"/>
        </w:rPr>
        <w:t>原件或</w:t>
      </w:r>
      <w:r>
        <w:rPr>
          <w:rFonts w:hint="default" w:ascii="Times New Roman" w:hAnsi="Times New Roman" w:eastAsia="仿宋_GB2312" w:cs="Times New Roman"/>
          <w:b/>
          <w:bCs w:val="0"/>
          <w:color w:val="auto"/>
          <w:kern w:val="1"/>
          <w:sz w:val="32"/>
          <w:szCs w:val="32"/>
          <w:lang w:eastAsia="zh-CN"/>
        </w:rPr>
        <w:t>复印件加盖响应人红色公章</w:t>
      </w:r>
      <w:r>
        <w:rPr>
          <w:rFonts w:hint="default" w:ascii="Times New Roman" w:hAnsi="Times New Roman" w:eastAsia="仿宋_GB2312" w:cs="Times New Roman"/>
          <w:b/>
          <w:bCs/>
          <w:color w:val="auto"/>
          <w:kern w:val="2"/>
          <w:sz w:val="32"/>
          <w:szCs w:val="32"/>
          <w:lang w:val="en-US" w:eastAsia="zh-CN" w:bidi="ar-SA"/>
        </w:rPr>
        <w:t>）</w:t>
      </w:r>
    </w:p>
    <w:p w14:paraId="457E56B2">
      <w:pPr>
        <w:keepNext w:val="0"/>
        <w:keepLines w:val="0"/>
        <w:pageBreakBefore w:val="0"/>
        <w:widowControl/>
        <w:numPr>
          <w:ilvl w:val="0"/>
          <w:numId w:val="0"/>
        </w:numPr>
        <w:kinsoku/>
        <w:wordWrap/>
        <w:overflowPunct/>
        <w:topLinePunct w:val="0"/>
        <w:autoSpaceDE/>
        <w:autoSpaceDN/>
        <w:bidi w:val="0"/>
        <w:adjustRightInd/>
        <w:snapToGrid/>
        <w:spacing w:after="120" w:line="240" w:lineRule="auto"/>
        <w:ind w:firstLine="566" w:firstLineChars="200"/>
        <w:jc w:val="both"/>
        <w:textAlignment w:val="auto"/>
        <w:rPr>
          <w:rFonts w:hint="default" w:ascii="Times New Roman" w:hAnsi="Times New Roman" w:eastAsia="仿宋_GB2312" w:cs="Times New Roman"/>
          <w:color w:val="auto"/>
          <w:kern w:val="2"/>
          <w:sz w:val="28"/>
          <w:szCs w:val="28"/>
          <w:lang w:val="en-US" w:eastAsia="zh-CN" w:bidi="ar-SA"/>
        </w:rPr>
      </w:pPr>
    </w:p>
    <w:p w14:paraId="36BDD197">
      <w:pPr>
        <w:keepLines w:val="0"/>
        <w:pageBreakBefore w:val="0"/>
        <w:widowControl w:val="0"/>
        <w:numPr>
          <w:ilvl w:val="0"/>
          <w:numId w:val="0"/>
        </w:numPr>
        <w:kinsoku/>
        <w:wordWrap/>
        <w:overflowPunct/>
        <w:topLinePunct w:val="0"/>
        <w:bidi w:val="0"/>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1、提供公安机关颁发的保安服务许可证。</w:t>
      </w:r>
    </w:p>
    <w:p w14:paraId="1D7627FD">
      <w:pPr>
        <w:keepNext w:val="0"/>
        <w:keepLines w:val="0"/>
        <w:widowControl/>
        <w:suppressLineNumbers w:val="0"/>
        <w:ind w:firstLine="566" w:firstLineChars="200"/>
        <w:jc w:val="left"/>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0"/>
          <w:sz w:val="28"/>
          <w:szCs w:val="28"/>
          <w:lang w:val="en-US" w:eastAsia="zh-CN" w:bidi="ar"/>
        </w:rPr>
        <w:t>2、响应供应商须提供拟派人员无犯罪记录声明。（格式自拟）</w:t>
      </w:r>
    </w:p>
    <w:p w14:paraId="44DE803F">
      <w:pPr>
        <w:pStyle w:val="10"/>
        <w:rPr>
          <w:rFonts w:hint="default" w:ascii="Times New Roman" w:hAnsi="Times New Roman" w:eastAsia="仿宋_GB2312" w:cs="Times New Roman"/>
          <w:b/>
          <w:bCs/>
          <w:color w:val="auto"/>
          <w:kern w:val="2"/>
          <w:sz w:val="32"/>
          <w:szCs w:val="32"/>
          <w:lang w:val="en-US" w:eastAsia="zh-CN" w:bidi="ar-SA"/>
        </w:rPr>
      </w:pPr>
    </w:p>
    <w:p w14:paraId="23C55215">
      <w:pPr>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br w:type="page"/>
      </w:r>
    </w:p>
    <w:p w14:paraId="21FFFF6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6"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五、落实政府采购政策需满足的资格要求</w:t>
      </w:r>
    </w:p>
    <w:p w14:paraId="76749B7E">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华文仿宋" w:cs="Times New Roman"/>
          <w:color w:val="auto"/>
          <w:kern w:val="0"/>
          <w:sz w:val="28"/>
          <w:szCs w:val="28"/>
          <w:lang w:val="en-US" w:eastAsia="zh-CN" w:bidi="ar"/>
        </w:rPr>
        <w:t>本项目为专门面向中小企业项目，投标人应为中型、小型、微型企业或监狱企业或残疾人福利性单位。投标人为中小型企业的提供《中小企业声明函》，且中小企业的划分标准所属行业为</w:t>
      </w:r>
      <w:r>
        <w:rPr>
          <w:rFonts w:hint="default" w:ascii="Times New Roman" w:hAnsi="Times New Roman" w:eastAsia="华文仿宋" w:cs="Times New Roman"/>
          <w:b/>
          <w:bCs/>
          <w:color w:val="auto"/>
          <w:kern w:val="0"/>
          <w:sz w:val="28"/>
          <w:szCs w:val="28"/>
          <w:lang w:val="en-US" w:eastAsia="zh-CN" w:bidi="ar"/>
        </w:rPr>
        <w:t>租赁和商务服务业</w:t>
      </w:r>
      <w:r>
        <w:rPr>
          <w:rFonts w:hint="default" w:ascii="Times New Roman" w:hAnsi="Times New Roman" w:eastAsia="华文仿宋" w:cs="Times New Roman"/>
          <w:color w:val="auto"/>
          <w:kern w:val="0"/>
          <w:sz w:val="28"/>
          <w:szCs w:val="28"/>
          <w:lang w:val="en-US" w:eastAsia="zh-CN" w:bidi="ar"/>
        </w:rPr>
        <w:t xml:space="preserve">；投标人为监狱企业的，应提供监狱企业的证明文件；投标人为残疾人福利性单位的，应提供《残疾人福利性单位声明函》。 </w:t>
      </w:r>
    </w:p>
    <w:p w14:paraId="73FD9F58">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华文仿宋" w:cs="Times New Roman"/>
          <w:color w:val="auto"/>
          <w:kern w:val="0"/>
          <w:sz w:val="28"/>
          <w:szCs w:val="28"/>
          <w:lang w:val="en-US" w:eastAsia="zh-CN" w:bidi="ar"/>
        </w:rPr>
        <w:t>各</w:t>
      </w:r>
      <w:r>
        <w:rPr>
          <w:rFonts w:hint="default" w:ascii="Times New Roman" w:hAnsi="Times New Roman" w:cs="Times New Roman"/>
          <w:color w:val="auto"/>
          <w:kern w:val="0"/>
          <w:sz w:val="28"/>
          <w:szCs w:val="28"/>
          <w:lang w:val="en-US" w:eastAsia="zh-CN" w:bidi="ar"/>
        </w:rPr>
        <w:t>响应</w:t>
      </w:r>
      <w:r>
        <w:rPr>
          <w:rFonts w:hint="default" w:ascii="Times New Roman" w:hAnsi="Times New Roman" w:eastAsia="华文仿宋" w:cs="Times New Roman"/>
          <w:color w:val="auto"/>
          <w:kern w:val="0"/>
          <w:sz w:val="28"/>
          <w:szCs w:val="28"/>
          <w:lang w:val="en-US" w:eastAsia="zh-CN" w:bidi="ar"/>
        </w:rPr>
        <w:t xml:space="preserve">人可根据企业从业人员、营业收入、资产总额等指标，按照招标文件约定的采购标的对应的中小企业划分标准所属行业和《中小企业划型标准规定》（工信部联企业〔2011〕300 号）进行自测，判断属于中型、小型还是微型企业。也可在微信小程序中搜索中小企业规模类型自测小程序进行测算。 </w:t>
      </w:r>
    </w:p>
    <w:p w14:paraId="1F183CFD">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华文仿宋" w:cs="Times New Roman"/>
          <w:b/>
          <w:bCs/>
          <w:color w:val="auto"/>
          <w:kern w:val="0"/>
          <w:sz w:val="28"/>
          <w:szCs w:val="28"/>
          <w:lang w:val="en-US" w:eastAsia="zh-CN" w:bidi="ar"/>
        </w:rPr>
        <w:t>特别提醒：成交人的《中小企业声明函》或《残疾人福利性单位声明函》或监狱企业证明文件将随中标结果公告一同公布，接受社会监督。</w:t>
      </w:r>
    </w:p>
    <w:p w14:paraId="2127DD0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
          <w:bCs/>
          <w:color w:val="auto"/>
          <w:sz w:val="10"/>
          <w:szCs w:val="10"/>
          <w:highlight w:val="none"/>
          <w:lang w:val="en-US" w:eastAsia="zh-CN"/>
        </w:rPr>
      </w:pPr>
    </w:p>
    <w:p w14:paraId="63C88B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6BE2185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5E9895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0397E4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7BBD064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0E7603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0BEACA0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678BDD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3808DC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4E0380B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5C13389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187340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234807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609860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657D30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14:paraId="5A37521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b/>
          <w:bCs/>
          <w:color w:val="auto"/>
          <w:sz w:val="32"/>
          <w:szCs w:val="32"/>
          <w:highlight w:val="none"/>
          <w:lang w:val="en-US" w:eastAsia="zh-CN"/>
        </w:rPr>
      </w:pPr>
    </w:p>
    <w:p w14:paraId="2E28ECC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中小企业声明函</w:t>
      </w:r>
    </w:p>
    <w:p w14:paraId="25D3338D">
      <w:pPr>
        <w:pStyle w:val="2"/>
        <w:spacing w:line="240" w:lineRule="auto"/>
        <w:rPr>
          <w:rFonts w:hint="default" w:ascii="Times New Roman" w:hAnsi="Times New Roman" w:cs="Times New Roman"/>
          <w:color w:val="auto"/>
          <w:sz w:val="10"/>
          <w:szCs w:val="10"/>
          <w:lang w:val="en-US" w:eastAsia="zh-CN"/>
        </w:rPr>
      </w:pPr>
    </w:p>
    <w:p w14:paraId="68C96FA4">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本公司（联合体）郑重声明，根据《政府采购促进中小企业发展管理办法》（财库﹝2020﹞46 号）的规定，本公司（联合体）参加</w:t>
      </w:r>
      <w:r>
        <w:rPr>
          <w:rFonts w:hint="default" w:ascii="Times New Roman" w:hAnsi="Times New Roman" w:eastAsia="仿宋_GB2312" w:cs="Times New Roman"/>
          <w:i/>
          <w:iCs/>
          <w:color w:val="auto"/>
          <w:sz w:val="28"/>
          <w:szCs w:val="28"/>
          <w:u w:val="single"/>
          <w:lang w:val="en-US" w:eastAsia="zh-CN"/>
        </w:rPr>
        <w:t>（单位名称）</w:t>
      </w:r>
      <w:r>
        <w:rPr>
          <w:rFonts w:hint="default" w:ascii="Times New Roman" w:hAnsi="Times New Roman" w:eastAsia="仿宋_GB2312" w:cs="Times New Roman"/>
          <w:color w:val="auto"/>
          <w:sz w:val="28"/>
          <w:szCs w:val="28"/>
          <w:lang w:val="en-US" w:eastAsia="zh-CN"/>
        </w:rPr>
        <w:t>的</w:t>
      </w:r>
      <w:r>
        <w:rPr>
          <w:rFonts w:hint="default" w:ascii="Times New Roman" w:hAnsi="Times New Roman" w:eastAsia="仿宋_GB2312" w:cs="Times New Roman"/>
          <w:i/>
          <w:iCs/>
          <w:color w:val="auto"/>
          <w:sz w:val="28"/>
          <w:szCs w:val="28"/>
          <w:u w:val="single"/>
          <w:lang w:val="en-US" w:eastAsia="zh-CN"/>
        </w:rPr>
        <w:t>（项目名称）</w:t>
      </w:r>
      <w:r>
        <w:rPr>
          <w:rFonts w:hint="default" w:ascii="Times New Roman" w:hAnsi="Times New Roman" w:eastAsia="仿宋_GB2312" w:cs="Times New Roman"/>
          <w:color w:val="auto"/>
          <w:sz w:val="28"/>
          <w:szCs w:val="28"/>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71ADC81C">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i/>
          <w:iCs/>
          <w:color w:val="auto"/>
          <w:sz w:val="28"/>
          <w:szCs w:val="28"/>
          <w:u w:val="single"/>
          <w:lang w:val="en-US" w:eastAsia="zh-CN"/>
        </w:rPr>
        <w:t xml:space="preserve"> （标的名称） </w:t>
      </w:r>
      <w:r>
        <w:rPr>
          <w:rFonts w:hint="default" w:ascii="Times New Roman" w:hAnsi="Times New Roman" w:eastAsia="仿宋_GB2312" w:cs="Times New Roman"/>
          <w:color w:val="auto"/>
          <w:sz w:val="28"/>
          <w:szCs w:val="28"/>
          <w:lang w:val="en-US" w:eastAsia="zh-CN"/>
        </w:rPr>
        <w:t>，属于</w:t>
      </w:r>
      <w:r>
        <w:rPr>
          <w:rFonts w:hint="default" w:ascii="Times New Roman" w:hAnsi="Times New Roman" w:eastAsia="仿宋_GB2312" w:cs="Times New Roman"/>
          <w:i/>
          <w:iCs/>
          <w:color w:val="auto"/>
          <w:sz w:val="28"/>
          <w:szCs w:val="28"/>
          <w:u w:val="single"/>
          <w:lang w:val="en-US" w:eastAsia="zh-CN"/>
        </w:rPr>
        <w:t>（采购文件中明确的所属行业）</w:t>
      </w:r>
      <w:r>
        <w:rPr>
          <w:rFonts w:hint="default" w:ascii="Times New Roman" w:hAnsi="Times New Roman" w:eastAsia="仿宋_GB2312" w:cs="Times New Roman"/>
          <w:color w:val="auto"/>
          <w:sz w:val="28"/>
          <w:szCs w:val="28"/>
          <w:lang w:val="en-US" w:eastAsia="zh-CN"/>
        </w:rPr>
        <w:t>；承建（承接）企业为</w:t>
      </w:r>
      <w:r>
        <w:rPr>
          <w:rFonts w:hint="default" w:ascii="Times New Roman" w:hAnsi="Times New Roman" w:eastAsia="仿宋_GB2312" w:cs="Times New Roman"/>
          <w:i/>
          <w:iCs/>
          <w:color w:val="auto"/>
          <w:sz w:val="28"/>
          <w:szCs w:val="28"/>
          <w:u w:val="single"/>
          <w:lang w:val="en-US" w:eastAsia="zh-CN"/>
        </w:rPr>
        <w:t>（企业名称）</w:t>
      </w:r>
      <w:r>
        <w:rPr>
          <w:rFonts w:hint="default" w:ascii="Times New Roman" w:hAnsi="Times New Roman" w:eastAsia="仿宋_GB2312" w:cs="Times New Roman"/>
          <w:color w:val="auto"/>
          <w:sz w:val="28"/>
          <w:szCs w:val="28"/>
          <w:lang w:val="en-US" w:eastAsia="zh-CN"/>
        </w:rPr>
        <w:t>，从业人员</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人，营业收入为</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万元，资产总额为</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万元，属于</w:t>
      </w:r>
      <w:r>
        <w:rPr>
          <w:rFonts w:hint="default" w:ascii="Times New Roman" w:hAnsi="Times New Roman" w:eastAsia="仿宋_GB2312" w:cs="Times New Roman"/>
          <w:i/>
          <w:iCs/>
          <w:color w:val="auto"/>
          <w:sz w:val="28"/>
          <w:szCs w:val="28"/>
          <w:u w:val="single"/>
          <w:lang w:val="en-US" w:eastAsia="zh-CN"/>
        </w:rPr>
        <w:t>（中型企业、小型企业、微型企业）</w:t>
      </w:r>
      <w:r>
        <w:rPr>
          <w:rFonts w:hint="default" w:ascii="Times New Roman" w:hAnsi="Times New Roman" w:eastAsia="仿宋_GB2312" w:cs="Times New Roman"/>
          <w:color w:val="auto"/>
          <w:sz w:val="28"/>
          <w:szCs w:val="28"/>
          <w:lang w:val="en-US" w:eastAsia="zh-CN"/>
        </w:rPr>
        <w:t>；</w:t>
      </w:r>
    </w:p>
    <w:p w14:paraId="5F269A63">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i/>
          <w:iCs/>
          <w:color w:val="auto"/>
          <w:sz w:val="28"/>
          <w:szCs w:val="28"/>
          <w:u w:val="single"/>
          <w:lang w:val="en-US" w:eastAsia="zh-CN"/>
        </w:rPr>
        <w:t xml:space="preserve"> （标的名称） </w:t>
      </w:r>
      <w:r>
        <w:rPr>
          <w:rFonts w:hint="default" w:ascii="Times New Roman" w:hAnsi="Times New Roman" w:eastAsia="仿宋_GB2312" w:cs="Times New Roman"/>
          <w:color w:val="auto"/>
          <w:sz w:val="28"/>
          <w:szCs w:val="28"/>
          <w:lang w:val="en-US" w:eastAsia="zh-CN"/>
        </w:rPr>
        <w:t>，属于</w:t>
      </w:r>
      <w:r>
        <w:rPr>
          <w:rFonts w:hint="default" w:ascii="Times New Roman" w:hAnsi="Times New Roman" w:eastAsia="仿宋_GB2312" w:cs="Times New Roman"/>
          <w:i/>
          <w:iCs/>
          <w:color w:val="auto"/>
          <w:sz w:val="28"/>
          <w:szCs w:val="28"/>
          <w:u w:val="single"/>
          <w:lang w:val="en-US" w:eastAsia="zh-CN"/>
        </w:rPr>
        <w:t>（采购文件中明确的所属行业）</w:t>
      </w:r>
      <w:r>
        <w:rPr>
          <w:rFonts w:hint="default" w:ascii="Times New Roman" w:hAnsi="Times New Roman" w:eastAsia="仿宋_GB2312" w:cs="Times New Roman"/>
          <w:color w:val="auto"/>
          <w:sz w:val="28"/>
          <w:szCs w:val="28"/>
          <w:lang w:val="en-US" w:eastAsia="zh-CN"/>
        </w:rPr>
        <w:t>；承建（承接）企业为</w:t>
      </w:r>
      <w:r>
        <w:rPr>
          <w:rFonts w:hint="default" w:ascii="Times New Roman" w:hAnsi="Times New Roman" w:eastAsia="仿宋_GB2312" w:cs="Times New Roman"/>
          <w:i/>
          <w:iCs/>
          <w:color w:val="auto"/>
          <w:sz w:val="28"/>
          <w:szCs w:val="28"/>
          <w:u w:val="single"/>
          <w:lang w:val="en-US" w:eastAsia="zh-CN"/>
        </w:rPr>
        <w:t>（企业名称）</w:t>
      </w:r>
      <w:r>
        <w:rPr>
          <w:rFonts w:hint="default" w:ascii="Times New Roman" w:hAnsi="Times New Roman" w:eastAsia="仿宋_GB2312" w:cs="Times New Roman"/>
          <w:color w:val="auto"/>
          <w:sz w:val="28"/>
          <w:szCs w:val="28"/>
          <w:lang w:val="en-US" w:eastAsia="zh-CN"/>
        </w:rPr>
        <w:t>，从业人员</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人，营业收入为</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万元，资产总额为</w:t>
      </w:r>
      <w:r>
        <w:rPr>
          <w:rFonts w:hint="default" w:ascii="Times New Roman" w:hAnsi="Times New Roman" w:eastAsia="仿宋_GB2312" w:cs="Times New Roman"/>
          <w:i/>
          <w:iCs/>
          <w:color w:val="auto"/>
          <w:sz w:val="28"/>
          <w:szCs w:val="28"/>
          <w:u w:val="single"/>
          <w:lang w:val="en-US" w:eastAsia="zh-CN"/>
        </w:rPr>
        <w:t xml:space="preserve">    </w:t>
      </w:r>
      <w:r>
        <w:rPr>
          <w:rFonts w:hint="default" w:ascii="Times New Roman" w:hAnsi="Times New Roman" w:eastAsia="仿宋_GB2312" w:cs="Times New Roman"/>
          <w:color w:val="auto"/>
          <w:sz w:val="28"/>
          <w:szCs w:val="28"/>
          <w:lang w:val="en-US" w:eastAsia="zh-CN"/>
        </w:rPr>
        <w:t>万元，属于</w:t>
      </w:r>
      <w:r>
        <w:rPr>
          <w:rFonts w:hint="default" w:ascii="Times New Roman" w:hAnsi="Times New Roman" w:eastAsia="仿宋_GB2312" w:cs="Times New Roman"/>
          <w:i/>
          <w:iCs/>
          <w:color w:val="auto"/>
          <w:sz w:val="28"/>
          <w:szCs w:val="28"/>
          <w:u w:val="single"/>
          <w:lang w:val="en-US" w:eastAsia="zh-CN"/>
        </w:rPr>
        <w:t>（中型企业、小型企业、微型企业）</w:t>
      </w:r>
      <w:r>
        <w:rPr>
          <w:rFonts w:hint="default" w:ascii="Times New Roman" w:hAnsi="Times New Roman" w:eastAsia="仿宋_GB2312" w:cs="Times New Roman"/>
          <w:color w:val="auto"/>
          <w:sz w:val="28"/>
          <w:szCs w:val="28"/>
          <w:lang w:val="en-US" w:eastAsia="zh-CN"/>
        </w:rPr>
        <w:t>；</w:t>
      </w:r>
    </w:p>
    <w:p w14:paraId="06B75643">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p>
    <w:p w14:paraId="69089B80">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以上企业，不属于大企业的分支机构，不存在控股股东为大企业的情形，也不存在与大企业的负责人为同一人的情形。</w:t>
      </w:r>
    </w:p>
    <w:p w14:paraId="32EB179C">
      <w:pPr>
        <w:keepNext w:val="0"/>
        <w:keepLines w:val="0"/>
        <w:pageBreakBefore w:val="0"/>
        <w:widowControl w:val="0"/>
        <w:kinsoku/>
        <w:wordWrap/>
        <w:overflowPunct/>
        <w:topLinePunct w:val="0"/>
        <w:autoSpaceDE/>
        <w:autoSpaceDN/>
        <w:bidi w:val="0"/>
        <w:adjustRightInd/>
        <w:snapToGrid/>
        <w:spacing w:line="240" w:lineRule="auto"/>
        <w:ind w:firstLine="566" w:firstLineChars="200"/>
        <w:jc w:val="both"/>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本企业对上述声明内容的真实性负责。如有虚假，将依法承担相应责任。</w:t>
      </w:r>
    </w:p>
    <w:p w14:paraId="09AB177C">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仿宋_GB2312" w:cs="Times New Roman"/>
          <w:color w:val="auto"/>
          <w:sz w:val="28"/>
          <w:szCs w:val="28"/>
          <w:lang w:eastAsia="zh-CN"/>
        </w:rPr>
      </w:pPr>
    </w:p>
    <w:p w14:paraId="39026CA5">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企业名称（盖章）：</w:t>
      </w:r>
      <w:r>
        <w:rPr>
          <w:rFonts w:hint="default" w:ascii="Times New Roman" w:hAnsi="Times New Roman" w:eastAsia="仿宋_GB2312" w:cs="Times New Roman"/>
          <w:color w:val="auto"/>
          <w:sz w:val="28"/>
          <w:szCs w:val="28"/>
          <w:lang w:val="en-US" w:eastAsia="zh-CN"/>
        </w:rPr>
        <w:t xml:space="preserve">            </w:t>
      </w:r>
    </w:p>
    <w:p w14:paraId="765A923E">
      <w:pPr>
        <w:spacing w:line="240" w:lineRule="auto"/>
        <w:ind w:firstLine="6226" w:firstLineChars="220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8"/>
          <w:szCs w:val="28"/>
          <w:lang w:eastAsia="zh-CN"/>
        </w:rPr>
        <w:t>日 期：</w:t>
      </w:r>
      <w:r>
        <w:rPr>
          <w:rFonts w:hint="default" w:ascii="Times New Roman" w:hAnsi="Times New Roman" w:eastAsia="仿宋_GB2312" w:cs="Times New Roman"/>
          <w:color w:val="auto"/>
          <w:sz w:val="28"/>
          <w:szCs w:val="28"/>
          <w:lang w:val="en-US" w:eastAsia="zh-CN"/>
        </w:rPr>
        <w:t xml:space="preserve">   </w:t>
      </w:r>
    </w:p>
    <w:p w14:paraId="465F8713">
      <w:pPr>
        <w:keepNext w:val="0"/>
        <w:keepLines w:val="0"/>
        <w:pageBreakBefore w:val="0"/>
        <w:widowControl/>
        <w:suppressLineNumbers w:val="0"/>
        <w:kinsoku/>
        <w:wordWrap/>
        <w:overflowPunct/>
        <w:topLinePunct w:val="0"/>
        <w:autoSpaceDE/>
        <w:autoSpaceDN/>
        <w:bidi w:val="0"/>
        <w:adjustRightInd/>
        <w:snapToGrid/>
        <w:ind w:firstLine="486" w:firstLineChars="200"/>
        <w:jc w:val="left"/>
        <w:textAlignment w:val="auto"/>
        <w:rPr>
          <w:rFonts w:hint="default" w:ascii="Times New Roman" w:hAnsi="Times New Roman" w:eastAsia="仿宋_GB2312" w:cs="Times New Roman"/>
          <w:b/>
          <w:bCs/>
          <w:color w:val="auto"/>
          <w:kern w:val="0"/>
          <w:sz w:val="24"/>
          <w:szCs w:val="24"/>
          <w:lang w:val="en-US" w:eastAsia="zh-CN" w:bidi="ar"/>
        </w:rPr>
      </w:pPr>
    </w:p>
    <w:p w14:paraId="390AA8D1">
      <w:pPr>
        <w:keepNext w:val="0"/>
        <w:keepLines w:val="0"/>
        <w:pageBreakBefore w:val="0"/>
        <w:widowControl/>
        <w:suppressLineNumbers w:val="0"/>
        <w:kinsoku/>
        <w:wordWrap/>
        <w:overflowPunct/>
        <w:topLinePunct w:val="0"/>
        <w:autoSpaceDE/>
        <w:autoSpaceDN/>
        <w:bidi w:val="0"/>
        <w:adjustRightInd/>
        <w:snapToGrid/>
        <w:ind w:firstLine="486"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lang w:val="en-US" w:eastAsia="zh-CN" w:bidi="ar"/>
        </w:rPr>
        <w:t>备注：</w:t>
      </w:r>
      <w:r>
        <w:rPr>
          <w:rFonts w:hint="default" w:ascii="Times New Roman" w:hAnsi="Times New Roman" w:eastAsia="仿宋_GB2312" w:cs="Times New Roman"/>
          <w:color w:val="auto"/>
          <w:kern w:val="0"/>
          <w:sz w:val="24"/>
          <w:szCs w:val="24"/>
          <w:lang w:val="en-US" w:eastAsia="zh-CN" w:bidi="ar"/>
        </w:rPr>
        <w:t xml:space="preserve">1、填写前请认真阅读《工业和信息化部、国家统计局、国家发展和改革委员会、财政部关于印发中小企业划型标准规定的通知》（工信部联企业[2011]300 号）和财政部、工业和信息化部关于印发《政府采购促进中小企业发展管理办法》的通知(财库[2020]46 号)相关规定。 </w:t>
      </w:r>
    </w:p>
    <w:p w14:paraId="6FD9260B">
      <w:pPr>
        <w:keepNext w:val="0"/>
        <w:keepLines w:val="0"/>
        <w:pageBreakBefore w:val="0"/>
        <w:widowControl/>
        <w:suppressLineNumbers w:val="0"/>
        <w:kinsoku/>
        <w:wordWrap/>
        <w:overflowPunct/>
        <w:topLinePunct w:val="0"/>
        <w:autoSpaceDE/>
        <w:autoSpaceDN/>
        <w:bidi w:val="0"/>
        <w:adjustRightInd/>
        <w:snapToGrid/>
        <w:ind w:firstLine="486"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2、从业人员、营业收入、资产总额填报上一年度数据，无上一年度数据的新成立企业可不填报。 </w:t>
      </w:r>
    </w:p>
    <w:p w14:paraId="62BEC34C">
      <w:pPr>
        <w:keepNext w:val="0"/>
        <w:keepLines w:val="0"/>
        <w:pageBreakBefore w:val="0"/>
        <w:widowControl/>
        <w:suppressLineNumbers w:val="0"/>
        <w:kinsoku/>
        <w:wordWrap/>
        <w:overflowPunct/>
        <w:topLinePunct w:val="0"/>
        <w:autoSpaceDE/>
        <w:autoSpaceDN/>
        <w:bidi w:val="0"/>
        <w:adjustRightInd/>
        <w:snapToGrid/>
        <w:ind w:firstLine="486" w:firstLineChars="2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3、根据《工业和信息化部、国家统计局、国家发展和改革委员会、财政部关于印发中小企业划型标准规定的通知》（工信部联企业[2011]300 号），本项目所属行业中小企业划型标准具体如下：</w:t>
      </w:r>
      <w:r>
        <w:rPr>
          <w:rFonts w:hint="default" w:ascii="Times New Roman" w:hAnsi="Times New Roman" w:eastAsia="仿宋_GB2312" w:cs="Times New Roman"/>
          <w:b/>
          <w:bCs/>
          <w:color w:val="auto"/>
          <w:kern w:val="0"/>
          <w:sz w:val="24"/>
          <w:szCs w:val="24"/>
          <w:lang w:val="en-US" w:eastAsia="zh-CN" w:bidi="ar"/>
        </w:rPr>
        <w:t>租赁和商务服务业</w:t>
      </w:r>
      <w:r>
        <w:rPr>
          <w:rFonts w:hint="default" w:ascii="Times New Roman" w:hAnsi="Times New Roman" w:eastAsia="仿宋_GB2312" w:cs="Times New Roman"/>
          <w:color w:val="auto"/>
          <w:kern w:val="0"/>
          <w:sz w:val="24"/>
          <w:szCs w:val="24"/>
          <w:lang w:val="en-US" w:eastAsia="zh-CN" w:bidi="ar"/>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3BDC49B">
      <w:pPr>
        <w:keepNext w:val="0"/>
        <w:keepLines w:val="0"/>
        <w:widowControl/>
        <w:suppressLineNumbers w:val="0"/>
        <w:jc w:val="left"/>
        <w:rPr>
          <w:rFonts w:hint="default" w:ascii="Times New Roman" w:hAnsi="Times New Roman" w:eastAsia="仿宋_GB2312" w:cs="Times New Roman"/>
          <w:b/>
          <w:bCs/>
          <w:color w:val="auto"/>
          <w:kern w:val="0"/>
          <w:sz w:val="28"/>
          <w:szCs w:val="28"/>
          <w:lang w:val="en-US" w:eastAsia="zh-CN" w:bidi="ar"/>
        </w:rPr>
      </w:pPr>
    </w:p>
    <w:p w14:paraId="736B13DB">
      <w:pPr>
        <w:keepNext w:val="0"/>
        <w:keepLines w:val="0"/>
        <w:widowControl/>
        <w:suppressLineNumbers w:val="0"/>
        <w:jc w:val="center"/>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kern w:val="0"/>
          <w:sz w:val="32"/>
          <w:szCs w:val="32"/>
          <w:lang w:val="en-US" w:eastAsia="zh-CN" w:bidi="ar"/>
        </w:rPr>
        <w:t>监狱企业证明函</w:t>
      </w:r>
    </w:p>
    <w:p w14:paraId="3C55013C">
      <w:pPr>
        <w:keepNext w:val="0"/>
        <w:keepLines w:val="0"/>
        <w:widowControl/>
        <w:suppressLineNumbers w:val="0"/>
        <w:ind w:firstLine="566" w:firstLineChars="200"/>
        <w:jc w:val="left"/>
        <w:rPr>
          <w:rFonts w:hint="default" w:ascii="Times New Roman" w:hAnsi="Times New Roman" w:eastAsia="仿宋_GB2312" w:cs="Times New Roman"/>
          <w:color w:val="auto"/>
          <w:kern w:val="0"/>
          <w:sz w:val="28"/>
          <w:szCs w:val="28"/>
          <w:lang w:val="en-US" w:eastAsia="zh-CN" w:bidi="ar"/>
        </w:rPr>
      </w:pPr>
    </w:p>
    <w:p w14:paraId="195B7123">
      <w:pPr>
        <w:keepNext w:val="0"/>
        <w:keepLines w:val="0"/>
        <w:widowControl/>
        <w:suppressLineNumbers w:val="0"/>
        <w:ind w:firstLine="566" w:firstLineChars="20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根据财政部、司法部《关于政府采购支持监狱企业发展有关问题的通 </w:t>
      </w:r>
    </w:p>
    <w:p w14:paraId="3305B28D">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知》（财库〔2014〕68 号）的规定，监狱企业是指由司法部认定的为罪犯、 </w:t>
      </w:r>
    </w:p>
    <w:p w14:paraId="16A3DEA2">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戒毒人员提供生产项目和劳动对象，且全部产权属于司法部监狱管理局、 </w:t>
      </w:r>
    </w:p>
    <w:p w14:paraId="39F3DACB">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戒毒管理局、直属煤矿管理局，各省、自治区、直辖市监狱管理局、戒毒 </w:t>
      </w:r>
    </w:p>
    <w:p w14:paraId="5678FCF3">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管理局，各地（设区的市）监狱、强制隔离戒毒所、戒毒康复所，以及新 </w:t>
      </w:r>
    </w:p>
    <w:p w14:paraId="6985D37E">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疆生产建设兵团监狱管理局、戒毒管理局的企业。 </w:t>
      </w:r>
    </w:p>
    <w:p w14:paraId="21DF6416">
      <w:pPr>
        <w:keepNext w:val="0"/>
        <w:keepLines w:val="0"/>
        <w:widowControl/>
        <w:suppressLineNumbers w:val="0"/>
        <w:ind w:firstLine="283" w:firstLineChars="10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 xml:space="preserve">监狱企业参加政府采购活动时，应当提供由省级以上监狱管理局、戒 </w:t>
      </w:r>
    </w:p>
    <w:p w14:paraId="739205CD">
      <w:pPr>
        <w:keepNext w:val="0"/>
        <w:keepLines w:val="0"/>
        <w:widowControl/>
        <w:suppressLineNumbers w:val="0"/>
        <w:jc w:val="left"/>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0"/>
          <w:sz w:val="28"/>
          <w:szCs w:val="28"/>
          <w:lang w:val="en-US" w:eastAsia="zh-CN" w:bidi="ar"/>
        </w:rPr>
        <w:t>毒管理局（含新疆生产建设兵团）出具的属于监狱企业的证明文件。</w:t>
      </w:r>
    </w:p>
    <w:p w14:paraId="04004551">
      <w:pPr>
        <w:pStyle w:val="45"/>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sz w:val="32"/>
          <w:szCs w:val="32"/>
        </w:rPr>
      </w:pPr>
    </w:p>
    <w:p w14:paraId="700874CA">
      <w:pPr>
        <w:pStyle w:val="45"/>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sz w:val="32"/>
          <w:szCs w:val="32"/>
        </w:rPr>
      </w:pPr>
    </w:p>
    <w:p w14:paraId="3EAF017A">
      <w:pPr>
        <w:pStyle w:val="45"/>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color w:val="auto"/>
          <w:sz w:val="32"/>
          <w:szCs w:val="32"/>
        </w:rPr>
      </w:pPr>
    </w:p>
    <w:p w14:paraId="53161A5D">
      <w:pPr>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br w:type="page"/>
      </w:r>
    </w:p>
    <w:p w14:paraId="4FE8A994">
      <w:pPr>
        <w:keepNext w:val="0"/>
        <w:keepLines w:val="0"/>
        <w:widowControl/>
        <w:suppressLineNumbers w:val="0"/>
        <w:jc w:val="center"/>
        <w:rPr>
          <w:rFonts w:hint="default" w:ascii="Times New Roman" w:hAnsi="Times New Roman" w:eastAsia="仿宋_GB2312" w:cs="Times New Roman"/>
          <w:b/>
          <w:bCs/>
          <w:color w:val="auto"/>
          <w:kern w:val="0"/>
          <w:sz w:val="32"/>
          <w:szCs w:val="32"/>
          <w:lang w:val="en-US" w:eastAsia="zh-CN" w:bidi="ar"/>
        </w:rPr>
      </w:pPr>
    </w:p>
    <w:p w14:paraId="16A2E6F9">
      <w:pPr>
        <w:keepNext w:val="0"/>
        <w:keepLines w:val="0"/>
        <w:widowControl/>
        <w:suppressLineNumbers w:val="0"/>
        <w:jc w:val="center"/>
        <w:rPr>
          <w:rFonts w:hint="default" w:ascii="Times New Roman" w:hAnsi="Times New Roman" w:cs="Times New Roman"/>
          <w:color w:val="auto"/>
        </w:rPr>
      </w:pPr>
      <w:r>
        <w:rPr>
          <w:rFonts w:hint="default" w:ascii="Times New Roman" w:hAnsi="Times New Roman" w:eastAsia="仿宋_GB2312" w:cs="Times New Roman"/>
          <w:b/>
          <w:bCs/>
          <w:color w:val="auto"/>
          <w:kern w:val="0"/>
          <w:sz w:val="32"/>
          <w:szCs w:val="32"/>
          <w:lang w:val="en-US" w:eastAsia="zh-CN" w:bidi="ar"/>
        </w:rPr>
        <w:t>残疾人福利性单位声明函（格式）</w:t>
      </w:r>
    </w:p>
    <w:p w14:paraId="226415FE">
      <w:pPr>
        <w:keepNext w:val="0"/>
        <w:keepLines w:val="0"/>
        <w:widowControl/>
        <w:suppressLineNumbers w:val="0"/>
        <w:ind w:firstLine="566" w:firstLineChars="200"/>
        <w:jc w:val="left"/>
        <w:rPr>
          <w:rFonts w:hint="default" w:ascii="Times New Roman" w:hAnsi="Times New Roman" w:eastAsia="仿宋_GB2312" w:cs="Times New Roman"/>
          <w:color w:val="auto"/>
          <w:kern w:val="0"/>
          <w:sz w:val="28"/>
          <w:szCs w:val="28"/>
          <w:lang w:val="en-US" w:eastAsia="zh-CN" w:bidi="ar"/>
        </w:rPr>
      </w:pPr>
    </w:p>
    <w:p w14:paraId="7B0B9EAF">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本单位郑重声明，根据《财政部 民政部 中国残疾人联合会关于促进残疾人就业政府采购政策的通知》（财库〔2017〕141 号）的规定，本单位为符合条件的残疾人福利性单位，且本单位参加（项目名称）（项目编号：      ）第___标段采购活动提供本单位制造的货物（由本单位承担工程/提供服务），或者提供其他残疾人福利性单位制造的货物（不包括使用非残疾人福利性单位注册商标的货物）。 </w:t>
      </w:r>
    </w:p>
    <w:p w14:paraId="38FD5E48">
      <w:pPr>
        <w:keepNext w:val="0"/>
        <w:keepLines w:val="0"/>
        <w:widowControl/>
        <w:suppressLineNumbers w:val="0"/>
        <w:jc w:val="left"/>
        <w:rPr>
          <w:rFonts w:hint="default" w:ascii="Times New Roman" w:hAnsi="Times New Roman" w:eastAsia="仿宋_GB2312" w:cs="Times New Roman"/>
          <w:color w:val="auto"/>
          <w:kern w:val="0"/>
          <w:sz w:val="28"/>
          <w:szCs w:val="28"/>
          <w:lang w:val="en-US" w:eastAsia="zh-CN" w:bidi="ar"/>
        </w:rPr>
      </w:pPr>
    </w:p>
    <w:p w14:paraId="44B2E0F3">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本单位对上述声明的真实性负责。如有虚假，将依法承担相应责任。 </w:t>
      </w:r>
    </w:p>
    <w:p w14:paraId="583B8B42">
      <w:pPr>
        <w:keepNext w:val="0"/>
        <w:keepLines w:val="0"/>
        <w:widowControl/>
        <w:suppressLineNumbers w:val="0"/>
        <w:ind w:firstLine="4811" w:firstLineChars="1700"/>
        <w:jc w:val="left"/>
        <w:rPr>
          <w:rFonts w:hint="default" w:ascii="Times New Roman" w:hAnsi="Times New Roman" w:eastAsia="仿宋_GB2312" w:cs="Times New Roman"/>
          <w:color w:val="auto"/>
          <w:kern w:val="0"/>
          <w:sz w:val="28"/>
          <w:szCs w:val="28"/>
          <w:lang w:val="en-US" w:eastAsia="zh-CN" w:bidi="ar"/>
        </w:rPr>
      </w:pPr>
    </w:p>
    <w:p w14:paraId="39568925">
      <w:pPr>
        <w:keepNext w:val="0"/>
        <w:keepLines w:val="0"/>
        <w:widowControl/>
        <w:suppressLineNumbers w:val="0"/>
        <w:ind w:firstLine="4811" w:firstLineChars="17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响应人：名称（加盖公章） </w:t>
      </w:r>
    </w:p>
    <w:p w14:paraId="05A874A8">
      <w:pPr>
        <w:keepNext w:val="0"/>
        <w:keepLines w:val="0"/>
        <w:widowControl/>
        <w:suppressLineNumbers w:val="0"/>
        <w:ind w:firstLine="5094" w:firstLineChars="18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日期： </w:t>
      </w:r>
    </w:p>
    <w:p w14:paraId="48154227">
      <w:pPr>
        <w:keepNext w:val="0"/>
        <w:keepLines w:val="0"/>
        <w:widowControl/>
        <w:suppressLineNumbers w:val="0"/>
        <w:ind w:firstLine="6509" w:firstLineChars="23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年 月 日 </w:t>
      </w:r>
    </w:p>
    <w:p w14:paraId="399E2A45">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kern w:val="0"/>
          <w:sz w:val="24"/>
          <w:szCs w:val="24"/>
          <w:lang w:val="en-US" w:eastAsia="zh-CN" w:bidi="ar"/>
        </w:rPr>
        <w:t xml:space="preserve">备注：非残疾人福利性单位不用填写此表。 </w:t>
      </w:r>
    </w:p>
    <w:p w14:paraId="4A3999A8">
      <w:pPr>
        <w:keepNext w:val="0"/>
        <w:keepLines w:val="0"/>
        <w:widowControl/>
        <w:suppressLineNumbers w:val="0"/>
        <w:ind w:firstLine="486" w:firstLineChars="20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项目不分标段的，第___标段空白处填写“/”。 根据《财政部 民政部 中国残疾人联合会关于促进残疾人就业政府采购政策的通知》（财库 〔2017〕141 号）的规定： </w:t>
      </w:r>
    </w:p>
    <w:p w14:paraId="5FE975B9">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一、享受政府采购支持政策的残疾人福利性单位应当同时满足以下条件： </w:t>
      </w:r>
    </w:p>
    <w:p w14:paraId="494DBF14">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（一）安置的残疾人占本单位在职职工人数的比例不低于 25%（含 25%），并且安置的残疾人人数不少于 10 人（含 10 人）； </w:t>
      </w:r>
    </w:p>
    <w:p w14:paraId="6531AEA1">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（二）依法与安置的每位残疾人签订了一年以上（含一年）的劳动合同或服务协议； </w:t>
      </w:r>
    </w:p>
    <w:p w14:paraId="35A6C91E">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（三）为安置的每位残疾人按月足额缴纳了基本养老保险、基本医疗保险、失业保险、工伤保险和生育保险等社会保险费； </w:t>
      </w:r>
    </w:p>
    <w:p w14:paraId="1EB7164B">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（四）通过银行等金融机构向安置的每位残疾人，按月支付了不低于单位所在区县适用的经省级人民政府批准的月最低工资标准的工资； </w:t>
      </w:r>
    </w:p>
    <w:p w14:paraId="397FD877">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（五）提供本单位制造的货物、承担的工程或者服务（以下简称产品），或者提供其他残疾人福利性单位制造的货物（不包括使用非残疾人福利性单位注册商标的货物）。 </w:t>
      </w:r>
    </w:p>
    <w:p w14:paraId="344B8304">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 </w:t>
      </w:r>
    </w:p>
    <w:p w14:paraId="7334BB77">
      <w:pPr>
        <w:keepNext w:val="0"/>
        <w:keepLines w:val="0"/>
        <w:widowControl/>
        <w:suppressLineNumbers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二、中标、成交供应商为残疾人福利性单位的，采购人或者其委托的采购代理机构应当随中标、成交结果同时公告其《残疾人福利性单位声明函》，接受社会监督。</w:t>
      </w:r>
    </w:p>
    <w:p w14:paraId="293852D7">
      <w:pPr>
        <w:keepNext w:val="0"/>
        <w:keepLines w:val="0"/>
        <w:widowControl/>
        <w:suppressLineNumbers w:val="0"/>
        <w:jc w:val="left"/>
        <w:rPr>
          <w:rFonts w:hint="default" w:ascii="Times New Roman" w:hAnsi="Times New Roman" w:eastAsia="仿宋_GB2312" w:cs="Times New Roman"/>
          <w:b/>
          <w:bCs/>
          <w:color w:val="auto"/>
          <w:kern w:val="0"/>
          <w:sz w:val="30"/>
          <w:szCs w:val="30"/>
          <w:lang w:val="en-US" w:eastAsia="zh-CN" w:bidi="ar"/>
        </w:rPr>
      </w:pPr>
    </w:p>
    <w:p w14:paraId="1B094FA0">
      <w:pPr>
        <w:keepNext w:val="0"/>
        <w:keepLines w:val="0"/>
        <w:widowControl/>
        <w:suppressLineNumbers w:val="0"/>
        <w:jc w:val="left"/>
        <w:rPr>
          <w:rFonts w:hint="default" w:ascii="Times New Roman" w:hAnsi="Times New Roman" w:eastAsia="仿宋_GB2312" w:cs="Times New Roman"/>
          <w:b/>
          <w:bCs/>
          <w:color w:val="auto"/>
          <w:kern w:val="0"/>
          <w:sz w:val="30"/>
          <w:szCs w:val="30"/>
          <w:lang w:val="en-US" w:eastAsia="zh-CN" w:bidi="ar"/>
        </w:rPr>
      </w:pPr>
    </w:p>
    <w:p w14:paraId="4DFE0791">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仿宋_GB2312" w:cs="Times New Roman"/>
          <w:b/>
          <w:bCs/>
          <w:color w:val="auto"/>
          <w:kern w:val="0"/>
          <w:sz w:val="30"/>
          <w:szCs w:val="30"/>
          <w:lang w:val="en-US" w:eastAsia="zh-CN" w:bidi="ar"/>
        </w:rPr>
        <w:t xml:space="preserve">六、本项目不接受联合体投标，不允许分包 </w:t>
      </w:r>
    </w:p>
    <w:p w14:paraId="7E36BA98">
      <w:pPr>
        <w:keepNext w:val="0"/>
        <w:keepLines w:val="0"/>
        <w:widowControl/>
        <w:suppressLineNumbers w:val="0"/>
        <w:ind w:firstLine="1415" w:firstLineChars="500"/>
        <w:jc w:val="left"/>
        <w:rPr>
          <w:rFonts w:hint="default" w:ascii="Times New Roman" w:hAnsi="Times New Roman" w:eastAsia="仿宋_GB2312" w:cs="Times New Roman"/>
          <w:b/>
          <w:bCs/>
          <w:color w:val="auto"/>
          <w:kern w:val="0"/>
          <w:sz w:val="28"/>
          <w:szCs w:val="28"/>
          <w:lang w:val="en-US" w:eastAsia="zh-CN" w:bidi="ar"/>
        </w:rPr>
      </w:pPr>
    </w:p>
    <w:p w14:paraId="3B192C79">
      <w:pPr>
        <w:keepNext w:val="0"/>
        <w:keepLines w:val="0"/>
        <w:widowControl/>
        <w:suppressLineNumbers w:val="0"/>
        <w:ind w:firstLine="1981" w:firstLineChars="700"/>
        <w:jc w:val="both"/>
        <w:rPr>
          <w:rFonts w:hint="default" w:ascii="Times New Roman" w:hAnsi="Times New Roman" w:eastAsia="仿宋_GB2312" w:cs="Times New Roman"/>
          <w:b/>
          <w:bCs/>
          <w:color w:val="auto"/>
          <w:kern w:val="0"/>
          <w:sz w:val="28"/>
          <w:szCs w:val="28"/>
          <w:lang w:val="en-US" w:eastAsia="zh-CN" w:bidi="ar"/>
        </w:rPr>
      </w:pPr>
    </w:p>
    <w:p w14:paraId="46D3B0BA">
      <w:pPr>
        <w:keepNext w:val="0"/>
        <w:keepLines w:val="0"/>
        <w:widowControl/>
        <w:suppressLineNumbers w:val="0"/>
        <w:ind w:firstLine="1981" w:firstLineChars="700"/>
        <w:jc w:val="both"/>
        <w:rPr>
          <w:rFonts w:hint="default" w:ascii="Times New Roman" w:hAnsi="Times New Roman" w:cs="Times New Roman"/>
          <w:color w:val="auto"/>
          <w:sz w:val="28"/>
          <w:szCs w:val="28"/>
        </w:rPr>
      </w:pPr>
      <w:r>
        <w:rPr>
          <w:rFonts w:hint="default" w:ascii="Times New Roman" w:hAnsi="Times New Roman" w:eastAsia="仿宋_GB2312" w:cs="Times New Roman"/>
          <w:b/>
          <w:bCs/>
          <w:color w:val="auto"/>
          <w:kern w:val="0"/>
          <w:sz w:val="28"/>
          <w:szCs w:val="28"/>
          <w:lang w:val="en-US" w:eastAsia="zh-CN" w:bidi="ar"/>
        </w:rPr>
        <w:t>非联合体不分包投标声明（格式）</w:t>
      </w:r>
    </w:p>
    <w:p w14:paraId="6EDE6740">
      <w:pPr>
        <w:keepNext w:val="0"/>
        <w:keepLines w:val="0"/>
        <w:widowControl/>
        <w:suppressLineNumbers w:val="0"/>
        <w:ind w:firstLine="566" w:firstLineChars="200"/>
        <w:jc w:val="left"/>
        <w:rPr>
          <w:rFonts w:hint="default" w:ascii="Times New Roman" w:hAnsi="Times New Roman" w:eastAsia="仿宋_GB2312" w:cs="Times New Roman"/>
          <w:color w:val="auto"/>
          <w:kern w:val="0"/>
          <w:sz w:val="28"/>
          <w:szCs w:val="28"/>
          <w:lang w:val="en-US" w:eastAsia="zh-CN" w:bidi="ar"/>
        </w:rPr>
      </w:pPr>
    </w:p>
    <w:p w14:paraId="2F139AD8">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本单位郑重声明，参加</w:t>
      </w:r>
      <w:r>
        <w:rPr>
          <w:rFonts w:hint="eastAsia" w:ascii="Times New Roman" w:hAnsi="Times New Roman" w:eastAsia="仿宋_GB2312" w:cs="Times New Roman"/>
          <w:color w:val="auto"/>
          <w:kern w:val="0"/>
          <w:sz w:val="28"/>
          <w:szCs w:val="28"/>
          <w:lang w:val="en-US" w:eastAsia="zh-CN" w:bidi="ar"/>
        </w:rPr>
        <w:t>汉台区</w:t>
      </w:r>
      <w:r>
        <w:rPr>
          <w:rFonts w:hint="default" w:ascii="Times New Roman" w:hAnsi="Times New Roman" w:eastAsia="仿宋_GB2312" w:cs="Times New Roman"/>
          <w:color w:val="auto"/>
          <w:kern w:val="0"/>
          <w:sz w:val="28"/>
          <w:szCs w:val="28"/>
          <w:lang w:val="en-US" w:eastAsia="zh-CN" w:bidi="ar"/>
        </w:rPr>
        <w:t xml:space="preserve">政府采购中心的项目名称（项目编号：         ）第     标段采购活动，为非联合体投标，本项目实施过程由本单位独立承担。 </w:t>
      </w:r>
    </w:p>
    <w:p w14:paraId="541E088A">
      <w:pPr>
        <w:keepNext w:val="0"/>
        <w:keepLines w:val="0"/>
        <w:widowControl/>
        <w:suppressLineNumbers w:val="0"/>
        <w:ind w:firstLine="566" w:firstLineChars="2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本单位对上述声明的真实性负责。如有虚假，将依法承担相应责任。 </w:t>
      </w:r>
    </w:p>
    <w:p w14:paraId="59D7E2BE">
      <w:pPr>
        <w:keepNext w:val="0"/>
        <w:keepLines w:val="0"/>
        <w:widowControl/>
        <w:suppressLineNumbers w:val="0"/>
        <w:jc w:val="left"/>
        <w:rPr>
          <w:rFonts w:hint="default" w:ascii="Times New Roman" w:hAnsi="Times New Roman" w:eastAsia="仿宋_GB2312" w:cs="Times New Roman"/>
          <w:color w:val="auto"/>
          <w:kern w:val="0"/>
          <w:sz w:val="28"/>
          <w:szCs w:val="28"/>
          <w:lang w:val="en-US" w:eastAsia="zh-CN" w:bidi="ar"/>
        </w:rPr>
      </w:pPr>
    </w:p>
    <w:p w14:paraId="76A21D7B">
      <w:pPr>
        <w:keepNext w:val="0"/>
        <w:keepLines w:val="0"/>
        <w:widowControl/>
        <w:suppressLineNumbers w:val="0"/>
        <w:ind w:firstLine="4811" w:firstLineChars="17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响应人：名称（加盖公章） </w:t>
      </w:r>
    </w:p>
    <w:p w14:paraId="6815D96A">
      <w:pPr>
        <w:keepNext w:val="0"/>
        <w:keepLines w:val="0"/>
        <w:widowControl/>
        <w:suppressLineNumbers w:val="0"/>
        <w:ind w:firstLine="5094" w:firstLineChars="1800"/>
        <w:jc w:val="left"/>
        <w:rPr>
          <w:rFonts w:hint="default" w:ascii="Times New Roman" w:hAnsi="Times New Roman" w:cs="Times New Roman"/>
          <w:color w:val="auto"/>
        </w:rPr>
      </w:pPr>
      <w:r>
        <w:rPr>
          <w:rFonts w:hint="default" w:ascii="Times New Roman" w:hAnsi="Times New Roman" w:eastAsia="仿宋_GB2312" w:cs="Times New Roman"/>
          <w:color w:val="auto"/>
          <w:kern w:val="0"/>
          <w:sz w:val="28"/>
          <w:szCs w:val="28"/>
          <w:lang w:val="en-US" w:eastAsia="zh-CN" w:bidi="ar"/>
        </w:rPr>
        <w:t xml:space="preserve">日期：   年  月  日 </w:t>
      </w:r>
    </w:p>
    <w:p w14:paraId="5507CF8C">
      <w:pPr>
        <w:keepNext w:val="0"/>
        <w:keepLines w:val="0"/>
        <w:widowControl/>
        <w:suppressLineNumbers w:val="0"/>
        <w:jc w:val="left"/>
        <w:rPr>
          <w:rFonts w:hint="default" w:ascii="Times New Roman" w:hAnsi="Times New Roman" w:eastAsia="仿宋_GB2312" w:cs="Times New Roman"/>
          <w:color w:val="auto"/>
          <w:kern w:val="0"/>
          <w:sz w:val="24"/>
          <w:szCs w:val="24"/>
          <w:lang w:val="en-US" w:eastAsia="zh-CN" w:bidi="ar"/>
        </w:rPr>
      </w:pPr>
    </w:p>
    <w:p w14:paraId="30A15C59">
      <w:pPr>
        <w:keepNext w:val="0"/>
        <w:keepLines w:val="0"/>
        <w:widowControl/>
        <w:suppressLineNumbers w:val="0"/>
        <w:jc w:val="left"/>
        <w:rPr>
          <w:rFonts w:hint="default" w:ascii="Times New Roman" w:hAnsi="Times New Roman" w:eastAsia="黑体" w:cs="Times New Roman"/>
          <w:b w:val="0"/>
          <w:color w:val="auto"/>
          <w:sz w:val="32"/>
          <w:szCs w:val="32"/>
        </w:rPr>
      </w:pPr>
      <w:r>
        <w:rPr>
          <w:rFonts w:hint="default" w:ascii="Times New Roman" w:hAnsi="Times New Roman" w:eastAsia="仿宋_GB2312" w:cs="Times New Roman"/>
          <w:color w:val="auto"/>
          <w:kern w:val="0"/>
          <w:sz w:val="24"/>
          <w:szCs w:val="24"/>
          <w:lang w:val="en-US" w:eastAsia="zh-CN" w:bidi="ar"/>
        </w:rPr>
        <w:t>备注：项目不分标段的，第___标段空白处填写“/”。</w:t>
      </w:r>
    </w:p>
    <w:p w14:paraId="2B6D527A">
      <w:pPr>
        <w:rPr>
          <w:rFonts w:hint="default" w:ascii="Times New Roman" w:hAnsi="Times New Roman" w:eastAsia="黑体" w:cs="Times New Roman"/>
          <w:b w:val="0"/>
          <w:color w:val="auto"/>
          <w:sz w:val="32"/>
          <w:szCs w:val="32"/>
        </w:rPr>
      </w:pPr>
      <w:r>
        <w:rPr>
          <w:rFonts w:hint="default" w:ascii="Times New Roman" w:hAnsi="Times New Roman" w:eastAsia="黑体" w:cs="Times New Roman"/>
          <w:b w:val="0"/>
          <w:color w:val="auto"/>
          <w:sz w:val="32"/>
          <w:szCs w:val="32"/>
        </w:rPr>
        <w:br w:type="page"/>
      </w:r>
    </w:p>
    <w:p w14:paraId="7941512D">
      <w:pPr>
        <w:spacing w:line="240" w:lineRule="auto"/>
        <w:jc w:val="center"/>
        <w:rPr>
          <w:rFonts w:hint="default" w:ascii="Times New Roman" w:hAnsi="Times New Roman" w:eastAsia="黑体" w:cs="Times New Roman"/>
          <w:b w:val="0"/>
          <w:color w:val="auto"/>
          <w:sz w:val="32"/>
          <w:szCs w:val="32"/>
        </w:rPr>
      </w:pPr>
      <w:bookmarkStart w:id="270" w:name="_Toc9751"/>
      <w:r>
        <w:rPr>
          <w:rFonts w:hint="default" w:ascii="Times New Roman" w:hAnsi="Times New Roman" w:eastAsia="黑体" w:cs="Times New Roman"/>
          <w:b w:val="0"/>
          <w:color w:val="auto"/>
          <w:sz w:val="32"/>
          <w:szCs w:val="32"/>
        </w:rPr>
        <w:t>第二部分  符合性证明文件</w:t>
      </w:r>
      <w:bookmarkEnd w:id="259"/>
      <w:bookmarkEnd w:id="260"/>
      <w:bookmarkEnd w:id="261"/>
      <w:bookmarkEnd w:id="262"/>
      <w:bookmarkEnd w:id="263"/>
      <w:bookmarkEnd w:id="270"/>
    </w:p>
    <w:p w14:paraId="24E7ACA3">
      <w:pPr>
        <w:pStyle w:val="45"/>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Cs w:val="0"/>
          <w:color w:val="auto"/>
          <w:sz w:val="32"/>
          <w:szCs w:val="32"/>
        </w:rPr>
      </w:pPr>
      <w:bookmarkStart w:id="271" w:name="_Toc14262"/>
      <w:bookmarkStart w:id="272" w:name="_Toc22486"/>
      <w:bookmarkStart w:id="273" w:name="_Toc26623"/>
      <w:bookmarkStart w:id="274" w:name="_Toc3857"/>
      <w:bookmarkStart w:id="275" w:name="_Toc7047"/>
      <w:bookmarkStart w:id="276" w:name="_Toc2230"/>
      <w:bookmarkStart w:id="277" w:name="_Toc28961"/>
      <w:bookmarkStart w:id="278" w:name="_Toc19788"/>
      <w:bookmarkStart w:id="279" w:name="_Toc26585"/>
      <w:r>
        <w:rPr>
          <w:rFonts w:hint="default" w:ascii="Times New Roman" w:hAnsi="Times New Roman" w:eastAsia="仿宋_GB2312" w:cs="Times New Roman"/>
          <w:bCs w:val="0"/>
          <w:color w:val="auto"/>
          <w:sz w:val="32"/>
          <w:szCs w:val="32"/>
        </w:rPr>
        <w:t>一、响应函格式</w:t>
      </w:r>
      <w:bookmarkEnd w:id="271"/>
      <w:bookmarkEnd w:id="272"/>
      <w:bookmarkEnd w:id="273"/>
      <w:bookmarkEnd w:id="274"/>
      <w:bookmarkEnd w:id="275"/>
      <w:bookmarkEnd w:id="276"/>
      <w:bookmarkEnd w:id="277"/>
      <w:bookmarkEnd w:id="278"/>
      <w:bookmarkEnd w:id="279"/>
    </w:p>
    <w:bookmarkEnd w:id="264"/>
    <w:bookmarkEnd w:id="265"/>
    <w:bookmarkEnd w:id="266"/>
    <w:bookmarkEnd w:id="267"/>
    <w:bookmarkEnd w:id="268"/>
    <w:tbl>
      <w:tblPr>
        <w:tblStyle w:val="24"/>
        <w:tblW w:w="0" w:type="auto"/>
        <w:tblInd w:w="108" w:type="dxa"/>
        <w:tblLayout w:type="fixed"/>
        <w:tblCellMar>
          <w:top w:w="0" w:type="dxa"/>
          <w:left w:w="108" w:type="dxa"/>
          <w:bottom w:w="0" w:type="dxa"/>
          <w:right w:w="108" w:type="dxa"/>
        </w:tblCellMar>
      </w:tblPr>
      <w:tblGrid>
        <w:gridCol w:w="829"/>
        <w:gridCol w:w="613"/>
        <w:gridCol w:w="1473"/>
        <w:gridCol w:w="91"/>
        <w:gridCol w:w="2434"/>
        <w:gridCol w:w="384"/>
        <w:gridCol w:w="188"/>
        <w:gridCol w:w="413"/>
        <w:gridCol w:w="789"/>
        <w:gridCol w:w="1806"/>
      </w:tblGrid>
      <w:tr w14:paraId="3CE7D463">
        <w:tblPrEx>
          <w:tblCellMar>
            <w:top w:w="0" w:type="dxa"/>
            <w:left w:w="108" w:type="dxa"/>
            <w:bottom w:w="0" w:type="dxa"/>
            <w:right w:w="108" w:type="dxa"/>
          </w:tblCellMar>
        </w:tblPrEx>
        <w:trPr>
          <w:trHeight w:val="401" w:hRule="atLeast"/>
        </w:trPr>
        <w:tc>
          <w:tcPr>
            <w:tcW w:w="9020" w:type="dxa"/>
            <w:gridSpan w:val="10"/>
            <w:tcBorders>
              <w:top w:val="single" w:color="auto" w:sz="4" w:space="0"/>
              <w:left w:val="single" w:color="auto" w:sz="4" w:space="0"/>
              <w:bottom w:val="single" w:color="auto" w:sz="4" w:space="0"/>
              <w:right w:val="single" w:color="auto" w:sz="4" w:space="0"/>
            </w:tcBorders>
            <w:noWrap w:val="0"/>
            <w:vAlign w:val="center"/>
          </w:tcPr>
          <w:p w14:paraId="53F962A8">
            <w:pPr>
              <w:tabs>
                <w:tab w:val="left" w:pos="1260"/>
              </w:tabs>
              <w:ind w:firstLine="135" w:firstLineChars="56"/>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致：汉台区政府采购中心</w:t>
            </w:r>
          </w:p>
        </w:tc>
      </w:tr>
      <w:tr w14:paraId="7EAB67F6">
        <w:tblPrEx>
          <w:tblCellMar>
            <w:top w:w="0" w:type="dxa"/>
            <w:left w:w="108" w:type="dxa"/>
            <w:bottom w:w="0" w:type="dxa"/>
            <w:right w:w="108" w:type="dxa"/>
          </w:tblCellMar>
        </w:tblPrEx>
        <w:trPr>
          <w:cantSplit/>
          <w:trHeight w:val="410" w:hRule="atLeast"/>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703463E3">
            <w:pPr>
              <w:tabs>
                <w:tab w:val="left" w:pos="1260"/>
              </w:tabs>
              <w:spacing w:line="30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企 业 法 人（或负责人）</w:t>
            </w: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2927FCF8">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企业名称</w:t>
            </w:r>
          </w:p>
        </w:tc>
        <w:tc>
          <w:tcPr>
            <w:tcW w:w="6105" w:type="dxa"/>
            <w:gridSpan w:val="7"/>
            <w:tcBorders>
              <w:top w:val="single" w:color="auto" w:sz="4" w:space="0"/>
              <w:left w:val="single" w:color="auto" w:sz="4" w:space="0"/>
              <w:bottom w:val="single" w:color="auto" w:sz="4" w:space="0"/>
              <w:right w:val="single" w:color="auto" w:sz="4" w:space="0"/>
            </w:tcBorders>
            <w:noWrap w:val="0"/>
            <w:vAlign w:val="top"/>
          </w:tcPr>
          <w:p w14:paraId="5E7D5E7B">
            <w:pPr>
              <w:tabs>
                <w:tab w:val="left" w:pos="1260"/>
              </w:tabs>
              <w:rPr>
                <w:rFonts w:hint="default" w:ascii="Times New Roman" w:hAnsi="Times New Roman" w:eastAsia="仿宋" w:cs="Times New Roman"/>
                <w:color w:val="auto"/>
                <w:sz w:val="24"/>
              </w:rPr>
            </w:pPr>
          </w:p>
        </w:tc>
      </w:tr>
      <w:tr w14:paraId="059E6F8F">
        <w:tblPrEx>
          <w:tblCellMar>
            <w:top w:w="0" w:type="dxa"/>
            <w:left w:w="108" w:type="dxa"/>
            <w:bottom w:w="0" w:type="dxa"/>
            <w:right w:w="108" w:type="dxa"/>
          </w:tblCellMar>
        </w:tblPrEx>
        <w:trPr>
          <w:cantSplit/>
          <w:trHeight w:val="582"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611E20AD">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7A76109D">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法定地址</w:t>
            </w:r>
          </w:p>
        </w:tc>
        <w:tc>
          <w:tcPr>
            <w:tcW w:w="6105" w:type="dxa"/>
            <w:gridSpan w:val="7"/>
            <w:tcBorders>
              <w:top w:val="single" w:color="auto" w:sz="4" w:space="0"/>
              <w:left w:val="single" w:color="auto" w:sz="4" w:space="0"/>
              <w:bottom w:val="single" w:color="auto" w:sz="4" w:space="0"/>
              <w:right w:val="single" w:color="auto" w:sz="4" w:space="0"/>
            </w:tcBorders>
            <w:noWrap w:val="0"/>
            <w:vAlign w:val="top"/>
          </w:tcPr>
          <w:p w14:paraId="19299B4C">
            <w:pPr>
              <w:tabs>
                <w:tab w:val="left" w:pos="1260"/>
              </w:tabs>
              <w:rPr>
                <w:rFonts w:hint="default" w:ascii="Times New Roman" w:hAnsi="Times New Roman" w:eastAsia="仿宋" w:cs="Times New Roman"/>
                <w:color w:val="auto"/>
                <w:sz w:val="24"/>
              </w:rPr>
            </w:pPr>
          </w:p>
        </w:tc>
      </w:tr>
      <w:tr w14:paraId="3821333C">
        <w:tblPrEx>
          <w:tblCellMar>
            <w:top w:w="0" w:type="dxa"/>
            <w:left w:w="108" w:type="dxa"/>
            <w:bottom w:w="0" w:type="dxa"/>
            <w:right w:w="108" w:type="dxa"/>
          </w:tblCellMar>
        </w:tblPrEx>
        <w:trPr>
          <w:cantSplit/>
          <w:trHeight w:val="48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3A128777">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5072ED1E">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法定代表人</w:t>
            </w:r>
          </w:p>
        </w:tc>
        <w:tc>
          <w:tcPr>
            <w:tcW w:w="2525" w:type="dxa"/>
            <w:gridSpan w:val="2"/>
            <w:tcBorders>
              <w:top w:val="single" w:color="auto" w:sz="4" w:space="0"/>
              <w:left w:val="single" w:color="auto" w:sz="4" w:space="0"/>
              <w:bottom w:val="single" w:color="auto" w:sz="4" w:space="0"/>
              <w:right w:val="single" w:color="auto" w:sz="4" w:space="0"/>
            </w:tcBorders>
            <w:noWrap w:val="0"/>
            <w:vAlign w:val="top"/>
          </w:tcPr>
          <w:p w14:paraId="520A8B53">
            <w:pPr>
              <w:tabs>
                <w:tab w:val="left" w:pos="1260"/>
              </w:tabs>
              <w:rPr>
                <w:rFonts w:hint="default" w:ascii="Times New Roman" w:hAnsi="Times New Roman" w:eastAsia="仿宋" w:cs="Times New Roman"/>
                <w:color w:val="auto"/>
                <w:sz w:val="24"/>
              </w:rPr>
            </w:pPr>
          </w:p>
        </w:tc>
        <w:tc>
          <w:tcPr>
            <w:tcW w:w="985" w:type="dxa"/>
            <w:gridSpan w:val="3"/>
            <w:tcBorders>
              <w:top w:val="single" w:color="auto" w:sz="4" w:space="0"/>
              <w:left w:val="single" w:color="auto" w:sz="4" w:space="0"/>
              <w:bottom w:val="single" w:color="auto" w:sz="4" w:space="0"/>
              <w:right w:val="single" w:color="auto" w:sz="4" w:space="0"/>
            </w:tcBorders>
            <w:noWrap w:val="0"/>
            <w:vAlign w:val="center"/>
          </w:tcPr>
          <w:p w14:paraId="612C9985">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职 务</w:t>
            </w:r>
          </w:p>
        </w:tc>
        <w:tc>
          <w:tcPr>
            <w:tcW w:w="2595" w:type="dxa"/>
            <w:gridSpan w:val="2"/>
            <w:tcBorders>
              <w:top w:val="single" w:color="auto" w:sz="4" w:space="0"/>
              <w:left w:val="single" w:color="auto" w:sz="4" w:space="0"/>
              <w:bottom w:val="single" w:color="auto" w:sz="4" w:space="0"/>
              <w:right w:val="single" w:color="auto" w:sz="4" w:space="0"/>
            </w:tcBorders>
            <w:noWrap w:val="0"/>
            <w:vAlign w:val="top"/>
          </w:tcPr>
          <w:p w14:paraId="29B29581">
            <w:pPr>
              <w:tabs>
                <w:tab w:val="left" w:pos="1260"/>
              </w:tabs>
              <w:ind w:firstLine="459"/>
              <w:rPr>
                <w:rFonts w:hint="default" w:ascii="Times New Roman" w:hAnsi="Times New Roman" w:eastAsia="仿宋" w:cs="Times New Roman"/>
                <w:color w:val="auto"/>
                <w:sz w:val="24"/>
              </w:rPr>
            </w:pPr>
          </w:p>
        </w:tc>
      </w:tr>
      <w:tr w14:paraId="4C1CBA09">
        <w:tblPrEx>
          <w:tblCellMar>
            <w:top w:w="0" w:type="dxa"/>
            <w:left w:w="108" w:type="dxa"/>
            <w:bottom w:w="0" w:type="dxa"/>
            <w:right w:w="108" w:type="dxa"/>
          </w:tblCellMar>
        </w:tblPrEx>
        <w:trPr>
          <w:cantSplit/>
          <w:trHeight w:val="444" w:hRule="atLeast"/>
        </w:trPr>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14:paraId="1F34841C">
            <w:pPr>
              <w:tabs>
                <w:tab w:val="left" w:pos="1260"/>
              </w:tabs>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响</w:t>
            </w:r>
          </w:p>
          <w:p w14:paraId="2B9DD666">
            <w:pPr>
              <w:tabs>
                <w:tab w:val="left" w:pos="1260"/>
              </w:tabs>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应</w:t>
            </w:r>
          </w:p>
          <w:p w14:paraId="18667148">
            <w:pPr>
              <w:tabs>
                <w:tab w:val="left" w:pos="1260"/>
              </w:tabs>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与</w:t>
            </w:r>
          </w:p>
          <w:p w14:paraId="3B34AC5E">
            <w:pPr>
              <w:tabs>
                <w:tab w:val="left" w:pos="1260"/>
              </w:tabs>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声</w:t>
            </w:r>
          </w:p>
          <w:p w14:paraId="2EF6885C">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明</w:t>
            </w:r>
          </w:p>
        </w:tc>
        <w:tc>
          <w:tcPr>
            <w:tcW w:w="2086" w:type="dxa"/>
            <w:gridSpan w:val="2"/>
            <w:tcBorders>
              <w:top w:val="single" w:color="auto" w:sz="4" w:space="0"/>
              <w:left w:val="single" w:color="auto" w:sz="4" w:space="0"/>
              <w:bottom w:val="single" w:color="auto" w:sz="4" w:space="0"/>
              <w:right w:val="single" w:color="auto" w:sz="4" w:space="0"/>
            </w:tcBorders>
            <w:noWrap w:val="0"/>
            <w:vAlign w:val="top"/>
          </w:tcPr>
          <w:p w14:paraId="69E6C942">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项目名称</w:t>
            </w:r>
          </w:p>
        </w:tc>
        <w:tc>
          <w:tcPr>
            <w:tcW w:w="6105" w:type="dxa"/>
            <w:gridSpan w:val="7"/>
            <w:tcBorders>
              <w:top w:val="single" w:color="auto" w:sz="4" w:space="0"/>
              <w:left w:val="single" w:color="auto" w:sz="4" w:space="0"/>
              <w:bottom w:val="single" w:color="auto" w:sz="4" w:space="0"/>
              <w:right w:val="single" w:color="auto" w:sz="4" w:space="0"/>
            </w:tcBorders>
            <w:noWrap w:val="0"/>
            <w:vAlign w:val="top"/>
          </w:tcPr>
          <w:p w14:paraId="1EFF40A9">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 xml:space="preserve"> </w:t>
            </w:r>
          </w:p>
        </w:tc>
      </w:tr>
      <w:tr w14:paraId="6F8806B8">
        <w:tblPrEx>
          <w:tblCellMar>
            <w:top w:w="0" w:type="dxa"/>
            <w:left w:w="108" w:type="dxa"/>
            <w:bottom w:w="0" w:type="dxa"/>
            <w:right w:w="108" w:type="dxa"/>
          </w:tblCellMar>
        </w:tblPrEx>
        <w:trPr>
          <w:cantSplit/>
          <w:trHeight w:val="429"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0DB03AA2">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top"/>
          </w:tcPr>
          <w:p w14:paraId="588B1C69">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文件编号</w:t>
            </w:r>
          </w:p>
        </w:tc>
        <w:tc>
          <w:tcPr>
            <w:tcW w:w="6105" w:type="dxa"/>
            <w:gridSpan w:val="7"/>
            <w:tcBorders>
              <w:top w:val="single" w:color="auto" w:sz="4" w:space="0"/>
              <w:left w:val="single" w:color="auto" w:sz="4" w:space="0"/>
              <w:bottom w:val="single" w:color="auto" w:sz="4" w:space="0"/>
              <w:right w:val="single" w:color="auto" w:sz="4" w:space="0"/>
            </w:tcBorders>
            <w:noWrap w:val="0"/>
            <w:vAlign w:val="top"/>
          </w:tcPr>
          <w:p w14:paraId="3F3FAA59">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b/>
                <w:color w:val="auto"/>
                <w:sz w:val="24"/>
              </w:rPr>
              <w:t xml:space="preserve"> </w:t>
            </w:r>
          </w:p>
        </w:tc>
      </w:tr>
      <w:tr w14:paraId="60BB0EC4">
        <w:tblPrEx>
          <w:tblCellMar>
            <w:top w:w="0" w:type="dxa"/>
            <w:left w:w="108" w:type="dxa"/>
            <w:bottom w:w="0" w:type="dxa"/>
            <w:right w:w="108" w:type="dxa"/>
          </w:tblCellMar>
        </w:tblPrEx>
        <w:trPr>
          <w:cantSplit/>
          <w:trHeight w:val="501"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72B5C996">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top"/>
          </w:tcPr>
          <w:p w14:paraId="598D3C4A">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被授权人</w:t>
            </w:r>
          </w:p>
        </w:tc>
        <w:tc>
          <w:tcPr>
            <w:tcW w:w="2525" w:type="dxa"/>
            <w:gridSpan w:val="2"/>
            <w:tcBorders>
              <w:top w:val="single" w:color="auto" w:sz="4" w:space="0"/>
              <w:left w:val="single" w:color="auto" w:sz="4" w:space="0"/>
              <w:bottom w:val="single" w:color="auto" w:sz="4" w:space="0"/>
              <w:right w:val="single" w:color="auto" w:sz="4" w:space="0"/>
            </w:tcBorders>
            <w:noWrap w:val="0"/>
            <w:vAlign w:val="top"/>
          </w:tcPr>
          <w:p w14:paraId="264A6B6B">
            <w:pPr>
              <w:tabs>
                <w:tab w:val="left" w:pos="1260"/>
              </w:tabs>
              <w:ind w:firstLine="459"/>
              <w:rPr>
                <w:rFonts w:hint="default" w:ascii="Times New Roman" w:hAnsi="Times New Roman" w:eastAsia="仿宋" w:cs="Times New Roman"/>
                <w:color w:val="auto"/>
                <w:sz w:val="24"/>
              </w:rPr>
            </w:pPr>
          </w:p>
        </w:tc>
        <w:tc>
          <w:tcPr>
            <w:tcW w:w="985" w:type="dxa"/>
            <w:gridSpan w:val="3"/>
            <w:tcBorders>
              <w:top w:val="single" w:color="auto" w:sz="4" w:space="0"/>
              <w:left w:val="single" w:color="auto" w:sz="4" w:space="0"/>
              <w:bottom w:val="single" w:color="auto" w:sz="4" w:space="0"/>
              <w:right w:val="single" w:color="auto" w:sz="4" w:space="0"/>
            </w:tcBorders>
            <w:noWrap w:val="0"/>
            <w:vAlign w:val="center"/>
          </w:tcPr>
          <w:p w14:paraId="1E1DBD31">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职 务</w:t>
            </w:r>
          </w:p>
        </w:tc>
        <w:tc>
          <w:tcPr>
            <w:tcW w:w="2595" w:type="dxa"/>
            <w:gridSpan w:val="2"/>
            <w:tcBorders>
              <w:top w:val="single" w:color="auto" w:sz="4" w:space="0"/>
              <w:left w:val="single" w:color="auto" w:sz="4" w:space="0"/>
              <w:bottom w:val="single" w:color="auto" w:sz="4" w:space="0"/>
              <w:right w:val="single" w:color="auto" w:sz="4" w:space="0"/>
            </w:tcBorders>
            <w:noWrap w:val="0"/>
            <w:vAlign w:val="top"/>
          </w:tcPr>
          <w:p w14:paraId="7E3BA78A">
            <w:pPr>
              <w:tabs>
                <w:tab w:val="left" w:pos="1260"/>
              </w:tabs>
              <w:ind w:firstLine="459"/>
              <w:rPr>
                <w:rFonts w:hint="default" w:ascii="Times New Roman" w:hAnsi="Times New Roman" w:eastAsia="仿宋" w:cs="Times New Roman"/>
                <w:color w:val="auto"/>
                <w:sz w:val="24"/>
              </w:rPr>
            </w:pPr>
          </w:p>
        </w:tc>
      </w:tr>
      <w:tr w14:paraId="59EF21C7">
        <w:tblPrEx>
          <w:tblCellMar>
            <w:top w:w="0" w:type="dxa"/>
            <w:left w:w="108" w:type="dxa"/>
            <w:bottom w:w="0" w:type="dxa"/>
            <w:right w:w="108" w:type="dxa"/>
          </w:tblCellMar>
        </w:tblPrEx>
        <w:trPr>
          <w:cantSplit/>
          <w:trHeight w:val="421"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31E9DE74">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670AF179">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递交响应文件</w:t>
            </w:r>
          </w:p>
        </w:tc>
        <w:tc>
          <w:tcPr>
            <w:tcW w:w="6105" w:type="dxa"/>
            <w:gridSpan w:val="7"/>
            <w:tcBorders>
              <w:top w:val="single" w:color="auto" w:sz="4" w:space="0"/>
              <w:left w:val="single" w:color="auto" w:sz="4" w:space="0"/>
              <w:bottom w:val="single" w:color="auto" w:sz="4" w:space="0"/>
              <w:right w:val="single" w:color="auto" w:sz="4" w:space="0"/>
            </w:tcBorders>
            <w:noWrap w:val="0"/>
            <w:vAlign w:val="center"/>
          </w:tcPr>
          <w:p w14:paraId="51B2BE6E">
            <w:pPr>
              <w:tabs>
                <w:tab w:val="left" w:pos="1260"/>
              </w:tabs>
              <w:spacing w:line="360" w:lineRule="exact"/>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正本</w:t>
            </w:r>
            <w:r>
              <w:rPr>
                <w:rFonts w:hint="default" w:ascii="Times New Roman" w:hAnsi="Times New Roman" w:eastAsia="仿宋_GB2312" w:cs="Times New Roman"/>
                <w:color w:val="auto"/>
                <w:sz w:val="24"/>
                <w:u w:val="single"/>
              </w:rPr>
              <w:t>1</w:t>
            </w:r>
            <w:r>
              <w:rPr>
                <w:rFonts w:hint="default" w:ascii="Times New Roman" w:hAnsi="Times New Roman" w:eastAsia="仿宋_GB2312" w:cs="Times New Roman"/>
                <w:color w:val="auto"/>
                <w:sz w:val="24"/>
              </w:rPr>
              <w:t>份、副本</w:t>
            </w:r>
            <w:r>
              <w:rPr>
                <w:rFonts w:hint="default" w:ascii="Times New Roman" w:hAnsi="Times New Roman" w:eastAsia="仿宋_GB2312" w:cs="Times New Roman"/>
                <w:color w:val="auto"/>
                <w:sz w:val="24"/>
                <w:u w:val="single"/>
              </w:rPr>
              <w:t>2</w:t>
            </w:r>
            <w:r>
              <w:rPr>
                <w:rFonts w:hint="default" w:ascii="Times New Roman" w:hAnsi="Times New Roman" w:eastAsia="仿宋_GB2312" w:cs="Times New Roman"/>
                <w:color w:val="auto"/>
                <w:sz w:val="24"/>
              </w:rPr>
              <w:t>份</w:t>
            </w:r>
          </w:p>
        </w:tc>
      </w:tr>
      <w:tr w14:paraId="223F13E4">
        <w:tblPrEx>
          <w:tblCellMar>
            <w:top w:w="0" w:type="dxa"/>
            <w:left w:w="108" w:type="dxa"/>
            <w:bottom w:w="0" w:type="dxa"/>
            <w:right w:w="108" w:type="dxa"/>
          </w:tblCellMar>
        </w:tblPrEx>
        <w:trPr>
          <w:cantSplit/>
          <w:trHeight w:val="44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040EFE1E">
            <w:pPr>
              <w:widowControl/>
              <w:ind w:firstLine="459"/>
              <w:jc w:val="center"/>
              <w:rPr>
                <w:rFonts w:hint="default" w:ascii="Times New Roman" w:hAnsi="Times New Roman" w:eastAsia="仿宋" w:cs="Times New Roman"/>
                <w:color w:val="auto"/>
                <w:sz w:val="24"/>
              </w:rPr>
            </w:pPr>
          </w:p>
        </w:tc>
        <w:tc>
          <w:tcPr>
            <w:tcW w:w="2086" w:type="dxa"/>
            <w:gridSpan w:val="2"/>
            <w:tcBorders>
              <w:top w:val="single" w:color="auto" w:sz="4" w:space="0"/>
              <w:left w:val="single" w:color="auto" w:sz="4" w:space="0"/>
              <w:bottom w:val="single" w:color="auto" w:sz="4" w:space="0"/>
              <w:right w:val="single" w:color="auto" w:sz="4" w:space="0"/>
            </w:tcBorders>
            <w:noWrap w:val="0"/>
            <w:vAlign w:val="center"/>
          </w:tcPr>
          <w:p w14:paraId="4E70B10E">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交纳保证金</w:t>
            </w:r>
          </w:p>
        </w:tc>
        <w:tc>
          <w:tcPr>
            <w:tcW w:w="6105" w:type="dxa"/>
            <w:gridSpan w:val="7"/>
            <w:tcBorders>
              <w:top w:val="single" w:color="auto" w:sz="4" w:space="0"/>
              <w:left w:val="single" w:color="auto" w:sz="4" w:space="0"/>
              <w:bottom w:val="single" w:color="auto" w:sz="4" w:space="0"/>
              <w:right w:val="single" w:color="auto" w:sz="4" w:space="0"/>
            </w:tcBorders>
            <w:noWrap w:val="0"/>
            <w:vAlign w:val="center"/>
          </w:tcPr>
          <w:p w14:paraId="5F8486F4">
            <w:pPr>
              <w:tabs>
                <w:tab w:val="left" w:pos="1260"/>
              </w:tabs>
              <w:spacing w:line="360" w:lineRule="exact"/>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RMB：   元。</w:t>
            </w:r>
          </w:p>
        </w:tc>
      </w:tr>
      <w:tr w14:paraId="006A7C41">
        <w:tblPrEx>
          <w:tblCellMar>
            <w:top w:w="0" w:type="dxa"/>
            <w:left w:w="108" w:type="dxa"/>
            <w:bottom w:w="0" w:type="dxa"/>
            <w:right w:w="108" w:type="dxa"/>
          </w:tblCellMar>
        </w:tblPrEx>
        <w:trPr>
          <w:cantSplit/>
          <w:trHeight w:val="632"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66E718C1">
            <w:pPr>
              <w:widowControl/>
              <w:ind w:firstLine="459"/>
              <w:rPr>
                <w:rFonts w:hint="default" w:ascii="Times New Roman" w:hAnsi="Times New Roman" w:eastAsia="仿宋" w:cs="Times New Roman"/>
                <w:color w:val="auto"/>
                <w:sz w:val="24"/>
              </w:rPr>
            </w:pPr>
          </w:p>
        </w:tc>
        <w:tc>
          <w:tcPr>
            <w:tcW w:w="8191" w:type="dxa"/>
            <w:gridSpan w:val="9"/>
            <w:tcBorders>
              <w:top w:val="single" w:color="auto" w:sz="4" w:space="0"/>
              <w:left w:val="single" w:color="auto" w:sz="4" w:space="0"/>
              <w:bottom w:val="single" w:color="auto" w:sz="4" w:space="0"/>
              <w:right w:val="single" w:color="auto" w:sz="4" w:space="0"/>
            </w:tcBorders>
            <w:noWrap w:val="0"/>
            <w:vAlign w:val="center"/>
          </w:tcPr>
          <w:p w14:paraId="7CB958ED">
            <w:pPr>
              <w:tabs>
                <w:tab w:val="left" w:pos="1260"/>
              </w:tabs>
              <w:spacing w:line="360" w:lineRule="exact"/>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作为响应人郑重声明</w:t>
            </w:r>
          </w:p>
        </w:tc>
      </w:tr>
      <w:tr w14:paraId="02AF7435">
        <w:tblPrEx>
          <w:tblCellMar>
            <w:top w:w="0" w:type="dxa"/>
            <w:left w:w="108" w:type="dxa"/>
            <w:bottom w:w="0" w:type="dxa"/>
            <w:right w:w="108" w:type="dxa"/>
          </w:tblCellMar>
        </w:tblPrEx>
        <w:trPr>
          <w:cantSplit/>
          <w:trHeight w:val="63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4EFEFE7B">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300ACC15">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A</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1FF8A990">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依据响应文件的内容要求，提供完全满足采购需求的合格产品和全面技术、售后服务保障。</w:t>
            </w:r>
          </w:p>
        </w:tc>
      </w:tr>
      <w:tr w14:paraId="49E01FCE">
        <w:tblPrEx>
          <w:tblCellMar>
            <w:top w:w="0" w:type="dxa"/>
            <w:left w:w="108" w:type="dxa"/>
            <w:bottom w:w="0" w:type="dxa"/>
            <w:right w:w="108" w:type="dxa"/>
          </w:tblCellMar>
        </w:tblPrEx>
        <w:trPr>
          <w:cantSplit/>
          <w:trHeight w:val="63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1B615FFE">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33D393FB">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B</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3894ABCC">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已详细阅读和核实全部响应文件内容,完全清楚和知道必须放弃提出含糊不清或误解问题的所有权利。</w:t>
            </w:r>
          </w:p>
        </w:tc>
      </w:tr>
      <w:tr w14:paraId="49689267">
        <w:tblPrEx>
          <w:tblCellMar>
            <w:top w:w="0" w:type="dxa"/>
            <w:left w:w="108" w:type="dxa"/>
            <w:bottom w:w="0" w:type="dxa"/>
            <w:right w:w="108" w:type="dxa"/>
          </w:tblCellMar>
        </w:tblPrEx>
        <w:trPr>
          <w:cantSplit/>
          <w:trHeight w:val="518"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044CC44F">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78D58841">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C</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6DB987A2">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同意提供与本次磋商采购活动相关的其他任何证据和资料。</w:t>
            </w:r>
          </w:p>
        </w:tc>
      </w:tr>
      <w:tr w14:paraId="2262E94F">
        <w:tblPrEx>
          <w:tblCellMar>
            <w:top w:w="0" w:type="dxa"/>
            <w:left w:w="108" w:type="dxa"/>
            <w:bottom w:w="0" w:type="dxa"/>
            <w:right w:w="108" w:type="dxa"/>
          </w:tblCellMar>
        </w:tblPrEx>
        <w:trPr>
          <w:cantSplit/>
          <w:trHeight w:val="470"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6583FF09">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2E5185CF">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D</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57295896">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尊重评审委员会的评审结论及成交结果。</w:t>
            </w:r>
          </w:p>
        </w:tc>
      </w:tr>
      <w:tr w14:paraId="51722F72">
        <w:tblPrEx>
          <w:tblCellMar>
            <w:top w:w="0" w:type="dxa"/>
            <w:left w:w="108" w:type="dxa"/>
            <w:bottom w:w="0" w:type="dxa"/>
            <w:right w:w="108" w:type="dxa"/>
          </w:tblCellMar>
        </w:tblPrEx>
        <w:trPr>
          <w:cantSplit/>
          <w:trHeight w:val="633"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3464BD5E">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6C164598">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E</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349B1004">
            <w:pPr>
              <w:tabs>
                <w:tab w:val="left" w:pos="1260"/>
              </w:tabs>
              <w:spacing w:line="300" w:lineRule="exact"/>
              <w:ind w:firstLine="243" w:firstLineChars="100"/>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如若成交，将根据磋商文件的要求、响应文件及承诺条件，全面签约并履行约定书规定的责任和义务。</w:t>
            </w:r>
          </w:p>
        </w:tc>
      </w:tr>
      <w:tr w14:paraId="233E8BDC">
        <w:tblPrEx>
          <w:tblCellMar>
            <w:top w:w="0" w:type="dxa"/>
            <w:left w:w="108" w:type="dxa"/>
            <w:bottom w:w="0" w:type="dxa"/>
            <w:right w:w="108" w:type="dxa"/>
          </w:tblCellMar>
        </w:tblPrEx>
        <w:trPr>
          <w:cantSplit/>
          <w:trHeight w:val="470" w:hRule="atLeast"/>
        </w:trPr>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14:paraId="1270F2EB">
            <w:pPr>
              <w:widowControl/>
              <w:ind w:firstLine="459"/>
              <w:rPr>
                <w:rFonts w:hint="default" w:ascii="Times New Roman" w:hAnsi="Times New Roman" w:eastAsia="仿宋" w:cs="Times New Roman"/>
                <w:color w:val="auto"/>
                <w:sz w:val="24"/>
              </w:rPr>
            </w:pPr>
          </w:p>
        </w:tc>
        <w:tc>
          <w:tcPr>
            <w:tcW w:w="613" w:type="dxa"/>
            <w:tcBorders>
              <w:top w:val="single" w:color="auto" w:sz="4" w:space="0"/>
              <w:left w:val="single" w:color="auto" w:sz="4" w:space="0"/>
              <w:bottom w:val="single" w:color="auto" w:sz="4" w:space="0"/>
              <w:right w:val="single" w:color="auto" w:sz="4" w:space="0"/>
            </w:tcBorders>
            <w:noWrap w:val="0"/>
            <w:vAlign w:val="center"/>
          </w:tcPr>
          <w:p w14:paraId="36A0CD88">
            <w:pPr>
              <w:tabs>
                <w:tab w:val="left" w:pos="1260"/>
              </w:tabs>
              <w:spacing w:line="360" w:lineRule="exact"/>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F</w:t>
            </w:r>
          </w:p>
        </w:tc>
        <w:tc>
          <w:tcPr>
            <w:tcW w:w="7578" w:type="dxa"/>
            <w:gridSpan w:val="8"/>
            <w:tcBorders>
              <w:top w:val="single" w:color="auto" w:sz="4" w:space="0"/>
              <w:left w:val="single" w:color="auto" w:sz="4" w:space="0"/>
              <w:bottom w:val="single" w:color="auto" w:sz="4" w:space="0"/>
              <w:right w:val="single" w:color="auto" w:sz="4" w:space="0"/>
            </w:tcBorders>
            <w:noWrap w:val="0"/>
            <w:vAlign w:val="center"/>
          </w:tcPr>
          <w:p w14:paraId="0D2113F3">
            <w:pPr>
              <w:tabs>
                <w:tab w:val="left" w:pos="1260"/>
              </w:tabs>
              <w:spacing w:line="300" w:lineRule="exact"/>
              <w:ind w:firstLine="237" w:firstLineChars="98"/>
              <w:rPr>
                <w:rFonts w:hint="default" w:ascii="Times New Roman" w:hAnsi="Times New Roman" w:eastAsia="仿宋" w:cs="Times New Roman"/>
                <w:color w:val="auto"/>
                <w:sz w:val="24"/>
              </w:rPr>
            </w:pPr>
            <w:r>
              <w:rPr>
                <w:rFonts w:hint="default" w:ascii="Times New Roman" w:hAnsi="Times New Roman" w:eastAsia="仿宋_GB2312" w:cs="Times New Roman"/>
                <w:b/>
                <w:bCs/>
                <w:color w:val="auto"/>
                <w:sz w:val="24"/>
              </w:rPr>
              <w:t>本响应文件自磋商大会之日计算有效期为90天</w:t>
            </w:r>
            <w:r>
              <w:rPr>
                <w:rFonts w:hint="default" w:ascii="Times New Roman" w:hAnsi="Times New Roman" w:eastAsia="仿宋_GB2312" w:cs="Times New Roman"/>
                <w:color w:val="auto"/>
                <w:sz w:val="24"/>
              </w:rPr>
              <w:t>。</w:t>
            </w:r>
          </w:p>
        </w:tc>
      </w:tr>
      <w:tr w14:paraId="2948E625">
        <w:tblPrEx>
          <w:tblCellMar>
            <w:top w:w="0" w:type="dxa"/>
            <w:left w:w="108" w:type="dxa"/>
            <w:bottom w:w="0" w:type="dxa"/>
            <w:right w:w="108" w:type="dxa"/>
          </w:tblCellMar>
        </w:tblPrEx>
        <w:trPr>
          <w:trHeight w:val="580" w:hRule="atLeast"/>
        </w:trPr>
        <w:tc>
          <w:tcPr>
            <w:tcW w:w="9020" w:type="dxa"/>
            <w:gridSpan w:val="10"/>
            <w:tcBorders>
              <w:top w:val="single" w:color="auto" w:sz="4" w:space="0"/>
              <w:left w:val="single" w:color="auto" w:sz="4" w:space="0"/>
              <w:bottom w:val="single" w:color="auto" w:sz="4" w:space="0"/>
              <w:right w:val="single" w:color="auto" w:sz="4" w:space="0"/>
            </w:tcBorders>
            <w:noWrap w:val="0"/>
            <w:vAlign w:val="center"/>
          </w:tcPr>
          <w:p w14:paraId="1BBBC2F5">
            <w:pPr>
              <w:tabs>
                <w:tab w:val="left" w:pos="1260"/>
              </w:tabs>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有关本次磋商的所有联络函电，请按下列方式联系：</w:t>
            </w:r>
          </w:p>
        </w:tc>
      </w:tr>
      <w:tr w14:paraId="20888D4D">
        <w:tblPrEx>
          <w:tblCellMar>
            <w:top w:w="0" w:type="dxa"/>
            <w:left w:w="108" w:type="dxa"/>
            <w:bottom w:w="0" w:type="dxa"/>
            <w:right w:w="108" w:type="dxa"/>
          </w:tblCellMar>
        </w:tblPrEx>
        <w:trPr>
          <w:trHeight w:val="400" w:hRule="atLeast"/>
        </w:trPr>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5D71B39F">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地    址</w:t>
            </w:r>
          </w:p>
        </w:tc>
        <w:tc>
          <w:tcPr>
            <w:tcW w:w="4382" w:type="dxa"/>
            <w:gridSpan w:val="4"/>
            <w:tcBorders>
              <w:top w:val="single" w:color="auto" w:sz="4" w:space="0"/>
              <w:left w:val="single" w:color="auto" w:sz="4" w:space="0"/>
              <w:bottom w:val="single" w:color="auto" w:sz="4" w:space="0"/>
              <w:right w:val="single" w:color="auto" w:sz="4" w:space="0"/>
            </w:tcBorders>
            <w:noWrap w:val="0"/>
            <w:vAlign w:val="center"/>
          </w:tcPr>
          <w:p w14:paraId="475393CF">
            <w:pPr>
              <w:tabs>
                <w:tab w:val="left" w:pos="1260"/>
              </w:tabs>
              <w:ind w:firstLine="394"/>
              <w:jc w:val="center"/>
              <w:rPr>
                <w:rFonts w:hint="default" w:ascii="Times New Roman" w:hAnsi="Times New Roman" w:eastAsia="仿宋" w:cs="Times New Roman"/>
                <w:color w:val="auto"/>
                <w:sz w:val="24"/>
              </w:rPr>
            </w:pPr>
          </w:p>
        </w:tc>
        <w:tc>
          <w:tcPr>
            <w:tcW w:w="1390" w:type="dxa"/>
            <w:gridSpan w:val="3"/>
            <w:tcBorders>
              <w:top w:val="single" w:color="auto" w:sz="4" w:space="0"/>
              <w:left w:val="single" w:color="auto" w:sz="4" w:space="0"/>
              <w:bottom w:val="single" w:color="auto" w:sz="4" w:space="0"/>
              <w:right w:val="single" w:color="auto" w:sz="4" w:space="0"/>
            </w:tcBorders>
            <w:noWrap w:val="0"/>
            <w:vAlign w:val="center"/>
          </w:tcPr>
          <w:p w14:paraId="6AF46C77">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邮政编码</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45180F64">
            <w:pPr>
              <w:tabs>
                <w:tab w:val="left" w:pos="1260"/>
              </w:tabs>
              <w:ind w:firstLine="459"/>
              <w:rPr>
                <w:rFonts w:hint="default" w:ascii="Times New Roman" w:hAnsi="Times New Roman" w:eastAsia="仿宋" w:cs="Times New Roman"/>
                <w:color w:val="auto"/>
                <w:sz w:val="24"/>
              </w:rPr>
            </w:pPr>
          </w:p>
        </w:tc>
      </w:tr>
      <w:tr w14:paraId="1F0F16A4">
        <w:tblPrEx>
          <w:tblCellMar>
            <w:top w:w="0" w:type="dxa"/>
            <w:left w:w="108" w:type="dxa"/>
            <w:bottom w:w="0" w:type="dxa"/>
            <w:right w:w="108" w:type="dxa"/>
          </w:tblCellMar>
        </w:tblPrEx>
        <w:trPr>
          <w:trHeight w:val="400" w:hRule="atLeast"/>
        </w:trPr>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03435FF8">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电话/传真</w:t>
            </w:r>
          </w:p>
        </w:tc>
        <w:tc>
          <w:tcPr>
            <w:tcW w:w="4382" w:type="dxa"/>
            <w:gridSpan w:val="4"/>
            <w:tcBorders>
              <w:top w:val="single" w:color="auto" w:sz="4" w:space="0"/>
              <w:left w:val="single" w:color="auto" w:sz="4" w:space="0"/>
              <w:bottom w:val="single" w:color="auto" w:sz="4" w:space="0"/>
              <w:right w:val="single" w:color="auto" w:sz="4" w:space="0"/>
            </w:tcBorders>
            <w:noWrap w:val="0"/>
            <w:vAlign w:val="center"/>
          </w:tcPr>
          <w:p w14:paraId="1D4F9133">
            <w:pPr>
              <w:tabs>
                <w:tab w:val="left" w:pos="1260"/>
              </w:tabs>
              <w:ind w:firstLine="394"/>
              <w:jc w:val="center"/>
              <w:rPr>
                <w:rFonts w:hint="default" w:ascii="Times New Roman" w:hAnsi="Times New Roman" w:eastAsia="仿宋" w:cs="Times New Roman"/>
                <w:color w:val="auto"/>
                <w:sz w:val="24"/>
              </w:rPr>
            </w:pPr>
          </w:p>
        </w:tc>
        <w:tc>
          <w:tcPr>
            <w:tcW w:w="1390" w:type="dxa"/>
            <w:gridSpan w:val="3"/>
            <w:tcBorders>
              <w:top w:val="single" w:color="auto" w:sz="4" w:space="0"/>
              <w:left w:val="single" w:color="auto" w:sz="4" w:space="0"/>
              <w:bottom w:val="single" w:color="auto" w:sz="4" w:space="0"/>
              <w:right w:val="single" w:color="auto" w:sz="4" w:space="0"/>
            </w:tcBorders>
            <w:noWrap w:val="0"/>
            <w:vAlign w:val="center"/>
          </w:tcPr>
          <w:p w14:paraId="0E776CAE">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联 系 人</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7376A717">
            <w:pPr>
              <w:tabs>
                <w:tab w:val="left" w:pos="1260"/>
              </w:tabs>
              <w:ind w:firstLine="459"/>
              <w:rPr>
                <w:rFonts w:hint="default" w:ascii="Times New Roman" w:hAnsi="Times New Roman" w:eastAsia="仿宋" w:cs="Times New Roman"/>
                <w:color w:val="auto"/>
                <w:sz w:val="24"/>
              </w:rPr>
            </w:pPr>
          </w:p>
        </w:tc>
      </w:tr>
      <w:tr w14:paraId="6228C222">
        <w:tblPrEx>
          <w:tblCellMar>
            <w:top w:w="0" w:type="dxa"/>
            <w:left w:w="108" w:type="dxa"/>
            <w:bottom w:w="0" w:type="dxa"/>
            <w:right w:w="108" w:type="dxa"/>
          </w:tblCellMar>
        </w:tblPrEx>
        <w:trPr>
          <w:trHeight w:val="400" w:hRule="atLeast"/>
        </w:trPr>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0DDE5A0B">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网    址</w:t>
            </w:r>
          </w:p>
        </w:tc>
        <w:tc>
          <w:tcPr>
            <w:tcW w:w="4382" w:type="dxa"/>
            <w:gridSpan w:val="4"/>
            <w:tcBorders>
              <w:top w:val="single" w:color="auto" w:sz="4" w:space="0"/>
              <w:left w:val="single" w:color="auto" w:sz="4" w:space="0"/>
              <w:bottom w:val="single" w:color="auto" w:sz="4" w:space="0"/>
              <w:right w:val="single" w:color="auto" w:sz="4" w:space="0"/>
            </w:tcBorders>
            <w:noWrap w:val="0"/>
            <w:vAlign w:val="center"/>
          </w:tcPr>
          <w:p w14:paraId="0AF711A7">
            <w:pPr>
              <w:tabs>
                <w:tab w:val="left" w:pos="1260"/>
              </w:tabs>
              <w:ind w:firstLine="394"/>
              <w:jc w:val="center"/>
              <w:rPr>
                <w:rFonts w:hint="default" w:ascii="Times New Roman" w:hAnsi="Times New Roman" w:eastAsia="仿宋" w:cs="Times New Roman"/>
                <w:color w:val="auto"/>
                <w:sz w:val="24"/>
              </w:rPr>
            </w:pPr>
          </w:p>
        </w:tc>
        <w:tc>
          <w:tcPr>
            <w:tcW w:w="1390" w:type="dxa"/>
            <w:gridSpan w:val="3"/>
            <w:tcBorders>
              <w:top w:val="single" w:color="auto" w:sz="4" w:space="0"/>
              <w:left w:val="single" w:color="auto" w:sz="4" w:space="0"/>
              <w:bottom w:val="single" w:color="auto" w:sz="4" w:space="0"/>
              <w:right w:val="single" w:color="auto" w:sz="4" w:space="0"/>
            </w:tcBorders>
            <w:noWrap w:val="0"/>
            <w:vAlign w:val="center"/>
          </w:tcPr>
          <w:p w14:paraId="3B340898">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手机号码</w:t>
            </w:r>
          </w:p>
        </w:tc>
        <w:tc>
          <w:tcPr>
            <w:tcW w:w="1806" w:type="dxa"/>
            <w:tcBorders>
              <w:top w:val="single" w:color="auto" w:sz="4" w:space="0"/>
              <w:left w:val="single" w:color="auto" w:sz="4" w:space="0"/>
              <w:bottom w:val="single" w:color="auto" w:sz="4" w:space="0"/>
              <w:right w:val="single" w:color="auto" w:sz="4" w:space="0"/>
            </w:tcBorders>
            <w:noWrap w:val="0"/>
            <w:vAlign w:val="center"/>
          </w:tcPr>
          <w:p w14:paraId="7BCDB756">
            <w:pPr>
              <w:tabs>
                <w:tab w:val="left" w:pos="1260"/>
              </w:tabs>
              <w:ind w:firstLine="459"/>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24"/>
              </w:rPr>
              <mc:AlternateContent>
                <mc:Choice Requires="wps">
                  <w:drawing>
                    <wp:anchor distT="0" distB="0" distL="114300" distR="114300" simplePos="0" relativeHeight="251661312" behindDoc="0" locked="0" layoutInCell="1" allowOverlap="1">
                      <wp:simplePos x="0" y="0"/>
                      <wp:positionH relativeFrom="column">
                        <wp:posOffset>1074420</wp:posOffset>
                      </wp:positionH>
                      <wp:positionV relativeFrom="paragraph">
                        <wp:posOffset>228600</wp:posOffset>
                      </wp:positionV>
                      <wp:extent cx="5080" cy="1478915"/>
                      <wp:effectExtent l="4445" t="0" r="9525" b="6985"/>
                      <wp:wrapNone/>
                      <wp:docPr id="1" name="直接连接符 1"/>
                      <wp:cNvGraphicFramePr/>
                      <a:graphic xmlns:a="http://schemas.openxmlformats.org/drawingml/2006/main">
                        <a:graphicData uri="http://schemas.microsoft.com/office/word/2010/wordprocessingShape">
                          <wps:wsp>
                            <wps:cNvCnPr/>
                            <wps:spPr>
                              <a:xfrm>
                                <a:off x="0" y="0"/>
                                <a:ext cx="5080" cy="14789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6pt;margin-top:18pt;height:116.45pt;width:0.4pt;z-index:251661312;mso-width-relative:page;mso-height-relative:page;" filled="f" stroked="t" coordsize="21600,21600" o:gfxdata="UEsDBAoAAAAAAIdO4kAAAAAAAAAAAAAAAAAEAAAAZHJzL1BLAwQUAAAACACHTuJA9OuOg9cAAAAK&#10;AQAADwAAAGRycy9kb3ducmV2LnhtbE2PPU/DMBCGdyT+g3VILFVrN5VCG+J0ALKx0IJYr8k1iYjP&#10;aex+wK/nOsF2r+7R+5GvL65XJxpD59nCfGZAEVe+7rix8L4tp0tQISLX2HsmC98UYF3c3uSY1f7M&#10;b3TaxEaJCYcMLbQxDpnWoWrJYZj5gVh+ez86jCLHRtcjnsXc9ToxJtUOO5aEFgd6aqn62hydhVB+&#10;0KH8mVQT87loPCWH59cXtPb+bm4eQUW6xD8YrvWlOhTSaeePXAfVi05XiaAWFqlsugIPRo6dhSRd&#10;rkAXuf4/ofgFUEsDBBQAAAAIAIdO4kBmx4Nu9QEAAOcDAAAOAAAAZHJzL2Uyb0RvYy54bWytU82O&#10;0zAQviPxDpbvNE1FoRs13cOW5YKgEvAAU8dJLPlPHrdpX4IXQOIGJ47ceRuWx2DslC4slx7IwRnb&#10;nz/P9814eX0wmu1lQOVszcvJlDNphWuU7Wr+/t3tkwVnGME2oJ2VNT9K5Nerx4+Wg6/kzPVONzIw&#10;IrFYDb7mfYy+KgoUvTSAE+elpc3WBQORpqErmgADsRtdzKbTZ8XgQuODExKRVtfjJj8xhksIXdsq&#10;IddO7Iy0cWQNUkMkSdgrj3yVs21bKeKbtkUZma45KY15pEso3qaxWC2h6gL4XolTCnBJCg80GVCW&#10;Lj1TrSEC2wX1D5VRIjh0bZwIZ4pRSHaEVJTTB9687cHLrIWsRn82Hf8frXi93wSmGuoEziwYKvjd&#10;x28/Pnz++f0TjXdfv7AymTR4rAh7YzfhNEO/CUnxoQ0m/UkLO2Rjj2dj5SEyQYvz6YIMF7RRPn2+&#10;uCrnibK4P+sDxpfSGZaCmmtlk2yoYP8K4wj9DUnL2rKh5lfz2ZxIgXqwpdpTaDzpQNvls+i0am6V&#10;1ukEhm57owPbQ+qD/J1S+AuWLlkD9iMubyUYVL2E5oVtWDx6csjSw+ApBSMbzrSkd5SijIyg9CVI&#10;Uq8tmZCMHa1M0dY1R6rHzgfV9eRE9j5jqP7ZslOvpgb7c56Z7t/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0646D1wAAAAoBAAAPAAAAAAAAAAEAIAAAACIAAABkcnMvZG93bnJldi54bWxQSwEC&#10;FAAUAAAACACHTuJAZseDbvUBAADnAwAADgAAAAAAAAABACAAAAAmAQAAZHJzL2Uyb0RvYy54bWxQ&#10;SwUGAAAAAAYABgBZAQAAjQUAAAAA&#10;">
                      <v:fill on="f" focussize="0,0"/>
                      <v:stroke color="#000000" joinstyle="round"/>
                      <v:imagedata o:title=""/>
                      <o:lock v:ext="edit" aspectratio="f"/>
                    </v:line>
                  </w:pict>
                </mc:Fallback>
              </mc:AlternateContent>
            </w:r>
          </w:p>
        </w:tc>
      </w:tr>
      <w:tr w14:paraId="36F7697A">
        <w:tblPrEx>
          <w:tblCellMar>
            <w:top w:w="0" w:type="dxa"/>
            <w:left w:w="108" w:type="dxa"/>
            <w:bottom w:w="0" w:type="dxa"/>
            <w:right w:w="108" w:type="dxa"/>
          </w:tblCellMar>
        </w:tblPrEx>
        <w:trPr>
          <w:trHeight w:val="658" w:hRule="atLeast"/>
        </w:trPr>
        <w:tc>
          <w:tcPr>
            <w:tcW w:w="3006" w:type="dxa"/>
            <w:gridSpan w:val="4"/>
            <w:tcBorders>
              <w:top w:val="single" w:color="auto" w:sz="4" w:space="0"/>
              <w:left w:val="single" w:color="auto" w:sz="4" w:space="0"/>
              <w:bottom w:val="single" w:color="auto" w:sz="4" w:space="0"/>
            </w:tcBorders>
            <w:noWrap w:val="0"/>
            <w:vAlign w:val="center"/>
          </w:tcPr>
          <w:p w14:paraId="529D7794">
            <w:pPr>
              <w:tabs>
                <w:tab w:val="left" w:pos="1260"/>
              </w:tabs>
              <w:jc w:val="center"/>
              <w:rPr>
                <w:rFonts w:hint="default" w:ascii="Times New Roman" w:hAnsi="Times New Roman" w:eastAsia="仿宋" w:cs="Times New Roman"/>
                <w:bCs/>
                <w:color w:val="auto"/>
                <w:sz w:val="24"/>
              </w:rPr>
            </w:pPr>
            <w:r>
              <w:rPr>
                <w:rFonts w:hint="default" w:ascii="Times New Roman" w:hAnsi="Times New Roman" w:eastAsia="仿宋_GB2312" w:cs="Times New Roman"/>
                <w:color w:val="auto"/>
                <w:sz w:val="24"/>
              </w:rPr>
              <w:t>响应人</w:t>
            </w:r>
          </w:p>
        </w:tc>
        <w:tc>
          <w:tcPr>
            <w:tcW w:w="3006" w:type="dxa"/>
            <w:gridSpan w:val="3"/>
            <w:tcBorders>
              <w:top w:val="single" w:color="auto" w:sz="4" w:space="0"/>
              <w:left w:val="single" w:color="auto" w:sz="4" w:space="0"/>
              <w:bottom w:val="single" w:color="auto" w:sz="4" w:space="0"/>
            </w:tcBorders>
            <w:noWrap w:val="0"/>
            <w:vAlign w:val="center"/>
          </w:tcPr>
          <w:p w14:paraId="77FA21F3">
            <w:pPr>
              <w:tabs>
                <w:tab w:val="left" w:pos="1260"/>
              </w:tabs>
              <w:jc w:val="center"/>
              <w:rPr>
                <w:rFonts w:hint="default" w:ascii="Times New Roman" w:hAnsi="Times New Roman" w:eastAsia="仿宋" w:cs="Times New Roman"/>
                <w:bCs/>
                <w:color w:val="auto"/>
                <w:sz w:val="24"/>
              </w:rPr>
            </w:pPr>
            <w:r>
              <w:rPr>
                <w:rFonts w:hint="default" w:ascii="Times New Roman" w:hAnsi="Times New Roman" w:eastAsia="仿宋_GB2312" w:cs="Times New Roman"/>
                <w:color w:val="auto"/>
                <w:kern w:val="1"/>
                <w:sz w:val="24"/>
              </w:rPr>
              <w:t>法定代表人&lt;或负责人&gt;或被授权人</w:t>
            </w:r>
          </w:p>
        </w:tc>
        <w:tc>
          <w:tcPr>
            <w:tcW w:w="3008" w:type="dxa"/>
            <w:gridSpan w:val="3"/>
            <w:tcBorders>
              <w:top w:val="single" w:color="auto" w:sz="4" w:space="0"/>
              <w:left w:val="single" w:color="auto" w:sz="4" w:space="0"/>
              <w:bottom w:val="single" w:color="auto" w:sz="4" w:space="0"/>
            </w:tcBorders>
            <w:noWrap w:val="0"/>
            <w:vAlign w:val="center"/>
          </w:tcPr>
          <w:p w14:paraId="7650FBA6">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sz w:val="24"/>
              </w:rPr>
              <w:t>签署日期</w:t>
            </w:r>
          </w:p>
        </w:tc>
      </w:tr>
      <w:tr w14:paraId="07551959">
        <w:tblPrEx>
          <w:tblCellMar>
            <w:top w:w="0" w:type="dxa"/>
            <w:left w:w="108" w:type="dxa"/>
            <w:bottom w:w="0" w:type="dxa"/>
            <w:right w:w="108" w:type="dxa"/>
          </w:tblCellMar>
        </w:tblPrEx>
        <w:trPr>
          <w:trHeight w:val="1310" w:hRule="atLeast"/>
        </w:trPr>
        <w:tc>
          <w:tcPr>
            <w:tcW w:w="3006" w:type="dxa"/>
            <w:gridSpan w:val="4"/>
            <w:tcBorders>
              <w:top w:val="single" w:color="auto" w:sz="4" w:space="0"/>
              <w:left w:val="single" w:color="auto" w:sz="4" w:space="0"/>
              <w:bottom w:val="single" w:color="auto" w:sz="4" w:space="0"/>
            </w:tcBorders>
            <w:noWrap w:val="0"/>
            <w:vAlign w:val="center"/>
          </w:tcPr>
          <w:p w14:paraId="13F39428">
            <w:pPr>
              <w:tabs>
                <w:tab w:val="left" w:pos="1260"/>
              </w:tabs>
              <w:jc w:val="center"/>
              <w:rPr>
                <w:rFonts w:hint="default" w:ascii="Times New Roman" w:hAnsi="Times New Roman" w:eastAsia="仿宋" w:cs="Times New Roman"/>
                <w:color w:val="auto"/>
                <w:sz w:val="24"/>
              </w:rPr>
            </w:pPr>
            <w:r>
              <w:rPr>
                <w:rFonts w:hint="default" w:ascii="Times New Roman" w:hAnsi="Times New Roman" w:eastAsia="仿宋_GB2312" w:cs="Times New Roman"/>
                <w:color w:val="auto"/>
                <w:kern w:val="1"/>
                <w:sz w:val="24"/>
              </w:rPr>
              <w:t>（法人&lt;或负责人&gt;公章）</w:t>
            </w:r>
          </w:p>
        </w:tc>
        <w:tc>
          <w:tcPr>
            <w:tcW w:w="3006" w:type="dxa"/>
            <w:gridSpan w:val="3"/>
            <w:tcBorders>
              <w:top w:val="single" w:color="auto" w:sz="4" w:space="0"/>
              <w:left w:val="single" w:color="auto" w:sz="4" w:space="0"/>
              <w:bottom w:val="single" w:color="auto" w:sz="4" w:space="0"/>
            </w:tcBorders>
            <w:noWrap w:val="0"/>
            <w:vAlign w:val="center"/>
          </w:tcPr>
          <w:p w14:paraId="37E04477">
            <w:pPr>
              <w:tabs>
                <w:tab w:val="left" w:pos="1260"/>
              </w:tabs>
              <w:jc w:val="center"/>
              <w:rPr>
                <w:rFonts w:hint="default" w:ascii="Times New Roman" w:hAnsi="Times New Roman" w:eastAsia="仿宋" w:cs="Times New Roman"/>
                <w:bCs/>
                <w:color w:val="auto"/>
                <w:sz w:val="24"/>
              </w:rPr>
            </w:pPr>
            <w:r>
              <w:rPr>
                <w:rFonts w:hint="default" w:ascii="Times New Roman" w:hAnsi="Times New Roman" w:eastAsia="仿宋_GB2312" w:cs="Times New Roman"/>
                <w:color w:val="auto"/>
                <w:sz w:val="24"/>
              </w:rPr>
              <w:t>（签字或盖章）</w:t>
            </w:r>
          </w:p>
        </w:tc>
        <w:tc>
          <w:tcPr>
            <w:tcW w:w="3008" w:type="dxa"/>
            <w:gridSpan w:val="3"/>
            <w:tcBorders>
              <w:top w:val="single" w:color="auto" w:sz="4" w:space="0"/>
              <w:left w:val="single" w:color="auto" w:sz="4" w:space="0"/>
              <w:bottom w:val="single" w:color="auto" w:sz="4" w:space="0"/>
            </w:tcBorders>
            <w:noWrap w:val="0"/>
            <w:vAlign w:val="center"/>
          </w:tcPr>
          <w:p w14:paraId="0216A8C7">
            <w:pPr>
              <w:tabs>
                <w:tab w:val="left" w:pos="1260"/>
              </w:tabs>
              <w:ind w:firstLine="729" w:firstLineChars="300"/>
              <w:rPr>
                <w:rFonts w:hint="default" w:ascii="Times New Roman" w:hAnsi="Times New Roman" w:eastAsia="仿宋" w:cs="Times New Roman"/>
                <w:bCs/>
                <w:color w:val="auto"/>
                <w:sz w:val="24"/>
              </w:rPr>
            </w:pPr>
            <w:r>
              <w:rPr>
                <w:rFonts w:hint="default" w:ascii="Times New Roman" w:hAnsi="Times New Roman" w:eastAsia="仿宋_GB2312" w:cs="Times New Roman"/>
                <w:color w:val="auto"/>
                <w:sz w:val="24"/>
              </w:rPr>
              <w:t>年   月   日</w:t>
            </w:r>
          </w:p>
        </w:tc>
      </w:tr>
    </w:tbl>
    <w:p w14:paraId="560D59D7">
      <w:pPr>
        <w:tabs>
          <w:tab w:val="left" w:pos="1260"/>
        </w:tabs>
        <w:spacing w:line="440" w:lineRule="exact"/>
        <w:jc w:val="both"/>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响应报价表</w:t>
      </w:r>
    </w:p>
    <w:p w14:paraId="185B08E2">
      <w:pPr>
        <w:tabs>
          <w:tab w:val="left" w:pos="7920"/>
        </w:tabs>
        <w:spacing w:line="240" w:lineRule="exact"/>
        <w:rPr>
          <w:rFonts w:hint="default" w:ascii="Times New Roman" w:hAnsi="Times New Roman" w:eastAsia="仿宋_GB2312" w:cs="Times New Roman"/>
          <w:color w:val="auto"/>
          <w:sz w:val="32"/>
          <w:szCs w:val="44"/>
        </w:rPr>
      </w:pPr>
    </w:p>
    <w:p w14:paraId="092990AC">
      <w:pPr>
        <w:tabs>
          <w:tab w:val="left" w:pos="7920"/>
        </w:tabs>
        <w:jc w:val="center"/>
        <w:rPr>
          <w:rFonts w:hint="default" w:ascii="Times New Roman" w:hAnsi="Times New Roman" w:eastAsia="仿宋_GB2312" w:cs="Times New Roman"/>
          <w:b/>
          <w:color w:val="auto"/>
          <w:sz w:val="32"/>
          <w:szCs w:val="44"/>
          <w:u w:val="single"/>
        </w:rPr>
      </w:pPr>
      <w:r>
        <w:rPr>
          <w:rFonts w:hint="default" w:ascii="Times New Roman" w:hAnsi="Times New Roman" w:eastAsia="仿宋_GB2312" w:cs="Times New Roman"/>
          <w:b/>
          <w:color w:val="auto"/>
          <w:sz w:val="32"/>
          <w:szCs w:val="44"/>
          <w:u w:val="single"/>
          <w:lang w:val="en-US" w:eastAsia="zh-CN"/>
        </w:rPr>
        <w:t>1.</w:t>
      </w:r>
      <w:r>
        <w:rPr>
          <w:rFonts w:hint="default" w:ascii="Times New Roman" w:hAnsi="Times New Roman" w:eastAsia="仿宋_GB2312" w:cs="Times New Roman"/>
          <w:b/>
          <w:color w:val="auto"/>
          <w:sz w:val="32"/>
          <w:szCs w:val="44"/>
          <w:u w:val="single"/>
        </w:rPr>
        <w:t>报价一览表</w:t>
      </w:r>
    </w:p>
    <w:p w14:paraId="63B5BCE1">
      <w:pPr>
        <w:tabs>
          <w:tab w:val="right" w:leader="dot" w:pos="9022"/>
        </w:tabs>
        <w:autoSpaceDE w:val="0"/>
        <w:autoSpaceDN w:val="0"/>
        <w:adjustRightInd w:val="0"/>
        <w:spacing w:line="400" w:lineRule="exact"/>
        <w:ind w:firstLine="121" w:firstLineChars="50"/>
        <w:jc w:val="left"/>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响应人名称：                                           人民币：元</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8"/>
        <w:gridCol w:w="3470"/>
        <w:gridCol w:w="2420"/>
      </w:tblGrid>
      <w:tr w14:paraId="4249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678" w:type="dxa"/>
            <w:noWrap w:val="0"/>
            <w:vAlign w:val="center"/>
          </w:tcPr>
          <w:p w14:paraId="756641A4">
            <w:pPr>
              <w:tabs>
                <w:tab w:val="right" w:leader="dot" w:pos="9022"/>
              </w:tabs>
              <w:spacing w:line="400" w:lineRule="exact"/>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项目名称</w:t>
            </w:r>
          </w:p>
        </w:tc>
        <w:tc>
          <w:tcPr>
            <w:tcW w:w="5890" w:type="dxa"/>
            <w:gridSpan w:val="2"/>
            <w:noWrap w:val="0"/>
            <w:vAlign w:val="center"/>
          </w:tcPr>
          <w:p w14:paraId="5AC29E90">
            <w:pPr>
              <w:tabs>
                <w:tab w:val="right" w:leader="dot" w:pos="9022"/>
              </w:tabs>
              <w:spacing w:line="400" w:lineRule="exact"/>
              <w:jc w:val="center"/>
              <w:rPr>
                <w:rFonts w:hint="default" w:ascii="Times New Roman" w:hAnsi="Times New Roman" w:eastAsia="仿宋" w:cs="Times New Roman"/>
                <w:b/>
                <w:color w:val="auto"/>
                <w:sz w:val="24"/>
              </w:rPr>
            </w:pPr>
          </w:p>
        </w:tc>
      </w:tr>
      <w:tr w14:paraId="67D97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78" w:type="dxa"/>
            <w:noWrap w:val="0"/>
            <w:vAlign w:val="center"/>
          </w:tcPr>
          <w:p w14:paraId="6ADA4964">
            <w:pPr>
              <w:tabs>
                <w:tab w:val="right" w:leader="dot" w:pos="9022"/>
              </w:tabs>
              <w:spacing w:line="400" w:lineRule="exact"/>
              <w:ind w:left="480" w:hanging="486" w:hangingChars="200"/>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 xml:space="preserve"> 总报价小写：</w:t>
            </w:r>
          </w:p>
        </w:tc>
        <w:tc>
          <w:tcPr>
            <w:tcW w:w="5890" w:type="dxa"/>
            <w:gridSpan w:val="2"/>
            <w:noWrap w:val="0"/>
            <w:vAlign w:val="center"/>
          </w:tcPr>
          <w:p w14:paraId="3009602C">
            <w:pPr>
              <w:tabs>
                <w:tab w:val="right" w:leader="dot" w:pos="9022"/>
              </w:tabs>
              <w:spacing w:line="400" w:lineRule="exact"/>
              <w:jc w:val="center"/>
              <w:rPr>
                <w:rFonts w:hint="default" w:ascii="Times New Roman" w:hAnsi="Times New Roman" w:eastAsia="仿宋" w:cs="Times New Roman"/>
                <w:bCs/>
                <w:caps/>
                <w:color w:val="auto"/>
                <w:sz w:val="24"/>
              </w:rPr>
            </w:pPr>
          </w:p>
        </w:tc>
      </w:tr>
      <w:tr w14:paraId="4E1E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78" w:type="dxa"/>
            <w:noWrap w:val="0"/>
            <w:vAlign w:val="center"/>
          </w:tcPr>
          <w:p w14:paraId="5FCA95DF">
            <w:pPr>
              <w:tabs>
                <w:tab w:val="right" w:leader="dot" w:pos="9022"/>
              </w:tabs>
              <w:spacing w:line="400" w:lineRule="exact"/>
              <w:ind w:left="480" w:hanging="486" w:hangingChars="200"/>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 xml:space="preserve"> 总报价大写：</w:t>
            </w:r>
          </w:p>
        </w:tc>
        <w:tc>
          <w:tcPr>
            <w:tcW w:w="5890" w:type="dxa"/>
            <w:gridSpan w:val="2"/>
            <w:noWrap w:val="0"/>
            <w:vAlign w:val="center"/>
          </w:tcPr>
          <w:p w14:paraId="6B856432">
            <w:pPr>
              <w:tabs>
                <w:tab w:val="right" w:leader="dot" w:pos="9022"/>
              </w:tabs>
              <w:spacing w:line="400" w:lineRule="exact"/>
              <w:jc w:val="center"/>
              <w:rPr>
                <w:rFonts w:hint="default" w:ascii="Times New Roman" w:hAnsi="Times New Roman" w:eastAsia="仿宋" w:cs="Times New Roman"/>
                <w:bCs/>
                <w:caps/>
                <w:color w:val="auto"/>
                <w:sz w:val="24"/>
              </w:rPr>
            </w:pPr>
          </w:p>
        </w:tc>
      </w:tr>
      <w:tr w14:paraId="4072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78" w:type="dxa"/>
            <w:noWrap w:val="0"/>
            <w:vAlign w:val="center"/>
          </w:tcPr>
          <w:p w14:paraId="1E432C47">
            <w:pPr>
              <w:tabs>
                <w:tab w:val="right" w:leader="dot" w:pos="9022"/>
              </w:tabs>
              <w:spacing w:line="400" w:lineRule="exact"/>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项目服务期限</w:t>
            </w:r>
          </w:p>
        </w:tc>
        <w:tc>
          <w:tcPr>
            <w:tcW w:w="5890" w:type="dxa"/>
            <w:gridSpan w:val="2"/>
            <w:noWrap w:val="0"/>
            <w:vAlign w:val="center"/>
          </w:tcPr>
          <w:p w14:paraId="30A2F0E2">
            <w:pPr>
              <w:tabs>
                <w:tab w:val="right" w:leader="dot" w:pos="9022"/>
              </w:tabs>
              <w:spacing w:line="400" w:lineRule="exact"/>
              <w:jc w:val="center"/>
              <w:rPr>
                <w:rFonts w:hint="default" w:ascii="Times New Roman" w:hAnsi="Times New Roman" w:eastAsia="仿宋" w:cs="Times New Roman"/>
                <w:b/>
                <w:bCs/>
                <w:caps/>
                <w:color w:val="auto"/>
                <w:sz w:val="24"/>
                <w:u w:val="single"/>
              </w:rPr>
            </w:pPr>
            <w:r>
              <w:rPr>
                <w:rFonts w:hint="default" w:ascii="Times New Roman" w:hAnsi="Times New Roman" w:eastAsia="仿宋_GB2312" w:cs="Times New Roman"/>
                <w:b/>
                <w:bCs/>
                <w:caps/>
                <w:color w:val="auto"/>
                <w:sz w:val="24"/>
                <w:lang w:eastAsia="zh-CN"/>
              </w:rPr>
              <w:t>一</w:t>
            </w:r>
            <w:r>
              <w:rPr>
                <w:rFonts w:hint="default" w:ascii="Times New Roman" w:hAnsi="Times New Roman" w:eastAsia="仿宋_GB2312" w:cs="Times New Roman"/>
                <w:b/>
                <w:bCs/>
                <w:caps/>
                <w:color w:val="auto"/>
                <w:sz w:val="24"/>
              </w:rPr>
              <w:t>年</w:t>
            </w:r>
          </w:p>
        </w:tc>
      </w:tr>
      <w:tr w14:paraId="7A7F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678" w:type="dxa"/>
            <w:noWrap w:val="0"/>
            <w:vAlign w:val="center"/>
          </w:tcPr>
          <w:p w14:paraId="1929C8C5">
            <w:pPr>
              <w:tabs>
                <w:tab w:val="right" w:leader="dot" w:pos="9022"/>
              </w:tabs>
              <w:spacing w:line="400" w:lineRule="exact"/>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响应人</w:t>
            </w:r>
          </w:p>
        </w:tc>
        <w:tc>
          <w:tcPr>
            <w:tcW w:w="3470" w:type="dxa"/>
            <w:noWrap w:val="0"/>
            <w:vAlign w:val="center"/>
          </w:tcPr>
          <w:p w14:paraId="24220BC4">
            <w:pPr>
              <w:tabs>
                <w:tab w:val="right" w:leader="dot" w:pos="9022"/>
              </w:tabs>
              <w:spacing w:line="400" w:lineRule="exact"/>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caps/>
                <w:color w:val="auto"/>
                <w:kern w:val="1"/>
                <w:sz w:val="24"/>
              </w:rPr>
              <w:t>法人</w:t>
            </w:r>
            <w:r>
              <w:rPr>
                <w:rFonts w:hint="default" w:ascii="Times New Roman" w:hAnsi="Times New Roman" w:eastAsia="仿宋_GB2312" w:cs="Times New Roman"/>
                <w:color w:val="auto"/>
                <w:kern w:val="1"/>
                <w:sz w:val="24"/>
              </w:rPr>
              <w:t>/负责人或</w:t>
            </w:r>
            <w:r>
              <w:rPr>
                <w:rFonts w:hint="default" w:ascii="Times New Roman" w:hAnsi="Times New Roman" w:eastAsia="仿宋_GB2312" w:cs="Times New Roman"/>
                <w:bCs/>
                <w:caps/>
                <w:color w:val="auto"/>
                <w:sz w:val="24"/>
              </w:rPr>
              <w:t>被授权人</w:t>
            </w:r>
          </w:p>
        </w:tc>
        <w:tc>
          <w:tcPr>
            <w:tcW w:w="2420" w:type="dxa"/>
            <w:noWrap w:val="0"/>
            <w:vAlign w:val="center"/>
          </w:tcPr>
          <w:p w14:paraId="09C5E1F9">
            <w:pPr>
              <w:tabs>
                <w:tab w:val="right" w:leader="dot" w:pos="9022"/>
              </w:tabs>
              <w:spacing w:line="400" w:lineRule="exact"/>
              <w:ind w:firstLine="607" w:firstLineChars="250"/>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日  期</w:t>
            </w:r>
          </w:p>
        </w:tc>
      </w:tr>
      <w:tr w14:paraId="5269D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678" w:type="dxa"/>
            <w:noWrap w:val="0"/>
            <w:vAlign w:val="center"/>
          </w:tcPr>
          <w:p w14:paraId="05116070">
            <w:pPr>
              <w:tabs>
                <w:tab w:val="right" w:leader="dot" w:pos="9022"/>
              </w:tabs>
              <w:spacing w:line="400" w:lineRule="exact"/>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caps/>
                <w:color w:val="auto"/>
                <w:kern w:val="1"/>
                <w:sz w:val="24"/>
              </w:rPr>
              <w:t>（法人</w:t>
            </w:r>
            <w:r>
              <w:rPr>
                <w:rFonts w:hint="default" w:ascii="Times New Roman" w:hAnsi="Times New Roman" w:eastAsia="仿宋_GB2312" w:cs="Times New Roman"/>
                <w:color w:val="auto"/>
                <w:kern w:val="1"/>
                <w:sz w:val="24"/>
              </w:rPr>
              <w:t>&lt;或负责人&gt;</w:t>
            </w:r>
            <w:r>
              <w:rPr>
                <w:rFonts w:hint="default" w:ascii="Times New Roman" w:hAnsi="Times New Roman" w:eastAsia="仿宋_GB2312" w:cs="Times New Roman"/>
                <w:caps/>
                <w:color w:val="auto"/>
                <w:kern w:val="1"/>
                <w:sz w:val="24"/>
              </w:rPr>
              <w:t>公章）</w:t>
            </w:r>
          </w:p>
        </w:tc>
        <w:tc>
          <w:tcPr>
            <w:tcW w:w="3470" w:type="dxa"/>
            <w:noWrap w:val="0"/>
            <w:vAlign w:val="center"/>
          </w:tcPr>
          <w:p w14:paraId="0B1AB8AE">
            <w:pPr>
              <w:tabs>
                <w:tab w:val="right" w:leader="dot" w:pos="9022"/>
              </w:tabs>
              <w:spacing w:line="400" w:lineRule="exact"/>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（签字或盖章）</w:t>
            </w:r>
          </w:p>
        </w:tc>
        <w:tc>
          <w:tcPr>
            <w:tcW w:w="2420" w:type="dxa"/>
            <w:noWrap w:val="0"/>
            <w:vAlign w:val="center"/>
          </w:tcPr>
          <w:p w14:paraId="743FA9FF">
            <w:pPr>
              <w:tabs>
                <w:tab w:val="right" w:leader="dot" w:pos="9022"/>
              </w:tabs>
              <w:spacing w:line="400" w:lineRule="exact"/>
              <w:jc w:val="center"/>
              <w:rPr>
                <w:rFonts w:hint="default" w:ascii="Times New Roman" w:hAnsi="Times New Roman" w:eastAsia="仿宋" w:cs="Times New Roman"/>
                <w:bCs/>
                <w:caps/>
                <w:color w:val="auto"/>
                <w:sz w:val="24"/>
              </w:rPr>
            </w:pPr>
            <w:r>
              <w:rPr>
                <w:rFonts w:hint="default" w:ascii="Times New Roman" w:hAnsi="Times New Roman" w:eastAsia="仿宋_GB2312" w:cs="Times New Roman"/>
                <w:bCs/>
                <w:caps/>
                <w:color w:val="auto"/>
                <w:sz w:val="24"/>
              </w:rPr>
              <w:t>年   月   日</w:t>
            </w:r>
          </w:p>
        </w:tc>
      </w:tr>
    </w:tbl>
    <w:p w14:paraId="2FDA9583">
      <w:pPr>
        <w:spacing w:line="440" w:lineRule="exact"/>
        <w:rPr>
          <w:rFonts w:hint="default" w:ascii="Times New Roman" w:hAnsi="Times New Roman" w:eastAsia="仿宋_GB2312" w:cs="Times New Roman"/>
          <w:b/>
          <w:color w:val="auto"/>
          <w:sz w:val="24"/>
        </w:rPr>
      </w:pPr>
      <w:r>
        <w:rPr>
          <w:rFonts w:hint="default" w:ascii="Times New Roman" w:hAnsi="Times New Roman" w:eastAsia="仿宋_GB2312" w:cs="Times New Roman"/>
          <w:b/>
          <w:color w:val="auto"/>
          <w:sz w:val="24"/>
        </w:rPr>
        <w:t>特别提示：</w:t>
      </w:r>
    </w:p>
    <w:p w14:paraId="45BB4242">
      <w:pPr>
        <w:numPr>
          <w:ilvl w:val="0"/>
          <w:numId w:val="14"/>
        </w:numPr>
        <w:spacing w:line="240" w:lineRule="auto"/>
        <w:ind w:firstLine="486"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响应人</w:t>
      </w:r>
      <w:r>
        <w:rPr>
          <w:rFonts w:hint="default" w:ascii="Times New Roman" w:hAnsi="Times New Roman" w:eastAsia="仿宋_GB2312" w:cs="Times New Roman"/>
          <w:color w:val="auto"/>
          <w:sz w:val="24"/>
          <w:lang w:eastAsia="zh-CN"/>
        </w:rPr>
        <w:t>需</w:t>
      </w:r>
      <w:r>
        <w:rPr>
          <w:rFonts w:hint="default" w:ascii="Times New Roman" w:hAnsi="Times New Roman" w:eastAsia="仿宋_GB2312" w:cs="Times New Roman"/>
          <w:color w:val="auto"/>
          <w:sz w:val="24"/>
        </w:rPr>
        <w:t>按要求编制《报价一览表》</w:t>
      </w:r>
      <w:r>
        <w:rPr>
          <w:rFonts w:hint="default" w:ascii="Times New Roman" w:hAnsi="Times New Roman" w:eastAsia="仿宋_GB2312" w:cs="Times New Roman"/>
          <w:color w:val="auto"/>
          <w:sz w:val="24"/>
          <w:lang w:eastAsia="zh-CN"/>
        </w:rPr>
        <w:t>并</w:t>
      </w:r>
      <w:r>
        <w:rPr>
          <w:rFonts w:hint="default" w:ascii="Times New Roman" w:hAnsi="Times New Roman" w:eastAsia="仿宋_GB2312" w:cs="Times New Roman"/>
          <w:color w:val="auto"/>
          <w:sz w:val="24"/>
        </w:rPr>
        <w:t>装入响应文件正本</w:t>
      </w:r>
      <w:r>
        <w:rPr>
          <w:rFonts w:hint="default" w:ascii="Times New Roman" w:hAnsi="Times New Roman" w:eastAsia="仿宋_GB2312" w:cs="Times New Roman"/>
          <w:color w:val="auto"/>
          <w:sz w:val="24"/>
          <w:lang w:eastAsia="zh-CN"/>
        </w:rPr>
        <w:t>（须装原件）</w:t>
      </w:r>
      <w:r>
        <w:rPr>
          <w:rFonts w:hint="default" w:ascii="Times New Roman" w:hAnsi="Times New Roman" w:eastAsia="仿宋_GB2312" w:cs="Times New Roman"/>
          <w:color w:val="auto"/>
          <w:sz w:val="24"/>
        </w:rPr>
        <w:t>、副本</w:t>
      </w:r>
      <w:r>
        <w:rPr>
          <w:rFonts w:hint="default" w:ascii="Times New Roman" w:hAnsi="Times New Roman" w:eastAsia="仿宋_GB2312" w:cs="Times New Roman"/>
          <w:color w:val="auto"/>
          <w:sz w:val="24"/>
          <w:lang w:eastAsia="zh-CN"/>
        </w:rPr>
        <w:t>；</w:t>
      </w:r>
    </w:p>
    <w:p w14:paraId="33AB8535">
      <w:pPr>
        <w:numPr>
          <w:ilvl w:val="0"/>
          <w:numId w:val="14"/>
        </w:numPr>
        <w:spacing w:line="240" w:lineRule="auto"/>
        <w:ind w:firstLine="486"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报价一览表与明细表不一致时，以报价一览表为准；</w:t>
      </w:r>
    </w:p>
    <w:p w14:paraId="7B188A30">
      <w:pPr>
        <w:spacing w:line="240" w:lineRule="auto"/>
        <w:ind w:firstLine="486" w:firstLineChars="200"/>
        <w:rPr>
          <w:rFonts w:hint="default" w:ascii="Times New Roman" w:hAnsi="Times New Roman" w:eastAsia="仿宋_GB2312" w:cs="Times New Roman"/>
          <w:bCs/>
          <w:caps/>
          <w:color w:val="auto"/>
          <w:sz w:val="24"/>
        </w:rPr>
      </w:pPr>
      <w:r>
        <w:rPr>
          <w:rFonts w:hint="default" w:ascii="Times New Roman" w:hAnsi="Times New Roman" w:eastAsia="仿宋_GB2312" w:cs="Times New Roman"/>
          <w:color w:val="auto"/>
          <w:sz w:val="24"/>
        </w:rPr>
        <w:t>3、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14:paraId="5B96257A">
      <w:pPr>
        <w:spacing w:line="240" w:lineRule="auto"/>
        <w:ind w:firstLine="480"/>
        <w:rPr>
          <w:rFonts w:hint="default" w:ascii="Times New Roman" w:hAnsi="Times New Roman" w:eastAsia="仿宋_GB2312" w:cs="Times New Roman"/>
          <w:b/>
          <w:bCs/>
          <w:color w:val="auto"/>
          <w:kern w:val="1"/>
          <w:sz w:val="24"/>
          <w:lang w:eastAsia="zh-CN"/>
        </w:rPr>
      </w:pPr>
      <w:r>
        <w:rPr>
          <w:rFonts w:hint="default" w:ascii="Times New Roman" w:hAnsi="Times New Roman" w:eastAsia="仿宋_GB2312" w:cs="Times New Roman"/>
          <w:color w:val="auto"/>
          <w:kern w:val="1"/>
          <w:sz w:val="24"/>
          <w:lang w:val="en-US" w:eastAsia="zh-CN"/>
        </w:rPr>
        <w:t>4</w:t>
      </w:r>
      <w:r>
        <w:rPr>
          <w:rFonts w:hint="default" w:ascii="Times New Roman" w:hAnsi="Times New Roman" w:eastAsia="仿宋_GB2312" w:cs="Times New Roman"/>
          <w:color w:val="auto"/>
          <w:kern w:val="1"/>
          <w:sz w:val="24"/>
        </w:rPr>
        <w:t>、</w:t>
      </w:r>
      <w:r>
        <w:rPr>
          <w:rFonts w:hint="default" w:ascii="Times New Roman" w:hAnsi="Times New Roman" w:eastAsia="仿宋_GB2312" w:cs="Times New Roman"/>
          <w:b/>
          <w:bCs/>
          <w:color w:val="auto"/>
          <w:kern w:val="1"/>
          <w:sz w:val="24"/>
        </w:rPr>
        <w:t>报价一览表需加盖红色法人(或负责人)公章，</w:t>
      </w:r>
      <w:r>
        <w:rPr>
          <w:rFonts w:hint="default" w:ascii="Times New Roman" w:hAnsi="Times New Roman" w:eastAsia="仿宋_GB2312" w:cs="Times New Roman"/>
          <w:b/>
          <w:bCs/>
          <w:caps/>
          <w:color w:val="auto"/>
          <w:kern w:val="1"/>
          <w:sz w:val="24"/>
        </w:rPr>
        <w:t>法人</w:t>
      </w:r>
      <w:r>
        <w:rPr>
          <w:rFonts w:hint="default" w:ascii="Times New Roman" w:hAnsi="Times New Roman" w:eastAsia="仿宋_GB2312" w:cs="Times New Roman"/>
          <w:b/>
          <w:bCs/>
          <w:color w:val="auto"/>
          <w:kern w:val="1"/>
          <w:sz w:val="24"/>
        </w:rPr>
        <w:t>/负责人或被授权人需签字或盖章，否则为无效报价</w:t>
      </w:r>
      <w:r>
        <w:rPr>
          <w:rFonts w:hint="default" w:ascii="Times New Roman" w:hAnsi="Times New Roman" w:eastAsia="仿宋_GB2312" w:cs="Times New Roman"/>
          <w:b/>
          <w:bCs/>
          <w:color w:val="auto"/>
          <w:kern w:val="1"/>
          <w:sz w:val="24"/>
          <w:lang w:eastAsia="zh-CN"/>
        </w:rPr>
        <w:t>。</w:t>
      </w:r>
    </w:p>
    <w:p w14:paraId="6B7D5024">
      <w:pPr>
        <w:pStyle w:val="10"/>
        <w:rPr>
          <w:rFonts w:hint="default" w:ascii="Times New Roman" w:hAnsi="Times New Roman" w:cs="Times New Roman"/>
          <w:color w:val="auto"/>
          <w:lang w:eastAsia="zh-CN"/>
        </w:rPr>
      </w:pPr>
    </w:p>
    <w:p w14:paraId="4101E6BB">
      <w:pPr>
        <w:pStyle w:val="22"/>
        <w:ind w:firstLine="0" w:firstLineChars="0"/>
        <w:rPr>
          <w:rFonts w:hint="default" w:ascii="Times New Roman" w:hAnsi="Times New Roman" w:eastAsia="仿宋_GB2312" w:cs="Times New Roman"/>
          <w:color w:val="auto"/>
          <w:sz w:val="24"/>
        </w:rPr>
      </w:pPr>
    </w:p>
    <w:p w14:paraId="18437268">
      <w:pPr>
        <w:pStyle w:val="22"/>
        <w:ind w:left="0" w:leftChars="0" w:firstLine="0" w:firstLineChars="0"/>
        <w:rPr>
          <w:rFonts w:hint="default" w:ascii="Times New Roman" w:hAnsi="Times New Roman" w:eastAsia="仿宋_GB2312" w:cs="Times New Roman"/>
          <w:color w:val="auto"/>
          <w:sz w:val="24"/>
        </w:rPr>
      </w:pPr>
    </w:p>
    <w:p w14:paraId="11A38A8E">
      <w:pPr>
        <w:pStyle w:val="22"/>
        <w:ind w:firstLine="240"/>
        <w:rPr>
          <w:rFonts w:hint="default" w:ascii="Times New Roman" w:hAnsi="Times New Roman" w:eastAsia="仿宋_GB2312" w:cs="Times New Roman"/>
          <w:color w:val="auto"/>
          <w:sz w:val="24"/>
        </w:rPr>
      </w:pPr>
    </w:p>
    <w:p w14:paraId="66738488">
      <w:pPr>
        <w:rPr>
          <w:rFonts w:hint="default" w:ascii="Times New Roman" w:hAnsi="Times New Roman" w:eastAsia="仿宋_GB2312" w:cs="Times New Roman"/>
          <w:b/>
          <w:color w:val="auto"/>
          <w:sz w:val="32"/>
          <w:szCs w:val="44"/>
          <w:u w:val="single"/>
        </w:rPr>
      </w:pPr>
      <w:r>
        <w:rPr>
          <w:rFonts w:hint="default" w:ascii="Times New Roman" w:hAnsi="Times New Roman" w:eastAsia="仿宋_GB2312" w:cs="Times New Roman"/>
          <w:b/>
          <w:color w:val="auto"/>
          <w:sz w:val="32"/>
          <w:szCs w:val="44"/>
          <w:u w:val="single"/>
        </w:rPr>
        <w:br w:type="page"/>
      </w:r>
    </w:p>
    <w:p w14:paraId="570A312B">
      <w:pPr>
        <w:jc w:val="center"/>
        <w:rPr>
          <w:rFonts w:hint="default" w:ascii="Times New Roman" w:hAnsi="Times New Roman" w:eastAsia="仿宋_GB2312" w:cs="Times New Roman"/>
          <w:b/>
          <w:color w:val="auto"/>
          <w:sz w:val="32"/>
          <w:szCs w:val="44"/>
          <w:u w:val="single"/>
          <w:lang w:val="en-US" w:eastAsia="zh-CN"/>
        </w:rPr>
      </w:pPr>
    </w:p>
    <w:p w14:paraId="309A8640">
      <w:pPr>
        <w:jc w:val="center"/>
        <w:rPr>
          <w:rFonts w:hint="default" w:ascii="Times New Roman" w:hAnsi="Times New Roman" w:eastAsia="仿宋_GB2312" w:cs="Times New Roman"/>
          <w:b/>
          <w:color w:val="auto"/>
          <w:sz w:val="32"/>
          <w:szCs w:val="44"/>
          <w:u w:val="none"/>
        </w:rPr>
      </w:pPr>
      <w:r>
        <w:rPr>
          <w:rFonts w:hint="default" w:ascii="Times New Roman" w:hAnsi="Times New Roman" w:eastAsia="仿宋_GB2312" w:cs="Times New Roman"/>
          <w:b/>
          <w:color w:val="auto"/>
          <w:sz w:val="32"/>
          <w:szCs w:val="44"/>
          <w:u w:val="none"/>
          <w:lang w:val="en-US" w:eastAsia="zh-CN"/>
        </w:rPr>
        <w:t>2.</w:t>
      </w:r>
      <w:r>
        <w:rPr>
          <w:rFonts w:hint="default" w:ascii="Times New Roman" w:hAnsi="Times New Roman" w:eastAsia="仿宋_GB2312" w:cs="Times New Roman"/>
          <w:b/>
          <w:color w:val="auto"/>
          <w:sz w:val="32"/>
          <w:szCs w:val="44"/>
          <w:u w:val="none"/>
        </w:rPr>
        <w:t>响应报价明细表</w:t>
      </w:r>
    </w:p>
    <w:p w14:paraId="69F6DB3E">
      <w:pPr>
        <w:spacing w:line="520" w:lineRule="exact"/>
        <w:jc w:val="center"/>
        <w:rPr>
          <w:rFonts w:hint="default" w:ascii="Times New Roman" w:hAnsi="Times New Roman" w:cs="Times New Roman"/>
          <w:color w:val="auto"/>
          <w:sz w:val="24"/>
          <w:szCs w:val="24"/>
        </w:rPr>
      </w:pPr>
      <w:r>
        <w:rPr>
          <w:rFonts w:hint="default" w:ascii="Times New Roman" w:hAnsi="Times New Roman" w:eastAsia="仿宋_GB2312" w:cs="Times New Roman"/>
          <w:b/>
          <w:color w:val="auto"/>
          <w:sz w:val="32"/>
          <w:szCs w:val="44"/>
        </w:rPr>
        <w:t>（格式自定）</w:t>
      </w:r>
    </w:p>
    <w:p w14:paraId="7F4EA471">
      <w:pPr>
        <w:tabs>
          <w:tab w:val="right" w:pos="9072"/>
        </w:tabs>
        <w:spacing w:line="500" w:lineRule="exact"/>
        <w:ind w:firstLine="646" w:firstLineChars="200"/>
        <w:rPr>
          <w:rFonts w:hint="default" w:ascii="Times New Roman" w:hAnsi="Times New Roman" w:cs="Times New Roman"/>
          <w:b/>
          <w:color w:val="auto"/>
          <w:sz w:val="32"/>
          <w:szCs w:val="32"/>
        </w:rPr>
      </w:pPr>
    </w:p>
    <w:p w14:paraId="58CB274A">
      <w:pPr>
        <w:pStyle w:val="55"/>
        <w:shd w:val="clear" w:color="auto" w:fill="FFFFFF"/>
        <w:spacing w:before="0" w:beforeAutospacing="0" w:after="0" w:afterAutospacing="0" w:line="520" w:lineRule="exact"/>
        <w:ind w:firstLine="486" w:firstLineChars="200"/>
        <w:rPr>
          <w:rFonts w:hint="default" w:ascii="Times New Roman" w:hAnsi="Times New Roman" w:eastAsia="仿宋_GB2312" w:cs="Times New Roman"/>
          <w:b/>
          <w:color w:val="auto"/>
          <w:kern w:val="2"/>
          <w:sz w:val="24"/>
          <w:szCs w:val="24"/>
          <w:lang w:val="en-US" w:eastAsia="zh-CN" w:bidi="ar-SA"/>
        </w:rPr>
      </w:pPr>
      <w:r>
        <w:rPr>
          <w:rFonts w:hint="default" w:ascii="Times New Roman" w:hAnsi="Times New Roman" w:eastAsia="仿宋_GB2312" w:cs="Times New Roman"/>
          <w:b/>
          <w:color w:val="auto"/>
          <w:sz w:val="24"/>
          <w:szCs w:val="24"/>
        </w:rPr>
        <w:t>注：</w:t>
      </w:r>
      <w:r>
        <w:rPr>
          <w:rFonts w:hint="default" w:ascii="Times New Roman" w:hAnsi="Times New Roman" w:eastAsia="仿宋_GB2312" w:cs="Times New Roman"/>
          <w:b/>
          <w:color w:val="auto"/>
          <w:kern w:val="2"/>
          <w:sz w:val="24"/>
          <w:szCs w:val="24"/>
          <w:lang w:val="en-US" w:eastAsia="zh-CN" w:bidi="ar-SA"/>
        </w:rPr>
        <w:t>1.响应人须针对项目实际情况编制详细报价清单。</w:t>
      </w:r>
    </w:p>
    <w:p w14:paraId="333BD3D8">
      <w:pPr>
        <w:pStyle w:val="55"/>
        <w:shd w:val="clear" w:color="auto" w:fill="FFFFFF"/>
        <w:spacing w:before="0" w:beforeAutospacing="0" w:after="0" w:afterAutospacing="0" w:line="520" w:lineRule="exact"/>
        <w:ind w:firstLine="486" w:firstLineChars="200"/>
        <w:rPr>
          <w:rFonts w:hint="default" w:ascii="Times New Roman" w:hAnsi="Times New Roman" w:eastAsia="仿宋_GB2312" w:cs="Times New Roman"/>
          <w:b/>
          <w:color w:val="auto"/>
          <w:kern w:val="2"/>
          <w:sz w:val="24"/>
          <w:szCs w:val="24"/>
          <w:lang w:val="en-US" w:eastAsia="zh-CN" w:bidi="ar-SA"/>
        </w:rPr>
      </w:pPr>
      <w:r>
        <w:rPr>
          <w:rFonts w:hint="default" w:ascii="Times New Roman" w:hAnsi="Times New Roman" w:eastAsia="仿宋_GB2312" w:cs="Times New Roman"/>
          <w:b/>
          <w:color w:val="auto"/>
          <w:kern w:val="2"/>
          <w:sz w:val="24"/>
          <w:szCs w:val="24"/>
          <w:lang w:val="en-US" w:eastAsia="zh-CN" w:bidi="ar-SA"/>
        </w:rPr>
        <w:t>（报价清单中应包含员工工资且响应人给员工发放的工资不得低于当地最低工资标准。）</w:t>
      </w:r>
    </w:p>
    <w:p w14:paraId="2A5B3898">
      <w:pPr>
        <w:spacing w:line="360" w:lineRule="exact"/>
        <w:ind w:firstLine="972" w:firstLineChars="4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kern w:val="2"/>
          <w:sz w:val="24"/>
          <w:szCs w:val="24"/>
          <w:lang w:val="en-US" w:eastAsia="zh-CN" w:bidi="ar-SA"/>
        </w:rPr>
        <w:t>2.提供《中小企业声明函》的中小企业，须在该表“备注”栏中注明各项是否为小型、微型企业产品（工程或服务），不注明者，视为非小型、微型企业产品（工程或服务）。</w:t>
      </w:r>
      <w:r>
        <w:rPr>
          <w:rFonts w:hint="default" w:ascii="Times New Roman" w:hAnsi="Times New Roman" w:eastAsia="仿宋_GB2312" w:cs="Times New Roman"/>
          <w:b/>
          <w:color w:val="auto"/>
          <w:sz w:val="24"/>
          <w:szCs w:val="24"/>
        </w:rPr>
        <w:t xml:space="preserve"> </w:t>
      </w:r>
    </w:p>
    <w:p w14:paraId="13C5501D">
      <w:pPr>
        <w:tabs>
          <w:tab w:val="right" w:pos="9070"/>
        </w:tabs>
        <w:spacing w:line="240" w:lineRule="auto"/>
        <w:ind w:firstLine="0" w:firstLineChars="0"/>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 xml:space="preserve">  </w:t>
      </w:r>
    </w:p>
    <w:p w14:paraId="57C58D5A">
      <w:pPr>
        <w:tabs>
          <w:tab w:val="right" w:pos="9070"/>
        </w:tabs>
        <w:spacing w:line="500" w:lineRule="exact"/>
        <w:rPr>
          <w:rFonts w:hint="default" w:ascii="Times New Roman" w:hAnsi="Times New Roman" w:cs="Times New Roman"/>
          <w:bCs/>
          <w:color w:val="auto"/>
        </w:rPr>
      </w:pPr>
    </w:p>
    <w:p w14:paraId="67629E18">
      <w:pPr>
        <w:rPr>
          <w:rFonts w:hint="default" w:ascii="Times New Roman" w:hAnsi="Times New Roman" w:eastAsia="仿宋_GB2312" w:cs="Times New Roman"/>
          <w:color w:val="auto"/>
          <w:sz w:val="32"/>
          <w:szCs w:val="32"/>
        </w:rPr>
      </w:pPr>
    </w:p>
    <w:p w14:paraId="39C46DBC">
      <w:pPr>
        <w:rPr>
          <w:rFonts w:hint="default" w:ascii="Times New Roman" w:hAnsi="Times New Roman" w:eastAsia="仿宋_GB2312" w:cs="Times New Roman"/>
          <w:color w:val="auto"/>
          <w:sz w:val="32"/>
          <w:szCs w:val="32"/>
        </w:rPr>
      </w:pPr>
    </w:p>
    <w:p w14:paraId="1D3A84E5">
      <w:pPr>
        <w:rPr>
          <w:rFonts w:hint="default" w:ascii="Times New Roman" w:hAnsi="Times New Roman" w:eastAsia="仿宋_GB2312" w:cs="Times New Roman"/>
          <w:color w:val="auto"/>
          <w:sz w:val="32"/>
          <w:szCs w:val="32"/>
        </w:rPr>
      </w:pPr>
    </w:p>
    <w:p w14:paraId="2F870526">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14:paraId="1617CBB8">
      <w:pPr>
        <w:pStyle w:val="45"/>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Cs w:val="0"/>
          <w:color w:val="auto"/>
          <w:sz w:val="32"/>
          <w:szCs w:val="32"/>
        </w:rPr>
      </w:pPr>
      <w:bookmarkStart w:id="280" w:name="_Toc13309_WPSOffice_Level2"/>
      <w:bookmarkStart w:id="281" w:name="_Toc2393"/>
      <w:bookmarkStart w:id="282" w:name="_Toc20416"/>
      <w:bookmarkStart w:id="283" w:name="_Toc26536_WPSOffice_Level2"/>
      <w:bookmarkStart w:id="284" w:name="_Toc18036_WPSOffice_Level2"/>
      <w:bookmarkStart w:id="285" w:name="_Toc9727_WPSOffice_Level2"/>
      <w:bookmarkStart w:id="286" w:name="_Toc1823_WPSOffice_Level2"/>
      <w:bookmarkStart w:id="287" w:name="_Toc13794"/>
      <w:bookmarkStart w:id="288" w:name="_Toc26668"/>
      <w:r>
        <w:rPr>
          <w:rFonts w:hint="default" w:ascii="Times New Roman" w:hAnsi="Times New Roman" w:eastAsia="仿宋_GB2312" w:cs="Times New Roman"/>
          <w:bCs w:val="0"/>
          <w:color w:val="auto"/>
          <w:sz w:val="32"/>
          <w:szCs w:val="32"/>
        </w:rPr>
        <w:t>三、</w:t>
      </w:r>
      <w:bookmarkEnd w:id="280"/>
      <w:bookmarkEnd w:id="281"/>
      <w:bookmarkStart w:id="289" w:name="_Toc4322"/>
      <w:bookmarkStart w:id="290" w:name="_Toc31081"/>
      <w:r>
        <w:rPr>
          <w:rFonts w:hint="default" w:ascii="Times New Roman" w:hAnsi="Times New Roman" w:eastAsia="仿宋_GB2312" w:cs="Times New Roman"/>
          <w:bCs w:val="0"/>
          <w:color w:val="auto"/>
          <w:sz w:val="32"/>
          <w:szCs w:val="32"/>
        </w:rPr>
        <w:t>供应商参加政府采购活动承诺书</w:t>
      </w:r>
      <w:bookmarkEnd w:id="282"/>
      <w:bookmarkEnd w:id="289"/>
      <w:bookmarkEnd w:id="290"/>
    </w:p>
    <w:bookmarkEnd w:id="283"/>
    <w:bookmarkEnd w:id="284"/>
    <w:bookmarkEnd w:id="285"/>
    <w:bookmarkEnd w:id="286"/>
    <w:bookmarkEnd w:id="287"/>
    <w:bookmarkEnd w:id="288"/>
    <w:p w14:paraId="4B53707D">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
          <w:bCs/>
          <w:color w:val="auto"/>
          <w:sz w:val="28"/>
          <w:szCs w:val="28"/>
        </w:rPr>
        <w:t>拒绝政府采购领域商业贿赂承诺书</w:t>
      </w:r>
    </w:p>
    <w:p w14:paraId="7C678C22">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为响应党中央、国务院关于治理政府采购领域商业贿赂行为的号召，我公司在此庄严承诺：</w:t>
      </w:r>
    </w:p>
    <w:p w14:paraId="487A4699">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1、在参与政府采购活动中遵纪守法、诚信经营、公平竞标。</w:t>
      </w:r>
    </w:p>
    <w:p w14:paraId="694869D1">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2、不向政府采购人、采购代理机构和政府采购评审专家进行任何形式的商业贿赂以谋取交易机会。</w:t>
      </w:r>
    </w:p>
    <w:p w14:paraId="42C5B6AE">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3、不向政府采购代理机构和采购人提供虚假资质文件或采用虚假应标方式参与政府采购市场竞争并谋取中标、成交。</w:t>
      </w:r>
    </w:p>
    <w:p w14:paraId="7D900ADA">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4、不采取“围标、陪标”等商业欺诈手段获得政府采购定单。</w:t>
      </w:r>
    </w:p>
    <w:p w14:paraId="41035AA1">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5、不采取不正当手段诋毁、排挤其他供应商。</w:t>
      </w:r>
    </w:p>
    <w:p w14:paraId="61F454A1">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6、不在提供商品和服务时“偷梁换柱、以次充好”损害采购人的合法权益。</w:t>
      </w:r>
    </w:p>
    <w:p w14:paraId="25C12176">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7、不与采购人、采购代理机构政府采购评审专家或其它供应商恶意串通，进行质疑和投诉，维护政府采购市场秩序。</w:t>
      </w:r>
    </w:p>
    <w:p w14:paraId="378E9AAA">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8、尊重和接受政府采购监督管理部门的监督和政府采购代理机构招标采购要求，承担因违约行为给采购人造成的损失。</w:t>
      </w:r>
    </w:p>
    <w:p w14:paraId="79CAB1F7">
      <w:pPr>
        <w:pageBreakBefore w:val="0"/>
        <w:widowControl/>
        <w:kinsoku/>
        <w:wordWrap/>
        <w:overflowPunct/>
        <w:topLinePunct w:val="0"/>
        <w:autoSpaceDE/>
        <w:autoSpaceDN/>
        <w:bidi w:val="0"/>
        <w:adjustRightInd/>
        <w:snapToGrid/>
        <w:spacing w:line="560" w:lineRule="exact"/>
        <w:ind w:firstLine="566"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9、不发生其他有悖于政府采购公开、公平、公正和诚信原则的行为。</w:t>
      </w:r>
    </w:p>
    <w:p w14:paraId="030904FE">
      <w:pPr>
        <w:pStyle w:val="22"/>
        <w:pageBreakBefore w:val="0"/>
        <w:widowControl/>
        <w:kinsoku/>
        <w:wordWrap/>
        <w:overflowPunct/>
        <w:topLinePunct w:val="0"/>
        <w:autoSpaceDE/>
        <w:autoSpaceDN/>
        <w:bidi w:val="0"/>
        <w:adjustRightInd/>
        <w:snapToGrid/>
        <w:spacing w:line="560" w:lineRule="exact"/>
        <w:ind w:firstLine="183"/>
        <w:textAlignment w:val="auto"/>
        <w:rPr>
          <w:rFonts w:hint="default" w:ascii="Times New Roman" w:hAnsi="Times New Roman" w:eastAsia="仿宋_GB2312" w:cs="Times New Roman"/>
          <w:color w:val="auto"/>
          <w:sz w:val="28"/>
          <w:szCs w:val="28"/>
        </w:rPr>
      </w:pPr>
    </w:p>
    <w:p w14:paraId="60322E96">
      <w:pPr>
        <w:pageBreakBefore w:val="0"/>
        <w:widowControl/>
        <w:kinsoku/>
        <w:wordWrap/>
        <w:overflowPunct/>
        <w:topLinePunct w:val="0"/>
        <w:autoSpaceDE/>
        <w:autoSpaceDN/>
        <w:bidi w:val="0"/>
        <w:adjustRightInd/>
        <w:snapToGrid/>
        <w:spacing w:line="560" w:lineRule="exact"/>
        <w:ind w:firstLine="5377" w:firstLineChars="1900"/>
        <w:textAlignment w:val="auto"/>
        <w:rPr>
          <w:rFonts w:hint="default" w:ascii="Times New Roman" w:hAnsi="Times New Roman" w:eastAsia="仿宋_GB2312" w:cs="Times New Roman"/>
          <w:color w:val="auto"/>
          <w:sz w:val="28"/>
          <w:szCs w:val="28"/>
        </w:rPr>
      </w:pPr>
    </w:p>
    <w:p w14:paraId="4CAA48D4">
      <w:pPr>
        <w:pageBreakBefore w:val="0"/>
        <w:widowControl/>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供应商：</w:t>
      </w:r>
      <w:r>
        <w:rPr>
          <w:rFonts w:hint="default" w:ascii="Times New Roman" w:hAnsi="Times New Roman" w:eastAsia="仿宋_GB2312" w:cs="Times New Roman"/>
          <w:color w:val="auto"/>
          <w:sz w:val="28"/>
          <w:szCs w:val="28"/>
          <w:u w:val="single"/>
        </w:rPr>
        <w:t>名称</w:t>
      </w:r>
      <w:r>
        <w:rPr>
          <w:rFonts w:hint="default" w:ascii="Times New Roman" w:hAnsi="Times New Roman" w:eastAsia="仿宋_GB2312" w:cs="Times New Roman"/>
          <w:color w:val="auto"/>
          <w:sz w:val="28"/>
          <w:szCs w:val="28"/>
        </w:rPr>
        <w:t>（加盖公章）</w:t>
      </w:r>
    </w:p>
    <w:p w14:paraId="2BDB2D85">
      <w:pPr>
        <w:pageBreakBefore w:val="0"/>
        <w:widowControl/>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日期：　 年　月　日</w:t>
      </w:r>
      <w:r>
        <w:rPr>
          <w:rFonts w:hint="default" w:ascii="Times New Roman" w:hAnsi="Times New Roman" w:eastAsia="仿宋_GB2312" w:cs="Times New Roman"/>
          <w:color w:val="auto"/>
          <w:sz w:val="28"/>
          <w:szCs w:val="28"/>
          <w:lang w:val="en-US" w:eastAsia="zh-CN"/>
        </w:rPr>
        <w:t xml:space="preserve">   </w:t>
      </w:r>
    </w:p>
    <w:p w14:paraId="7DF9E60A">
      <w:pPr>
        <w:numPr>
          <w:ilvl w:val="0"/>
          <w:numId w:val="0"/>
        </w:numPr>
        <w:spacing w:line="500" w:lineRule="exact"/>
        <w:ind w:leftChars="0"/>
        <w:rPr>
          <w:rFonts w:hint="default" w:ascii="Times New Roman" w:hAnsi="Times New Roman" w:eastAsia="仿宋_GB2312" w:cs="Times New Roman"/>
          <w:b/>
          <w:color w:val="auto"/>
          <w:sz w:val="32"/>
          <w:szCs w:val="32"/>
          <w:lang w:eastAsia="zh-CN"/>
        </w:rPr>
      </w:pPr>
      <w:bookmarkStart w:id="291" w:name="_Toc16564_WPSOffice_Level2"/>
      <w:bookmarkStart w:id="292" w:name="_Toc16442_WPSOffice_Level2"/>
      <w:bookmarkStart w:id="293" w:name="_Toc10928_WPSOffice_Level2"/>
      <w:bookmarkStart w:id="294" w:name="_Toc27976_WPSOffice_Level2"/>
    </w:p>
    <w:p w14:paraId="681F96A2">
      <w:pPr>
        <w:numPr>
          <w:ilvl w:val="0"/>
          <w:numId w:val="0"/>
        </w:numPr>
        <w:spacing w:line="500" w:lineRule="exact"/>
        <w:ind w:leftChars="0"/>
        <w:rPr>
          <w:rFonts w:hint="default" w:ascii="Times New Roman" w:hAnsi="Times New Roman" w:eastAsia="仿宋_GB2312" w:cs="Times New Roman"/>
          <w:b/>
          <w:color w:val="auto"/>
          <w:sz w:val="32"/>
          <w:szCs w:val="32"/>
          <w:lang w:eastAsia="zh-CN"/>
        </w:rPr>
      </w:pPr>
    </w:p>
    <w:p w14:paraId="1F8436DC">
      <w:pPr>
        <w:numPr>
          <w:ilvl w:val="0"/>
          <w:numId w:val="0"/>
        </w:numPr>
        <w:spacing w:line="500" w:lineRule="exact"/>
        <w:ind w:leftChars="0"/>
        <w:rPr>
          <w:rFonts w:hint="default" w:ascii="Times New Roman" w:hAnsi="Times New Roman" w:eastAsia="仿宋" w:cs="Times New Roman"/>
          <w:b/>
          <w:color w:val="auto"/>
          <w:sz w:val="32"/>
          <w:szCs w:val="32"/>
        </w:rPr>
      </w:pPr>
      <w:r>
        <w:rPr>
          <w:rFonts w:hint="default" w:ascii="Times New Roman" w:hAnsi="Times New Roman" w:eastAsia="仿宋_GB2312" w:cs="Times New Roman"/>
          <w:b/>
          <w:color w:val="auto"/>
          <w:sz w:val="32"/>
          <w:szCs w:val="32"/>
          <w:lang w:eastAsia="zh-CN"/>
        </w:rPr>
        <w:t>四、</w:t>
      </w:r>
      <w:r>
        <w:rPr>
          <w:rFonts w:hint="default" w:ascii="Times New Roman" w:hAnsi="Times New Roman" w:eastAsia="仿宋_GB2312" w:cs="Times New Roman"/>
          <w:b/>
          <w:color w:val="auto"/>
          <w:sz w:val="32"/>
          <w:szCs w:val="32"/>
        </w:rPr>
        <w:t>技术服务偏差表</w:t>
      </w:r>
      <w:bookmarkEnd w:id="291"/>
      <w:bookmarkEnd w:id="292"/>
      <w:bookmarkEnd w:id="293"/>
      <w:bookmarkEnd w:id="294"/>
    </w:p>
    <w:tbl>
      <w:tblPr>
        <w:tblStyle w:val="24"/>
        <w:tblpPr w:leftFromText="180" w:rightFromText="180" w:vertAnchor="text" w:horzAnchor="page" w:tblpX="1748" w:tblpY="384"/>
        <w:tblOverlap w:val="never"/>
        <w:tblW w:w="8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14:paraId="207A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0" w:type="dxa"/>
            <w:shd w:val="clear" w:color="auto" w:fill="D8D8D8"/>
            <w:vAlign w:val="center"/>
          </w:tcPr>
          <w:p w14:paraId="1A04230C">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序号</w:t>
            </w:r>
          </w:p>
        </w:tc>
        <w:tc>
          <w:tcPr>
            <w:tcW w:w="1423" w:type="dxa"/>
            <w:shd w:val="clear" w:color="auto" w:fill="D8D8D8"/>
            <w:vAlign w:val="center"/>
          </w:tcPr>
          <w:p w14:paraId="08EC4001">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磋商文件要求</w:t>
            </w:r>
          </w:p>
        </w:tc>
        <w:tc>
          <w:tcPr>
            <w:tcW w:w="2599" w:type="dxa"/>
            <w:shd w:val="clear" w:color="auto" w:fill="D8D8D8"/>
            <w:vAlign w:val="center"/>
          </w:tcPr>
          <w:p w14:paraId="163E0C82">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响应文件响应条款</w:t>
            </w:r>
          </w:p>
        </w:tc>
        <w:tc>
          <w:tcPr>
            <w:tcW w:w="1375" w:type="dxa"/>
            <w:shd w:val="clear" w:color="auto" w:fill="D8D8D8"/>
            <w:vAlign w:val="center"/>
          </w:tcPr>
          <w:p w14:paraId="50BE572B">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bCs/>
                <w:color w:val="auto"/>
                <w:sz w:val="28"/>
                <w:szCs w:val="28"/>
              </w:rPr>
              <w:t>偏离程度</w:t>
            </w:r>
          </w:p>
        </w:tc>
        <w:tc>
          <w:tcPr>
            <w:tcW w:w="2350" w:type="dxa"/>
            <w:shd w:val="clear" w:color="auto" w:fill="D8D8D8"/>
            <w:vAlign w:val="center"/>
          </w:tcPr>
          <w:p w14:paraId="4D17AD77">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偏离简述</w:t>
            </w:r>
          </w:p>
          <w:p w14:paraId="6874DB8A">
            <w:pPr>
              <w:spacing w:line="320" w:lineRule="exact"/>
              <w:jc w:val="center"/>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或相关证明材料</w:t>
            </w:r>
          </w:p>
        </w:tc>
      </w:tr>
      <w:tr w14:paraId="13A0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7821F0A7">
            <w:pPr>
              <w:spacing w:line="44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p>
        </w:tc>
        <w:tc>
          <w:tcPr>
            <w:tcW w:w="1423" w:type="dxa"/>
            <w:vAlign w:val="center"/>
          </w:tcPr>
          <w:p w14:paraId="0456B095">
            <w:pPr>
              <w:spacing w:line="440" w:lineRule="exact"/>
              <w:rPr>
                <w:rFonts w:hint="default" w:ascii="Times New Roman" w:hAnsi="Times New Roman" w:eastAsia="仿宋_GB2312" w:cs="Times New Roman"/>
                <w:color w:val="auto"/>
                <w:sz w:val="28"/>
                <w:szCs w:val="28"/>
              </w:rPr>
            </w:pPr>
          </w:p>
        </w:tc>
        <w:tc>
          <w:tcPr>
            <w:tcW w:w="2599" w:type="dxa"/>
            <w:vAlign w:val="center"/>
          </w:tcPr>
          <w:p w14:paraId="6434B135">
            <w:pPr>
              <w:spacing w:line="440" w:lineRule="exact"/>
              <w:rPr>
                <w:rFonts w:hint="default" w:ascii="Times New Roman" w:hAnsi="Times New Roman" w:eastAsia="仿宋_GB2312" w:cs="Times New Roman"/>
                <w:color w:val="auto"/>
                <w:sz w:val="28"/>
                <w:szCs w:val="28"/>
              </w:rPr>
            </w:pPr>
          </w:p>
        </w:tc>
        <w:tc>
          <w:tcPr>
            <w:tcW w:w="1375" w:type="dxa"/>
            <w:vAlign w:val="center"/>
          </w:tcPr>
          <w:p w14:paraId="37C14FD7">
            <w:pPr>
              <w:spacing w:line="440" w:lineRule="exact"/>
              <w:rPr>
                <w:rFonts w:hint="default" w:ascii="Times New Roman" w:hAnsi="Times New Roman" w:eastAsia="仿宋_GB2312" w:cs="Times New Roman"/>
                <w:color w:val="auto"/>
                <w:sz w:val="28"/>
                <w:szCs w:val="28"/>
              </w:rPr>
            </w:pPr>
          </w:p>
        </w:tc>
        <w:tc>
          <w:tcPr>
            <w:tcW w:w="2350" w:type="dxa"/>
            <w:vAlign w:val="center"/>
          </w:tcPr>
          <w:p w14:paraId="73AD3372">
            <w:pPr>
              <w:spacing w:line="440" w:lineRule="exact"/>
              <w:rPr>
                <w:rFonts w:hint="default" w:ascii="Times New Roman" w:hAnsi="Times New Roman" w:eastAsia="仿宋_GB2312" w:cs="Times New Roman"/>
                <w:color w:val="auto"/>
                <w:sz w:val="28"/>
                <w:szCs w:val="28"/>
              </w:rPr>
            </w:pPr>
          </w:p>
        </w:tc>
      </w:tr>
      <w:tr w14:paraId="4CDB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3CA462DA">
            <w:pPr>
              <w:spacing w:line="44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w:t>
            </w:r>
          </w:p>
        </w:tc>
        <w:tc>
          <w:tcPr>
            <w:tcW w:w="1423" w:type="dxa"/>
            <w:vAlign w:val="center"/>
          </w:tcPr>
          <w:p w14:paraId="1EF6AF06">
            <w:pPr>
              <w:spacing w:line="440" w:lineRule="exact"/>
              <w:rPr>
                <w:rFonts w:hint="default" w:ascii="Times New Roman" w:hAnsi="Times New Roman" w:eastAsia="仿宋_GB2312" w:cs="Times New Roman"/>
                <w:color w:val="auto"/>
                <w:sz w:val="28"/>
                <w:szCs w:val="28"/>
              </w:rPr>
            </w:pPr>
          </w:p>
        </w:tc>
        <w:tc>
          <w:tcPr>
            <w:tcW w:w="2599" w:type="dxa"/>
            <w:vAlign w:val="center"/>
          </w:tcPr>
          <w:p w14:paraId="77E0E682">
            <w:pPr>
              <w:spacing w:line="440" w:lineRule="exact"/>
              <w:rPr>
                <w:rFonts w:hint="default" w:ascii="Times New Roman" w:hAnsi="Times New Roman" w:eastAsia="仿宋_GB2312" w:cs="Times New Roman"/>
                <w:color w:val="auto"/>
                <w:sz w:val="28"/>
                <w:szCs w:val="28"/>
              </w:rPr>
            </w:pPr>
          </w:p>
        </w:tc>
        <w:tc>
          <w:tcPr>
            <w:tcW w:w="1375" w:type="dxa"/>
            <w:vAlign w:val="center"/>
          </w:tcPr>
          <w:p w14:paraId="630FB5B6">
            <w:pPr>
              <w:spacing w:line="440" w:lineRule="exact"/>
              <w:rPr>
                <w:rFonts w:hint="default" w:ascii="Times New Roman" w:hAnsi="Times New Roman" w:eastAsia="仿宋_GB2312" w:cs="Times New Roman"/>
                <w:color w:val="auto"/>
                <w:sz w:val="28"/>
                <w:szCs w:val="28"/>
              </w:rPr>
            </w:pPr>
          </w:p>
        </w:tc>
        <w:tc>
          <w:tcPr>
            <w:tcW w:w="2350" w:type="dxa"/>
            <w:vAlign w:val="center"/>
          </w:tcPr>
          <w:p w14:paraId="0FAC0E9B">
            <w:pPr>
              <w:spacing w:line="440" w:lineRule="exact"/>
              <w:rPr>
                <w:rFonts w:hint="default" w:ascii="Times New Roman" w:hAnsi="Times New Roman" w:eastAsia="仿宋_GB2312" w:cs="Times New Roman"/>
                <w:color w:val="auto"/>
                <w:sz w:val="28"/>
                <w:szCs w:val="28"/>
              </w:rPr>
            </w:pPr>
          </w:p>
        </w:tc>
      </w:tr>
      <w:tr w14:paraId="7DA6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69EC0614">
            <w:pPr>
              <w:spacing w:line="44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w:t>
            </w:r>
          </w:p>
        </w:tc>
        <w:tc>
          <w:tcPr>
            <w:tcW w:w="1423" w:type="dxa"/>
            <w:vAlign w:val="center"/>
          </w:tcPr>
          <w:p w14:paraId="6B11E8E9">
            <w:pPr>
              <w:spacing w:line="440" w:lineRule="exact"/>
              <w:rPr>
                <w:rFonts w:hint="default" w:ascii="Times New Roman" w:hAnsi="Times New Roman" w:eastAsia="仿宋_GB2312" w:cs="Times New Roman"/>
                <w:color w:val="auto"/>
                <w:sz w:val="28"/>
                <w:szCs w:val="28"/>
              </w:rPr>
            </w:pPr>
          </w:p>
        </w:tc>
        <w:tc>
          <w:tcPr>
            <w:tcW w:w="2599" w:type="dxa"/>
            <w:vAlign w:val="center"/>
          </w:tcPr>
          <w:p w14:paraId="65205914">
            <w:pPr>
              <w:spacing w:line="440" w:lineRule="exact"/>
              <w:rPr>
                <w:rFonts w:hint="default" w:ascii="Times New Roman" w:hAnsi="Times New Roman" w:eastAsia="仿宋_GB2312" w:cs="Times New Roman"/>
                <w:color w:val="auto"/>
                <w:sz w:val="28"/>
                <w:szCs w:val="28"/>
              </w:rPr>
            </w:pPr>
          </w:p>
        </w:tc>
        <w:tc>
          <w:tcPr>
            <w:tcW w:w="1375" w:type="dxa"/>
            <w:vAlign w:val="center"/>
          </w:tcPr>
          <w:p w14:paraId="11707F6D">
            <w:pPr>
              <w:spacing w:line="440" w:lineRule="exact"/>
              <w:rPr>
                <w:rFonts w:hint="default" w:ascii="Times New Roman" w:hAnsi="Times New Roman" w:eastAsia="仿宋_GB2312" w:cs="Times New Roman"/>
                <w:color w:val="auto"/>
                <w:sz w:val="28"/>
                <w:szCs w:val="28"/>
              </w:rPr>
            </w:pPr>
          </w:p>
        </w:tc>
        <w:tc>
          <w:tcPr>
            <w:tcW w:w="2350" w:type="dxa"/>
            <w:vAlign w:val="center"/>
          </w:tcPr>
          <w:p w14:paraId="5B2E74E2">
            <w:pPr>
              <w:spacing w:line="440" w:lineRule="exact"/>
              <w:rPr>
                <w:rFonts w:hint="default" w:ascii="Times New Roman" w:hAnsi="Times New Roman" w:eastAsia="仿宋_GB2312" w:cs="Times New Roman"/>
                <w:color w:val="auto"/>
                <w:sz w:val="28"/>
                <w:szCs w:val="28"/>
              </w:rPr>
            </w:pPr>
          </w:p>
        </w:tc>
      </w:tr>
      <w:tr w14:paraId="747A1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01366569">
            <w:pPr>
              <w:spacing w:line="440" w:lineRule="exact"/>
              <w:rPr>
                <w:rFonts w:hint="default" w:ascii="Times New Roman" w:hAnsi="Times New Roman" w:eastAsia="仿宋_GB2312" w:cs="Times New Roman"/>
                <w:color w:val="auto"/>
                <w:sz w:val="28"/>
                <w:szCs w:val="28"/>
              </w:rPr>
            </w:pPr>
          </w:p>
        </w:tc>
        <w:tc>
          <w:tcPr>
            <w:tcW w:w="1423" w:type="dxa"/>
            <w:vAlign w:val="center"/>
          </w:tcPr>
          <w:p w14:paraId="0CF6263D">
            <w:pPr>
              <w:spacing w:line="440" w:lineRule="exact"/>
              <w:rPr>
                <w:rFonts w:hint="default" w:ascii="Times New Roman" w:hAnsi="Times New Roman" w:eastAsia="仿宋_GB2312" w:cs="Times New Roman"/>
                <w:color w:val="auto"/>
                <w:sz w:val="28"/>
                <w:szCs w:val="28"/>
              </w:rPr>
            </w:pPr>
          </w:p>
        </w:tc>
        <w:tc>
          <w:tcPr>
            <w:tcW w:w="2599" w:type="dxa"/>
            <w:vAlign w:val="center"/>
          </w:tcPr>
          <w:p w14:paraId="1593E178">
            <w:pPr>
              <w:spacing w:line="440" w:lineRule="exact"/>
              <w:rPr>
                <w:rFonts w:hint="default" w:ascii="Times New Roman" w:hAnsi="Times New Roman" w:eastAsia="仿宋_GB2312" w:cs="Times New Roman"/>
                <w:color w:val="auto"/>
                <w:sz w:val="28"/>
                <w:szCs w:val="28"/>
              </w:rPr>
            </w:pPr>
          </w:p>
        </w:tc>
        <w:tc>
          <w:tcPr>
            <w:tcW w:w="1375" w:type="dxa"/>
            <w:vAlign w:val="center"/>
          </w:tcPr>
          <w:p w14:paraId="43F86838">
            <w:pPr>
              <w:spacing w:line="440" w:lineRule="exact"/>
              <w:rPr>
                <w:rFonts w:hint="default" w:ascii="Times New Roman" w:hAnsi="Times New Roman" w:eastAsia="仿宋_GB2312" w:cs="Times New Roman"/>
                <w:color w:val="auto"/>
                <w:sz w:val="28"/>
                <w:szCs w:val="28"/>
              </w:rPr>
            </w:pPr>
          </w:p>
        </w:tc>
        <w:tc>
          <w:tcPr>
            <w:tcW w:w="2350" w:type="dxa"/>
            <w:vAlign w:val="center"/>
          </w:tcPr>
          <w:p w14:paraId="43CED8CC">
            <w:pPr>
              <w:spacing w:line="440" w:lineRule="exact"/>
              <w:rPr>
                <w:rFonts w:hint="default" w:ascii="Times New Roman" w:hAnsi="Times New Roman" w:eastAsia="仿宋_GB2312" w:cs="Times New Roman"/>
                <w:color w:val="auto"/>
                <w:sz w:val="28"/>
                <w:szCs w:val="28"/>
              </w:rPr>
            </w:pPr>
          </w:p>
        </w:tc>
      </w:tr>
      <w:tr w14:paraId="28AA7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11721BE3">
            <w:pPr>
              <w:spacing w:line="440" w:lineRule="exact"/>
              <w:rPr>
                <w:rFonts w:hint="default" w:ascii="Times New Roman" w:hAnsi="Times New Roman" w:eastAsia="仿宋_GB2312" w:cs="Times New Roman"/>
                <w:color w:val="auto"/>
                <w:sz w:val="28"/>
                <w:szCs w:val="28"/>
              </w:rPr>
            </w:pPr>
          </w:p>
        </w:tc>
        <w:tc>
          <w:tcPr>
            <w:tcW w:w="1423" w:type="dxa"/>
            <w:vAlign w:val="center"/>
          </w:tcPr>
          <w:p w14:paraId="4B622793">
            <w:pPr>
              <w:spacing w:line="440" w:lineRule="exact"/>
              <w:rPr>
                <w:rFonts w:hint="default" w:ascii="Times New Roman" w:hAnsi="Times New Roman" w:eastAsia="仿宋_GB2312" w:cs="Times New Roman"/>
                <w:color w:val="auto"/>
                <w:sz w:val="28"/>
                <w:szCs w:val="28"/>
              </w:rPr>
            </w:pPr>
          </w:p>
        </w:tc>
        <w:tc>
          <w:tcPr>
            <w:tcW w:w="2599" w:type="dxa"/>
            <w:vAlign w:val="center"/>
          </w:tcPr>
          <w:p w14:paraId="3EF1832C">
            <w:pPr>
              <w:spacing w:line="440" w:lineRule="exact"/>
              <w:rPr>
                <w:rFonts w:hint="default" w:ascii="Times New Roman" w:hAnsi="Times New Roman" w:eastAsia="仿宋_GB2312" w:cs="Times New Roman"/>
                <w:color w:val="auto"/>
                <w:sz w:val="28"/>
                <w:szCs w:val="28"/>
              </w:rPr>
            </w:pPr>
          </w:p>
        </w:tc>
        <w:tc>
          <w:tcPr>
            <w:tcW w:w="1375" w:type="dxa"/>
            <w:vAlign w:val="center"/>
          </w:tcPr>
          <w:p w14:paraId="13EDCBBA">
            <w:pPr>
              <w:spacing w:line="440" w:lineRule="exact"/>
              <w:rPr>
                <w:rFonts w:hint="default" w:ascii="Times New Roman" w:hAnsi="Times New Roman" w:eastAsia="仿宋_GB2312" w:cs="Times New Roman"/>
                <w:color w:val="auto"/>
                <w:sz w:val="28"/>
                <w:szCs w:val="28"/>
              </w:rPr>
            </w:pPr>
          </w:p>
        </w:tc>
        <w:tc>
          <w:tcPr>
            <w:tcW w:w="2350" w:type="dxa"/>
            <w:vAlign w:val="center"/>
          </w:tcPr>
          <w:p w14:paraId="02B2C264">
            <w:pPr>
              <w:spacing w:line="440" w:lineRule="exact"/>
              <w:rPr>
                <w:rFonts w:hint="default" w:ascii="Times New Roman" w:hAnsi="Times New Roman" w:eastAsia="仿宋_GB2312" w:cs="Times New Roman"/>
                <w:color w:val="auto"/>
                <w:sz w:val="28"/>
                <w:szCs w:val="28"/>
              </w:rPr>
            </w:pPr>
          </w:p>
        </w:tc>
      </w:tr>
      <w:tr w14:paraId="302C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0" w:type="dxa"/>
            <w:vAlign w:val="center"/>
          </w:tcPr>
          <w:p w14:paraId="51F8ED93">
            <w:pPr>
              <w:spacing w:line="440" w:lineRule="exact"/>
              <w:rPr>
                <w:rFonts w:hint="default" w:ascii="Times New Roman" w:hAnsi="Times New Roman" w:eastAsia="仿宋_GB2312" w:cs="Times New Roman"/>
                <w:color w:val="auto"/>
                <w:sz w:val="28"/>
                <w:szCs w:val="28"/>
              </w:rPr>
            </w:pPr>
          </w:p>
        </w:tc>
        <w:tc>
          <w:tcPr>
            <w:tcW w:w="1423" w:type="dxa"/>
            <w:vAlign w:val="center"/>
          </w:tcPr>
          <w:p w14:paraId="5FBF2855">
            <w:pPr>
              <w:spacing w:line="440" w:lineRule="exact"/>
              <w:rPr>
                <w:rFonts w:hint="default" w:ascii="Times New Roman" w:hAnsi="Times New Roman" w:eastAsia="仿宋_GB2312" w:cs="Times New Roman"/>
                <w:color w:val="auto"/>
                <w:sz w:val="28"/>
                <w:szCs w:val="28"/>
              </w:rPr>
            </w:pPr>
          </w:p>
        </w:tc>
        <w:tc>
          <w:tcPr>
            <w:tcW w:w="2599" w:type="dxa"/>
            <w:vAlign w:val="center"/>
          </w:tcPr>
          <w:p w14:paraId="1FE51192">
            <w:pPr>
              <w:spacing w:line="440" w:lineRule="exact"/>
              <w:rPr>
                <w:rFonts w:hint="default" w:ascii="Times New Roman" w:hAnsi="Times New Roman" w:eastAsia="仿宋_GB2312" w:cs="Times New Roman"/>
                <w:color w:val="auto"/>
                <w:sz w:val="28"/>
                <w:szCs w:val="28"/>
              </w:rPr>
            </w:pPr>
          </w:p>
        </w:tc>
        <w:tc>
          <w:tcPr>
            <w:tcW w:w="1375" w:type="dxa"/>
            <w:vAlign w:val="center"/>
          </w:tcPr>
          <w:p w14:paraId="0BD38C4F">
            <w:pPr>
              <w:spacing w:line="440" w:lineRule="exact"/>
              <w:rPr>
                <w:rFonts w:hint="default" w:ascii="Times New Roman" w:hAnsi="Times New Roman" w:eastAsia="仿宋_GB2312" w:cs="Times New Roman"/>
                <w:color w:val="auto"/>
                <w:sz w:val="28"/>
                <w:szCs w:val="28"/>
              </w:rPr>
            </w:pPr>
          </w:p>
        </w:tc>
        <w:tc>
          <w:tcPr>
            <w:tcW w:w="2350" w:type="dxa"/>
            <w:vAlign w:val="center"/>
          </w:tcPr>
          <w:p w14:paraId="594B2DBA">
            <w:pPr>
              <w:spacing w:line="440" w:lineRule="exact"/>
              <w:rPr>
                <w:rFonts w:hint="default" w:ascii="Times New Roman" w:hAnsi="Times New Roman" w:eastAsia="仿宋_GB2312" w:cs="Times New Roman"/>
                <w:color w:val="auto"/>
                <w:sz w:val="28"/>
                <w:szCs w:val="28"/>
              </w:rPr>
            </w:pPr>
          </w:p>
        </w:tc>
      </w:tr>
      <w:tr w14:paraId="58BF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0" w:type="dxa"/>
            <w:vAlign w:val="center"/>
          </w:tcPr>
          <w:p w14:paraId="7E2A95CE">
            <w:pPr>
              <w:spacing w:line="44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1423" w:type="dxa"/>
            <w:vAlign w:val="center"/>
          </w:tcPr>
          <w:p w14:paraId="02AF9EAE">
            <w:pPr>
              <w:spacing w:line="440" w:lineRule="exact"/>
              <w:rPr>
                <w:rFonts w:hint="default" w:ascii="Times New Roman" w:hAnsi="Times New Roman" w:eastAsia="仿宋_GB2312" w:cs="Times New Roman"/>
                <w:color w:val="auto"/>
                <w:sz w:val="28"/>
                <w:szCs w:val="28"/>
              </w:rPr>
            </w:pPr>
          </w:p>
        </w:tc>
        <w:tc>
          <w:tcPr>
            <w:tcW w:w="2599" w:type="dxa"/>
            <w:vAlign w:val="center"/>
          </w:tcPr>
          <w:p w14:paraId="6D1721D5">
            <w:pPr>
              <w:spacing w:line="440" w:lineRule="exact"/>
              <w:rPr>
                <w:rFonts w:hint="default" w:ascii="Times New Roman" w:hAnsi="Times New Roman" w:eastAsia="仿宋_GB2312" w:cs="Times New Roman"/>
                <w:color w:val="auto"/>
                <w:sz w:val="28"/>
                <w:szCs w:val="28"/>
              </w:rPr>
            </w:pPr>
          </w:p>
        </w:tc>
        <w:tc>
          <w:tcPr>
            <w:tcW w:w="1375" w:type="dxa"/>
            <w:vAlign w:val="center"/>
          </w:tcPr>
          <w:p w14:paraId="65D5762A">
            <w:pPr>
              <w:spacing w:line="440" w:lineRule="exact"/>
              <w:rPr>
                <w:rFonts w:hint="default" w:ascii="Times New Roman" w:hAnsi="Times New Roman" w:eastAsia="仿宋_GB2312" w:cs="Times New Roman"/>
                <w:color w:val="auto"/>
                <w:sz w:val="28"/>
                <w:szCs w:val="28"/>
              </w:rPr>
            </w:pPr>
          </w:p>
        </w:tc>
        <w:tc>
          <w:tcPr>
            <w:tcW w:w="2350" w:type="dxa"/>
            <w:vAlign w:val="center"/>
          </w:tcPr>
          <w:p w14:paraId="2979197B">
            <w:pPr>
              <w:spacing w:line="440" w:lineRule="exact"/>
              <w:rPr>
                <w:rFonts w:hint="default" w:ascii="Times New Roman" w:hAnsi="Times New Roman" w:eastAsia="仿宋_GB2312" w:cs="Times New Roman"/>
                <w:color w:val="auto"/>
                <w:sz w:val="28"/>
                <w:szCs w:val="28"/>
              </w:rPr>
            </w:pPr>
          </w:p>
        </w:tc>
      </w:tr>
    </w:tbl>
    <w:p w14:paraId="3D291C5C">
      <w:pPr>
        <w:pStyle w:val="2"/>
        <w:numPr>
          <w:ilvl w:val="0"/>
          <w:numId w:val="0"/>
        </w:numPr>
        <w:ind w:leftChars="0"/>
        <w:jc w:val="both"/>
        <w:rPr>
          <w:rFonts w:hint="default" w:ascii="Times New Roman" w:hAnsi="Times New Roman" w:cs="Times New Roman"/>
          <w:color w:val="auto"/>
        </w:rPr>
      </w:pPr>
    </w:p>
    <w:p w14:paraId="46196B29">
      <w:pPr>
        <w:keepNext w:val="0"/>
        <w:keepLines w:val="0"/>
        <w:pageBreakBefore w:val="0"/>
        <w:widowControl/>
        <w:suppressLineNumbers w:val="0"/>
        <w:kinsoku/>
        <w:wordWrap/>
        <w:overflowPunct/>
        <w:topLinePunct w:val="0"/>
        <w:autoSpaceDE/>
        <w:autoSpaceDN/>
        <w:bidi w:val="0"/>
        <w:adjustRightInd/>
        <w:snapToGrid/>
        <w:spacing w:line="240" w:lineRule="auto"/>
        <w:ind w:firstLine="486" w:firstLineChars="200"/>
        <w:jc w:val="left"/>
        <w:textAlignment w:val="auto"/>
        <w:rPr>
          <w:rFonts w:hint="default" w:ascii="Times New Roman" w:hAnsi="Times New Roman" w:eastAsia="仿宋_GB2312" w:cs="Times New Roman"/>
          <w:color w:val="auto"/>
          <w:sz w:val="24"/>
          <w:szCs w:val="24"/>
          <w:lang w:eastAsia="zh-CN"/>
        </w:rPr>
      </w:pPr>
      <w:bookmarkStart w:id="295" w:name="_Toc9021_WPSOffice_Level1"/>
      <w:bookmarkStart w:id="296" w:name="_Toc5795_WPSOffice_Level1"/>
      <w:bookmarkStart w:id="297" w:name="_Toc31624_WPSOffice_Level1"/>
      <w:r>
        <w:rPr>
          <w:rFonts w:hint="default" w:ascii="Times New Roman" w:hAnsi="Times New Roman" w:eastAsia="仿宋_GB2312" w:cs="Times New Roman"/>
          <w:color w:val="auto"/>
          <w:sz w:val="24"/>
          <w:szCs w:val="24"/>
        </w:rPr>
        <w:t>备注：</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填写此表时以第三章“磋商内容及采购要求”各条款为基本响应要求，满足磋商文件要求的，“偏离程度”注明“0”，无需填写“偏离简述”项。超出、不满足磋商文件要求的，列出“</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”偏差，并在“偏离简述”项做出详细说明；如果加“★”内容的“响应条款”</w:t>
      </w:r>
      <w:r>
        <w:rPr>
          <w:rFonts w:hint="default" w:ascii="Times New Roman" w:hAnsi="Times New Roman" w:eastAsia="仿宋_GB2312" w:cs="Times New Roman"/>
          <w:color w:val="auto"/>
          <w:sz w:val="24"/>
          <w:szCs w:val="24"/>
          <w:lang w:val="en-US" w:eastAsia="zh-CN"/>
        </w:rPr>
        <w:t>或</w:t>
      </w:r>
      <w:r>
        <w:rPr>
          <w:rFonts w:hint="default" w:ascii="Times New Roman" w:hAnsi="Times New Roman" w:eastAsia="仿宋_GB2312" w:cs="Times New Roman"/>
          <w:color w:val="auto"/>
          <w:sz w:val="24"/>
          <w:szCs w:val="24"/>
        </w:rPr>
        <w:t>“偏离程度”项未填写，将视为该项指标未响应，投标无效</w:t>
      </w:r>
      <w:r>
        <w:rPr>
          <w:rFonts w:hint="default" w:ascii="Times New Roman" w:hAnsi="Times New Roman" w:eastAsia="仿宋_GB2312" w:cs="Times New Roman"/>
          <w:color w:val="auto"/>
          <w:sz w:val="24"/>
          <w:szCs w:val="24"/>
          <w:lang w:eastAsia="zh-CN"/>
        </w:rPr>
        <w:t>。</w:t>
      </w:r>
    </w:p>
    <w:p w14:paraId="71E179B2">
      <w:pPr>
        <w:keepNext w:val="0"/>
        <w:keepLines w:val="0"/>
        <w:pageBreakBefore w:val="0"/>
        <w:widowControl/>
        <w:suppressLineNumbers w:val="0"/>
        <w:kinsoku/>
        <w:wordWrap/>
        <w:overflowPunct/>
        <w:topLinePunct w:val="0"/>
        <w:autoSpaceDE/>
        <w:autoSpaceDN/>
        <w:bidi w:val="0"/>
        <w:adjustRightInd/>
        <w:snapToGrid/>
        <w:spacing w:line="240" w:lineRule="auto"/>
        <w:ind w:firstLine="486" w:firstLineChars="20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kern w:val="0"/>
          <w:sz w:val="24"/>
          <w:szCs w:val="24"/>
          <w:lang w:val="en-US" w:eastAsia="zh-CN" w:bidi="ar"/>
        </w:rPr>
        <w:t>2、“磋商文件响应条款”必须与磋商响应文件中提供的证明材料的实质性响应情况相一致。若在评审环节发现该项与磋商响应文件证明材料的实质性响应情况不一致，按无效响应处理。</w:t>
      </w:r>
    </w:p>
    <w:p w14:paraId="7D922F15">
      <w:pPr>
        <w:spacing w:line="240" w:lineRule="auto"/>
        <w:ind w:firstLine="426" w:firstLineChars="200"/>
        <w:rPr>
          <w:rFonts w:hint="default" w:ascii="Times New Roman" w:hAnsi="Times New Roman" w:eastAsia="宋体" w:cs="Times New Roman"/>
          <w:color w:val="auto"/>
          <w:sz w:val="21"/>
          <w:szCs w:val="21"/>
        </w:rPr>
      </w:pPr>
    </w:p>
    <w:p w14:paraId="0C2BF5EB">
      <w:pPr>
        <w:spacing w:line="500" w:lineRule="exact"/>
        <w:ind w:firstLine="566" w:firstLineChars="200"/>
        <w:rPr>
          <w:rFonts w:hint="default" w:ascii="Times New Roman" w:hAnsi="Times New Roman" w:cs="Times New Roman"/>
          <w:color w:val="auto"/>
        </w:rPr>
      </w:pPr>
    </w:p>
    <w:p w14:paraId="202C169A">
      <w:pPr>
        <w:spacing w:line="500" w:lineRule="exact"/>
        <w:ind w:firstLine="5094" w:firstLineChars="1800"/>
        <w:rPr>
          <w:rFonts w:hint="default" w:ascii="Times New Roman" w:hAnsi="Times New Roman" w:eastAsia="仿宋_GB2312" w:cs="Times New Roman"/>
          <w:color w:val="auto"/>
        </w:rPr>
      </w:pPr>
      <w:r>
        <w:rPr>
          <w:rFonts w:hint="default" w:ascii="Times New Roman" w:hAnsi="Times New Roman" w:eastAsia="仿宋_GB2312" w:cs="Times New Roman"/>
          <w:color w:val="auto"/>
        </w:rPr>
        <w:t>供应商：</w:t>
      </w:r>
      <w:r>
        <w:rPr>
          <w:rFonts w:hint="default" w:ascii="Times New Roman" w:hAnsi="Times New Roman" w:eastAsia="仿宋_GB2312" w:cs="Times New Roman"/>
          <w:color w:val="auto"/>
          <w:u w:val="single"/>
        </w:rPr>
        <w:t>名称</w:t>
      </w:r>
      <w:r>
        <w:rPr>
          <w:rFonts w:hint="default" w:ascii="Times New Roman" w:hAnsi="Times New Roman" w:eastAsia="仿宋_GB2312" w:cs="Times New Roman"/>
          <w:color w:val="auto"/>
        </w:rPr>
        <w:t>（加盖公章）</w:t>
      </w:r>
    </w:p>
    <w:p w14:paraId="74B0EF08">
      <w:pPr>
        <w:tabs>
          <w:tab w:val="right" w:pos="9070"/>
        </w:tabs>
        <w:spacing w:line="500" w:lineRule="exact"/>
        <w:ind w:firstLine="5094" w:firstLineChars="18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rPr>
        <w:t>日期：　　年　月　日</w:t>
      </w:r>
    </w:p>
    <w:p w14:paraId="6A295EE1">
      <w:pPr>
        <w:rPr>
          <w:rFonts w:hint="default" w:ascii="Times New Roman" w:hAnsi="Times New Roman" w:eastAsia="仿宋_GB2312" w:cs="Times New Roman"/>
          <w:b/>
          <w:color w:val="auto"/>
          <w:sz w:val="32"/>
          <w:szCs w:val="32"/>
          <w:lang w:val="en-US" w:eastAsia="zh-CN"/>
        </w:rPr>
      </w:pPr>
    </w:p>
    <w:p w14:paraId="7AC7D285">
      <w:pPr>
        <w:rPr>
          <w:rFonts w:hint="default" w:ascii="Times New Roman" w:hAnsi="Times New Roman" w:eastAsia="仿宋_GB2312" w:cs="Times New Roman"/>
          <w:b/>
          <w:color w:val="auto"/>
          <w:sz w:val="32"/>
          <w:szCs w:val="32"/>
          <w:lang w:val="en-US" w:eastAsia="zh-CN"/>
        </w:rPr>
      </w:pPr>
    </w:p>
    <w:p w14:paraId="680CE828">
      <w:pPr>
        <w:rPr>
          <w:rFonts w:hint="default" w:ascii="Times New Roman" w:hAnsi="Times New Roman" w:eastAsia="仿宋_GB2312" w:cs="Times New Roman"/>
          <w:b/>
          <w:color w:val="auto"/>
          <w:sz w:val="32"/>
          <w:szCs w:val="32"/>
          <w:lang w:val="en-US" w:eastAsia="zh-CN"/>
        </w:rPr>
      </w:pPr>
    </w:p>
    <w:p w14:paraId="0E279852">
      <w:pPr>
        <w:rPr>
          <w:rFonts w:hint="default" w:ascii="Times New Roman" w:hAnsi="Times New Roman" w:eastAsia="仿宋_GB2312" w:cs="Times New Roman"/>
          <w:b/>
          <w:color w:val="auto"/>
          <w:sz w:val="32"/>
          <w:szCs w:val="32"/>
          <w:lang w:val="en-US" w:eastAsia="zh-CN"/>
        </w:rPr>
      </w:pPr>
    </w:p>
    <w:p w14:paraId="51861BF8">
      <w:pPr>
        <w:rPr>
          <w:rFonts w:hint="default" w:ascii="Times New Roman" w:hAnsi="Times New Roman" w:eastAsia="仿宋_GB2312" w:cs="Times New Roman"/>
          <w:b/>
          <w:color w:val="auto"/>
          <w:sz w:val="32"/>
          <w:szCs w:val="32"/>
          <w:lang w:val="en-US" w:eastAsia="zh-CN"/>
        </w:rPr>
      </w:pPr>
    </w:p>
    <w:p w14:paraId="21A09FEC">
      <w:pPr>
        <w:rPr>
          <w:rFonts w:hint="default" w:ascii="Times New Roman" w:hAnsi="Times New Roman" w:eastAsia="仿宋_GB2312" w:cs="Times New Roman"/>
          <w:b/>
          <w:color w:val="auto"/>
          <w:sz w:val="32"/>
          <w:szCs w:val="32"/>
          <w:lang w:val="en-US" w:eastAsia="zh-CN"/>
        </w:rPr>
      </w:pPr>
    </w:p>
    <w:p w14:paraId="430D4D79">
      <w:pPr>
        <w:rPr>
          <w:rFonts w:hint="default" w:ascii="Times New Roman" w:hAnsi="Times New Roman" w:eastAsia="仿宋_GB2312" w:cs="Times New Roman"/>
          <w:b/>
          <w:color w:val="auto"/>
          <w:sz w:val="32"/>
          <w:szCs w:val="32"/>
          <w:lang w:val="en-US" w:eastAsia="zh-CN"/>
        </w:rPr>
      </w:pPr>
    </w:p>
    <w:p w14:paraId="1A61561C">
      <w:pPr>
        <w:rPr>
          <w:rFonts w:hint="default" w:ascii="Times New Roman" w:hAnsi="Times New Roman" w:eastAsia="仿宋_GB2312" w:cs="Times New Roman"/>
          <w:b/>
          <w:color w:val="auto"/>
          <w:sz w:val="32"/>
          <w:szCs w:val="32"/>
          <w:lang w:val="en-US" w:eastAsia="zh-CN"/>
        </w:rPr>
      </w:pPr>
    </w:p>
    <w:p w14:paraId="2E9FAA9D">
      <w:pP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lang w:val="en-US" w:eastAsia="zh-CN"/>
        </w:rPr>
        <w:t>五</w:t>
      </w:r>
      <w:r>
        <w:rPr>
          <w:rFonts w:hint="default" w:ascii="Times New Roman" w:hAnsi="Times New Roman" w:eastAsia="仿宋_GB2312" w:cs="Times New Roman"/>
          <w:b/>
          <w:color w:val="auto"/>
          <w:sz w:val="32"/>
          <w:szCs w:val="32"/>
        </w:rPr>
        <w:t>、合同</w:t>
      </w:r>
      <w:r>
        <w:rPr>
          <w:rFonts w:hint="default" w:ascii="Times New Roman" w:hAnsi="Times New Roman" w:eastAsia="仿宋_GB2312" w:cs="Times New Roman"/>
          <w:b/>
          <w:color w:val="auto"/>
          <w:sz w:val="32"/>
          <w:szCs w:val="32"/>
          <w:lang w:val="en-US" w:eastAsia="zh-CN"/>
        </w:rPr>
        <w:t>草案</w:t>
      </w:r>
      <w:r>
        <w:rPr>
          <w:rFonts w:hint="default" w:ascii="Times New Roman" w:hAnsi="Times New Roman" w:eastAsia="仿宋_GB2312" w:cs="Times New Roman"/>
          <w:b/>
          <w:color w:val="auto"/>
          <w:sz w:val="32"/>
          <w:szCs w:val="32"/>
        </w:rPr>
        <w:t>条款响应</w:t>
      </w:r>
    </w:p>
    <w:tbl>
      <w:tblPr>
        <w:tblStyle w:val="24"/>
        <w:tblpPr w:leftFromText="180" w:rightFromText="180" w:vertAnchor="text" w:horzAnchor="page" w:tblpX="1717" w:tblpY="3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880"/>
        <w:gridCol w:w="2880"/>
      </w:tblGrid>
      <w:tr w14:paraId="7085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640" w:type="dxa"/>
            <w:gridSpan w:val="3"/>
            <w:noWrap w:val="0"/>
            <w:vAlign w:val="center"/>
          </w:tcPr>
          <w:p w14:paraId="0CDF0F0D">
            <w:pPr>
              <w:spacing w:line="400" w:lineRule="exact"/>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致：汉台区政府采购中心</w:t>
            </w:r>
          </w:p>
        </w:tc>
      </w:tr>
      <w:tr w14:paraId="69E0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640" w:type="dxa"/>
            <w:gridSpan w:val="3"/>
            <w:noWrap w:val="0"/>
            <w:vAlign w:val="center"/>
          </w:tcPr>
          <w:p w14:paraId="0083B6E9">
            <w:pPr>
              <w:spacing w:line="500" w:lineRule="exact"/>
              <w:ind w:firstLine="729" w:firstLineChars="300"/>
              <w:rPr>
                <w:rFonts w:hint="default" w:ascii="Times New Roman" w:hAnsi="Times New Roman" w:eastAsia="仿宋" w:cs="Times New Roman"/>
                <w:color w:val="auto"/>
                <w:sz w:val="24"/>
                <w:szCs w:val="24"/>
                <w:u w:val="single"/>
                <w:lang w:eastAsia="zh-CN"/>
              </w:rPr>
            </w:pPr>
            <w:r>
              <w:rPr>
                <w:rFonts w:hint="default" w:ascii="Times New Roman" w:hAnsi="Times New Roman" w:eastAsia="仿宋_GB2312" w:cs="Times New Roman"/>
                <w:color w:val="auto"/>
                <w:sz w:val="24"/>
                <w:szCs w:val="24"/>
              </w:rPr>
              <w:t>本企业（公司）参加本项目招标（谈判、磋商、询价）活动</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bCs/>
                <w:color w:val="auto"/>
                <w:sz w:val="24"/>
                <w:szCs w:val="24"/>
              </w:rPr>
              <w:t>完全理解并接受磋商文件中“合同</w:t>
            </w:r>
            <w:r>
              <w:rPr>
                <w:rFonts w:hint="default" w:ascii="Times New Roman" w:hAnsi="Times New Roman" w:eastAsia="仿宋_GB2312" w:cs="Times New Roman"/>
                <w:bCs/>
                <w:color w:val="auto"/>
                <w:sz w:val="24"/>
                <w:szCs w:val="24"/>
                <w:lang w:val="en-US" w:eastAsia="zh-CN"/>
              </w:rPr>
              <w:t>主要</w:t>
            </w:r>
            <w:r>
              <w:rPr>
                <w:rFonts w:hint="default" w:ascii="Times New Roman" w:hAnsi="Times New Roman" w:eastAsia="仿宋_GB2312" w:cs="Times New Roman"/>
                <w:bCs/>
                <w:color w:val="auto"/>
                <w:sz w:val="24"/>
                <w:szCs w:val="24"/>
              </w:rPr>
              <w:t>条款”要求。</w:t>
            </w:r>
          </w:p>
        </w:tc>
      </w:tr>
      <w:tr w14:paraId="52B0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880" w:type="dxa"/>
            <w:noWrap w:val="0"/>
            <w:vAlign w:val="center"/>
          </w:tcPr>
          <w:p w14:paraId="5CA76B1B">
            <w:pPr>
              <w:spacing w:line="40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lang w:eastAsia="zh-CN"/>
              </w:rPr>
              <w:t>响应</w:t>
            </w:r>
            <w:r>
              <w:rPr>
                <w:rFonts w:hint="default" w:ascii="Times New Roman" w:hAnsi="Times New Roman" w:eastAsia="仿宋_GB2312" w:cs="Times New Roman"/>
                <w:color w:val="auto"/>
                <w:sz w:val="24"/>
                <w:szCs w:val="24"/>
              </w:rPr>
              <w:t>人</w:t>
            </w:r>
          </w:p>
        </w:tc>
        <w:tc>
          <w:tcPr>
            <w:tcW w:w="2880" w:type="dxa"/>
            <w:noWrap w:val="0"/>
            <w:vAlign w:val="center"/>
          </w:tcPr>
          <w:p w14:paraId="02A19469">
            <w:pPr>
              <w:spacing w:line="40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kern w:val="1"/>
                <w:sz w:val="24"/>
              </w:rPr>
              <w:t>法定代表人(或负责人)</w:t>
            </w:r>
          </w:p>
        </w:tc>
        <w:tc>
          <w:tcPr>
            <w:tcW w:w="2880" w:type="dxa"/>
            <w:noWrap w:val="0"/>
            <w:vAlign w:val="center"/>
          </w:tcPr>
          <w:p w14:paraId="165177A4">
            <w:pPr>
              <w:spacing w:line="40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日  期</w:t>
            </w:r>
          </w:p>
        </w:tc>
      </w:tr>
      <w:tr w14:paraId="6D16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2880" w:type="dxa"/>
            <w:noWrap w:val="0"/>
            <w:vAlign w:val="center"/>
          </w:tcPr>
          <w:p w14:paraId="560F2FC7">
            <w:pPr>
              <w:spacing w:line="40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（公章）</w:t>
            </w:r>
          </w:p>
        </w:tc>
        <w:tc>
          <w:tcPr>
            <w:tcW w:w="2880" w:type="dxa"/>
            <w:noWrap w:val="0"/>
            <w:vAlign w:val="center"/>
          </w:tcPr>
          <w:p w14:paraId="170D81F3">
            <w:pPr>
              <w:spacing w:line="400" w:lineRule="exact"/>
              <w:jc w:val="center"/>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（签字或盖章）</w:t>
            </w:r>
          </w:p>
        </w:tc>
        <w:tc>
          <w:tcPr>
            <w:tcW w:w="2880" w:type="dxa"/>
            <w:noWrap w:val="0"/>
            <w:vAlign w:val="center"/>
          </w:tcPr>
          <w:p w14:paraId="144DAABB">
            <w:pPr>
              <w:spacing w:line="400" w:lineRule="exact"/>
              <w:ind w:firstLine="486" w:firstLineChars="200"/>
              <w:rPr>
                <w:rFonts w:hint="default" w:ascii="Times New Roman" w:hAnsi="Times New Roman" w:eastAsia="仿宋" w:cs="Times New Roman"/>
                <w:color w:val="auto"/>
                <w:sz w:val="24"/>
                <w:szCs w:val="24"/>
              </w:rPr>
            </w:pPr>
            <w:r>
              <w:rPr>
                <w:rFonts w:hint="default" w:ascii="Times New Roman" w:hAnsi="Times New Roman" w:eastAsia="仿宋_GB2312" w:cs="Times New Roman"/>
                <w:color w:val="auto"/>
                <w:sz w:val="24"/>
                <w:szCs w:val="24"/>
              </w:rPr>
              <w:t>年   月   日</w:t>
            </w:r>
          </w:p>
        </w:tc>
      </w:tr>
    </w:tbl>
    <w:p w14:paraId="579EEE4C">
      <w:pPr>
        <w:tabs>
          <w:tab w:val="right" w:pos="9070"/>
        </w:tabs>
        <w:wordWrap w:val="0"/>
        <w:spacing w:line="500" w:lineRule="exact"/>
        <w:ind w:left="0" w:leftChars="0" w:firstLine="5090" w:firstLineChars="1799"/>
        <w:jc w:val="both"/>
        <w:rPr>
          <w:rFonts w:hint="default" w:ascii="Times New Roman" w:hAnsi="Times New Roman" w:eastAsia="仿宋_GB2312" w:cs="Times New Roman"/>
          <w:bCs/>
          <w:color w:val="auto"/>
          <w:sz w:val="28"/>
          <w:szCs w:val="28"/>
          <w:lang w:val="en-US" w:eastAsia="zh-CN"/>
        </w:rPr>
      </w:pPr>
      <w:r>
        <w:rPr>
          <w:rFonts w:hint="default" w:ascii="Times New Roman" w:hAnsi="Times New Roman" w:eastAsia="仿宋_GB2312" w:cs="Times New Roman"/>
          <w:color w:val="auto"/>
          <w:sz w:val="28"/>
          <w:szCs w:val="28"/>
          <w:lang w:val="en-US" w:eastAsia="zh-CN"/>
        </w:rPr>
        <w:t xml:space="preserve"> </w:t>
      </w:r>
    </w:p>
    <w:p w14:paraId="1C0EA3FC">
      <w:pPr>
        <w:pStyle w:val="22"/>
        <w:ind w:firstLine="183"/>
        <w:rPr>
          <w:rFonts w:hint="default" w:ascii="Times New Roman" w:hAnsi="Times New Roman" w:cs="Times New Roman"/>
          <w:color w:val="auto"/>
        </w:rPr>
      </w:pPr>
    </w:p>
    <w:p w14:paraId="69FE67F4">
      <w:pPr>
        <w:rPr>
          <w:rFonts w:hint="default" w:ascii="Times New Roman" w:hAnsi="Times New Roman" w:cs="Times New Roman"/>
          <w:color w:val="auto"/>
        </w:rPr>
      </w:pPr>
    </w:p>
    <w:p w14:paraId="408E23F5">
      <w:pPr>
        <w:pStyle w:val="2"/>
        <w:rPr>
          <w:rFonts w:hint="default" w:ascii="Times New Roman" w:hAnsi="Times New Roman" w:cs="Times New Roman"/>
          <w:color w:val="auto"/>
        </w:rPr>
      </w:pPr>
    </w:p>
    <w:p w14:paraId="5A57C794">
      <w:pPr>
        <w:rPr>
          <w:rFonts w:hint="default" w:ascii="Times New Roman" w:hAnsi="Times New Roman" w:cs="Times New Roman"/>
          <w:color w:val="auto"/>
        </w:rPr>
      </w:pPr>
    </w:p>
    <w:p w14:paraId="22DECA3E">
      <w:pPr>
        <w:pStyle w:val="2"/>
        <w:rPr>
          <w:rFonts w:hint="default" w:ascii="Times New Roman" w:hAnsi="Times New Roman" w:cs="Times New Roman"/>
          <w:color w:val="auto"/>
        </w:rPr>
      </w:pPr>
    </w:p>
    <w:p w14:paraId="1075F575">
      <w:pPr>
        <w:rPr>
          <w:rFonts w:hint="default" w:ascii="Times New Roman" w:hAnsi="Times New Roman" w:cs="Times New Roman"/>
          <w:color w:val="auto"/>
        </w:rPr>
      </w:pPr>
    </w:p>
    <w:p w14:paraId="4FE04636">
      <w:pPr>
        <w:pStyle w:val="2"/>
        <w:rPr>
          <w:rFonts w:hint="default" w:ascii="Times New Roman" w:hAnsi="Times New Roman" w:cs="Times New Roman"/>
          <w:color w:val="auto"/>
        </w:rPr>
      </w:pPr>
    </w:p>
    <w:p w14:paraId="5E350774">
      <w:pPr>
        <w:rPr>
          <w:rFonts w:hint="default" w:ascii="Times New Roman" w:hAnsi="Times New Roman" w:cs="Times New Roman"/>
          <w:color w:val="auto"/>
        </w:rPr>
      </w:pPr>
    </w:p>
    <w:p w14:paraId="2E6E5B02">
      <w:pPr>
        <w:rPr>
          <w:rStyle w:val="46"/>
          <w:rFonts w:hint="default" w:ascii="Times New Roman" w:hAnsi="Times New Roman" w:eastAsia="黑体" w:cs="Times New Roman"/>
          <w:b w:val="0"/>
          <w:bCs w:val="0"/>
          <w:color w:val="auto"/>
          <w:sz w:val="32"/>
          <w:szCs w:val="40"/>
        </w:rPr>
      </w:pPr>
      <w:bookmarkStart w:id="298" w:name="_Toc28832"/>
      <w:bookmarkStart w:id="299" w:name="_Toc19912"/>
      <w:bookmarkStart w:id="300" w:name="_Toc30940"/>
      <w:bookmarkStart w:id="301" w:name="_Toc17248"/>
      <w:r>
        <w:rPr>
          <w:rStyle w:val="46"/>
          <w:rFonts w:hint="default" w:ascii="Times New Roman" w:hAnsi="Times New Roman" w:eastAsia="黑体" w:cs="Times New Roman"/>
          <w:b w:val="0"/>
          <w:bCs w:val="0"/>
          <w:color w:val="auto"/>
          <w:sz w:val="32"/>
          <w:szCs w:val="40"/>
        </w:rPr>
        <w:br w:type="page"/>
      </w:r>
    </w:p>
    <w:p w14:paraId="6F60B7A1">
      <w:pPr>
        <w:pStyle w:val="45"/>
        <w:spacing w:line="500" w:lineRule="exact"/>
        <w:rPr>
          <w:rFonts w:hint="default" w:ascii="Times New Roman" w:hAnsi="Times New Roman" w:eastAsia="黑体" w:cs="Times New Roman"/>
          <w:b w:val="0"/>
          <w:color w:val="auto"/>
        </w:rPr>
      </w:pPr>
      <w:r>
        <w:rPr>
          <w:rStyle w:val="46"/>
          <w:rFonts w:hint="default" w:ascii="Times New Roman" w:hAnsi="Times New Roman" w:eastAsia="黑体" w:cs="Times New Roman"/>
          <w:b w:val="0"/>
          <w:bCs w:val="0"/>
          <w:color w:val="auto"/>
          <w:sz w:val="32"/>
          <w:szCs w:val="40"/>
        </w:rPr>
        <w:t>第三部分  响应方案</w:t>
      </w:r>
      <w:bookmarkEnd w:id="295"/>
      <w:bookmarkEnd w:id="296"/>
      <w:bookmarkEnd w:id="297"/>
      <w:bookmarkEnd w:id="298"/>
      <w:bookmarkEnd w:id="299"/>
      <w:bookmarkEnd w:id="300"/>
      <w:bookmarkEnd w:id="301"/>
    </w:p>
    <w:p w14:paraId="1972545E">
      <w:pPr>
        <w:pStyle w:val="45"/>
        <w:spacing w:before="190" w:beforeLines="50" w:after="190" w:afterLines="50" w:line="500" w:lineRule="exact"/>
        <w:jc w:val="both"/>
        <w:rPr>
          <w:rFonts w:hint="default" w:ascii="Times New Roman" w:hAnsi="Times New Roman" w:eastAsia="仿宋_GB2312" w:cs="Times New Roman"/>
          <w:bCs w:val="0"/>
          <w:color w:val="auto"/>
          <w:lang w:val="en-US" w:eastAsia="zh-CN"/>
        </w:rPr>
      </w:pPr>
      <w:bookmarkStart w:id="302" w:name="_Toc1481"/>
      <w:bookmarkStart w:id="303" w:name="_Toc17062_WPSOffice_Level2"/>
      <w:bookmarkStart w:id="304" w:name="_Toc11555"/>
      <w:bookmarkStart w:id="305" w:name="_Toc15660_WPSOffice_Level2"/>
      <w:bookmarkStart w:id="306" w:name="_Toc27817"/>
      <w:bookmarkStart w:id="307" w:name="_Toc11401"/>
      <w:bookmarkStart w:id="308" w:name="_Toc9079"/>
      <w:bookmarkStart w:id="309" w:name="_Toc29975_WPSOffice_Level2"/>
      <w:bookmarkStart w:id="310" w:name="_Toc9337_WPSOffice_Level2"/>
      <w:r>
        <w:rPr>
          <w:rFonts w:hint="default" w:ascii="Times New Roman" w:hAnsi="Times New Roman" w:eastAsia="仿宋_GB2312" w:cs="Times New Roman"/>
          <w:bCs w:val="0"/>
          <w:color w:val="auto"/>
        </w:rPr>
        <w:t>一、供应商</w:t>
      </w:r>
      <w:bookmarkEnd w:id="302"/>
      <w:bookmarkEnd w:id="303"/>
      <w:bookmarkEnd w:id="304"/>
      <w:bookmarkEnd w:id="305"/>
      <w:bookmarkEnd w:id="306"/>
      <w:bookmarkEnd w:id="307"/>
      <w:bookmarkEnd w:id="308"/>
      <w:bookmarkEnd w:id="309"/>
      <w:bookmarkEnd w:id="310"/>
      <w:r>
        <w:rPr>
          <w:rFonts w:hint="default" w:ascii="Times New Roman" w:hAnsi="Times New Roman" w:eastAsia="仿宋_GB2312" w:cs="Times New Roman"/>
          <w:bCs w:val="0"/>
          <w:color w:val="auto"/>
          <w:lang w:val="en-US" w:eastAsia="zh-CN"/>
        </w:rPr>
        <w:t>基本情况及其性质</w:t>
      </w:r>
    </w:p>
    <w:p w14:paraId="575C42D4">
      <w:pPr>
        <w:spacing w:line="500" w:lineRule="exact"/>
        <w:ind w:firstLine="566" w:firstLineChars="200"/>
        <w:rPr>
          <w:rFonts w:hint="default" w:ascii="Times New Roman" w:hAnsi="Times New Roman" w:eastAsia="仿宋" w:cs="Times New Roman"/>
          <w:b/>
          <w:color w:val="auto"/>
        </w:rPr>
      </w:pPr>
      <w:bookmarkStart w:id="311" w:name="_Toc27223_WPSOffice_Level3"/>
      <w:r>
        <w:rPr>
          <w:rFonts w:hint="default" w:ascii="Times New Roman" w:hAnsi="Times New Roman" w:cs="Times New Roman"/>
          <w:b/>
          <w:color w:val="auto"/>
        </w:rPr>
        <w:t>（一）供应商基本信息</w:t>
      </w:r>
      <w:bookmarkEnd w:id="311"/>
    </w:p>
    <w:tbl>
      <w:tblPr>
        <w:tblStyle w:val="24"/>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14:paraId="633D02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14:paraId="577346D9">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单位基本情况</w:t>
            </w:r>
          </w:p>
        </w:tc>
      </w:tr>
      <w:tr w14:paraId="35C955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14:paraId="64ED75A0">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供应商全称</w:t>
            </w:r>
          </w:p>
        </w:tc>
        <w:tc>
          <w:tcPr>
            <w:tcW w:w="7494" w:type="dxa"/>
            <w:gridSpan w:val="5"/>
            <w:tcBorders>
              <w:top w:val="single" w:color="auto" w:sz="6" w:space="0"/>
              <w:bottom w:val="single" w:color="auto" w:sz="6" w:space="0"/>
              <w:right w:val="single" w:color="auto" w:sz="12" w:space="0"/>
            </w:tcBorders>
            <w:vAlign w:val="center"/>
          </w:tcPr>
          <w:p w14:paraId="7885EE5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454CD9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14:paraId="318F9F53">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注册地址</w:t>
            </w:r>
          </w:p>
        </w:tc>
        <w:tc>
          <w:tcPr>
            <w:tcW w:w="3009" w:type="dxa"/>
            <w:gridSpan w:val="2"/>
            <w:tcBorders>
              <w:top w:val="single" w:color="auto" w:sz="6" w:space="0"/>
            </w:tcBorders>
            <w:vAlign w:val="center"/>
          </w:tcPr>
          <w:p w14:paraId="4F2C11AB">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tcBorders>
              <w:top w:val="single" w:color="auto" w:sz="6" w:space="0"/>
            </w:tcBorders>
            <w:vAlign w:val="center"/>
          </w:tcPr>
          <w:p w14:paraId="4273928E">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成立时间</w:t>
            </w:r>
          </w:p>
        </w:tc>
        <w:tc>
          <w:tcPr>
            <w:tcW w:w="3090" w:type="dxa"/>
            <w:gridSpan w:val="2"/>
            <w:tcBorders>
              <w:top w:val="single" w:color="auto" w:sz="6" w:space="0"/>
              <w:right w:val="single" w:color="auto" w:sz="12" w:space="0"/>
            </w:tcBorders>
            <w:vAlign w:val="center"/>
          </w:tcPr>
          <w:p w14:paraId="0230FFE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55DEBD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7AD9A150">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登记证号</w:t>
            </w:r>
          </w:p>
        </w:tc>
        <w:tc>
          <w:tcPr>
            <w:tcW w:w="3009" w:type="dxa"/>
            <w:gridSpan w:val="2"/>
            <w:vAlign w:val="center"/>
          </w:tcPr>
          <w:p w14:paraId="30AD3923">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7677024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单位性质</w:t>
            </w:r>
          </w:p>
        </w:tc>
        <w:tc>
          <w:tcPr>
            <w:tcW w:w="3090" w:type="dxa"/>
            <w:gridSpan w:val="2"/>
            <w:tcBorders>
              <w:right w:val="single" w:color="auto" w:sz="12" w:space="0"/>
            </w:tcBorders>
            <w:vAlign w:val="center"/>
          </w:tcPr>
          <w:p w14:paraId="34D7420E">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6C3391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44CC66F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法定代表人</w:t>
            </w:r>
          </w:p>
          <w:p w14:paraId="1524FF81">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(主要负责人)</w:t>
            </w:r>
          </w:p>
        </w:tc>
        <w:tc>
          <w:tcPr>
            <w:tcW w:w="3009" w:type="dxa"/>
            <w:gridSpan w:val="2"/>
            <w:vAlign w:val="center"/>
          </w:tcPr>
          <w:p w14:paraId="49EE6994">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58759E1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所属行业</w:t>
            </w:r>
          </w:p>
        </w:tc>
        <w:tc>
          <w:tcPr>
            <w:tcW w:w="3090" w:type="dxa"/>
            <w:gridSpan w:val="2"/>
            <w:tcBorders>
              <w:right w:val="single" w:color="auto" w:sz="12" w:space="0"/>
            </w:tcBorders>
            <w:vAlign w:val="center"/>
          </w:tcPr>
          <w:p w14:paraId="47A6E21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091879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030295CB">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上年度</w:t>
            </w:r>
          </w:p>
          <w:p w14:paraId="63A2169B">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营业收入</w:t>
            </w:r>
          </w:p>
        </w:tc>
        <w:tc>
          <w:tcPr>
            <w:tcW w:w="3009" w:type="dxa"/>
            <w:gridSpan w:val="2"/>
            <w:vAlign w:val="center"/>
          </w:tcPr>
          <w:p w14:paraId="35D3F0E6">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5073C01C">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资产总额</w:t>
            </w:r>
          </w:p>
        </w:tc>
        <w:tc>
          <w:tcPr>
            <w:tcW w:w="3090" w:type="dxa"/>
            <w:gridSpan w:val="2"/>
            <w:tcBorders>
              <w:right w:val="single" w:color="auto" w:sz="12" w:space="0"/>
            </w:tcBorders>
            <w:vAlign w:val="center"/>
          </w:tcPr>
          <w:p w14:paraId="3278E82E">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586844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14:paraId="204AE311">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基本存款账户</w:t>
            </w:r>
          </w:p>
          <w:p w14:paraId="4FD77199">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开户银行</w:t>
            </w:r>
          </w:p>
        </w:tc>
        <w:tc>
          <w:tcPr>
            <w:tcW w:w="3009" w:type="dxa"/>
            <w:gridSpan w:val="2"/>
            <w:vAlign w:val="center"/>
          </w:tcPr>
          <w:p w14:paraId="62CB179A">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3F18450C">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基本存款</w:t>
            </w:r>
          </w:p>
          <w:p w14:paraId="2663A71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账户账号</w:t>
            </w:r>
          </w:p>
        </w:tc>
        <w:tc>
          <w:tcPr>
            <w:tcW w:w="3090" w:type="dxa"/>
            <w:gridSpan w:val="2"/>
            <w:tcBorders>
              <w:right w:val="single" w:color="auto" w:sz="12" w:space="0"/>
            </w:tcBorders>
            <w:vAlign w:val="center"/>
          </w:tcPr>
          <w:p w14:paraId="3E39F318">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2BEF6C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686" w:type="dxa"/>
            <w:tcBorders>
              <w:left w:val="single" w:color="auto" w:sz="12" w:space="0"/>
            </w:tcBorders>
            <w:vAlign w:val="center"/>
          </w:tcPr>
          <w:p w14:paraId="3ED79AB7">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联系电话</w:t>
            </w:r>
          </w:p>
        </w:tc>
        <w:tc>
          <w:tcPr>
            <w:tcW w:w="3009" w:type="dxa"/>
            <w:gridSpan w:val="2"/>
            <w:vAlign w:val="center"/>
          </w:tcPr>
          <w:p w14:paraId="5AF95068">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395" w:type="dxa"/>
            <w:vAlign w:val="center"/>
          </w:tcPr>
          <w:p w14:paraId="033A05E6">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邮箱</w:t>
            </w:r>
          </w:p>
        </w:tc>
        <w:tc>
          <w:tcPr>
            <w:tcW w:w="3090" w:type="dxa"/>
            <w:gridSpan w:val="2"/>
            <w:tcBorders>
              <w:right w:val="single" w:color="auto" w:sz="12" w:space="0"/>
            </w:tcBorders>
            <w:vAlign w:val="center"/>
          </w:tcPr>
          <w:p w14:paraId="4F4DF25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r>
      <w:tr w14:paraId="193A1B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14:paraId="5D7A0FD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所获得资质及等级(国家行政部门颁发)</w:t>
            </w:r>
          </w:p>
        </w:tc>
        <w:tc>
          <w:tcPr>
            <w:tcW w:w="7494" w:type="dxa"/>
            <w:gridSpan w:val="5"/>
            <w:tcBorders>
              <w:right w:val="single" w:color="auto" w:sz="12" w:space="0"/>
            </w:tcBorders>
            <w:vAlign w:val="center"/>
          </w:tcPr>
          <w:p w14:paraId="2CB89CA9">
            <w:pPr>
              <w:autoSpaceDE w:val="0"/>
              <w:autoSpaceDN w:val="0"/>
              <w:adjustRightInd w:val="0"/>
              <w:spacing w:line="320" w:lineRule="exact"/>
              <w:rPr>
                <w:rFonts w:hint="default" w:ascii="Times New Roman" w:hAnsi="Times New Roman" w:eastAsia="仿宋_GB2312" w:cs="Times New Roman"/>
                <w:color w:val="auto"/>
                <w:kern w:val="0"/>
                <w:sz w:val="24"/>
                <w:szCs w:val="24"/>
              </w:rPr>
            </w:pPr>
          </w:p>
          <w:p w14:paraId="38D3634C">
            <w:pPr>
              <w:autoSpaceDE w:val="0"/>
              <w:autoSpaceDN w:val="0"/>
              <w:adjustRightInd w:val="0"/>
              <w:spacing w:line="320" w:lineRule="exact"/>
              <w:rPr>
                <w:rFonts w:hint="default" w:ascii="Times New Roman" w:hAnsi="Times New Roman" w:eastAsia="仿宋_GB2312" w:cs="Times New Roman"/>
                <w:color w:val="auto"/>
                <w:kern w:val="0"/>
                <w:sz w:val="24"/>
                <w:szCs w:val="24"/>
              </w:rPr>
            </w:pPr>
          </w:p>
        </w:tc>
      </w:tr>
      <w:tr w14:paraId="076792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686" w:type="dxa"/>
            <w:tcBorders>
              <w:left w:val="single" w:color="auto" w:sz="12" w:space="0"/>
            </w:tcBorders>
            <w:vAlign w:val="center"/>
          </w:tcPr>
          <w:p w14:paraId="7DD7907B">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经营范围</w:t>
            </w:r>
          </w:p>
        </w:tc>
        <w:tc>
          <w:tcPr>
            <w:tcW w:w="7494" w:type="dxa"/>
            <w:gridSpan w:val="5"/>
            <w:tcBorders>
              <w:right w:val="single" w:color="auto" w:sz="12" w:space="0"/>
            </w:tcBorders>
            <w:vAlign w:val="center"/>
          </w:tcPr>
          <w:p w14:paraId="5E3D91CB">
            <w:pPr>
              <w:autoSpaceDE w:val="0"/>
              <w:autoSpaceDN w:val="0"/>
              <w:adjustRightInd w:val="0"/>
              <w:spacing w:line="320" w:lineRule="exact"/>
              <w:rPr>
                <w:rFonts w:hint="default" w:ascii="Times New Roman" w:hAnsi="Times New Roman" w:eastAsia="仿宋_GB2312" w:cs="Times New Roman"/>
                <w:color w:val="auto"/>
                <w:kern w:val="0"/>
                <w:sz w:val="24"/>
                <w:szCs w:val="24"/>
              </w:rPr>
            </w:pPr>
          </w:p>
        </w:tc>
      </w:tr>
      <w:tr w14:paraId="4D593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14:paraId="2098B4C8">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人员情况</w:t>
            </w:r>
          </w:p>
        </w:tc>
      </w:tr>
      <w:tr w14:paraId="3EDCB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14:paraId="19BF959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从业人员总数</w:t>
            </w:r>
          </w:p>
        </w:tc>
        <w:tc>
          <w:tcPr>
            <w:tcW w:w="1239" w:type="dxa"/>
            <w:vMerge w:val="restart"/>
            <w:vAlign w:val="center"/>
          </w:tcPr>
          <w:p w14:paraId="306A2CA4">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770" w:type="dxa"/>
            <w:vAlign w:val="center"/>
          </w:tcPr>
          <w:p w14:paraId="518227B6">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管理人员数量</w:t>
            </w:r>
          </w:p>
        </w:tc>
        <w:tc>
          <w:tcPr>
            <w:tcW w:w="1395" w:type="dxa"/>
            <w:vAlign w:val="center"/>
          </w:tcPr>
          <w:p w14:paraId="2669002D">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692" w:type="dxa"/>
            <w:vAlign w:val="center"/>
          </w:tcPr>
          <w:p w14:paraId="35412B6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专业技术</w:t>
            </w:r>
          </w:p>
          <w:p w14:paraId="3659880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人员数量</w:t>
            </w:r>
          </w:p>
        </w:tc>
        <w:tc>
          <w:tcPr>
            <w:tcW w:w="1398" w:type="dxa"/>
            <w:tcBorders>
              <w:right w:val="single" w:color="auto" w:sz="12" w:space="0"/>
            </w:tcBorders>
            <w:vAlign w:val="center"/>
          </w:tcPr>
          <w:p w14:paraId="1133DDB8">
            <w:pPr>
              <w:autoSpaceDE w:val="0"/>
              <w:autoSpaceDN w:val="0"/>
              <w:adjustRightInd w:val="0"/>
              <w:spacing w:line="320" w:lineRule="exact"/>
              <w:jc w:val="center"/>
              <w:rPr>
                <w:rFonts w:hint="default" w:ascii="Times New Roman" w:hAnsi="Times New Roman" w:eastAsia="仿宋_GB2312" w:cs="Times New Roman"/>
                <w:bCs/>
                <w:color w:val="auto"/>
                <w:kern w:val="0"/>
                <w:sz w:val="24"/>
                <w:szCs w:val="24"/>
              </w:rPr>
            </w:pPr>
          </w:p>
        </w:tc>
      </w:tr>
      <w:tr w14:paraId="5CB4FD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14:paraId="153B8293">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239" w:type="dxa"/>
            <w:vMerge w:val="continue"/>
            <w:tcBorders>
              <w:bottom w:val="single" w:color="auto" w:sz="4" w:space="0"/>
            </w:tcBorders>
            <w:vAlign w:val="center"/>
          </w:tcPr>
          <w:p w14:paraId="2690A9A0">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770" w:type="dxa"/>
            <w:tcBorders>
              <w:bottom w:val="single" w:color="auto" w:sz="4" w:space="0"/>
            </w:tcBorders>
            <w:vAlign w:val="center"/>
          </w:tcPr>
          <w:p w14:paraId="4026E195">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残疾人人数</w:t>
            </w:r>
          </w:p>
        </w:tc>
        <w:tc>
          <w:tcPr>
            <w:tcW w:w="1395" w:type="dxa"/>
            <w:tcBorders>
              <w:bottom w:val="single" w:color="auto" w:sz="4" w:space="0"/>
            </w:tcBorders>
            <w:vAlign w:val="center"/>
          </w:tcPr>
          <w:p w14:paraId="0D2E107E">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p>
        </w:tc>
        <w:tc>
          <w:tcPr>
            <w:tcW w:w="1692" w:type="dxa"/>
            <w:tcBorders>
              <w:bottom w:val="single" w:color="auto" w:sz="4" w:space="0"/>
            </w:tcBorders>
            <w:vAlign w:val="center"/>
          </w:tcPr>
          <w:p w14:paraId="7B8453A3">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少数民族人数</w:t>
            </w:r>
          </w:p>
        </w:tc>
        <w:tc>
          <w:tcPr>
            <w:tcW w:w="1398" w:type="dxa"/>
            <w:tcBorders>
              <w:bottom w:val="single" w:color="auto" w:sz="4" w:space="0"/>
              <w:right w:val="single" w:color="auto" w:sz="12" w:space="0"/>
            </w:tcBorders>
            <w:vAlign w:val="center"/>
          </w:tcPr>
          <w:p w14:paraId="1403BB50">
            <w:pPr>
              <w:autoSpaceDE w:val="0"/>
              <w:autoSpaceDN w:val="0"/>
              <w:adjustRightInd w:val="0"/>
              <w:spacing w:line="320" w:lineRule="exact"/>
              <w:jc w:val="center"/>
              <w:rPr>
                <w:rFonts w:hint="default" w:ascii="Times New Roman" w:hAnsi="Times New Roman" w:eastAsia="仿宋_GB2312" w:cs="Times New Roman"/>
                <w:bCs/>
                <w:color w:val="auto"/>
                <w:kern w:val="0"/>
                <w:sz w:val="24"/>
                <w:szCs w:val="24"/>
              </w:rPr>
            </w:pPr>
          </w:p>
        </w:tc>
      </w:tr>
      <w:tr w14:paraId="1F0E2E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14:paraId="5418DD12">
            <w:pPr>
              <w:autoSpaceDE w:val="0"/>
              <w:autoSpaceDN w:val="0"/>
              <w:adjustRightInd w:val="0"/>
              <w:spacing w:line="32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说明</w:t>
            </w:r>
          </w:p>
        </w:tc>
        <w:tc>
          <w:tcPr>
            <w:tcW w:w="7494" w:type="dxa"/>
            <w:gridSpan w:val="5"/>
            <w:tcBorders>
              <w:bottom w:val="single" w:color="auto" w:sz="12" w:space="0"/>
              <w:right w:val="single" w:color="auto" w:sz="12" w:space="0"/>
            </w:tcBorders>
            <w:vAlign w:val="center"/>
          </w:tcPr>
          <w:p w14:paraId="483D527F">
            <w:pPr>
              <w:spacing w:line="320" w:lineRule="exact"/>
              <w:ind w:left="360" w:hanging="36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1、登记证号指营业执照/事业单位法人证书/专业服务机构执业许可证/民办非企业单位登记证书中的登记号。</w:t>
            </w:r>
          </w:p>
          <w:p w14:paraId="265D2447">
            <w:pPr>
              <w:spacing w:line="320" w:lineRule="exact"/>
              <w:ind w:left="360" w:hanging="36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2、成立时间至提交响应文件截止时间不足一年的可不提供“上年度营业收入”。</w:t>
            </w:r>
          </w:p>
          <w:p w14:paraId="137BB702">
            <w:pPr>
              <w:spacing w:line="320" w:lineRule="exact"/>
              <w:ind w:left="360" w:hanging="36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3、供应商应如实填写上述信息。</w:t>
            </w:r>
            <w:bookmarkStart w:id="312" w:name="■AcceptUnion_CH5_A■"/>
            <w:r>
              <w:rPr>
                <w:rFonts w:hint="default" w:ascii="Times New Roman" w:hAnsi="Times New Roman" w:eastAsia="仿宋_GB2312" w:cs="Times New Roman"/>
                <w:color w:val="auto"/>
                <w:sz w:val="24"/>
                <w:szCs w:val="24"/>
              </w:rPr>
              <w:t>磋商文件允许联合体投标的，联合体各方均应提供。</w:t>
            </w:r>
            <w:bookmarkEnd w:id="312"/>
          </w:p>
        </w:tc>
      </w:tr>
    </w:tbl>
    <w:p w14:paraId="73C03F8C">
      <w:pPr>
        <w:spacing w:line="500" w:lineRule="exact"/>
        <w:ind w:firstLine="566" w:firstLineChars="200"/>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二</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供应商其他情况</w:t>
      </w:r>
    </w:p>
    <w:p w14:paraId="1E7E4B79">
      <w:pPr>
        <w:tabs>
          <w:tab w:val="right" w:pos="8364"/>
        </w:tabs>
        <w:spacing w:line="240" w:lineRule="auto"/>
        <w:ind w:firstLine="566" w:firstLineChars="200"/>
        <w:jc w:val="lef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包括但不限于总公司分公司分布及经营状况、股权变更、管理制度、人员配备、用户评价、正在实施的项目，评优获奖等情况，以及供应商认为有利于成交的其他情况说明。</w:t>
      </w:r>
    </w:p>
    <w:p w14:paraId="6E19D8E1">
      <w:pPr>
        <w:spacing w:line="500" w:lineRule="exact"/>
        <w:ind w:firstLine="4811" w:firstLineChars="170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14:paraId="3953CE20">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二、技术服务方案</w:t>
      </w:r>
    </w:p>
    <w:p w14:paraId="7A9B2803">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参照磋商文件第二章《组织评审》各条款的要求，结合第三章《磋商内容及采购要求》编制技术服务方案。</w:t>
      </w:r>
    </w:p>
    <w:p w14:paraId="5A8D1518">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一</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
          <w:bCs/>
          <w:color w:val="auto"/>
        </w:rPr>
        <w:t>总体服务方案</w:t>
      </w:r>
    </w:p>
    <w:p w14:paraId="449A8F6B">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二</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
          <w:bCs/>
          <w:color w:val="auto"/>
          <w:lang w:eastAsia="zh-CN"/>
        </w:rPr>
        <w:t>门卫</w:t>
      </w:r>
      <w:r>
        <w:rPr>
          <w:rFonts w:hint="default" w:ascii="Times New Roman" w:hAnsi="Times New Roman" w:eastAsia="仿宋_GB2312" w:cs="Times New Roman"/>
          <w:b/>
          <w:bCs/>
          <w:color w:val="auto"/>
        </w:rPr>
        <w:t>服务方案</w:t>
      </w:r>
    </w:p>
    <w:p w14:paraId="46480CF2">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三</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
          <w:bCs/>
          <w:color w:val="auto"/>
          <w:lang w:eastAsia="zh-CN"/>
        </w:rPr>
        <w:t>安全巡逻巡查</w:t>
      </w:r>
      <w:r>
        <w:rPr>
          <w:rFonts w:hint="default" w:ascii="Times New Roman" w:hAnsi="Times New Roman" w:eastAsia="仿宋_GB2312" w:cs="Times New Roman"/>
          <w:b/>
          <w:bCs/>
          <w:color w:val="auto"/>
        </w:rPr>
        <w:t>方案</w:t>
      </w:r>
    </w:p>
    <w:p w14:paraId="5340D098">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四</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
          <w:bCs/>
          <w:color w:val="auto"/>
          <w:lang w:eastAsia="zh-CN"/>
        </w:rPr>
        <w:t>值守方案</w:t>
      </w:r>
    </w:p>
    <w:p w14:paraId="1CB27EF1">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五</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
          <w:bCs w:val="0"/>
          <w:color w:val="auto"/>
          <w:sz w:val="28"/>
          <w:szCs w:val="28"/>
          <w:highlight w:val="none"/>
          <w:lang w:eastAsia="zh-CN"/>
        </w:rPr>
        <w:t>人员配备</w:t>
      </w:r>
    </w:p>
    <w:p w14:paraId="07D289F9">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六</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
          <w:bCs/>
          <w:color w:val="auto"/>
          <w:lang w:eastAsia="zh-CN"/>
        </w:rPr>
        <w:t>机动车（非机动车）辆管理服务方案</w:t>
      </w:r>
    </w:p>
    <w:p w14:paraId="71C214B4">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highlight w:val="none"/>
          <w:lang w:eastAsia="zh-CN"/>
        </w:rPr>
      </w:pP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七</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
          <w:bCs/>
          <w:color w:val="auto"/>
          <w:lang w:val="en-US" w:eastAsia="zh-CN"/>
        </w:rPr>
        <w:t>应急预案</w:t>
      </w:r>
    </w:p>
    <w:p w14:paraId="007E6EAD">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八</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
          <w:bCs/>
          <w:color w:val="auto"/>
          <w:lang w:val="en-US" w:eastAsia="zh-CN"/>
        </w:rPr>
        <w:t>管理制度</w:t>
      </w:r>
    </w:p>
    <w:p w14:paraId="471CBF9E">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九</w:t>
      </w:r>
      <w:r>
        <w:rPr>
          <w:rFonts w:hint="default" w:ascii="Times New Roman" w:hAnsi="Times New Roman" w:eastAsia="仿宋_GB2312" w:cs="Times New Roman"/>
          <w:b w:val="0"/>
          <w:bCs w:val="0"/>
          <w:color w:val="auto"/>
          <w:lang w:val="en-US" w:eastAsia="zh-CN"/>
        </w:rPr>
        <w:t>）</w:t>
      </w:r>
      <w:r>
        <w:rPr>
          <w:rFonts w:hint="default" w:ascii="Times New Roman" w:hAnsi="Times New Roman" w:eastAsia="仿宋_GB2312" w:cs="Times New Roman"/>
          <w:b/>
          <w:bCs/>
          <w:color w:val="auto"/>
          <w:lang w:val="en-US" w:eastAsia="zh-CN"/>
        </w:rPr>
        <w:t>培训考核方案</w:t>
      </w:r>
    </w:p>
    <w:p w14:paraId="2F356A43">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十</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
          <w:bCs/>
          <w:color w:val="auto"/>
          <w:lang w:val="en-US" w:eastAsia="zh-CN"/>
        </w:rPr>
        <w:t>业绩</w:t>
      </w:r>
    </w:p>
    <w:p w14:paraId="1CDB1691">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bCs/>
          <w:color w:val="auto"/>
          <w:sz w:val="28"/>
          <w:szCs w:val="28"/>
          <w:highlight w:val="none"/>
          <w:lang w:val="en-US" w:eastAsia="zh-CN"/>
        </w:rPr>
      </w:pPr>
      <w:r>
        <w:rPr>
          <w:rFonts w:hint="default" w:ascii="Times New Roman" w:hAnsi="Times New Roman" w:eastAsia="仿宋_GB2312" w:cs="Times New Roman"/>
          <w:bCs/>
          <w:color w:val="auto"/>
          <w:sz w:val="28"/>
          <w:szCs w:val="28"/>
          <w:highlight w:val="none"/>
          <w:lang w:val="en-US" w:eastAsia="zh-CN"/>
        </w:rPr>
        <w:t>（十一）</w:t>
      </w:r>
      <w:r>
        <w:rPr>
          <w:rFonts w:hint="default" w:ascii="Times New Roman" w:hAnsi="Times New Roman" w:eastAsia="仿宋_GB2312" w:cs="Times New Roman"/>
          <w:b/>
          <w:bCs/>
          <w:color w:val="auto"/>
        </w:rPr>
        <w:t>服务承诺</w:t>
      </w:r>
    </w:p>
    <w:p w14:paraId="3CC01484">
      <w:pPr>
        <w:keepNext w:val="0"/>
        <w:keepLines w:val="0"/>
        <w:pageBreakBefore w:val="0"/>
        <w:widowControl/>
        <w:kinsoku/>
        <w:wordWrap/>
        <w:overflowPunct/>
        <w:topLinePunct w:val="0"/>
        <w:autoSpaceDE/>
        <w:autoSpaceDN/>
        <w:bidi w:val="0"/>
        <w:adjustRightInd/>
        <w:snapToGrid/>
        <w:spacing w:line="240" w:lineRule="auto"/>
        <w:ind w:firstLine="566"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Cs/>
          <w:color w:val="auto"/>
          <w:sz w:val="28"/>
          <w:szCs w:val="28"/>
          <w:highlight w:val="none"/>
          <w:lang w:val="en-US" w:eastAsia="zh-CN"/>
        </w:rPr>
        <w:t>十二</w:t>
      </w:r>
      <w:r>
        <w:rPr>
          <w:rFonts w:hint="default" w:ascii="Times New Roman" w:hAnsi="Times New Roman" w:eastAsia="仿宋_GB2312" w:cs="Times New Roman"/>
          <w:bCs/>
          <w:color w:val="auto"/>
          <w:sz w:val="28"/>
          <w:szCs w:val="28"/>
          <w:highlight w:val="none"/>
          <w:lang w:eastAsia="zh-CN"/>
        </w:rPr>
        <w:t>）</w:t>
      </w:r>
      <w:r>
        <w:rPr>
          <w:rFonts w:hint="default" w:ascii="Times New Roman" w:hAnsi="Times New Roman" w:eastAsia="仿宋_GB2312" w:cs="Times New Roman"/>
          <w:b/>
          <w:bCs w:val="0"/>
          <w:color w:val="auto"/>
          <w:kern w:val="2"/>
          <w:sz w:val="28"/>
          <w:szCs w:val="28"/>
          <w:highlight w:val="none"/>
          <w:lang w:val="en-US" w:eastAsia="zh-CN" w:bidi="ar-SA"/>
        </w:rPr>
        <w:t>其他有必要说明的内容</w:t>
      </w:r>
    </w:p>
    <w:p w14:paraId="3B58C070">
      <w:pP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color w:val="auto"/>
          <w:sz w:val="32"/>
          <w:szCs w:val="32"/>
        </w:rPr>
        <w:t>三、参考样表</w:t>
      </w:r>
    </w:p>
    <w:p w14:paraId="77D629CC">
      <w:pPr>
        <w:spacing w:line="500" w:lineRule="exact"/>
        <w:ind w:firstLine="566" w:firstLineChars="200"/>
        <w:rPr>
          <w:rFonts w:hint="default" w:ascii="Times New Roman" w:hAnsi="Times New Roman" w:eastAsia="仿宋_GB2312" w:cs="Times New Roman"/>
          <w:b/>
          <w:bCs/>
          <w:color w:val="auto"/>
          <w:sz w:val="28"/>
          <w:szCs w:val="28"/>
          <w:lang w:eastAsia="zh-CN"/>
        </w:rPr>
      </w:pPr>
      <w:r>
        <w:rPr>
          <w:rFonts w:hint="default" w:ascii="Times New Roman" w:hAnsi="Times New Roman" w:eastAsia="仿宋_GB2312" w:cs="Times New Roman"/>
          <w:b/>
          <w:bCs/>
          <w:color w:val="auto"/>
          <w:sz w:val="28"/>
          <w:szCs w:val="28"/>
          <w:lang w:eastAsia="zh-CN"/>
        </w:rPr>
        <w:t>（一）履约进度计划表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14:paraId="5BAA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14:paraId="0E6BC86E">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kern w:val="2"/>
                <w:sz w:val="28"/>
                <w:szCs w:val="28"/>
                <w:shd w:val="clear" w:color="auto" w:fill="auto"/>
                <w:lang w:val="en-US" w:eastAsia="zh-CN" w:bidi="ar-SA"/>
              </w:rPr>
            </w:pPr>
            <w:r>
              <w:rPr>
                <w:rFonts w:hint="default" w:ascii="Times New Roman" w:hAnsi="Times New Roman" w:eastAsia="仿宋_GB2312" w:cs="Times New Roman"/>
                <w:b/>
                <w:color w:val="auto"/>
                <w:sz w:val="28"/>
                <w:szCs w:val="28"/>
                <w:shd w:val="clear" w:color="auto" w:fill="auto"/>
              </w:rPr>
              <w:t>序号</w:t>
            </w:r>
          </w:p>
        </w:tc>
        <w:tc>
          <w:tcPr>
            <w:tcW w:w="2498" w:type="dxa"/>
            <w:noWrap w:val="0"/>
            <w:vAlign w:val="center"/>
          </w:tcPr>
          <w:p w14:paraId="4BCDDF07">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kern w:val="2"/>
                <w:sz w:val="28"/>
                <w:szCs w:val="28"/>
                <w:shd w:val="clear" w:color="auto" w:fill="auto"/>
                <w:lang w:val="en-US" w:eastAsia="zh-CN" w:bidi="ar-SA"/>
              </w:rPr>
            </w:pPr>
            <w:r>
              <w:rPr>
                <w:rFonts w:hint="default" w:ascii="Times New Roman" w:hAnsi="Times New Roman" w:eastAsia="仿宋_GB2312" w:cs="Times New Roman"/>
                <w:b/>
                <w:color w:val="auto"/>
                <w:sz w:val="28"/>
                <w:szCs w:val="28"/>
                <w:shd w:val="clear" w:color="auto" w:fill="auto"/>
              </w:rPr>
              <w:t>拟定时间安排</w:t>
            </w:r>
          </w:p>
        </w:tc>
        <w:tc>
          <w:tcPr>
            <w:tcW w:w="3095" w:type="dxa"/>
            <w:noWrap w:val="0"/>
            <w:vAlign w:val="center"/>
          </w:tcPr>
          <w:p w14:paraId="316E56FB">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kern w:val="2"/>
                <w:sz w:val="28"/>
                <w:szCs w:val="28"/>
                <w:shd w:val="clear" w:color="auto" w:fill="auto"/>
                <w:lang w:val="en-US" w:eastAsia="zh-CN" w:bidi="ar-SA"/>
              </w:rPr>
            </w:pPr>
            <w:r>
              <w:rPr>
                <w:rFonts w:hint="default" w:ascii="Times New Roman" w:hAnsi="Times New Roman" w:eastAsia="仿宋_GB2312" w:cs="Times New Roman"/>
                <w:b/>
                <w:color w:val="auto"/>
                <w:sz w:val="28"/>
                <w:szCs w:val="28"/>
                <w:shd w:val="clear" w:color="auto" w:fill="auto"/>
              </w:rPr>
              <w:t>计划完成的工作内容</w:t>
            </w:r>
          </w:p>
        </w:tc>
        <w:tc>
          <w:tcPr>
            <w:tcW w:w="2589" w:type="dxa"/>
            <w:noWrap w:val="0"/>
            <w:vAlign w:val="center"/>
          </w:tcPr>
          <w:p w14:paraId="4482E16C">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kern w:val="2"/>
                <w:sz w:val="28"/>
                <w:szCs w:val="28"/>
                <w:shd w:val="clear" w:color="auto" w:fill="auto"/>
                <w:lang w:val="en-US" w:eastAsia="zh-CN" w:bidi="ar-SA"/>
              </w:rPr>
            </w:pPr>
            <w:r>
              <w:rPr>
                <w:rFonts w:hint="default" w:ascii="Times New Roman" w:hAnsi="Times New Roman" w:eastAsia="仿宋_GB2312" w:cs="Times New Roman"/>
                <w:b/>
                <w:color w:val="auto"/>
                <w:sz w:val="28"/>
                <w:szCs w:val="28"/>
                <w:shd w:val="clear" w:color="auto" w:fill="auto"/>
              </w:rPr>
              <w:t>实施方建议或要求</w:t>
            </w:r>
          </w:p>
        </w:tc>
      </w:tr>
      <w:tr w14:paraId="5A9E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noWrap w:val="0"/>
            <w:vAlign w:val="center"/>
          </w:tcPr>
          <w:p w14:paraId="1E70D0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p>
        </w:tc>
        <w:tc>
          <w:tcPr>
            <w:tcW w:w="2498" w:type="dxa"/>
            <w:noWrap w:val="0"/>
            <w:vAlign w:val="center"/>
          </w:tcPr>
          <w:p w14:paraId="4CD270F1">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拟定  年 月 日</w:t>
            </w:r>
          </w:p>
        </w:tc>
        <w:tc>
          <w:tcPr>
            <w:tcW w:w="3095" w:type="dxa"/>
            <w:noWrap w:val="0"/>
            <w:vAlign w:val="center"/>
          </w:tcPr>
          <w:p w14:paraId="58A71379">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签定合同并生效</w:t>
            </w:r>
          </w:p>
        </w:tc>
        <w:tc>
          <w:tcPr>
            <w:tcW w:w="2589" w:type="dxa"/>
            <w:noWrap w:val="0"/>
            <w:vAlign w:val="center"/>
          </w:tcPr>
          <w:p w14:paraId="021E2130">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76B7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noWrap w:val="0"/>
            <w:vAlign w:val="center"/>
          </w:tcPr>
          <w:p w14:paraId="7B13CF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p>
        </w:tc>
        <w:tc>
          <w:tcPr>
            <w:tcW w:w="2498" w:type="dxa"/>
            <w:noWrap w:val="0"/>
            <w:vAlign w:val="center"/>
          </w:tcPr>
          <w:p w14:paraId="216E7CBC">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月  日—  月  日</w:t>
            </w:r>
          </w:p>
        </w:tc>
        <w:tc>
          <w:tcPr>
            <w:tcW w:w="3095" w:type="dxa"/>
            <w:noWrap w:val="0"/>
            <w:vAlign w:val="center"/>
          </w:tcPr>
          <w:p w14:paraId="1D3E8EAE">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589" w:type="dxa"/>
            <w:noWrap w:val="0"/>
            <w:vAlign w:val="center"/>
          </w:tcPr>
          <w:p w14:paraId="48152D91">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67E5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noWrap w:val="0"/>
            <w:vAlign w:val="center"/>
          </w:tcPr>
          <w:p w14:paraId="2E507D5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p>
        </w:tc>
        <w:tc>
          <w:tcPr>
            <w:tcW w:w="2498" w:type="dxa"/>
            <w:noWrap w:val="0"/>
            <w:vAlign w:val="center"/>
          </w:tcPr>
          <w:p w14:paraId="51F406C8">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月  日—  月  日</w:t>
            </w:r>
          </w:p>
        </w:tc>
        <w:tc>
          <w:tcPr>
            <w:tcW w:w="3095" w:type="dxa"/>
            <w:noWrap w:val="0"/>
            <w:vAlign w:val="center"/>
          </w:tcPr>
          <w:p w14:paraId="412E24A5">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589" w:type="dxa"/>
            <w:noWrap w:val="0"/>
            <w:vAlign w:val="center"/>
          </w:tcPr>
          <w:p w14:paraId="7240BE6C">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1324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noWrap w:val="0"/>
            <w:vAlign w:val="center"/>
          </w:tcPr>
          <w:p w14:paraId="37AFBF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4</w:t>
            </w:r>
          </w:p>
        </w:tc>
        <w:tc>
          <w:tcPr>
            <w:tcW w:w="2498" w:type="dxa"/>
            <w:noWrap w:val="0"/>
            <w:vAlign w:val="center"/>
          </w:tcPr>
          <w:p w14:paraId="7183BA5F">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月  日—  月  日</w:t>
            </w:r>
          </w:p>
        </w:tc>
        <w:tc>
          <w:tcPr>
            <w:tcW w:w="3095" w:type="dxa"/>
            <w:noWrap w:val="0"/>
            <w:vAlign w:val="center"/>
          </w:tcPr>
          <w:p w14:paraId="76418EB7">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质保期</w:t>
            </w:r>
          </w:p>
        </w:tc>
        <w:tc>
          <w:tcPr>
            <w:tcW w:w="2589" w:type="dxa"/>
            <w:noWrap w:val="0"/>
            <w:vAlign w:val="center"/>
          </w:tcPr>
          <w:p w14:paraId="3A86375F">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bl>
    <w:p w14:paraId="663475CE">
      <w:pPr>
        <w:spacing w:line="500" w:lineRule="exact"/>
        <w:ind w:firstLine="566" w:firstLineChars="200"/>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二</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业绩合同样表</w:t>
      </w:r>
    </w:p>
    <w:tbl>
      <w:tblPr>
        <w:tblStyle w:val="2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14:paraId="2EAA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14:paraId="25A437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序号</w:t>
            </w:r>
          </w:p>
        </w:tc>
        <w:tc>
          <w:tcPr>
            <w:tcW w:w="2027" w:type="dxa"/>
            <w:vAlign w:val="center"/>
          </w:tcPr>
          <w:p w14:paraId="552300B6">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采购单位名称</w:t>
            </w:r>
          </w:p>
        </w:tc>
        <w:tc>
          <w:tcPr>
            <w:tcW w:w="1592" w:type="dxa"/>
            <w:vAlign w:val="center"/>
          </w:tcPr>
          <w:p w14:paraId="05D5FEB5">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合同名称</w:t>
            </w:r>
          </w:p>
        </w:tc>
        <w:tc>
          <w:tcPr>
            <w:tcW w:w="2375" w:type="dxa"/>
            <w:vAlign w:val="center"/>
          </w:tcPr>
          <w:p w14:paraId="664EEBE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合同起止时间</w:t>
            </w:r>
          </w:p>
        </w:tc>
        <w:tc>
          <w:tcPr>
            <w:tcW w:w="1984" w:type="dxa"/>
            <w:vAlign w:val="center"/>
          </w:tcPr>
          <w:p w14:paraId="56BAA44C">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合同金额（万元）</w:t>
            </w:r>
          </w:p>
        </w:tc>
      </w:tr>
      <w:tr w14:paraId="0C2D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7B4F07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w:t>
            </w:r>
          </w:p>
        </w:tc>
        <w:tc>
          <w:tcPr>
            <w:tcW w:w="2027" w:type="dxa"/>
            <w:vAlign w:val="center"/>
          </w:tcPr>
          <w:p w14:paraId="1459DB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592" w:type="dxa"/>
            <w:vAlign w:val="center"/>
          </w:tcPr>
          <w:p w14:paraId="1AEFF0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375" w:type="dxa"/>
            <w:vAlign w:val="center"/>
          </w:tcPr>
          <w:p w14:paraId="413C51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984" w:type="dxa"/>
            <w:vAlign w:val="center"/>
          </w:tcPr>
          <w:p w14:paraId="7CFFE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0568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2E73EA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w:t>
            </w:r>
          </w:p>
        </w:tc>
        <w:tc>
          <w:tcPr>
            <w:tcW w:w="2027" w:type="dxa"/>
            <w:vAlign w:val="center"/>
          </w:tcPr>
          <w:p w14:paraId="5DB83D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592" w:type="dxa"/>
            <w:vAlign w:val="center"/>
          </w:tcPr>
          <w:p w14:paraId="0063A9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375" w:type="dxa"/>
            <w:vAlign w:val="center"/>
          </w:tcPr>
          <w:p w14:paraId="0A4CA9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984" w:type="dxa"/>
            <w:vAlign w:val="center"/>
          </w:tcPr>
          <w:p w14:paraId="60A6F2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0B5B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0FD7BA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w:t>
            </w:r>
          </w:p>
        </w:tc>
        <w:tc>
          <w:tcPr>
            <w:tcW w:w="2027" w:type="dxa"/>
            <w:vAlign w:val="center"/>
          </w:tcPr>
          <w:p w14:paraId="753A9F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592" w:type="dxa"/>
            <w:vAlign w:val="center"/>
          </w:tcPr>
          <w:p w14:paraId="5A9BD1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375" w:type="dxa"/>
            <w:vAlign w:val="center"/>
          </w:tcPr>
          <w:p w14:paraId="2DADE4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984" w:type="dxa"/>
            <w:vAlign w:val="center"/>
          </w:tcPr>
          <w:p w14:paraId="24C807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2CBA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dxa"/>
            <w:vAlign w:val="center"/>
          </w:tcPr>
          <w:p w14:paraId="3EE7A0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tc>
        <w:tc>
          <w:tcPr>
            <w:tcW w:w="2027" w:type="dxa"/>
            <w:vAlign w:val="center"/>
          </w:tcPr>
          <w:p w14:paraId="741F2E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592" w:type="dxa"/>
            <w:vAlign w:val="center"/>
          </w:tcPr>
          <w:p w14:paraId="52E8F9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2375" w:type="dxa"/>
            <w:vAlign w:val="center"/>
          </w:tcPr>
          <w:p w14:paraId="3F7A62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c>
          <w:tcPr>
            <w:tcW w:w="1984" w:type="dxa"/>
            <w:vAlign w:val="center"/>
          </w:tcPr>
          <w:p w14:paraId="14AA81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rPr>
            </w:pPr>
          </w:p>
        </w:tc>
      </w:tr>
      <w:tr w14:paraId="1ED7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4" w:type="dxa"/>
            <w:gridSpan w:val="5"/>
            <w:vAlign w:val="center"/>
          </w:tcPr>
          <w:p w14:paraId="68DADF0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color w:val="auto"/>
                <w:sz w:val="28"/>
                <w:szCs w:val="28"/>
              </w:rPr>
              <w:t>数量合计（个）</w:t>
            </w:r>
            <w:r>
              <w:rPr>
                <w:rFonts w:hint="default" w:ascii="Times New Roman" w:hAnsi="Times New Roman" w:eastAsia="仿宋_GB2312" w:cs="Times New Roman"/>
                <w:color w:val="auto"/>
                <w:sz w:val="28"/>
                <w:szCs w:val="28"/>
              </w:rPr>
              <w:t>：</w:t>
            </w:r>
          </w:p>
        </w:tc>
      </w:tr>
    </w:tbl>
    <w:p w14:paraId="53C83F55">
      <w:pPr>
        <w:tabs>
          <w:tab w:val="right" w:pos="9070"/>
        </w:tabs>
        <w:snapToGrid w:val="0"/>
        <w:spacing w:line="240" w:lineRule="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color w:val="auto"/>
          <w:sz w:val="28"/>
          <w:szCs w:val="28"/>
        </w:rPr>
        <w:t xml:space="preserve">    注：</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后附20</w:t>
      </w:r>
      <w:r>
        <w:rPr>
          <w:rFonts w:hint="default"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rPr>
        <w:t>年1月1日以来</w:t>
      </w:r>
      <w:r>
        <w:rPr>
          <w:rFonts w:hint="default" w:ascii="Times New Roman" w:hAnsi="Times New Roman" w:eastAsia="仿宋_GB2312" w:cs="Times New Roman"/>
          <w:color w:val="auto"/>
          <w:sz w:val="28"/>
          <w:szCs w:val="28"/>
          <w:lang w:eastAsia="zh-CN"/>
        </w:rPr>
        <w:t>类似</w:t>
      </w:r>
      <w:r>
        <w:rPr>
          <w:rFonts w:hint="default" w:ascii="Times New Roman" w:hAnsi="Times New Roman" w:eastAsia="仿宋_GB2312" w:cs="Times New Roman"/>
          <w:color w:val="auto"/>
          <w:sz w:val="28"/>
          <w:szCs w:val="28"/>
        </w:rPr>
        <w:t>项目合同复印件加盖响应人公章（以合同签订日期为准）</w:t>
      </w:r>
      <w:r>
        <w:rPr>
          <w:rFonts w:hint="default" w:ascii="Times New Roman" w:hAnsi="Times New Roman" w:eastAsia="仿宋_GB2312" w:cs="Times New Roman"/>
          <w:bCs/>
          <w:color w:val="auto"/>
          <w:sz w:val="28"/>
          <w:szCs w:val="28"/>
          <w:lang w:val="en-US" w:eastAsia="zh-CN"/>
        </w:rPr>
        <w:t>2、视情况，此表一并随《成交结果》公示。</w:t>
      </w:r>
    </w:p>
    <w:p w14:paraId="7226F5A9">
      <w:pPr>
        <w:tabs>
          <w:tab w:val="right" w:pos="9070"/>
        </w:tabs>
        <w:snapToGrid w:val="0"/>
        <w:spacing w:line="500" w:lineRule="exact"/>
        <w:ind w:left="566" w:left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b/>
          <w:bCs/>
          <w:color w:val="auto"/>
          <w:sz w:val="28"/>
          <w:szCs w:val="28"/>
          <w:lang w:val="en-US" w:eastAsia="zh-CN"/>
        </w:rPr>
        <w:t>三</w:t>
      </w:r>
      <w:r>
        <w:rPr>
          <w:rFonts w:hint="default" w:ascii="Times New Roman" w:hAnsi="Times New Roman" w:eastAsia="仿宋_GB2312" w:cs="Times New Roman"/>
          <w:b/>
          <w:bCs/>
          <w:color w:val="auto"/>
          <w:sz w:val="28"/>
          <w:szCs w:val="28"/>
        </w:rPr>
        <w:t>）项目团队样表</w:t>
      </w:r>
    </w:p>
    <w:p w14:paraId="18618767">
      <w:pPr>
        <w:tabs>
          <w:tab w:val="right" w:pos="9070"/>
        </w:tabs>
        <w:spacing w:line="240" w:lineRule="auto"/>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1、项目团队情况概述</w:t>
      </w:r>
    </w:p>
    <w:p w14:paraId="62B8C5FB">
      <w:pPr>
        <w:tabs>
          <w:tab w:val="right" w:pos="9070"/>
        </w:tabs>
        <w:spacing w:line="240" w:lineRule="auto"/>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概述内容包括但不限于为本项目提供服务的团队整体情况、团队负责人、联系人基本情况、背景、能力介绍等，具体内容自行编制。</w:t>
      </w:r>
    </w:p>
    <w:p w14:paraId="4F326B30">
      <w:pPr>
        <w:tabs>
          <w:tab w:val="right" w:pos="9070"/>
        </w:tabs>
        <w:spacing w:line="500" w:lineRule="exact"/>
        <w:ind w:firstLine="566"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2、项目团队人员清单</w:t>
      </w:r>
    </w:p>
    <w:tbl>
      <w:tblPr>
        <w:tblStyle w:val="24"/>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6A37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l2br w:val="nil"/>
              <w:tr2bl w:val="nil"/>
            </w:tcBorders>
            <w:noWrap w:val="0"/>
            <w:vAlign w:val="center"/>
          </w:tcPr>
          <w:p w14:paraId="2B0D3000">
            <w:pPr>
              <w:tabs>
                <w:tab w:val="right" w:pos="9070"/>
              </w:tabs>
              <w:spacing w:line="500" w:lineRule="exac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lang w:eastAsia="zh-CN"/>
              </w:rPr>
              <w:t>保安队长</w:t>
            </w:r>
          </w:p>
        </w:tc>
      </w:tr>
      <w:tr w14:paraId="66A6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14:paraId="2AD055DE">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9" w:type="dxa"/>
            <w:tcBorders>
              <w:tl2br w:val="nil"/>
              <w:tr2bl w:val="nil"/>
            </w:tcBorders>
            <w:noWrap w:val="0"/>
            <w:vAlign w:val="center"/>
          </w:tcPr>
          <w:p w14:paraId="2678FC97">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年龄</w:t>
            </w:r>
          </w:p>
        </w:tc>
        <w:tc>
          <w:tcPr>
            <w:tcW w:w="1260" w:type="dxa"/>
            <w:tcBorders>
              <w:tl2br w:val="nil"/>
              <w:tr2bl w:val="nil"/>
            </w:tcBorders>
            <w:noWrap w:val="0"/>
            <w:vAlign w:val="center"/>
          </w:tcPr>
          <w:p w14:paraId="64545B33">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资格</w:t>
            </w:r>
          </w:p>
        </w:tc>
        <w:tc>
          <w:tcPr>
            <w:tcW w:w="1387" w:type="dxa"/>
            <w:gridSpan w:val="2"/>
            <w:tcBorders>
              <w:tl2br w:val="nil"/>
              <w:tr2bl w:val="nil"/>
            </w:tcBorders>
            <w:noWrap w:val="0"/>
            <w:vAlign w:val="center"/>
          </w:tcPr>
          <w:p w14:paraId="648C983A">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职称</w:t>
            </w:r>
          </w:p>
        </w:tc>
        <w:tc>
          <w:tcPr>
            <w:tcW w:w="1604" w:type="dxa"/>
            <w:gridSpan w:val="3"/>
            <w:tcBorders>
              <w:tl2br w:val="nil"/>
              <w:tr2bl w:val="nil"/>
            </w:tcBorders>
            <w:noWrap w:val="0"/>
            <w:vAlign w:val="center"/>
          </w:tcPr>
          <w:p w14:paraId="54B9A278">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在本行业从业工作年限</w:t>
            </w:r>
          </w:p>
        </w:tc>
        <w:tc>
          <w:tcPr>
            <w:tcW w:w="1740" w:type="dxa"/>
            <w:tcBorders>
              <w:tl2br w:val="nil"/>
              <w:tr2bl w:val="nil"/>
            </w:tcBorders>
            <w:noWrap w:val="0"/>
            <w:vAlign w:val="center"/>
          </w:tcPr>
          <w:p w14:paraId="6811AB9E">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主要工作</w:t>
            </w:r>
          </w:p>
          <w:p w14:paraId="64F099E7">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业绩和经历</w:t>
            </w:r>
          </w:p>
        </w:tc>
        <w:tc>
          <w:tcPr>
            <w:tcW w:w="1091" w:type="dxa"/>
            <w:gridSpan w:val="2"/>
            <w:tcBorders>
              <w:tl2br w:val="nil"/>
              <w:tr2bl w:val="nil"/>
            </w:tcBorders>
            <w:noWrap w:val="0"/>
            <w:vAlign w:val="center"/>
          </w:tcPr>
          <w:p w14:paraId="79031137">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本项目</w:t>
            </w:r>
            <w:r>
              <w:rPr>
                <w:rFonts w:hint="default" w:ascii="Times New Roman" w:hAnsi="Times New Roman" w:eastAsia="仿宋_GB2312" w:cs="Times New Roman"/>
                <w:color w:val="auto"/>
                <w:sz w:val="24"/>
                <w:szCs w:val="24"/>
              </w:rPr>
              <w:t>分工</w:t>
            </w:r>
          </w:p>
        </w:tc>
      </w:tr>
      <w:tr w14:paraId="4FA1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14:paraId="3BAC81AC">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3AF77198">
            <w:pPr>
              <w:rPr>
                <w:rFonts w:hint="default" w:ascii="Times New Roman" w:hAnsi="Times New Roman" w:eastAsia="仿宋_GB2312" w:cs="Times New Roman"/>
                <w:color w:val="auto"/>
                <w:sz w:val="24"/>
                <w:szCs w:val="24"/>
              </w:rPr>
            </w:pPr>
          </w:p>
        </w:tc>
        <w:tc>
          <w:tcPr>
            <w:tcW w:w="1260" w:type="dxa"/>
            <w:tcBorders>
              <w:tl2br w:val="nil"/>
              <w:tr2bl w:val="nil"/>
            </w:tcBorders>
            <w:noWrap w:val="0"/>
            <w:vAlign w:val="center"/>
          </w:tcPr>
          <w:p w14:paraId="5B22EFAF">
            <w:pPr>
              <w:rPr>
                <w:rFonts w:hint="default" w:ascii="Times New Roman" w:hAnsi="Times New Roman" w:eastAsia="仿宋_GB2312" w:cs="Times New Roman"/>
                <w:color w:val="auto"/>
                <w:sz w:val="24"/>
                <w:szCs w:val="24"/>
              </w:rPr>
            </w:pPr>
          </w:p>
        </w:tc>
        <w:tc>
          <w:tcPr>
            <w:tcW w:w="1387" w:type="dxa"/>
            <w:gridSpan w:val="2"/>
            <w:tcBorders>
              <w:tl2br w:val="nil"/>
              <w:tr2bl w:val="nil"/>
            </w:tcBorders>
            <w:noWrap w:val="0"/>
            <w:vAlign w:val="center"/>
          </w:tcPr>
          <w:p w14:paraId="5CD0C4AE">
            <w:pPr>
              <w:rPr>
                <w:rFonts w:hint="default" w:ascii="Times New Roman" w:hAnsi="Times New Roman" w:eastAsia="仿宋_GB2312" w:cs="Times New Roman"/>
                <w:color w:val="auto"/>
                <w:sz w:val="24"/>
                <w:szCs w:val="24"/>
              </w:rPr>
            </w:pPr>
          </w:p>
        </w:tc>
        <w:tc>
          <w:tcPr>
            <w:tcW w:w="1604" w:type="dxa"/>
            <w:gridSpan w:val="3"/>
            <w:tcBorders>
              <w:tl2br w:val="nil"/>
              <w:tr2bl w:val="nil"/>
            </w:tcBorders>
            <w:noWrap w:val="0"/>
            <w:vAlign w:val="center"/>
          </w:tcPr>
          <w:p w14:paraId="63AAE664">
            <w:pPr>
              <w:rPr>
                <w:rFonts w:hint="default" w:ascii="Times New Roman" w:hAnsi="Times New Roman" w:eastAsia="仿宋_GB2312" w:cs="Times New Roman"/>
                <w:color w:val="auto"/>
                <w:sz w:val="24"/>
                <w:szCs w:val="24"/>
              </w:rPr>
            </w:pPr>
          </w:p>
        </w:tc>
        <w:tc>
          <w:tcPr>
            <w:tcW w:w="1740" w:type="dxa"/>
            <w:tcBorders>
              <w:tl2br w:val="nil"/>
              <w:tr2bl w:val="nil"/>
            </w:tcBorders>
            <w:noWrap w:val="0"/>
            <w:vAlign w:val="center"/>
          </w:tcPr>
          <w:p w14:paraId="71C7FC00">
            <w:pPr>
              <w:rPr>
                <w:rFonts w:hint="default" w:ascii="Times New Roman" w:hAnsi="Times New Roman" w:eastAsia="仿宋_GB2312" w:cs="Times New Roman"/>
                <w:color w:val="auto"/>
                <w:sz w:val="24"/>
                <w:szCs w:val="24"/>
              </w:rPr>
            </w:pPr>
          </w:p>
        </w:tc>
        <w:tc>
          <w:tcPr>
            <w:tcW w:w="1091" w:type="dxa"/>
            <w:gridSpan w:val="2"/>
            <w:tcBorders>
              <w:tl2br w:val="nil"/>
              <w:tr2bl w:val="nil"/>
            </w:tcBorders>
            <w:noWrap w:val="0"/>
            <w:vAlign w:val="center"/>
          </w:tcPr>
          <w:p w14:paraId="40C4DB4B">
            <w:pPr>
              <w:rPr>
                <w:rFonts w:hint="default" w:ascii="Times New Roman" w:hAnsi="Times New Roman" w:eastAsia="仿宋_GB2312" w:cs="Times New Roman"/>
                <w:color w:val="auto"/>
                <w:sz w:val="24"/>
                <w:szCs w:val="24"/>
              </w:rPr>
            </w:pPr>
          </w:p>
        </w:tc>
      </w:tr>
      <w:tr w14:paraId="78D2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l2br w:val="nil"/>
              <w:tr2bl w:val="nil"/>
            </w:tcBorders>
            <w:noWrap w:val="0"/>
            <w:vAlign w:val="center"/>
          </w:tcPr>
          <w:p w14:paraId="58823F8D">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w:t>
            </w:r>
            <w:r>
              <w:rPr>
                <w:rFonts w:hint="default" w:ascii="Times New Roman" w:hAnsi="Times New Roman" w:eastAsia="仿宋_GB2312" w:cs="Times New Roman"/>
                <w:color w:val="auto"/>
                <w:sz w:val="28"/>
                <w:szCs w:val="28"/>
                <w:u w:val="none"/>
              </w:rPr>
              <w:t>自行编制</w:t>
            </w:r>
            <w:r>
              <w:rPr>
                <w:rFonts w:hint="default" w:ascii="Times New Roman" w:hAnsi="Times New Roman" w:eastAsia="仿宋_GB2312" w:cs="Times New Roman"/>
                <w:color w:val="auto"/>
                <w:sz w:val="28"/>
                <w:szCs w:val="28"/>
                <w:u w:val="none"/>
                <w:lang w:val="en-US" w:eastAsia="zh-CN"/>
              </w:rPr>
              <w:t>）</w:t>
            </w:r>
          </w:p>
        </w:tc>
      </w:tr>
      <w:tr w14:paraId="18540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14:paraId="36B6CC2B">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9" w:type="dxa"/>
            <w:tcBorders>
              <w:tl2br w:val="nil"/>
              <w:tr2bl w:val="nil"/>
            </w:tcBorders>
            <w:noWrap w:val="0"/>
            <w:vAlign w:val="center"/>
          </w:tcPr>
          <w:p w14:paraId="7517B8E3">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年龄</w:t>
            </w:r>
          </w:p>
        </w:tc>
        <w:tc>
          <w:tcPr>
            <w:tcW w:w="1260" w:type="dxa"/>
            <w:tcBorders>
              <w:tl2br w:val="nil"/>
              <w:tr2bl w:val="nil"/>
            </w:tcBorders>
            <w:noWrap w:val="0"/>
            <w:vAlign w:val="center"/>
          </w:tcPr>
          <w:p w14:paraId="04C11C0B">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资格</w:t>
            </w:r>
          </w:p>
        </w:tc>
        <w:tc>
          <w:tcPr>
            <w:tcW w:w="1404" w:type="dxa"/>
            <w:gridSpan w:val="3"/>
            <w:tcBorders>
              <w:tl2br w:val="nil"/>
              <w:tr2bl w:val="nil"/>
            </w:tcBorders>
            <w:noWrap w:val="0"/>
            <w:vAlign w:val="center"/>
          </w:tcPr>
          <w:p w14:paraId="3EFAA5AB">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职称</w:t>
            </w:r>
          </w:p>
        </w:tc>
        <w:tc>
          <w:tcPr>
            <w:tcW w:w="1587" w:type="dxa"/>
            <w:gridSpan w:val="2"/>
            <w:tcBorders>
              <w:tl2br w:val="nil"/>
              <w:tr2bl w:val="nil"/>
            </w:tcBorders>
            <w:noWrap w:val="0"/>
            <w:vAlign w:val="center"/>
          </w:tcPr>
          <w:p w14:paraId="225521CD">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在本行业从业工作年限</w:t>
            </w:r>
          </w:p>
        </w:tc>
        <w:tc>
          <w:tcPr>
            <w:tcW w:w="1782" w:type="dxa"/>
            <w:gridSpan w:val="2"/>
            <w:tcBorders>
              <w:tl2br w:val="nil"/>
              <w:tr2bl w:val="nil"/>
            </w:tcBorders>
            <w:noWrap w:val="0"/>
            <w:vAlign w:val="center"/>
          </w:tcPr>
          <w:p w14:paraId="277FE78D">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主要工作</w:t>
            </w:r>
          </w:p>
          <w:p w14:paraId="62307AF4">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业绩和经历</w:t>
            </w:r>
          </w:p>
        </w:tc>
        <w:tc>
          <w:tcPr>
            <w:tcW w:w="1049" w:type="dxa"/>
            <w:tcBorders>
              <w:tl2br w:val="nil"/>
              <w:tr2bl w:val="nil"/>
            </w:tcBorders>
            <w:noWrap w:val="0"/>
            <w:vAlign w:val="center"/>
          </w:tcPr>
          <w:p w14:paraId="7B6EBB0B">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本项目</w:t>
            </w:r>
          </w:p>
          <w:p w14:paraId="187D1DFD">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分工</w:t>
            </w:r>
          </w:p>
        </w:tc>
      </w:tr>
      <w:tr w14:paraId="410B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14:paraId="07CBA243">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4D3C4CE8">
            <w:pPr>
              <w:rPr>
                <w:rFonts w:hint="default" w:ascii="Times New Roman" w:hAnsi="Times New Roman" w:eastAsia="仿宋_GB2312" w:cs="Times New Roman"/>
                <w:color w:val="auto"/>
                <w:sz w:val="24"/>
                <w:szCs w:val="24"/>
              </w:rPr>
            </w:pPr>
          </w:p>
        </w:tc>
        <w:tc>
          <w:tcPr>
            <w:tcW w:w="1260" w:type="dxa"/>
            <w:tcBorders>
              <w:tl2br w:val="nil"/>
              <w:tr2bl w:val="nil"/>
            </w:tcBorders>
            <w:noWrap w:val="0"/>
            <w:vAlign w:val="center"/>
          </w:tcPr>
          <w:p w14:paraId="03940148">
            <w:pPr>
              <w:rPr>
                <w:rFonts w:hint="default" w:ascii="Times New Roman" w:hAnsi="Times New Roman" w:eastAsia="仿宋_GB2312" w:cs="Times New Roman"/>
                <w:color w:val="auto"/>
                <w:sz w:val="24"/>
                <w:szCs w:val="24"/>
              </w:rPr>
            </w:pPr>
          </w:p>
        </w:tc>
        <w:tc>
          <w:tcPr>
            <w:tcW w:w="1404" w:type="dxa"/>
            <w:gridSpan w:val="3"/>
            <w:tcBorders>
              <w:tl2br w:val="nil"/>
              <w:tr2bl w:val="nil"/>
            </w:tcBorders>
            <w:noWrap w:val="0"/>
            <w:vAlign w:val="center"/>
          </w:tcPr>
          <w:p w14:paraId="15917571">
            <w:pPr>
              <w:rPr>
                <w:rFonts w:hint="default" w:ascii="Times New Roman" w:hAnsi="Times New Roman" w:eastAsia="仿宋_GB2312" w:cs="Times New Roman"/>
                <w:color w:val="auto"/>
                <w:sz w:val="24"/>
                <w:szCs w:val="24"/>
              </w:rPr>
            </w:pPr>
          </w:p>
        </w:tc>
        <w:tc>
          <w:tcPr>
            <w:tcW w:w="1587" w:type="dxa"/>
            <w:gridSpan w:val="2"/>
            <w:tcBorders>
              <w:tl2br w:val="nil"/>
              <w:tr2bl w:val="nil"/>
            </w:tcBorders>
            <w:noWrap w:val="0"/>
            <w:vAlign w:val="center"/>
          </w:tcPr>
          <w:p w14:paraId="57BFADB4">
            <w:pPr>
              <w:rPr>
                <w:rFonts w:hint="default" w:ascii="Times New Roman" w:hAnsi="Times New Roman" w:eastAsia="仿宋_GB2312" w:cs="Times New Roman"/>
                <w:color w:val="auto"/>
                <w:sz w:val="24"/>
                <w:szCs w:val="24"/>
              </w:rPr>
            </w:pPr>
          </w:p>
        </w:tc>
        <w:tc>
          <w:tcPr>
            <w:tcW w:w="1782" w:type="dxa"/>
            <w:gridSpan w:val="2"/>
            <w:tcBorders>
              <w:tl2br w:val="nil"/>
              <w:tr2bl w:val="nil"/>
            </w:tcBorders>
            <w:noWrap w:val="0"/>
            <w:vAlign w:val="center"/>
          </w:tcPr>
          <w:p w14:paraId="40B9C27C">
            <w:pPr>
              <w:rPr>
                <w:rFonts w:hint="default" w:ascii="Times New Roman" w:hAnsi="Times New Roman" w:eastAsia="仿宋_GB2312" w:cs="Times New Roman"/>
                <w:color w:val="auto"/>
                <w:sz w:val="24"/>
                <w:szCs w:val="24"/>
              </w:rPr>
            </w:pPr>
          </w:p>
        </w:tc>
        <w:tc>
          <w:tcPr>
            <w:tcW w:w="1049" w:type="dxa"/>
            <w:tcBorders>
              <w:tl2br w:val="nil"/>
              <w:tr2bl w:val="nil"/>
            </w:tcBorders>
            <w:noWrap w:val="0"/>
            <w:vAlign w:val="center"/>
          </w:tcPr>
          <w:p w14:paraId="758C4F8D">
            <w:pPr>
              <w:rPr>
                <w:rFonts w:hint="default" w:ascii="Times New Roman" w:hAnsi="Times New Roman" w:eastAsia="仿宋_GB2312" w:cs="Times New Roman"/>
                <w:color w:val="auto"/>
                <w:sz w:val="24"/>
                <w:szCs w:val="24"/>
              </w:rPr>
            </w:pPr>
          </w:p>
        </w:tc>
      </w:tr>
      <w:tr w14:paraId="3170B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14:paraId="49225DE6">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7A22F580">
            <w:pPr>
              <w:rPr>
                <w:rFonts w:hint="default" w:ascii="Times New Roman" w:hAnsi="Times New Roman" w:eastAsia="仿宋_GB2312" w:cs="Times New Roman"/>
                <w:color w:val="auto"/>
                <w:sz w:val="24"/>
                <w:szCs w:val="24"/>
              </w:rPr>
            </w:pPr>
          </w:p>
        </w:tc>
        <w:tc>
          <w:tcPr>
            <w:tcW w:w="1260" w:type="dxa"/>
            <w:tcBorders>
              <w:tl2br w:val="nil"/>
              <w:tr2bl w:val="nil"/>
            </w:tcBorders>
            <w:noWrap w:val="0"/>
            <w:vAlign w:val="center"/>
          </w:tcPr>
          <w:p w14:paraId="595D7FB9">
            <w:pPr>
              <w:rPr>
                <w:rFonts w:hint="default" w:ascii="Times New Roman" w:hAnsi="Times New Roman" w:eastAsia="仿宋_GB2312" w:cs="Times New Roman"/>
                <w:color w:val="auto"/>
                <w:sz w:val="24"/>
                <w:szCs w:val="24"/>
              </w:rPr>
            </w:pPr>
          </w:p>
        </w:tc>
        <w:tc>
          <w:tcPr>
            <w:tcW w:w="1404" w:type="dxa"/>
            <w:gridSpan w:val="3"/>
            <w:tcBorders>
              <w:tl2br w:val="nil"/>
              <w:tr2bl w:val="nil"/>
            </w:tcBorders>
            <w:noWrap w:val="0"/>
            <w:vAlign w:val="center"/>
          </w:tcPr>
          <w:p w14:paraId="7A8BD23F">
            <w:pPr>
              <w:rPr>
                <w:rFonts w:hint="default" w:ascii="Times New Roman" w:hAnsi="Times New Roman" w:eastAsia="仿宋_GB2312" w:cs="Times New Roman"/>
                <w:color w:val="auto"/>
                <w:sz w:val="24"/>
                <w:szCs w:val="24"/>
              </w:rPr>
            </w:pPr>
          </w:p>
        </w:tc>
        <w:tc>
          <w:tcPr>
            <w:tcW w:w="1587" w:type="dxa"/>
            <w:gridSpan w:val="2"/>
            <w:tcBorders>
              <w:tl2br w:val="nil"/>
              <w:tr2bl w:val="nil"/>
            </w:tcBorders>
            <w:noWrap w:val="0"/>
            <w:vAlign w:val="center"/>
          </w:tcPr>
          <w:p w14:paraId="25D0EF37">
            <w:pPr>
              <w:rPr>
                <w:rFonts w:hint="default" w:ascii="Times New Roman" w:hAnsi="Times New Roman" w:eastAsia="仿宋_GB2312" w:cs="Times New Roman"/>
                <w:color w:val="auto"/>
                <w:sz w:val="24"/>
                <w:szCs w:val="24"/>
              </w:rPr>
            </w:pPr>
          </w:p>
        </w:tc>
        <w:tc>
          <w:tcPr>
            <w:tcW w:w="1782" w:type="dxa"/>
            <w:gridSpan w:val="2"/>
            <w:tcBorders>
              <w:tl2br w:val="nil"/>
              <w:tr2bl w:val="nil"/>
            </w:tcBorders>
            <w:noWrap w:val="0"/>
            <w:vAlign w:val="center"/>
          </w:tcPr>
          <w:p w14:paraId="1356390C">
            <w:pPr>
              <w:rPr>
                <w:rFonts w:hint="default" w:ascii="Times New Roman" w:hAnsi="Times New Roman" w:eastAsia="仿宋_GB2312" w:cs="Times New Roman"/>
                <w:color w:val="auto"/>
                <w:sz w:val="24"/>
                <w:szCs w:val="24"/>
              </w:rPr>
            </w:pPr>
          </w:p>
        </w:tc>
        <w:tc>
          <w:tcPr>
            <w:tcW w:w="1049" w:type="dxa"/>
            <w:tcBorders>
              <w:tl2br w:val="nil"/>
              <w:tr2bl w:val="nil"/>
            </w:tcBorders>
            <w:noWrap w:val="0"/>
            <w:vAlign w:val="center"/>
          </w:tcPr>
          <w:p w14:paraId="1BCADA58">
            <w:pPr>
              <w:rPr>
                <w:rFonts w:hint="default" w:ascii="Times New Roman" w:hAnsi="Times New Roman" w:eastAsia="仿宋_GB2312" w:cs="Times New Roman"/>
                <w:color w:val="auto"/>
                <w:sz w:val="24"/>
                <w:szCs w:val="24"/>
              </w:rPr>
            </w:pPr>
          </w:p>
        </w:tc>
      </w:tr>
      <w:tr w14:paraId="4F18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l2br w:val="nil"/>
              <w:tr2bl w:val="nil"/>
            </w:tcBorders>
            <w:noWrap w:val="0"/>
            <w:vAlign w:val="center"/>
          </w:tcPr>
          <w:p w14:paraId="3E336517">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none"/>
                <w:lang w:val="en-US" w:eastAsia="zh-CN"/>
              </w:rPr>
              <w:t>（</w:t>
            </w:r>
            <w:r>
              <w:rPr>
                <w:rFonts w:hint="default" w:ascii="Times New Roman" w:hAnsi="Times New Roman" w:eastAsia="仿宋_GB2312" w:cs="Times New Roman"/>
                <w:color w:val="auto"/>
                <w:sz w:val="28"/>
                <w:szCs w:val="28"/>
                <w:u w:val="none"/>
              </w:rPr>
              <w:t>自行编制</w:t>
            </w:r>
            <w:r>
              <w:rPr>
                <w:rFonts w:hint="default" w:ascii="Times New Roman" w:hAnsi="Times New Roman" w:eastAsia="仿宋_GB2312" w:cs="Times New Roman"/>
                <w:color w:val="auto"/>
                <w:sz w:val="28"/>
                <w:szCs w:val="28"/>
                <w:u w:val="none"/>
                <w:lang w:val="en-US" w:eastAsia="zh-CN"/>
              </w:rPr>
              <w:t>）</w:t>
            </w:r>
          </w:p>
        </w:tc>
      </w:tr>
      <w:tr w14:paraId="2B19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l2br w:val="nil"/>
              <w:tr2bl w:val="nil"/>
            </w:tcBorders>
            <w:noWrap w:val="0"/>
            <w:vAlign w:val="center"/>
          </w:tcPr>
          <w:p w14:paraId="5DF2AB97">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969" w:type="dxa"/>
            <w:tcBorders>
              <w:tl2br w:val="nil"/>
              <w:tr2bl w:val="nil"/>
            </w:tcBorders>
            <w:noWrap w:val="0"/>
            <w:vAlign w:val="center"/>
          </w:tcPr>
          <w:p w14:paraId="7280E69F">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年龄</w:t>
            </w:r>
          </w:p>
        </w:tc>
        <w:tc>
          <w:tcPr>
            <w:tcW w:w="1284" w:type="dxa"/>
            <w:gridSpan w:val="2"/>
            <w:tcBorders>
              <w:tl2br w:val="nil"/>
              <w:tr2bl w:val="nil"/>
            </w:tcBorders>
            <w:noWrap w:val="0"/>
            <w:vAlign w:val="center"/>
          </w:tcPr>
          <w:p w14:paraId="59EBDCF3">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学历</w:t>
            </w:r>
          </w:p>
        </w:tc>
        <w:tc>
          <w:tcPr>
            <w:tcW w:w="1386" w:type="dxa"/>
            <w:gridSpan w:val="3"/>
            <w:tcBorders>
              <w:tl2br w:val="nil"/>
              <w:tr2bl w:val="nil"/>
            </w:tcBorders>
            <w:noWrap w:val="0"/>
            <w:vAlign w:val="center"/>
          </w:tcPr>
          <w:p w14:paraId="436AA8D8">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职称</w:t>
            </w:r>
          </w:p>
        </w:tc>
        <w:tc>
          <w:tcPr>
            <w:tcW w:w="1581" w:type="dxa"/>
            <w:tcBorders>
              <w:tl2br w:val="nil"/>
              <w:tr2bl w:val="nil"/>
            </w:tcBorders>
            <w:noWrap w:val="0"/>
            <w:vAlign w:val="center"/>
          </w:tcPr>
          <w:p w14:paraId="602161EF">
            <w:pPr>
              <w:spacing w:line="28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从事类似项目工作年限</w:t>
            </w:r>
          </w:p>
        </w:tc>
        <w:tc>
          <w:tcPr>
            <w:tcW w:w="1782" w:type="dxa"/>
            <w:gridSpan w:val="2"/>
            <w:tcBorders>
              <w:tl2br w:val="nil"/>
              <w:tr2bl w:val="nil"/>
            </w:tcBorders>
            <w:noWrap w:val="0"/>
            <w:vAlign w:val="center"/>
          </w:tcPr>
          <w:p w14:paraId="25318851">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主要工作</w:t>
            </w:r>
          </w:p>
          <w:p w14:paraId="1312FA82">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业绩和经历</w:t>
            </w:r>
          </w:p>
        </w:tc>
        <w:tc>
          <w:tcPr>
            <w:tcW w:w="1049" w:type="dxa"/>
            <w:tcBorders>
              <w:tl2br w:val="nil"/>
              <w:tr2bl w:val="nil"/>
            </w:tcBorders>
            <w:noWrap w:val="0"/>
            <w:vAlign w:val="center"/>
          </w:tcPr>
          <w:p w14:paraId="1820820D">
            <w:pPr>
              <w:spacing w:line="24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本项目</w:t>
            </w:r>
            <w:r>
              <w:rPr>
                <w:rFonts w:hint="default" w:ascii="Times New Roman" w:hAnsi="Times New Roman" w:eastAsia="仿宋_GB2312" w:cs="Times New Roman"/>
                <w:color w:val="auto"/>
                <w:sz w:val="24"/>
                <w:szCs w:val="24"/>
              </w:rPr>
              <w:t>分工</w:t>
            </w:r>
          </w:p>
        </w:tc>
      </w:tr>
      <w:tr w14:paraId="32C6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14:paraId="15275F62">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4FB5998D">
            <w:pPr>
              <w:rPr>
                <w:rFonts w:hint="default" w:ascii="Times New Roman" w:hAnsi="Times New Roman" w:eastAsia="仿宋_GB2312" w:cs="Times New Roman"/>
                <w:color w:val="auto"/>
                <w:sz w:val="24"/>
                <w:szCs w:val="24"/>
              </w:rPr>
            </w:pPr>
          </w:p>
        </w:tc>
        <w:tc>
          <w:tcPr>
            <w:tcW w:w="1284" w:type="dxa"/>
            <w:gridSpan w:val="2"/>
            <w:tcBorders>
              <w:tl2br w:val="nil"/>
              <w:tr2bl w:val="nil"/>
            </w:tcBorders>
            <w:noWrap w:val="0"/>
            <w:vAlign w:val="center"/>
          </w:tcPr>
          <w:p w14:paraId="2AE34B01">
            <w:pPr>
              <w:rPr>
                <w:rFonts w:hint="default" w:ascii="Times New Roman" w:hAnsi="Times New Roman" w:eastAsia="仿宋_GB2312" w:cs="Times New Roman"/>
                <w:color w:val="auto"/>
                <w:sz w:val="24"/>
                <w:szCs w:val="24"/>
              </w:rPr>
            </w:pPr>
          </w:p>
        </w:tc>
        <w:tc>
          <w:tcPr>
            <w:tcW w:w="1386" w:type="dxa"/>
            <w:gridSpan w:val="3"/>
            <w:tcBorders>
              <w:tl2br w:val="nil"/>
              <w:tr2bl w:val="nil"/>
            </w:tcBorders>
            <w:noWrap w:val="0"/>
            <w:vAlign w:val="center"/>
          </w:tcPr>
          <w:p w14:paraId="6CDFEAF9">
            <w:pPr>
              <w:rPr>
                <w:rFonts w:hint="default" w:ascii="Times New Roman" w:hAnsi="Times New Roman" w:eastAsia="仿宋_GB2312" w:cs="Times New Roman"/>
                <w:color w:val="auto"/>
                <w:sz w:val="24"/>
                <w:szCs w:val="24"/>
              </w:rPr>
            </w:pPr>
          </w:p>
        </w:tc>
        <w:tc>
          <w:tcPr>
            <w:tcW w:w="1581" w:type="dxa"/>
            <w:tcBorders>
              <w:tl2br w:val="nil"/>
              <w:tr2bl w:val="nil"/>
            </w:tcBorders>
            <w:noWrap w:val="0"/>
            <w:vAlign w:val="center"/>
          </w:tcPr>
          <w:p w14:paraId="1DC3E23E">
            <w:pPr>
              <w:rPr>
                <w:rFonts w:hint="default" w:ascii="Times New Roman" w:hAnsi="Times New Roman" w:eastAsia="仿宋_GB2312" w:cs="Times New Roman"/>
                <w:color w:val="auto"/>
                <w:sz w:val="24"/>
                <w:szCs w:val="24"/>
              </w:rPr>
            </w:pPr>
          </w:p>
        </w:tc>
        <w:tc>
          <w:tcPr>
            <w:tcW w:w="1782" w:type="dxa"/>
            <w:gridSpan w:val="2"/>
            <w:tcBorders>
              <w:tl2br w:val="nil"/>
              <w:tr2bl w:val="nil"/>
            </w:tcBorders>
            <w:noWrap w:val="0"/>
            <w:vAlign w:val="center"/>
          </w:tcPr>
          <w:p w14:paraId="616A8EA3">
            <w:pPr>
              <w:rPr>
                <w:rFonts w:hint="default" w:ascii="Times New Roman" w:hAnsi="Times New Roman" w:eastAsia="仿宋_GB2312" w:cs="Times New Roman"/>
                <w:color w:val="auto"/>
                <w:sz w:val="24"/>
                <w:szCs w:val="24"/>
              </w:rPr>
            </w:pPr>
          </w:p>
        </w:tc>
        <w:tc>
          <w:tcPr>
            <w:tcW w:w="1049" w:type="dxa"/>
            <w:tcBorders>
              <w:tl2br w:val="nil"/>
              <w:tr2bl w:val="nil"/>
            </w:tcBorders>
            <w:noWrap w:val="0"/>
            <w:vAlign w:val="center"/>
          </w:tcPr>
          <w:p w14:paraId="11A23922">
            <w:pPr>
              <w:rPr>
                <w:rFonts w:hint="default" w:ascii="Times New Roman" w:hAnsi="Times New Roman" w:eastAsia="仿宋_GB2312" w:cs="Times New Roman"/>
                <w:color w:val="auto"/>
                <w:sz w:val="24"/>
                <w:szCs w:val="24"/>
              </w:rPr>
            </w:pPr>
          </w:p>
        </w:tc>
      </w:tr>
      <w:tr w14:paraId="33D2C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14:paraId="1817560A">
            <w:pPr>
              <w:rPr>
                <w:rFonts w:hint="default" w:ascii="Times New Roman" w:hAnsi="Times New Roman" w:eastAsia="仿宋_GB2312" w:cs="Times New Roman"/>
                <w:color w:val="auto"/>
                <w:sz w:val="24"/>
                <w:szCs w:val="24"/>
              </w:rPr>
            </w:pPr>
          </w:p>
        </w:tc>
        <w:tc>
          <w:tcPr>
            <w:tcW w:w="969" w:type="dxa"/>
            <w:tcBorders>
              <w:tl2br w:val="nil"/>
              <w:tr2bl w:val="nil"/>
            </w:tcBorders>
            <w:noWrap w:val="0"/>
            <w:vAlign w:val="center"/>
          </w:tcPr>
          <w:p w14:paraId="5C1E6DA9">
            <w:pPr>
              <w:rPr>
                <w:rFonts w:hint="default" w:ascii="Times New Roman" w:hAnsi="Times New Roman" w:eastAsia="仿宋_GB2312" w:cs="Times New Roman"/>
                <w:color w:val="auto"/>
                <w:sz w:val="24"/>
                <w:szCs w:val="24"/>
              </w:rPr>
            </w:pPr>
          </w:p>
        </w:tc>
        <w:tc>
          <w:tcPr>
            <w:tcW w:w="1284" w:type="dxa"/>
            <w:gridSpan w:val="2"/>
            <w:tcBorders>
              <w:tl2br w:val="nil"/>
              <w:tr2bl w:val="nil"/>
            </w:tcBorders>
            <w:noWrap w:val="0"/>
            <w:vAlign w:val="center"/>
          </w:tcPr>
          <w:p w14:paraId="057662BD">
            <w:pPr>
              <w:rPr>
                <w:rFonts w:hint="default" w:ascii="Times New Roman" w:hAnsi="Times New Roman" w:eastAsia="仿宋_GB2312" w:cs="Times New Roman"/>
                <w:color w:val="auto"/>
                <w:sz w:val="24"/>
                <w:szCs w:val="24"/>
              </w:rPr>
            </w:pPr>
          </w:p>
        </w:tc>
        <w:tc>
          <w:tcPr>
            <w:tcW w:w="1386" w:type="dxa"/>
            <w:gridSpan w:val="3"/>
            <w:tcBorders>
              <w:tl2br w:val="nil"/>
              <w:tr2bl w:val="nil"/>
            </w:tcBorders>
            <w:noWrap w:val="0"/>
            <w:vAlign w:val="center"/>
          </w:tcPr>
          <w:p w14:paraId="42CC7E20">
            <w:pPr>
              <w:rPr>
                <w:rFonts w:hint="default" w:ascii="Times New Roman" w:hAnsi="Times New Roman" w:eastAsia="仿宋_GB2312" w:cs="Times New Roman"/>
                <w:color w:val="auto"/>
                <w:sz w:val="24"/>
                <w:szCs w:val="24"/>
              </w:rPr>
            </w:pPr>
          </w:p>
        </w:tc>
        <w:tc>
          <w:tcPr>
            <w:tcW w:w="1581" w:type="dxa"/>
            <w:tcBorders>
              <w:tl2br w:val="nil"/>
              <w:tr2bl w:val="nil"/>
            </w:tcBorders>
            <w:noWrap w:val="0"/>
            <w:vAlign w:val="center"/>
          </w:tcPr>
          <w:p w14:paraId="18408ADD">
            <w:pPr>
              <w:rPr>
                <w:rFonts w:hint="default" w:ascii="Times New Roman" w:hAnsi="Times New Roman" w:eastAsia="仿宋_GB2312" w:cs="Times New Roman"/>
                <w:color w:val="auto"/>
                <w:sz w:val="24"/>
                <w:szCs w:val="24"/>
              </w:rPr>
            </w:pPr>
          </w:p>
        </w:tc>
        <w:tc>
          <w:tcPr>
            <w:tcW w:w="1782" w:type="dxa"/>
            <w:gridSpan w:val="2"/>
            <w:tcBorders>
              <w:tl2br w:val="nil"/>
              <w:tr2bl w:val="nil"/>
            </w:tcBorders>
            <w:noWrap w:val="0"/>
            <w:vAlign w:val="center"/>
          </w:tcPr>
          <w:p w14:paraId="6B6193C9">
            <w:pPr>
              <w:rPr>
                <w:rFonts w:hint="default" w:ascii="Times New Roman" w:hAnsi="Times New Roman" w:eastAsia="仿宋_GB2312" w:cs="Times New Roman"/>
                <w:color w:val="auto"/>
                <w:sz w:val="24"/>
                <w:szCs w:val="24"/>
              </w:rPr>
            </w:pPr>
          </w:p>
        </w:tc>
        <w:tc>
          <w:tcPr>
            <w:tcW w:w="1049" w:type="dxa"/>
            <w:tcBorders>
              <w:tl2br w:val="nil"/>
              <w:tr2bl w:val="nil"/>
            </w:tcBorders>
            <w:noWrap w:val="0"/>
            <w:vAlign w:val="center"/>
          </w:tcPr>
          <w:p w14:paraId="0D532447">
            <w:pPr>
              <w:rPr>
                <w:rFonts w:hint="default" w:ascii="Times New Roman" w:hAnsi="Times New Roman" w:eastAsia="仿宋_GB2312" w:cs="Times New Roman"/>
                <w:color w:val="auto"/>
                <w:sz w:val="24"/>
                <w:szCs w:val="24"/>
              </w:rPr>
            </w:pPr>
          </w:p>
        </w:tc>
      </w:tr>
      <w:tr w14:paraId="1911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noWrap w:val="0"/>
            <w:vAlign w:val="center"/>
          </w:tcPr>
          <w:p w14:paraId="04199F2A">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备注</w:t>
            </w:r>
          </w:p>
        </w:tc>
        <w:tc>
          <w:tcPr>
            <w:tcW w:w="8051" w:type="dxa"/>
            <w:gridSpan w:val="10"/>
            <w:tcBorders>
              <w:tl2br w:val="nil"/>
              <w:tr2bl w:val="nil"/>
            </w:tcBorders>
            <w:noWrap w:val="0"/>
            <w:vAlign w:val="center"/>
          </w:tcPr>
          <w:p w14:paraId="124067ED">
            <w:pP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表格空间不足时请自行扩展。</w:t>
            </w:r>
          </w:p>
        </w:tc>
      </w:tr>
    </w:tbl>
    <w:p w14:paraId="0CFC3588">
      <w:pPr>
        <w:pStyle w:val="10"/>
        <w:rPr>
          <w:rFonts w:hint="default" w:ascii="Times New Roman" w:hAnsi="Times New Roman" w:cs="Times New Roman"/>
          <w:color w:val="auto"/>
          <w:sz w:val="28"/>
          <w:szCs w:val="28"/>
        </w:rPr>
      </w:pPr>
    </w:p>
    <w:p w14:paraId="286EE687">
      <w:pPr>
        <w:pStyle w:val="41"/>
        <w:spacing w:line="240" w:lineRule="auto"/>
        <w:ind w:left="0" w:leftChars="0" w:firstLine="0" w:firstLineChars="0"/>
        <w:jc w:val="both"/>
        <w:rPr>
          <w:rFonts w:hint="default" w:ascii="Times New Roman" w:hAnsi="Times New Roman" w:cs="Times New Roman"/>
          <w:color w:val="auto"/>
          <w:sz w:val="28"/>
          <w:szCs w:val="28"/>
        </w:rPr>
      </w:pPr>
    </w:p>
    <w:sectPr>
      <w:footerReference r:id="rId11" w:type="first"/>
      <w:headerReference r:id="rId9" w:type="default"/>
      <w:footerReference r:id="rId10" w:type="default"/>
      <w:pgSz w:w="11906" w:h="16838"/>
      <w:pgMar w:top="1587" w:right="1417" w:bottom="1417" w:left="1417" w:header="1020" w:footer="992" w:gutter="0"/>
      <w:pgBorders>
        <w:top w:val="none" w:sz="0" w:space="0"/>
        <w:left w:val="none" w:sz="0" w:space="0"/>
        <w:bottom w:val="none" w:sz="0" w:space="0"/>
        <w:right w:val="none" w:sz="0" w:space="0"/>
      </w:pgBorders>
      <w:pgNumType w:fmt="decimal"/>
      <w:cols w:space="0" w:num="1"/>
      <w:rtlGutter w:val="0"/>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BA36C">
    <w:pPr>
      <w:pStyle w:val="15"/>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1806">
    <w:pPr>
      <w:pStyle w:val="15"/>
      <w:tabs>
        <w:tab w:val="center" w:pos="4536"/>
        <w:tab w:val="right" w:pos="10489"/>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FF31">
    <w:pPr>
      <w:pStyle w:val="15"/>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FF942">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A2FF942">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377C1">
    <w:pPr>
      <w:pStyle w:val="15"/>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4B4A6">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F34B4A6">
                    <w:pPr>
                      <w:pStyle w:val="1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A0AB6">
    <w:pPr>
      <w:pStyle w:val="15"/>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68F83">
    <w:pPr>
      <w:pStyle w:val="16"/>
      <w:keepNext w:val="0"/>
      <w:keepLines w:val="0"/>
      <w:pageBreakBefore w:val="0"/>
      <w:widowControl w:val="0"/>
      <w:kinsoku/>
      <w:wordWrap/>
      <w:overflowPunct/>
      <w:topLinePunct w:val="0"/>
      <w:bidi w:val="0"/>
      <w:adjustRightInd/>
      <w:snapToGrid w:val="0"/>
      <w:textAlignment w:val="auto"/>
    </w:pPr>
    <w:r>
      <w:rPr>
        <w:rFonts w:hint="eastAsia" w:ascii="宋体" w:hAnsi="宋体" w:eastAsia="宋体" w:cs="华文仿宋"/>
        <w:lang w:val="en-US" w:eastAsia="zh-CN"/>
      </w:rPr>
      <w:t>汉台区政府采购中心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9DE77">
    <w:pPr>
      <w:pStyle w:val="16"/>
      <w:rPr>
        <w:rFonts w:hint="default" w:eastAsia="宋体"/>
        <w:sz w:val="21"/>
        <w:szCs w:val="21"/>
        <w:lang w:val="en-US" w:eastAsia="zh-CN"/>
      </w:rPr>
    </w:pPr>
    <w:r>
      <w:rPr>
        <w:rFonts w:hint="eastAsia" w:ascii="宋体" w:hAnsi="宋体" w:eastAsia="宋体" w:cs="华文仿宋"/>
        <w:lang w:val="en-US" w:eastAsia="zh-CN"/>
      </w:rPr>
      <w:t>汉台区政府采购中心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E80AC"/>
    <w:multiLevelType w:val="singleLevel"/>
    <w:tmpl w:val="B0CE80AC"/>
    <w:lvl w:ilvl="0" w:tentative="0">
      <w:start w:val="5"/>
      <w:numFmt w:val="chineseCounting"/>
      <w:suff w:val="space"/>
      <w:lvlText w:val="第%1章"/>
      <w:lvlJc w:val="left"/>
      <w:rPr>
        <w:rFonts w:hint="eastAsia"/>
      </w:rPr>
    </w:lvl>
  </w:abstractNum>
  <w:abstractNum w:abstractNumId="1">
    <w:nsid w:val="BF434230"/>
    <w:multiLevelType w:val="singleLevel"/>
    <w:tmpl w:val="BF434230"/>
    <w:lvl w:ilvl="0" w:tentative="0">
      <w:start w:val="7"/>
      <w:numFmt w:val="chineseCounting"/>
      <w:suff w:val="nothing"/>
      <w:lvlText w:val="%1、"/>
      <w:lvlJc w:val="left"/>
      <w:rPr>
        <w:rFonts w:hint="eastAsia"/>
      </w:rPr>
    </w:lvl>
  </w:abstractNum>
  <w:abstractNum w:abstractNumId="2">
    <w:nsid w:val="C43092E9"/>
    <w:multiLevelType w:val="singleLevel"/>
    <w:tmpl w:val="C43092E9"/>
    <w:lvl w:ilvl="0" w:tentative="0">
      <w:start w:val="1"/>
      <w:numFmt w:val="chineseCounting"/>
      <w:suff w:val="nothing"/>
      <w:lvlText w:val="%1、"/>
      <w:lvlJc w:val="left"/>
      <w:rPr>
        <w:rFonts w:hint="eastAsia"/>
      </w:rPr>
    </w:lvl>
  </w:abstractNum>
  <w:abstractNum w:abstractNumId="3">
    <w:nsid w:val="C54F25C8"/>
    <w:multiLevelType w:val="singleLevel"/>
    <w:tmpl w:val="C54F25C8"/>
    <w:lvl w:ilvl="0" w:tentative="0">
      <w:start w:val="2"/>
      <w:numFmt w:val="decimal"/>
      <w:suff w:val="nothing"/>
      <w:lvlText w:val="%1、"/>
      <w:lvlJc w:val="left"/>
    </w:lvl>
  </w:abstractNum>
  <w:abstractNum w:abstractNumId="4">
    <w:nsid w:val="D32836D5"/>
    <w:multiLevelType w:val="singleLevel"/>
    <w:tmpl w:val="D32836D5"/>
    <w:lvl w:ilvl="0" w:tentative="0">
      <w:start w:val="1"/>
      <w:numFmt w:val="decimal"/>
      <w:lvlText w:val="%1."/>
      <w:lvlJc w:val="left"/>
      <w:pPr>
        <w:tabs>
          <w:tab w:val="left" w:pos="312"/>
        </w:tabs>
      </w:pPr>
    </w:lvl>
  </w:abstractNum>
  <w:abstractNum w:abstractNumId="5">
    <w:nsid w:val="D7BA63B9"/>
    <w:multiLevelType w:val="singleLevel"/>
    <w:tmpl w:val="D7BA63B9"/>
    <w:lvl w:ilvl="0" w:tentative="0">
      <w:start w:val="1"/>
      <w:numFmt w:val="chineseCounting"/>
      <w:suff w:val="space"/>
      <w:lvlText w:val="第%1章"/>
      <w:lvlJc w:val="left"/>
      <w:rPr>
        <w:rFonts w:hint="eastAsia"/>
      </w:rPr>
    </w:lvl>
  </w:abstractNum>
  <w:abstractNum w:abstractNumId="6">
    <w:nsid w:val="D9F682A7"/>
    <w:multiLevelType w:val="singleLevel"/>
    <w:tmpl w:val="D9F682A7"/>
    <w:lvl w:ilvl="0" w:tentative="0">
      <w:start w:val="1"/>
      <w:numFmt w:val="decimal"/>
      <w:suff w:val="nothing"/>
      <w:lvlText w:val="%1、"/>
      <w:lvlJc w:val="left"/>
    </w:lvl>
  </w:abstractNum>
  <w:abstractNum w:abstractNumId="7">
    <w:nsid w:val="FF903926"/>
    <w:multiLevelType w:val="singleLevel"/>
    <w:tmpl w:val="FF903926"/>
    <w:lvl w:ilvl="0" w:tentative="0">
      <w:start w:val="13"/>
      <w:numFmt w:val="decimal"/>
      <w:suff w:val="nothing"/>
      <w:lvlText w:val="%1、"/>
      <w:lvlJc w:val="left"/>
    </w:lvl>
  </w:abstractNum>
  <w:abstractNum w:abstractNumId="8">
    <w:nsid w:val="0053208E"/>
    <w:multiLevelType w:val="singleLevel"/>
    <w:tmpl w:val="0053208E"/>
    <w:lvl w:ilvl="0" w:tentative="0">
      <w:start w:val="1"/>
      <w:numFmt w:val="chineseCounting"/>
      <w:suff w:val="nothing"/>
      <w:lvlText w:val="（%1）"/>
      <w:lvlJc w:val="left"/>
      <w:rPr>
        <w:rFonts w:hint="eastAsia"/>
      </w:rPr>
    </w:lvl>
  </w:abstractNum>
  <w:abstractNum w:abstractNumId="9">
    <w:nsid w:val="26D18A4B"/>
    <w:multiLevelType w:val="singleLevel"/>
    <w:tmpl w:val="26D18A4B"/>
    <w:lvl w:ilvl="0" w:tentative="0">
      <w:start w:val="1"/>
      <w:numFmt w:val="chineseCounting"/>
      <w:suff w:val="nothing"/>
      <w:lvlText w:val="%1、"/>
      <w:lvlJc w:val="left"/>
      <w:rPr>
        <w:rFonts w:hint="eastAsia"/>
      </w:rPr>
    </w:lvl>
  </w:abstractNum>
  <w:abstractNum w:abstractNumId="10">
    <w:nsid w:val="407D565F"/>
    <w:multiLevelType w:val="singleLevel"/>
    <w:tmpl w:val="407D565F"/>
    <w:lvl w:ilvl="0" w:tentative="0">
      <w:start w:val="3"/>
      <w:numFmt w:val="decimal"/>
      <w:suff w:val="nothing"/>
      <w:lvlText w:val="%1、"/>
      <w:lvlJc w:val="left"/>
    </w:lvl>
  </w:abstractNum>
  <w:abstractNum w:abstractNumId="11">
    <w:nsid w:val="4A55CE31"/>
    <w:multiLevelType w:val="singleLevel"/>
    <w:tmpl w:val="4A55CE31"/>
    <w:lvl w:ilvl="0" w:tentative="0">
      <w:start w:val="1"/>
      <w:numFmt w:val="decimal"/>
      <w:suff w:val="nothing"/>
      <w:lvlText w:val="%1、"/>
      <w:lvlJc w:val="left"/>
    </w:lvl>
  </w:abstractNum>
  <w:abstractNum w:abstractNumId="12">
    <w:nsid w:val="5050E3BA"/>
    <w:multiLevelType w:val="singleLevel"/>
    <w:tmpl w:val="5050E3BA"/>
    <w:lvl w:ilvl="0" w:tentative="0">
      <w:start w:val="1"/>
      <w:numFmt w:val="chineseCounting"/>
      <w:suff w:val="nothing"/>
      <w:lvlText w:val="%1、"/>
      <w:lvlJc w:val="left"/>
      <w:rPr>
        <w:rFonts w:hint="eastAsia"/>
      </w:rPr>
    </w:lvl>
  </w:abstractNum>
  <w:abstractNum w:abstractNumId="13">
    <w:nsid w:val="64395428"/>
    <w:multiLevelType w:val="singleLevel"/>
    <w:tmpl w:val="64395428"/>
    <w:lvl w:ilvl="0" w:tentative="0">
      <w:start w:val="1"/>
      <w:numFmt w:val="chineseCounting"/>
      <w:suff w:val="nothing"/>
      <w:lvlText w:val="%1、"/>
      <w:lvlJc w:val="left"/>
      <w:rPr>
        <w:rFonts w:hint="eastAsia"/>
      </w:rPr>
    </w:lvl>
  </w:abstractNum>
  <w:num w:numId="1">
    <w:abstractNumId w:val="5"/>
  </w:num>
  <w:num w:numId="2">
    <w:abstractNumId w:val="1"/>
  </w:num>
  <w:num w:numId="3">
    <w:abstractNumId w:val="7"/>
  </w:num>
  <w:num w:numId="4">
    <w:abstractNumId w:val="10"/>
  </w:num>
  <w:num w:numId="5">
    <w:abstractNumId w:val="8"/>
  </w:num>
  <w:num w:numId="6">
    <w:abstractNumId w:val="3"/>
  </w:num>
  <w:num w:numId="7">
    <w:abstractNumId w:val="2"/>
  </w:num>
  <w:num w:numId="8">
    <w:abstractNumId w:val="9"/>
  </w:num>
  <w:num w:numId="9">
    <w:abstractNumId w:val="12"/>
  </w:num>
  <w:num w:numId="10">
    <w:abstractNumId w:val="13"/>
  </w:num>
  <w:num w:numId="11">
    <w:abstractNumId w:val="6"/>
  </w:num>
  <w:num w:numId="12">
    <w:abstractNumId w:val="4"/>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ZjE0ZDZiZThiNjFlZGNjMjY4N2NiMTQxYjM4NDYifQ=="/>
  </w:docVars>
  <w:rsids>
    <w:rsidRoot w:val="15DB7622"/>
    <w:rsid w:val="0007204D"/>
    <w:rsid w:val="00244594"/>
    <w:rsid w:val="00294CF0"/>
    <w:rsid w:val="002B30BD"/>
    <w:rsid w:val="00331341"/>
    <w:rsid w:val="00340C6A"/>
    <w:rsid w:val="0038572B"/>
    <w:rsid w:val="003917EE"/>
    <w:rsid w:val="00396FF2"/>
    <w:rsid w:val="003E41D4"/>
    <w:rsid w:val="003E6663"/>
    <w:rsid w:val="004F3FD4"/>
    <w:rsid w:val="0066795B"/>
    <w:rsid w:val="00702588"/>
    <w:rsid w:val="007378C6"/>
    <w:rsid w:val="00771B68"/>
    <w:rsid w:val="007A39DA"/>
    <w:rsid w:val="00934F0E"/>
    <w:rsid w:val="009716B8"/>
    <w:rsid w:val="00975546"/>
    <w:rsid w:val="00BA4780"/>
    <w:rsid w:val="00D54DC4"/>
    <w:rsid w:val="00DA0F8E"/>
    <w:rsid w:val="00EF498E"/>
    <w:rsid w:val="00F058FE"/>
    <w:rsid w:val="00FD2C93"/>
    <w:rsid w:val="010518F0"/>
    <w:rsid w:val="012C2149"/>
    <w:rsid w:val="01311D17"/>
    <w:rsid w:val="015A5870"/>
    <w:rsid w:val="015C7263"/>
    <w:rsid w:val="015D1C6F"/>
    <w:rsid w:val="016439CE"/>
    <w:rsid w:val="01684E01"/>
    <w:rsid w:val="0176597C"/>
    <w:rsid w:val="018A7679"/>
    <w:rsid w:val="01903397"/>
    <w:rsid w:val="019E3125"/>
    <w:rsid w:val="01A050EF"/>
    <w:rsid w:val="01A8508C"/>
    <w:rsid w:val="01BA6F3E"/>
    <w:rsid w:val="01BD7E6C"/>
    <w:rsid w:val="01C82D28"/>
    <w:rsid w:val="01CD6A8A"/>
    <w:rsid w:val="01CE3474"/>
    <w:rsid w:val="01CF0D89"/>
    <w:rsid w:val="01D515BB"/>
    <w:rsid w:val="01DA23AF"/>
    <w:rsid w:val="01FA3AC8"/>
    <w:rsid w:val="01FB4B43"/>
    <w:rsid w:val="0204742C"/>
    <w:rsid w:val="02343D5B"/>
    <w:rsid w:val="023E3EED"/>
    <w:rsid w:val="024466E5"/>
    <w:rsid w:val="024E0ADE"/>
    <w:rsid w:val="02541C4E"/>
    <w:rsid w:val="02557B87"/>
    <w:rsid w:val="02596451"/>
    <w:rsid w:val="025A0286"/>
    <w:rsid w:val="026B74AB"/>
    <w:rsid w:val="02781BC8"/>
    <w:rsid w:val="027B1723"/>
    <w:rsid w:val="028279E3"/>
    <w:rsid w:val="02891DCB"/>
    <w:rsid w:val="028E13EB"/>
    <w:rsid w:val="02993385"/>
    <w:rsid w:val="029A7D90"/>
    <w:rsid w:val="02B356AC"/>
    <w:rsid w:val="02BD0EE2"/>
    <w:rsid w:val="02C11391"/>
    <w:rsid w:val="02C4205E"/>
    <w:rsid w:val="02D15085"/>
    <w:rsid w:val="02E307E4"/>
    <w:rsid w:val="02EB5F7E"/>
    <w:rsid w:val="02FC284D"/>
    <w:rsid w:val="032251FE"/>
    <w:rsid w:val="03427B4F"/>
    <w:rsid w:val="03460878"/>
    <w:rsid w:val="034B3DA3"/>
    <w:rsid w:val="03526AB2"/>
    <w:rsid w:val="03531D00"/>
    <w:rsid w:val="036613DF"/>
    <w:rsid w:val="036C3D74"/>
    <w:rsid w:val="037E48A2"/>
    <w:rsid w:val="0387207F"/>
    <w:rsid w:val="039F5F7A"/>
    <w:rsid w:val="03A30DD8"/>
    <w:rsid w:val="03A7685B"/>
    <w:rsid w:val="03AF33C7"/>
    <w:rsid w:val="03B2157C"/>
    <w:rsid w:val="03BD2FA8"/>
    <w:rsid w:val="03D43FC2"/>
    <w:rsid w:val="03E823D6"/>
    <w:rsid w:val="03EC3438"/>
    <w:rsid w:val="03EF1CB8"/>
    <w:rsid w:val="03EF2871"/>
    <w:rsid w:val="03F22485"/>
    <w:rsid w:val="04073203"/>
    <w:rsid w:val="04107577"/>
    <w:rsid w:val="0426080F"/>
    <w:rsid w:val="042906DF"/>
    <w:rsid w:val="04312061"/>
    <w:rsid w:val="044762AA"/>
    <w:rsid w:val="045F127B"/>
    <w:rsid w:val="0467205E"/>
    <w:rsid w:val="046E5030"/>
    <w:rsid w:val="047810F6"/>
    <w:rsid w:val="047F7D42"/>
    <w:rsid w:val="0489653F"/>
    <w:rsid w:val="048A6B28"/>
    <w:rsid w:val="04981D44"/>
    <w:rsid w:val="04992EA1"/>
    <w:rsid w:val="049E532B"/>
    <w:rsid w:val="049F3DB3"/>
    <w:rsid w:val="04A04E7B"/>
    <w:rsid w:val="04A56CCB"/>
    <w:rsid w:val="04B01582"/>
    <w:rsid w:val="04C17D44"/>
    <w:rsid w:val="04C57B89"/>
    <w:rsid w:val="04CD7FA9"/>
    <w:rsid w:val="04D16767"/>
    <w:rsid w:val="04D330E5"/>
    <w:rsid w:val="04D51A61"/>
    <w:rsid w:val="04E17BFF"/>
    <w:rsid w:val="05016CE4"/>
    <w:rsid w:val="050E718A"/>
    <w:rsid w:val="05210E5D"/>
    <w:rsid w:val="05214B13"/>
    <w:rsid w:val="0532605E"/>
    <w:rsid w:val="055F2FF6"/>
    <w:rsid w:val="05667F37"/>
    <w:rsid w:val="05686454"/>
    <w:rsid w:val="056C5A14"/>
    <w:rsid w:val="057139B6"/>
    <w:rsid w:val="057754F2"/>
    <w:rsid w:val="05A35D71"/>
    <w:rsid w:val="05AA2098"/>
    <w:rsid w:val="05B055A6"/>
    <w:rsid w:val="05B065AB"/>
    <w:rsid w:val="05D17456"/>
    <w:rsid w:val="05EC445F"/>
    <w:rsid w:val="05FB0B46"/>
    <w:rsid w:val="060A0D89"/>
    <w:rsid w:val="06110369"/>
    <w:rsid w:val="0620235A"/>
    <w:rsid w:val="062335AF"/>
    <w:rsid w:val="06243474"/>
    <w:rsid w:val="06410743"/>
    <w:rsid w:val="064B18B7"/>
    <w:rsid w:val="064E03A2"/>
    <w:rsid w:val="064E336B"/>
    <w:rsid w:val="066A1827"/>
    <w:rsid w:val="066A525B"/>
    <w:rsid w:val="068157BD"/>
    <w:rsid w:val="06843B5A"/>
    <w:rsid w:val="068702BA"/>
    <w:rsid w:val="068811B4"/>
    <w:rsid w:val="06B51EAB"/>
    <w:rsid w:val="06C17517"/>
    <w:rsid w:val="06C17691"/>
    <w:rsid w:val="06D1720C"/>
    <w:rsid w:val="06DA075B"/>
    <w:rsid w:val="06DA69AD"/>
    <w:rsid w:val="07195343"/>
    <w:rsid w:val="07254389"/>
    <w:rsid w:val="07280963"/>
    <w:rsid w:val="073843F7"/>
    <w:rsid w:val="074E0A56"/>
    <w:rsid w:val="076C6CA2"/>
    <w:rsid w:val="076D5CE6"/>
    <w:rsid w:val="078508C6"/>
    <w:rsid w:val="07902610"/>
    <w:rsid w:val="07C92D47"/>
    <w:rsid w:val="07CA4DE5"/>
    <w:rsid w:val="07DB28A2"/>
    <w:rsid w:val="07E020CE"/>
    <w:rsid w:val="07EA4D10"/>
    <w:rsid w:val="08097B10"/>
    <w:rsid w:val="080F1B46"/>
    <w:rsid w:val="0813234A"/>
    <w:rsid w:val="08191757"/>
    <w:rsid w:val="081A1094"/>
    <w:rsid w:val="08211FD1"/>
    <w:rsid w:val="08243795"/>
    <w:rsid w:val="08303A92"/>
    <w:rsid w:val="083537ED"/>
    <w:rsid w:val="083C734E"/>
    <w:rsid w:val="083F4CD5"/>
    <w:rsid w:val="08406CE4"/>
    <w:rsid w:val="08417A7B"/>
    <w:rsid w:val="084B746C"/>
    <w:rsid w:val="085F77E6"/>
    <w:rsid w:val="086E5C87"/>
    <w:rsid w:val="08707E21"/>
    <w:rsid w:val="08712B08"/>
    <w:rsid w:val="08763D9D"/>
    <w:rsid w:val="088F579F"/>
    <w:rsid w:val="089366B6"/>
    <w:rsid w:val="08955C70"/>
    <w:rsid w:val="08970F3A"/>
    <w:rsid w:val="08976949"/>
    <w:rsid w:val="08A10645"/>
    <w:rsid w:val="08A106B0"/>
    <w:rsid w:val="08AC12A9"/>
    <w:rsid w:val="08BA2649"/>
    <w:rsid w:val="08C85A1D"/>
    <w:rsid w:val="08D06A36"/>
    <w:rsid w:val="08D8683B"/>
    <w:rsid w:val="08DC0FE3"/>
    <w:rsid w:val="08E24872"/>
    <w:rsid w:val="08EF588E"/>
    <w:rsid w:val="08F6330D"/>
    <w:rsid w:val="090917CB"/>
    <w:rsid w:val="090C54BA"/>
    <w:rsid w:val="0923288D"/>
    <w:rsid w:val="092F16EE"/>
    <w:rsid w:val="0942558D"/>
    <w:rsid w:val="09555E20"/>
    <w:rsid w:val="096F7367"/>
    <w:rsid w:val="097529BD"/>
    <w:rsid w:val="0978425B"/>
    <w:rsid w:val="097A7FD3"/>
    <w:rsid w:val="097F6C5F"/>
    <w:rsid w:val="098900BC"/>
    <w:rsid w:val="098B0432"/>
    <w:rsid w:val="09921B5C"/>
    <w:rsid w:val="09A44801"/>
    <w:rsid w:val="09B852B9"/>
    <w:rsid w:val="09C90142"/>
    <w:rsid w:val="09E319B7"/>
    <w:rsid w:val="09ED721B"/>
    <w:rsid w:val="09F67F9C"/>
    <w:rsid w:val="0A0A75A9"/>
    <w:rsid w:val="0A0B1419"/>
    <w:rsid w:val="0A130F88"/>
    <w:rsid w:val="0A16231D"/>
    <w:rsid w:val="0A394E5E"/>
    <w:rsid w:val="0A4214E6"/>
    <w:rsid w:val="0A4F016A"/>
    <w:rsid w:val="0A622F41"/>
    <w:rsid w:val="0A7A446C"/>
    <w:rsid w:val="0A7D5CED"/>
    <w:rsid w:val="0A7F7130"/>
    <w:rsid w:val="0A830A68"/>
    <w:rsid w:val="0A870BFA"/>
    <w:rsid w:val="0A9B2547"/>
    <w:rsid w:val="0AA03A6A"/>
    <w:rsid w:val="0AA479FE"/>
    <w:rsid w:val="0AAC58BE"/>
    <w:rsid w:val="0ABF6006"/>
    <w:rsid w:val="0AE62C03"/>
    <w:rsid w:val="0AF03E28"/>
    <w:rsid w:val="0AF11BC9"/>
    <w:rsid w:val="0AFB176D"/>
    <w:rsid w:val="0B0B31B3"/>
    <w:rsid w:val="0B144A64"/>
    <w:rsid w:val="0B1C7012"/>
    <w:rsid w:val="0B240833"/>
    <w:rsid w:val="0B3031ED"/>
    <w:rsid w:val="0B354EB2"/>
    <w:rsid w:val="0B373F04"/>
    <w:rsid w:val="0B3F0F07"/>
    <w:rsid w:val="0B4C17B5"/>
    <w:rsid w:val="0B5155F7"/>
    <w:rsid w:val="0B5807E8"/>
    <w:rsid w:val="0B5E5DFE"/>
    <w:rsid w:val="0B6901C4"/>
    <w:rsid w:val="0B692F04"/>
    <w:rsid w:val="0B6A096C"/>
    <w:rsid w:val="0B6C3916"/>
    <w:rsid w:val="0B6E5916"/>
    <w:rsid w:val="0B721EFB"/>
    <w:rsid w:val="0B732F2C"/>
    <w:rsid w:val="0B8556F0"/>
    <w:rsid w:val="0B894B9F"/>
    <w:rsid w:val="0B8B23AB"/>
    <w:rsid w:val="0B8E23DB"/>
    <w:rsid w:val="0B9C58ED"/>
    <w:rsid w:val="0BAB0918"/>
    <w:rsid w:val="0BC11EE9"/>
    <w:rsid w:val="0BC4039D"/>
    <w:rsid w:val="0BCB2D68"/>
    <w:rsid w:val="0BD14F4E"/>
    <w:rsid w:val="0BD95485"/>
    <w:rsid w:val="0BDF2684"/>
    <w:rsid w:val="0BDF30E8"/>
    <w:rsid w:val="0BDF5D7D"/>
    <w:rsid w:val="0BE60A01"/>
    <w:rsid w:val="0BEC43AB"/>
    <w:rsid w:val="0BF22112"/>
    <w:rsid w:val="0C182E69"/>
    <w:rsid w:val="0C1D529F"/>
    <w:rsid w:val="0C1E1870"/>
    <w:rsid w:val="0C325E86"/>
    <w:rsid w:val="0C424E69"/>
    <w:rsid w:val="0C452A7D"/>
    <w:rsid w:val="0C5D7BD6"/>
    <w:rsid w:val="0C620A1C"/>
    <w:rsid w:val="0C7C7D5B"/>
    <w:rsid w:val="0C8E6CD7"/>
    <w:rsid w:val="0CBB7B4C"/>
    <w:rsid w:val="0CC20327"/>
    <w:rsid w:val="0CC2278B"/>
    <w:rsid w:val="0CC24884"/>
    <w:rsid w:val="0CC7352F"/>
    <w:rsid w:val="0CD97E8C"/>
    <w:rsid w:val="0CE86762"/>
    <w:rsid w:val="0CEB1914"/>
    <w:rsid w:val="0CEC4544"/>
    <w:rsid w:val="0CEE7177"/>
    <w:rsid w:val="0D085996"/>
    <w:rsid w:val="0D140E7B"/>
    <w:rsid w:val="0D256266"/>
    <w:rsid w:val="0D5C2962"/>
    <w:rsid w:val="0D6E60A1"/>
    <w:rsid w:val="0D78385E"/>
    <w:rsid w:val="0D9171AE"/>
    <w:rsid w:val="0D950B25"/>
    <w:rsid w:val="0DA9338A"/>
    <w:rsid w:val="0DE037BA"/>
    <w:rsid w:val="0DE85E53"/>
    <w:rsid w:val="0DEB14A0"/>
    <w:rsid w:val="0E0E4861"/>
    <w:rsid w:val="0E132C75"/>
    <w:rsid w:val="0E1879E0"/>
    <w:rsid w:val="0E2E2A82"/>
    <w:rsid w:val="0E550C71"/>
    <w:rsid w:val="0E5F01E5"/>
    <w:rsid w:val="0E5F78A9"/>
    <w:rsid w:val="0E8363B6"/>
    <w:rsid w:val="0EB253C1"/>
    <w:rsid w:val="0EB957D3"/>
    <w:rsid w:val="0ECD2DAE"/>
    <w:rsid w:val="0ECE1CDE"/>
    <w:rsid w:val="0ECF35E0"/>
    <w:rsid w:val="0ED5729D"/>
    <w:rsid w:val="0ED57906"/>
    <w:rsid w:val="0EDB59B8"/>
    <w:rsid w:val="0EDB7766"/>
    <w:rsid w:val="0EED3D24"/>
    <w:rsid w:val="0F1B578D"/>
    <w:rsid w:val="0F1D03EF"/>
    <w:rsid w:val="0F3533CF"/>
    <w:rsid w:val="0F461A45"/>
    <w:rsid w:val="0F684453"/>
    <w:rsid w:val="0F7165DD"/>
    <w:rsid w:val="0F7D25CB"/>
    <w:rsid w:val="0F8A42B1"/>
    <w:rsid w:val="0F8B2DA9"/>
    <w:rsid w:val="0FB15E33"/>
    <w:rsid w:val="0FBC7598"/>
    <w:rsid w:val="0FDA797C"/>
    <w:rsid w:val="0FE75496"/>
    <w:rsid w:val="0FF86D48"/>
    <w:rsid w:val="10030D22"/>
    <w:rsid w:val="100C563E"/>
    <w:rsid w:val="10240C99"/>
    <w:rsid w:val="10292C44"/>
    <w:rsid w:val="104430E9"/>
    <w:rsid w:val="10771710"/>
    <w:rsid w:val="10841837"/>
    <w:rsid w:val="10883FD1"/>
    <w:rsid w:val="10993435"/>
    <w:rsid w:val="109F5877"/>
    <w:rsid w:val="10BB57F6"/>
    <w:rsid w:val="10BC00C6"/>
    <w:rsid w:val="10E13394"/>
    <w:rsid w:val="10F11B94"/>
    <w:rsid w:val="10FD2B76"/>
    <w:rsid w:val="110C102F"/>
    <w:rsid w:val="111807FE"/>
    <w:rsid w:val="11181B40"/>
    <w:rsid w:val="114A462A"/>
    <w:rsid w:val="11553800"/>
    <w:rsid w:val="1169081A"/>
    <w:rsid w:val="1172534A"/>
    <w:rsid w:val="117D6FEF"/>
    <w:rsid w:val="118249C0"/>
    <w:rsid w:val="11963E18"/>
    <w:rsid w:val="11B03DAF"/>
    <w:rsid w:val="11C049F1"/>
    <w:rsid w:val="11C12C43"/>
    <w:rsid w:val="11DE655A"/>
    <w:rsid w:val="11EC3A38"/>
    <w:rsid w:val="11F51129"/>
    <w:rsid w:val="11FC3C7B"/>
    <w:rsid w:val="11FF4609"/>
    <w:rsid w:val="120314AE"/>
    <w:rsid w:val="12303C06"/>
    <w:rsid w:val="123E6579"/>
    <w:rsid w:val="12421048"/>
    <w:rsid w:val="124E27C4"/>
    <w:rsid w:val="125C0391"/>
    <w:rsid w:val="126F2075"/>
    <w:rsid w:val="126F53B1"/>
    <w:rsid w:val="128460F0"/>
    <w:rsid w:val="128D6FC9"/>
    <w:rsid w:val="12950F85"/>
    <w:rsid w:val="12960862"/>
    <w:rsid w:val="12A04BDA"/>
    <w:rsid w:val="12A86650"/>
    <w:rsid w:val="12A97A7C"/>
    <w:rsid w:val="12E51257"/>
    <w:rsid w:val="12F57C06"/>
    <w:rsid w:val="12FD6D66"/>
    <w:rsid w:val="12FF18AF"/>
    <w:rsid w:val="13086650"/>
    <w:rsid w:val="131953F9"/>
    <w:rsid w:val="131B657A"/>
    <w:rsid w:val="13323F5B"/>
    <w:rsid w:val="134C233A"/>
    <w:rsid w:val="136715C8"/>
    <w:rsid w:val="136F7A26"/>
    <w:rsid w:val="137B051A"/>
    <w:rsid w:val="138222F2"/>
    <w:rsid w:val="13837718"/>
    <w:rsid w:val="138C0895"/>
    <w:rsid w:val="138D048A"/>
    <w:rsid w:val="13900013"/>
    <w:rsid w:val="13931510"/>
    <w:rsid w:val="13A11597"/>
    <w:rsid w:val="13AE09B3"/>
    <w:rsid w:val="13C31130"/>
    <w:rsid w:val="13C85D12"/>
    <w:rsid w:val="13C937D6"/>
    <w:rsid w:val="13E737B7"/>
    <w:rsid w:val="13EE393F"/>
    <w:rsid w:val="1402440B"/>
    <w:rsid w:val="1408673E"/>
    <w:rsid w:val="140E39DD"/>
    <w:rsid w:val="141C207A"/>
    <w:rsid w:val="142A31B4"/>
    <w:rsid w:val="142D54E1"/>
    <w:rsid w:val="14336CEA"/>
    <w:rsid w:val="14341855"/>
    <w:rsid w:val="143811B7"/>
    <w:rsid w:val="143C4803"/>
    <w:rsid w:val="14477D16"/>
    <w:rsid w:val="144B4426"/>
    <w:rsid w:val="145204CA"/>
    <w:rsid w:val="14633F0B"/>
    <w:rsid w:val="14645D93"/>
    <w:rsid w:val="14743D20"/>
    <w:rsid w:val="14774D9D"/>
    <w:rsid w:val="14817EA1"/>
    <w:rsid w:val="148D32B1"/>
    <w:rsid w:val="1493627B"/>
    <w:rsid w:val="14A539EC"/>
    <w:rsid w:val="14B75AB0"/>
    <w:rsid w:val="14D91CFB"/>
    <w:rsid w:val="14DA45EC"/>
    <w:rsid w:val="14E56F92"/>
    <w:rsid w:val="14E8179E"/>
    <w:rsid w:val="14F02E2D"/>
    <w:rsid w:val="14F33389"/>
    <w:rsid w:val="14FB602E"/>
    <w:rsid w:val="150E3E9E"/>
    <w:rsid w:val="151F1ED6"/>
    <w:rsid w:val="152F6116"/>
    <w:rsid w:val="15477903"/>
    <w:rsid w:val="155B515D"/>
    <w:rsid w:val="1564126D"/>
    <w:rsid w:val="15645D6E"/>
    <w:rsid w:val="157F0489"/>
    <w:rsid w:val="15A614D9"/>
    <w:rsid w:val="15C67A62"/>
    <w:rsid w:val="15CA6D94"/>
    <w:rsid w:val="15CC605B"/>
    <w:rsid w:val="15D226A2"/>
    <w:rsid w:val="15DB7622"/>
    <w:rsid w:val="16113A6D"/>
    <w:rsid w:val="161B48EC"/>
    <w:rsid w:val="162271CE"/>
    <w:rsid w:val="16287735"/>
    <w:rsid w:val="16290B19"/>
    <w:rsid w:val="163D2276"/>
    <w:rsid w:val="1646616E"/>
    <w:rsid w:val="164B7078"/>
    <w:rsid w:val="16545E33"/>
    <w:rsid w:val="167820C3"/>
    <w:rsid w:val="16961986"/>
    <w:rsid w:val="16984A31"/>
    <w:rsid w:val="16A724A2"/>
    <w:rsid w:val="16C302EE"/>
    <w:rsid w:val="16CA2F29"/>
    <w:rsid w:val="16D95578"/>
    <w:rsid w:val="16DF64BF"/>
    <w:rsid w:val="16E25B8A"/>
    <w:rsid w:val="16EF0253"/>
    <w:rsid w:val="16FF6F24"/>
    <w:rsid w:val="170555E3"/>
    <w:rsid w:val="170867EA"/>
    <w:rsid w:val="172547B0"/>
    <w:rsid w:val="172B55F2"/>
    <w:rsid w:val="1730272C"/>
    <w:rsid w:val="17562AFA"/>
    <w:rsid w:val="17564880"/>
    <w:rsid w:val="177E5132"/>
    <w:rsid w:val="178701A0"/>
    <w:rsid w:val="178D3B42"/>
    <w:rsid w:val="179901BE"/>
    <w:rsid w:val="17C96142"/>
    <w:rsid w:val="17CD1BB2"/>
    <w:rsid w:val="17EB105E"/>
    <w:rsid w:val="17F3167D"/>
    <w:rsid w:val="17F54509"/>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DD567D"/>
    <w:rsid w:val="18E1122A"/>
    <w:rsid w:val="190A1374"/>
    <w:rsid w:val="19192C89"/>
    <w:rsid w:val="1930240F"/>
    <w:rsid w:val="19364865"/>
    <w:rsid w:val="19392B48"/>
    <w:rsid w:val="193D18B1"/>
    <w:rsid w:val="194523AC"/>
    <w:rsid w:val="195E4D01"/>
    <w:rsid w:val="197D3776"/>
    <w:rsid w:val="19961403"/>
    <w:rsid w:val="19A07745"/>
    <w:rsid w:val="19B25FC3"/>
    <w:rsid w:val="19BF282D"/>
    <w:rsid w:val="19C0263E"/>
    <w:rsid w:val="19CD08FA"/>
    <w:rsid w:val="19D22C3D"/>
    <w:rsid w:val="19DC4392"/>
    <w:rsid w:val="1A04603D"/>
    <w:rsid w:val="1A0D68EB"/>
    <w:rsid w:val="1A2B68D6"/>
    <w:rsid w:val="1A3A17E5"/>
    <w:rsid w:val="1A4E34E2"/>
    <w:rsid w:val="1A50307B"/>
    <w:rsid w:val="1A644F32"/>
    <w:rsid w:val="1A670100"/>
    <w:rsid w:val="1A7901A1"/>
    <w:rsid w:val="1A810701"/>
    <w:rsid w:val="1A9908E0"/>
    <w:rsid w:val="1A9D590B"/>
    <w:rsid w:val="1AA441E5"/>
    <w:rsid w:val="1AC85D1B"/>
    <w:rsid w:val="1ACC5E1B"/>
    <w:rsid w:val="1AD304B8"/>
    <w:rsid w:val="1AE006FC"/>
    <w:rsid w:val="1AFF05E0"/>
    <w:rsid w:val="1B0374CB"/>
    <w:rsid w:val="1B1021D6"/>
    <w:rsid w:val="1B2E0D2F"/>
    <w:rsid w:val="1B34316D"/>
    <w:rsid w:val="1B3C49CA"/>
    <w:rsid w:val="1B3E3557"/>
    <w:rsid w:val="1B4771C2"/>
    <w:rsid w:val="1B7D49F7"/>
    <w:rsid w:val="1B8E56AB"/>
    <w:rsid w:val="1BA80A6F"/>
    <w:rsid w:val="1BB14E66"/>
    <w:rsid w:val="1BB76FFF"/>
    <w:rsid w:val="1BDA3BAB"/>
    <w:rsid w:val="1BE04391"/>
    <w:rsid w:val="1BE31C2B"/>
    <w:rsid w:val="1BE37C5A"/>
    <w:rsid w:val="1BF8652E"/>
    <w:rsid w:val="1C252021"/>
    <w:rsid w:val="1C2B50EC"/>
    <w:rsid w:val="1C2E65C9"/>
    <w:rsid w:val="1C2F716F"/>
    <w:rsid w:val="1C3E54EB"/>
    <w:rsid w:val="1C3F3D72"/>
    <w:rsid w:val="1C552039"/>
    <w:rsid w:val="1C5D7A0C"/>
    <w:rsid w:val="1C796C6B"/>
    <w:rsid w:val="1C8A3C5A"/>
    <w:rsid w:val="1C8F7303"/>
    <w:rsid w:val="1C901B90"/>
    <w:rsid w:val="1C965EC8"/>
    <w:rsid w:val="1C967A89"/>
    <w:rsid w:val="1CA413C7"/>
    <w:rsid w:val="1CAE291B"/>
    <w:rsid w:val="1CBB0C42"/>
    <w:rsid w:val="1CBD494F"/>
    <w:rsid w:val="1CC21924"/>
    <w:rsid w:val="1CD15C79"/>
    <w:rsid w:val="1CD50372"/>
    <w:rsid w:val="1CFF0AC4"/>
    <w:rsid w:val="1D030ED0"/>
    <w:rsid w:val="1D13631D"/>
    <w:rsid w:val="1D1B4F27"/>
    <w:rsid w:val="1D20081E"/>
    <w:rsid w:val="1D2624F4"/>
    <w:rsid w:val="1D335514"/>
    <w:rsid w:val="1D3369BF"/>
    <w:rsid w:val="1D356CC0"/>
    <w:rsid w:val="1D501181"/>
    <w:rsid w:val="1D70551D"/>
    <w:rsid w:val="1D8343E7"/>
    <w:rsid w:val="1D992236"/>
    <w:rsid w:val="1DA51267"/>
    <w:rsid w:val="1DB87AD5"/>
    <w:rsid w:val="1DC27599"/>
    <w:rsid w:val="1DD0420E"/>
    <w:rsid w:val="1DE42258"/>
    <w:rsid w:val="1DEF6D8A"/>
    <w:rsid w:val="1DF82208"/>
    <w:rsid w:val="1DFB27F1"/>
    <w:rsid w:val="1E011F4E"/>
    <w:rsid w:val="1E036392"/>
    <w:rsid w:val="1E150EE3"/>
    <w:rsid w:val="1E224020"/>
    <w:rsid w:val="1E34479D"/>
    <w:rsid w:val="1E396257"/>
    <w:rsid w:val="1E3C4FCE"/>
    <w:rsid w:val="1E4431F8"/>
    <w:rsid w:val="1E5A2132"/>
    <w:rsid w:val="1E776749"/>
    <w:rsid w:val="1E820D2A"/>
    <w:rsid w:val="1E82375A"/>
    <w:rsid w:val="1E892D3B"/>
    <w:rsid w:val="1E8F1ECA"/>
    <w:rsid w:val="1E9546A5"/>
    <w:rsid w:val="1E9B1F5F"/>
    <w:rsid w:val="1E9D4F5C"/>
    <w:rsid w:val="1EA37146"/>
    <w:rsid w:val="1EAB1ADB"/>
    <w:rsid w:val="1EAC4085"/>
    <w:rsid w:val="1EBF5830"/>
    <w:rsid w:val="1EC645BF"/>
    <w:rsid w:val="1EC67C8F"/>
    <w:rsid w:val="1ECA073F"/>
    <w:rsid w:val="1ED8574D"/>
    <w:rsid w:val="1EDC1A7B"/>
    <w:rsid w:val="1EDD7FA9"/>
    <w:rsid w:val="1F0268BD"/>
    <w:rsid w:val="1F0F280A"/>
    <w:rsid w:val="1F1260D8"/>
    <w:rsid w:val="1F1A41DD"/>
    <w:rsid w:val="1F2422DF"/>
    <w:rsid w:val="1F2B2168"/>
    <w:rsid w:val="1F306773"/>
    <w:rsid w:val="1F346CA0"/>
    <w:rsid w:val="1F4C66FE"/>
    <w:rsid w:val="1F5F3A9B"/>
    <w:rsid w:val="1F615F6A"/>
    <w:rsid w:val="1F680BA2"/>
    <w:rsid w:val="1F683E9E"/>
    <w:rsid w:val="1F77014D"/>
    <w:rsid w:val="1F827198"/>
    <w:rsid w:val="1F876088"/>
    <w:rsid w:val="1F925678"/>
    <w:rsid w:val="1F972C71"/>
    <w:rsid w:val="1F9F20EA"/>
    <w:rsid w:val="1FB47EFC"/>
    <w:rsid w:val="1FC710D1"/>
    <w:rsid w:val="1FD35342"/>
    <w:rsid w:val="1FDB5C4A"/>
    <w:rsid w:val="1FDD5457"/>
    <w:rsid w:val="1FEA689D"/>
    <w:rsid w:val="200705EA"/>
    <w:rsid w:val="20176124"/>
    <w:rsid w:val="203945B9"/>
    <w:rsid w:val="2042167B"/>
    <w:rsid w:val="204D2CD4"/>
    <w:rsid w:val="20500A32"/>
    <w:rsid w:val="205D4EF1"/>
    <w:rsid w:val="20677454"/>
    <w:rsid w:val="207215AC"/>
    <w:rsid w:val="20787973"/>
    <w:rsid w:val="207F496E"/>
    <w:rsid w:val="20885D40"/>
    <w:rsid w:val="208D769B"/>
    <w:rsid w:val="209E3AB8"/>
    <w:rsid w:val="20A21E92"/>
    <w:rsid w:val="20A37050"/>
    <w:rsid w:val="20A91698"/>
    <w:rsid w:val="20B53E4A"/>
    <w:rsid w:val="20B916C4"/>
    <w:rsid w:val="20BA6848"/>
    <w:rsid w:val="20C430EF"/>
    <w:rsid w:val="20C73425"/>
    <w:rsid w:val="20E07AF1"/>
    <w:rsid w:val="20F37841"/>
    <w:rsid w:val="20FE07AB"/>
    <w:rsid w:val="210F4172"/>
    <w:rsid w:val="21295BFA"/>
    <w:rsid w:val="215E7F7D"/>
    <w:rsid w:val="21632482"/>
    <w:rsid w:val="216A5B17"/>
    <w:rsid w:val="217731DC"/>
    <w:rsid w:val="21832724"/>
    <w:rsid w:val="21881D08"/>
    <w:rsid w:val="218C5F60"/>
    <w:rsid w:val="218D3E5D"/>
    <w:rsid w:val="21910AEA"/>
    <w:rsid w:val="21AA2BB6"/>
    <w:rsid w:val="21C112B3"/>
    <w:rsid w:val="21CE6EEF"/>
    <w:rsid w:val="21D073B0"/>
    <w:rsid w:val="21D72497"/>
    <w:rsid w:val="21DE4542"/>
    <w:rsid w:val="21EB6A1B"/>
    <w:rsid w:val="21ED538F"/>
    <w:rsid w:val="21F0447F"/>
    <w:rsid w:val="21F77868"/>
    <w:rsid w:val="21FB63BA"/>
    <w:rsid w:val="21FC7971"/>
    <w:rsid w:val="220F17A9"/>
    <w:rsid w:val="2217504C"/>
    <w:rsid w:val="22214661"/>
    <w:rsid w:val="223E2DC4"/>
    <w:rsid w:val="22456F79"/>
    <w:rsid w:val="22491C26"/>
    <w:rsid w:val="224A458F"/>
    <w:rsid w:val="224E07D8"/>
    <w:rsid w:val="22554647"/>
    <w:rsid w:val="22575CE6"/>
    <w:rsid w:val="2264646B"/>
    <w:rsid w:val="226867A2"/>
    <w:rsid w:val="226C52A0"/>
    <w:rsid w:val="226E2973"/>
    <w:rsid w:val="226F59C8"/>
    <w:rsid w:val="22717D6E"/>
    <w:rsid w:val="22887BC3"/>
    <w:rsid w:val="22ED4463"/>
    <w:rsid w:val="22FA3D86"/>
    <w:rsid w:val="23114B53"/>
    <w:rsid w:val="231A1B0E"/>
    <w:rsid w:val="231B09DE"/>
    <w:rsid w:val="23222DE2"/>
    <w:rsid w:val="23244A98"/>
    <w:rsid w:val="23272F9C"/>
    <w:rsid w:val="23373684"/>
    <w:rsid w:val="233D2346"/>
    <w:rsid w:val="234878F8"/>
    <w:rsid w:val="23567880"/>
    <w:rsid w:val="237245AC"/>
    <w:rsid w:val="237D15F6"/>
    <w:rsid w:val="23841D23"/>
    <w:rsid w:val="23876DB6"/>
    <w:rsid w:val="238C2D74"/>
    <w:rsid w:val="239048BE"/>
    <w:rsid w:val="23A93BDB"/>
    <w:rsid w:val="23A96390"/>
    <w:rsid w:val="23B35841"/>
    <w:rsid w:val="23C12F77"/>
    <w:rsid w:val="23C41338"/>
    <w:rsid w:val="23D20766"/>
    <w:rsid w:val="23DF33FD"/>
    <w:rsid w:val="23DF51AB"/>
    <w:rsid w:val="23EF46D5"/>
    <w:rsid w:val="23F66651"/>
    <w:rsid w:val="23F724F4"/>
    <w:rsid w:val="24042BDB"/>
    <w:rsid w:val="2408482B"/>
    <w:rsid w:val="24234AF6"/>
    <w:rsid w:val="24404FB3"/>
    <w:rsid w:val="244167EB"/>
    <w:rsid w:val="244C739C"/>
    <w:rsid w:val="24547947"/>
    <w:rsid w:val="245B144E"/>
    <w:rsid w:val="245D3144"/>
    <w:rsid w:val="246B7E66"/>
    <w:rsid w:val="246F4AAC"/>
    <w:rsid w:val="247E599E"/>
    <w:rsid w:val="248E26A9"/>
    <w:rsid w:val="249155FE"/>
    <w:rsid w:val="24941AEF"/>
    <w:rsid w:val="24B57D8C"/>
    <w:rsid w:val="24E16FE1"/>
    <w:rsid w:val="24EB6423"/>
    <w:rsid w:val="24F40D2A"/>
    <w:rsid w:val="250A773C"/>
    <w:rsid w:val="25136D8E"/>
    <w:rsid w:val="25384B48"/>
    <w:rsid w:val="25471D43"/>
    <w:rsid w:val="254D418D"/>
    <w:rsid w:val="255179ED"/>
    <w:rsid w:val="255A35DF"/>
    <w:rsid w:val="256B6EB4"/>
    <w:rsid w:val="2571095A"/>
    <w:rsid w:val="258549DE"/>
    <w:rsid w:val="25910727"/>
    <w:rsid w:val="259326F1"/>
    <w:rsid w:val="259E75A8"/>
    <w:rsid w:val="26016813"/>
    <w:rsid w:val="2606196B"/>
    <w:rsid w:val="26072636"/>
    <w:rsid w:val="26143C85"/>
    <w:rsid w:val="26156A2E"/>
    <w:rsid w:val="26186F4B"/>
    <w:rsid w:val="261D1E42"/>
    <w:rsid w:val="262364AE"/>
    <w:rsid w:val="263317DE"/>
    <w:rsid w:val="26414B12"/>
    <w:rsid w:val="2664395E"/>
    <w:rsid w:val="26755ECA"/>
    <w:rsid w:val="26906045"/>
    <w:rsid w:val="2698214D"/>
    <w:rsid w:val="269E5D92"/>
    <w:rsid w:val="26A37629"/>
    <w:rsid w:val="26C02358"/>
    <w:rsid w:val="26C77C48"/>
    <w:rsid w:val="26D272A7"/>
    <w:rsid w:val="26D93911"/>
    <w:rsid w:val="26E63298"/>
    <w:rsid w:val="26EC20B9"/>
    <w:rsid w:val="27154055"/>
    <w:rsid w:val="271543D2"/>
    <w:rsid w:val="27196FA0"/>
    <w:rsid w:val="272B1844"/>
    <w:rsid w:val="27475541"/>
    <w:rsid w:val="275163C0"/>
    <w:rsid w:val="275A389E"/>
    <w:rsid w:val="275E46A6"/>
    <w:rsid w:val="27723BE0"/>
    <w:rsid w:val="27835FC2"/>
    <w:rsid w:val="27886618"/>
    <w:rsid w:val="278A15B2"/>
    <w:rsid w:val="278C71E1"/>
    <w:rsid w:val="278E13C2"/>
    <w:rsid w:val="278E3170"/>
    <w:rsid w:val="279845D2"/>
    <w:rsid w:val="27B256E3"/>
    <w:rsid w:val="27D305C7"/>
    <w:rsid w:val="27D91A5B"/>
    <w:rsid w:val="27DB1F8C"/>
    <w:rsid w:val="27E31A18"/>
    <w:rsid w:val="27E40FE2"/>
    <w:rsid w:val="27E964AC"/>
    <w:rsid w:val="27EE6269"/>
    <w:rsid w:val="27F947FC"/>
    <w:rsid w:val="280B2A12"/>
    <w:rsid w:val="28377363"/>
    <w:rsid w:val="283F53A6"/>
    <w:rsid w:val="28424EE2"/>
    <w:rsid w:val="28453086"/>
    <w:rsid w:val="284952E9"/>
    <w:rsid w:val="285E08D0"/>
    <w:rsid w:val="28637E3D"/>
    <w:rsid w:val="28651224"/>
    <w:rsid w:val="287B7B56"/>
    <w:rsid w:val="288D49B8"/>
    <w:rsid w:val="288D78CB"/>
    <w:rsid w:val="28A15125"/>
    <w:rsid w:val="28C119D8"/>
    <w:rsid w:val="28CB1F56"/>
    <w:rsid w:val="28D30D37"/>
    <w:rsid w:val="28D56B7C"/>
    <w:rsid w:val="28DE0127"/>
    <w:rsid w:val="28DF15D1"/>
    <w:rsid w:val="28DF504B"/>
    <w:rsid w:val="28F224E1"/>
    <w:rsid w:val="28FC7ED2"/>
    <w:rsid w:val="290410FD"/>
    <w:rsid w:val="291A586C"/>
    <w:rsid w:val="291E1321"/>
    <w:rsid w:val="292045F7"/>
    <w:rsid w:val="29210AC9"/>
    <w:rsid w:val="29254418"/>
    <w:rsid w:val="292545CE"/>
    <w:rsid w:val="292B0B20"/>
    <w:rsid w:val="29477608"/>
    <w:rsid w:val="29514F8D"/>
    <w:rsid w:val="29613908"/>
    <w:rsid w:val="2967676A"/>
    <w:rsid w:val="296879F1"/>
    <w:rsid w:val="298A201C"/>
    <w:rsid w:val="298C582A"/>
    <w:rsid w:val="299568ED"/>
    <w:rsid w:val="299E4141"/>
    <w:rsid w:val="29A3697A"/>
    <w:rsid w:val="29CD2E3F"/>
    <w:rsid w:val="29D02637"/>
    <w:rsid w:val="29D432EC"/>
    <w:rsid w:val="29D67228"/>
    <w:rsid w:val="29E41F91"/>
    <w:rsid w:val="2A144AFA"/>
    <w:rsid w:val="2A1A6F3D"/>
    <w:rsid w:val="2A1E196F"/>
    <w:rsid w:val="2A212221"/>
    <w:rsid w:val="2A230158"/>
    <w:rsid w:val="2A3B2025"/>
    <w:rsid w:val="2A473AAA"/>
    <w:rsid w:val="2A5F55C3"/>
    <w:rsid w:val="2A6F48BA"/>
    <w:rsid w:val="2A756869"/>
    <w:rsid w:val="2A8339A2"/>
    <w:rsid w:val="2A9F38E6"/>
    <w:rsid w:val="2AA50EFC"/>
    <w:rsid w:val="2ABE36D3"/>
    <w:rsid w:val="2ACE1EC8"/>
    <w:rsid w:val="2ADD059B"/>
    <w:rsid w:val="2ADE61BC"/>
    <w:rsid w:val="2AE632C3"/>
    <w:rsid w:val="2B007F78"/>
    <w:rsid w:val="2B1A4D1A"/>
    <w:rsid w:val="2B290297"/>
    <w:rsid w:val="2B4A4876"/>
    <w:rsid w:val="2B52727B"/>
    <w:rsid w:val="2B9A382D"/>
    <w:rsid w:val="2BA0394B"/>
    <w:rsid w:val="2BA35BA3"/>
    <w:rsid w:val="2BB2311B"/>
    <w:rsid w:val="2BBD4C5A"/>
    <w:rsid w:val="2BCD150F"/>
    <w:rsid w:val="2BD93648"/>
    <w:rsid w:val="2BEC377F"/>
    <w:rsid w:val="2BEF6ADA"/>
    <w:rsid w:val="2BFC2CAF"/>
    <w:rsid w:val="2C0C642E"/>
    <w:rsid w:val="2C1D296A"/>
    <w:rsid w:val="2C26758B"/>
    <w:rsid w:val="2C286B86"/>
    <w:rsid w:val="2C292C06"/>
    <w:rsid w:val="2C357305"/>
    <w:rsid w:val="2C383938"/>
    <w:rsid w:val="2C473F94"/>
    <w:rsid w:val="2C4958B7"/>
    <w:rsid w:val="2C5854C5"/>
    <w:rsid w:val="2C5E4EB5"/>
    <w:rsid w:val="2C91044A"/>
    <w:rsid w:val="2C916EC8"/>
    <w:rsid w:val="2C9D5C03"/>
    <w:rsid w:val="2CA65861"/>
    <w:rsid w:val="2CAD1597"/>
    <w:rsid w:val="2CC828D8"/>
    <w:rsid w:val="2CDC672B"/>
    <w:rsid w:val="2CE850D0"/>
    <w:rsid w:val="2D0E75A7"/>
    <w:rsid w:val="2D102879"/>
    <w:rsid w:val="2D197F39"/>
    <w:rsid w:val="2D272F05"/>
    <w:rsid w:val="2D3145A1"/>
    <w:rsid w:val="2D472455"/>
    <w:rsid w:val="2D477E26"/>
    <w:rsid w:val="2D4E0FF6"/>
    <w:rsid w:val="2D4E6491"/>
    <w:rsid w:val="2D551367"/>
    <w:rsid w:val="2D855015"/>
    <w:rsid w:val="2D9708A4"/>
    <w:rsid w:val="2D9939FD"/>
    <w:rsid w:val="2D995560"/>
    <w:rsid w:val="2DA06D16"/>
    <w:rsid w:val="2DA51213"/>
    <w:rsid w:val="2DA614AC"/>
    <w:rsid w:val="2DB53831"/>
    <w:rsid w:val="2DCE3C7D"/>
    <w:rsid w:val="2DCF0D38"/>
    <w:rsid w:val="2DDB0505"/>
    <w:rsid w:val="2DE57862"/>
    <w:rsid w:val="2DF77CC5"/>
    <w:rsid w:val="2DFF70AD"/>
    <w:rsid w:val="2E197228"/>
    <w:rsid w:val="2E490CF6"/>
    <w:rsid w:val="2E572F84"/>
    <w:rsid w:val="2E616693"/>
    <w:rsid w:val="2E640E80"/>
    <w:rsid w:val="2E685A4D"/>
    <w:rsid w:val="2E85670C"/>
    <w:rsid w:val="2E93683E"/>
    <w:rsid w:val="2EAE51C5"/>
    <w:rsid w:val="2EB47E8E"/>
    <w:rsid w:val="2EB67F7C"/>
    <w:rsid w:val="2ECE0FF5"/>
    <w:rsid w:val="2EDB35F4"/>
    <w:rsid w:val="2EE60D1D"/>
    <w:rsid w:val="2EE80E9D"/>
    <w:rsid w:val="2EEF6BEA"/>
    <w:rsid w:val="2F2A7C22"/>
    <w:rsid w:val="2F305550"/>
    <w:rsid w:val="2F340AB1"/>
    <w:rsid w:val="2F3E05FD"/>
    <w:rsid w:val="2F4F1437"/>
    <w:rsid w:val="2F5A04F1"/>
    <w:rsid w:val="2F634EE2"/>
    <w:rsid w:val="2F6615E8"/>
    <w:rsid w:val="2F672A78"/>
    <w:rsid w:val="2F702A20"/>
    <w:rsid w:val="2F7601D5"/>
    <w:rsid w:val="2F9C3813"/>
    <w:rsid w:val="2FB13E9F"/>
    <w:rsid w:val="2FB214E2"/>
    <w:rsid w:val="2FB361F0"/>
    <w:rsid w:val="2FC13835"/>
    <w:rsid w:val="2FC17679"/>
    <w:rsid w:val="2FCB33B7"/>
    <w:rsid w:val="2FE82DA7"/>
    <w:rsid w:val="2FE8558C"/>
    <w:rsid w:val="2FED6249"/>
    <w:rsid w:val="2FF724D0"/>
    <w:rsid w:val="3012072F"/>
    <w:rsid w:val="301A150C"/>
    <w:rsid w:val="3020167F"/>
    <w:rsid w:val="30215601"/>
    <w:rsid w:val="302D1BB3"/>
    <w:rsid w:val="30342F1D"/>
    <w:rsid w:val="30395C43"/>
    <w:rsid w:val="303F40CB"/>
    <w:rsid w:val="304F25F8"/>
    <w:rsid w:val="305331A8"/>
    <w:rsid w:val="305344F9"/>
    <w:rsid w:val="30564A47"/>
    <w:rsid w:val="305658CA"/>
    <w:rsid w:val="3062163D"/>
    <w:rsid w:val="306C1DBC"/>
    <w:rsid w:val="307A4AC9"/>
    <w:rsid w:val="308929C6"/>
    <w:rsid w:val="30893359"/>
    <w:rsid w:val="308E0291"/>
    <w:rsid w:val="30942A46"/>
    <w:rsid w:val="309E477A"/>
    <w:rsid w:val="30A42698"/>
    <w:rsid w:val="30B87864"/>
    <w:rsid w:val="30BF083E"/>
    <w:rsid w:val="30C37E55"/>
    <w:rsid w:val="30DB652B"/>
    <w:rsid w:val="30E37D63"/>
    <w:rsid w:val="30E639BE"/>
    <w:rsid w:val="30E74C0B"/>
    <w:rsid w:val="30F02844"/>
    <w:rsid w:val="30F30335"/>
    <w:rsid w:val="31051699"/>
    <w:rsid w:val="310D5CA5"/>
    <w:rsid w:val="311321B5"/>
    <w:rsid w:val="311A5A74"/>
    <w:rsid w:val="311F02AF"/>
    <w:rsid w:val="31274345"/>
    <w:rsid w:val="313A7E15"/>
    <w:rsid w:val="3145771C"/>
    <w:rsid w:val="3151177C"/>
    <w:rsid w:val="3170301A"/>
    <w:rsid w:val="317A3376"/>
    <w:rsid w:val="318031CF"/>
    <w:rsid w:val="31890866"/>
    <w:rsid w:val="318A77C5"/>
    <w:rsid w:val="31A063FD"/>
    <w:rsid w:val="31B4416D"/>
    <w:rsid w:val="31B61C41"/>
    <w:rsid w:val="31D7074B"/>
    <w:rsid w:val="31E150A9"/>
    <w:rsid w:val="31F5271A"/>
    <w:rsid w:val="320061DC"/>
    <w:rsid w:val="32352A7B"/>
    <w:rsid w:val="323671A4"/>
    <w:rsid w:val="3237369F"/>
    <w:rsid w:val="32406CCF"/>
    <w:rsid w:val="32463A26"/>
    <w:rsid w:val="32552500"/>
    <w:rsid w:val="326E6E6C"/>
    <w:rsid w:val="32700042"/>
    <w:rsid w:val="327166EE"/>
    <w:rsid w:val="327C087E"/>
    <w:rsid w:val="328A519A"/>
    <w:rsid w:val="32933F60"/>
    <w:rsid w:val="329A2FAD"/>
    <w:rsid w:val="32CA3359"/>
    <w:rsid w:val="32DA54BB"/>
    <w:rsid w:val="32E02AEF"/>
    <w:rsid w:val="32E5571A"/>
    <w:rsid w:val="32EB65E8"/>
    <w:rsid w:val="32EC120E"/>
    <w:rsid w:val="32EE756C"/>
    <w:rsid w:val="331623EA"/>
    <w:rsid w:val="33165D81"/>
    <w:rsid w:val="33195511"/>
    <w:rsid w:val="331F3816"/>
    <w:rsid w:val="331F562A"/>
    <w:rsid w:val="331F7CDC"/>
    <w:rsid w:val="33201918"/>
    <w:rsid w:val="33275293"/>
    <w:rsid w:val="333B2E78"/>
    <w:rsid w:val="33441CFD"/>
    <w:rsid w:val="33480F8C"/>
    <w:rsid w:val="334A1D3A"/>
    <w:rsid w:val="3357783F"/>
    <w:rsid w:val="33634E42"/>
    <w:rsid w:val="3386499B"/>
    <w:rsid w:val="33B12A74"/>
    <w:rsid w:val="33B755E0"/>
    <w:rsid w:val="33C85C5B"/>
    <w:rsid w:val="33EA22B9"/>
    <w:rsid w:val="33EE561B"/>
    <w:rsid w:val="33F2005B"/>
    <w:rsid w:val="33FC5673"/>
    <w:rsid w:val="340915D9"/>
    <w:rsid w:val="341660D6"/>
    <w:rsid w:val="341E6FEF"/>
    <w:rsid w:val="343321E4"/>
    <w:rsid w:val="343808D4"/>
    <w:rsid w:val="3449718C"/>
    <w:rsid w:val="345A7CDA"/>
    <w:rsid w:val="346B239F"/>
    <w:rsid w:val="3477169F"/>
    <w:rsid w:val="347845C3"/>
    <w:rsid w:val="347A4A94"/>
    <w:rsid w:val="348061C8"/>
    <w:rsid w:val="348E726D"/>
    <w:rsid w:val="34974EB7"/>
    <w:rsid w:val="34A72740"/>
    <w:rsid w:val="34A83CBD"/>
    <w:rsid w:val="34C1566A"/>
    <w:rsid w:val="34C90259"/>
    <w:rsid w:val="34DC2F20"/>
    <w:rsid w:val="34F23FA0"/>
    <w:rsid w:val="34F5398E"/>
    <w:rsid w:val="350E3B42"/>
    <w:rsid w:val="35186EDB"/>
    <w:rsid w:val="35232779"/>
    <w:rsid w:val="353B1CC0"/>
    <w:rsid w:val="354E7917"/>
    <w:rsid w:val="35533564"/>
    <w:rsid w:val="35611EC4"/>
    <w:rsid w:val="357F3C0D"/>
    <w:rsid w:val="35973B37"/>
    <w:rsid w:val="359B692C"/>
    <w:rsid w:val="359C482A"/>
    <w:rsid w:val="35A2648D"/>
    <w:rsid w:val="35B15CA7"/>
    <w:rsid w:val="35C056DE"/>
    <w:rsid w:val="35D1421B"/>
    <w:rsid w:val="35D733CF"/>
    <w:rsid w:val="35E77E4F"/>
    <w:rsid w:val="35EE3F20"/>
    <w:rsid w:val="363A1A40"/>
    <w:rsid w:val="365057CB"/>
    <w:rsid w:val="366F05D1"/>
    <w:rsid w:val="36707E4B"/>
    <w:rsid w:val="368F2A60"/>
    <w:rsid w:val="36C06D6C"/>
    <w:rsid w:val="36C0742F"/>
    <w:rsid w:val="36C848DD"/>
    <w:rsid w:val="36CB72FE"/>
    <w:rsid w:val="36CF3108"/>
    <w:rsid w:val="370B22B6"/>
    <w:rsid w:val="37184829"/>
    <w:rsid w:val="371A057C"/>
    <w:rsid w:val="3720617D"/>
    <w:rsid w:val="375A115E"/>
    <w:rsid w:val="376C4B50"/>
    <w:rsid w:val="376D71D4"/>
    <w:rsid w:val="376F7161"/>
    <w:rsid w:val="37786996"/>
    <w:rsid w:val="37AB7604"/>
    <w:rsid w:val="37C5786B"/>
    <w:rsid w:val="37FF59C4"/>
    <w:rsid w:val="38152477"/>
    <w:rsid w:val="381A3FBC"/>
    <w:rsid w:val="382B27AD"/>
    <w:rsid w:val="383115F5"/>
    <w:rsid w:val="383438BF"/>
    <w:rsid w:val="386A4D8B"/>
    <w:rsid w:val="387060FE"/>
    <w:rsid w:val="38780152"/>
    <w:rsid w:val="38797524"/>
    <w:rsid w:val="387D2978"/>
    <w:rsid w:val="388242C0"/>
    <w:rsid w:val="388D490B"/>
    <w:rsid w:val="38A35CBB"/>
    <w:rsid w:val="38AA19BF"/>
    <w:rsid w:val="38C53CA2"/>
    <w:rsid w:val="38CA274D"/>
    <w:rsid w:val="38DB3D3B"/>
    <w:rsid w:val="38EF77E6"/>
    <w:rsid w:val="390D3F64"/>
    <w:rsid w:val="391A3434"/>
    <w:rsid w:val="39426361"/>
    <w:rsid w:val="39511C84"/>
    <w:rsid w:val="396759FD"/>
    <w:rsid w:val="396D4BED"/>
    <w:rsid w:val="397958BD"/>
    <w:rsid w:val="397D3884"/>
    <w:rsid w:val="39801E55"/>
    <w:rsid w:val="39882850"/>
    <w:rsid w:val="3988587E"/>
    <w:rsid w:val="398F55AF"/>
    <w:rsid w:val="39916AF0"/>
    <w:rsid w:val="399B079A"/>
    <w:rsid w:val="39AF7201"/>
    <w:rsid w:val="39B527DE"/>
    <w:rsid w:val="39B60304"/>
    <w:rsid w:val="39BB72A2"/>
    <w:rsid w:val="39C61315"/>
    <w:rsid w:val="39C96289"/>
    <w:rsid w:val="39DA200A"/>
    <w:rsid w:val="39DB1464"/>
    <w:rsid w:val="39EC4848"/>
    <w:rsid w:val="39FB1FB5"/>
    <w:rsid w:val="3A0D2327"/>
    <w:rsid w:val="3A1C460B"/>
    <w:rsid w:val="3A1D23B3"/>
    <w:rsid w:val="3A2F24EB"/>
    <w:rsid w:val="3A3620BE"/>
    <w:rsid w:val="3A3932E5"/>
    <w:rsid w:val="3A3F327A"/>
    <w:rsid w:val="3A402C8E"/>
    <w:rsid w:val="3A4818A4"/>
    <w:rsid w:val="3A502A4B"/>
    <w:rsid w:val="3A5255AB"/>
    <w:rsid w:val="3A57294E"/>
    <w:rsid w:val="3A5A2063"/>
    <w:rsid w:val="3A725720"/>
    <w:rsid w:val="3A8A623C"/>
    <w:rsid w:val="3A8D36C6"/>
    <w:rsid w:val="3A9E50EE"/>
    <w:rsid w:val="3ABC50BD"/>
    <w:rsid w:val="3AC416E1"/>
    <w:rsid w:val="3AC802D1"/>
    <w:rsid w:val="3AE47E5B"/>
    <w:rsid w:val="3AF02E17"/>
    <w:rsid w:val="3AFB0727"/>
    <w:rsid w:val="3B0E7AE4"/>
    <w:rsid w:val="3B34709E"/>
    <w:rsid w:val="3B374E54"/>
    <w:rsid w:val="3B662A70"/>
    <w:rsid w:val="3B673FAC"/>
    <w:rsid w:val="3B7216AD"/>
    <w:rsid w:val="3B732951"/>
    <w:rsid w:val="3B7A2E9E"/>
    <w:rsid w:val="3B815EBA"/>
    <w:rsid w:val="3B8B5E54"/>
    <w:rsid w:val="3B924D83"/>
    <w:rsid w:val="3B9C0F7B"/>
    <w:rsid w:val="3BA044D9"/>
    <w:rsid w:val="3BCF2878"/>
    <w:rsid w:val="3BE54BE6"/>
    <w:rsid w:val="3C043541"/>
    <w:rsid w:val="3C1D0ABD"/>
    <w:rsid w:val="3C2B41E4"/>
    <w:rsid w:val="3C456A27"/>
    <w:rsid w:val="3C67007A"/>
    <w:rsid w:val="3C7B42E0"/>
    <w:rsid w:val="3C894E88"/>
    <w:rsid w:val="3CA37266"/>
    <w:rsid w:val="3CC82828"/>
    <w:rsid w:val="3CEF7ADE"/>
    <w:rsid w:val="3CF010B9"/>
    <w:rsid w:val="3CF61A27"/>
    <w:rsid w:val="3D0D2931"/>
    <w:rsid w:val="3D1B7EA2"/>
    <w:rsid w:val="3D2116F3"/>
    <w:rsid w:val="3D2E7CCB"/>
    <w:rsid w:val="3D4B512D"/>
    <w:rsid w:val="3D612479"/>
    <w:rsid w:val="3D741EAE"/>
    <w:rsid w:val="3D7E2A2B"/>
    <w:rsid w:val="3D7E6297"/>
    <w:rsid w:val="3D834075"/>
    <w:rsid w:val="3D8D740C"/>
    <w:rsid w:val="3DAE7C70"/>
    <w:rsid w:val="3DB1150E"/>
    <w:rsid w:val="3DBA72BA"/>
    <w:rsid w:val="3DC92869"/>
    <w:rsid w:val="3DD3562E"/>
    <w:rsid w:val="3DDE52D5"/>
    <w:rsid w:val="3DEE0AC0"/>
    <w:rsid w:val="3E077CBE"/>
    <w:rsid w:val="3E102F58"/>
    <w:rsid w:val="3E1B01C4"/>
    <w:rsid w:val="3E1C24A8"/>
    <w:rsid w:val="3E29618D"/>
    <w:rsid w:val="3E353EED"/>
    <w:rsid w:val="3E3C7AEA"/>
    <w:rsid w:val="3E3D4BD0"/>
    <w:rsid w:val="3E416D36"/>
    <w:rsid w:val="3E683EEA"/>
    <w:rsid w:val="3E824C64"/>
    <w:rsid w:val="3E8A0F75"/>
    <w:rsid w:val="3E987AEE"/>
    <w:rsid w:val="3E9A2284"/>
    <w:rsid w:val="3EAC34A7"/>
    <w:rsid w:val="3EAF5499"/>
    <w:rsid w:val="3EB472BD"/>
    <w:rsid w:val="3F15252A"/>
    <w:rsid w:val="3F1B5750"/>
    <w:rsid w:val="3F3177A8"/>
    <w:rsid w:val="3F37080A"/>
    <w:rsid w:val="3F496CBE"/>
    <w:rsid w:val="3F587306"/>
    <w:rsid w:val="3F5C54AA"/>
    <w:rsid w:val="3FAE024D"/>
    <w:rsid w:val="3FC1012F"/>
    <w:rsid w:val="3FF033EE"/>
    <w:rsid w:val="3FF67573"/>
    <w:rsid w:val="40213BB3"/>
    <w:rsid w:val="40275EA5"/>
    <w:rsid w:val="40546C48"/>
    <w:rsid w:val="40701A4C"/>
    <w:rsid w:val="40741F5B"/>
    <w:rsid w:val="40774232"/>
    <w:rsid w:val="40860801"/>
    <w:rsid w:val="40865A6A"/>
    <w:rsid w:val="408E7435"/>
    <w:rsid w:val="40924816"/>
    <w:rsid w:val="40A346ED"/>
    <w:rsid w:val="40A427E0"/>
    <w:rsid w:val="40AE3E97"/>
    <w:rsid w:val="40CE5FF8"/>
    <w:rsid w:val="40D95004"/>
    <w:rsid w:val="40FA1B12"/>
    <w:rsid w:val="41161732"/>
    <w:rsid w:val="4122513C"/>
    <w:rsid w:val="41355EF0"/>
    <w:rsid w:val="41392674"/>
    <w:rsid w:val="414F176A"/>
    <w:rsid w:val="415D1E0C"/>
    <w:rsid w:val="41794F45"/>
    <w:rsid w:val="4194717D"/>
    <w:rsid w:val="41C51A2C"/>
    <w:rsid w:val="41CC6917"/>
    <w:rsid w:val="41E24A0A"/>
    <w:rsid w:val="41E54201"/>
    <w:rsid w:val="41EA0EFE"/>
    <w:rsid w:val="41EB0F9C"/>
    <w:rsid w:val="42443965"/>
    <w:rsid w:val="42517364"/>
    <w:rsid w:val="425828A0"/>
    <w:rsid w:val="4262363F"/>
    <w:rsid w:val="42866E0B"/>
    <w:rsid w:val="42872C12"/>
    <w:rsid w:val="42887741"/>
    <w:rsid w:val="428E0070"/>
    <w:rsid w:val="429531AD"/>
    <w:rsid w:val="42A10A0B"/>
    <w:rsid w:val="42A82704"/>
    <w:rsid w:val="42AF630A"/>
    <w:rsid w:val="42CE76C5"/>
    <w:rsid w:val="4305085A"/>
    <w:rsid w:val="43081BD1"/>
    <w:rsid w:val="431742E7"/>
    <w:rsid w:val="43266633"/>
    <w:rsid w:val="43312BDE"/>
    <w:rsid w:val="433167C7"/>
    <w:rsid w:val="433862B6"/>
    <w:rsid w:val="434041A7"/>
    <w:rsid w:val="43457D5C"/>
    <w:rsid w:val="4346094B"/>
    <w:rsid w:val="434626F9"/>
    <w:rsid w:val="43743B53"/>
    <w:rsid w:val="43763D41"/>
    <w:rsid w:val="43843137"/>
    <w:rsid w:val="438867D7"/>
    <w:rsid w:val="4391176E"/>
    <w:rsid w:val="439D4ACE"/>
    <w:rsid w:val="43B20609"/>
    <w:rsid w:val="43B545F0"/>
    <w:rsid w:val="43CF397F"/>
    <w:rsid w:val="43D57B76"/>
    <w:rsid w:val="43E73EDC"/>
    <w:rsid w:val="43EC3C39"/>
    <w:rsid w:val="43F539A2"/>
    <w:rsid w:val="440F2FBD"/>
    <w:rsid w:val="441F5424"/>
    <w:rsid w:val="442742D8"/>
    <w:rsid w:val="442A447D"/>
    <w:rsid w:val="44391ED2"/>
    <w:rsid w:val="444903F3"/>
    <w:rsid w:val="444F12A9"/>
    <w:rsid w:val="449A4C45"/>
    <w:rsid w:val="44A8366B"/>
    <w:rsid w:val="44A85A06"/>
    <w:rsid w:val="44C252E7"/>
    <w:rsid w:val="44CD242A"/>
    <w:rsid w:val="44CE2C22"/>
    <w:rsid w:val="44E43D61"/>
    <w:rsid w:val="44E72DD0"/>
    <w:rsid w:val="44EE10CA"/>
    <w:rsid w:val="452250F1"/>
    <w:rsid w:val="45230F44"/>
    <w:rsid w:val="4525639F"/>
    <w:rsid w:val="452623E2"/>
    <w:rsid w:val="45284541"/>
    <w:rsid w:val="45316B5D"/>
    <w:rsid w:val="454449EA"/>
    <w:rsid w:val="45575091"/>
    <w:rsid w:val="45593BE6"/>
    <w:rsid w:val="45686297"/>
    <w:rsid w:val="456875F0"/>
    <w:rsid w:val="456E40D4"/>
    <w:rsid w:val="456F5A54"/>
    <w:rsid w:val="458B6AE9"/>
    <w:rsid w:val="45A96C77"/>
    <w:rsid w:val="45AC7614"/>
    <w:rsid w:val="45B33761"/>
    <w:rsid w:val="45BA3A6E"/>
    <w:rsid w:val="45C53DA9"/>
    <w:rsid w:val="45CC6425"/>
    <w:rsid w:val="462C5BD6"/>
    <w:rsid w:val="462F08CB"/>
    <w:rsid w:val="463F07A1"/>
    <w:rsid w:val="46503FBA"/>
    <w:rsid w:val="46845A12"/>
    <w:rsid w:val="46B67097"/>
    <w:rsid w:val="46B86C2D"/>
    <w:rsid w:val="46BA5F18"/>
    <w:rsid w:val="46BC3AE3"/>
    <w:rsid w:val="46BF57EA"/>
    <w:rsid w:val="46E22B80"/>
    <w:rsid w:val="46F96400"/>
    <w:rsid w:val="47073A3C"/>
    <w:rsid w:val="471C6162"/>
    <w:rsid w:val="471D1AE4"/>
    <w:rsid w:val="471E63A8"/>
    <w:rsid w:val="472D60AA"/>
    <w:rsid w:val="473518A9"/>
    <w:rsid w:val="474B7E8D"/>
    <w:rsid w:val="474F4C0B"/>
    <w:rsid w:val="475F38B6"/>
    <w:rsid w:val="47685614"/>
    <w:rsid w:val="476D294A"/>
    <w:rsid w:val="477760FF"/>
    <w:rsid w:val="47794E4B"/>
    <w:rsid w:val="479B68EB"/>
    <w:rsid w:val="479D5791"/>
    <w:rsid w:val="47A10846"/>
    <w:rsid w:val="47A428C2"/>
    <w:rsid w:val="47B75973"/>
    <w:rsid w:val="47C00874"/>
    <w:rsid w:val="47D236CB"/>
    <w:rsid w:val="47E41648"/>
    <w:rsid w:val="47E71D6B"/>
    <w:rsid w:val="47E801AB"/>
    <w:rsid w:val="47EC4B78"/>
    <w:rsid w:val="47F02948"/>
    <w:rsid w:val="47F379D2"/>
    <w:rsid w:val="480D47B9"/>
    <w:rsid w:val="481D4374"/>
    <w:rsid w:val="48233849"/>
    <w:rsid w:val="48277842"/>
    <w:rsid w:val="483D20C4"/>
    <w:rsid w:val="48642EEB"/>
    <w:rsid w:val="48776E5E"/>
    <w:rsid w:val="48795C23"/>
    <w:rsid w:val="488C2FD7"/>
    <w:rsid w:val="488E2B78"/>
    <w:rsid w:val="48974A79"/>
    <w:rsid w:val="489F5422"/>
    <w:rsid w:val="48A47F31"/>
    <w:rsid w:val="48AB372A"/>
    <w:rsid w:val="48BB3EE1"/>
    <w:rsid w:val="48BC6F7A"/>
    <w:rsid w:val="48BF71D5"/>
    <w:rsid w:val="48CE7418"/>
    <w:rsid w:val="48D14BB0"/>
    <w:rsid w:val="48D70F6B"/>
    <w:rsid w:val="48DB40B9"/>
    <w:rsid w:val="48E50E7E"/>
    <w:rsid w:val="48E76C32"/>
    <w:rsid w:val="48FC3F85"/>
    <w:rsid w:val="490E63AC"/>
    <w:rsid w:val="490F1DBB"/>
    <w:rsid w:val="490F2B41"/>
    <w:rsid w:val="49167868"/>
    <w:rsid w:val="49260A0E"/>
    <w:rsid w:val="492A7C7B"/>
    <w:rsid w:val="493A685C"/>
    <w:rsid w:val="4968161B"/>
    <w:rsid w:val="49750ACF"/>
    <w:rsid w:val="498768B0"/>
    <w:rsid w:val="498F1EC9"/>
    <w:rsid w:val="498F281F"/>
    <w:rsid w:val="49C03205"/>
    <w:rsid w:val="49C12AD9"/>
    <w:rsid w:val="49C90825"/>
    <w:rsid w:val="49E1306F"/>
    <w:rsid w:val="49F7474D"/>
    <w:rsid w:val="4A0A6A2A"/>
    <w:rsid w:val="4A104F60"/>
    <w:rsid w:val="4A1277D9"/>
    <w:rsid w:val="4A1672C9"/>
    <w:rsid w:val="4A204EC8"/>
    <w:rsid w:val="4A236AB7"/>
    <w:rsid w:val="4A2B6830"/>
    <w:rsid w:val="4A404346"/>
    <w:rsid w:val="4A4C7A60"/>
    <w:rsid w:val="4A5730A3"/>
    <w:rsid w:val="4A7D1B58"/>
    <w:rsid w:val="4A7D6FF8"/>
    <w:rsid w:val="4A897A9B"/>
    <w:rsid w:val="4AC07235"/>
    <w:rsid w:val="4AD34EFA"/>
    <w:rsid w:val="4ADB09F6"/>
    <w:rsid w:val="4ADD1B95"/>
    <w:rsid w:val="4AE04400"/>
    <w:rsid w:val="4AE93111"/>
    <w:rsid w:val="4AF56EDE"/>
    <w:rsid w:val="4AFE3744"/>
    <w:rsid w:val="4B007631"/>
    <w:rsid w:val="4B1B446B"/>
    <w:rsid w:val="4B272E10"/>
    <w:rsid w:val="4B30754A"/>
    <w:rsid w:val="4B37594E"/>
    <w:rsid w:val="4B38326F"/>
    <w:rsid w:val="4B3C44DC"/>
    <w:rsid w:val="4B4546E2"/>
    <w:rsid w:val="4B50680B"/>
    <w:rsid w:val="4B5F5FC3"/>
    <w:rsid w:val="4B6549DC"/>
    <w:rsid w:val="4B6E06DF"/>
    <w:rsid w:val="4B937C35"/>
    <w:rsid w:val="4B9F2EFD"/>
    <w:rsid w:val="4BA821A3"/>
    <w:rsid w:val="4BAB3B76"/>
    <w:rsid w:val="4BAF63DD"/>
    <w:rsid w:val="4BB57285"/>
    <w:rsid w:val="4BBA394F"/>
    <w:rsid w:val="4BBD1489"/>
    <w:rsid w:val="4BDA58C1"/>
    <w:rsid w:val="4BDB0C2D"/>
    <w:rsid w:val="4BEC49FE"/>
    <w:rsid w:val="4C0478A6"/>
    <w:rsid w:val="4C3A380D"/>
    <w:rsid w:val="4C6A0DCA"/>
    <w:rsid w:val="4C6B04B5"/>
    <w:rsid w:val="4C7F272A"/>
    <w:rsid w:val="4CA3296A"/>
    <w:rsid w:val="4CB01933"/>
    <w:rsid w:val="4CB45732"/>
    <w:rsid w:val="4CBD3D2C"/>
    <w:rsid w:val="4CC24367"/>
    <w:rsid w:val="4CD11285"/>
    <w:rsid w:val="4CD160C0"/>
    <w:rsid w:val="4D022C05"/>
    <w:rsid w:val="4D1F46E6"/>
    <w:rsid w:val="4D1F5342"/>
    <w:rsid w:val="4D287429"/>
    <w:rsid w:val="4D2C7AF3"/>
    <w:rsid w:val="4D343260"/>
    <w:rsid w:val="4D381304"/>
    <w:rsid w:val="4D452701"/>
    <w:rsid w:val="4D484218"/>
    <w:rsid w:val="4D5D0D6B"/>
    <w:rsid w:val="4D5F4C58"/>
    <w:rsid w:val="4D677E3B"/>
    <w:rsid w:val="4D7267BE"/>
    <w:rsid w:val="4DAA2AAB"/>
    <w:rsid w:val="4DAE31A8"/>
    <w:rsid w:val="4DD067B1"/>
    <w:rsid w:val="4DDC7FA5"/>
    <w:rsid w:val="4E143766"/>
    <w:rsid w:val="4E1E7BBE"/>
    <w:rsid w:val="4E4906EE"/>
    <w:rsid w:val="4E5C0BF1"/>
    <w:rsid w:val="4E692982"/>
    <w:rsid w:val="4E760336"/>
    <w:rsid w:val="4E81128D"/>
    <w:rsid w:val="4E834801"/>
    <w:rsid w:val="4EAA2B9B"/>
    <w:rsid w:val="4EAC63A7"/>
    <w:rsid w:val="4EB44450"/>
    <w:rsid w:val="4EBE06E2"/>
    <w:rsid w:val="4EF018DD"/>
    <w:rsid w:val="4EF57A93"/>
    <w:rsid w:val="4F04640B"/>
    <w:rsid w:val="4F0E3BBD"/>
    <w:rsid w:val="4F144EEE"/>
    <w:rsid w:val="4F4C2A01"/>
    <w:rsid w:val="4F600D6F"/>
    <w:rsid w:val="4F6A776F"/>
    <w:rsid w:val="4F6B7BB9"/>
    <w:rsid w:val="4F764366"/>
    <w:rsid w:val="4F981B6D"/>
    <w:rsid w:val="4FA6654E"/>
    <w:rsid w:val="4FB33A06"/>
    <w:rsid w:val="4FCC7BD9"/>
    <w:rsid w:val="4FD51E77"/>
    <w:rsid w:val="4FEF0962"/>
    <w:rsid w:val="4FF51ACA"/>
    <w:rsid w:val="4FF659D3"/>
    <w:rsid w:val="4FFB6AF8"/>
    <w:rsid w:val="502D6990"/>
    <w:rsid w:val="503A7C33"/>
    <w:rsid w:val="503B7503"/>
    <w:rsid w:val="50412BC6"/>
    <w:rsid w:val="505408EF"/>
    <w:rsid w:val="50626FEC"/>
    <w:rsid w:val="506643DA"/>
    <w:rsid w:val="50802698"/>
    <w:rsid w:val="509077F3"/>
    <w:rsid w:val="50B62460"/>
    <w:rsid w:val="50DF4E67"/>
    <w:rsid w:val="50E15827"/>
    <w:rsid w:val="50EC211A"/>
    <w:rsid w:val="50FA592E"/>
    <w:rsid w:val="51002F0E"/>
    <w:rsid w:val="51071B0C"/>
    <w:rsid w:val="510A67DD"/>
    <w:rsid w:val="51226553"/>
    <w:rsid w:val="51231542"/>
    <w:rsid w:val="51443564"/>
    <w:rsid w:val="51600E2A"/>
    <w:rsid w:val="51753008"/>
    <w:rsid w:val="517D7903"/>
    <w:rsid w:val="517F39A6"/>
    <w:rsid w:val="519B00B4"/>
    <w:rsid w:val="51BA2C30"/>
    <w:rsid w:val="51E809A2"/>
    <w:rsid w:val="51EA403C"/>
    <w:rsid w:val="51EF6CDE"/>
    <w:rsid w:val="51F219E4"/>
    <w:rsid w:val="51FE0D6E"/>
    <w:rsid w:val="51FE624D"/>
    <w:rsid w:val="521209E2"/>
    <w:rsid w:val="52151A1A"/>
    <w:rsid w:val="521A27C6"/>
    <w:rsid w:val="5223523F"/>
    <w:rsid w:val="522C13B9"/>
    <w:rsid w:val="5234116C"/>
    <w:rsid w:val="52391B1D"/>
    <w:rsid w:val="5254213E"/>
    <w:rsid w:val="526650E8"/>
    <w:rsid w:val="5274323B"/>
    <w:rsid w:val="527812C6"/>
    <w:rsid w:val="52804735"/>
    <w:rsid w:val="52943353"/>
    <w:rsid w:val="529A25D5"/>
    <w:rsid w:val="52A70359"/>
    <w:rsid w:val="52AE3750"/>
    <w:rsid w:val="52B5436D"/>
    <w:rsid w:val="52BE1CC3"/>
    <w:rsid w:val="52DB195C"/>
    <w:rsid w:val="52E25026"/>
    <w:rsid w:val="52EF06B7"/>
    <w:rsid w:val="52F03D33"/>
    <w:rsid w:val="53053AB0"/>
    <w:rsid w:val="531655AF"/>
    <w:rsid w:val="533662E6"/>
    <w:rsid w:val="536E66F9"/>
    <w:rsid w:val="53733BF6"/>
    <w:rsid w:val="53873D44"/>
    <w:rsid w:val="53962B3E"/>
    <w:rsid w:val="539D5D06"/>
    <w:rsid w:val="539F4BC3"/>
    <w:rsid w:val="53B00FC2"/>
    <w:rsid w:val="53B813F1"/>
    <w:rsid w:val="53C7637D"/>
    <w:rsid w:val="53C9708E"/>
    <w:rsid w:val="53CD6E9C"/>
    <w:rsid w:val="53E3217E"/>
    <w:rsid w:val="53E51640"/>
    <w:rsid w:val="5410069F"/>
    <w:rsid w:val="541F502B"/>
    <w:rsid w:val="5428422D"/>
    <w:rsid w:val="542850CE"/>
    <w:rsid w:val="54412AB9"/>
    <w:rsid w:val="54484B90"/>
    <w:rsid w:val="545430A1"/>
    <w:rsid w:val="5458562C"/>
    <w:rsid w:val="5459131B"/>
    <w:rsid w:val="546B6463"/>
    <w:rsid w:val="5471114B"/>
    <w:rsid w:val="54A31759"/>
    <w:rsid w:val="54B14A15"/>
    <w:rsid w:val="54B14ED7"/>
    <w:rsid w:val="54BE73BB"/>
    <w:rsid w:val="54C0392D"/>
    <w:rsid w:val="54EC1A3E"/>
    <w:rsid w:val="550876C8"/>
    <w:rsid w:val="552473CE"/>
    <w:rsid w:val="55273084"/>
    <w:rsid w:val="553918DB"/>
    <w:rsid w:val="554F3566"/>
    <w:rsid w:val="55694C7A"/>
    <w:rsid w:val="557A1F24"/>
    <w:rsid w:val="557B277B"/>
    <w:rsid w:val="558B02AA"/>
    <w:rsid w:val="55A939CC"/>
    <w:rsid w:val="55AA5BCA"/>
    <w:rsid w:val="55AA7895"/>
    <w:rsid w:val="55C645F4"/>
    <w:rsid w:val="55DF443D"/>
    <w:rsid w:val="55E62380"/>
    <w:rsid w:val="55E75EAC"/>
    <w:rsid w:val="55FB34EE"/>
    <w:rsid w:val="5613290E"/>
    <w:rsid w:val="5628417F"/>
    <w:rsid w:val="562B489D"/>
    <w:rsid w:val="56310FE7"/>
    <w:rsid w:val="564357FC"/>
    <w:rsid w:val="5650554F"/>
    <w:rsid w:val="565C7725"/>
    <w:rsid w:val="56721800"/>
    <w:rsid w:val="567A473C"/>
    <w:rsid w:val="567E71F5"/>
    <w:rsid w:val="568820D4"/>
    <w:rsid w:val="568D45BE"/>
    <w:rsid w:val="56981066"/>
    <w:rsid w:val="569D5052"/>
    <w:rsid w:val="56D33E1D"/>
    <w:rsid w:val="56D57BC4"/>
    <w:rsid w:val="56EB5C17"/>
    <w:rsid w:val="56F67432"/>
    <w:rsid w:val="56FC10C4"/>
    <w:rsid w:val="570C2AAA"/>
    <w:rsid w:val="57196811"/>
    <w:rsid w:val="572172AD"/>
    <w:rsid w:val="57230876"/>
    <w:rsid w:val="5725461D"/>
    <w:rsid w:val="573514B2"/>
    <w:rsid w:val="57440F69"/>
    <w:rsid w:val="5754503F"/>
    <w:rsid w:val="576378C6"/>
    <w:rsid w:val="57645644"/>
    <w:rsid w:val="578C51EE"/>
    <w:rsid w:val="5795424F"/>
    <w:rsid w:val="57A35F14"/>
    <w:rsid w:val="57AC7CFA"/>
    <w:rsid w:val="57C2639A"/>
    <w:rsid w:val="57E27D6D"/>
    <w:rsid w:val="58135902"/>
    <w:rsid w:val="581D05D2"/>
    <w:rsid w:val="581E7B89"/>
    <w:rsid w:val="58203E2B"/>
    <w:rsid w:val="58363A1E"/>
    <w:rsid w:val="58382B00"/>
    <w:rsid w:val="583B5B55"/>
    <w:rsid w:val="583E7652"/>
    <w:rsid w:val="586C0F12"/>
    <w:rsid w:val="586E0CF8"/>
    <w:rsid w:val="587E53C1"/>
    <w:rsid w:val="587F7675"/>
    <w:rsid w:val="5892088E"/>
    <w:rsid w:val="58AA2D4B"/>
    <w:rsid w:val="58B0376F"/>
    <w:rsid w:val="58BA52C3"/>
    <w:rsid w:val="58CA0713"/>
    <w:rsid w:val="58D24194"/>
    <w:rsid w:val="58FC58DC"/>
    <w:rsid w:val="590251D7"/>
    <w:rsid w:val="59075246"/>
    <w:rsid w:val="590810D4"/>
    <w:rsid w:val="590D1897"/>
    <w:rsid w:val="592B1BE2"/>
    <w:rsid w:val="592D2065"/>
    <w:rsid w:val="59372DB8"/>
    <w:rsid w:val="593E07E2"/>
    <w:rsid w:val="593F387A"/>
    <w:rsid w:val="59517920"/>
    <w:rsid w:val="59617A34"/>
    <w:rsid w:val="596A7D62"/>
    <w:rsid w:val="596C32A7"/>
    <w:rsid w:val="59721B65"/>
    <w:rsid w:val="597A4A53"/>
    <w:rsid w:val="599574FB"/>
    <w:rsid w:val="59A25F54"/>
    <w:rsid w:val="59A87F44"/>
    <w:rsid w:val="59C451A3"/>
    <w:rsid w:val="59C46400"/>
    <w:rsid w:val="59CE01AC"/>
    <w:rsid w:val="59E34FAC"/>
    <w:rsid w:val="59FD3B38"/>
    <w:rsid w:val="5A056A12"/>
    <w:rsid w:val="5A094754"/>
    <w:rsid w:val="5A245751"/>
    <w:rsid w:val="5A267BAB"/>
    <w:rsid w:val="5A2B7D90"/>
    <w:rsid w:val="5A3E0765"/>
    <w:rsid w:val="5A405C9C"/>
    <w:rsid w:val="5A406DEB"/>
    <w:rsid w:val="5A4376B4"/>
    <w:rsid w:val="5A4640AD"/>
    <w:rsid w:val="5A493D64"/>
    <w:rsid w:val="5A583C89"/>
    <w:rsid w:val="5A5E3DF2"/>
    <w:rsid w:val="5A6E567A"/>
    <w:rsid w:val="5A7616BE"/>
    <w:rsid w:val="5A8238C1"/>
    <w:rsid w:val="5A824E8E"/>
    <w:rsid w:val="5A8C5871"/>
    <w:rsid w:val="5AAF6D4A"/>
    <w:rsid w:val="5AB74837"/>
    <w:rsid w:val="5AC530DC"/>
    <w:rsid w:val="5AC54D73"/>
    <w:rsid w:val="5AD07020"/>
    <w:rsid w:val="5ADF16B5"/>
    <w:rsid w:val="5AEC4883"/>
    <w:rsid w:val="5AF076C2"/>
    <w:rsid w:val="5AF2343A"/>
    <w:rsid w:val="5B034F7D"/>
    <w:rsid w:val="5B077572"/>
    <w:rsid w:val="5B1759CA"/>
    <w:rsid w:val="5B1C48F7"/>
    <w:rsid w:val="5B305D11"/>
    <w:rsid w:val="5B36111B"/>
    <w:rsid w:val="5B3D2335"/>
    <w:rsid w:val="5B4631B2"/>
    <w:rsid w:val="5B596518"/>
    <w:rsid w:val="5B6634E0"/>
    <w:rsid w:val="5B825172"/>
    <w:rsid w:val="5B95101E"/>
    <w:rsid w:val="5BA43574"/>
    <w:rsid w:val="5BAA3237"/>
    <w:rsid w:val="5BBA2229"/>
    <w:rsid w:val="5BC46FC8"/>
    <w:rsid w:val="5BC91312"/>
    <w:rsid w:val="5BDD6EA5"/>
    <w:rsid w:val="5BDE1220"/>
    <w:rsid w:val="5BDE3B67"/>
    <w:rsid w:val="5BFB1E7B"/>
    <w:rsid w:val="5C0D7E00"/>
    <w:rsid w:val="5C1F62D6"/>
    <w:rsid w:val="5C3F7C86"/>
    <w:rsid w:val="5C4471CE"/>
    <w:rsid w:val="5C510CA7"/>
    <w:rsid w:val="5C5E7CE3"/>
    <w:rsid w:val="5C6C4B26"/>
    <w:rsid w:val="5C70627F"/>
    <w:rsid w:val="5C78121F"/>
    <w:rsid w:val="5C7E3B46"/>
    <w:rsid w:val="5C8E6AD3"/>
    <w:rsid w:val="5C8E7193"/>
    <w:rsid w:val="5C962A0F"/>
    <w:rsid w:val="5C9C63C8"/>
    <w:rsid w:val="5CA04BF9"/>
    <w:rsid w:val="5CBA15A3"/>
    <w:rsid w:val="5CCF2361"/>
    <w:rsid w:val="5CD82D18"/>
    <w:rsid w:val="5CDC0BDD"/>
    <w:rsid w:val="5CE96DCA"/>
    <w:rsid w:val="5CF8285E"/>
    <w:rsid w:val="5CFB0D0E"/>
    <w:rsid w:val="5D064F7B"/>
    <w:rsid w:val="5D077EF5"/>
    <w:rsid w:val="5D0D570F"/>
    <w:rsid w:val="5D2D04E6"/>
    <w:rsid w:val="5D3E2967"/>
    <w:rsid w:val="5D5061F6"/>
    <w:rsid w:val="5D590772"/>
    <w:rsid w:val="5D670BC7"/>
    <w:rsid w:val="5D6F385A"/>
    <w:rsid w:val="5D8E4CA8"/>
    <w:rsid w:val="5DB86D54"/>
    <w:rsid w:val="5DBC1ADE"/>
    <w:rsid w:val="5DBE6255"/>
    <w:rsid w:val="5DCA043A"/>
    <w:rsid w:val="5DDC5EE5"/>
    <w:rsid w:val="5DE06080"/>
    <w:rsid w:val="5E026B09"/>
    <w:rsid w:val="5E103836"/>
    <w:rsid w:val="5E1C1E8A"/>
    <w:rsid w:val="5E1C4572"/>
    <w:rsid w:val="5E246A8B"/>
    <w:rsid w:val="5E303CE5"/>
    <w:rsid w:val="5E4B5198"/>
    <w:rsid w:val="5E642265"/>
    <w:rsid w:val="5E6A7592"/>
    <w:rsid w:val="5E710B1A"/>
    <w:rsid w:val="5E93283E"/>
    <w:rsid w:val="5EA70CDE"/>
    <w:rsid w:val="5EBE0A06"/>
    <w:rsid w:val="5ECB1CD4"/>
    <w:rsid w:val="5ED50ED8"/>
    <w:rsid w:val="5EF779D7"/>
    <w:rsid w:val="5EFA1803"/>
    <w:rsid w:val="5EFC2014"/>
    <w:rsid w:val="5F0465E4"/>
    <w:rsid w:val="5F0E2EC8"/>
    <w:rsid w:val="5F0E78E8"/>
    <w:rsid w:val="5F1B0A3E"/>
    <w:rsid w:val="5F3B2D6C"/>
    <w:rsid w:val="5F475D87"/>
    <w:rsid w:val="5F4D0535"/>
    <w:rsid w:val="5F4E6DC5"/>
    <w:rsid w:val="5F57453E"/>
    <w:rsid w:val="5F5B53F6"/>
    <w:rsid w:val="5F5D0FDE"/>
    <w:rsid w:val="5F60685A"/>
    <w:rsid w:val="5F667F53"/>
    <w:rsid w:val="5F863F6F"/>
    <w:rsid w:val="5F8854D5"/>
    <w:rsid w:val="5F9F7692"/>
    <w:rsid w:val="5FA570E4"/>
    <w:rsid w:val="5FAC744F"/>
    <w:rsid w:val="5FC353A5"/>
    <w:rsid w:val="5FDC62ED"/>
    <w:rsid w:val="5FE40C3F"/>
    <w:rsid w:val="5FE819D3"/>
    <w:rsid w:val="5FED7100"/>
    <w:rsid w:val="5FF273F0"/>
    <w:rsid w:val="5FF44887"/>
    <w:rsid w:val="5FFD439E"/>
    <w:rsid w:val="602F6597"/>
    <w:rsid w:val="6042276E"/>
    <w:rsid w:val="6042451C"/>
    <w:rsid w:val="604550F9"/>
    <w:rsid w:val="6049085F"/>
    <w:rsid w:val="604E674D"/>
    <w:rsid w:val="6051231A"/>
    <w:rsid w:val="60554CDC"/>
    <w:rsid w:val="60580311"/>
    <w:rsid w:val="60736014"/>
    <w:rsid w:val="60751E3A"/>
    <w:rsid w:val="60963944"/>
    <w:rsid w:val="60994E7B"/>
    <w:rsid w:val="609A6548"/>
    <w:rsid w:val="60DC5B8D"/>
    <w:rsid w:val="60E77EFC"/>
    <w:rsid w:val="60ED27E4"/>
    <w:rsid w:val="611C61A9"/>
    <w:rsid w:val="613320A7"/>
    <w:rsid w:val="6143479C"/>
    <w:rsid w:val="617032CD"/>
    <w:rsid w:val="619A1950"/>
    <w:rsid w:val="619D4186"/>
    <w:rsid w:val="61AD3C17"/>
    <w:rsid w:val="61AE7D97"/>
    <w:rsid w:val="61C3168D"/>
    <w:rsid w:val="61F1298B"/>
    <w:rsid w:val="61F80AC1"/>
    <w:rsid w:val="62031A89"/>
    <w:rsid w:val="62175534"/>
    <w:rsid w:val="62197AAB"/>
    <w:rsid w:val="62316AA4"/>
    <w:rsid w:val="623E241B"/>
    <w:rsid w:val="624A237C"/>
    <w:rsid w:val="625E3804"/>
    <w:rsid w:val="62686EAA"/>
    <w:rsid w:val="62722A66"/>
    <w:rsid w:val="627D508D"/>
    <w:rsid w:val="62856942"/>
    <w:rsid w:val="62A226C2"/>
    <w:rsid w:val="62C8546B"/>
    <w:rsid w:val="62D813F4"/>
    <w:rsid w:val="62DC4BD7"/>
    <w:rsid w:val="62EB733F"/>
    <w:rsid w:val="630615B2"/>
    <w:rsid w:val="630A6E47"/>
    <w:rsid w:val="632073D1"/>
    <w:rsid w:val="63282E61"/>
    <w:rsid w:val="6329520B"/>
    <w:rsid w:val="632B74E9"/>
    <w:rsid w:val="63362285"/>
    <w:rsid w:val="633664CC"/>
    <w:rsid w:val="635C5213"/>
    <w:rsid w:val="636D7EBA"/>
    <w:rsid w:val="637075F2"/>
    <w:rsid w:val="63780255"/>
    <w:rsid w:val="6380341F"/>
    <w:rsid w:val="639064E8"/>
    <w:rsid w:val="63CD38ED"/>
    <w:rsid w:val="63CE15FA"/>
    <w:rsid w:val="63D83474"/>
    <w:rsid w:val="63DA2CBD"/>
    <w:rsid w:val="63DB6EED"/>
    <w:rsid w:val="63EF2296"/>
    <w:rsid w:val="64044E99"/>
    <w:rsid w:val="640970FF"/>
    <w:rsid w:val="642D6B36"/>
    <w:rsid w:val="642F3009"/>
    <w:rsid w:val="643F15A9"/>
    <w:rsid w:val="644B7717"/>
    <w:rsid w:val="644D1BED"/>
    <w:rsid w:val="64743A57"/>
    <w:rsid w:val="647E189B"/>
    <w:rsid w:val="648A46E4"/>
    <w:rsid w:val="64962060"/>
    <w:rsid w:val="649901EE"/>
    <w:rsid w:val="649E018F"/>
    <w:rsid w:val="64A81117"/>
    <w:rsid w:val="64B27796"/>
    <w:rsid w:val="64B308E0"/>
    <w:rsid w:val="64C32CDA"/>
    <w:rsid w:val="64E85323"/>
    <w:rsid w:val="64E86B5E"/>
    <w:rsid w:val="64EC5266"/>
    <w:rsid w:val="652F32E1"/>
    <w:rsid w:val="65336F33"/>
    <w:rsid w:val="655834E5"/>
    <w:rsid w:val="65764C68"/>
    <w:rsid w:val="65774DE2"/>
    <w:rsid w:val="658B5060"/>
    <w:rsid w:val="658E1FB1"/>
    <w:rsid w:val="658F6A2D"/>
    <w:rsid w:val="65A9123D"/>
    <w:rsid w:val="65AF7C90"/>
    <w:rsid w:val="65B124D6"/>
    <w:rsid w:val="65BD2414"/>
    <w:rsid w:val="65E240AB"/>
    <w:rsid w:val="65F71905"/>
    <w:rsid w:val="65FB194F"/>
    <w:rsid w:val="661208FC"/>
    <w:rsid w:val="661C3008"/>
    <w:rsid w:val="6626043C"/>
    <w:rsid w:val="662D301C"/>
    <w:rsid w:val="66415276"/>
    <w:rsid w:val="664A36D1"/>
    <w:rsid w:val="66552ACF"/>
    <w:rsid w:val="665A7A13"/>
    <w:rsid w:val="6664740F"/>
    <w:rsid w:val="6665384F"/>
    <w:rsid w:val="66660838"/>
    <w:rsid w:val="66863321"/>
    <w:rsid w:val="66943F9D"/>
    <w:rsid w:val="6695367E"/>
    <w:rsid w:val="66986EFA"/>
    <w:rsid w:val="66B91561"/>
    <w:rsid w:val="66B91976"/>
    <w:rsid w:val="66B97C81"/>
    <w:rsid w:val="66C71489"/>
    <w:rsid w:val="66C7577B"/>
    <w:rsid w:val="66E049E5"/>
    <w:rsid w:val="66F43DD4"/>
    <w:rsid w:val="66FB6FF1"/>
    <w:rsid w:val="66FC4493"/>
    <w:rsid w:val="670C7116"/>
    <w:rsid w:val="673452B8"/>
    <w:rsid w:val="674B7A80"/>
    <w:rsid w:val="675C0C10"/>
    <w:rsid w:val="67801DCE"/>
    <w:rsid w:val="678D0DEB"/>
    <w:rsid w:val="6794483C"/>
    <w:rsid w:val="67B624C8"/>
    <w:rsid w:val="67B75509"/>
    <w:rsid w:val="67C004EE"/>
    <w:rsid w:val="67CB3049"/>
    <w:rsid w:val="67DF5789"/>
    <w:rsid w:val="67E5058E"/>
    <w:rsid w:val="67E553B0"/>
    <w:rsid w:val="67EF2889"/>
    <w:rsid w:val="67FA4E8C"/>
    <w:rsid w:val="67FB568E"/>
    <w:rsid w:val="681E1C8A"/>
    <w:rsid w:val="681E74FC"/>
    <w:rsid w:val="68246020"/>
    <w:rsid w:val="6846531F"/>
    <w:rsid w:val="68526D4D"/>
    <w:rsid w:val="68570D81"/>
    <w:rsid w:val="685A18FB"/>
    <w:rsid w:val="685D04B0"/>
    <w:rsid w:val="687C28DB"/>
    <w:rsid w:val="68907DEF"/>
    <w:rsid w:val="68976136"/>
    <w:rsid w:val="68A0278A"/>
    <w:rsid w:val="68AF296B"/>
    <w:rsid w:val="68C812E7"/>
    <w:rsid w:val="68CE0B86"/>
    <w:rsid w:val="68EC49A5"/>
    <w:rsid w:val="68F540D3"/>
    <w:rsid w:val="69082643"/>
    <w:rsid w:val="69256E15"/>
    <w:rsid w:val="692764EA"/>
    <w:rsid w:val="69334BFE"/>
    <w:rsid w:val="695976F5"/>
    <w:rsid w:val="699219DD"/>
    <w:rsid w:val="69A654F2"/>
    <w:rsid w:val="69B00A10"/>
    <w:rsid w:val="69B42EE2"/>
    <w:rsid w:val="69CE6E20"/>
    <w:rsid w:val="69D92366"/>
    <w:rsid w:val="69DB694D"/>
    <w:rsid w:val="69DE72A2"/>
    <w:rsid w:val="69E40BF9"/>
    <w:rsid w:val="69FA5E67"/>
    <w:rsid w:val="6A072332"/>
    <w:rsid w:val="6A206100"/>
    <w:rsid w:val="6A263131"/>
    <w:rsid w:val="6A263720"/>
    <w:rsid w:val="6A2C3B47"/>
    <w:rsid w:val="6A2D68B2"/>
    <w:rsid w:val="6A330B04"/>
    <w:rsid w:val="6A350C4E"/>
    <w:rsid w:val="6A426472"/>
    <w:rsid w:val="6A436AEC"/>
    <w:rsid w:val="6A717CE3"/>
    <w:rsid w:val="6A730EA4"/>
    <w:rsid w:val="6A9260A0"/>
    <w:rsid w:val="6AAB68AC"/>
    <w:rsid w:val="6AB4441A"/>
    <w:rsid w:val="6AB574DF"/>
    <w:rsid w:val="6ABD54CC"/>
    <w:rsid w:val="6ACC62E0"/>
    <w:rsid w:val="6ACE4105"/>
    <w:rsid w:val="6AD03793"/>
    <w:rsid w:val="6ADC4E2E"/>
    <w:rsid w:val="6AE12B83"/>
    <w:rsid w:val="6AE608D0"/>
    <w:rsid w:val="6B036F9E"/>
    <w:rsid w:val="6B0845B4"/>
    <w:rsid w:val="6B1671EB"/>
    <w:rsid w:val="6B1747F7"/>
    <w:rsid w:val="6B1B6AC3"/>
    <w:rsid w:val="6B23269D"/>
    <w:rsid w:val="6B2A277C"/>
    <w:rsid w:val="6B327AFB"/>
    <w:rsid w:val="6B336006"/>
    <w:rsid w:val="6B363102"/>
    <w:rsid w:val="6B467F07"/>
    <w:rsid w:val="6B4904A7"/>
    <w:rsid w:val="6B4B6718"/>
    <w:rsid w:val="6B52582F"/>
    <w:rsid w:val="6B5E78FE"/>
    <w:rsid w:val="6B622E3D"/>
    <w:rsid w:val="6B6F4633"/>
    <w:rsid w:val="6B94255A"/>
    <w:rsid w:val="6B966DF8"/>
    <w:rsid w:val="6BA554C4"/>
    <w:rsid w:val="6BB06E24"/>
    <w:rsid w:val="6BB211A1"/>
    <w:rsid w:val="6BCE2857"/>
    <w:rsid w:val="6BD6020E"/>
    <w:rsid w:val="6BDB4810"/>
    <w:rsid w:val="6BF71AE5"/>
    <w:rsid w:val="6BF863D7"/>
    <w:rsid w:val="6BFA67A6"/>
    <w:rsid w:val="6C0C2360"/>
    <w:rsid w:val="6C1B3E73"/>
    <w:rsid w:val="6C1D733F"/>
    <w:rsid w:val="6C296A44"/>
    <w:rsid w:val="6C2C23C0"/>
    <w:rsid w:val="6C395525"/>
    <w:rsid w:val="6C54338D"/>
    <w:rsid w:val="6C5F747B"/>
    <w:rsid w:val="6C6643BF"/>
    <w:rsid w:val="6C667726"/>
    <w:rsid w:val="6C6A41FE"/>
    <w:rsid w:val="6C6B1CC8"/>
    <w:rsid w:val="6C730C7E"/>
    <w:rsid w:val="6C813704"/>
    <w:rsid w:val="6C8D331B"/>
    <w:rsid w:val="6CAE55F6"/>
    <w:rsid w:val="6CCD618B"/>
    <w:rsid w:val="6CD41A5B"/>
    <w:rsid w:val="6CD45481"/>
    <w:rsid w:val="6D0059E8"/>
    <w:rsid w:val="6D0D058A"/>
    <w:rsid w:val="6D155705"/>
    <w:rsid w:val="6D2102DD"/>
    <w:rsid w:val="6D3451EC"/>
    <w:rsid w:val="6D4A64FE"/>
    <w:rsid w:val="6D4F5F3E"/>
    <w:rsid w:val="6D567859"/>
    <w:rsid w:val="6D586CE8"/>
    <w:rsid w:val="6D5B4E6F"/>
    <w:rsid w:val="6D613189"/>
    <w:rsid w:val="6D654AF0"/>
    <w:rsid w:val="6D672DF1"/>
    <w:rsid w:val="6D702BDA"/>
    <w:rsid w:val="6D7607C6"/>
    <w:rsid w:val="6D7C6B93"/>
    <w:rsid w:val="6D817169"/>
    <w:rsid w:val="6D836174"/>
    <w:rsid w:val="6D875BD0"/>
    <w:rsid w:val="6D91680B"/>
    <w:rsid w:val="6DBE61E8"/>
    <w:rsid w:val="6DF45B50"/>
    <w:rsid w:val="6E0237C7"/>
    <w:rsid w:val="6E0F5CB7"/>
    <w:rsid w:val="6E2434B3"/>
    <w:rsid w:val="6E3C46FC"/>
    <w:rsid w:val="6E487B8A"/>
    <w:rsid w:val="6E547FBE"/>
    <w:rsid w:val="6E62419F"/>
    <w:rsid w:val="6E652F07"/>
    <w:rsid w:val="6E84570B"/>
    <w:rsid w:val="6E9D322D"/>
    <w:rsid w:val="6EA559DC"/>
    <w:rsid w:val="6EBB757B"/>
    <w:rsid w:val="6EC519AE"/>
    <w:rsid w:val="6ECA1928"/>
    <w:rsid w:val="6ECC436C"/>
    <w:rsid w:val="6ED17380"/>
    <w:rsid w:val="6EDD3EA1"/>
    <w:rsid w:val="6EEE6897"/>
    <w:rsid w:val="6EFC1D3A"/>
    <w:rsid w:val="6F080E6D"/>
    <w:rsid w:val="6F086931"/>
    <w:rsid w:val="6F175ED7"/>
    <w:rsid w:val="6F1A63C1"/>
    <w:rsid w:val="6F222ACE"/>
    <w:rsid w:val="6F4106F3"/>
    <w:rsid w:val="6F60051B"/>
    <w:rsid w:val="6F724588"/>
    <w:rsid w:val="6F734606"/>
    <w:rsid w:val="6F7E7B76"/>
    <w:rsid w:val="6F812514"/>
    <w:rsid w:val="6F8C7562"/>
    <w:rsid w:val="6F8D5CB6"/>
    <w:rsid w:val="6FA9005F"/>
    <w:rsid w:val="6FAC3760"/>
    <w:rsid w:val="6FC71C5E"/>
    <w:rsid w:val="6FCC43BD"/>
    <w:rsid w:val="6FD91702"/>
    <w:rsid w:val="6FE657EB"/>
    <w:rsid w:val="6FED00FF"/>
    <w:rsid w:val="6FF60E7F"/>
    <w:rsid w:val="6FF84890"/>
    <w:rsid w:val="70313C65"/>
    <w:rsid w:val="70383246"/>
    <w:rsid w:val="70434C25"/>
    <w:rsid w:val="704E6956"/>
    <w:rsid w:val="70514307"/>
    <w:rsid w:val="705160B5"/>
    <w:rsid w:val="706109EE"/>
    <w:rsid w:val="7075449A"/>
    <w:rsid w:val="70912956"/>
    <w:rsid w:val="70950698"/>
    <w:rsid w:val="70A54970"/>
    <w:rsid w:val="70A76FF5"/>
    <w:rsid w:val="70C37D8E"/>
    <w:rsid w:val="70C73591"/>
    <w:rsid w:val="70D02E1F"/>
    <w:rsid w:val="70D3169F"/>
    <w:rsid w:val="70DC4E9C"/>
    <w:rsid w:val="711F45B9"/>
    <w:rsid w:val="712802B3"/>
    <w:rsid w:val="713B1222"/>
    <w:rsid w:val="714B0D57"/>
    <w:rsid w:val="714E63D6"/>
    <w:rsid w:val="71583363"/>
    <w:rsid w:val="71756349"/>
    <w:rsid w:val="71905F74"/>
    <w:rsid w:val="71956476"/>
    <w:rsid w:val="71A60683"/>
    <w:rsid w:val="71AA3CCF"/>
    <w:rsid w:val="71AC3EEB"/>
    <w:rsid w:val="71BC7EA6"/>
    <w:rsid w:val="71E10C04"/>
    <w:rsid w:val="71E33AEE"/>
    <w:rsid w:val="71F71DF5"/>
    <w:rsid w:val="71FC66A6"/>
    <w:rsid w:val="71FD217F"/>
    <w:rsid w:val="720601C5"/>
    <w:rsid w:val="72206BCE"/>
    <w:rsid w:val="72210924"/>
    <w:rsid w:val="722B123D"/>
    <w:rsid w:val="724541FF"/>
    <w:rsid w:val="72842B7E"/>
    <w:rsid w:val="729C6937"/>
    <w:rsid w:val="72AC0994"/>
    <w:rsid w:val="72C20476"/>
    <w:rsid w:val="72D32E9D"/>
    <w:rsid w:val="72D95E85"/>
    <w:rsid w:val="72E66B78"/>
    <w:rsid w:val="72E7502A"/>
    <w:rsid w:val="72F571CC"/>
    <w:rsid w:val="73044502"/>
    <w:rsid w:val="730832B1"/>
    <w:rsid w:val="73117D7E"/>
    <w:rsid w:val="7345735F"/>
    <w:rsid w:val="73490940"/>
    <w:rsid w:val="734E1B56"/>
    <w:rsid w:val="736528CC"/>
    <w:rsid w:val="736D4CD8"/>
    <w:rsid w:val="737E5EBB"/>
    <w:rsid w:val="73845C3D"/>
    <w:rsid w:val="738B18DE"/>
    <w:rsid w:val="73A019BD"/>
    <w:rsid w:val="73A9592E"/>
    <w:rsid w:val="73A960E7"/>
    <w:rsid w:val="73B93D0D"/>
    <w:rsid w:val="73BC23E0"/>
    <w:rsid w:val="73C848E1"/>
    <w:rsid w:val="73D1105F"/>
    <w:rsid w:val="73D70FC8"/>
    <w:rsid w:val="73D7538D"/>
    <w:rsid w:val="73DB7AF6"/>
    <w:rsid w:val="73DE0A03"/>
    <w:rsid w:val="73E96B3C"/>
    <w:rsid w:val="73ED07EB"/>
    <w:rsid w:val="73F34FC6"/>
    <w:rsid w:val="740A43A4"/>
    <w:rsid w:val="74314148"/>
    <w:rsid w:val="744C7E0E"/>
    <w:rsid w:val="744D4DE6"/>
    <w:rsid w:val="745775DE"/>
    <w:rsid w:val="745D758A"/>
    <w:rsid w:val="745F712C"/>
    <w:rsid w:val="74695686"/>
    <w:rsid w:val="746C3BCF"/>
    <w:rsid w:val="74726218"/>
    <w:rsid w:val="747800B5"/>
    <w:rsid w:val="74813987"/>
    <w:rsid w:val="74AC4202"/>
    <w:rsid w:val="74AF7B7D"/>
    <w:rsid w:val="74B15097"/>
    <w:rsid w:val="74B174B7"/>
    <w:rsid w:val="74B662A6"/>
    <w:rsid w:val="74C14C55"/>
    <w:rsid w:val="74C366B2"/>
    <w:rsid w:val="74C730E6"/>
    <w:rsid w:val="74D40C14"/>
    <w:rsid w:val="74DD408E"/>
    <w:rsid w:val="74EF0204"/>
    <w:rsid w:val="74F4000B"/>
    <w:rsid w:val="74F53565"/>
    <w:rsid w:val="74FB6333"/>
    <w:rsid w:val="75047B9A"/>
    <w:rsid w:val="750C0702"/>
    <w:rsid w:val="75290C8A"/>
    <w:rsid w:val="75354D85"/>
    <w:rsid w:val="753A05F3"/>
    <w:rsid w:val="755E271D"/>
    <w:rsid w:val="756646E4"/>
    <w:rsid w:val="75674CA9"/>
    <w:rsid w:val="756C26AF"/>
    <w:rsid w:val="75703482"/>
    <w:rsid w:val="7584145F"/>
    <w:rsid w:val="758B541D"/>
    <w:rsid w:val="75A152BF"/>
    <w:rsid w:val="75A97081"/>
    <w:rsid w:val="75B42F32"/>
    <w:rsid w:val="75B5699E"/>
    <w:rsid w:val="75D02172"/>
    <w:rsid w:val="75EF0431"/>
    <w:rsid w:val="761364A1"/>
    <w:rsid w:val="761D6F02"/>
    <w:rsid w:val="76202073"/>
    <w:rsid w:val="7628317F"/>
    <w:rsid w:val="763846D6"/>
    <w:rsid w:val="765C2A9A"/>
    <w:rsid w:val="76616E2A"/>
    <w:rsid w:val="766A7894"/>
    <w:rsid w:val="768E39FB"/>
    <w:rsid w:val="769470CC"/>
    <w:rsid w:val="76A01B45"/>
    <w:rsid w:val="76B90DB8"/>
    <w:rsid w:val="76EE01F5"/>
    <w:rsid w:val="7709593C"/>
    <w:rsid w:val="770F4A0E"/>
    <w:rsid w:val="771340C5"/>
    <w:rsid w:val="771B662C"/>
    <w:rsid w:val="771C23B1"/>
    <w:rsid w:val="772E2BF6"/>
    <w:rsid w:val="77476464"/>
    <w:rsid w:val="774804CC"/>
    <w:rsid w:val="77547927"/>
    <w:rsid w:val="775766A7"/>
    <w:rsid w:val="776E32D5"/>
    <w:rsid w:val="77722EAD"/>
    <w:rsid w:val="777C270F"/>
    <w:rsid w:val="777C39DF"/>
    <w:rsid w:val="77A362D1"/>
    <w:rsid w:val="77CF75E3"/>
    <w:rsid w:val="77DD3B92"/>
    <w:rsid w:val="77F12A59"/>
    <w:rsid w:val="77F9775E"/>
    <w:rsid w:val="78063C29"/>
    <w:rsid w:val="780B46B4"/>
    <w:rsid w:val="78146346"/>
    <w:rsid w:val="782021D6"/>
    <w:rsid w:val="782C17E6"/>
    <w:rsid w:val="7831720A"/>
    <w:rsid w:val="783F2C2C"/>
    <w:rsid w:val="784A371B"/>
    <w:rsid w:val="784D0268"/>
    <w:rsid w:val="78511BFB"/>
    <w:rsid w:val="78570929"/>
    <w:rsid w:val="7860412A"/>
    <w:rsid w:val="78720F0B"/>
    <w:rsid w:val="78774B27"/>
    <w:rsid w:val="787B6CEB"/>
    <w:rsid w:val="787D4FC2"/>
    <w:rsid w:val="7889250C"/>
    <w:rsid w:val="788C4E81"/>
    <w:rsid w:val="7895540D"/>
    <w:rsid w:val="789629A1"/>
    <w:rsid w:val="78AA212A"/>
    <w:rsid w:val="78B47E62"/>
    <w:rsid w:val="78BD3A19"/>
    <w:rsid w:val="78CA743F"/>
    <w:rsid w:val="78E36D28"/>
    <w:rsid w:val="78F61520"/>
    <w:rsid w:val="78FC723E"/>
    <w:rsid w:val="7903576C"/>
    <w:rsid w:val="79055C6B"/>
    <w:rsid w:val="791059C4"/>
    <w:rsid w:val="79227CA0"/>
    <w:rsid w:val="792F71B0"/>
    <w:rsid w:val="79377102"/>
    <w:rsid w:val="79471A66"/>
    <w:rsid w:val="794B4FBB"/>
    <w:rsid w:val="79621333"/>
    <w:rsid w:val="79674B9C"/>
    <w:rsid w:val="79715F03"/>
    <w:rsid w:val="79817A0B"/>
    <w:rsid w:val="79832C90"/>
    <w:rsid w:val="79951709"/>
    <w:rsid w:val="79AE6327"/>
    <w:rsid w:val="79B25586"/>
    <w:rsid w:val="79B34D12"/>
    <w:rsid w:val="79BA09EE"/>
    <w:rsid w:val="79CD40FA"/>
    <w:rsid w:val="79DF2984"/>
    <w:rsid w:val="79EA60FA"/>
    <w:rsid w:val="79EB30D7"/>
    <w:rsid w:val="79F55243"/>
    <w:rsid w:val="7A0C3F3D"/>
    <w:rsid w:val="7A1117AA"/>
    <w:rsid w:val="7A1376CB"/>
    <w:rsid w:val="7A3465A8"/>
    <w:rsid w:val="7A3F563E"/>
    <w:rsid w:val="7A467E34"/>
    <w:rsid w:val="7A47368D"/>
    <w:rsid w:val="7A477AC9"/>
    <w:rsid w:val="7A487312"/>
    <w:rsid w:val="7A4A7E2B"/>
    <w:rsid w:val="7A4B0FE0"/>
    <w:rsid w:val="7A4C2BA3"/>
    <w:rsid w:val="7A662F0C"/>
    <w:rsid w:val="7A7C6425"/>
    <w:rsid w:val="7A7F1A71"/>
    <w:rsid w:val="7A922A62"/>
    <w:rsid w:val="7A9B7021"/>
    <w:rsid w:val="7AAB161A"/>
    <w:rsid w:val="7AAD65DE"/>
    <w:rsid w:val="7AB744CE"/>
    <w:rsid w:val="7AD622E1"/>
    <w:rsid w:val="7AD718AD"/>
    <w:rsid w:val="7AE019BD"/>
    <w:rsid w:val="7AE31DB8"/>
    <w:rsid w:val="7AF2300E"/>
    <w:rsid w:val="7B0703E4"/>
    <w:rsid w:val="7B0C07ED"/>
    <w:rsid w:val="7B192506"/>
    <w:rsid w:val="7B2B7492"/>
    <w:rsid w:val="7B3B29FD"/>
    <w:rsid w:val="7B440233"/>
    <w:rsid w:val="7B446F42"/>
    <w:rsid w:val="7B4C61B3"/>
    <w:rsid w:val="7B505C2F"/>
    <w:rsid w:val="7B590514"/>
    <w:rsid w:val="7B631BC2"/>
    <w:rsid w:val="7B66424C"/>
    <w:rsid w:val="7BAC3148"/>
    <w:rsid w:val="7BBC0F77"/>
    <w:rsid w:val="7BBF003E"/>
    <w:rsid w:val="7BC86099"/>
    <w:rsid w:val="7BCF61EF"/>
    <w:rsid w:val="7BDE4FC2"/>
    <w:rsid w:val="7BEE0D1D"/>
    <w:rsid w:val="7BF34B4B"/>
    <w:rsid w:val="7BFC15CB"/>
    <w:rsid w:val="7C251BB9"/>
    <w:rsid w:val="7C270A47"/>
    <w:rsid w:val="7C2D5C29"/>
    <w:rsid w:val="7C345209"/>
    <w:rsid w:val="7C526BA2"/>
    <w:rsid w:val="7C530C03"/>
    <w:rsid w:val="7C597451"/>
    <w:rsid w:val="7C613B24"/>
    <w:rsid w:val="7C66738C"/>
    <w:rsid w:val="7C887303"/>
    <w:rsid w:val="7C8B0BA1"/>
    <w:rsid w:val="7C9E49BB"/>
    <w:rsid w:val="7C9E6B26"/>
    <w:rsid w:val="7CBE33F7"/>
    <w:rsid w:val="7CC145C3"/>
    <w:rsid w:val="7CCF0A8E"/>
    <w:rsid w:val="7CDB7433"/>
    <w:rsid w:val="7CDE5CED"/>
    <w:rsid w:val="7CE77E19"/>
    <w:rsid w:val="7CEC54BE"/>
    <w:rsid w:val="7CF873D9"/>
    <w:rsid w:val="7CFC31CC"/>
    <w:rsid w:val="7D023B87"/>
    <w:rsid w:val="7D094AC2"/>
    <w:rsid w:val="7D277784"/>
    <w:rsid w:val="7D281411"/>
    <w:rsid w:val="7D2D0E92"/>
    <w:rsid w:val="7D2F1335"/>
    <w:rsid w:val="7D3F4512"/>
    <w:rsid w:val="7D580A83"/>
    <w:rsid w:val="7D5E7AAB"/>
    <w:rsid w:val="7D613541"/>
    <w:rsid w:val="7D623196"/>
    <w:rsid w:val="7D6A383D"/>
    <w:rsid w:val="7D787EF8"/>
    <w:rsid w:val="7D851F89"/>
    <w:rsid w:val="7D853F17"/>
    <w:rsid w:val="7D8E0949"/>
    <w:rsid w:val="7D90567C"/>
    <w:rsid w:val="7D9E00BD"/>
    <w:rsid w:val="7DB3008D"/>
    <w:rsid w:val="7DB32A7F"/>
    <w:rsid w:val="7DC3439E"/>
    <w:rsid w:val="7DE435B1"/>
    <w:rsid w:val="7DF123E8"/>
    <w:rsid w:val="7DF13B08"/>
    <w:rsid w:val="7DF6029C"/>
    <w:rsid w:val="7DFD5ACF"/>
    <w:rsid w:val="7E0064D6"/>
    <w:rsid w:val="7E032F24"/>
    <w:rsid w:val="7E0429B9"/>
    <w:rsid w:val="7E113552"/>
    <w:rsid w:val="7E34384C"/>
    <w:rsid w:val="7E3D470A"/>
    <w:rsid w:val="7E3E2ED1"/>
    <w:rsid w:val="7E481050"/>
    <w:rsid w:val="7E4F112B"/>
    <w:rsid w:val="7E5132C5"/>
    <w:rsid w:val="7E725143"/>
    <w:rsid w:val="7E7722A2"/>
    <w:rsid w:val="7E8D040A"/>
    <w:rsid w:val="7EA01A8C"/>
    <w:rsid w:val="7EB048EF"/>
    <w:rsid w:val="7EB75211"/>
    <w:rsid w:val="7ED17784"/>
    <w:rsid w:val="7EDA761A"/>
    <w:rsid w:val="7EDE145C"/>
    <w:rsid w:val="7EF23159"/>
    <w:rsid w:val="7EFC4E2F"/>
    <w:rsid w:val="7F04132C"/>
    <w:rsid w:val="7F1B7FBA"/>
    <w:rsid w:val="7F20708C"/>
    <w:rsid w:val="7F413AA5"/>
    <w:rsid w:val="7F4E67C5"/>
    <w:rsid w:val="7F5E3540"/>
    <w:rsid w:val="7F6C5324"/>
    <w:rsid w:val="7F8A2AB7"/>
    <w:rsid w:val="7F8C2BED"/>
    <w:rsid w:val="7F8F0454"/>
    <w:rsid w:val="7FA80F06"/>
    <w:rsid w:val="7FAE3829"/>
    <w:rsid w:val="7FC62FFE"/>
    <w:rsid w:val="7FC9577D"/>
    <w:rsid w:val="7FCA3FDF"/>
    <w:rsid w:val="7FCC5758"/>
    <w:rsid w:val="7FD30895"/>
    <w:rsid w:val="7FD71B35"/>
    <w:rsid w:val="7FE34994"/>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3">
    <w:name w:val="heading 1"/>
    <w:basedOn w:val="1"/>
    <w:next w:val="1"/>
    <w:link w:val="46"/>
    <w:autoRedefine/>
    <w:qFormat/>
    <w:uiPriority w:val="9"/>
    <w:pPr>
      <w:keepNext/>
      <w:keepLines/>
      <w:spacing w:line="240" w:lineRule="auto"/>
      <w:jc w:val="center"/>
      <w:outlineLvl w:val="0"/>
    </w:pPr>
    <w:rPr>
      <w:rFonts w:eastAsia="仿宋"/>
      <w:b/>
      <w:color w:val="000000"/>
      <w:kern w:val="44"/>
      <w:sz w:val="36"/>
      <w:szCs w:val="44"/>
    </w:rPr>
  </w:style>
  <w:style w:type="paragraph" w:styleId="4">
    <w:name w:val="heading 2"/>
    <w:basedOn w:val="1"/>
    <w:next w:val="1"/>
    <w:autoRedefine/>
    <w:qFormat/>
    <w:uiPriority w:val="9"/>
    <w:pPr>
      <w:keepNext/>
      <w:keepLines/>
      <w:spacing w:line="240" w:lineRule="auto"/>
      <w:outlineLvl w:val="1"/>
    </w:pPr>
    <w:rPr>
      <w:rFonts w:ascii="Calibri" w:hAnsi="Calibri" w:cs="黑体"/>
      <w:b/>
      <w:bCs/>
      <w:sz w:val="32"/>
      <w:szCs w:val="32"/>
    </w:rPr>
  </w:style>
  <w:style w:type="paragraph" w:styleId="2">
    <w:name w:val="heading 3"/>
    <w:basedOn w:val="1"/>
    <w:next w:val="1"/>
    <w:autoRedefine/>
    <w:qFormat/>
    <w:uiPriority w:val="9"/>
    <w:pPr>
      <w:keepNext/>
      <w:keepLines/>
      <w:spacing w:line="400" w:lineRule="atLeast"/>
      <w:jc w:val="center"/>
      <w:outlineLvl w:val="2"/>
    </w:pPr>
    <w:rPr>
      <w:b/>
      <w:bCs/>
      <w:sz w:val="32"/>
      <w:szCs w:val="32"/>
      <w:u w:val="double"/>
    </w:rPr>
  </w:style>
  <w:style w:type="paragraph" w:styleId="5">
    <w:name w:val="heading 4"/>
    <w:basedOn w:val="1"/>
    <w:next w:val="1"/>
    <w:autoRedefine/>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pPr>
  </w:style>
  <w:style w:type="paragraph" w:styleId="7">
    <w:name w:val="caption"/>
    <w:basedOn w:val="1"/>
    <w:next w:val="1"/>
    <w:autoRedefine/>
    <w:qFormat/>
    <w:uiPriority w:val="0"/>
    <w:rPr>
      <w:rFonts w:ascii="Arial" w:hAnsi="Arial" w:eastAsia="黑体" w:cs="Arial"/>
      <w:sz w:val="20"/>
    </w:rPr>
  </w:style>
  <w:style w:type="paragraph" w:styleId="8">
    <w:name w:val="annotation text"/>
    <w:basedOn w:val="1"/>
    <w:link w:val="50"/>
    <w:autoRedefine/>
    <w:qFormat/>
    <w:uiPriority w:val="0"/>
    <w:pPr>
      <w:jc w:val="left"/>
    </w:pPr>
  </w:style>
  <w:style w:type="paragraph" w:styleId="9">
    <w:name w:val="Salutation"/>
    <w:basedOn w:val="1"/>
    <w:next w:val="1"/>
    <w:autoRedefine/>
    <w:qFormat/>
    <w:uiPriority w:val="0"/>
    <w:rPr>
      <w:sz w:val="24"/>
      <w:szCs w:val="20"/>
    </w:rPr>
  </w:style>
  <w:style w:type="paragraph" w:styleId="10">
    <w:name w:val="Body Text"/>
    <w:basedOn w:val="1"/>
    <w:next w:val="1"/>
    <w:autoRedefine/>
    <w:qFormat/>
    <w:uiPriority w:val="99"/>
    <w:pPr>
      <w:spacing w:after="120"/>
    </w:pPr>
  </w:style>
  <w:style w:type="paragraph" w:styleId="11">
    <w:name w:val="Body Text Indent"/>
    <w:basedOn w:val="1"/>
    <w:autoRedefine/>
    <w:qFormat/>
    <w:uiPriority w:val="0"/>
    <w:pPr>
      <w:spacing w:after="120"/>
      <w:ind w:left="420" w:leftChars="200"/>
    </w:pPr>
  </w:style>
  <w:style w:type="paragraph" w:styleId="12">
    <w:name w:val="Plain Text"/>
    <w:autoRedefine/>
    <w:qFormat/>
    <w:uiPriority w:val="0"/>
    <w:pPr>
      <w:widowControl w:val="0"/>
      <w:jc w:val="both"/>
    </w:pPr>
    <w:rPr>
      <w:rFonts w:ascii="宋体" w:hAnsi="Courier New" w:eastAsia="宋体" w:cs="Courier New"/>
      <w:kern w:val="2"/>
      <w:sz w:val="21"/>
      <w:szCs w:val="21"/>
      <w:lang w:val="en-US" w:eastAsia="zh-CN" w:bidi="ar-SA"/>
    </w:rPr>
  </w:style>
  <w:style w:type="paragraph" w:styleId="13">
    <w:name w:val="Date"/>
    <w:basedOn w:val="1"/>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4">
    <w:name w:val="Balloon Text"/>
    <w:basedOn w:val="1"/>
    <w:link w:val="52"/>
    <w:autoRedefine/>
    <w:qFormat/>
    <w:uiPriority w:val="0"/>
    <w:pPr>
      <w:spacing w:line="240" w:lineRule="auto"/>
    </w:pPr>
    <w:rPr>
      <w:sz w:val="18"/>
      <w:szCs w:val="18"/>
    </w:rPr>
  </w:style>
  <w:style w:type="paragraph" w:styleId="15">
    <w:name w:val="footer"/>
    <w:basedOn w:val="1"/>
    <w:autoRedefine/>
    <w:qFormat/>
    <w:uiPriority w:val="99"/>
    <w:pPr>
      <w:widowControl w:val="0"/>
      <w:tabs>
        <w:tab w:val="center" w:pos="4153"/>
        <w:tab w:val="right" w:pos="8306"/>
      </w:tabs>
      <w:snapToGrid w:val="0"/>
      <w:spacing w:line="240" w:lineRule="auto"/>
      <w:jc w:val="left"/>
    </w:pPr>
    <w:rPr>
      <w:sz w:val="18"/>
    </w:rPr>
  </w:style>
  <w:style w:type="paragraph" w:styleId="16">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7">
    <w:name w:val="toc 1"/>
    <w:basedOn w:val="1"/>
    <w:next w:val="1"/>
    <w:autoRedefine/>
    <w:qFormat/>
    <w:uiPriority w:val="39"/>
  </w:style>
  <w:style w:type="paragraph" w:styleId="18">
    <w:name w:val="Body Text Indent 3"/>
    <w:basedOn w:val="1"/>
    <w:autoRedefine/>
    <w:qFormat/>
    <w:uiPriority w:val="0"/>
    <w:pPr>
      <w:spacing w:after="120" w:afterLines="0"/>
      <w:ind w:left="420" w:leftChars="200"/>
    </w:pPr>
    <w:rPr>
      <w:sz w:val="16"/>
      <w:szCs w:val="16"/>
    </w:rPr>
  </w:style>
  <w:style w:type="paragraph" w:styleId="19">
    <w:name w:val="toc 2"/>
    <w:basedOn w:val="1"/>
    <w:next w:val="1"/>
    <w:autoRedefine/>
    <w:unhideWhenUsed/>
    <w:qFormat/>
    <w:uiPriority w:val="39"/>
    <w:pPr>
      <w:ind w:left="420" w:leftChars="200"/>
    </w:pPr>
  </w:style>
  <w:style w:type="paragraph" w:styleId="20">
    <w:name w:val="Normal (Web)"/>
    <w:basedOn w:val="1"/>
    <w:autoRedefine/>
    <w:qFormat/>
    <w:uiPriority w:val="99"/>
    <w:pPr>
      <w:spacing w:beforeAutospacing="1" w:afterAutospacing="1"/>
      <w:jc w:val="left"/>
    </w:pPr>
    <w:rPr>
      <w:rFonts w:cs="Times New Roman"/>
      <w:kern w:val="0"/>
      <w:sz w:val="24"/>
    </w:rPr>
  </w:style>
  <w:style w:type="paragraph" w:styleId="21">
    <w:name w:val="annotation subject"/>
    <w:basedOn w:val="8"/>
    <w:next w:val="8"/>
    <w:link w:val="51"/>
    <w:autoRedefine/>
    <w:qFormat/>
    <w:uiPriority w:val="0"/>
    <w:rPr>
      <w:b/>
      <w:bCs/>
    </w:rPr>
  </w:style>
  <w:style w:type="paragraph" w:styleId="22">
    <w:name w:val="Body Text First Indent"/>
    <w:basedOn w:val="10"/>
    <w:autoRedefine/>
    <w:unhideWhenUsed/>
    <w:qFormat/>
    <w:uiPriority w:val="0"/>
    <w:pPr>
      <w:spacing w:line="240" w:lineRule="auto"/>
      <w:ind w:firstLine="420" w:firstLineChars="100"/>
    </w:pPr>
    <w:rPr>
      <w:rFonts w:ascii="Times New Roman" w:hAnsi="Times New Roman"/>
      <w:sz w:val="18"/>
      <w:szCs w:val="18"/>
    </w:rPr>
  </w:style>
  <w:style w:type="paragraph" w:styleId="23">
    <w:name w:val="Body Text First Indent 2"/>
    <w:basedOn w:val="11"/>
    <w:autoRedefine/>
    <w:qFormat/>
    <w:uiPriority w:val="0"/>
    <w:pPr>
      <w:ind w:firstLine="420" w:firstLineChars="20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FollowedHyperlink"/>
    <w:basedOn w:val="26"/>
    <w:autoRedefine/>
    <w:semiHidden/>
    <w:unhideWhenUsed/>
    <w:qFormat/>
    <w:uiPriority w:val="0"/>
    <w:rPr>
      <w:color w:val="800080"/>
      <w:u w:val="none"/>
    </w:rPr>
  </w:style>
  <w:style w:type="character" w:styleId="29">
    <w:name w:val="Emphasis"/>
    <w:basedOn w:val="26"/>
    <w:autoRedefine/>
    <w:qFormat/>
    <w:uiPriority w:val="0"/>
    <w:rPr>
      <w:b/>
    </w:rPr>
  </w:style>
  <w:style w:type="character" w:styleId="30">
    <w:name w:val="HTML Definition"/>
    <w:basedOn w:val="26"/>
    <w:autoRedefine/>
    <w:semiHidden/>
    <w:unhideWhenUsed/>
    <w:qFormat/>
    <w:uiPriority w:val="0"/>
  </w:style>
  <w:style w:type="character" w:styleId="31">
    <w:name w:val="HTML Typewriter"/>
    <w:basedOn w:val="26"/>
    <w:autoRedefine/>
    <w:semiHidden/>
    <w:unhideWhenUsed/>
    <w:qFormat/>
    <w:uiPriority w:val="0"/>
    <w:rPr>
      <w:rFonts w:ascii="monospace" w:hAnsi="monospace" w:eastAsia="monospace" w:cs="monospace"/>
      <w:sz w:val="20"/>
    </w:rPr>
  </w:style>
  <w:style w:type="character" w:styleId="32">
    <w:name w:val="HTML Acronym"/>
    <w:basedOn w:val="26"/>
    <w:autoRedefine/>
    <w:semiHidden/>
    <w:unhideWhenUsed/>
    <w:qFormat/>
    <w:uiPriority w:val="0"/>
  </w:style>
  <w:style w:type="character" w:styleId="33">
    <w:name w:val="HTML Variable"/>
    <w:basedOn w:val="26"/>
    <w:autoRedefine/>
    <w:semiHidden/>
    <w:unhideWhenUsed/>
    <w:qFormat/>
    <w:uiPriority w:val="0"/>
  </w:style>
  <w:style w:type="character" w:styleId="34">
    <w:name w:val="Hyperlink"/>
    <w:autoRedefine/>
    <w:qFormat/>
    <w:uiPriority w:val="99"/>
    <w:rPr>
      <w:color w:val="000000"/>
      <w:sz w:val="18"/>
      <w:szCs w:val="18"/>
      <w:u w:val="none"/>
    </w:rPr>
  </w:style>
  <w:style w:type="character" w:styleId="35">
    <w:name w:val="HTML Code"/>
    <w:basedOn w:val="26"/>
    <w:autoRedefine/>
    <w:semiHidden/>
    <w:unhideWhenUsed/>
    <w:qFormat/>
    <w:uiPriority w:val="0"/>
    <w:rPr>
      <w:rFonts w:hint="default" w:ascii="monospace" w:hAnsi="monospace" w:eastAsia="monospace" w:cs="monospace"/>
      <w:sz w:val="20"/>
    </w:rPr>
  </w:style>
  <w:style w:type="character" w:styleId="36">
    <w:name w:val="annotation reference"/>
    <w:basedOn w:val="26"/>
    <w:autoRedefine/>
    <w:qFormat/>
    <w:uiPriority w:val="0"/>
    <w:rPr>
      <w:sz w:val="21"/>
      <w:szCs w:val="21"/>
    </w:rPr>
  </w:style>
  <w:style w:type="character" w:styleId="37">
    <w:name w:val="HTML Cite"/>
    <w:basedOn w:val="26"/>
    <w:autoRedefine/>
    <w:semiHidden/>
    <w:unhideWhenUsed/>
    <w:qFormat/>
    <w:uiPriority w:val="0"/>
  </w:style>
  <w:style w:type="character" w:styleId="38">
    <w:name w:val="HTML Keyboard"/>
    <w:basedOn w:val="26"/>
    <w:autoRedefine/>
    <w:semiHidden/>
    <w:unhideWhenUsed/>
    <w:qFormat/>
    <w:uiPriority w:val="0"/>
    <w:rPr>
      <w:rFonts w:hint="default" w:ascii="monospace" w:hAnsi="monospace" w:eastAsia="monospace" w:cs="monospace"/>
      <w:sz w:val="18"/>
      <w:szCs w:val="18"/>
      <w:bdr w:val="single" w:color="D2D2D2" w:sz="2" w:space="0"/>
    </w:rPr>
  </w:style>
  <w:style w:type="character" w:styleId="39">
    <w:name w:val="HTML Sample"/>
    <w:basedOn w:val="26"/>
    <w:autoRedefine/>
    <w:semiHidden/>
    <w:unhideWhenUsed/>
    <w:qFormat/>
    <w:uiPriority w:val="0"/>
    <w:rPr>
      <w:rFonts w:hint="default" w:ascii="monospace" w:hAnsi="monospace" w:eastAsia="monospace" w:cs="monospace"/>
    </w:rPr>
  </w:style>
  <w:style w:type="paragraph" w:customStyle="1" w:styleId="40">
    <w:name w:val="正文缩进1"/>
    <w:basedOn w:val="1"/>
    <w:autoRedefine/>
    <w:qFormat/>
    <w:uiPriority w:val="0"/>
    <w:pPr>
      <w:ind w:firstLine="420" w:firstLineChars="200"/>
    </w:pPr>
  </w:style>
  <w:style w:type="paragraph" w:customStyle="1" w:styleId="41">
    <w:name w:val="正文（缩进 2 字符）"/>
    <w:basedOn w:val="1"/>
    <w:autoRedefine/>
    <w:qFormat/>
    <w:uiPriority w:val="0"/>
    <w:pPr>
      <w:ind w:firstLine="200" w:firstLineChars="200"/>
    </w:pPr>
  </w:style>
  <w:style w:type="paragraph" w:customStyle="1" w:styleId="42">
    <w:name w:val="正文（缩进 4 字符）"/>
    <w:basedOn w:val="1"/>
    <w:autoRedefine/>
    <w:qFormat/>
    <w:uiPriority w:val="0"/>
    <w:pPr>
      <w:ind w:firstLine="1134" w:firstLineChars="400"/>
    </w:pPr>
  </w:style>
  <w:style w:type="paragraph" w:customStyle="1" w:styleId="43">
    <w:name w:val="列出段落1"/>
    <w:basedOn w:val="1"/>
    <w:autoRedefine/>
    <w:qFormat/>
    <w:uiPriority w:val="99"/>
    <w:pPr>
      <w:ind w:firstLine="420" w:firstLineChars="200"/>
    </w:pPr>
  </w:style>
  <w:style w:type="paragraph" w:customStyle="1" w:styleId="44">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5">
    <w:name w:val="标题 2（投标文件）"/>
    <w:basedOn w:val="4"/>
    <w:autoRedefine/>
    <w:qFormat/>
    <w:uiPriority w:val="0"/>
    <w:pPr>
      <w:jc w:val="center"/>
    </w:pPr>
  </w:style>
  <w:style w:type="character" w:customStyle="1" w:styleId="46">
    <w:name w:val="标题 1 字符"/>
    <w:link w:val="3"/>
    <w:autoRedefine/>
    <w:qFormat/>
    <w:uiPriority w:val="9"/>
    <w:rPr>
      <w:rFonts w:eastAsia="仿宋"/>
      <w:b/>
      <w:color w:val="000000"/>
      <w:kern w:val="44"/>
      <w:sz w:val="36"/>
      <w:szCs w:val="44"/>
    </w:rPr>
  </w:style>
  <w:style w:type="paragraph" w:customStyle="1" w:styleId="47">
    <w:name w:val="标题 3（投标文件）"/>
    <w:basedOn w:val="2"/>
    <w:autoRedefine/>
    <w:qFormat/>
    <w:uiPriority w:val="0"/>
    <w:pPr>
      <w:jc w:val="left"/>
    </w:pPr>
    <w:rPr>
      <w:u w:val="none"/>
    </w:rPr>
  </w:style>
  <w:style w:type="character" w:customStyle="1" w:styleId="48">
    <w:name w:val="font21"/>
    <w:basedOn w:val="26"/>
    <w:autoRedefine/>
    <w:qFormat/>
    <w:uiPriority w:val="0"/>
    <w:rPr>
      <w:rFonts w:hint="default" w:ascii="Tahoma" w:hAnsi="Tahoma" w:eastAsia="Tahoma" w:cs="Tahoma"/>
      <w:color w:val="000000"/>
      <w:sz w:val="22"/>
      <w:szCs w:val="22"/>
      <w:u w:val="none"/>
    </w:rPr>
  </w:style>
  <w:style w:type="character" w:customStyle="1" w:styleId="49">
    <w:name w:val="font01"/>
    <w:basedOn w:val="26"/>
    <w:autoRedefine/>
    <w:qFormat/>
    <w:uiPriority w:val="0"/>
    <w:rPr>
      <w:rFonts w:hint="eastAsia" w:ascii="宋体" w:hAnsi="宋体" w:eastAsia="宋体" w:cs="宋体"/>
      <w:color w:val="000000"/>
      <w:sz w:val="22"/>
      <w:szCs w:val="22"/>
      <w:u w:val="none"/>
    </w:rPr>
  </w:style>
  <w:style w:type="character" w:customStyle="1" w:styleId="50">
    <w:name w:val="批注文字 字符"/>
    <w:basedOn w:val="26"/>
    <w:link w:val="8"/>
    <w:autoRedefine/>
    <w:qFormat/>
    <w:uiPriority w:val="0"/>
    <w:rPr>
      <w:rFonts w:ascii="Calibri Light" w:hAnsi="Calibri Light" w:eastAsia="华文仿宋" w:cs="Calibri Light"/>
      <w:kern w:val="2"/>
      <w:sz w:val="28"/>
      <w:szCs w:val="28"/>
    </w:rPr>
  </w:style>
  <w:style w:type="character" w:customStyle="1" w:styleId="51">
    <w:name w:val="批注主题 字符"/>
    <w:basedOn w:val="50"/>
    <w:link w:val="21"/>
    <w:autoRedefine/>
    <w:qFormat/>
    <w:uiPriority w:val="0"/>
    <w:rPr>
      <w:rFonts w:ascii="Calibri Light" w:hAnsi="Calibri Light" w:eastAsia="华文仿宋" w:cs="Calibri Light"/>
      <w:b/>
      <w:bCs/>
      <w:kern w:val="2"/>
      <w:sz w:val="28"/>
      <w:szCs w:val="28"/>
    </w:rPr>
  </w:style>
  <w:style w:type="character" w:customStyle="1" w:styleId="52">
    <w:name w:val="批注框文本 字符"/>
    <w:basedOn w:val="26"/>
    <w:link w:val="14"/>
    <w:autoRedefine/>
    <w:qFormat/>
    <w:uiPriority w:val="0"/>
    <w:rPr>
      <w:rFonts w:ascii="Calibri Light" w:hAnsi="Calibri Light" w:eastAsia="华文仿宋" w:cs="Calibri Light"/>
      <w:kern w:val="2"/>
      <w:sz w:val="18"/>
      <w:szCs w:val="18"/>
    </w:rPr>
  </w:style>
  <w:style w:type="paragraph" w:styleId="53">
    <w:name w:val="List Paragraph"/>
    <w:basedOn w:val="1"/>
    <w:autoRedefine/>
    <w:qFormat/>
    <w:uiPriority w:val="34"/>
    <w:pPr>
      <w:ind w:firstLine="420" w:firstLineChars="200"/>
    </w:pPr>
  </w:style>
  <w:style w:type="paragraph" w:customStyle="1" w:styleId="54">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55">
    <w:name w:val="reader-word-layer reader-word-s34-5"/>
    <w:basedOn w:val="1"/>
    <w:autoRedefine/>
    <w:qFormat/>
    <w:uiPriority w:val="0"/>
    <w:pPr>
      <w:widowControl/>
      <w:spacing w:before="100" w:beforeAutospacing="1" w:after="100" w:afterAutospacing="1"/>
      <w:jc w:val="left"/>
    </w:pPr>
    <w:rPr>
      <w:rFonts w:ascii="宋体" w:hAnsi="宋体" w:cs="宋体"/>
      <w:kern w:val="0"/>
      <w:sz w:val="24"/>
      <w:szCs w:val="24"/>
      <w:lang w:val="en-US" w:eastAsia="zh-CN"/>
    </w:rPr>
  </w:style>
  <w:style w:type="paragraph" w:customStyle="1" w:styleId="56">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xl48"/>
    <w:basedOn w:val="1"/>
    <w:autoRedefine/>
    <w:qFormat/>
    <w:uiPriority w:val="0"/>
    <w:pPr>
      <w:widowControl/>
      <w:pBdr>
        <w:bottom w:val="single" w:color="auto" w:sz="4" w:space="0"/>
      </w:pBdr>
      <w:spacing w:before="100" w:beforeLines="0" w:beforeAutospacing="1" w:after="100" w:afterLines="0" w:afterAutospacing="1"/>
      <w:jc w:val="center"/>
    </w:pPr>
    <w:rPr>
      <w:rFonts w:eastAsia="Arial Unicode MS"/>
      <w:kern w:val="0"/>
      <w:sz w:val="24"/>
    </w:rPr>
  </w:style>
  <w:style w:type="paragraph" w:customStyle="1" w:styleId="58">
    <w:name w:val="题注4"/>
    <w:basedOn w:val="1"/>
    <w:next w:val="7"/>
    <w:autoRedefine/>
    <w:qFormat/>
    <w:uiPriority w:val="0"/>
    <w:pPr>
      <w:ind w:left="-132" w:leftChars="-64" w:right="-105" w:rightChars="-50" w:hanging="2"/>
      <w:jc w:val="center"/>
    </w:pPr>
    <w:rPr>
      <w:b/>
      <w:color w:val="FF0000"/>
      <w:szCs w:val="21"/>
      <w:lang w:val="en-GB" w:eastAsia="zh-CN"/>
    </w:rPr>
  </w:style>
  <w:style w:type="paragraph" w:customStyle="1" w:styleId="59">
    <w:name w:val="表格文字"/>
    <w:basedOn w:val="1"/>
    <w:autoRedefine/>
    <w:qFormat/>
    <w:uiPriority w:val="0"/>
    <w:pPr>
      <w:spacing w:before="25" w:after="25"/>
      <w:jc w:val="left"/>
    </w:pPr>
    <w:rPr>
      <w:bCs/>
      <w:spacing w:val="10"/>
      <w:kern w:val="0"/>
      <w:sz w:val="24"/>
      <w:lang w:val="en-US" w:eastAsia="zh-CN"/>
    </w:rPr>
  </w:style>
  <w:style w:type="paragraph" w:customStyle="1" w:styleId="60">
    <w:name w:val="@正文"/>
    <w:basedOn w:val="61"/>
    <w:autoRedefine/>
    <w:qFormat/>
    <w:uiPriority w:val="0"/>
    <w:pPr>
      <w:wordWrap/>
      <w:spacing w:line="240" w:lineRule="auto"/>
      <w:ind w:firstLine="200" w:firstLineChars="200"/>
    </w:pPr>
    <w:rPr>
      <w:rFonts w:ascii="Calibri" w:hAnsi="Calibri" w:eastAsia="宋体" w:cstheme="minorHAnsi"/>
      <w:color w:val="000000"/>
      <w:kern w:val="24"/>
      <w:sz w:val="24"/>
      <w:szCs w:val="24"/>
    </w:rPr>
  </w:style>
  <w:style w:type="paragraph" w:customStyle="1" w:styleId="61">
    <w:name w:val="※正文"/>
    <w:basedOn w:val="1"/>
    <w:next w:val="1"/>
    <w:autoRedefine/>
    <w:qFormat/>
    <w:uiPriority w:val="0"/>
    <w:pPr>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10728</Words>
  <Characters>11071</Characters>
  <Lines>245</Lines>
  <Paragraphs>68</Paragraphs>
  <TotalTime>1</TotalTime>
  <ScaleCrop>false</ScaleCrop>
  <LinksUpToDate>false</LinksUpToDate>
  <CharactersWithSpaces>11241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手撕贾小胖(ง •̀_•́)ง</cp:lastModifiedBy>
  <cp:lastPrinted>2025-03-31T08:41:00Z</cp:lastPrinted>
  <dcterms:modified xsi:type="dcterms:W3CDTF">2025-04-09T07:14:09Z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0CBE2C8A52FF4B179C63C65B13F07EBB_13</vt:lpwstr>
  </property>
  <property fmtid="{D5CDD505-2E9C-101B-9397-08002B2CF9AE}" pid="4" name="KSOTemplateDocerSaveRecord">
    <vt:lpwstr>eyJoZGlkIjoiOGE1ZjE0ZDZiZThiNjFlZGNjMjY4N2NiMTQxYjM4NDYiLCJ1c2VySWQiOiI5MDk2OTI2MDkifQ==</vt:lpwstr>
  </property>
</Properties>
</file>