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版本号：MZ2025-CS101920250401001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承办市十七运会项目比赛(二次)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MZ2025-CS1019</w:t>
      </w:r>
      <w:r>
        <w:br/>
      </w:r>
      <w:r>
        <w:br/>
      </w:r>
      <w:r>
        <w:br/>
      </w:r>
    </w:p>
    <w:p>
      <w:pPr>
        <w:pStyle w:val="null3"/>
        <w:jc w:val="center"/>
        <w:outlineLvl w:val="2"/>
      </w:pPr>
      <w:r>
        <w:rPr>
          <w:rFonts w:ascii="仿宋_GB2312" w:hAnsi="仿宋_GB2312" w:cs="仿宋_GB2312" w:eastAsia="仿宋_GB2312"/>
          <w:sz w:val="28"/>
          <w:b/>
        </w:rPr>
        <w:t>西安市体育运动学校</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西安市体育运动学校</w:t>
      </w:r>
      <w:r>
        <w:rPr>
          <w:rFonts w:ascii="仿宋_GB2312" w:hAnsi="仿宋_GB2312" w:cs="仿宋_GB2312" w:eastAsia="仿宋_GB2312"/>
        </w:rPr>
        <w:t>委托，拟对</w:t>
      </w:r>
      <w:r>
        <w:rPr>
          <w:rFonts w:ascii="仿宋_GB2312" w:hAnsi="仿宋_GB2312" w:cs="仿宋_GB2312" w:eastAsia="仿宋_GB2312"/>
        </w:rPr>
        <w:t>承办市十七运会项目比赛(二次)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承办市十七运会项目比赛(二次)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2025年西安市第十七届运动会水上测功仪、拳击、跆拳道项目比赛提供全面的服务和支持，确保比赛顺利进行，供应商需提供包括但不限于比赛场地设施布置、器材准备、物料及宣传类制作、劳务发放、用餐安排、医疗救护、媒体报道宣传制作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采购包1（水上测功仪、拳击）：属于专门面向中小企业采购。</w:t>
      </w:r>
    </w:p>
    <w:p>
      <w:pPr>
        <w:pStyle w:val="null3"/>
      </w:pPr>
      <w:r>
        <w:rPr>
          <w:rFonts w:ascii="仿宋_GB2312" w:hAnsi="仿宋_GB2312" w:cs="仿宋_GB2312" w:eastAsia="仿宋_GB2312"/>
        </w:rPr>
        <w:t>采购包2（跆拳道）：属于专门面向中小企业采购。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1、法定代表人身份证明/法定代表人授权书：法定代表人直接参加谈判的，须出具法定代表人身份证明及法人身份证；法定代表人授权代表参加谈判的，须出具法定代表人授权书及法人和授权代表身份证。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谈判当天的网站查询记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1、法定代表人身份证明/法定代表人授权书：法定代表人直接参加谈判的，须出具法定代表人身份证明及法人身份证；法定代表人授权代表参加谈判的，须出具法定代表人授权书及法人和授权代表身份证。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谈判当天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西安市体育运动学校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灞桥区欧亚大道辅路与林泓路交叉口东北240米西安市体育运动学校</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采购包1：294,980.00元</w:t>
            </w:r>
          </w:p>
          <w:p>
            <w:pPr>
              <w:pStyle w:val="null3"/>
            </w:pPr>
            <w:r>
              <w:rPr>
                <w:rFonts w:ascii="仿宋_GB2312" w:hAnsi="仿宋_GB2312" w:cs="仿宋_GB2312" w:eastAsia="仿宋_GB2312"/>
              </w:rPr>
              <w:t>采购包2：120,920.00元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第1包不足五千元按人民币五千元收取，第2包不足四千元按人民币四千元收取。 2、成交单位的代理服务费交纳信息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西安市体育运动学校</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西安市体育运动学校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西安市体育运动学校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陕西明正招标有限公司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联系人：乔艳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为</w:t>
      </w:r>
      <w:r>
        <w:rPr>
          <w:rFonts w:ascii="仿宋_GB2312" w:hAnsi="仿宋_GB2312" w:cs="仿宋_GB2312" w:eastAsia="仿宋_GB2312"/>
          <w:sz w:val="21"/>
        </w:rPr>
        <w:t>2025年西安市第十七届运动会水上测功仪、拳击、跆拳道项目比赛提供全面的服务和支持，确保比赛顺利进行，供应商需提供包括但不限于比赛场地设施布置、器材准备、物料及宣传类制作、劳务发放、用餐安排、医疗救护、媒体报道宣传制作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294,980.00</w:t>
      </w:r>
    </w:p>
    <w:p>
      <w:pPr>
        <w:pStyle w:val="null3"/>
      </w:pPr>
      <w:r>
        <w:rPr>
          <w:rFonts w:ascii="仿宋_GB2312" w:hAnsi="仿宋_GB2312" w:cs="仿宋_GB2312" w:eastAsia="仿宋_GB2312"/>
        </w:rPr>
        <w:t>采购包最高限价（元）: 294,980.00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294980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294,980.00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120,920.00</w:t>
      </w:r>
    </w:p>
    <w:p>
      <w:pPr>
        <w:pStyle w:val="null3"/>
      </w:pPr>
      <w:r>
        <w:rPr>
          <w:rFonts w:ascii="仿宋_GB2312" w:hAnsi="仿宋_GB2312" w:cs="仿宋_GB2312" w:eastAsia="仿宋_GB2312"/>
        </w:rPr>
        <w:t>采购包最高限价（元）: 120,920.00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120920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120,920.00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标的名称：294980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测功仪项目</w:t>
            </w:r>
          </w:p>
        </w:tc>
        <w:tc>
          <w:tcPr>
            <w:tcW w:type="dxa" w:w="2076"/>
          </w:tcPr>
          <w:tbl>
            <w:tblPr>
              <w:tblBorders>
                <w:top w:val="single"/>
                <w:left w:val="single"/>
                <w:bottom w:val="single"/>
                <w:right w:val="single"/>
                <w:insideH w:val="single"/>
                <w:insideV w:val="single"/>
              </w:tblBorders>
            </w:tblPr>
            <w:tblGrid>
              <w:gridCol w:w="97"/>
              <w:gridCol w:w="401"/>
              <w:gridCol w:w="282"/>
              <w:gridCol w:w="282"/>
              <w:gridCol w:w="795"/>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序号</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名称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数量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单位</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具体要求</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竞赛编排</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竞赛编排</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电子编排系统</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通用器材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桌子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双人折叠桌20张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椅子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折叠椅子40把</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帐篷</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托盘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比赛用水</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秩序册、成绩册、分秩序册的封皮 、底页及相关部分需铜版纸、彩页</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成绩册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tcBorders>
                    <w:top w:val="single" w:color="000000" w:sz="4"/>
                    <w:left w:val="single" w:color="000000" w:sz="4"/>
                    <w:bottom w:val="single" w:color="000000" w:sz="4"/>
                    <w:right w:val="single" w:color="000000" w:sz="4"/>
                  </w:tcBorders>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订书机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配订书针</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道旗</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LED屏幕</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3m*8m</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雷亚架</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舞台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组</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一米线</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地毯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平米</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指引牌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大声功</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用于检录</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音响</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总控台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屏幕控制及音响控制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参赛组别手举牌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笔记本电脑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一台针式打印机打证书，一台激光打印机</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复印机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竞赛专用及辅助器材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测功仪</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本次比赛统一使用赛艇测功仪，风阻型。检测器:PM5，最大允许体重:135kg，曲柄长度:137mm 设备重量:26kg，链条:镀镍连，支 架:铝合金前脚钢制后脚，空间要求:244x61x50.8cm，存放:可拆卸两部分滑轮移动</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备用电池</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组</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测功仪电池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竞赛辅助器材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夹板、铅笔、橡皮、签字笔等</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打印纸</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工作证件</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运动员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领队、教练员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裁判员及工作人员</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人员</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裁判长（国家级及以上）</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裁判员（国家一级及以上）</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27</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主持人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皮划艇1天，赛艇1天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救护车</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辆</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每辆救护车须配备司机、医生、护士各1名</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比赛场地</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比赛场地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位于景区或商业区的开阔平整场地，及应急备用场地。最终场地确认需经采购人同意。</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赛时报备</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赛时报备</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负责公安赛事报备、交通</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保险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赛事保险</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赛事公众责任险，裁判员及工作人员保险，以实际情况为准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服装</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全体裁判员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约30套，以实际情况为准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用餐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约60人，具体以实际情况为准。涉赛人员午餐、晚餐。每餐两荤两素，含主食，水果或酸奶。</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赛事宣传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摄影摄像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赛事专业拍照</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视频剪辑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制作宣传视频（开赛、完赛视频各一个），最终需经采购人同意</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媒体宣发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官方媒体及网络媒体</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赛事设计</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设计排版</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秩序册、成绩册、道旗、导视系统、主画面等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所有制作、宣传需经采购人审核同意后方可发布，赛事所有原始资料报采购人留存。</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竞赛组织、报名资审由采购人负责，裁判员、志愿者、工作人员由采购人指派。</w:t>
                  </w:r>
                </w:p>
              </w:tc>
            </w:tr>
            <w:tr>
              <w:tc>
                <w:tcPr>
                  <w:tcW w:type="dxa" w:w="1857"/>
                  <w:gridSpan w:val="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应商除竞赛组织、报名资审，裁判员、志愿者、工作人员指派事宜以外事项，均需做好相应服务保障，场地设施布置、器材准备、电计设备、物料及宣传类制作、劳务发放、用餐安排、会议组织（含会场布置、参赛相关物资分类发放）、安全报备、市场运营、医疗救护、媒体报道宣传制作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本项目共一场赛事：竞赛日为三天 ，4月11日至4月13日，约200名运动员。具体情况，以实际报名为准。</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拳击项目</w:t>
            </w:r>
          </w:p>
        </w:tc>
        <w:tc>
          <w:tcPr>
            <w:tcW w:type="dxa" w:w="2076"/>
          </w:tcPr>
          <w:tbl>
            <w:tblPr>
              <w:tblBorders>
                <w:top w:val="single"/>
                <w:left w:val="single"/>
                <w:bottom w:val="single"/>
                <w:right w:val="single"/>
                <w:insideH w:val="single"/>
                <w:insideV w:val="single"/>
              </w:tblBorders>
            </w:tblPr>
            <w:tblGrid>
              <w:gridCol w:w="97"/>
              <w:gridCol w:w="401"/>
              <w:gridCol w:w="282"/>
              <w:gridCol w:w="282"/>
              <w:gridCol w:w="795"/>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名称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数量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单位</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具体要求</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竞赛编排</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竞赛编排</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适用于省级及以上比赛的电子编排系统</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通用器材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桌子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双人折叠桌40张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椅子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折叠椅子80把</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托盘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比赛用水</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秩序册、成绩册、分秩序册的封皮 、底页及相关部分需铜版纸、彩页</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成绩册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tcBorders>
                    <w:top w:val="single" w:color="000000" w:sz="4"/>
                    <w:left w:val="single" w:color="000000" w:sz="4"/>
                    <w:bottom w:val="single" w:color="000000" w:sz="4"/>
                    <w:right w:val="single" w:color="000000" w:sz="4"/>
                  </w:tcBorders>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订书机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配订书针</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道旗</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A字板</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喷绘布及桁架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指引牌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大声功</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用于检录</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音响</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总控台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音响控制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参赛组别手举牌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隔离铁马</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车辆通行证</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动线，入口，出口等导视展板</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教练席指示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双方教练席指示</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入口宣传背景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主背景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两侧背景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手提包</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裁判员、各区县代表队领队</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电视机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电脑显示器</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落地风扇</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随身无线网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团体奖牌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吉祥物纪念品</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笔记本电脑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一台针式打印机打证书，一台激光打印机</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复印机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28"/>
                      <w:color w:val="000000"/>
                    </w:rPr>
                    <w:t xml:space="preserve"> 计时用秒表；锣锤；倒计时 10 秒敲击惊堂 木 2 个；双音哨和铃；比赛用拳套、头盔、护手绷带；2CM 宽胶布 、5CM 宽红、蓝胶带 、OK 章 4 个、红印泥和蓝印泥 ；播音设备（配麦克风 ）；制冰机 、红蓝白仲裁宣告胜负牌各（可用木板或乒乓球拍制 作）；红蓝角运动员足量饮用水；手提喇叭 ，对讲机 ；毛巾5 条、洗脸盆 ；拳台四周A字板（1 米*2 米）；拳台间隔板（3 米*0.25 米*11 米）</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辅助器材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8"/>
                      <w:color w:val="000000"/>
                    </w:rPr>
                    <w:t>抽签桶、中性笔（红、蓝、黑色 ）、油性签字笔、 铅笔及红蓝铅笔、涂改液；钉书器；剪刀、裁纸刀等、尺子（大中小）；双面胶纸、不干胶棒；信封若干；橡皮筋若干；运输车辆。</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医务器材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8"/>
                      <w:color w:val="000000"/>
                    </w:rPr>
                    <w:t>电子体温枪、电子血压计、水银汞柱血压计水银体温计、内科医生带听诊器、外科医生带笔式小手带电、叩诊锤。五官科医生带笔式小手电及相关专科设备。铲式担架、除颤仪、氧气袋、颈托，盐酸肾上腺素注射液、 10%的次氯酸钠消毒液若干、轮椅，医用橡胶检查手套，无菌纱布块，相关必备急救药品</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竞赛专用及辅助器材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专业拳击台</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拳击台外形尺寸：7.8m×7.8m，台面高度为1m；2、比赛区尺寸6.1m×6.1m；3、横梁材质规格：120mm×80mm×3mm；4、立柱管材质规格：φ140×5.5；5、立柱底盘直径：300mm；6、台面胶合板厚度：桦木多层板/t25mm；7、台面柔性层厚度：ρ50倍XPE/t20mm；8、高台主要有由立柱、支撑横梁和木板等组成：框架、立柱主要材质为钢制矩管；木板组合主要材质为桦木多层板。高台采用U型夹包裹式连接方式，连接牢固可靠，外观美观大方；软包材质：PU布、海绵、高承载海绵、XPE、EVA优质碳素结构钢、桦木多层板等。产品通过国际拳击联合认证</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电子打分系统</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组</w:t>
                  </w:r>
                </w:p>
              </w:tc>
              <w:tc>
                <w:tcPr>
                  <w:tcW w:type="dxa" w:w="7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br/>
                  </w:r>
                  <w:r>
                    <w:rPr>
                      <w:rFonts w:ascii="仿宋_GB2312" w:hAnsi="仿宋_GB2312" w:cs="仿宋_GB2312" w:eastAsia="仿宋_GB2312"/>
                      <w:sz w:val="28"/>
                      <w:color w:val="000000"/>
                    </w:rPr>
                    <w:t xml:space="preserve"> 1.1 实时采集五名裁判的打分情况并记录采集时间。</w:t>
                  </w:r>
                  <w:r>
                    <w:br/>
                  </w:r>
                  <w:r>
                    <w:rPr>
                      <w:rFonts w:ascii="仿宋_GB2312" w:hAnsi="仿宋_GB2312" w:cs="仿宋_GB2312" w:eastAsia="仿宋_GB2312"/>
                      <w:sz w:val="28"/>
                      <w:color w:val="000000"/>
                    </w:rPr>
                    <w:t xml:space="preserve"> 1.2 显示每局比赛的进行时间及休息时间，时间可设置。</w:t>
                  </w:r>
                  <w:r>
                    <w:br/>
                  </w:r>
                  <w:r>
                    <w:rPr>
                      <w:rFonts w:ascii="仿宋_GB2312" w:hAnsi="仿宋_GB2312" w:cs="仿宋_GB2312" w:eastAsia="仿宋_GB2312"/>
                      <w:sz w:val="28"/>
                      <w:color w:val="000000"/>
                    </w:rPr>
                    <w:t xml:space="preserve"> 1.3 实时显示五名裁判所给的评判分。</w:t>
                  </w:r>
                  <w:r>
                    <w:br/>
                  </w:r>
                  <w:r>
                    <w:rPr>
                      <w:rFonts w:ascii="仿宋_GB2312" w:hAnsi="仿宋_GB2312" w:cs="仿宋_GB2312" w:eastAsia="仿宋_GB2312"/>
                      <w:sz w:val="28"/>
                      <w:color w:val="000000"/>
                    </w:rPr>
                    <w:t xml:space="preserve"> 1.4 每场比赛结束后，比赛结果及打分情况能自动存储。</w:t>
                  </w:r>
                  <w:r>
                    <w:br/>
                  </w:r>
                  <w:r>
                    <w:rPr>
                      <w:rFonts w:ascii="仿宋_GB2312" w:hAnsi="仿宋_GB2312" w:cs="仿宋_GB2312" w:eastAsia="仿宋_GB2312"/>
                      <w:sz w:val="28"/>
                      <w:color w:val="000000"/>
                    </w:rPr>
                    <w:t xml:space="preserve"> 1.5 符合最新国际拳联比赛规则。</w:t>
                  </w:r>
                  <w:r>
                    <w:br/>
                  </w:r>
                  <w:r>
                    <w:rPr>
                      <w:rFonts w:ascii="仿宋_GB2312" w:hAnsi="仿宋_GB2312" w:cs="仿宋_GB2312" w:eastAsia="仿宋_GB2312"/>
                      <w:sz w:val="28"/>
                      <w:color w:val="000000"/>
                    </w:rPr>
                    <w:t xml:space="preserve"> 1.6 各个比赛数据可以导入和导出，可以实现多台比赛的联网和编排。</w:t>
                  </w:r>
                  <w:r>
                    <w:br/>
                  </w:r>
                  <w:r>
                    <w:rPr>
                      <w:rFonts w:ascii="仿宋_GB2312" w:hAnsi="仿宋_GB2312" w:cs="仿宋_GB2312" w:eastAsia="仿宋_GB2312"/>
                      <w:sz w:val="28"/>
                      <w:color w:val="000000"/>
                    </w:rPr>
                    <w:t xml:space="preserve"> 1.7 可输出满足国家级正式比赛所需要的所有报表，主要包括出场顺序表、评判员记分表、拳击比赛场记表、拳击比赛申诉表、参赛人数统计表、参赛队员统计表、大赛获胜方式统计表、各级别名次表、团体总分表、奖牌排名表。</w:t>
                  </w:r>
                  <w:r>
                    <w:br/>
                  </w:r>
                  <w:r>
                    <w:rPr>
                      <w:rFonts w:ascii="仿宋_GB2312" w:hAnsi="仿宋_GB2312" w:cs="仿宋_GB2312" w:eastAsia="仿宋_GB2312"/>
                      <w:sz w:val="28"/>
                      <w:color w:val="000000"/>
                    </w:rPr>
                    <w:t xml:space="preserve"> 1.8 实时显示各裁判员的评分情况,观众屏根据规则显示相应的信息。</w:t>
                  </w:r>
                  <w:r>
                    <w:br/>
                  </w:r>
                  <w:r>
                    <w:rPr>
                      <w:rFonts w:ascii="仿宋_GB2312" w:hAnsi="仿宋_GB2312" w:cs="仿宋_GB2312" w:eastAsia="仿宋_GB2312"/>
                      <w:sz w:val="28"/>
                      <w:color w:val="000000"/>
                    </w:rPr>
                    <w:t xml:space="preserve"> 1.9 比分屏即时显示比分。</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竞赛辅助器材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夹板、铅笔、橡皮、签字笔、秒表等</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打印纸</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工作证件</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运动员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领队、教练员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裁判员、嘉宾</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工作人员、志愿者</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人员</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裁判长</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工作人员、志愿者、安保人员   5天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救护车</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辆</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每辆救护车须配备司机、医生、护士各1名</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礼仪小姐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负责颁奖仪式</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保险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赛事保险</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赛事公众责任险，裁判员及工作人员保险，以实际情况为准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服装</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裁判员、工作人员、志愿者</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约80套，以实际情况为准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住宿</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裁判员、医务、接待人员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约30人，标间，以实际情况为准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用餐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约60人，具体以实际情况为准。涉赛人员午餐、晚餐。每餐两荤两素，含主食，水果或酸奶。</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赛事宣传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摄影摄像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赛事专业拍照</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视频剪辑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制作宣传视频（开赛、完赛视频各一个），最终需经采购人同意</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媒体宣发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官方媒体及网络媒体</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赛事设计</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设计排版</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秩序册、成绩册、道旗、导视系统、主画面等、所有背景板制作</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所有制作、宣传需经采购人审核同意后方可发布，赛事所有原始资料报采购人留存。</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竞赛组织、报名资审由采购人负责，裁判员、志愿者、工作人员由采购人指派。</w:t>
                  </w:r>
                </w:p>
              </w:tc>
            </w:tr>
            <w:tr>
              <w:tc>
                <w:tcPr>
                  <w:tcW w:type="dxa" w:w="1857"/>
                  <w:gridSpan w:val="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应商除竞赛组织、报名资审，裁判员、志愿者、工作人员指派事宜以外事项，均需做好相应服务保障，场地设施布置、器材准备、电计设备、物料及宣传类制作、劳务发放、用餐安排、会议组织（含会场布置、参赛相关物资分类发放）、安全报备、市场运营、医疗救护、媒体报道宣传制作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本项目共一场赛事，竞赛日为五天，4月15日-4月19日，具体情况以实际报名为准。</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标的名称：120920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跆拳道项目</w:t>
            </w:r>
          </w:p>
        </w:tc>
        <w:tc>
          <w:tcPr>
            <w:tcW w:type="dxa" w:w="2076"/>
          </w:tcPr>
          <w:tbl>
            <w:tblPr>
              <w:tblBorders>
                <w:top w:val="single"/>
                <w:left w:val="single"/>
                <w:bottom w:val="single"/>
                <w:right w:val="single"/>
                <w:insideH w:val="single"/>
                <w:insideV w:val="single"/>
              </w:tblBorders>
            </w:tblPr>
            <w:tblGrid>
              <w:gridCol w:w="130"/>
              <w:gridCol w:w="394"/>
              <w:gridCol w:w="216"/>
              <w:gridCol w:w="376"/>
              <w:gridCol w:w="741"/>
            </w:tblGrid>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名称</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数量</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单位</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具体要求</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竞赛场地</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竞赛场地</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标准12米*12米跆拳道竞赛场地</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通用器材</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桌子</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双人折叠桌40张</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椅子</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折叠椅子80把</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胶布</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卷</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秒表</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托盘</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纸杯</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若干，满足本项目使用</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比赛用水</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瓶</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4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秩序册、成绩册、分秩序册的封皮 、底页及相关部分需铜版纸、彩页</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成绩册</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41"/>
                  <w:vMerge/>
                  <w:tcBorders>
                    <w:top w:val="single" w:color="000000" w:sz="4"/>
                    <w:left w:val="single" w:color="000000" w:sz="4"/>
                    <w:bottom w:val="single" w:color="000000" w:sz="4"/>
                    <w:right w:val="single" w:color="000000" w:sz="4"/>
                  </w:tcBorders>
                </w:tcP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横幅</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道旗</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背景板</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1大1小</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A字板</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rPr>
                    <w:t xml:space="preserve"> </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指引牌</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组委会印章</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开闭幕式音响</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1套</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参赛队手举牌</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主持人</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颁奖台</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笔记本电脑</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前台2台、后台2台、备用1台</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喷墨打印机</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针式打印机</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竞赛专用及辅助器材</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对讲机</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打印纸</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网络报名系统</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竞赛编排</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录像审议</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3摄像头/场地（含三脚架），电脑</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电子示分屏</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55寸及以上</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电子护胸</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0、1、2、3号</w:t>
                  </w:r>
                </w:p>
                <w:p>
                  <w:pPr>
                    <w:pStyle w:val="null3"/>
                    <w:jc w:val="center"/>
                  </w:pPr>
                  <w:r>
                    <w:rPr>
                      <w:rFonts w:ascii="仿宋_GB2312" w:hAnsi="仿宋_GB2312" w:cs="仿宋_GB2312" w:eastAsia="仿宋_GB2312"/>
                      <w:sz w:val="28"/>
                      <w:color w:val="000000"/>
                    </w:rPr>
                    <w:t>（根据实际情况选择型号）</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电子头盔</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S、M、L、XL号</w:t>
                  </w:r>
                </w:p>
                <w:p>
                  <w:pPr>
                    <w:pStyle w:val="null3"/>
                    <w:jc w:val="center"/>
                  </w:pPr>
                  <w:r>
                    <w:rPr>
                      <w:rFonts w:ascii="仿宋_GB2312" w:hAnsi="仿宋_GB2312" w:cs="仿宋_GB2312" w:eastAsia="仿宋_GB2312"/>
                      <w:sz w:val="28"/>
                      <w:color w:val="000000"/>
                    </w:rPr>
                    <w:t>（根据实际情况选择型号）</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电子脚套</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XS、S、M、L、XL号</w:t>
                  </w:r>
                </w:p>
                <w:p>
                  <w:pPr>
                    <w:pStyle w:val="null3"/>
                    <w:jc w:val="center"/>
                  </w:pPr>
                  <w:r>
                    <w:rPr>
                      <w:rFonts w:ascii="仿宋_GB2312" w:hAnsi="仿宋_GB2312" w:cs="仿宋_GB2312" w:eastAsia="仿宋_GB2312"/>
                      <w:sz w:val="28"/>
                      <w:color w:val="000000"/>
                    </w:rPr>
                    <w:t>（根据实际情况选择型号）</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计时记分系统</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解析仪</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发射器</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打分器</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水桶</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青红各2</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审议牌</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青红</w:t>
                  </w:r>
                  <w:r>
                    <w:rPr>
                      <w:rFonts w:ascii="仿宋_GB2312" w:hAnsi="仿宋_GB2312" w:cs="仿宋_GB2312" w:eastAsia="仿宋_GB2312"/>
                      <w:sz w:val="28"/>
                      <w:color w:val="000000"/>
                    </w:rPr>
                    <w:t>黄</w:t>
                  </w:r>
                  <w:r>
                    <w:rPr>
                      <w:rFonts w:ascii="仿宋_GB2312" w:hAnsi="仿宋_GB2312" w:cs="仿宋_GB2312" w:eastAsia="仿宋_GB2312"/>
                      <w:sz w:val="28"/>
                      <w:color w:val="000000"/>
                    </w:rPr>
                    <w:t>各1为1套</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竞赛耗材</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板夹、笔、电池、硒鼓、裁判员用品等</w:t>
                  </w:r>
                </w:p>
              </w:tc>
            </w:tr>
            <w:tr>
              <w:tc>
                <w:tcPr>
                  <w:tcW w:type="dxa" w:w="13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39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参赛证</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运动员</w:t>
                  </w:r>
                </w:p>
              </w:tc>
            </w:tr>
            <w:tr>
              <w:tc>
                <w:tcPr>
                  <w:tcW w:type="dxa" w:w="130"/>
                  <w:vMerge/>
                  <w:tcBorders>
                    <w:top w:val="single" w:color="000000" w:sz="4"/>
                    <w:left w:val="single" w:color="000000" w:sz="4"/>
                    <w:bottom w:val="single" w:color="000000" w:sz="4"/>
                    <w:right w:val="single" w:color="000000" w:sz="4"/>
                  </w:tcBorders>
                </w:tcPr>
                <w:p/>
              </w:tc>
              <w:tc>
                <w:tcPr>
                  <w:tcW w:type="dxa" w:w="394"/>
                  <w:vMerge/>
                  <w:tcBorders>
                    <w:top w:val="single" w:color="000000" w:sz="4"/>
                    <w:left w:val="single" w:color="000000" w:sz="4"/>
                    <w:bottom w:val="single" w:color="000000" w:sz="4"/>
                    <w:right w:val="single" w:color="000000" w:sz="4"/>
                  </w:tcBorders>
                </w:tcP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领队、教练员</w:t>
                  </w:r>
                </w:p>
              </w:tc>
            </w:tr>
            <w:tr>
              <w:tc>
                <w:tcPr>
                  <w:tcW w:type="dxa" w:w="130"/>
                  <w:vMerge/>
                  <w:tcBorders>
                    <w:top w:val="single" w:color="000000" w:sz="4"/>
                    <w:left w:val="single" w:color="000000" w:sz="4"/>
                    <w:bottom w:val="single" w:color="000000" w:sz="4"/>
                    <w:right w:val="single" w:color="000000" w:sz="4"/>
                  </w:tcBorders>
                </w:tcPr>
                <w:p/>
              </w:tc>
              <w:tc>
                <w:tcPr>
                  <w:tcW w:type="dxa" w:w="394"/>
                  <w:vMerge/>
                  <w:tcBorders>
                    <w:top w:val="single" w:color="000000" w:sz="4"/>
                    <w:left w:val="single" w:color="000000" w:sz="4"/>
                    <w:bottom w:val="single" w:color="000000" w:sz="4"/>
                    <w:right w:val="single" w:color="000000" w:sz="4"/>
                  </w:tcBorders>
                </w:tcP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裁判员及工作人员</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裁判员及工作人员</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副裁判长及以上（国家级及以上）</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裁判员（二级及以上）</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编排记录</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志愿者</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颁奖礼仪</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开幕式4人，闭幕式4人</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救护车</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辆</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每辆救护车须配备司机、医生、护士各1名</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安保人员</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按实际天数结算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保洁人员</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按实际天数结算</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保障/保险</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医疗保障</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保障物资</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高清视频线、机器连接网线、插板、电缆滚、气喇叭等</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赛事保险</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项</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公众责任保险（包含裁判员、运动员、工作人员等）</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服装</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全体裁判员</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约30套，以实际情况为准，（短T聚酯纤维、），服装不退回归裁判员所有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用餐</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用餐</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约80人，具体以实际情况为准。涉赛人员午餐，午餐1荤（大荤）两素，含主食，水果或酸奶，按实际竞赛日程</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媒体宣传</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平面媒体</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赛事宣传</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视频宣传</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制作宣传视频（开赛、集锦、完赛视频各一个）</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宣传</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家</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官方媒体及网络媒体</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会议室、功能房</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技术会</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容纳100人会议室，含多媒体，需提前布置好会场，桌签，桌标等；使用时间3小时。</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功能房</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间</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器材存放室裁判员休息室、工作人员 休息室等、按照采购人要求布置； 使用时限为赛事筹备起至赛事结束。</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所有制作、宣传需经采购人审核同意后方可发布，赛事所有原始资料报采购人留存。</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竞赛组织、报名资审由采购人负责，裁判员、志愿者、工作人员由采购人指派。</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应商除竞赛组织、报名资审，裁判员、志愿者、工作人员指派事宜以外事项，均需做好相应服务保障，场地设施布置、器材准备、电计设备、物料及宣传类制作、劳务发放、用餐安排、会议组织（含会场布置、参赛相关物资分类发放）、安全报备、市场运营、医疗救护、媒体报道宣 传制作等。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本项赛事：2025年西安市第十七届运动会跆拳道比赛（青少年组），竞赛日4天 ，4月10日-4月13日，约300名运动员。具体情况，以实际报名为准。</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供应商针对本项目提供相应的服务人员。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供应商针对本项目提供相应的设备。</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应包含完成本项目所涉及人员劳务、设计、制作、策划执行、广告氛围设计、媒体宣传、运输、安装、验收、税金、设备投入、利润、招标代理服务费以及谈判文件规定的一切费用和本项目履约相关的不可预计的一切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应包含完成本项目所涉及人员劳务、设计、制作、策划执行、广告氛围设计、媒体宣传、运输、安装、验收、税金、设备投入、利润、招标代理服务费以及谈判文件规定的一切费用和本项目履约相关的不可预计的一切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自合同签订之日起到比赛结束为止。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自合同签订之日起到比赛结束为止。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比赛结束，验收完成后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比赛结束，验收完成后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成交供应商须在结果公告发布之日起5个工作日内，提交响应文件一正一副（建议正反面打印）至西安市雁塔区二环南路西段88号老三届世纪星大厦30层AB座（陕西明正招标有限公司）。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（2）财务状况报告：提供经审计的2023或2024年度财务报告或谈判前六个月内其本公司银行账户出具的资信证明或政府采购专业担保机构出具的谈判担保函（事业单位可不提供）（加盖公章）； （3）税收缴纳证明：供应商提供截止至谈判时间前六个月任一月份的缴费凭据；依法免税的应提供相关文件证明（加盖公章）； （4）社会保障资金缴纳证明：供应商提供截止至谈判时间前六个月任一月份的缴费凭据或社保机构开具的社会保险参保缴费情况证明；依法不需要缴纳社会保障资金的应提供相关文件证明（加盖公章）；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（2）财务状况报告：提供经审计的2023或2024年度财务报告或谈判前六个月内其本公司银行账户出具的资信证明或政府采购专业担保机构出具的谈判担保函（事业单位可不提供）（加盖公章）； （3）税收缴纳证明：供应商提供截止至谈判时间前六个月任一月份的缴费凭据；依法免税的应提供相关文件证明（加盖公章）； （4）社会保障资金缴纳证明：供应商提供截止至谈判时间前六个月任一月份的缴费凭据或社保机构开具的社会保险参保缴费情况证明；依法不需要缴纳社会保障资金的应提供相关文件证明（加盖公章）；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法定代表人直接参加谈判的，须出具法定代表人身份证明及法人身份证；法定代表人授权代表参加谈判的，须出具法定代表人授权书及法人和授权代表身份证。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谈判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法定代表人直接参加谈判的，须出具法定代表人身份证明及法人身份证；法定代表人授权代表参加谈判的，须出具法定代表人授权书及法人和授权代表身份证。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谈判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分项报价表1包.docx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分项报价表1包.docx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同时满足以下条款： （1）谈判报价符合唯一性要求； （2）单价及总价均未超出采购预算或最高限价（测功仪项目最高限价：153760.00；拳击项目最高限价：141220.00）</w:t>
            </w:r>
          </w:p>
        </w:tc>
        <w:tc>
          <w:tcPr>
            <w:tcW w:type="dxa" w:w="1661"/>
          </w:tcPr>
          <w:p>
            <w:pPr>
              <w:pStyle w:val="null3"/>
            </w:pPr>
            <w:r>
              <w:rPr>
                <w:rFonts w:ascii="仿宋_GB2312" w:hAnsi="仿宋_GB2312" w:cs="仿宋_GB2312" w:eastAsia="仿宋_GB2312"/>
              </w:rPr>
              <w:t>分项报价表1包.docx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完全响应谈判文件要求的各项技术/服务/商务实质性条款。</w:t>
            </w:r>
          </w:p>
        </w:tc>
        <w:tc>
          <w:tcPr>
            <w:tcW w:type="dxa" w:w="1661"/>
          </w:tcPr>
          <w:p>
            <w:pPr>
              <w:pStyle w:val="null3"/>
            </w:pPr>
            <w:r>
              <w:rPr>
                <w:rFonts w:ascii="仿宋_GB2312" w:hAnsi="仿宋_GB2312" w:cs="仿宋_GB2312" w:eastAsia="仿宋_GB2312"/>
              </w:rPr>
              <w:t>商务要求响应偏离表.docx 服务内容及服务要求响应偏离表.docx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谈判响应文件签署、盖章</w:t>
            </w:r>
          </w:p>
        </w:tc>
        <w:tc>
          <w:tcPr>
            <w:tcW w:type="dxa" w:w="3322"/>
          </w:tcPr>
          <w:p>
            <w:pPr>
              <w:pStyle w:val="null3"/>
            </w:pPr>
            <w:r>
              <w:rPr>
                <w:rFonts w:ascii="仿宋_GB2312" w:hAnsi="仿宋_GB2312" w:cs="仿宋_GB2312" w:eastAsia="仿宋_GB2312"/>
              </w:rPr>
              <w:t>签署、盖章合法、有效</w:t>
            </w:r>
          </w:p>
        </w:tc>
        <w:tc>
          <w:tcPr>
            <w:tcW w:type="dxa" w:w="1661"/>
          </w:tcPr>
          <w:p>
            <w:pPr>
              <w:pStyle w:val="null3"/>
            </w:pPr>
            <w:r>
              <w:rPr>
                <w:rFonts w:ascii="仿宋_GB2312" w:hAnsi="仿宋_GB2312" w:cs="仿宋_GB2312" w:eastAsia="仿宋_GB2312"/>
              </w:rPr>
              <w:t>分项报价表1包.docx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其他未达到谈判文件要求的情况</w:t>
            </w:r>
          </w:p>
        </w:tc>
        <w:tc>
          <w:tcPr>
            <w:tcW w:type="dxa" w:w="1661"/>
          </w:tcPr>
          <w:p>
            <w:pPr>
              <w:pStyle w:val="null3"/>
            </w:pPr>
            <w:r>
              <w:rPr>
                <w:rFonts w:ascii="仿宋_GB2312" w:hAnsi="仿宋_GB2312" w:cs="仿宋_GB2312" w:eastAsia="仿宋_GB2312"/>
              </w:rPr>
              <w:t>分项报价表1包.docx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谈判响应方案说明.docx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分项报价表2包.docx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同时满足以下条款： （1）谈判报价符合唯一性要求； （2）谈判报价未超出采购预算或最高限价</w:t>
            </w:r>
          </w:p>
        </w:tc>
        <w:tc>
          <w:tcPr>
            <w:tcW w:type="dxa" w:w="1661"/>
          </w:tcPr>
          <w:p>
            <w:pPr>
              <w:pStyle w:val="null3"/>
            </w:pPr>
            <w:r>
              <w:rPr>
                <w:rFonts w:ascii="仿宋_GB2312" w:hAnsi="仿宋_GB2312" w:cs="仿宋_GB2312" w:eastAsia="仿宋_GB2312"/>
              </w:rPr>
              <w:t>分项报价表2包.docx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完全响应谈判文件要求的各项技术/服务/商务实质性条款。</w:t>
            </w:r>
          </w:p>
        </w:tc>
        <w:tc>
          <w:tcPr>
            <w:tcW w:type="dxa" w:w="1661"/>
          </w:tcPr>
          <w:p>
            <w:pPr>
              <w:pStyle w:val="null3"/>
            </w:pPr>
            <w:r>
              <w:rPr>
                <w:rFonts w:ascii="仿宋_GB2312" w:hAnsi="仿宋_GB2312" w:cs="仿宋_GB2312" w:eastAsia="仿宋_GB2312"/>
              </w:rPr>
              <w:t>商务要求响应偏离表.docx 服务内容及服务要求响应偏离表.docx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谈判响应文件签署、盖章</w:t>
            </w:r>
          </w:p>
        </w:tc>
        <w:tc>
          <w:tcPr>
            <w:tcW w:type="dxa" w:w="3322"/>
          </w:tcPr>
          <w:p>
            <w:pPr>
              <w:pStyle w:val="null3"/>
            </w:pPr>
            <w:r>
              <w:rPr>
                <w:rFonts w:ascii="仿宋_GB2312" w:hAnsi="仿宋_GB2312" w:cs="仿宋_GB2312" w:eastAsia="仿宋_GB2312"/>
              </w:rPr>
              <w:t>签署、盖章合法、有效</w:t>
            </w:r>
          </w:p>
        </w:tc>
        <w:tc>
          <w:tcPr>
            <w:tcW w:type="dxa" w:w="1661"/>
          </w:tcPr>
          <w:p>
            <w:pPr>
              <w:pStyle w:val="null3"/>
            </w:pPr>
            <w:r>
              <w:rPr>
                <w:rFonts w:ascii="仿宋_GB2312" w:hAnsi="仿宋_GB2312" w:cs="仿宋_GB2312" w:eastAsia="仿宋_GB2312"/>
              </w:rPr>
              <w:t>分项报价表2包.docx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其他未达到谈判文件要求的情况</w:t>
            </w:r>
          </w:p>
        </w:tc>
        <w:tc>
          <w:tcPr>
            <w:tcW w:type="dxa" w:w="1661"/>
          </w:tcPr>
          <w:p>
            <w:pPr>
              <w:pStyle w:val="null3"/>
            </w:pPr>
            <w:r>
              <w:rPr>
                <w:rFonts w:ascii="仿宋_GB2312" w:hAnsi="仿宋_GB2312" w:cs="仿宋_GB2312" w:eastAsia="仿宋_GB2312"/>
              </w:rPr>
              <w:t>分项报价表2包.docx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谈判响应方案说明.docx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详见附件：分项报价表1包.docx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详见附件：分项报价表2包.docx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