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EBA61">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0"/>
          <w:szCs w:val="20"/>
          <w:highlight w:val="none"/>
        </w:rPr>
      </w:pPr>
      <w:r>
        <w:rPr>
          <w:rFonts w:hint="eastAsia" w:ascii="仿宋" w:hAnsi="仿宋" w:eastAsia="仿宋" w:cs="仿宋"/>
          <w:b/>
          <w:color w:val="000000"/>
          <w:sz w:val="20"/>
          <w:szCs w:val="20"/>
          <w:highlight w:val="none"/>
        </w:rPr>
        <w:t>一、项目概况</w:t>
      </w:r>
    </w:p>
    <w:p w14:paraId="00805943">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工程内容：按照图纸要求对病区进行装饰装修及改造。</w:t>
      </w:r>
    </w:p>
    <w:p w14:paraId="176694D9">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（1）西安市第五医院门诊综合楼10层（风湿免疫科五病区），需对病区地面、墙面、顶面、门、上下水及冷凝水（包含洁具更换）、呼叫系统及通风系统改造，对病区线路更换及电气消防设施改造等。</w:t>
      </w:r>
    </w:p>
    <w:p w14:paraId="66DC8C51">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2）施工完成后应进行空气质量检测，检测内容包括氡、甲醛、氨、苯、甲苯、二甲苯和其他挥发性有机化合物。检测抽检量不得少于房间总数的50%,当房间总数少于3间时，应全数检测。检测报应告由第三方检测机构出具，检测结果符合国家规定方可验收。</w:t>
      </w:r>
    </w:p>
    <w:p w14:paraId="1B727C65">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（3）门诊综合楼10层风湿免疫科五病区面积约700平方米。</w:t>
      </w:r>
    </w:p>
    <w:p w14:paraId="3FF15332">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b/>
          <w:color w:val="000000"/>
          <w:sz w:val="20"/>
          <w:szCs w:val="20"/>
          <w:highlight w:val="none"/>
          <w:lang w:eastAsia="zh-CN"/>
        </w:rPr>
      </w:pPr>
      <w:r>
        <w:rPr>
          <w:rFonts w:hint="eastAsia" w:ascii="仿宋" w:hAnsi="仿宋" w:eastAsia="仿宋" w:cs="仿宋"/>
          <w:b/>
          <w:color w:val="000000"/>
          <w:sz w:val="20"/>
          <w:szCs w:val="20"/>
          <w:highlight w:val="none"/>
          <w:lang w:eastAsia="zh-CN"/>
        </w:rPr>
        <w:t>二、工程内容和施工地点、计划工期、缺陷责任期、质量保修期</w:t>
      </w:r>
    </w:p>
    <w:p w14:paraId="6394BCF0">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工程内容：按照图纸要求对病区进行装饰装修及改造。</w:t>
      </w:r>
    </w:p>
    <w:p w14:paraId="1B0153CE">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工程地点：西安市第五医院。</w:t>
      </w:r>
    </w:p>
    <w:p w14:paraId="14C27DDE">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计划工期：</w:t>
      </w:r>
      <w:r>
        <w:rPr>
          <w:rFonts w:hint="eastAsia" w:ascii="仿宋" w:hAnsi="仿宋" w:eastAsia="仿宋" w:cs="仿宋"/>
          <w:color w:val="000000"/>
          <w:sz w:val="20"/>
          <w:szCs w:val="20"/>
          <w:highlight w:val="none"/>
          <w:lang w:val="en-US" w:eastAsia="zh-CN"/>
        </w:rPr>
        <w:t>70</w:t>
      </w:r>
      <w:r>
        <w:rPr>
          <w:rFonts w:hint="eastAsia" w:ascii="仿宋" w:hAnsi="仿宋" w:eastAsia="仿宋" w:cs="仿宋"/>
          <w:color w:val="000000"/>
          <w:sz w:val="20"/>
          <w:szCs w:val="20"/>
          <w:highlight w:val="none"/>
        </w:rPr>
        <w:t>个日历日内竣工</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rPr>
        <w:t>以开工报告为准</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工期不变</w:t>
      </w:r>
      <w:r>
        <w:rPr>
          <w:rFonts w:hint="eastAsia" w:ascii="仿宋" w:hAnsi="仿宋" w:eastAsia="仿宋" w:cs="仿宋"/>
          <w:color w:val="000000"/>
          <w:sz w:val="20"/>
          <w:szCs w:val="20"/>
          <w:highlight w:val="none"/>
        </w:rPr>
        <w:t>。</w:t>
      </w:r>
    </w:p>
    <w:p w14:paraId="3CED282B">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(四）缺陷责任期：2年</w:t>
      </w:r>
    </w:p>
    <w:p w14:paraId="0BC81DAD">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(五）质量保修期：2年（防水工程5年）</w:t>
      </w:r>
    </w:p>
    <w:p w14:paraId="0B2856A9">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b/>
          <w:color w:val="000000"/>
          <w:sz w:val="20"/>
          <w:szCs w:val="20"/>
          <w:highlight w:val="none"/>
        </w:rPr>
      </w:pPr>
      <w:r>
        <w:rPr>
          <w:rFonts w:hint="eastAsia" w:ascii="仿宋" w:hAnsi="仿宋" w:eastAsia="仿宋" w:cs="仿宋"/>
          <w:b/>
          <w:color w:val="000000"/>
          <w:sz w:val="20"/>
          <w:szCs w:val="20"/>
          <w:highlight w:val="none"/>
        </w:rPr>
        <w:t>三、工程量清单和计价依据</w:t>
      </w:r>
    </w:p>
    <w:p w14:paraId="654D88E7">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1.见工程量清单。</w:t>
      </w:r>
    </w:p>
    <w:p w14:paraId="73144FCC">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2.最高限价</w:t>
      </w:r>
      <w:r>
        <w:rPr>
          <w:rFonts w:hint="eastAsia" w:ascii="仿宋" w:hAnsi="仿宋" w:eastAsia="仿宋" w:cs="仿宋"/>
          <w:color w:val="000000"/>
          <w:sz w:val="20"/>
          <w:szCs w:val="20"/>
          <w:highlight w:val="none"/>
          <w:lang w:val="en-US" w:eastAsia="zh-CN"/>
        </w:rPr>
        <w:t>1532777.44</w:t>
      </w:r>
      <w:r>
        <w:rPr>
          <w:rFonts w:hint="eastAsia" w:ascii="仿宋" w:hAnsi="仿宋" w:eastAsia="仿宋" w:cs="仿宋"/>
          <w:color w:val="000000"/>
          <w:sz w:val="20"/>
          <w:szCs w:val="20"/>
          <w:highlight w:val="none"/>
        </w:rPr>
        <w:t>元（含税、含拆除、含垃圾清运）。</w:t>
      </w:r>
    </w:p>
    <w:p w14:paraId="0606D8F4">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b/>
          <w:color w:val="000000"/>
          <w:sz w:val="20"/>
          <w:szCs w:val="20"/>
          <w:highlight w:val="none"/>
        </w:rPr>
      </w:pPr>
      <w:r>
        <w:rPr>
          <w:rFonts w:hint="eastAsia" w:ascii="仿宋" w:hAnsi="仿宋" w:eastAsia="仿宋" w:cs="仿宋"/>
          <w:b/>
          <w:color w:val="000000"/>
          <w:sz w:val="20"/>
          <w:szCs w:val="20"/>
          <w:highlight w:val="none"/>
        </w:rPr>
        <w:t>四、施工要求</w:t>
      </w:r>
    </w:p>
    <w:p w14:paraId="11D8AC4B">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1、</w:t>
      </w:r>
      <w:r>
        <w:rPr>
          <w:rFonts w:hint="eastAsia" w:ascii="仿宋" w:hAnsi="仿宋" w:eastAsia="仿宋" w:cs="仿宋"/>
          <w:color w:val="000000"/>
          <w:sz w:val="20"/>
          <w:szCs w:val="20"/>
          <w:highlight w:val="none"/>
          <w:lang w:eastAsia="zh-CN"/>
        </w:rPr>
        <w:t>材料进场后，须经甲方、监理方验收合格后方可施工。</w:t>
      </w:r>
    </w:p>
    <w:p w14:paraId="1E4E84F7">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r>
        <w:rPr>
          <w:rFonts w:hint="eastAsia" w:ascii="仿宋" w:hAnsi="仿宋" w:eastAsia="仿宋" w:cs="仿宋"/>
          <w:color w:val="000000"/>
          <w:sz w:val="20"/>
          <w:szCs w:val="20"/>
          <w:highlight w:val="none"/>
          <w:lang w:eastAsia="zh-CN"/>
        </w:rPr>
        <w:t>主材要求：供应商投标时须提供市场上中等及以上档次材料，并经采购人认可方可施工。</w:t>
      </w:r>
    </w:p>
    <w:p w14:paraId="460ADFA3">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1</w:t>
      </w:r>
      <w:r>
        <w:rPr>
          <w:rFonts w:hint="eastAsia" w:ascii="仿宋" w:hAnsi="仿宋" w:eastAsia="仿宋" w:cs="仿宋"/>
          <w:color w:val="000000"/>
          <w:sz w:val="20"/>
          <w:szCs w:val="20"/>
          <w:highlight w:val="none"/>
          <w:lang w:eastAsia="zh-CN"/>
        </w:rPr>
        <w:t>）工程所有材料质量必须符合国家标准和行业标准，并具有合格证或检验证；</w:t>
      </w:r>
    </w:p>
    <w:p w14:paraId="74D17464">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2</w:t>
      </w:r>
      <w:r>
        <w:rPr>
          <w:rFonts w:hint="eastAsia" w:ascii="仿宋" w:hAnsi="仿宋" w:eastAsia="仿宋" w:cs="仿宋"/>
          <w:color w:val="000000"/>
          <w:sz w:val="20"/>
          <w:szCs w:val="20"/>
          <w:highlight w:val="none"/>
          <w:lang w:eastAsia="zh-CN"/>
        </w:rPr>
        <w:t>）所有进场材料须提供环保检测等相关证明文件，无法提供相关证明资料的可由采购人委托具备检测资质的第三方单位进行环保检测，产品检测不合格的，甲方有权要求供应商进行限期整改并报复检，检测及复检费用由供应商承担。进场材料检测合格后方可投入使用。</w:t>
      </w:r>
    </w:p>
    <w:p w14:paraId="3E376D56">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3</w:t>
      </w:r>
      <w:r>
        <w:rPr>
          <w:rFonts w:hint="eastAsia" w:ascii="仿宋" w:hAnsi="仿宋" w:eastAsia="仿宋" w:cs="仿宋"/>
          <w:color w:val="000000"/>
          <w:sz w:val="20"/>
          <w:szCs w:val="20"/>
          <w:highlight w:val="none"/>
        </w:rPr>
        <w:t>、在施工期间，中标供应商必须注意院内人员安全，加强安全</w:t>
      </w:r>
      <w:r>
        <w:rPr>
          <w:rFonts w:hint="eastAsia" w:ascii="仿宋" w:hAnsi="仿宋" w:eastAsia="仿宋" w:cs="仿宋"/>
          <w:color w:val="000000"/>
          <w:sz w:val="20"/>
          <w:szCs w:val="20"/>
          <w:highlight w:val="none"/>
          <w:lang w:val="en-US" w:eastAsia="zh-CN"/>
        </w:rPr>
        <w:t>防护及警示</w:t>
      </w:r>
      <w:r>
        <w:rPr>
          <w:rFonts w:hint="eastAsia" w:ascii="仿宋" w:hAnsi="仿宋" w:eastAsia="仿宋" w:cs="仿宋"/>
          <w:color w:val="000000"/>
          <w:sz w:val="20"/>
          <w:szCs w:val="20"/>
          <w:highlight w:val="none"/>
        </w:rPr>
        <w:t>措施，并对施工人员进行安全教育。施工人员必须持证上岗。因采购人工作的特殊性，要求中标供应商在施工中做到封闭性施工。</w:t>
      </w:r>
    </w:p>
    <w:p w14:paraId="60404931">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4</w:t>
      </w:r>
      <w:r>
        <w:rPr>
          <w:rFonts w:hint="eastAsia" w:ascii="仿宋" w:hAnsi="仿宋" w:eastAsia="仿宋" w:cs="仿宋"/>
          <w:color w:val="000000"/>
          <w:sz w:val="20"/>
          <w:szCs w:val="20"/>
          <w:highlight w:val="none"/>
        </w:rPr>
        <w:t>、隐蔽工程在隐蔽前须进行分项验收，验收合格后乙方留存相关照片及资料。</w:t>
      </w:r>
    </w:p>
    <w:p w14:paraId="3F754F76">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b/>
          <w:color w:val="000000"/>
          <w:sz w:val="20"/>
          <w:szCs w:val="20"/>
          <w:highlight w:val="none"/>
        </w:rPr>
      </w:pPr>
      <w:r>
        <w:rPr>
          <w:rFonts w:hint="eastAsia" w:ascii="仿宋" w:hAnsi="仿宋" w:eastAsia="仿宋" w:cs="仿宋"/>
          <w:b/>
          <w:color w:val="000000"/>
          <w:sz w:val="20"/>
          <w:szCs w:val="20"/>
          <w:highlight w:val="none"/>
        </w:rPr>
        <w:t>五、商务要求</w:t>
      </w:r>
    </w:p>
    <w:p w14:paraId="69C4F7D6">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1、支付方式：银行转账</w:t>
      </w:r>
    </w:p>
    <w:p w14:paraId="27F6BD25">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第一次付款；工程竣工验收合格后</w:t>
      </w:r>
      <w:r>
        <w:rPr>
          <w:rFonts w:hint="eastAsia" w:ascii="仿宋" w:hAnsi="仿宋" w:eastAsia="仿宋" w:cs="仿宋"/>
          <w:color w:val="000000"/>
          <w:sz w:val="20"/>
          <w:szCs w:val="20"/>
          <w:highlight w:val="none"/>
          <w:lang w:eastAsia="zh-CN"/>
        </w:rPr>
        <w:t>，收到发票10个工作日内</w:t>
      </w:r>
      <w:r>
        <w:rPr>
          <w:rFonts w:hint="eastAsia" w:ascii="仿宋" w:hAnsi="仿宋" w:eastAsia="仿宋" w:cs="仿宋"/>
          <w:color w:val="000000"/>
          <w:sz w:val="20"/>
          <w:szCs w:val="20"/>
          <w:highlight w:val="none"/>
        </w:rPr>
        <w:t>支付完成总量造价的70%。</w:t>
      </w:r>
    </w:p>
    <w:p w14:paraId="41DB549C">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第二次付款；乙方报送整体竣工资料，配合甲方完成审计，剩余款项待甲方完成审计后，收到发票10个工作日内支付至审计总价款的97%。</w:t>
      </w:r>
    </w:p>
    <w:p w14:paraId="522A7F87">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第三次付款；留审计后总款项的3%，</w:t>
      </w:r>
      <w:r>
        <w:rPr>
          <w:rFonts w:hint="eastAsia" w:ascii="仿宋" w:hAnsi="仿宋" w:eastAsia="仿宋" w:cs="仿宋"/>
          <w:color w:val="000000"/>
          <w:sz w:val="20"/>
          <w:szCs w:val="20"/>
          <w:highlight w:val="none"/>
          <w:lang w:val="en-US" w:eastAsia="zh-CN"/>
        </w:rPr>
        <w:t>两</w:t>
      </w:r>
      <w:r>
        <w:rPr>
          <w:rFonts w:hint="eastAsia" w:ascii="仿宋" w:hAnsi="仿宋" w:eastAsia="仿宋" w:cs="仿宋"/>
          <w:color w:val="000000"/>
          <w:sz w:val="20"/>
          <w:szCs w:val="20"/>
          <w:highlight w:val="none"/>
        </w:rPr>
        <w:t>年后无质量问题</w:t>
      </w:r>
      <w:r>
        <w:rPr>
          <w:rFonts w:hint="eastAsia" w:ascii="仿宋" w:hAnsi="仿宋" w:eastAsia="仿宋" w:cs="仿宋"/>
          <w:color w:val="000000"/>
          <w:sz w:val="20"/>
          <w:szCs w:val="20"/>
          <w:highlight w:val="none"/>
          <w:lang w:eastAsia="zh-CN"/>
        </w:rPr>
        <w:t>，收到发票10个工作日内</w:t>
      </w:r>
      <w:r>
        <w:rPr>
          <w:rFonts w:hint="eastAsia" w:ascii="仿宋" w:hAnsi="仿宋" w:eastAsia="仿宋" w:cs="仿宋"/>
          <w:color w:val="000000"/>
          <w:sz w:val="20"/>
          <w:szCs w:val="20"/>
          <w:highlight w:val="none"/>
        </w:rPr>
        <w:t>一次性付清。</w:t>
      </w:r>
    </w:p>
    <w:p w14:paraId="4559D153">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2、质量保证</w:t>
      </w:r>
    </w:p>
    <w:p w14:paraId="30D8475B">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（一）乙方应保质保量按照</w:t>
      </w:r>
      <w:r>
        <w:rPr>
          <w:rFonts w:hint="eastAsia" w:ascii="仿宋" w:hAnsi="仿宋" w:eastAsia="仿宋" w:cs="仿宋"/>
          <w:color w:val="000000"/>
          <w:sz w:val="20"/>
          <w:szCs w:val="20"/>
          <w:highlight w:val="none"/>
          <w:lang w:val="en-US" w:eastAsia="zh-CN"/>
        </w:rPr>
        <w:t>国家标准、设计图纸及甲方</w:t>
      </w:r>
      <w:r>
        <w:rPr>
          <w:rFonts w:hint="eastAsia" w:ascii="仿宋" w:hAnsi="仿宋" w:eastAsia="仿宋" w:cs="仿宋"/>
          <w:color w:val="000000"/>
          <w:sz w:val="20"/>
          <w:szCs w:val="20"/>
          <w:highlight w:val="none"/>
        </w:rPr>
        <w:t>要求施工，工程完工后甲方按照国家相关技术规范要求进行验收。乙方若不按甲方要求施工的，甲方有权要求乙方停工，乙方应在甲方规定期限内进行整改，停工期间工期不顺延，由此产生的费用及损失，乙方自行承担；乙方累计停工超过约定工期</w:t>
      </w:r>
      <w:r>
        <w:rPr>
          <w:rFonts w:hint="eastAsia" w:ascii="仿宋" w:hAnsi="仿宋" w:eastAsia="仿宋" w:cs="仿宋"/>
          <w:color w:val="000000"/>
          <w:sz w:val="20"/>
          <w:szCs w:val="20"/>
          <w:highlight w:val="none"/>
          <w:lang w:val="en-US" w:eastAsia="zh-CN"/>
        </w:rPr>
        <w:t>10</w:t>
      </w:r>
      <w:r>
        <w:rPr>
          <w:rFonts w:hint="eastAsia" w:ascii="仿宋" w:hAnsi="仿宋" w:eastAsia="仿宋" w:cs="仿宋"/>
          <w:color w:val="000000"/>
          <w:sz w:val="20"/>
          <w:szCs w:val="20"/>
          <w:highlight w:val="none"/>
        </w:rPr>
        <w:t>天的，视为乙方根本违约，甲方有权单方解除合同，合同自书面解除通知送达乙方之日解除，乙方除应赔偿由此给甲方造成的全部损失外，还应按照合同总价的30%承担违约金。</w:t>
      </w:r>
    </w:p>
    <w:p w14:paraId="209B5D43">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（二）乙方应妥善保护甲方提供的设备及现场放置的陈设、工程成品及甲供主材，如造成损失，乙方照价赔偿。</w:t>
      </w:r>
    </w:p>
    <w:p w14:paraId="6E5EAD02">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（三）未经甲方书面同意，乙方擅自拆改原有建筑物的结构或设备管线，由此发生的损失或事故（包括罚款），由乙方负责并承担全部责任。</w:t>
      </w:r>
    </w:p>
    <w:p w14:paraId="5116B6F2">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(四)乙方提供的所有产品应从正规渠道购买，供货时应同时提供产品的检验报告及产品合格证。</w:t>
      </w:r>
    </w:p>
    <w:p w14:paraId="5C64783B">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3、质保期</w:t>
      </w:r>
    </w:p>
    <w:p w14:paraId="1050E60B">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自验收之日算起，按《建设工程质量管理条例》第三十二条规定：施工单位对施工中出现质量问题的建设工程或者竣工验收不合格的建设工程，应当负责返修且工期不顺延，由此产生的费用及造成的损失，乙方自行承担。</w:t>
      </w:r>
    </w:p>
    <w:p w14:paraId="13C8CAAF">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自验收合格起之日两年</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防水工程五年）</w:t>
      </w:r>
      <w:r>
        <w:rPr>
          <w:rFonts w:hint="eastAsia" w:ascii="仿宋" w:hAnsi="仿宋" w:eastAsia="仿宋" w:cs="仿宋"/>
          <w:color w:val="000000"/>
          <w:sz w:val="20"/>
          <w:szCs w:val="20"/>
          <w:highlight w:val="none"/>
        </w:rPr>
        <w:t>，根据成交单位响应文件，合同未约定质保事项以《房屋建筑工程质量保修办法》为准。</w:t>
      </w:r>
    </w:p>
    <w:p w14:paraId="0B4E8BF0">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b/>
          <w:color w:val="000000"/>
          <w:sz w:val="20"/>
          <w:szCs w:val="20"/>
          <w:highlight w:val="none"/>
          <w:lang w:eastAsia="zh-CN"/>
        </w:rPr>
      </w:pPr>
      <w:r>
        <w:rPr>
          <w:rFonts w:hint="eastAsia" w:ascii="仿宋" w:hAnsi="仿宋" w:eastAsia="仿宋" w:cs="仿宋"/>
          <w:b/>
          <w:color w:val="000000"/>
          <w:sz w:val="20"/>
          <w:szCs w:val="20"/>
          <w:highlight w:val="none"/>
          <w:lang w:eastAsia="zh-CN"/>
        </w:rPr>
        <w:t>六</w:t>
      </w:r>
      <w:r>
        <w:rPr>
          <w:rFonts w:hint="eastAsia" w:ascii="仿宋" w:hAnsi="仿宋" w:eastAsia="仿宋" w:cs="仿宋"/>
          <w:b/>
          <w:color w:val="000000"/>
          <w:sz w:val="20"/>
          <w:szCs w:val="20"/>
          <w:highlight w:val="none"/>
        </w:rPr>
        <w:t>、</w:t>
      </w:r>
      <w:r>
        <w:rPr>
          <w:rFonts w:hint="eastAsia" w:ascii="仿宋" w:hAnsi="仿宋" w:eastAsia="仿宋" w:cs="仿宋"/>
          <w:b/>
          <w:color w:val="000000"/>
          <w:sz w:val="20"/>
          <w:szCs w:val="20"/>
          <w:highlight w:val="none"/>
          <w:lang w:eastAsia="zh-CN"/>
        </w:rPr>
        <w:t>其他</w:t>
      </w:r>
    </w:p>
    <w:p w14:paraId="454B854F">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w:t>
      </w:r>
      <w:r>
        <w:rPr>
          <w:rFonts w:hint="eastAsia" w:ascii="仿宋" w:hAnsi="仿宋" w:eastAsia="仿宋" w:cs="仿宋"/>
          <w:color w:val="000000"/>
          <w:sz w:val="20"/>
          <w:szCs w:val="20"/>
          <w:highlight w:val="none"/>
          <w:lang w:eastAsia="zh-CN"/>
        </w:rPr>
        <w:t>一</w:t>
      </w:r>
      <w:r>
        <w:rPr>
          <w:rFonts w:hint="eastAsia" w:ascii="仿宋" w:hAnsi="仿宋" w:eastAsia="仿宋" w:cs="仿宋"/>
          <w:color w:val="000000"/>
          <w:sz w:val="20"/>
          <w:szCs w:val="20"/>
          <w:highlight w:val="none"/>
        </w:rPr>
        <w:t>）质量验收标准或规范</w:t>
      </w:r>
    </w:p>
    <w:p w14:paraId="13B5EAAC">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 xml:space="preserve">现行的国家标准或国家行政部门颁布的法律法规、规章制度等。 </w:t>
      </w:r>
    </w:p>
    <w:p w14:paraId="513BEA2B">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w:t>
      </w:r>
      <w:r>
        <w:rPr>
          <w:rFonts w:hint="eastAsia" w:ascii="仿宋" w:hAnsi="仿宋" w:eastAsia="仿宋" w:cs="仿宋"/>
          <w:color w:val="000000"/>
          <w:sz w:val="20"/>
          <w:szCs w:val="20"/>
          <w:highlight w:val="none"/>
          <w:lang w:eastAsia="zh-CN"/>
        </w:rPr>
        <w:t>二</w:t>
      </w:r>
      <w:r>
        <w:rPr>
          <w:rFonts w:hint="eastAsia" w:ascii="仿宋" w:hAnsi="仿宋" w:eastAsia="仿宋" w:cs="仿宋"/>
          <w:color w:val="000000"/>
          <w:sz w:val="20"/>
          <w:szCs w:val="20"/>
          <w:highlight w:val="none"/>
        </w:rPr>
        <w:t>）违约责任</w:t>
      </w:r>
    </w:p>
    <w:p w14:paraId="329D5967">
      <w:pPr>
        <w:pStyle w:val="21"/>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1.按《中华人民共和国民法典》中的相关条款执行。</w:t>
      </w:r>
    </w:p>
    <w:p w14:paraId="767DCF8D">
      <w:r>
        <w:rPr>
          <w:rFonts w:hint="eastAsia" w:ascii="仿宋" w:hAnsi="仿宋" w:eastAsia="仿宋" w:cs="仿宋"/>
          <w:color w:val="000000"/>
          <w:sz w:val="20"/>
          <w:szCs w:val="20"/>
          <w:highlight w:val="none"/>
        </w:rPr>
        <w:t>2.未按合同要求提供，质量不能满足技术要求的，甲方会同政府采购机构有权终止合同（合同自书面通知送达乙方之日解除），乙方赔偿甲方解除合同的全部损失（包括但不限于重新采购产生的费用及其它由此造成的甲方对第三方的违约损失），并按照合同总价的30%支付违约金。同时按《政府采购法》有关处罚条款报监管机构进行相应的处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744F7"/>
    <w:multiLevelType w:val="multilevel"/>
    <w:tmpl w:val="578744F7"/>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51D5D"/>
    <w:rsid w:val="05306AF9"/>
    <w:rsid w:val="07001599"/>
    <w:rsid w:val="07851442"/>
    <w:rsid w:val="07A55852"/>
    <w:rsid w:val="091E1297"/>
    <w:rsid w:val="0AB64089"/>
    <w:rsid w:val="0B4121B4"/>
    <w:rsid w:val="0BD83185"/>
    <w:rsid w:val="0C6576D1"/>
    <w:rsid w:val="0D135C89"/>
    <w:rsid w:val="0D8B4292"/>
    <w:rsid w:val="0DCE1ADD"/>
    <w:rsid w:val="0E963FDB"/>
    <w:rsid w:val="0EC5559E"/>
    <w:rsid w:val="0ED17E6C"/>
    <w:rsid w:val="0F976343"/>
    <w:rsid w:val="105C0E12"/>
    <w:rsid w:val="107B1275"/>
    <w:rsid w:val="12800590"/>
    <w:rsid w:val="13033CDB"/>
    <w:rsid w:val="13150045"/>
    <w:rsid w:val="14543459"/>
    <w:rsid w:val="14861F02"/>
    <w:rsid w:val="14E52192"/>
    <w:rsid w:val="154A6DF0"/>
    <w:rsid w:val="16FE6557"/>
    <w:rsid w:val="176F6BB0"/>
    <w:rsid w:val="17D64044"/>
    <w:rsid w:val="18094FCA"/>
    <w:rsid w:val="18F64E36"/>
    <w:rsid w:val="1A02767A"/>
    <w:rsid w:val="1B9D385D"/>
    <w:rsid w:val="1BA32D63"/>
    <w:rsid w:val="1C252119"/>
    <w:rsid w:val="1CF1774B"/>
    <w:rsid w:val="1DFB7631"/>
    <w:rsid w:val="1E1E29C9"/>
    <w:rsid w:val="1EF8338A"/>
    <w:rsid w:val="1FA938F9"/>
    <w:rsid w:val="20425FFC"/>
    <w:rsid w:val="20E81997"/>
    <w:rsid w:val="21F45999"/>
    <w:rsid w:val="229A5420"/>
    <w:rsid w:val="22BD1D2C"/>
    <w:rsid w:val="22FB3A94"/>
    <w:rsid w:val="23204BF7"/>
    <w:rsid w:val="23FC12D4"/>
    <w:rsid w:val="24095576"/>
    <w:rsid w:val="24626FA6"/>
    <w:rsid w:val="249D1FF2"/>
    <w:rsid w:val="25DE2DDA"/>
    <w:rsid w:val="25E95F17"/>
    <w:rsid w:val="266C7179"/>
    <w:rsid w:val="28C96216"/>
    <w:rsid w:val="2A15141A"/>
    <w:rsid w:val="2A230D5A"/>
    <w:rsid w:val="2B370F4B"/>
    <w:rsid w:val="2C046B0D"/>
    <w:rsid w:val="2C8E2CA3"/>
    <w:rsid w:val="2D576387"/>
    <w:rsid w:val="2D810546"/>
    <w:rsid w:val="2D9D4A5A"/>
    <w:rsid w:val="2E8C2BEA"/>
    <w:rsid w:val="2F2B785B"/>
    <w:rsid w:val="30C528D7"/>
    <w:rsid w:val="3107144D"/>
    <w:rsid w:val="32863B5F"/>
    <w:rsid w:val="33E14065"/>
    <w:rsid w:val="34F44E31"/>
    <w:rsid w:val="35181061"/>
    <w:rsid w:val="36363D90"/>
    <w:rsid w:val="37BD6053"/>
    <w:rsid w:val="37DC5E4F"/>
    <w:rsid w:val="37F007B5"/>
    <w:rsid w:val="380C7C67"/>
    <w:rsid w:val="381713E6"/>
    <w:rsid w:val="38257707"/>
    <w:rsid w:val="38296E28"/>
    <w:rsid w:val="38561033"/>
    <w:rsid w:val="390708FB"/>
    <w:rsid w:val="391B46C0"/>
    <w:rsid w:val="39572F51"/>
    <w:rsid w:val="3A051401"/>
    <w:rsid w:val="3A311F3D"/>
    <w:rsid w:val="3A3962CE"/>
    <w:rsid w:val="3B057F4C"/>
    <w:rsid w:val="3B0770A9"/>
    <w:rsid w:val="3B292F36"/>
    <w:rsid w:val="3BF302F3"/>
    <w:rsid w:val="3C4F0C38"/>
    <w:rsid w:val="3C7A4E02"/>
    <w:rsid w:val="3C8D26A4"/>
    <w:rsid w:val="3CA904FC"/>
    <w:rsid w:val="3D2E5B71"/>
    <w:rsid w:val="3D3F603E"/>
    <w:rsid w:val="3D8F53D3"/>
    <w:rsid w:val="3E9058F4"/>
    <w:rsid w:val="3E963D77"/>
    <w:rsid w:val="3FB33E37"/>
    <w:rsid w:val="42D46393"/>
    <w:rsid w:val="44A02E0E"/>
    <w:rsid w:val="45760938"/>
    <w:rsid w:val="474B43DC"/>
    <w:rsid w:val="48273FDF"/>
    <w:rsid w:val="49740F2E"/>
    <w:rsid w:val="49DE3241"/>
    <w:rsid w:val="4A33479D"/>
    <w:rsid w:val="4B616ED2"/>
    <w:rsid w:val="4BB95F3E"/>
    <w:rsid w:val="4C9F5628"/>
    <w:rsid w:val="4D182C88"/>
    <w:rsid w:val="4D2C0602"/>
    <w:rsid w:val="4DBE6A90"/>
    <w:rsid w:val="4E5660BD"/>
    <w:rsid w:val="4E6F32AF"/>
    <w:rsid w:val="4E7E031F"/>
    <w:rsid w:val="4EC44670"/>
    <w:rsid w:val="4F594CAB"/>
    <w:rsid w:val="4F5A2432"/>
    <w:rsid w:val="4F6B078C"/>
    <w:rsid w:val="4F8F6FE6"/>
    <w:rsid w:val="4FA06378"/>
    <w:rsid w:val="50A8592E"/>
    <w:rsid w:val="51A754EC"/>
    <w:rsid w:val="51AF69CD"/>
    <w:rsid w:val="521600BC"/>
    <w:rsid w:val="52420EF7"/>
    <w:rsid w:val="52963321"/>
    <w:rsid w:val="52A14EC3"/>
    <w:rsid w:val="534B638F"/>
    <w:rsid w:val="53F21995"/>
    <w:rsid w:val="5418220F"/>
    <w:rsid w:val="546045FE"/>
    <w:rsid w:val="554D5290"/>
    <w:rsid w:val="56296E24"/>
    <w:rsid w:val="56E04626"/>
    <w:rsid w:val="57DC64E0"/>
    <w:rsid w:val="581A515D"/>
    <w:rsid w:val="584125D2"/>
    <w:rsid w:val="58AE1A31"/>
    <w:rsid w:val="58B053E8"/>
    <w:rsid w:val="58CB3CE0"/>
    <w:rsid w:val="595A5E33"/>
    <w:rsid w:val="59EA7F4F"/>
    <w:rsid w:val="5ADC54F0"/>
    <w:rsid w:val="5C741667"/>
    <w:rsid w:val="5CAB1AAC"/>
    <w:rsid w:val="5D186F18"/>
    <w:rsid w:val="5D9341C4"/>
    <w:rsid w:val="5F0745CE"/>
    <w:rsid w:val="5FCC6BAB"/>
    <w:rsid w:val="60886A5A"/>
    <w:rsid w:val="610464A6"/>
    <w:rsid w:val="61DF614B"/>
    <w:rsid w:val="629B3C5A"/>
    <w:rsid w:val="62A35618"/>
    <w:rsid w:val="62FC4118"/>
    <w:rsid w:val="636C5BCF"/>
    <w:rsid w:val="63D24027"/>
    <w:rsid w:val="64846CBA"/>
    <w:rsid w:val="65E14FB5"/>
    <w:rsid w:val="686D223D"/>
    <w:rsid w:val="691B2B1E"/>
    <w:rsid w:val="6BF01A2A"/>
    <w:rsid w:val="6C573973"/>
    <w:rsid w:val="6D2E3635"/>
    <w:rsid w:val="6D8F1939"/>
    <w:rsid w:val="6E5839D5"/>
    <w:rsid w:val="6E9D056A"/>
    <w:rsid w:val="712227CC"/>
    <w:rsid w:val="72C930BC"/>
    <w:rsid w:val="72DF6A85"/>
    <w:rsid w:val="74787DB6"/>
    <w:rsid w:val="74957015"/>
    <w:rsid w:val="75065B3C"/>
    <w:rsid w:val="75133ED9"/>
    <w:rsid w:val="75B92B32"/>
    <w:rsid w:val="7613722B"/>
    <w:rsid w:val="76497FA9"/>
    <w:rsid w:val="77053496"/>
    <w:rsid w:val="779F13E7"/>
    <w:rsid w:val="7A98414F"/>
    <w:rsid w:val="7B296116"/>
    <w:rsid w:val="7B74438D"/>
    <w:rsid w:val="7C2932D9"/>
    <w:rsid w:val="7D483034"/>
    <w:rsid w:val="7D7130C1"/>
    <w:rsid w:val="7E687326"/>
    <w:rsid w:val="7EB83636"/>
    <w:rsid w:val="7ECE4975"/>
    <w:rsid w:val="7F2E04CB"/>
    <w:rsid w:val="7F4F1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pPr>
    <w:rPr>
      <w:rFonts w:ascii="Calibri Light" w:hAnsi="Calibri Light" w:eastAsia="华文仿宋" w:cstheme="minorBidi"/>
      <w:kern w:val="2"/>
      <w:sz w:val="28"/>
      <w:szCs w:val="28"/>
      <w:lang w:val="en-US" w:eastAsia="zh-CN" w:bidi="ar-SA"/>
    </w:rPr>
  </w:style>
  <w:style w:type="paragraph" w:styleId="3">
    <w:name w:val="heading 1"/>
    <w:basedOn w:val="1"/>
    <w:next w:val="1"/>
    <w:link w:val="19"/>
    <w:qFormat/>
    <w:uiPriority w:val="0"/>
    <w:pPr>
      <w:keepNext/>
      <w:spacing w:line="360" w:lineRule="auto"/>
      <w:jc w:val="center"/>
      <w:outlineLvl w:val="0"/>
    </w:pPr>
    <w:rPr>
      <w:rFonts w:ascii="黑体" w:hAnsi="黑体" w:eastAsia="宋体" w:cs="Times New Roman"/>
      <w:b/>
      <w:sz w:val="36"/>
      <w:szCs w:val="24"/>
    </w:rPr>
  </w:style>
  <w:style w:type="paragraph" w:styleId="4">
    <w:name w:val="heading 2"/>
    <w:basedOn w:val="1"/>
    <w:next w:val="1"/>
    <w:link w:val="17"/>
    <w:semiHidden/>
    <w:unhideWhenUsed/>
    <w:qFormat/>
    <w:uiPriority w:val="0"/>
    <w:pPr>
      <w:keepNext/>
      <w:keepLines/>
      <w:spacing w:line="240" w:lineRule="auto"/>
      <w:jc w:val="center"/>
      <w:outlineLvl w:val="1"/>
    </w:pPr>
    <w:rPr>
      <w:rFonts w:ascii="Calibri" w:hAnsi="Calibri" w:eastAsia="宋体"/>
      <w:b/>
      <w:bCs/>
      <w:sz w:val="32"/>
      <w:szCs w:val="32"/>
    </w:rPr>
  </w:style>
  <w:style w:type="paragraph" w:styleId="5">
    <w:name w:val="heading 3"/>
    <w:basedOn w:val="1"/>
    <w:next w:val="1"/>
    <w:link w:val="18"/>
    <w:semiHidden/>
    <w:unhideWhenUsed/>
    <w:qFormat/>
    <w:uiPriority w:val="0"/>
    <w:pPr>
      <w:keepNext/>
      <w:keepLines/>
      <w:spacing w:line="360" w:lineRule="auto"/>
      <w:ind w:firstLine="0" w:firstLineChars="0"/>
      <w:jc w:val="center"/>
      <w:outlineLvl w:val="2"/>
    </w:pPr>
    <w:rPr>
      <w:rFonts w:ascii="Times New Roman" w:hAnsi="Times New Roman" w:eastAsia="宋体" w:cs="Times New Roman"/>
      <w:b/>
      <w:bCs/>
      <w:sz w:val="30"/>
      <w:szCs w:val="32"/>
      <w:lang w:val="zh-CN"/>
    </w:rPr>
  </w:style>
  <w:style w:type="paragraph" w:styleId="6">
    <w:name w:val="heading 4"/>
    <w:basedOn w:val="1"/>
    <w:next w:val="1"/>
    <w:link w:val="20"/>
    <w:semiHidden/>
    <w:unhideWhenUsed/>
    <w:qFormat/>
    <w:uiPriority w:val="0"/>
    <w:pPr>
      <w:spacing w:line="360" w:lineRule="auto"/>
      <w:ind w:left="0" w:firstLine="0"/>
      <w:outlineLvl w:val="3"/>
    </w:pPr>
    <w:rPr>
      <w:rFonts w:ascii="宋体" w:hAnsi="宋体" w:eastAsia="宋体" w:cs="宋体"/>
      <w:b/>
      <w:bCs/>
      <w:sz w:val="24"/>
      <w:szCs w:val="24"/>
      <w:lang w:val="zh-CN" w:bidi="zh-CN"/>
    </w:rPr>
  </w:style>
  <w:style w:type="paragraph" w:styleId="7">
    <w:name w:val="heading 5"/>
    <w:basedOn w:val="1"/>
    <w:next w:val="1"/>
    <w:semiHidden/>
    <w:unhideWhenUsed/>
    <w:qFormat/>
    <w:uiPriority w:val="0"/>
    <w:pPr>
      <w:keepNext/>
      <w:keepLines/>
      <w:spacing w:beforeLines="0" w:beforeAutospacing="0" w:afterLines="0" w:afterAutospacing="0" w:line="360" w:lineRule="auto"/>
      <w:outlineLvl w:val="4"/>
    </w:pPr>
    <w:rPr>
      <w:rFonts w:ascii="华文仿宋" w:hAnsi="华文仿宋" w:cs="华文仿宋"/>
      <w:b/>
      <w:sz w:val="28"/>
      <w:szCs w:val="22"/>
      <w:lang w:val="zh-CN" w:bidi="zh-CN"/>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0" w:firstLine="0"/>
      <w:outlineLvl w:val="5"/>
    </w:pPr>
    <w:rPr>
      <w:rFonts w:ascii="Arial" w:hAnsi="Arial" w:eastAsia="黑体" w:cs="华文仿宋"/>
      <w:sz w:val="24"/>
      <w:szCs w:val="22"/>
      <w:lang w:val="zh-CN" w:bidi="zh-CN"/>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12">
    <w:name w:val="Normal Indent"/>
    <w:basedOn w:val="1"/>
    <w:qFormat/>
    <w:uiPriority w:val="0"/>
    <w:pPr>
      <w:ind w:firstLine="420" w:firstLineChars="200"/>
    </w:pPr>
  </w:style>
  <w:style w:type="paragraph" w:styleId="13">
    <w:name w:val="Body Text"/>
    <w:basedOn w:val="1"/>
    <w:qFormat/>
    <w:uiPriority w:val="0"/>
    <w:pPr>
      <w:spacing w:after="120" w:afterLines="0" w:afterAutospacing="0"/>
    </w:pPr>
  </w:style>
  <w:style w:type="paragraph" w:styleId="14">
    <w:name w:val="toc 1"/>
    <w:basedOn w:val="1"/>
    <w:next w:val="1"/>
    <w:qFormat/>
    <w:uiPriority w:val="0"/>
    <w:pPr>
      <w:spacing w:before="120" w:after="120"/>
    </w:pPr>
    <w:rPr>
      <w:rFonts w:ascii="仿宋" w:hAnsi="仿宋" w:eastAsia="仿宋" w:cs="Arial"/>
      <w:snapToGrid w:val="0"/>
      <w:color w:val="000000"/>
      <w:kern w:val="0"/>
      <w:sz w:val="24"/>
      <w:szCs w:val="21"/>
      <w:lang w:eastAsia="en-US"/>
    </w:rPr>
  </w:style>
  <w:style w:type="character" w:customStyle="1" w:styleId="17">
    <w:name w:val="标题 2 Char1"/>
    <w:link w:val="4"/>
    <w:qFormat/>
    <w:uiPriority w:val="0"/>
    <w:rPr>
      <w:rFonts w:ascii="Arial" w:hAnsi="Arial" w:eastAsia="宋体" w:cs="Times New Roman"/>
      <w:b/>
      <w:bCs/>
      <w:kern w:val="0"/>
      <w:sz w:val="36"/>
      <w:szCs w:val="22"/>
      <w:lang w:val="zh-CN" w:bidi="zh-CN"/>
    </w:rPr>
  </w:style>
  <w:style w:type="character" w:customStyle="1" w:styleId="18">
    <w:name w:val="标题 3 Char"/>
    <w:basedOn w:val="16"/>
    <w:link w:val="5"/>
    <w:qFormat/>
    <w:uiPriority w:val="0"/>
    <w:rPr>
      <w:rFonts w:ascii="Times New Roman" w:hAnsi="Times New Roman" w:eastAsia="宋体" w:cs="Times New Roman"/>
      <w:b/>
      <w:bCs/>
      <w:kern w:val="2"/>
      <w:sz w:val="32"/>
      <w:szCs w:val="32"/>
    </w:rPr>
  </w:style>
  <w:style w:type="character" w:customStyle="1" w:styleId="19">
    <w:name w:val="标题 1 Char"/>
    <w:basedOn w:val="16"/>
    <w:link w:val="3"/>
    <w:qFormat/>
    <w:uiPriority w:val="0"/>
    <w:rPr>
      <w:rFonts w:ascii="黑体" w:hAnsi="黑体" w:eastAsia="宋体" w:cs="Times New Roman"/>
      <w:b/>
      <w:kern w:val="2"/>
      <w:sz w:val="36"/>
      <w:szCs w:val="24"/>
    </w:rPr>
  </w:style>
  <w:style w:type="character" w:customStyle="1" w:styleId="20">
    <w:name w:val="标题 4 Char"/>
    <w:basedOn w:val="16"/>
    <w:link w:val="6"/>
    <w:qFormat/>
    <w:uiPriority w:val="0"/>
    <w:rPr>
      <w:rFonts w:ascii="宋体" w:hAnsi="宋体" w:eastAsia="宋体" w:cs="宋体"/>
      <w:b/>
      <w:color w:val="000000" w:themeColor="text1"/>
      <w:kern w:val="0"/>
      <w:sz w:val="30"/>
      <w:szCs w:val="28"/>
      <w:u w:val="none"/>
      <w:lang w:val="zh-CN" w:bidi="zh-CN"/>
      <w14:textFill>
        <w14:solidFill>
          <w14:schemeClr w14:val="tx1"/>
        </w14:solidFill>
      </w14:textFill>
    </w:rPr>
  </w:style>
  <w:style w:type="paragraph" w:customStyle="1" w:styleId="21">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2025-04-02T10:06:41Z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CC53DDA9B2814F3D9A54F2FFF46D679A</vt:lpwstr>
  </property>
  <property fmtid="{D5CDD505-2E9C-101B-9397-08002B2CF9AE}" pid="4" name="KSOTemplateDocerSaveRecord">
    <vt:lpwstr>eyJoZGlkIjoiMTIzYjBkMDE0MDUwZWU1MDYzY2M0YTJiMmIyMWQyNDYiLCJ1c2VySWQiOiI5MTQ3Njg1NjkifQ==</vt:lpwstr>
  </property>
</Properties>
</file>