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09BBF">
      <w:pPr>
        <w:tabs>
          <w:tab w:val="left" w:pos="4620"/>
          <w:tab w:val="left" w:pos="5145"/>
        </w:tabs>
        <w:spacing w:line="800" w:lineRule="exact"/>
        <w:ind w:firstLine="422" w:firstLineChars="50"/>
        <w:rPr>
          <w:rFonts w:hint="eastAsia" w:ascii="宋体" w:hAnsi="宋体" w:eastAsia="宋体" w:cs="宋体"/>
          <w:b/>
          <w:color w:val="000000" w:themeColor="text1"/>
          <w:sz w:val="28"/>
          <w:szCs w:val="28"/>
          <w:highlight w:val="none"/>
          <w:lang w:val="en-US" w:eastAsia="zh-CN"/>
          <w14:textFill>
            <w14:solidFill>
              <w14:schemeClr w14:val="tx1"/>
            </w14:solidFill>
          </w14:textFill>
        </w:rPr>
      </w:pPr>
      <w:r>
        <w:rPr>
          <w:rFonts w:hint="eastAsia" w:ascii="宋体" w:hAnsi="宋体" w:cs="宋体"/>
          <w:b/>
          <w:bCs/>
          <w:sz w:val="84"/>
          <w:szCs w:val="84"/>
          <w:highlight w:val="none"/>
        </w:rPr>
        <w:drawing>
          <wp:anchor distT="0" distB="0" distL="114300" distR="114300" simplePos="0" relativeHeight="251660288" behindDoc="0" locked="0" layoutInCell="1" allowOverlap="1">
            <wp:simplePos x="0" y="0"/>
            <wp:positionH relativeFrom="column">
              <wp:posOffset>5527040</wp:posOffset>
            </wp:positionH>
            <wp:positionV relativeFrom="paragraph">
              <wp:posOffset>-699770</wp:posOffset>
            </wp:positionV>
            <wp:extent cx="842645" cy="855345"/>
            <wp:effectExtent l="0" t="0" r="14605" b="1905"/>
            <wp:wrapSquare wrapText="bothSides"/>
            <wp:docPr id="3" name="图片 3" descr="c0265c6da2fb88c2b2a50584efe9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0265c6da2fb88c2b2a50584efe94ec"/>
                    <pic:cNvPicPr>
                      <a:picLocks noChangeAspect="1"/>
                    </pic:cNvPicPr>
                  </pic:nvPicPr>
                  <pic:blipFill>
                    <a:blip r:embed="rId17"/>
                    <a:stretch>
                      <a:fillRect/>
                    </a:stretch>
                  </pic:blipFill>
                  <pic:spPr>
                    <a:xfrm>
                      <a:off x="0" y="0"/>
                      <a:ext cx="842645" cy="855345"/>
                    </a:xfrm>
                    <a:prstGeom prst="rect">
                      <a:avLst/>
                    </a:prstGeom>
                    <a:noFill/>
                    <a:ln>
                      <a:noFill/>
                    </a:ln>
                  </pic:spPr>
                </pic:pic>
              </a:graphicData>
            </a:graphic>
          </wp:anchor>
        </w:drawing>
      </w:r>
      <w:r>
        <w:rPr>
          <w:rFonts w:hint="eastAsia" w:ascii="宋体" w:hAnsi="宋体" w:cs="宋体"/>
          <w:b/>
          <w:bCs/>
          <w:sz w:val="84"/>
          <w:szCs w:val="84"/>
          <w:highlight w:val="none"/>
        </w:rPr>
        <w:drawing>
          <wp:anchor distT="0" distB="0" distL="114300" distR="114300" simplePos="0" relativeHeight="251659264" behindDoc="1" locked="0" layoutInCell="1" allowOverlap="1">
            <wp:simplePos x="0" y="0"/>
            <wp:positionH relativeFrom="column">
              <wp:posOffset>-923290</wp:posOffset>
            </wp:positionH>
            <wp:positionV relativeFrom="paragraph">
              <wp:posOffset>-932180</wp:posOffset>
            </wp:positionV>
            <wp:extent cx="7592060" cy="10705465"/>
            <wp:effectExtent l="0" t="0" r="8890" b="635"/>
            <wp:wrapNone/>
            <wp:docPr id="2" name="图片 2" descr="99138ace2ad8a79444d051bff619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9138ace2ad8a79444d051bff61961e"/>
                    <pic:cNvPicPr>
                      <a:picLocks noChangeAspect="1"/>
                    </pic:cNvPicPr>
                  </pic:nvPicPr>
                  <pic:blipFill>
                    <a:blip r:embed="rId18"/>
                    <a:stretch>
                      <a:fillRect/>
                    </a:stretch>
                  </pic:blipFill>
                  <pic:spPr>
                    <a:xfrm>
                      <a:off x="0" y="0"/>
                      <a:ext cx="7592060" cy="10705465"/>
                    </a:xfrm>
                    <a:prstGeom prst="rect">
                      <a:avLst/>
                    </a:prstGeom>
                    <a:noFill/>
                    <a:ln>
                      <a:noFill/>
                    </a:ln>
                  </pic:spPr>
                </pic:pic>
              </a:graphicData>
            </a:graphic>
          </wp:anchor>
        </w:drawing>
      </w:r>
      <w:r>
        <w:rPr>
          <w:rFonts w:hint="eastAsia" w:ascii="宋体" w:hAnsi="宋体" w:cs="宋体"/>
          <w:b/>
          <w:color w:val="000000" w:themeColor="text1"/>
          <w:sz w:val="30"/>
          <w:szCs w:val="30"/>
          <w:highlight w:val="none"/>
          <w14:textFill>
            <w14:solidFill>
              <w14:schemeClr w14:val="tx1"/>
            </w14:solidFill>
          </w14:textFill>
        </w:rPr>
        <w:t>项目编号:</w:t>
      </w:r>
      <w:r>
        <w:rPr>
          <w:rFonts w:hint="eastAsia" w:ascii="宋体" w:hAnsi="宋体" w:cs="宋体"/>
          <w:b/>
          <w:color w:val="000000" w:themeColor="text1"/>
          <w:sz w:val="28"/>
          <w:szCs w:val="28"/>
          <w:highlight w:val="none"/>
          <w:lang w:eastAsia="zh-CN"/>
          <w14:textFill>
            <w14:solidFill>
              <w14:schemeClr w14:val="tx1"/>
            </w14:solidFill>
          </w14:textFill>
        </w:rPr>
        <w:t>JQ2025-ZFCG-01005</w:t>
      </w:r>
    </w:p>
    <w:p w14:paraId="3218EE0D">
      <w:pPr>
        <w:tabs>
          <w:tab w:val="left" w:pos="5145"/>
        </w:tabs>
        <w:spacing w:line="800" w:lineRule="atLeast"/>
        <w:rPr>
          <w:rFonts w:ascii="宋体" w:hAnsi="宋体" w:cs="宋体"/>
          <w:b/>
          <w:bCs/>
          <w:color w:val="000000" w:themeColor="text1"/>
          <w:sz w:val="56"/>
          <w:szCs w:val="48"/>
          <w14:textFill>
            <w14:solidFill>
              <w14:schemeClr w14:val="tx1"/>
            </w14:solidFill>
          </w14:textFill>
        </w:rPr>
      </w:pPr>
    </w:p>
    <w:p w14:paraId="42046084">
      <w:pPr>
        <w:pStyle w:val="2"/>
        <w:rPr>
          <w:color w:val="000000" w:themeColor="text1"/>
          <w14:textFill>
            <w14:solidFill>
              <w14:schemeClr w14:val="tx1"/>
            </w14:solidFill>
          </w14:textFill>
        </w:rPr>
      </w:pPr>
    </w:p>
    <w:p w14:paraId="785AA99D">
      <w:pPr>
        <w:tabs>
          <w:tab w:val="left" w:pos="5145"/>
        </w:tabs>
        <w:spacing w:line="800" w:lineRule="atLeast"/>
        <w:jc w:val="center"/>
        <w:rPr>
          <w:rFonts w:hint="eastAsia" w:ascii="宋体" w:hAnsi="宋体" w:cs="宋体"/>
          <w:b/>
          <w:bCs/>
          <w:color w:val="000000"/>
          <w:sz w:val="44"/>
          <w:szCs w:val="44"/>
          <w:lang w:val="en-US" w:eastAsia="zh-CN"/>
        </w:rPr>
      </w:pPr>
      <w:r>
        <w:rPr>
          <w:rFonts w:hint="eastAsia" w:ascii="宋体" w:hAnsi="宋体" w:cs="宋体"/>
          <w:b/>
          <w:bCs/>
          <w:color w:val="000000"/>
          <w:sz w:val="44"/>
          <w:szCs w:val="44"/>
          <w:lang w:val="en-US" w:eastAsia="zh-CN"/>
        </w:rPr>
        <w:t>富平县精神病医院信息化系统升级服务采购</w:t>
      </w:r>
    </w:p>
    <w:p w14:paraId="77731E95">
      <w:pPr>
        <w:tabs>
          <w:tab w:val="left" w:pos="5145"/>
        </w:tabs>
        <w:spacing w:line="800" w:lineRule="atLeast"/>
        <w:jc w:val="center"/>
        <w:rPr>
          <w:rFonts w:ascii="宋体" w:hAnsi="宋体" w:cs="宋体"/>
          <w:b/>
          <w:bCs/>
          <w:color w:val="000000" w:themeColor="text1"/>
          <w:sz w:val="48"/>
          <w:szCs w:val="40"/>
          <w14:textFill>
            <w14:solidFill>
              <w14:schemeClr w14:val="tx1"/>
            </w14:solidFill>
          </w14:textFill>
        </w:rPr>
      </w:pPr>
      <w:r>
        <w:rPr>
          <w:rFonts w:hint="eastAsia" w:ascii="宋体" w:hAnsi="宋体" w:cs="宋体"/>
          <w:b/>
          <w:bCs/>
          <w:color w:val="000000"/>
          <w:sz w:val="44"/>
          <w:szCs w:val="44"/>
          <w:lang w:val="en-US" w:eastAsia="zh-CN"/>
        </w:rPr>
        <w:t>项目</w:t>
      </w:r>
    </w:p>
    <w:p w14:paraId="02F03ECC">
      <w:pPr>
        <w:tabs>
          <w:tab w:val="left" w:pos="5145"/>
        </w:tabs>
        <w:spacing w:line="1400" w:lineRule="atLeast"/>
        <w:jc w:val="center"/>
        <w:rPr>
          <w:rFonts w:ascii="宋体" w:hAnsi="宋体" w:cs="宋体"/>
          <w:b/>
          <w:bCs/>
          <w:color w:val="000000" w:themeColor="text1"/>
          <w:sz w:val="64"/>
          <w:szCs w:val="56"/>
          <w14:textFill>
            <w14:solidFill>
              <w14:schemeClr w14:val="tx1"/>
            </w14:solidFill>
          </w14:textFill>
        </w:rPr>
      </w:pPr>
    </w:p>
    <w:p w14:paraId="752B99FB">
      <w:pPr>
        <w:pStyle w:val="11"/>
        <w:rPr>
          <w:color w:val="000000" w:themeColor="text1"/>
          <w14:textFill>
            <w14:solidFill>
              <w14:schemeClr w14:val="tx1"/>
            </w14:solidFill>
          </w14:textFill>
        </w:rPr>
      </w:pPr>
    </w:p>
    <w:p w14:paraId="63D76C5C">
      <w:pPr>
        <w:tabs>
          <w:tab w:val="left" w:pos="5145"/>
        </w:tabs>
        <w:spacing w:line="1400" w:lineRule="atLeast"/>
        <w:jc w:val="center"/>
        <w:rPr>
          <w:rFonts w:ascii="宋体" w:hAnsi="宋体" w:cs="宋体"/>
          <w:color w:val="000000" w:themeColor="text1"/>
          <w14:textFill>
            <w14:solidFill>
              <w14:schemeClr w14:val="tx1"/>
            </w14:solidFill>
          </w14:textFill>
        </w:rPr>
      </w:pPr>
      <w:r>
        <w:rPr>
          <w:rFonts w:hint="eastAsia" w:ascii="宋体" w:hAnsi="宋体" w:cs="宋体"/>
          <w:b/>
          <w:bCs/>
          <w:color w:val="000000" w:themeColor="text1"/>
          <w:sz w:val="64"/>
          <w:szCs w:val="56"/>
          <w14:textFill>
            <w14:solidFill>
              <w14:schemeClr w14:val="tx1"/>
            </w14:solidFill>
          </w14:textFill>
        </w:rPr>
        <w:t>竞争性磋商采购文件</w:t>
      </w:r>
    </w:p>
    <w:p w14:paraId="33C389D9">
      <w:pPr>
        <w:tabs>
          <w:tab w:val="left" w:pos="5145"/>
        </w:tabs>
        <w:jc w:val="center"/>
        <w:rPr>
          <w:rFonts w:ascii="宋体" w:hAnsi="宋体" w:cs="宋体"/>
          <w:color w:val="000000" w:themeColor="text1"/>
          <w:sz w:val="24"/>
          <w14:textFill>
            <w14:solidFill>
              <w14:schemeClr w14:val="tx1"/>
            </w14:solidFill>
          </w14:textFill>
        </w:rPr>
      </w:pPr>
    </w:p>
    <w:p w14:paraId="2708807A">
      <w:pPr>
        <w:tabs>
          <w:tab w:val="left" w:pos="5145"/>
        </w:tabs>
        <w:jc w:val="center"/>
        <w:rPr>
          <w:rFonts w:ascii="宋体" w:hAnsi="宋体" w:cs="宋体"/>
          <w:b/>
          <w:bCs/>
          <w:color w:val="000000" w:themeColor="text1"/>
          <w:sz w:val="28"/>
          <w:szCs w:val="28"/>
          <w14:textFill>
            <w14:solidFill>
              <w14:schemeClr w14:val="tx1"/>
            </w14:solidFill>
          </w14:textFill>
        </w:rPr>
      </w:pPr>
    </w:p>
    <w:p w14:paraId="04A73035">
      <w:pPr>
        <w:tabs>
          <w:tab w:val="left" w:pos="5145"/>
        </w:tabs>
        <w:spacing w:line="1400" w:lineRule="atLeast"/>
        <w:jc w:val="center"/>
        <w:rPr>
          <w:rFonts w:ascii="宋体" w:hAnsi="宋体" w:cs="宋体"/>
          <w:color w:val="000000" w:themeColor="text1"/>
          <w14:textFill>
            <w14:solidFill>
              <w14:schemeClr w14:val="tx1"/>
            </w14:solidFill>
          </w14:textFill>
        </w:rPr>
      </w:pPr>
    </w:p>
    <w:p w14:paraId="77B78C4C">
      <w:pPr>
        <w:snapToGrid w:val="0"/>
        <w:spacing w:line="660" w:lineRule="exact"/>
        <w:rPr>
          <w:rFonts w:ascii="宋体" w:hAnsi="宋体" w:cs="宋体"/>
          <w:b/>
          <w:color w:val="000000" w:themeColor="text1"/>
          <w:sz w:val="32"/>
          <w14:textFill>
            <w14:solidFill>
              <w14:schemeClr w14:val="tx1"/>
            </w14:solidFill>
          </w14:textFill>
        </w:rPr>
      </w:pPr>
    </w:p>
    <w:p w14:paraId="1BE2B76B">
      <w:pPr>
        <w:pStyle w:val="11"/>
        <w:rPr>
          <w:rFonts w:ascii="宋体" w:hAnsi="宋体" w:cs="宋体"/>
          <w:b/>
          <w:color w:val="000000" w:themeColor="text1"/>
          <w:sz w:val="32"/>
          <w14:textFill>
            <w14:solidFill>
              <w14:schemeClr w14:val="tx1"/>
            </w14:solidFill>
          </w14:textFill>
        </w:rPr>
      </w:pPr>
    </w:p>
    <w:p w14:paraId="67FB8433">
      <w:pPr>
        <w:snapToGrid w:val="0"/>
        <w:spacing w:line="800" w:lineRule="exact"/>
        <w:ind w:firstLine="1706" w:firstLineChars="531"/>
        <w:rPr>
          <w:rFonts w:ascii="宋体" w:hAnsi="宋体" w:cs="宋体"/>
          <w:b/>
          <w:color w:val="000000" w:themeColor="text1"/>
          <w:sz w:val="32"/>
          <w14:textFill>
            <w14:solidFill>
              <w14:schemeClr w14:val="tx1"/>
            </w14:solidFill>
          </w14:textFill>
        </w:rPr>
      </w:pPr>
    </w:p>
    <w:p w14:paraId="0FC8189A">
      <w:pPr>
        <w:snapToGrid w:val="0"/>
        <w:spacing w:line="800" w:lineRule="exact"/>
        <w:ind w:firstLine="1706" w:firstLineChars="531"/>
        <w:rPr>
          <w:rFonts w:hint="eastAsia" w:ascii="宋体" w:hAnsi="宋体" w:eastAsia="宋体" w:cs="宋体"/>
          <w:b/>
          <w:color w:val="000000" w:themeColor="text1"/>
          <w:sz w:val="32"/>
          <w:lang w:eastAsia="zh-CN"/>
          <w14:textFill>
            <w14:solidFill>
              <w14:schemeClr w14:val="tx1"/>
            </w14:solidFill>
          </w14:textFill>
        </w:rPr>
      </w:pPr>
      <w:r>
        <w:rPr>
          <w:rFonts w:hint="eastAsia" w:ascii="宋体" w:hAnsi="宋体" w:cs="宋体"/>
          <w:b/>
          <w:color w:val="000000" w:themeColor="text1"/>
          <w:sz w:val="32"/>
          <w14:textFill>
            <w14:solidFill>
              <w14:schemeClr w14:val="tx1"/>
            </w14:solidFill>
          </w14:textFill>
        </w:rPr>
        <w:t>采   购   人：</w:t>
      </w:r>
      <w:r>
        <w:rPr>
          <w:rFonts w:hint="eastAsia" w:ascii="宋体" w:hAnsi="宋体" w:cs="宋体"/>
          <w:b/>
          <w:color w:val="000000" w:themeColor="text1"/>
          <w:sz w:val="32"/>
          <w:lang w:eastAsia="zh-CN"/>
          <w14:textFill>
            <w14:solidFill>
              <w14:schemeClr w14:val="tx1"/>
            </w14:solidFill>
          </w14:textFill>
        </w:rPr>
        <w:t>富平县精神病医院</w:t>
      </w:r>
    </w:p>
    <w:p w14:paraId="2DB877D8">
      <w:pPr>
        <w:snapToGrid w:val="0"/>
        <w:spacing w:line="800" w:lineRule="exact"/>
        <w:ind w:firstLine="1706" w:firstLineChars="531"/>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采购代理机构：泾清项目管理有限公司</w:t>
      </w:r>
    </w:p>
    <w:p w14:paraId="5A3436CD">
      <w:pPr>
        <w:snapToGrid w:val="0"/>
        <w:spacing w:line="800" w:lineRule="exact"/>
        <w:ind w:firstLine="1706" w:firstLineChars="531"/>
        <w:rPr>
          <w:rFonts w:ascii="宋体" w:hAnsi="宋体" w:cs="宋体"/>
          <w:b/>
          <w:color w:val="000000" w:themeColor="text1"/>
          <w:sz w:val="32"/>
          <w:highlight w:val="yellow"/>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日        期：二〇二</w:t>
      </w:r>
      <w:r>
        <w:rPr>
          <w:rFonts w:hint="eastAsia" w:ascii="宋体" w:hAnsi="宋体" w:cs="宋体"/>
          <w:b/>
          <w:color w:val="000000" w:themeColor="text1"/>
          <w:sz w:val="32"/>
          <w:highlight w:val="none"/>
          <w:lang w:val="en-US" w:eastAsia="zh-CN"/>
          <w14:textFill>
            <w14:solidFill>
              <w14:schemeClr w14:val="tx1"/>
            </w14:solidFill>
          </w14:textFill>
        </w:rPr>
        <w:t>五</w:t>
      </w:r>
      <w:r>
        <w:rPr>
          <w:rFonts w:hint="eastAsia" w:ascii="宋体" w:hAnsi="宋体" w:cs="宋体"/>
          <w:b/>
          <w:color w:val="000000" w:themeColor="text1"/>
          <w:sz w:val="32"/>
          <w:highlight w:val="none"/>
          <w14:textFill>
            <w14:solidFill>
              <w14:schemeClr w14:val="tx1"/>
            </w14:solidFill>
          </w14:textFill>
        </w:rPr>
        <w:t>年</w:t>
      </w:r>
      <w:r>
        <w:rPr>
          <w:rFonts w:hint="eastAsia" w:ascii="宋体" w:hAnsi="宋体" w:cs="宋体"/>
          <w:b/>
          <w:color w:val="000000" w:themeColor="text1"/>
          <w:sz w:val="32"/>
          <w:highlight w:val="none"/>
          <w:lang w:val="en-US" w:eastAsia="zh-CN"/>
          <w14:textFill>
            <w14:solidFill>
              <w14:schemeClr w14:val="tx1"/>
            </w14:solidFill>
          </w14:textFill>
        </w:rPr>
        <w:t>三</w:t>
      </w:r>
      <w:r>
        <w:rPr>
          <w:rFonts w:hint="eastAsia" w:ascii="宋体" w:hAnsi="宋体" w:cs="宋体"/>
          <w:b/>
          <w:color w:val="000000" w:themeColor="text1"/>
          <w:sz w:val="32"/>
          <w:highlight w:val="none"/>
          <w14:textFill>
            <w14:solidFill>
              <w14:schemeClr w14:val="tx1"/>
            </w14:solidFill>
          </w14:textFill>
        </w:rPr>
        <w:t>月</w:t>
      </w:r>
    </w:p>
    <w:p w14:paraId="5CD6D39F">
      <w:pPr>
        <w:jc w:val="center"/>
        <w:rPr>
          <w:rFonts w:ascii="宋体" w:hAnsi="宋体" w:cs="宋体"/>
          <w:b/>
          <w:color w:val="000000" w:themeColor="text1"/>
          <w:sz w:val="30"/>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p>
    <w:p w14:paraId="63444152">
      <w:pPr>
        <w:jc w:val="center"/>
        <w:rPr>
          <w:rFonts w:ascii="宋体" w:hAnsi="宋体" w:cs="宋体"/>
          <w:b/>
          <w:color w:val="000000" w:themeColor="text1"/>
          <w:sz w:val="36"/>
          <w:szCs w:val="36"/>
          <w14:textFill>
            <w14:solidFill>
              <w14:schemeClr w14:val="tx1"/>
            </w14:solidFill>
          </w14:textFill>
        </w:rPr>
        <w:sectPr>
          <w:headerReference r:id="rId6" w:type="first"/>
          <w:headerReference r:id="rId5" w:type="default"/>
          <w:footerReference r:id="rId7" w:type="default"/>
          <w:pgSz w:w="11906" w:h="16838"/>
          <w:pgMar w:top="1134" w:right="1417" w:bottom="1134" w:left="1417" w:header="851" w:footer="992" w:gutter="0"/>
          <w:pgBorders>
            <w:top w:val="none" w:sz="0" w:space="0"/>
            <w:left w:val="none" w:sz="0" w:space="0"/>
            <w:bottom w:val="none" w:sz="0" w:space="0"/>
            <w:right w:val="none" w:sz="0" w:space="0"/>
          </w:pgBorders>
          <w:pgNumType w:start="0"/>
          <w:cols w:space="720" w:num="1"/>
          <w:titlePg/>
          <w:docGrid w:linePitch="326" w:charSpace="0"/>
        </w:sectPr>
      </w:pPr>
      <w:bookmarkStart w:id="0" w:name="_Toc328739375"/>
    </w:p>
    <w:p w14:paraId="03BA9065">
      <w:pPr>
        <w:pStyle w:val="2"/>
        <w:jc w:val="right"/>
      </w:pPr>
      <w:r>
        <w:rPr>
          <w:rFonts w:hint="eastAsia" w:ascii="宋体" w:hAnsi="宋体" w:cs="宋体"/>
          <w:b/>
          <w:color w:val="000000"/>
          <w:sz w:val="36"/>
          <w:szCs w:val="36"/>
          <w:bdr w:val="single" w:color="auto" w:sz="4" w:space="0"/>
          <w:shd w:val="pct10" w:color="auto" w:fill="FFFFFF"/>
        </w:rPr>
        <w:t>政府采购项目</w:t>
      </w:r>
    </w:p>
    <w:p w14:paraId="6E15F4FF">
      <w:pPr>
        <w:spacing w:line="560" w:lineRule="exact"/>
        <w:jc w:val="left"/>
        <w:rPr>
          <w:rFonts w:ascii="宋体" w:hAnsi="宋体" w:cs="宋体"/>
          <w:b/>
          <w:sz w:val="28"/>
          <w:szCs w:val="28"/>
        </w:rPr>
      </w:pPr>
    </w:p>
    <w:p w14:paraId="0EDABA00">
      <w:pPr>
        <w:spacing w:line="560" w:lineRule="exact"/>
        <w:jc w:val="left"/>
        <w:rPr>
          <w:rFonts w:ascii="宋体" w:hAnsi="宋体" w:cs="宋体"/>
          <w:b/>
          <w:sz w:val="28"/>
          <w:szCs w:val="28"/>
        </w:rPr>
      </w:pPr>
      <w:r>
        <w:rPr>
          <w:rFonts w:hint="eastAsia" w:ascii="宋体" w:hAnsi="宋体" w:cs="宋体"/>
          <w:b/>
          <w:sz w:val="28"/>
          <w:szCs w:val="28"/>
          <w:highlight w:val="none"/>
        </w:rPr>
        <w:t>项目编号：</w:t>
      </w:r>
      <w:r>
        <w:rPr>
          <w:rFonts w:hint="eastAsia" w:ascii="宋体" w:hAnsi="宋体" w:cs="宋体"/>
          <w:b/>
          <w:sz w:val="28"/>
          <w:szCs w:val="28"/>
          <w:highlight w:val="none"/>
          <w:lang w:eastAsia="zh-CN"/>
        </w:rPr>
        <w:t>JQ2025-ZFCG-01005</w:t>
      </w:r>
      <w:r>
        <w:rPr>
          <w:rFonts w:hint="eastAsia" w:ascii="宋体" w:hAnsi="宋体" w:cs="宋体"/>
          <w:b/>
          <w:sz w:val="28"/>
          <w:szCs w:val="28"/>
          <w:highlight w:val="none"/>
        </w:rPr>
        <w:t xml:space="preserve">  </w:t>
      </w:r>
      <w:r>
        <w:rPr>
          <w:rFonts w:hint="eastAsia" w:ascii="宋体" w:hAnsi="宋体" w:cs="宋体"/>
          <w:b/>
          <w:sz w:val="28"/>
          <w:szCs w:val="28"/>
        </w:rPr>
        <w:t xml:space="preserve">                 </w:t>
      </w:r>
    </w:p>
    <w:p w14:paraId="291370A1">
      <w:pPr>
        <w:pStyle w:val="18"/>
        <w:spacing w:before="0" w:beforeAutospacing="0" w:after="0" w:afterAutospacing="0" w:line="480" w:lineRule="auto"/>
        <w:rPr>
          <w:b/>
          <w:kern w:val="2"/>
          <w:sz w:val="44"/>
          <w:szCs w:val="52"/>
        </w:rPr>
      </w:pPr>
    </w:p>
    <w:p w14:paraId="2DC04D71">
      <w:pPr>
        <w:pStyle w:val="18"/>
        <w:spacing w:before="0" w:beforeAutospacing="0" w:after="0" w:afterAutospacing="0" w:line="480" w:lineRule="auto"/>
        <w:rPr>
          <w:b/>
          <w:kern w:val="2"/>
          <w:sz w:val="44"/>
          <w:szCs w:val="52"/>
        </w:rPr>
      </w:pPr>
    </w:p>
    <w:p w14:paraId="29C462F5">
      <w:pPr>
        <w:pStyle w:val="18"/>
        <w:spacing w:before="0" w:beforeAutospacing="0" w:after="0" w:afterAutospacing="0" w:line="480" w:lineRule="auto"/>
        <w:jc w:val="both"/>
        <w:rPr>
          <w:b/>
          <w:kern w:val="2"/>
          <w:sz w:val="52"/>
          <w:szCs w:val="52"/>
        </w:rPr>
      </w:pPr>
      <w:r>
        <w:rPr>
          <w:rFonts w:hint="eastAsia"/>
          <w:b/>
          <w:kern w:val="2"/>
          <w:sz w:val="52"/>
          <w:szCs w:val="52"/>
        </w:rPr>
        <w:t xml:space="preserve"> </w:t>
      </w:r>
    </w:p>
    <w:p w14:paraId="1E0BB7DE">
      <w:pPr>
        <w:tabs>
          <w:tab w:val="left" w:pos="5145"/>
        </w:tabs>
        <w:spacing w:line="800" w:lineRule="atLeast"/>
        <w:jc w:val="center"/>
        <w:rPr>
          <w:rFonts w:hint="eastAsia" w:ascii="宋体" w:hAnsi="宋体" w:cs="宋体"/>
          <w:b/>
          <w:bCs/>
          <w:color w:val="000000"/>
          <w:sz w:val="44"/>
          <w:szCs w:val="44"/>
          <w:lang w:val="en-US" w:eastAsia="zh-CN"/>
        </w:rPr>
      </w:pPr>
      <w:r>
        <w:rPr>
          <w:rFonts w:hint="eastAsia" w:ascii="宋体" w:hAnsi="宋体" w:cs="宋体"/>
          <w:b/>
          <w:bCs/>
          <w:color w:val="000000"/>
          <w:sz w:val="44"/>
          <w:szCs w:val="44"/>
          <w:lang w:val="en-US" w:eastAsia="zh-CN"/>
        </w:rPr>
        <w:t>富平县精神病医院信息化系统升级服务采购</w:t>
      </w:r>
    </w:p>
    <w:p w14:paraId="600D84EC">
      <w:pPr>
        <w:spacing w:line="100" w:lineRule="atLeast"/>
        <w:jc w:val="center"/>
        <w:rPr>
          <w:rFonts w:ascii="宋体" w:hAnsi="宋体" w:cs="宋体"/>
          <w:b/>
          <w:sz w:val="72"/>
          <w:szCs w:val="72"/>
        </w:rPr>
      </w:pPr>
      <w:r>
        <w:rPr>
          <w:rFonts w:hint="eastAsia" w:ascii="宋体" w:hAnsi="宋体" w:cs="宋体"/>
          <w:b/>
          <w:bCs/>
          <w:color w:val="000000"/>
          <w:sz w:val="44"/>
          <w:szCs w:val="44"/>
          <w:lang w:val="en-US" w:eastAsia="zh-CN"/>
        </w:rPr>
        <w:t>项目</w:t>
      </w:r>
      <w:r>
        <w:rPr>
          <w:rFonts w:hint="eastAsia" w:ascii="宋体" w:hAnsi="宋体" w:cs="宋体"/>
          <w:b/>
          <w:sz w:val="72"/>
          <w:szCs w:val="72"/>
        </w:rPr>
        <w:t xml:space="preserve">  </w:t>
      </w:r>
    </w:p>
    <w:p w14:paraId="2E907F17">
      <w:pPr>
        <w:spacing w:line="100" w:lineRule="atLeast"/>
        <w:jc w:val="center"/>
        <w:rPr>
          <w:rFonts w:ascii="宋体" w:hAnsi="宋体" w:cs="宋体"/>
          <w:b/>
          <w:bCs/>
          <w:sz w:val="36"/>
          <w:szCs w:val="36"/>
          <w:lang w:val="zh-CN"/>
        </w:rPr>
      </w:pPr>
    </w:p>
    <w:p w14:paraId="7DC7E962">
      <w:pPr>
        <w:spacing w:line="100" w:lineRule="atLeast"/>
        <w:jc w:val="center"/>
        <w:rPr>
          <w:rFonts w:ascii="宋体" w:hAnsi="宋体" w:cs="宋体"/>
          <w:b/>
          <w:bCs/>
          <w:sz w:val="36"/>
          <w:szCs w:val="36"/>
          <w:lang w:val="zh-CN"/>
        </w:rPr>
      </w:pPr>
    </w:p>
    <w:p w14:paraId="70281B5C">
      <w:pPr>
        <w:jc w:val="center"/>
        <w:rPr>
          <w:rFonts w:ascii="宋体" w:hAnsi="宋体" w:cs="宋体"/>
          <w:b/>
          <w:bCs/>
          <w:sz w:val="15"/>
          <w:szCs w:val="15"/>
        </w:rPr>
      </w:pPr>
      <w:r>
        <w:rPr>
          <w:rFonts w:hint="eastAsia" w:ascii="宋体" w:hAnsi="宋体" w:cs="宋体"/>
          <w:b/>
          <w:bCs/>
          <w:sz w:val="56"/>
          <w:szCs w:val="56"/>
        </w:rPr>
        <w:t>竞争性磋商采购文件</w:t>
      </w:r>
    </w:p>
    <w:p w14:paraId="405059FE">
      <w:pPr>
        <w:rPr>
          <w:rFonts w:ascii="宋体" w:hAnsi="宋体" w:cs="宋体"/>
          <w:b/>
          <w:bCs/>
          <w:sz w:val="15"/>
          <w:szCs w:val="15"/>
        </w:rPr>
      </w:pPr>
    </w:p>
    <w:p w14:paraId="45E4F3B2">
      <w:pPr>
        <w:rPr>
          <w:rFonts w:ascii="宋体" w:hAnsi="宋体" w:cs="宋体"/>
          <w:b/>
          <w:bCs/>
          <w:sz w:val="15"/>
          <w:szCs w:val="15"/>
        </w:rPr>
      </w:pPr>
    </w:p>
    <w:p w14:paraId="6F083BDF">
      <w:pPr>
        <w:rPr>
          <w:rFonts w:ascii="宋体" w:hAnsi="宋体" w:cs="宋体"/>
          <w:b/>
          <w:bCs/>
          <w:sz w:val="15"/>
          <w:szCs w:val="15"/>
        </w:rPr>
      </w:pPr>
    </w:p>
    <w:p w14:paraId="16C0761C">
      <w:pPr>
        <w:rPr>
          <w:rFonts w:ascii="宋体" w:hAnsi="宋体" w:cs="宋体"/>
          <w:b/>
          <w:bCs/>
          <w:sz w:val="15"/>
          <w:szCs w:val="15"/>
        </w:rPr>
      </w:pPr>
    </w:p>
    <w:p w14:paraId="26052BCD">
      <w:pPr>
        <w:pStyle w:val="2"/>
      </w:pPr>
    </w:p>
    <w:p w14:paraId="71816C96">
      <w:pPr>
        <w:rPr>
          <w:rFonts w:ascii="宋体" w:hAnsi="宋体" w:cs="宋体"/>
          <w:b/>
          <w:bCs/>
          <w:sz w:val="15"/>
          <w:szCs w:val="15"/>
        </w:rPr>
      </w:pPr>
    </w:p>
    <w:p w14:paraId="2A9EA95C">
      <w:pPr>
        <w:spacing w:line="800" w:lineRule="exact"/>
        <w:rPr>
          <w:rFonts w:hint="eastAsia" w:ascii="宋体" w:hAnsi="宋体" w:eastAsia="宋体" w:cs="宋体"/>
          <w:b/>
          <w:sz w:val="36"/>
          <w:szCs w:val="32"/>
          <w:lang w:eastAsia="zh-CN"/>
        </w:rPr>
      </w:pPr>
      <w:r>
        <w:rPr>
          <w:rFonts w:hint="eastAsia" w:ascii="宋体" w:hAnsi="宋体" w:cs="宋体"/>
          <w:b/>
          <w:sz w:val="32"/>
          <w:szCs w:val="32"/>
        </w:rPr>
        <w:t xml:space="preserve">      采    购  人 ：</w:t>
      </w:r>
      <w:r>
        <w:rPr>
          <w:rFonts w:hint="eastAsia" w:ascii="宋体" w:hAnsi="宋体" w:cs="宋体"/>
          <w:b/>
          <w:color w:val="000000" w:themeColor="text1"/>
          <w:sz w:val="32"/>
          <w:lang w:eastAsia="zh-CN"/>
          <w14:textFill>
            <w14:solidFill>
              <w14:schemeClr w14:val="tx1"/>
            </w14:solidFill>
          </w14:textFill>
        </w:rPr>
        <w:t>富平县精神病医院</w:t>
      </w:r>
    </w:p>
    <w:p w14:paraId="11F927A6">
      <w:pPr>
        <w:spacing w:line="800" w:lineRule="exact"/>
        <w:ind w:firstLine="964" w:firstLineChars="300"/>
        <w:rPr>
          <w:rFonts w:ascii="宋体" w:hAnsi="宋体" w:cs="宋体"/>
          <w:b/>
          <w:sz w:val="32"/>
          <w:szCs w:val="32"/>
        </w:rPr>
      </w:pPr>
    </w:p>
    <w:p w14:paraId="14DADA15">
      <w:pPr>
        <w:spacing w:line="800" w:lineRule="exact"/>
        <w:ind w:firstLine="964" w:firstLineChars="300"/>
        <w:rPr>
          <w:rFonts w:ascii="宋体" w:hAnsi="宋体" w:cs="宋体"/>
          <w:color w:val="000000"/>
          <w:kern w:val="0"/>
          <w:sz w:val="18"/>
          <w:szCs w:val="18"/>
        </w:rPr>
      </w:pPr>
      <w:r>
        <w:rPr>
          <w:rFonts w:hint="eastAsia" w:ascii="宋体" w:hAnsi="宋体" w:cs="宋体"/>
          <w:b/>
          <w:sz w:val="32"/>
          <w:szCs w:val="32"/>
        </w:rPr>
        <w:t>采购代理机构：泾清项目管理有限公司</w:t>
      </w:r>
    </w:p>
    <w:p w14:paraId="1C1036EF">
      <w:pPr>
        <w:spacing w:line="800" w:lineRule="exact"/>
        <w:ind w:firstLine="964" w:firstLineChars="300"/>
        <w:rPr>
          <w:rFonts w:ascii="宋体" w:hAnsi="宋体" w:cs="宋体"/>
          <w:b/>
          <w:sz w:val="32"/>
          <w:szCs w:val="32"/>
        </w:rPr>
      </w:pPr>
    </w:p>
    <w:p w14:paraId="7A31F88B">
      <w:pPr>
        <w:spacing w:line="800" w:lineRule="exact"/>
        <w:ind w:firstLine="964" w:firstLineChars="300"/>
        <w:rPr>
          <w:rFonts w:ascii="宋体" w:hAnsi="宋体" w:cs="宋体"/>
          <w:b/>
          <w:sz w:val="32"/>
          <w:szCs w:val="32"/>
        </w:rPr>
        <w:sectPr>
          <w:pgSz w:w="11906" w:h="16838"/>
          <w:pgMar w:top="1134" w:right="1701" w:bottom="1134" w:left="1701" w:header="851" w:footer="992" w:gutter="0"/>
          <w:pgBorders>
            <w:top w:val="none" w:sz="0" w:space="0"/>
            <w:left w:val="none" w:sz="0" w:space="0"/>
            <w:bottom w:val="none" w:sz="0" w:space="0"/>
            <w:right w:val="none" w:sz="0" w:space="0"/>
          </w:pgBorders>
          <w:pgNumType w:start="1"/>
          <w:cols w:space="720" w:num="1"/>
          <w:docGrid w:type="lines" w:linePitch="314" w:charSpace="0"/>
        </w:sectPr>
      </w:pPr>
      <w:r>
        <w:rPr>
          <w:rFonts w:hint="eastAsia" w:ascii="宋体" w:hAnsi="宋体" w:cs="宋体"/>
          <w:b/>
          <w:sz w:val="32"/>
          <w:szCs w:val="32"/>
          <w:highlight w:val="none"/>
        </w:rPr>
        <w:t>日        期：二○二</w:t>
      </w:r>
      <w:r>
        <w:rPr>
          <w:rFonts w:hint="eastAsia" w:ascii="宋体" w:hAnsi="宋体" w:cs="宋体"/>
          <w:b/>
          <w:sz w:val="32"/>
          <w:szCs w:val="32"/>
          <w:highlight w:val="none"/>
          <w:lang w:val="en-US" w:eastAsia="zh-CN"/>
        </w:rPr>
        <w:t>五</w:t>
      </w:r>
      <w:r>
        <w:rPr>
          <w:rFonts w:hint="eastAsia" w:ascii="宋体" w:hAnsi="宋体" w:cs="宋体"/>
          <w:b/>
          <w:sz w:val="32"/>
          <w:szCs w:val="32"/>
          <w:highlight w:val="none"/>
        </w:rPr>
        <w:t>年</w:t>
      </w:r>
      <w:r>
        <w:rPr>
          <w:rFonts w:hint="eastAsia" w:ascii="宋体" w:hAnsi="宋体" w:cs="宋体"/>
          <w:b/>
          <w:sz w:val="32"/>
          <w:szCs w:val="32"/>
          <w:highlight w:val="none"/>
          <w:lang w:val="en-US" w:eastAsia="zh-CN"/>
        </w:rPr>
        <w:t>三</w:t>
      </w:r>
      <w:r>
        <w:rPr>
          <w:rFonts w:hint="eastAsia" w:ascii="宋体" w:hAnsi="宋体" w:cs="宋体"/>
          <w:b/>
          <w:sz w:val="32"/>
          <w:szCs w:val="32"/>
          <w:highlight w:val="none"/>
        </w:rPr>
        <w:t>月</w:t>
      </w:r>
    </w:p>
    <w:p w14:paraId="477D3646">
      <w:pPr>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目  录</w:t>
      </w:r>
      <w:bookmarkEnd w:id="0"/>
    </w:p>
    <w:p w14:paraId="7DE45984">
      <w:pPr>
        <w:ind w:firstLine="420"/>
        <w:rPr>
          <w:rFonts w:ascii="宋体" w:hAnsi="宋体" w:cs="宋体"/>
          <w:color w:val="000000" w:themeColor="text1"/>
          <w:sz w:val="32"/>
          <w:szCs w:val="32"/>
          <w14:textFill>
            <w14:solidFill>
              <w14:schemeClr w14:val="tx1"/>
            </w14:solidFill>
          </w14:textFill>
        </w:rPr>
      </w:pPr>
    </w:p>
    <w:p w14:paraId="72E6F572">
      <w:pPr>
        <w:pStyle w:val="13"/>
        <w:tabs>
          <w:tab w:val="right" w:leader="dot" w:pos="9072"/>
          <w:tab w:val="clear" w:pos="8760"/>
        </w:tabs>
        <w:rPr>
          <w:color w:val="000000" w:themeColor="text1"/>
          <w:sz w:val="30"/>
          <w:szCs w:val="30"/>
          <w14:textFill>
            <w14:solidFill>
              <w14:schemeClr w14:val="tx1"/>
            </w14:solidFill>
          </w14:textFill>
        </w:rPr>
      </w:pPr>
      <w:r>
        <w:rPr>
          <w:rFonts w:hint="eastAsia" w:ascii="宋体" w:hAnsi="宋体" w:cs="宋体"/>
          <w:b/>
          <w:bCs/>
          <w:color w:val="000000" w:themeColor="text1"/>
          <w:sz w:val="44"/>
          <w:szCs w:val="44"/>
          <w14:textFill>
            <w14:solidFill>
              <w14:schemeClr w14:val="tx1"/>
            </w14:solidFill>
          </w14:textFill>
        </w:rPr>
        <w:fldChar w:fldCharType="begin"/>
      </w:r>
      <w:r>
        <w:rPr>
          <w:rFonts w:hint="eastAsia" w:ascii="宋体" w:hAnsi="宋体" w:cs="宋体"/>
          <w:b/>
          <w:bCs/>
          <w:color w:val="000000" w:themeColor="text1"/>
          <w:sz w:val="44"/>
          <w:szCs w:val="44"/>
          <w14:textFill>
            <w14:solidFill>
              <w14:schemeClr w14:val="tx1"/>
            </w14:solidFill>
          </w14:textFill>
        </w:rPr>
        <w:instrText xml:space="preserve"> TOC \o "1-1" \h \z \u </w:instrText>
      </w:r>
      <w:r>
        <w:rPr>
          <w:rFonts w:hint="eastAsia" w:ascii="宋体" w:hAnsi="宋体" w:cs="宋体"/>
          <w:b/>
          <w:bCs/>
          <w:color w:val="000000" w:themeColor="text1"/>
          <w:sz w:val="44"/>
          <w:szCs w:val="44"/>
          <w14:textFill>
            <w14:solidFill>
              <w14:schemeClr w14:val="tx1"/>
            </w14:solidFill>
          </w14:textFill>
        </w:rPr>
        <w:fldChar w:fldCharType="separate"/>
      </w:r>
      <w:r>
        <w:fldChar w:fldCharType="begin"/>
      </w:r>
      <w:r>
        <w:instrText xml:space="preserve"> HYPERLINK \l "_Toc26180" </w:instrText>
      </w:r>
      <w:r>
        <w:fldChar w:fldCharType="separate"/>
      </w:r>
      <w:r>
        <w:rPr>
          <w:rFonts w:hint="eastAsia"/>
          <w:color w:val="000000" w:themeColor="text1"/>
          <w:sz w:val="30"/>
          <w:szCs w:val="30"/>
          <w14:textFill>
            <w14:solidFill>
              <w14:schemeClr w14:val="tx1"/>
            </w14:solidFill>
          </w14:textFill>
        </w:rPr>
        <w:t>第一部分  竞争性磋商公告</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_Toc26180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1</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0E117769">
      <w:pPr>
        <w:pStyle w:val="13"/>
        <w:tabs>
          <w:tab w:val="right" w:leader="dot" w:pos="9072"/>
          <w:tab w:val="clear" w:pos="8760"/>
        </w:tabs>
        <w:rPr>
          <w:color w:val="000000" w:themeColor="text1"/>
          <w:sz w:val="30"/>
          <w:szCs w:val="30"/>
          <w14:textFill>
            <w14:solidFill>
              <w14:schemeClr w14:val="tx1"/>
            </w14:solidFill>
          </w14:textFill>
        </w:rPr>
      </w:pPr>
      <w:r>
        <w:fldChar w:fldCharType="begin"/>
      </w:r>
      <w:r>
        <w:instrText xml:space="preserve"> HYPERLINK \l "_Toc23064" </w:instrText>
      </w:r>
      <w:r>
        <w:fldChar w:fldCharType="separate"/>
      </w:r>
      <w:r>
        <w:rPr>
          <w:rFonts w:hint="eastAsia"/>
          <w:color w:val="000000" w:themeColor="text1"/>
          <w:sz w:val="30"/>
          <w:szCs w:val="30"/>
          <w14:textFill>
            <w14:solidFill>
              <w14:schemeClr w14:val="tx1"/>
            </w14:solidFill>
          </w14:textFill>
        </w:rPr>
        <w:t>第二部分  磋商供应商须知</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_Toc23064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4</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35775D73">
      <w:pPr>
        <w:pStyle w:val="13"/>
        <w:tabs>
          <w:tab w:val="right" w:leader="dot" w:pos="9072"/>
          <w:tab w:val="clear" w:pos="8760"/>
        </w:tabs>
        <w:rPr>
          <w:color w:val="000000" w:themeColor="text1"/>
          <w:sz w:val="30"/>
          <w:szCs w:val="30"/>
          <w14:textFill>
            <w14:solidFill>
              <w14:schemeClr w14:val="tx1"/>
            </w14:solidFill>
          </w14:textFill>
        </w:rPr>
      </w:pPr>
      <w:r>
        <w:fldChar w:fldCharType="begin"/>
      </w:r>
      <w:r>
        <w:instrText xml:space="preserve"> HYPERLINK \l "_Toc19123" </w:instrText>
      </w:r>
      <w:r>
        <w:fldChar w:fldCharType="separate"/>
      </w:r>
      <w:r>
        <w:rPr>
          <w:rFonts w:hint="eastAsia"/>
          <w:color w:val="000000" w:themeColor="text1"/>
          <w:sz w:val="30"/>
          <w:szCs w:val="30"/>
          <w14:textFill>
            <w14:solidFill>
              <w14:schemeClr w14:val="tx1"/>
            </w14:solidFill>
          </w14:textFill>
        </w:rPr>
        <w:t>第三部分  磋商要求及说明</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_Toc19123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31</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09CED421">
      <w:pPr>
        <w:pStyle w:val="13"/>
        <w:tabs>
          <w:tab w:val="right" w:leader="dot" w:pos="9072"/>
          <w:tab w:val="clear" w:pos="8760"/>
        </w:tabs>
        <w:rPr>
          <w:color w:val="000000" w:themeColor="text1"/>
          <w:sz w:val="30"/>
          <w:szCs w:val="30"/>
          <w14:textFill>
            <w14:solidFill>
              <w14:schemeClr w14:val="tx1"/>
            </w14:solidFill>
          </w14:textFill>
        </w:rPr>
      </w:pPr>
      <w:r>
        <w:fldChar w:fldCharType="begin"/>
      </w:r>
      <w:r>
        <w:instrText xml:space="preserve"> HYPERLINK \l "_Toc25418" </w:instrText>
      </w:r>
      <w:r>
        <w:fldChar w:fldCharType="separate"/>
      </w:r>
      <w:r>
        <w:rPr>
          <w:rFonts w:hint="eastAsia"/>
          <w:color w:val="000000" w:themeColor="text1"/>
          <w:sz w:val="30"/>
          <w:szCs w:val="30"/>
          <w14:textFill>
            <w14:solidFill>
              <w14:schemeClr w14:val="tx1"/>
            </w14:solidFill>
          </w14:textFill>
        </w:rPr>
        <w:t>第四部分  商务及合同草案条款</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_Toc25418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40</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2CC81C8D">
      <w:pPr>
        <w:pStyle w:val="13"/>
        <w:tabs>
          <w:tab w:val="right" w:leader="dot" w:pos="9072"/>
          <w:tab w:val="clear" w:pos="8760"/>
        </w:tabs>
        <w:rPr>
          <w:color w:val="000000" w:themeColor="text1"/>
          <w:sz w:val="30"/>
          <w:szCs w:val="30"/>
          <w14:textFill>
            <w14:solidFill>
              <w14:schemeClr w14:val="tx1"/>
            </w14:solidFill>
          </w14:textFill>
        </w:rPr>
      </w:pPr>
      <w:r>
        <w:fldChar w:fldCharType="begin"/>
      </w:r>
      <w:r>
        <w:instrText xml:space="preserve"> HYPERLINK \l "_Toc32660" </w:instrText>
      </w:r>
      <w:r>
        <w:fldChar w:fldCharType="separate"/>
      </w:r>
      <w:r>
        <w:rPr>
          <w:rFonts w:hint="eastAsia"/>
          <w:color w:val="000000" w:themeColor="text1"/>
          <w:sz w:val="30"/>
          <w:szCs w:val="30"/>
          <w14:textFill>
            <w14:solidFill>
              <w14:schemeClr w14:val="tx1"/>
            </w14:solidFill>
          </w14:textFill>
        </w:rPr>
        <w:t>第五部分  竞争性磋商响应文件格式</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_Toc32660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47</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407C9910">
      <w:pPr>
        <w:pStyle w:val="13"/>
        <w:tabs>
          <w:tab w:val="right" w:leader="dot" w:pos="9072"/>
          <w:tab w:val="clear" w:pos="8760"/>
        </w:tabs>
        <w:rPr>
          <w:color w:val="000000" w:themeColor="text1"/>
          <w14:textFill>
            <w14:solidFill>
              <w14:schemeClr w14:val="tx1"/>
            </w14:solidFill>
          </w14:textFill>
        </w:rPr>
      </w:pPr>
      <w:r>
        <w:fldChar w:fldCharType="begin"/>
      </w:r>
      <w:r>
        <w:instrText xml:space="preserve"> HYPERLINK \l "_Toc3448" </w:instrText>
      </w:r>
      <w:r>
        <w:fldChar w:fldCharType="separate"/>
      </w:r>
      <w:r>
        <w:rPr>
          <w:rFonts w:hint="eastAsia" w:ascii="宋体" w:hAnsi="宋体" w:cs="宋体"/>
          <w:color w:val="000000" w:themeColor="text1"/>
          <w:sz w:val="30"/>
          <w:szCs w:val="30"/>
          <w14:textFill>
            <w14:solidFill>
              <w14:schemeClr w14:val="tx1"/>
            </w14:solidFill>
          </w14:textFill>
        </w:rPr>
        <w:t>第六部分  封袋正面标识式样</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_Toc3448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66</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3D07985C">
      <w:pPr>
        <w:tabs>
          <w:tab w:val="right" w:leader="middleDot" w:pos="9000"/>
        </w:tabs>
        <w:spacing w:line="700" w:lineRule="exact"/>
        <w:ind w:firstLine="420"/>
        <w:rPr>
          <w:rFonts w:ascii="宋体" w:hAnsi="宋体" w:cs="宋体"/>
          <w:color w:val="000000" w:themeColor="text1"/>
          <w:sz w:val="40"/>
          <w:szCs w:val="40"/>
          <w14:textFill>
            <w14:solidFill>
              <w14:schemeClr w14:val="tx1"/>
            </w14:solidFill>
          </w14:textFill>
        </w:rPr>
      </w:pPr>
      <w:r>
        <w:rPr>
          <w:rFonts w:hint="eastAsia" w:ascii="宋体" w:hAnsi="宋体" w:cs="宋体"/>
          <w:bCs/>
          <w:color w:val="000000" w:themeColor="text1"/>
          <w:szCs w:val="44"/>
          <w14:textFill>
            <w14:solidFill>
              <w14:schemeClr w14:val="tx1"/>
            </w14:solidFill>
          </w14:textFill>
        </w:rPr>
        <w:fldChar w:fldCharType="end"/>
      </w:r>
    </w:p>
    <w:p w14:paraId="139FD333">
      <w:pPr>
        <w:tabs>
          <w:tab w:val="left" w:pos="8760"/>
          <w:tab w:val="left" w:pos="8880"/>
        </w:tabs>
        <w:ind w:left="359" w:leftChars="171" w:firstLine="60"/>
        <w:rPr>
          <w:rFonts w:ascii="宋体" w:hAnsi="宋体" w:cs="宋体"/>
          <w:color w:val="000000" w:themeColor="text1"/>
          <w:sz w:val="32"/>
          <w:szCs w:val="32"/>
          <w14:textFill>
            <w14:solidFill>
              <w14:schemeClr w14:val="tx1"/>
            </w14:solidFill>
          </w14:textFill>
        </w:rPr>
      </w:pPr>
    </w:p>
    <w:p w14:paraId="2E9008D1">
      <w:pPr>
        <w:spacing w:line="480" w:lineRule="auto"/>
        <w:rPr>
          <w:rFonts w:ascii="宋体" w:hAnsi="宋体" w:cs="宋体"/>
          <w:b/>
          <w:color w:val="000000" w:themeColor="text1"/>
          <w:sz w:val="32"/>
          <w:szCs w:val="32"/>
          <w14:textFill>
            <w14:solidFill>
              <w14:schemeClr w14:val="tx1"/>
            </w14:solidFill>
          </w14:textFill>
        </w:rPr>
        <w:sectPr>
          <w:pgSz w:w="11906" w:h="16838"/>
          <w:pgMar w:top="1134" w:right="1417" w:bottom="1134" w:left="1417" w:header="851" w:footer="992" w:gutter="0"/>
          <w:pgBorders>
            <w:top w:val="none" w:sz="0" w:space="0"/>
            <w:left w:val="none" w:sz="0" w:space="0"/>
            <w:bottom w:val="none" w:sz="0" w:space="0"/>
            <w:right w:val="none" w:sz="0" w:space="0"/>
          </w:pgBorders>
          <w:pgNumType w:start="0"/>
          <w:cols w:space="720" w:num="1"/>
          <w:titlePg/>
          <w:docGrid w:linePitch="326" w:charSpace="0"/>
        </w:sectPr>
      </w:pPr>
    </w:p>
    <w:p w14:paraId="19FF2BB2">
      <w:pPr>
        <w:pStyle w:val="3"/>
        <w:rPr>
          <w:color w:val="000000" w:themeColor="text1"/>
          <w14:textFill>
            <w14:solidFill>
              <w14:schemeClr w14:val="tx1"/>
            </w14:solidFill>
          </w14:textFill>
        </w:rPr>
      </w:pPr>
      <w:bookmarkStart w:id="1" w:name="_Toc26180"/>
      <w:r>
        <w:rPr>
          <w:rFonts w:hint="eastAsia"/>
          <w:color w:val="000000" w:themeColor="text1"/>
          <w14:textFill>
            <w14:solidFill>
              <w14:schemeClr w14:val="tx1"/>
            </w14:solidFill>
          </w14:textFill>
        </w:rPr>
        <w:t>第一部分  竞争性磋商公告</w:t>
      </w:r>
      <w:bookmarkEnd w:id="1"/>
    </w:p>
    <w:p w14:paraId="45E89517">
      <w:pPr>
        <w:spacing w:line="480" w:lineRule="auto"/>
        <w:ind w:firstLine="480" w:firstLineChars="200"/>
        <w:rPr>
          <w:rFonts w:asciiTheme="minorEastAsia" w:hAnsiTheme="minorEastAsia" w:eastAsiaTheme="minorEastAsia" w:cs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富平县精神病医院信息化系统升级服务采购项目</w:t>
      </w:r>
      <w:r>
        <w:rPr>
          <w:rFonts w:hint="eastAsia" w:asciiTheme="minorEastAsia" w:hAnsiTheme="minorEastAsia" w:eastAsiaTheme="minorEastAsia" w:cstheme="minorEastAsia"/>
          <w:color w:val="000000" w:themeColor="text1"/>
          <w:sz w:val="24"/>
          <w14:textFill>
            <w14:solidFill>
              <w14:schemeClr w14:val="tx1"/>
            </w14:solidFill>
          </w14:textFill>
        </w:rPr>
        <w:t>潜在的供应商可在</w:t>
      </w:r>
      <w:r>
        <w:rPr>
          <w:rFonts w:hint="eastAsia" w:asciiTheme="minorEastAsia" w:hAnsiTheme="minorEastAsia" w:eastAsiaTheme="minorEastAsia" w:cstheme="minorEastAsia"/>
          <w:color w:val="000000" w:themeColor="text1"/>
          <w:sz w:val="24"/>
          <w:lang w:val="zh-CN"/>
          <w14:textFill>
            <w14:solidFill>
              <w14:schemeClr w14:val="tx1"/>
            </w14:solidFill>
          </w14:textFill>
        </w:rPr>
        <w:t>陕西省渭南市富平县频阳大道108号云创大厦9楼919室</w:t>
      </w:r>
      <w:r>
        <w:rPr>
          <w:rFonts w:hint="eastAsia" w:asciiTheme="minorEastAsia" w:hAnsiTheme="minorEastAsia" w:eastAsiaTheme="minorEastAsia" w:cstheme="minorEastAsia"/>
          <w:color w:val="000000" w:themeColor="text1"/>
          <w:sz w:val="24"/>
          <w14:textFill>
            <w14:solidFill>
              <w14:schemeClr w14:val="tx1"/>
            </w14:solidFill>
          </w14:textFill>
        </w:rPr>
        <w:t>获取采购文件，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并于</w:t>
      </w:r>
      <w:r>
        <w:rPr>
          <w:rFonts w:hint="eastAsia" w:asciiTheme="minorEastAsia" w:hAnsiTheme="minorEastAsia" w:eastAsiaTheme="minorEastAsia" w:cstheme="minorEastAsia"/>
          <w:color w:val="auto"/>
          <w:sz w:val="24"/>
          <w:highlight w:val="none"/>
        </w:rPr>
        <w:t>202</w:t>
      </w: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lang w:val="en-US" w:eastAsia="zh-CN"/>
        </w:rPr>
        <w:t>03</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lang w:val="en-US" w:eastAsia="zh-CN"/>
        </w:rPr>
        <w:t>11</w:t>
      </w:r>
      <w:r>
        <w:rPr>
          <w:rFonts w:hint="eastAsia" w:asciiTheme="minorEastAsia" w:hAnsiTheme="minorEastAsia" w:eastAsiaTheme="minorEastAsia" w:cstheme="minorEastAsia"/>
          <w:color w:val="auto"/>
          <w:sz w:val="24"/>
          <w:highlight w:val="none"/>
        </w:rPr>
        <w:t>日</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时30分00秒前递交响应文件。</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 xml:space="preserve"> </w:t>
      </w:r>
    </w:p>
    <w:p w14:paraId="3A101976">
      <w:pPr>
        <w:spacing w:line="480" w:lineRule="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一、项目基本情况：</w:t>
      </w:r>
    </w:p>
    <w:p w14:paraId="0FFCB804">
      <w:pPr>
        <w:spacing w:line="480" w:lineRule="auto"/>
        <w:ind w:firstLine="480" w:firstLineChars="200"/>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1、项目编号：</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JQ2025-ZFCG-01005</w:t>
      </w:r>
    </w:p>
    <w:p w14:paraId="5B603B34">
      <w:pPr>
        <w:pStyle w:val="18"/>
        <w:widowControl/>
        <w:spacing w:before="150" w:beforeAutospacing="0" w:after="0" w:afterAutospacing="0" w:line="480" w:lineRule="auto"/>
        <w:ind w:left="2159" w:leftChars="228" w:hanging="1680" w:hangingChars="700"/>
        <w:textAlignment w:val="baseline"/>
        <w:rPr>
          <w:rFonts w:hint="eastAsia" w:ascii="宋体" w:hAnsi="宋体" w:eastAsia="宋体" w:cs="宋体"/>
          <w:color w:val="333333"/>
          <w:shd w:val="clear" w:color="auto" w:fill="FFFFFF"/>
          <w:lang w:val="zh-CN"/>
        </w:rPr>
      </w:pPr>
      <w:r>
        <w:rPr>
          <w:rFonts w:hint="eastAsia" w:asciiTheme="minorEastAsia" w:hAnsiTheme="minorEastAsia" w:eastAsiaTheme="minorEastAsia" w:cstheme="minorEastAsia"/>
          <w:color w:val="000000" w:themeColor="text1"/>
          <w:sz w:val="24"/>
          <w14:textFill>
            <w14:solidFill>
              <w14:schemeClr w14:val="tx1"/>
            </w14:solidFill>
          </w14:textFill>
        </w:rPr>
        <w:t>2、项目名称：</w:t>
      </w:r>
      <w:r>
        <w:rPr>
          <w:rFonts w:hint="eastAsia" w:cs="宋体"/>
          <w:color w:val="333333"/>
          <w:shd w:val="clear" w:color="auto" w:fill="FFFFFF"/>
          <w:lang w:val="en-US" w:eastAsia="zh-CN"/>
        </w:rPr>
        <w:t>富平县精神病医院信息化系统升级服务采购项目</w:t>
      </w:r>
    </w:p>
    <w:p w14:paraId="431FEEC2">
      <w:pPr>
        <w:spacing w:line="48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3、预算金额：</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800000.00</w:t>
      </w:r>
      <w:r>
        <w:rPr>
          <w:rFonts w:hint="eastAsia" w:asciiTheme="minorEastAsia" w:hAnsiTheme="minorEastAsia" w:eastAsiaTheme="minorEastAsia" w:cstheme="minorEastAsia"/>
          <w:color w:val="000000" w:themeColor="text1"/>
          <w:sz w:val="24"/>
          <w:lang w:val="zh-CN"/>
          <w14:textFill>
            <w14:solidFill>
              <w14:schemeClr w14:val="tx1"/>
            </w14:solidFill>
          </w14:textFill>
        </w:rPr>
        <w:t>元</w:t>
      </w:r>
    </w:p>
    <w:p w14:paraId="3183718D">
      <w:pPr>
        <w:spacing w:line="48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4、最高限价：</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800000.00</w:t>
      </w:r>
      <w:r>
        <w:rPr>
          <w:rFonts w:hint="eastAsia" w:asciiTheme="minorEastAsia" w:hAnsiTheme="minorEastAsia" w:eastAsiaTheme="minorEastAsia" w:cstheme="minorEastAsia"/>
          <w:color w:val="000000" w:themeColor="text1"/>
          <w:sz w:val="24"/>
          <w:lang w:val="zh-CN"/>
          <w14:textFill>
            <w14:solidFill>
              <w14:schemeClr w14:val="tx1"/>
            </w14:solidFill>
          </w14:textFill>
        </w:rPr>
        <w:t>元</w:t>
      </w:r>
    </w:p>
    <w:p w14:paraId="7179BA2F">
      <w:pPr>
        <w:spacing w:line="480" w:lineRule="auto"/>
        <w:ind w:firstLine="480" w:firstLineChars="200"/>
        <w:rPr>
          <w:rFonts w:hint="eastAsia" w:ascii="宋体" w:hAnsi="宋体" w:eastAsia="宋体" w:cs="宋体"/>
          <w:color w:val="333333"/>
          <w:kern w:val="0"/>
          <w:sz w:val="24"/>
          <w:szCs w:val="24"/>
          <w:highlight w:val="none"/>
          <w:shd w:val="clear" w:color="auto" w:fill="FFFFFF"/>
          <w:lang w:val="en-US" w:eastAsia="zh-CN" w:bidi="ar-SA"/>
        </w:rPr>
      </w:pP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5、采购需求： </w:t>
      </w:r>
      <w:r>
        <w:rPr>
          <w:rFonts w:hint="eastAsia" w:ascii="宋体" w:hAnsi="宋体" w:eastAsia="宋体" w:cs="宋体"/>
          <w:color w:val="333333"/>
          <w:kern w:val="0"/>
          <w:sz w:val="24"/>
          <w:szCs w:val="24"/>
          <w:highlight w:val="none"/>
          <w:shd w:val="clear" w:color="auto" w:fill="FFFFFF"/>
          <w:lang w:val="en-US" w:eastAsia="zh-CN" w:bidi="ar-SA"/>
        </w:rPr>
        <w:t>对富平县精神病院医院信息化系统进行升级（HIS系统、电子病历系统EMR、LIS（检验）系统、PACS系统、服务器、虚拟化软件等）</w:t>
      </w:r>
      <w:r>
        <w:rPr>
          <w:rFonts w:hint="eastAsia" w:ascii="宋体" w:hAnsi="宋体" w:eastAsia="宋体" w:cs="宋体"/>
          <w:color w:val="333333"/>
          <w:kern w:val="0"/>
          <w:sz w:val="24"/>
          <w:szCs w:val="24"/>
          <w:highlight w:val="none"/>
          <w:shd w:val="clear" w:color="auto" w:fill="FFFFFF"/>
          <w:lang w:val="zh-CN" w:eastAsia="zh-CN" w:bidi="ar-SA"/>
        </w:rPr>
        <w:t xml:space="preserve">，1项， 采购预算： </w:t>
      </w:r>
      <w:r>
        <w:rPr>
          <w:rFonts w:hint="eastAsia" w:ascii="宋体" w:hAnsi="宋体" w:eastAsia="宋体" w:cs="宋体"/>
          <w:color w:val="333333"/>
          <w:kern w:val="0"/>
          <w:sz w:val="24"/>
          <w:szCs w:val="24"/>
          <w:highlight w:val="none"/>
          <w:shd w:val="clear" w:color="auto" w:fill="FFFFFF"/>
          <w:lang w:val="en-US" w:eastAsia="zh-CN" w:bidi="ar-SA"/>
        </w:rPr>
        <w:t>800000.00</w:t>
      </w:r>
      <w:r>
        <w:rPr>
          <w:rFonts w:hint="eastAsia" w:ascii="宋体" w:hAnsi="宋体" w:eastAsia="宋体" w:cs="宋体"/>
          <w:color w:val="333333"/>
          <w:kern w:val="0"/>
          <w:sz w:val="24"/>
          <w:szCs w:val="24"/>
          <w:highlight w:val="none"/>
          <w:shd w:val="clear" w:color="auto" w:fill="FFFFFF"/>
          <w:lang w:val="zh-CN" w:eastAsia="zh-CN" w:bidi="ar-SA"/>
        </w:rPr>
        <w:t>元</w:t>
      </w:r>
      <w:r>
        <w:rPr>
          <w:rFonts w:hint="eastAsia" w:ascii="宋体" w:hAnsi="宋体" w:eastAsia="宋体" w:cs="宋体"/>
          <w:color w:val="333333"/>
          <w:kern w:val="0"/>
          <w:sz w:val="24"/>
          <w:szCs w:val="24"/>
          <w:highlight w:val="none"/>
          <w:shd w:val="clear" w:color="auto" w:fill="FFFFFF"/>
          <w:lang w:val="en-US" w:eastAsia="zh-CN" w:bidi="ar-SA"/>
        </w:rPr>
        <w:t>， 项目概况：详见竞争性磋商文件</w:t>
      </w:r>
    </w:p>
    <w:p w14:paraId="5A355E35">
      <w:pPr>
        <w:pStyle w:val="18"/>
        <w:widowControl/>
        <w:numPr>
          <w:ilvl w:val="0"/>
          <w:numId w:val="0"/>
        </w:numPr>
        <w:spacing w:before="60" w:beforeAutospacing="0" w:after="60" w:afterAutospacing="0" w:line="480" w:lineRule="auto"/>
        <w:ind w:firstLine="480" w:firstLineChars="200"/>
        <w:textAlignment w:val="baseline"/>
        <w:rPr>
          <w:rFonts w:hint="eastAsia" w:ascii="宋体" w:hAnsi="宋体" w:cs="宋体"/>
          <w:color w:val="333333"/>
          <w:shd w:val="clear" w:color="auto" w:fill="FFFFFF"/>
          <w:lang w:eastAsia="zh-CN"/>
        </w:rPr>
      </w:pPr>
      <w:r>
        <w:rPr>
          <w:rFonts w:hint="eastAsia" w:ascii="宋体" w:hAnsi="宋体" w:eastAsia="宋体" w:cs="宋体"/>
          <w:color w:val="333333"/>
          <w:kern w:val="0"/>
          <w:sz w:val="24"/>
          <w:szCs w:val="24"/>
          <w:shd w:val="clear" w:fill="FFFFFF"/>
          <w:lang w:val="en-US" w:eastAsia="zh-CN" w:bidi="ar-SA"/>
        </w:rPr>
        <w:t>6、</w:t>
      </w:r>
      <w:r>
        <w:rPr>
          <w:rFonts w:hint="eastAsia" w:ascii="宋体" w:hAnsi="宋体" w:cs="宋体"/>
          <w:color w:val="333333"/>
          <w:shd w:val="clear" w:color="auto" w:fill="FFFFFF"/>
        </w:rPr>
        <w:t>合同履行期限：</w:t>
      </w:r>
      <w:r>
        <w:rPr>
          <w:rFonts w:hint="eastAsia" w:cs="宋体"/>
          <w:color w:val="333333"/>
          <w:highlight w:val="none"/>
          <w:shd w:val="clear" w:color="auto" w:fill="FFFFFF"/>
          <w:lang w:val="en-US" w:eastAsia="zh-CN"/>
        </w:rPr>
        <w:t>1年</w:t>
      </w:r>
      <w:r>
        <w:rPr>
          <w:rFonts w:hint="eastAsia" w:ascii="宋体" w:hAnsi="宋体" w:eastAsia="宋体" w:cs="宋体"/>
          <w:color w:val="333333"/>
          <w:highlight w:val="none"/>
          <w:shd w:val="clear" w:color="auto" w:fill="FFFFFF"/>
          <w:lang w:val="zh-CN"/>
        </w:rPr>
        <w:t>（具体服务起止日期可随合同签订时间相应顺延）</w:t>
      </w:r>
    </w:p>
    <w:p w14:paraId="354866E0">
      <w:pPr>
        <w:pStyle w:val="18"/>
        <w:widowControl/>
        <w:numPr>
          <w:ilvl w:val="0"/>
          <w:numId w:val="0"/>
        </w:numPr>
        <w:spacing w:before="60" w:beforeAutospacing="0" w:after="60" w:afterAutospacing="0" w:line="480" w:lineRule="auto"/>
        <w:ind w:right="0" w:rightChars="0" w:firstLine="480" w:firstLineChars="200"/>
        <w:textAlignment w:val="baseline"/>
        <w:rPr>
          <w:rFonts w:hint="eastAsia" w:ascii="宋体" w:hAnsi="宋体" w:cs="宋体"/>
        </w:rPr>
      </w:pPr>
      <w:r>
        <w:rPr>
          <w:rFonts w:hint="eastAsia" w:ascii="宋体" w:hAnsi="宋体" w:cs="宋体"/>
          <w:color w:val="333333"/>
          <w:shd w:val="clear" w:color="auto" w:fill="FFFFFF"/>
        </w:rPr>
        <w:t>7、本项目是否接受联合体投标：否</w:t>
      </w:r>
    </w:p>
    <w:p w14:paraId="78ED0CB7">
      <w:pPr>
        <w:spacing w:line="48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二、响应供应商的资格要求 </w:t>
      </w:r>
    </w:p>
    <w:p w14:paraId="3F47514F">
      <w:pPr>
        <w:spacing w:line="480" w:lineRule="auto"/>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1、满足《中华人民共和国政府采购法》第二十二条规定</w:t>
      </w:r>
    </w:p>
    <w:p w14:paraId="5685A775">
      <w:pPr>
        <w:spacing w:line="480" w:lineRule="auto"/>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2、落实政府采购政策需满足的资格要求：本项目</w:t>
      </w:r>
      <w:r>
        <w:rPr>
          <w:rFonts w:hint="eastAsia" w:asciiTheme="minorEastAsia" w:hAnsiTheme="minorEastAsia" w:cstheme="minorEastAsia"/>
          <w:color w:val="000000" w:themeColor="text1"/>
          <w:sz w:val="24"/>
          <w:lang w:val="en-US" w:eastAsia="zh-CN"/>
          <w14:textFill>
            <w14:solidFill>
              <w14:schemeClr w14:val="tx1"/>
            </w14:solidFill>
          </w14:textFill>
        </w:rPr>
        <w:t>非</w:t>
      </w:r>
      <w:r>
        <w:rPr>
          <w:rFonts w:hint="eastAsia" w:asciiTheme="minorEastAsia" w:hAnsiTheme="minorEastAsia" w:cstheme="minorEastAsia"/>
          <w:color w:val="000000" w:themeColor="text1"/>
          <w:sz w:val="24"/>
          <w14:textFill>
            <w14:solidFill>
              <w14:schemeClr w14:val="tx1"/>
            </w14:solidFill>
          </w14:textFill>
        </w:rPr>
        <w:t>专门面向中小企业采购。</w:t>
      </w:r>
    </w:p>
    <w:p w14:paraId="2CF60860">
      <w:pPr>
        <w:spacing w:line="480" w:lineRule="auto"/>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3、本项目的特定资格要求：</w:t>
      </w:r>
    </w:p>
    <w:p w14:paraId="7B630860">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1、投标人提供具有统一社会信用代码证的营业执照（或事业法人证），投标人为自然人的提供身份证；</w:t>
      </w:r>
    </w:p>
    <w:p w14:paraId="0D76A01A">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kern w:val="0"/>
          <w:sz w:val="24"/>
          <w:highlight w:val="none"/>
          <w:lang w:eastAsia="zh-CN"/>
        </w:rPr>
        <w:t>供应商应授权合法的人员参加投标全过程，其中法定代表人直接参加投标的，须出具法人代表身份证，并与营业执照上信息一致。法定代表人授权代表参加投标的，须出具法定代表人授权书及授权代表身份证</w:t>
      </w:r>
      <w:r>
        <w:rPr>
          <w:rFonts w:hint="eastAsia" w:ascii="宋体" w:hAnsi="宋体" w:cs="宋体"/>
          <w:kern w:val="0"/>
          <w:sz w:val="24"/>
          <w:highlight w:val="none"/>
        </w:rPr>
        <w:t>；</w:t>
      </w:r>
    </w:p>
    <w:p w14:paraId="4767868D">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3、须提供依法缴纳税收资金的良好记录（提供投标截止时间前六个月内任意一个月份的缴纳凭据复印件并加盖单位公章，依法免税或开标前一年内零申报的供应商应提供相关证明文件））</w:t>
      </w:r>
    </w:p>
    <w:p w14:paraId="1A1A421B">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4、须提供依法缴纳社会保障资金（养老保险）的良好记录（提供投标截止时间前六个月内任意一个月份的缴纳凭据复印件并加盖单位公章或其他相关证明资料）；</w:t>
      </w:r>
    </w:p>
    <w:p w14:paraId="662BE680">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5、供应商应在投标截止日前未被列入失信被执行人、重大税收违法案件当事人名单、政府采购严重违法失信行为记录名单（处罚期限届满的除外（以“信用中国”网站（www.creditchina.gov.cn）查询结果为准）；中国政府采购网（www.ccgp.gov.cn）提供政府采购严重违法失信行为记录名单（处罚期限届满的除外）网站截图并加盖单位公章。</w:t>
      </w:r>
    </w:p>
    <w:p w14:paraId="07467794">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6、满足《中华人民共和国政府采购法实施条例》第十八条规定。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2349C3A5">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7、须提供2023年或2024年经审计的财务报告（成立时间至提交响应文件截止时间不足一年的可提供成立后任意时段的财务报表）或基本存款账户开户银行出具的资信证明；</w:t>
      </w:r>
    </w:p>
    <w:p w14:paraId="0E7AF4C7">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8、提供近3年内在经营活动中没有重大违法记录的书面声明；</w:t>
      </w:r>
    </w:p>
    <w:p w14:paraId="3A5F9540">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9、提供投标保证金转账凭证复印件并加盖单位公章。</w:t>
      </w:r>
    </w:p>
    <w:p w14:paraId="4B428993">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10、提供具有履行本合同所必需的专业技术能力的说明及承诺。</w:t>
      </w:r>
    </w:p>
    <w:p w14:paraId="25B86BCB">
      <w:pPr>
        <w:spacing w:line="480" w:lineRule="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 xml:space="preserve">三、 采购文件的获取方式 </w:t>
      </w:r>
    </w:p>
    <w:p w14:paraId="0DA7C00A">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时间：202</w:t>
      </w:r>
      <w:r>
        <w:rPr>
          <w:rFonts w:hint="eastAsia" w:ascii="宋体" w:hAnsi="宋体" w:cs="宋体"/>
          <w:kern w:val="0"/>
          <w:sz w:val="24"/>
          <w:highlight w:val="none"/>
          <w:lang w:val="en-US" w:eastAsia="zh-CN"/>
        </w:rPr>
        <w:t>5</w:t>
      </w:r>
      <w:r>
        <w:rPr>
          <w:rFonts w:hint="eastAsia" w:ascii="宋体" w:hAnsi="宋体" w:cs="宋体"/>
          <w:kern w:val="0"/>
          <w:sz w:val="24"/>
          <w:highlight w:val="none"/>
        </w:rPr>
        <w:t>年</w:t>
      </w:r>
      <w:r>
        <w:rPr>
          <w:rFonts w:hint="eastAsia" w:ascii="宋体" w:hAnsi="宋体" w:cs="宋体"/>
          <w:kern w:val="0"/>
          <w:sz w:val="24"/>
          <w:highlight w:val="none"/>
          <w:lang w:val="en-US" w:eastAsia="zh-CN"/>
        </w:rPr>
        <w:t>02</w:t>
      </w:r>
      <w:r>
        <w:rPr>
          <w:rFonts w:hint="eastAsia" w:ascii="宋体" w:hAnsi="宋体" w:cs="宋体"/>
          <w:kern w:val="0"/>
          <w:sz w:val="24"/>
          <w:highlight w:val="none"/>
        </w:rPr>
        <w:t>月</w:t>
      </w:r>
      <w:r>
        <w:rPr>
          <w:rFonts w:hint="eastAsia" w:ascii="宋体" w:hAnsi="宋体" w:cs="宋体"/>
          <w:kern w:val="0"/>
          <w:sz w:val="24"/>
          <w:highlight w:val="none"/>
          <w:lang w:val="en-US" w:eastAsia="zh-CN"/>
        </w:rPr>
        <w:t>28</w:t>
      </w:r>
      <w:r>
        <w:rPr>
          <w:rFonts w:hint="eastAsia" w:ascii="宋体" w:hAnsi="宋体" w:cs="宋体"/>
          <w:kern w:val="0"/>
          <w:sz w:val="24"/>
          <w:highlight w:val="none"/>
        </w:rPr>
        <w:t>日 至 202</w:t>
      </w:r>
      <w:r>
        <w:rPr>
          <w:rFonts w:hint="eastAsia" w:ascii="宋体" w:hAnsi="宋体" w:cs="宋体"/>
          <w:kern w:val="0"/>
          <w:sz w:val="24"/>
          <w:highlight w:val="none"/>
          <w:lang w:val="en-US" w:eastAsia="zh-CN"/>
        </w:rPr>
        <w:t>5</w:t>
      </w:r>
      <w:r>
        <w:rPr>
          <w:rFonts w:hint="eastAsia" w:ascii="宋体" w:hAnsi="宋体" w:cs="宋体"/>
          <w:kern w:val="0"/>
          <w:sz w:val="24"/>
          <w:highlight w:val="none"/>
        </w:rPr>
        <w:t>年</w:t>
      </w:r>
      <w:r>
        <w:rPr>
          <w:rFonts w:hint="eastAsia" w:ascii="宋体" w:hAnsi="宋体" w:cs="宋体"/>
          <w:kern w:val="0"/>
          <w:sz w:val="24"/>
          <w:highlight w:val="none"/>
          <w:lang w:val="en-US" w:eastAsia="zh-CN"/>
        </w:rPr>
        <w:t>03</w:t>
      </w:r>
      <w:r>
        <w:rPr>
          <w:rFonts w:hint="eastAsia" w:ascii="宋体" w:hAnsi="宋体" w:cs="宋体"/>
          <w:kern w:val="0"/>
          <w:sz w:val="24"/>
          <w:highlight w:val="none"/>
        </w:rPr>
        <w:t>月</w:t>
      </w:r>
      <w:r>
        <w:rPr>
          <w:rFonts w:hint="eastAsia" w:ascii="宋体" w:hAnsi="宋体" w:cs="宋体"/>
          <w:kern w:val="0"/>
          <w:sz w:val="24"/>
          <w:highlight w:val="none"/>
          <w:lang w:val="en-US" w:eastAsia="zh-CN"/>
        </w:rPr>
        <w:t>07</w:t>
      </w:r>
      <w:r>
        <w:rPr>
          <w:rFonts w:hint="eastAsia" w:ascii="宋体" w:hAnsi="宋体" w:cs="宋体"/>
          <w:kern w:val="0"/>
          <w:sz w:val="24"/>
          <w:highlight w:val="none"/>
        </w:rPr>
        <w:t>日</w:t>
      </w:r>
      <w:r>
        <w:rPr>
          <w:rFonts w:hint="eastAsia" w:ascii="宋体" w:hAnsi="宋体" w:cs="宋体"/>
          <w:kern w:val="0"/>
          <w:sz w:val="24"/>
          <w:highlight w:val="none"/>
          <w:lang w:eastAsia="zh-CN"/>
        </w:rPr>
        <w:t>止</w:t>
      </w:r>
      <w:r>
        <w:rPr>
          <w:rFonts w:hint="eastAsia" w:ascii="宋体" w:hAnsi="宋体" w:cs="宋体"/>
          <w:kern w:val="0"/>
          <w:sz w:val="24"/>
          <w:highlight w:val="none"/>
        </w:rPr>
        <w:t> </w:t>
      </w:r>
    </w:p>
    <w:p w14:paraId="71FAE5DA">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每天上午09:00:00至11:30:00 ，下午14:30:00至18:00:00</w:t>
      </w:r>
      <w:r>
        <w:rPr>
          <w:rFonts w:hint="eastAsia" w:ascii="宋体" w:hAnsi="宋体" w:cs="宋体"/>
          <w:kern w:val="0"/>
          <w:sz w:val="24"/>
          <w:highlight w:val="none"/>
          <w:lang w:eastAsia="zh-CN"/>
        </w:rPr>
        <w:t>止</w:t>
      </w:r>
      <w:r>
        <w:rPr>
          <w:rFonts w:hint="eastAsia" w:ascii="宋体" w:hAnsi="宋体" w:cs="宋体"/>
          <w:kern w:val="0"/>
          <w:sz w:val="24"/>
          <w:highlight w:val="none"/>
        </w:rPr>
        <w:t xml:space="preserve"> （北京时间）    </w:t>
      </w:r>
    </w:p>
    <w:p w14:paraId="1D40155A">
      <w:pPr>
        <w:spacing w:line="480" w:lineRule="auto"/>
        <w:ind w:firstLine="480" w:firstLineChars="200"/>
        <w:rPr>
          <w:rFonts w:hint="eastAsia" w:eastAsia="宋体" w:asciiTheme="minorEastAsia" w:hAnsiTheme="minorEastAsia" w:cstheme="minorEastAsia"/>
          <w:color w:val="000000" w:themeColor="text1"/>
          <w:sz w:val="24"/>
          <w:highlight w:val="none"/>
          <w:lang w:eastAsia="zh-CN"/>
          <w14:textFill>
            <w14:solidFill>
              <w14:schemeClr w14:val="tx1"/>
            </w14:solidFill>
          </w14:textFill>
        </w:rPr>
      </w:pPr>
      <w:r>
        <w:rPr>
          <w:rFonts w:hint="eastAsia" w:ascii="宋体" w:hAnsi="宋体" w:cs="宋体"/>
          <w:kern w:val="0"/>
          <w:sz w:val="24"/>
          <w:highlight w:val="none"/>
        </w:rPr>
        <w:t>地点：</w:t>
      </w:r>
      <w:r>
        <w:rPr>
          <w:rFonts w:hint="eastAsia" w:ascii="宋体" w:hAnsi="宋体" w:cs="宋体"/>
          <w:kern w:val="0"/>
          <w:sz w:val="24"/>
          <w:highlight w:val="none"/>
          <w:lang w:eastAsia="zh-CN"/>
        </w:rPr>
        <w:t>陕西省渭南市富平县频阳大道108号云创大厦9楼919室</w:t>
      </w:r>
    </w:p>
    <w:p w14:paraId="738F9498">
      <w:pPr>
        <w:spacing w:line="480" w:lineRule="auto"/>
        <w:ind w:firstLine="480" w:firstLineChars="200"/>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方式：现场</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获取</w:t>
      </w:r>
    </w:p>
    <w:p w14:paraId="6FD6B40A">
      <w:pPr>
        <w:spacing w:line="480" w:lineRule="auto"/>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售价：</w:t>
      </w:r>
      <w:r>
        <w:rPr>
          <w:rFonts w:hint="eastAsia" w:ascii="宋体" w:hAnsi="宋体" w:cs="宋体"/>
          <w:kern w:val="0"/>
          <w:sz w:val="24"/>
          <w:highlight w:val="none"/>
          <w:lang w:val="en-US" w:eastAsia="zh-CN"/>
        </w:rPr>
        <w:t>0元获取</w:t>
      </w:r>
      <w:r>
        <w:rPr>
          <w:rFonts w:hint="eastAsia" w:ascii="宋体" w:hAnsi="宋体" w:cs="宋体"/>
          <w:kern w:val="0"/>
          <w:sz w:val="24"/>
          <w:szCs w:val="20"/>
          <w:highlight w:val="none"/>
        </w:rPr>
        <w:t>；</w:t>
      </w:r>
    </w:p>
    <w:p w14:paraId="794F0884">
      <w:pPr>
        <w:spacing w:line="480" w:lineRule="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 xml:space="preserve">四、 响应文件递交 </w:t>
      </w:r>
    </w:p>
    <w:p w14:paraId="16C176CB">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截止时间：</w:t>
      </w:r>
      <w:r>
        <w:rPr>
          <w:rFonts w:hint="eastAsia" w:ascii="宋体" w:hAnsi="宋体" w:cs="宋体"/>
          <w:kern w:val="0"/>
          <w:sz w:val="24"/>
          <w:highlight w:val="none"/>
        </w:rPr>
        <w:t>202</w:t>
      </w:r>
      <w:r>
        <w:rPr>
          <w:rFonts w:hint="eastAsia" w:ascii="宋体" w:hAnsi="宋体" w:cs="宋体"/>
          <w:kern w:val="0"/>
          <w:sz w:val="24"/>
          <w:highlight w:val="none"/>
          <w:lang w:val="en-US" w:eastAsia="zh-CN"/>
        </w:rPr>
        <w:t>5</w:t>
      </w:r>
      <w:r>
        <w:rPr>
          <w:rFonts w:hint="eastAsia" w:ascii="宋体" w:hAnsi="宋体" w:cs="宋体"/>
          <w:kern w:val="0"/>
          <w:sz w:val="24"/>
          <w:highlight w:val="none"/>
        </w:rPr>
        <w:t>年</w:t>
      </w:r>
      <w:r>
        <w:rPr>
          <w:rFonts w:hint="eastAsia" w:ascii="宋体" w:hAnsi="宋体" w:cs="宋体"/>
          <w:kern w:val="0"/>
          <w:sz w:val="24"/>
          <w:highlight w:val="none"/>
          <w:lang w:val="en-US" w:eastAsia="zh-CN"/>
        </w:rPr>
        <w:t>03</w:t>
      </w:r>
      <w:r>
        <w:rPr>
          <w:rFonts w:hint="eastAsia" w:ascii="宋体" w:hAnsi="宋体" w:cs="宋体"/>
          <w:kern w:val="0"/>
          <w:sz w:val="24"/>
          <w:highlight w:val="none"/>
        </w:rPr>
        <w:t>月</w:t>
      </w:r>
      <w:r>
        <w:rPr>
          <w:rFonts w:hint="eastAsia" w:ascii="宋体" w:hAnsi="宋体" w:cs="宋体"/>
          <w:kern w:val="0"/>
          <w:sz w:val="24"/>
          <w:highlight w:val="none"/>
          <w:lang w:val="en-US" w:eastAsia="zh-CN"/>
        </w:rPr>
        <w:t>11</w:t>
      </w:r>
      <w:r>
        <w:rPr>
          <w:rFonts w:hint="eastAsia" w:ascii="宋体" w:hAnsi="宋体" w:cs="宋体"/>
          <w:kern w:val="0"/>
          <w:sz w:val="24"/>
          <w:highlight w:val="none"/>
        </w:rPr>
        <w:t xml:space="preserve">日 </w:t>
      </w:r>
      <w:r>
        <w:rPr>
          <w:rFonts w:hint="eastAsia" w:ascii="宋体" w:hAnsi="宋体" w:cs="宋体"/>
          <w:kern w:val="0"/>
          <w:sz w:val="24"/>
          <w:highlight w:val="none"/>
          <w:lang w:val="en-US" w:eastAsia="zh-CN"/>
        </w:rPr>
        <w:t>14</w:t>
      </w:r>
      <w:r>
        <w:rPr>
          <w:rFonts w:hint="eastAsia" w:ascii="宋体" w:hAnsi="宋体" w:cs="宋体"/>
          <w:kern w:val="0"/>
          <w:sz w:val="24"/>
          <w:highlight w:val="none"/>
        </w:rPr>
        <w:t>时30分00秒</w:t>
      </w:r>
    </w:p>
    <w:p w14:paraId="7DED4EB1">
      <w:pPr>
        <w:spacing w:line="480" w:lineRule="auto"/>
        <w:ind w:firstLine="480" w:firstLineChars="200"/>
        <w:rPr>
          <w:rFonts w:hint="eastAsia" w:ascii="宋体" w:hAnsi="宋体" w:cs="宋体"/>
          <w:kern w:val="0"/>
          <w:sz w:val="24"/>
        </w:rPr>
      </w:pPr>
      <w:r>
        <w:rPr>
          <w:rFonts w:hint="eastAsia" w:ascii="宋体" w:hAnsi="宋体" w:cs="宋体"/>
          <w:kern w:val="0"/>
          <w:sz w:val="24"/>
        </w:rPr>
        <w:t>地点：</w:t>
      </w:r>
      <w:r>
        <w:rPr>
          <w:rFonts w:hint="eastAsia" w:ascii="宋体" w:hAnsi="宋体" w:cs="宋体"/>
          <w:kern w:val="0"/>
          <w:sz w:val="24"/>
          <w:lang w:eastAsia="zh-CN"/>
        </w:rPr>
        <w:t>陕西省渭南市富平县频阳大道108号云创大厦9楼会议室</w:t>
      </w:r>
      <w:r>
        <w:rPr>
          <w:rFonts w:hint="eastAsia" w:ascii="宋体" w:hAnsi="宋体" w:cs="宋体"/>
          <w:kern w:val="0"/>
          <w:sz w:val="24"/>
        </w:rPr>
        <w:t>。</w:t>
      </w:r>
    </w:p>
    <w:p w14:paraId="3E53A7E3">
      <w:pPr>
        <w:spacing w:line="48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五、公告期限</w:t>
      </w:r>
    </w:p>
    <w:p w14:paraId="32C852E9">
      <w:pPr>
        <w:spacing w:line="48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自本公告发布之日起</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14:textFill>
            <w14:solidFill>
              <w14:schemeClr w14:val="tx1"/>
            </w14:solidFill>
          </w14:textFill>
        </w:rPr>
        <w:t>个工作日。</w:t>
      </w:r>
    </w:p>
    <w:p w14:paraId="29C05FF6">
      <w:pPr>
        <w:spacing w:line="48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六、其他补充事宜</w:t>
      </w:r>
    </w:p>
    <w:p w14:paraId="7DF35A07">
      <w:pPr>
        <w:widowControl/>
        <w:spacing w:line="480" w:lineRule="auto"/>
        <w:ind w:firstLine="480" w:firstLineChars="200"/>
        <w:jc w:val="left"/>
        <w:rPr>
          <w:rFonts w:ascii="宋体" w:hAnsi="宋体" w:cs="宋体"/>
          <w:kern w:val="0"/>
          <w:sz w:val="24"/>
        </w:rPr>
      </w:pPr>
      <w:r>
        <w:rPr>
          <w:rFonts w:hint="eastAsia" w:ascii="宋体" w:hAnsi="宋体" w:cs="宋体"/>
          <w:kern w:val="0"/>
          <w:sz w:val="24"/>
        </w:rPr>
        <w:t>1.需要落实的政府采购政策：</w:t>
      </w:r>
    </w:p>
    <w:p w14:paraId="324E13C3">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（1）《节能产品政府采购实施意见》（财库〔2004〕185号）；</w:t>
      </w:r>
    </w:p>
    <w:p w14:paraId="4A328D94">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（2） 《国务院办公厅关于建立政府强制采购节能产品制度的通知》（国办发〔2007〕51号）；</w:t>
      </w:r>
    </w:p>
    <w:p w14:paraId="24B0FE16">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（3）《财政部司法部关于政府采购支持监狱企业发展有关问题的通知》（财库〔2014〕68号）；</w:t>
      </w:r>
    </w:p>
    <w:p w14:paraId="02D11430">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（4）三部门联合发布《关于促进残疾人就业政府采购政策的通知》（财库〔2017〕141号）；</w:t>
      </w:r>
    </w:p>
    <w:p w14:paraId="6E3D0560">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（5）《财政部发展改革委生态环境部市场监管总局关于调整优化节能产品、环境标志产品政府采购执行机制的通知》（财库〔2019〕9号）；</w:t>
      </w:r>
    </w:p>
    <w:p w14:paraId="509E7499">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（6）《关于促进政府采购公平竞争优化营商环境的通知》（财库〔2019〕38号）；</w:t>
      </w:r>
    </w:p>
    <w:p w14:paraId="1658452B">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（7）《财政部农业农村部 国家乡村振兴局关于运用政府采购政策支持乡村产业振兴的通知》（财库〔2021〕19号）；</w:t>
      </w:r>
    </w:p>
    <w:p w14:paraId="3F103695">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（8）陕西省财政厅《关于进一步加强政府绿色采购有关问题的通知》（陕财办采〔2021〕29号）；</w:t>
      </w:r>
    </w:p>
    <w:p w14:paraId="423B41B7">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（9）陕西省财政厅关于印发《陕西省中小企业政府采购信用融资办法》（陕财办采〔2018〕23号）；</w:t>
      </w:r>
    </w:p>
    <w:p w14:paraId="1AF1163F">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（10）《陕西省财政厅关于加快推进我省中小企业政府采购信用融资工作的通知》（陕财办采〔2020〕15号）；</w:t>
      </w:r>
    </w:p>
    <w:p w14:paraId="0341C6AC">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（11）《政府采购促进中小企业发展管理办法》（财库〔2020〕46号）；</w:t>
      </w:r>
    </w:p>
    <w:p w14:paraId="590E344D">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（12）《关于进一步加大政府采购支持中小企业力度的通知》（财库〔2022〕19号）；</w:t>
      </w:r>
    </w:p>
    <w:p w14:paraId="7D4585F2">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（13）《陕西省财政厅关于进一步落实政府采购支持中小企业相关政策的通知》（陕财办采〔2023〕3号）；</w:t>
      </w:r>
    </w:p>
    <w:p w14:paraId="6528258F">
      <w:pPr>
        <w:widowControl/>
        <w:spacing w:line="480" w:lineRule="auto"/>
        <w:jc w:val="left"/>
        <w:rPr>
          <w:rFonts w:hint="eastAsia" w:ascii="宋体" w:hAnsi="宋体" w:cs="宋体"/>
          <w:kern w:val="0"/>
          <w:sz w:val="24"/>
          <w:lang w:val="en-US" w:eastAsia="zh-CN"/>
        </w:rPr>
      </w:pPr>
      <w:r>
        <w:rPr>
          <w:rFonts w:hint="eastAsia" w:ascii="宋体" w:hAnsi="宋体" w:cs="宋体"/>
          <w:kern w:val="0"/>
          <w:sz w:val="24"/>
          <w:lang w:val="en-US" w:eastAsia="zh-CN"/>
        </w:rPr>
        <w:t>（14）《陕西省财政厅关于进一步优化政府采购营商环境有关事项的通知》（陕财办采（2023）4号）。</w:t>
      </w:r>
    </w:p>
    <w:p w14:paraId="73A21865">
      <w:pPr>
        <w:widowControl/>
        <w:spacing w:line="480" w:lineRule="auto"/>
        <w:jc w:val="left"/>
        <w:rPr>
          <w:rFonts w:ascii="宋体" w:hAnsi="宋体" w:cs="宋体"/>
          <w:kern w:val="0"/>
          <w:sz w:val="24"/>
        </w:rPr>
      </w:pPr>
      <w:r>
        <w:rPr>
          <w:rFonts w:hint="eastAsia" w:ascii="宋体" w:hAnsi="宋体" w:cs="宋体"/>
          <w:kern w:val="0"/>
          <w:sz w:val="24"/>
        </w:rPr>
        <w:t>（</w:t>
      </w:r>
      <w:r>
        <w:rPr>
          <w:rFonts w:hint="eastAsia" w:ascii="宋体" w:hAnsi="宋体" w:cs="宋体"/>
          <w:kern w:val="0"/>
          <w:sz w:val="24"/>
          <w:lang w:val="en-US" w:eastAsia="zh-CN"/>
        </w:rPr>
        <w:t>15</w:t>
      </w:r>
      <w:r>
        <w:rPr>
          <w:rFonts w:hint="eastAsia" w:ascii="宋体" w:hAnsi="宋体" w:cs="宋体"/>
          <w:kern w:val="0"/>
          <w:sz w:val="24"/>
        </w:rPr>
        <w:t>）其他需要落实的政府采购政策，详见招标文件。</w:t>
      </w:r>
    </w:p>
    <w:p w14:paraId="6E8E56F2">
      <w:pPr>
        <w:widowControl/>
        <w:spacing w:line="480" w:lineRule="auto"/>
        <w:ind w:firstLine="480" w:firstLineChars="200"/>
        <w:jc w:val="left"/>
        <w:rPr>
          <w:rFonts w:hint="eastAsia" w:eastAsia="宋体"/>
          <w:highlight w:val="none"/>
          <w:lang w:eastAsia="zh-CN"/>
        </w:rPr>
      </w:pPr>
      <w:r>
        <w:rPr>
          <w:rFonts w:hint="eastAsia" w:ascii="宋体" w:hAnsi="宋体" w:cs="宋体"/>
          <w:kern w:val="0"/>
          <w:sz w:val="24"/>
        </w:rPr>
        <w:t>2、现场报名方式：供应商请携带单位介绍信原件,经办人身份证原件及加盖供应商公章的复印件。 A.供应商介绍信（介绍信务</w:t>
      </w:r>
      <w:r>
        <w:rPr>
          <w:rFonts w:hint="eastAsia" w:ascii="宋体" w:hAnsi="宋体" w:cs="宋体"/>
          <w:kern w:val="0"/>
          <w:sz w:val="24"/>
          <w:highlight w:val="none"/>
        </w:rPr>
        <w:t>必填写项目名称并加盖公章）； B.经办人身份证复印件（正反两面并加盖公章）的扫描件；C.报名及文件领取表（供应商请自行下载并填写完整）</w:t>
      </w:r>
      <w:r>
        <w:rPr>
          <w:rFonts w:hint="eastAsia" w:ascii="宋体" w:hAnsi="宋体" w:cs="宋体"/>
          <w:kern w:val="0"/>
          <w:sz w:val="24"/>
          <w:highlight w:val="none"/>
          <w:lang w:eastAsia="zh-CN"/>
        </w:rPr>
        <w:t>。</w:t>
      </w:r>
    </w:p>
    <w:p w14:paraId="5EA53B55">
      <w:pPr>
        <w:spacing w:line="480" w:lineRule="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 xml:space="preserve">七、对本次采购提出询问，请按以下方式联系。 </w:t>
      </w:r>
    </w:p>
    <w:p w14:paraId="5048C85F">
      <w:pPr>
        <w:widowControl/>
        <w:numPr>
          <w:ilvl w:val="0"/>
          <w:numId w:val="3"/>
        </w:numPr>
        <w:spacing w:line="480" w:lineRule="auto"/>
        <w:contextualSpacing/>
        <w:jc w:val="left"/>
        <w:rPr>
          <w:rFonts w:hint="eastAsia" w:ascii="宋体" w:hAnsi="宋体" w:cs="宋体"/>
          <w:kern w:val="0"/>
          <w:sz w:val="24"/>
          <w:highlight w:val="none"/>
        </w:rPr>
      </w:pPr>
      <w:r>
        <w:rPr>
          <w:rFonts w:hint="eastAsia" w:ascii="宋体" w:hAnsi="宋体" w:cs="宋体"/>
          <w:kern w:val="0"/>
          <w:sz w:val="24"/>
          <w:highlight w:val="none"/>
        </w:rPr>
        <w:t>采购人信息：</w:t>
      </w:r>
      <w:r>
        <w:rPr>
          <w:rFonts w:hint="eastAsia" w:ascii="宋体" w:hAnsi="宋体" w:cs="宋体"/>
          <w:kern w:val="0"/>
          <w:sz w:val="24"/>
          <w:highlight w:val="none"/>
          <w:lang w:eastAsia="zh-CN"/>
        </w:rPr>
        <w:t>富平县精神病医院</w:t>
      </w:r>
    </w:p>
    <w:p w14:paraId="5B10EEEA">
      <w:pPr>
        <w:widowControl/>
        <w:spacing w:line="480" w:lineRule="auto"/>
        <w:ind w:firstLine="480" w:firstLineChars="200"/>
        <w:contextualSpacing/>
        <w:jc w:val="left"/>
        <w:rPr>
          <w:rFonts w:hint="default" w:ascii="宋体" w:hAnsi="宋体" w:eastAsia="宋体" w:cs="宋体"/>
          <w:kern w:val="0"/>
          <w:sz w:val="24"/>
          <w:highlight w:val="none"/>
          <w:lang w:val="en-US" w:eastAsia="zh-CN"/>
        </w:rPr>
      </w:pPr>
      <w:r>
        <w:rPr>
          <w:rFonts w:hint="eastAsia" w:ascii="宋体" w:hAnsi="宋体" w:cs="宋体"/>
          <w:kern w:val="0"/>
          <w:sz w:val="24"/>
          <w:highlight w:val="none"/>
        </w:rPr>
        <w:t>地址：富平县</w:t>
      </w:r>
      <w:r>
        <w:rPr>
          <w:rFonts w:hint="eastAsia" w:ascii="宋体" w:hAnsi="宋体" w:cs="宋体"/>
          <w:kern w:val="0"/>
          <w:sz w:val="24"/>
          <w:highlight w:val="none"/>
          <w:lang w:val="en-US" w:eastAsia="zh-CN"/>
        </w:rPr>
        <w:t>华朱街道</w:t>
      </w:r>
    </w:p>
    <w:p w14:paraId="660287DC">
      <w:pPr>
        <w:widowControl/>
        <w:spacing w:line="480" w:lineRule="auto"/>
        <w:ind w:firstLine="480" w:firstLineChars="200"/>
        <w:contextualSpacing/>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联系人：</w:t>
      </w:r>
      <w:r>
        <w:rPr>
          <w:rFonts w:hint="eastAsia" w:ascii="宋体" w:hAnsi="宋体" w:cs="宋体"/>
          <w:kern w:val="0"/>
          <w:sz w:val="24"/>
          <w:highlight w:val="none"/>
          <w:lang w:val="en-US" w:eastAsia="zh-CN"/>
        </w:rPr>
        <w:t>齐工</w:t>
      </w:r>
    </w:p>
    <w:p w14:paraId="037C50B1">
      <w:pPr>
        <w:widowControl/>
        <w:spacing w:line="480" w:lineRule="auto"/>
        <w:ind w:firstLine="480" w:firstLineChars="200"/>
        <w:contextualSpacing/>
        <w:jc w:val="left"/>
        <w:rPr>
          <w:rFonts w:hint="default" w:ascii="宋体" w:hAnsi="宋体" w:eastAsia="宋体" w:cs="宋体"/>
          <w:kern w:val="0"/>
          <w:sz w:val="24"/>
          <w:highlight w:val="none"/>
          <w:lang w:val="en-US" w:eastAsia="zh-CN"/>
        </w:rPr>
      </w:pPr>
      <w:r>
        <w:rPr>
          <w:rFonts w:hint="eastAsia" w:ascii="宋体" w:hAnsi="宋体" w:cs="宋体"/>
          <w:kern w:val="0"/>
          <w:sz w:val="24"/>
          <w:highlight w:val="none"/>
        </w:rPr>
        <w:t>电话：</w:t>
      </w:r>
      <w:r>
        <w:rPr>
          <w:rFonts w:hint="eastAsia" w:ascii="宋体" w:hAnsi="宋体" w:cs="宋体"/>
          <w:kern w:val="0"/>
          <w:sz w:val="24"/>
          <w:highlight w:val="none"/>
          <w:lang w:val="en-US" w:eastAsia="zh-CN"/>
        </w:rPr>
        <w:t>15353953537</w:t>
      </w:r>
    </w:p>
    <w:p w14:paraId="218BA752">
      <w:pPr>
        <w:widowControl/>
        <w:numPr>
          <w:ilvl w:val="0"/>
          <w:numId w:val="4"/>
        </w:numPr>
        <w:spacing w:line="480" w:lineRule="auto"/>
        <w:contextualSpacing/>
        <w:jc w:val="left"/>
        <w:rPr>
          <w:rFonts w:hint="eastAsia" w:ascii="宋体" w:hAnsi="宋体" w:cs="宋体"/>
          <w:kern w:val="0"/>
          <w:sz w:val="24"/>
          <w:highlight w:val="none"/>
        </w:rPr>
      </w:pPr>
      <w:r>
        <w:rPr>
          <w:rFonts w:hint="eastAsia" w:ascii="宋体" w:hAnsi="宋体" w:cs="宋体"/>
          <w:kern w:val="0"/>
          <w:sz w:val="24"/>
          <w:highlight w:val="none"/>
        </w:rPr>
        <w:t>项目联系方式</w:t>
      </w:r>
    </w:p>
    <w:p w14:paraId="555999F3">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项目联系人：</w:t>
      </w:r>
      <w:r>
        <w:rPr>
          <w:rFonts w:hint="eastAsia" w:ascii="宋体" w:hAnsi="宋体" w:cs="宋体"/>
          <w:kern w:val="0"/>
          <w:sz w:val="24"/>
          <w:highlight w:val="none"/>
          <w:lang w:val="en-US" w:eastAsia="zh-CN"/>
        </w:rPr>
        <w:t>冯</w:t>
      </w:r>
      <w:r>
        <w:rPr>
          <w:rFonts w:hint="eastAsia" w:ascii="宋体" w:hAnsi="宋体" w:cs="宋体"/>
          <w:kern w:val="0"/>
          <w:sz w:val="24"/>
          <w:highlight w:val="none"/>
        </w:rPr>
        <w:t>工</w:t>
      </w:r>
    </w:p>
    <w:p w14:paraId="22F36CD1">
      <w:pPr>
        <w:widowControl/>
        <w:spacing w:line="480" w:lineRule="auto"/>
        <w:ind w:firstLine="480" w:firstLineChars="200"/>
        <w:contextualSpacing/>
        <w:jc w:val="left"/>
        <w:rPr>
          <w:rFonts w:hint="default" w:ascii="宋体" w:hAnsi="宋体" w:eastAsia="宋体" w:cs="宋体"/>
          <w:kern w:val="0"/>
          <w:sz w:val="24"/>
          <w:highlight w:val="none"/>
          <w:lang w:val="en-US" w:eastAsia="zh-CN"/>
        </w:rPr>
      </w:pPr>
      <w:r>
        <w:rPr>
          <w:rFonts w:hint="eastAsia" w:ascii="宋体" w:hAnsi="宋体" w:cs="宋体"/>
          <w:kern w:val="0"/>
          <w:sz w:val="24"/>
          <w:highlight w:val="none"/>
        </w:rPr>
        <w:t>电 话：19</w:t>
      </w:r>
      <w:r>
        <w:rPr>
          <w:rFonts w:hint="eastAsia" w:ascii="宋体" w:hAnsi="宋体" w:cs="宋体"/>
          <w:kern w:val="0"/>
          <w:sz w:val="24"/>
          <w:highlight w:val="none"/>
          <w:lang w:val="en-US" w:eastAsia="zh-CN"/>
        </w:rPr>
        <w:t>992553730</w:t>
      </w:r>
    </w:p>
    <w:p w14:paraId="6218B7BD">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传 真：/</w:t>
      </w:r>
    </w:p>
    <w:p w14:paraId="783B23D1">
      <w:pPr>
        <w:widowControl/>
        <w:numPr>
          <w:ilvl w:val="0"/>
          <w:numId w:val="4"/>
        </w:numPr>
        <w:spacing w:line="480" w:lineRule="auto"/>
        <w:contextualSpacing/>
        <w:jc w:val="left"/>
        <w:rPr>
          <w:rFonts w:hint="eastAsia" w:ascii="宋体" w:hAnsi="宋体" w:cs="宋体"/>
          <w:kern w:val="0"/>
          <w:sz w:val="24"/>
          <w:highlight w:val="none"/>
        </w:rPr>
      </w:pPr>
      <w:r>
        <w:rPr>
          <w:rFonts w:hint="eastAsia" w:ascii="宋体" w:hAnsi="宋体" w:cs="宋体"/>
          <w:kern w:val="0"/>
          <w:sz w:val="24"/>
          <w:highlight w:val="none"/>
        </w:rPr>
        <w:t>采购代理机构信息</w:t>
      </w:r>
    </w:p>
    <w:p w14:paraId="21063315">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名称：泾清项目管理有限公司</w:t>
      </w:r>
    </w:p>
    <w:p w14:paraId="0C236C65">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联系地址：西安市高陵区鹿歌路东段</w:t>
      </w:r>
    </w:p>
    <w:p w14:paraId="0A46960E">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联系方式：19</w:t>
      </w:r>
      <w:r>
        <w:rPr>
          <w:rFonts w:hint="eastAsia" w:ascii="宋体" w:hAnsi="宋体" w:cs="宋体"/>
          <w:kern w:val="0"/>
          <w:sz w:val="24"/>
          <w:highlight w:val="none"/>
          <w:lang w:val="en-US" w:eastAsia="zh-CN"/>
        </w:rPr>
        <w:t>992553730</w:t>
      </w:r>
    </w:p>
    <w:p w14:paraId="4E9C10B6">
      <w:pPr>
        <w:spacing w:line="480" w:lineRule="auto"/>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八、附件：</w:t>
      </w:r>
    </w:p>
    <w:p w14:paraId="2B73D9E4">
      <w:pPr>
        <w:spacing w:line="480" w:lineRule="auto"/>
        <w:jc w:val="right"/>
        <w:rPr>
          <w:rFonts w:asciiTheme="minorEastAsia" w:hAnsiTheme="minorEastAsia" w:eastAsiaTheme="minorEastAsia" w:cstheme="minorEastAsia"/>
          <w:color w:val="000000" w:themeColor="text1"/>
          <w:sz w:val="24"/>
          <w:highlight w:val="none"/>
          <w14:textFill>
            <w14:solidFill>
              <w14:schemeClr w14:val="tx1"/>
            </w14:solidFill>
          </w14:textFill>
        </w:rPr>
      </w:pPr>
    </w:p>
    <w:p w14:paraId="7772AD8F">
      <w:pPr>
        <w:spacing w:line="480" w:lineRule="auto"/>
        <w:jc w:val="right"/>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泾清项目管理有限公司</w:t>
      </w:r>
    </w:p>
    <w:p w14:paraId="466C5E3B">
      <w:pPr>
        <w:spacing w:line="480" w:lineRule="auto"/>
        <w:jc w:val="right"/>
        <w:rPr>
          <w:rFonts w:asciiTheme="minorEastAsia" w:hAnsiTheme="minorEastAsia" w:eastAsiaTheme="minorEastAsia" w:cstheme="minorEastAsia"/>
          <w:color w:val="000000" w:themeColor="text1"/>
          <w:sz w:val="24"/>
          <w:highlight w:val="yellow"/>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202</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年</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02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月</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日</w:t>
      </w:r>
    </w:p>
    <w:p w14:paraId="3A502627">
      <w:pPr>
        <w:pStyle w:val="3"/>
        <w:rPr>
          <w:rFonts w:hint="eastAsia"/>
          <w:color w:val="000000" w:themeColor="text1"/>
          <w14:textFill>
            <w14:solidFill>
              <w14:schemeClr w14:val="tx1"/>
            </w14:solidFill>
          </w14:textFill>
        </w:rPr>
        <w:sectPr>
          <w:headerReference r:id="rId9" w:type="first"/>
          <w:footerReference r:id="rId11" w:type="first"/>
          <w:headerReference r:id="rId8" w:type="default"/>
          <w:footerReference r:id="rId10" w:type="default"/>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bookmarkStart w:id="2" w:name="_Toc23064"/>
    </w:p>
    <w:p w14:paraId="555194C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第二部分  磋商供应商须知</w:t>
      </w:r>
      <w:bookmarkEnd w:id="2"/>
    </w:p>
    <w:p w14:paraId="66723454">
      <w:pPr>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须知前附表</w:t>
      </w:r>
    </w:p>
    <w:tbl>
      <w:tblPr>
        <w:tblStyle w:val="2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837"/>
        <w:gridCol w:w="6735"/>
      </w:tblGrid>
      <w:tr w14:paraId="6701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08" w:type="dxa"/>
            <w:vAlign w:val="center"/>
          </w:tcPr>
          <w:p w14:paraId="54FD8F80">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1837" w:type="dxa"/>
            <w:vAlign w:val="center"/>
          </w:tcPr>
          <w:p w14:paraId="7E3F0218">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条款名称</w:t>
            </w:r>
          </w:p>
        </w:tc>
        <w:tc>
          <w:tcPr>
            <w:tcW w:w="6735" w:type="dxa"/>
            <w:vAlign w:val="center"/>
          </w:tcPr>
          <w:p w14:paraId="07D1C1BB">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编列内容</w:t>
            </w:r>
          </w:p>
        </w:tc>
      </w:tr>
      <w:tr w14:paraId="5F2C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608" w:type="dxa"/>
            <w:vAlign w:val="center"/>
          </w:tcPr>
          <w:p w14:paraId="26CF031C">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837" w:type="dxa"/>
            <w:vAlign w:val="center"/>
          </w:tcPr>
          <w:p w14:paraId="6D283430">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w:t>
            </w:r>
          </w:p>
        </w:tc>
        <w:tc>
          <w:tcPr>
            <w:tcW w:w="6735" w:type="dxa"/>
            <w:vAlign w:val="center"/>
          </w:tcPr>
          <w:p w14:paraId="05870E29">
            <w:pPr>
              <w:spacing w:line="420" w:lineRule="exac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采购人名称：</w:t>
            </w:r>
            <w:r>
              <w:rPr>
                <w:rFonts w:hint="eastAsia" w:ascii="宋体" w:hAnsi="宋体" w:cs="宋体"/>
                <w:color w:val="000000" w:themeColor="text1"/>
                <w:sz w:val="24"/>
                <w:lang w:eastAsia="zh-CN"/>
                <w14:textFill>
                  <w14:solidFill>
                    <w14:schemeClr w14:val="tx1"/>
                  </w14:solidFill>
                </w14:textFill>
              </w:rPr>
              <w:t>富平县精神病医院</w:t>
            </w:r>
          </w:p>
          <w:p w14:paraId="5A8F325D">
            <w:pPr>
              <w:spacing w:line="42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地址：</w:t>
            </w:r>
            <w:r>
              <w:rPr>
                <w:rFonts w:hint="eastAsia" w:ascii="宋体" w:hAnsi="宋体" w:cs="宋体"/>
                <w:kern w:val="0"/>
                <w:sz w:val="24"/>
              </w:rPr>
              <w:t>富平县</w:t>
            </w:r>
            <w:r>
              <w:rPr>
                <w:rFonts w:hint="eastAsia" w:ascii="宋体" w:hAnsi="宋体" w:cs="宋体"/>
                <w:kern w:val="0"/>
                <w:sz w:val="24"/>
                <w:lang w:val="en-US" w:eastAsia="zh-CN"/>
              </w:rPr>
              <w:t>华朱街道</w:t>
            </w:r>
          </w:p>
          <w:p w14:paraId="7318FB87">
            <w:pPr>
              <w:spacing w:line="42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w:t>
            </w:r>
            <w:r>
              <w:rPr>
                <w:rFonts w:hint="eastAsia" w:ascii="宋体" w:hAnsi="宋体" w:cs="宋体"/>
                <w:kern w:val="0"/>
                <w:sz w:val="24"/>
                <w:lang w:val="en-US" w:eastAsia="zh-CN"/>
              </w:rPr>
              <w:t>齐工</w:t>
            </w:r>
          </w:p>
          <w:p w14:paraId="78F968D3">
            <w:pPr>
              <w:spacing w:line="42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电话：</w:t>
            </w:r>
            <w:r>
              <w:rPr>
                <w:rFonts w:hint="eastAsia" w:ascii="宋体" w:hAnsi="宋体" w:cs="宋体"/>
                <w:kern w:val="0"/>
                <w:sz w:val="24"/>
                <w:lang w:val="en-US" w:eastAsia="zh-CN"/>
              </w:rPr>
              <w:t>15353953537</w:t>
            </w:r>
          </w:p>
        </w:tc>
      </w:tr>
      <w:tr w14:paraId="33BA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608" w:type="dxa"/>
            <w:vAlign w:val="center"/>
          </w:tcPr>
          <w:p w14:paraId="57519D4B">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837" w:type="dxa"/>
            <w:vAlign w:val="center"/>
          </w:tcPr>
          <w:p w14:paraId="6E8D91C5">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采购代理机构</w:t>
            </w:r>
          </w:p>
        </w:tc>
        <w:tc>
          <w:tcPr>
            <w:tcW w:w="6735" w:type="dxa"/>
            <w:vAlign w:val="center"/>
          </w:tcPr>
          <w:p w14:paraId="2FD4C99C">
            <w:pPr>
              <w:spacing w:line="42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名称：泾清项目管理有限公司</w:t>
            </w:r>
          </w:p>
          <w:p w14:paraId="29935C5E">
            <w:pPr>
              <w:spacing w:line="42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地址：</w:t>
            </w:r>
            <w:r>
              <w:rPr>
                <w:rFonts w:hint="eastAsia" w:ascii="宋体" w:hAnsi="宋体" w:cs="宋体"/>
                <w:kern w:val="0"/>
                <w:sz w:val="24"/>
              </w:rPr>
              <w:t>西安市高陵区鹿歌路东段</w:t>
            </w:r>
            <w:r>
              <w:rPr>
                <w:rFonts w:hint="eastAsia" w:ascii="宋体" w:hAnsi="宋体" w:cs="宋体"/>
                <w:color w:val="000000" w:themeColor="text1"/>
                <w:sz w:val="24"/>
                <w14:textFill>
                  <w14:solidFill>
                    <w14:schemeClr w14:val="tx1"/>
                  </w14:solidFill>
                </w14:textFill>
              </w:rPr>
              <w:t xml:space="preserve">    </w:t>
            </w:r>
          </w:p>
          <w:p w14:paraId="1784B08E">
            <w:pPr>
              <w:spacing w:line="420" w:lineRule="exac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联系人：许</w:t>
            </w:r>
            <w:r>
              <w:rPr>
                <w:rFonts w:hint="eastAsia" w:ascii="宋体" w:hAnsi="宋体" w:cs="宋体"/>
                <w:color w:val="000000" w:themeColor="text1"/>
                <w:sz w:val="24"/>
                <w:lang w:eastAsia="zh-CN"/>
                <w14:textFill>
                  <w14:solidFill>
                    <w14:schemeClr w14:val="tx1"/>
                  </w14:solidFill>
                </w14:textFill>
              </w:rPr>
              <w:t>工</w:t>
            </w:r>
          </w:p>
          <w:p w14:paraId="0744D7A1">
            <w:pPr>
              <w:spacing w:line="42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  话：19992553730</w:t>
            </w:r>
          </w:p>
        </w:tc>
      </w:tr>
      <w:tr w14:paraId="7DC1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Align w:val="center"/>
          </w:tcPr>
          <w:p w14:paraId="437AF4F2">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837" w:type="dxa"/>
            <w:vAlign w:val="center"/>
          </w:tcPr>
          <w:p w14:paraId="58A8280D">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6735" w:type="dxa"/>
            <w:vAlign w:val="center"/>
          </w:tcPr>
          <w:p w14:paraId="68D3DF5E">
            <w:pPr>
              <w:pStyle w:val="18"/>
              <w:widowControl/>
              <w:spacing w:before="150" w:beforeAutospacing="0" w:after="0" w:afterAutospacing="0" w:line="240" w:lineRule="auto"/>
              <w:textAlignment w:val="baseline"/>
              <w:rPr>
                <w:rFonts w:hint="eastAsia" w:ascii="宋体" w:hAnsi="宋体" w:eastAsia="宋体" w:cs="宋体"/>
                <w:color w:val="333333"/>
                <w:shd w:val="clear" w:color="auto" w:fill="FFFFFF"/>
                <w:lang w:val="zh-CN"/>
              </w:rPr>
            </w:pPr>
            <w:r>
              <w:rPr>
                <w:rFonts w:hint="eastAsia" w:cs="宋体"/>
                <w:color w:val="333333"/>
                <w:shd w:val="clear" w:color="auto" w:fill="FFFFFF"/>
                <w:lang w:val="en-US" w:eastAsia="zh-CN"/>
              </w:rPr>
              <w:t>富平县精神病医院信息化系统升级服务采购项目</w:t>
            </w:r>
          </w:p>
          <w:p w14:paraId="1B803135">
            <w:pPr>
              <w:spacing w:line="240" w:lineRule="auto"/>
              <w:jc w:val="left"/>
              <w:rPr>
                <w:rFonts w:ascii="宋体" w:hAnsi="宋体" w:cs="宋体"/>
                <w:color w:val="000000" w:themeColor="text1"/>
                <w:sz w:val="24"/>
                <w14:textFill>
                  <w14:solidFill>
                    <w14:schemeClr w14:val="tx1"/>
                  </w14:solidFill>
                </w14:textFill>
              </w:rPr>
            </w:pPr>
          </w:p>
        </w:tc>
      </w:tr>
      <w:tr w14:paraId="7E57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8" w:type="dxa"/>
            <w:vAlign w:val="center"/>
          </w:tcPr>
          <w:p w14:paraId="49ED9525">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837" w:type="dxa"/>
            <w:vAlign w:val="center"/>
          </w:tcPr>
          <w:p w14:paraId="2CACA29D">
            <w:pPr>
              <w:spacing w:line="4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735" w:type="dxa"/>
            <w:vAlign w:val="center"/>
          </w:tcPr>
          <w:p w14:paraId="28491CE2">
            <w:pPr>
              <w:spacing w:line="420" w:lineRule="exact"/>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JQ2025-ZFCG-01005</w:t>
            </w:r>
          </w:p>
        </w:tc>
      </w:tr>
      <w:tr w14:paraId="35E5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8" w:type="dxa"/>
            <w:vAlign w:val="center"/>
          </w:tcPr>
          <w:p w14:paraId="6526D4FD">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837" w:type="dxa"/>
            <w:vAlign w:val="center"/>
          </w:tcPr>
          <w:p w14:paraId="7876E464">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项目预算</w:t>
            </w:r>
          </w:p>
        </w:tc>
        <w:tc>
          <w:tcPr>
            <w:tcW w:w="6735" w:type="dxa"/>
            <w:vAlign w:val="center"/>
          </w:tcPr>
          <w:p w14:paraId="1219B4EF">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80</w:t>
            </w:r>
            <w:r>
              <w:rPr>
                <w:rFonts w:hint="eastAsia" w:ascii="宋体" w:hAnsi="宋体" w:eastAsia="宋体" w:cs="宋体"/>
                <w:color w:val="000000" w:themeColor="text1"/>
                <w:sz w:val="24"/>
                <w:lang w:val="en-US" w:eastAsia="zh-CN"/>
                <w14:textFill>
                  <w14:solidFill>
                    <w14:schemeClr w14:val="tx1"/>
                  </w14:solidFill>
                </w14:textFill>
              </w:rPr>
              <w:t>0000.00</w:t>
            </w:r>
            <w:r>
              <w:rPr>
                <w:rFonts w:hint="eastAsia" w:ascii="宋体" w:hAnsi="宋体" w:eastAsia="宋体" w:cs="宋体"/>
                <w:color w:val="000000" w:themeColor="text1"/>
                <w:sz w:val="24"/>
                <w14:textFill>
                  <w14:solidFill>
                    <w14:schemeClr w14:val="tx1"/>
                  </w14:solidFill>
                </w14:textFill>
              </w:rPr>
              <w:t>元</w:t>
            </w:r>
            <w:r>
              <w:rPr>
                <w:rFonts w:hint="eastAsia" w:ascii="宋体" w:hAnsi="宋体" w:cs="宋体"/>
                <w:color w:val="000000" w:themeColor="text1"/>
                <w:sz w:val="24"/>
                <w14:textFill>
                  <w14:solidFill>
                    <w14:schemeClr w14:val="tx1"/>
                  </w14:solidFill>
                </w14:textFill>
              </w:rPr>
              <w:t>（供应商报价不得超过预算，否则视为无效磋商）</w:t>
            </w:r>
          </w:p>
        </w:tc>
      </w:tr>
      <w:tr w14:paraId="3960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08" w:type="dxa"/>
            <w:vAlign w:val="center"/>
          </w:tcPr>
          <w:p w14:paraId="4A7D5C4F">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p>
        </w:tc>
        <w:tc>
          <w:tcPr>
            <w:tcW w:w="1837" w:type="dxa"/>
            <w:vAlign w:val="center"/>
          </w:tcPr>
          <w:p w14:paraId="0479FEDE">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资金来源及落实情况</w:t>
            </w:r>
          </w:p>
        </w:tc>
        <w:tc>
          <w:tcPr>
            <w:tcW w:w="6735" w:type="dxa"/>
            <w:vAlign w:val="center"/>
          </w:tcPr>
          <w:p w14:paraId="12D32740">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财政资金、</w:t>
            </w:r>
            <w:r>
              <w:rPr>
                <w:rFonts w:hint="eastAsia" w:ascii="宋体" w:hAnsi="宋体" w:cs="宋体"/>
                <w:color w:val="000000" w:themeColor="text1"/>
                <w:sz w:val="24"/>
                <w14:textFill>
                  <w14:solidFill>
                    <w14:schemeClr w14:val="tx1"/>
                  </w14:solidFill>
                </w14:textFill>
              </w:rPr>
              <w:t>已落实</w:t>
            </w:r>
          </w:p>
        </w:tc>
      </w:tr>
      <w:tr w14:paraId="5CDF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08" w:type="dxa"/>
            <w:vAlign w:val="center"/>
          </w:tcPr>
          <w:p w14:paraId="7897B357">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p>
        </w:tc>
        <w:tc>
          <w:tcPr>
            <w:tcW w:w="1837" w:type="dxa"/>
            <w:vAlign w:val="center"/>
          </w:tcPr>
          <w:p w14:paraId="4ACF4710">
            <w:pPr>
              <w:pStyle w:val="42"/>
              <w:widowControl w:val="0"/>
              <w:spacing w:before="0" w:beforeAutospacing="0" w:after="0" w:afterAutospacing="0" w:line="400" w:lineRule="exact"/>
              <w:rPr>
                <w:rFonts w:ascii="宋体" w:hAnsi="宋体" w:cs="宋体"/>
                <w:color w:val="000000" w:themeColor="text1"/>
                <w:sz w:val="24"/>
                <w14:textFill>
                  <w14:solidFill>
                    <w14:schemeClr w14:val="tx1"/>
                  </w14:solidFill>
                </w14:textFill>
              </w:rPr>
            </w:pPr>
            <w:r>
              <w:rPr>
                <w:rFonts w:hint="eastAsia" w:eastAsia="宋体"/>
                <w:b w:val="0"/>
                <w:sz w:val="24"/>
                <w:szCs w:val="24"/>
                <w:lang w:val="zh-CN"/>
              </w:rPr>
              <w:t>采购范围</w:t>
            </w:r>
          </w:p>
        </w:tc>
        <w:tc>
          <w:tcPr>
            <w:tcW w:w="6735" w:type="dxa"/>
            <w:vAlign w:val="center"/>
          </w:tcPr>
          <w:p w14:paraId="799807C1">
            <w:pPr>
              <w:spacing w:line="400" w:lineRule="exact"/>
              <w:rPr>
                <w:rFonts w:ascii="宋体" w:hAnsi="宋体" w:cs="宋体"/>
                <w:color w:val="000000" w:themeColor="text1"/>
                <w:sz w:val="24"/>
                <w14:textFill>
                  <w14:solidFill>
                    <w14:schemeClr w14:val="tx1"/>
                  </w14:solidFill>
                </w14:textFill>
              </w:rPr>
            </w:pPr>
            <w:r>
              <w:rPr>
                <w:rFonts w:hint="eastAsia" w:ascii="宋体" w:hAnsi="宋体"/>
                <w:spacing w:val="-6"/>
                <w:sz w:val="24"/>
              </w:rPr>
              <w:t>具体要求详见竞争性磋商文件</w:t>
            </w:r>
          </w:p>
        </w:tc>
      </w:tr>
      <w:tr w14:paraId="0048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608" w:type="dxa"/>
            <w:vAlign w:val="center"/>
          </w:tcPr>
          <w:p w14:paraId="7E2039F2">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p>
        </w:tc>
        <w:tc>
          <w:tcPr>
            <w:tcW w:w="1837" w:type="dxa"/>
            <w:vAlign w:val="center"/>
          </w:tcPr>
          <w:p w14:paraId="02A68615">
            <w:pPr>
              <w:pStyle w:val="10"/>
              <w:spacing w:line="460" w:lineRule="atLeast"/>
              <w:ind w:firstLine="240" w:firstLineChars="1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付款方式</w:t>
            </w:r>
          </w:p>
        </w:tc>
        <w:tc>
          <w:tcPr>
            <w:tcW w:w="6735" w:type="dxa"/>
            <w:vAlign w:val="center"/>
          </w:tcPr>
          <w:p w14:paraId="2B796BD7">
            <w:pPr>
              <w:snapToGrid w:val="0"/>
              <w:spacing w:line="360" w:lineRule="auto"/>
              <w:textAlignment w:val="baseline"/>
              <w:rPr>
                <w:rFonts w:hint="eastAsia" w:ascii="宋体" w:hAnsi="宋体" w:eastAsia="宋体" w:cs="宋体"/>
                <w:color w:val="000000" w:themeColor="text1"/>
                <w:sz w:val="24"/>
                <w:highlight w:val="none"/>
                <w:lang w:eastAsia="zh-CN"/>
                <w14:textFill>
                  <w14:solidFill>
                    <w14:schemeClr w14:val="tx1"/>
                  </w14:solidFill>
                </w14:textFill>
              </w:rPr>
            </w:pPr>
            <w:bookmarkStart w:id="3" w:name="OLE_LINK1"/>
            <w:r>
              <w:rPr>
                <w:rFonts w:hint="eastAsia" w:ascii="宋体" w:hAnsi="宋体" w:cs="宋体"/>
                <w:color w:val="auto"/>
                <w:sz w:val="24"/>
                <w:highlight w:val="none"/>
                <w:lang w:eastAsia="zh-CN"/>
              </w:rPr>
              <w:t>合同签订后，首付合同总价款的</w:t>
            </w:r>
            <w:r>
              <w:rPr>
                <w:rFonts w:hint="eastAsia" w:ascii="宋体" w:hAnsi="宋体" w:cs="宋体"/>
                <w:color w:val="auto"/>
                <w:sz w:val="24"/>
                <w:highlight w:val="none"/>
                <w:lang w:val="en-US" w:eastAsia="zh-CN"/>
              </w:rPr>
              <w:t>50</w:t>
            </w:r>
            <w:r>
              <w:rPr>
                <w:rFonts w:hint="eastAsia" w:ascii="宋体" w:hAnsi="宋体" w:cs="宋体"/>
                <w:color w:val="auto"/>
                <w:sz w:val="24"/>
                <w:highlight w:val="none"/>
                <w:lang w:eastAsia="zh-CN"/>
              </w:rPr>
              <w:t>%，验收合格后支付总价款的</w:t>
            </w:r>
            <w:r>
              <w:rPr>
                <w:rFonts w:hint="eastAsia" w:ascii="宋体" w:hAnsi="宋体" w:cs="宋体"/>
                <w:color w:val="auto"/>
                <w:sz w:val="24"/>
                <w:highlight w:val="none"/>
                <w:lang w:val="en-US" w:eastAsia="zh-CN"/>
              </w:rPr>
              <w:t>45</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验收合格1年</w:t>
            </w:r>
            <w:r>
              <w:rPr>
                <w:rFonts w:hint="eastAsia" w:ascii="宋体" w:hAnsi="宋体" w:cs="宋体"/>
                <w:color w:val="auto"/>
                <w:sz w:val="24"/>
                <w:highlight w:val="none"/>
                <w:lang w:eastAsia="zh-CN"/>
              </w:rPr>
              <w:t>后支付合同总价款的</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w:t>
            </w:r>
            <w:bookmarkEnd w:id="3"/>
          </w:p>
        </w:tc>
      </w:tr>
      <w:tr w14:paraId="3B68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608" w:type="dxa"/>
            <w:vAlign w:val="center"/>
          </w:tcPr>
          <w:p w14:paraId="4268877E">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w:t>
            </w:r>
          </w:p>
        </w:tc>
        <w:tc>
          <w:tcPr>
            <w:tcW w:w="1837" w:type="dxa"/>
            <w:vAlign w:val="center"/>
          </w:tcPr>
          <w:p w14:paraId="06D7773F">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供应商资质条件</w:t>
            </w:r>
          </w:p>
        </w:tc>
        <w:tc>
          <w:tcPr>
            <w:tcW w:w="6735" w:type="dxa"/>
            <w:vAlign w:val="center"/>
          </w:tcPr>
          <w:p w14:paraId="38EC7759">
            <w:pPr>
              <w:spacing w:line="240" w:lineRule="auto"/>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符合《中华人民共和国政府采购法》第二十二条的规定；</w:t>
            </w:r>
          </w:p>
          <w:p w14:paraId="77E2B796">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1、投标人提供具有统一社会信用代码证的营业执照（或事业法人证），投标人为自然人的提供身份证；</w:t>
            </w:r>
          </w:p>
          <w:p w14:paraId="6817F530">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kern w:val="0"/>
                <w:sz w:val="24"/>
                <w:highlight w:val="none"/>
                <w:lang w:eastAsia="zh-CN"/>
              </w:rPr>
              <w:t>供应商应授权合法的人员参加投标全过程，其中法定代表人直接参加投标的，须出具法人代表身份证，并与营业执照上信息一致。法定代表人授权代表参加投标的，须出具法定代表人授权书及授权代表身份证</w:t>
            </w:r>
            <w:r>
              <w:rPr>
                <w:rFonts w:hint="eastAsia" w:ascii="宋体" w:hAnsi="宋体" w:cs="宋体"/>
                <w:kern w:val="0"/>
                <w:sz w:val="24"/>
                <w:highlight w:val="none"/>
              </w:rPr>
              <w:t>；</w:t>
            </w:r>
          </w:p>
          <w:p w14:paraId="7C46C5BE">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3、须提供依法缴纳税收资金的良好记录（提供投标截止时间前六个月内任意一个月份的缴纳凭据复印件并加盖单位公章，依法免税或开标前一年内零申报的供应商应提供相关证明文件））</w:t>
            </w:r>
          </w:p>
          <w:p w14:paraId="29D872BC">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4、须提供依法缴纳社会保障资金（养老保险）的良好记录（提供投标截止时间前六个月内任意一个月份的缴纳凭据复印件并加盖单位公章或其他相关证明资料）；</w:t>
            </w:r>
          </w:p>
          <w:p w14:paraId="5081D7EF">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5、供应商应在投标截止日前未被列入失信被执行人、重大税收违法案件当事人名单、政府采购严重违法失信行为记录名单（处罚期限届满的除外（以“信用中国”网站（www.creditchina.gov.cn）查询结果为准）；中国政府采购网（www.ccgp.gov.cn）提供政府采购严重违法失信行为记录名单（处罚期限届满的除外）网站截图并加盖单位公章。</w:t>
            </w:r>
          </w:p>
          <w:p w14:paraId="67EF2DAD">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6、满足《中华人民共和国政府采购法实施条例》第十八条规定。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009B6698">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7、须提供2023年或2024年经审计的财务报告（成立时间至提交响应文件截止时间不足一年的可提供成立后任意时段的财务报表）或基本存款账户开户银行出具的资信证明；</w:t>
            </w:r>
          </w:p>
          <w:p w14:paraId="24CF4262">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8、提供近3年内在经营活动中没有重大违法记录的书面声明；</w:t>
            </w:r>
          </w:p>
          <w:p w14:paraId="5C6D3AE0">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9、提供投标保证金转账凭证复印件并加盖单位公章。</w:t>
            </w:r>
          </w:p>
          <w:p w14:paraId="1AB9F9D6">
            <w:pPr>
              <w:widowControl/>
              <w:spacing w:line="480" w:lineRule="auto"/>
              <w:ind w:firstLine="480" w:firstLineChars="200"/>
              <w:contextualSpacing/>
              <w:jc w:val="left"/>
              <w:rPr>
                <w:rFonts w:eastAsia="微软雅黑" w:asciiTheme="minorEastAsia" w:hAnsiTheme="minorEastAsia" w:cstheme="minorEastAsia"/>
                <w:color w:val="000000" w:themeColor="text1"/>
                <w:sz w:val="24"/>
                <w14:textFill>
                  <w14:solidFill>
                    <w14:schemeClr w14:val="tx1"/>
                  </w14:solidFill>
                </w14:textFill>
              </w:rPr>
            </w:pPr>
            <w:r>
              <w:rPr>
                <w:rFonts w:hint="eastAsia" w:ascii="宋体" w:hAnsi="宋体" w:cs="宋体"/>
                <w:kern w:val="0"/>
                <w:sz w:val="24"/>
              </w:rPr>
              <w:t>10、提供具有履行本合同所必需的专业技术能力的说明及承诺。</w:t>
            </w:r>
          </w:p>
        </w:tc>
      </w:tr>
      <w:tr w14:paraId="70D8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8" w:type="dxa"/>
            <w:vAlign w:val="center"/>
          </w:tcPr>
          <w:p w14:paraId="3886A54D">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tc>
        <w:tc>
          <w:tcPr>
            <w:tcW w:w="1837" w:type="dxa"/>
            <w:vAlign w:val="center"/>
          </w:tcPr>
          <w:p w14:paraId="5FC417FF">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联合体竞争性磋商</w:t>
            </w:r>
          </w:p>
        </w:tc>
        <w:tc>
          <w:tcPr>
            <w:tcW w:w="6735" w:type="dxa"/>
            <w:vAlign w:val="center"/>
          </w:tcPr>
          <w:p w14:paraId="606D1B88">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不接受</w:t>
            </w:r>
          </w:p>
        </w:tc>
      </w:tr>
      <w:tr w14:paraId="3D90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8" w:type="dxa"/>
            <w:vAlign w:val="center"/>
          </w:tcPr>
          <w:p w14:paraId="14477A83">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837" w:type="dxa"/>
            <w:vAlign w:val="center"/>
          </w:tcPr>
          <w:p w14:paraId="12BFE8F3">
            <w:pPr>
              <w:spacing w:line="4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供应商提出问题的截止时间</w:t>
            </w:r>
          </w:p>
        </w:tc>
        <w:tc>
          <w:tcPr>
            <w:tcW w:w="6735" w:type="dxa"/>
            <w:vAlign w:val="center"/>
          </w:tcPr>
          <w:p w14:paraId="75D2D927">
            <w:pPr>
              <w:spacing w:line="42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磋商文件递交截止时间3日前</w:t>
            </w:r>
          </w:p>
        </w:tc>
      </w:tr>
      <w:tr w14:paraId="2299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8" w:type="dxa"/>
            <w:vAlign w:val="center"/>
          </w:tcPr>
          <w:p w14:paraId="10F048CE">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837" w:type="dxa"/>
            <w:vAlign w:val="center"/>
          </w:tcPr>
          <w:p w14:paraId="01383825">
            <w:pPr>
              <w:spacing w:line="4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采购代理机构答疑的时间</w:t>
            </w:r>
          </w:p>
        </w:tc>
        <w:tc>
          <w:tcPr>
            <w:tcW w:w="6735" w:type="dxa"/>
            <w:vAlign w:val="center"/>
          </w:tcPr>
          <w:p w14:paraId="038D8897">
            <w:pPr>
              <w:spacing w:line="42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自收到供应商疑问2日内答疑</w:t>
            </w:r>
          </w:p>
        </w:tc>
      </w:tr>
      <w:tr w14:paraId="6E29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08" w:type="dxa"/>
            <w:vAlign w:val="center"/>
          </w:tcPr>
          <w:p w14:paraId="15A84DA5">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837" w:type="dxa"/>
            <w:vAlign w:val="center"/>
          </w:tcPr>
          <w:p w14:paraId="0BA3A1D8">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分包、转包</w:t>
            </w:r>
          </w:p>
        </w:tc>
        <w:tc>
          <w:tcPr>
            <w:tcW w:w="6735" w:type="dxa"/>
            <w:vAlign w:val="center"/>
          </w:tcPr>
          <w:p w14:paraId="41386C11">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tc>
      </w:tr>
      <w:tr w14:paraId="2130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08" w:type="dxa"/>
            <w:vAlign w:val="center"/>
          </w:tcPr>
          <w:p w14:paraId="3A0FD0F5">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14</w:t>
            </w:r>
          </w:p>
        </w:tc>
        <w:tc>
          <w:tcPr>
            <w:tcW w:w="1837" w:type="dxa"/>
            <w:vAlign w:val="center"/>
          </w:tcPr>
          <w:p w14:paraId="2B26419B">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交付期</w:t>
            </w:r>
          </w:p>
        </w:tc>
        <w:tc>
          <w:tcPr>
            <w:tcW w:w="6735" w:type="dxa"/>
            <w:vAlign w:val="center"/>
          </w:tcPr>
          <w:p w14:paraId="5A28B9A8">
            <w:pPr>
              <w:pStyle w:val="18"/>
              <w:widowControl/>
              <w:numPr>
                <w:ilvl w:val="0"/>
                <w:numId w:val="0"/>
              </w:numPr>
              <w:spacing w:before="60" w:beforeAutospacing="0" w:after="60" w:afterAutospacing="0" w:line="360" w:lineRule="auto"/>
              <w:textAlignment w:val="baseline"/>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自合同签订之日起</w:t>
            </w:r>
            <w:r>
              <w:rPr>
                <w:rFonts w:hint="eastAsia" w:cs="宋体"/>
                <w:color w:val="000000" w:themeColor="text1"/>
                <w:sz w:val="24"/>
                <w:highlight w:val="none"/>
                <w:lang w:val="en-US" w:eastAsia="zh-CN"/>
                <w14:textFill>
                  <w14:solidFill>
                    <w14:schemeClr w14:val="tx1"/>
                  </w14:solidFill>
                </w14:textFill>
              </w:rPr>
              <w:t>9</w:t>
            </w:r>
            <w:r>
              <w:rPr>
                <w:rFonts w:hint="eastAsia" w:ascii="宋体" w:hAnsi="宋体" w:cs="宋体"/>
                <w:color w:val="000000" w:themeColor="text1"/>
                <w:sz w:val="24"/>
                <w:highlight w:val="none"/>
                <w:lang w:val="en-US" w:eastAsia="zh-CN"/>
                <w14:textFill>
                  <w14:solidFill>
                    <w14:schemeClr w14:val="tx1"/>
                  </w14:solidFill>
                </w14:textFill>
              </w:rPr>
              <w:t>0个日历天</w:t>
            </w:r>
            <w:r>
              <w:rPr>
                <w:rFonts w:hint="eastAsia" w:ascii="宋体" w:hAnsi="宋体" w:cs="宋体"/>
                <w:color w:val="000000" w:themeColor="text1"/>
                <w:sz w:val="24"/>
                <w:lang w:val="en-US" w:eastAsia="zh-CN"/>
                <w14:textFill>
                  <w14:solidFill>
                    <w14:schemeClr w14:val="tx1"/>
                  </w14:solidFill>
                </w14:textFill>
              </w:rPr>
              <w:t>内交付使用</w:t>
            </w:r>
          </w:p>
        </w:tc>
      </w:tr>
      <w:tr w14:paraId="3CCB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08" w:type="dxa"/>
            <w:vAlign w:val="center"/>
          </w:tcPr>
          <w:p w14:paraId="1226D95A">
            <w:pPr>
              <w:spacing w:line="420" w:lineRule="exact"/>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15</w:t>
            </w:r>
          </w:p>
        </w:tc>
        <w:tc>
          <w:tcPr>
            <w:tcW w:w="1837" w:type="dxa"/>
            <w:vAlign w:val="center"/>
          </w:tcPr>
          <w:p w14:paraId="050C784D">
            <w:pPr>
              <w:spacing w:line="420" w:lineRule="exact"/>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服务期</w:t>
            </w:r>
          </w:p>
        </w:tc>
        <w:tc>
          <w:tcPr>
            <w:tcW w:w="6735" w:type="dxa"/>
            <w:vAlign w:val="center"/>
          </w:tcPr>
          <w:p w14:paraId="55C73706">
            <w:pPr>
              <w:pStyle w:val="18"/>
              <w:widowControl/>
              <w:numPr>
                <w:ilvl w:val="0"/>
                <w:numId w:val="0"/>
              </w:numPr>
              <w:spacing w:before="60" w:beforeAutospacing="0" w:after="60" w:afterAutospacing="0" w:line="360" w:lineRule="auto"/>
              <w:textAlignment w:val="baseline"/>
              <w:rPr>
                <w:rFonts w:hint="default" w:cs="宋体"/>
                <w:color w:val="333333"/>
                <w:shd w:val="clear" w:color="auto" w:fill="FFFFFF"/>
                <w:lang w:val="en-US" w:eastAsia="zh-CN"/>
              </w:rPr>
            </w:pPr>
            <w:r>
              <w:rPr>
                <w:rFonts w:hint="eastAsia" w:cs="宋体"/>
                <w:color w:val="333333"/>
                <w:highlight w:val="none"/>
                <w:shd w:val="clear" w:color="auto" w:fill="FFFFFF"/>
                <w:lang w:val="en-US" w:eastAsia="zh-CN"/>
              </w:rPr>
              <w:t>1年</w:t>
            </w:r>
          </w:p>
        </w:tc>
      </w:tr>
      <w:tr w14:paraId="6F1E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08" w:type="dxa"/>
            <w:vAlign w:val="center"/>
          </w:tcPr>
          <w:p w14:paraId="7A913465">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6</w:t>
            </w:r>
          </w:p>
        </w:tc>
        <w:tc>
          <w:tcPr>
            <w:tcW w:w="1837" w:type="dxa"/>
            <w:vAlign w:val="center"/>
          </w:tcPr>
          <w:p w14:paraId="4A414DD4">
            <w:pPr>
              <w:spacing w:line="400" w:lineRule="exact"/>
              <w:jc w:val="center"/>
              <w:rPr>
                <w:rFonts w:ascii="宋体" w:hAnsi="宋体" w:cs="宋体"/>
                <w:color w:val="000000" w:themeColor="text1"/>
                <w:sz w:val="24"/>
                <w14:textFill>
                  <w14:solidFill>
                    <w14:schemeClr w14:val="tx1"/>
                  </w14:solidFill>
                </w14:textFill>
              </w:rPr>
            </w:pPr>
            <w:r>
              <w:rPr>
                <w:rFonts w:hint="eastAsia" w:ascii="宋体" w:hAnsi="宋体" w:eastAsia="宋体" w:cs="宋体"/>
                <w:b w:val="0"/>
                <w:bCs/>
                <w:color w:val="000000"/>
                <w:sz w:val="24"/>
                <w:highlight w:val="none"/>
                <w:lang w:val="en-US" w:eastAsia="zh-CN"/>
              </w:rPr>
              <w:t>质量标准</w:t>
            </w:r>
          </w:p>
        </w:tc>
        <w:tc>
          <w:tcPr>
            <w:tcW w:w="6735" w:type="dxa"/>
            <w:vAlign w:val="center"/>
          </w:tcPr>
          <w:p w14:paraId="4210B523">
            <w:pPr>
              <w:spacing w:line="400" w:lineRule="exact"/>
              <w:rPr>
                <w:rFonts w:ascii="宋体" w:hAnsi="宋体" w:cs="宋体"/>
                <w:color w:val="000000" w:themeColor="text1"/>
                <w:sz w:val="24"/>
                <w14:textFill>
                  <w14:solidFill>
                    <w14:schemeClr w14:val="tx1"/>
                  </w14:solidFill>
                </w14:textFill>
              </w:rPr>
            </w:pPr>
            <w:r>
              <w:rPr>
                <w:rFonts w:hint="eastAsia" w:ascii="宋体" w:hAnsi="宋体" w:eastAsia="宋体" w:cs="宋体"/>
                <w:b w:val="0"/>
                <w:bCs/>
                <w:color w:val="000000"/>
                <w:kern w:val="1"/>
                <w:sz w:val="24"/>
                <w:highlight w:val="none"/>
                <w:lang w:val="en-US" w:eastAsia="zh-CN"/>
              </w:rPr>
              <w:t>合格</w:t>
            </w:r>
          </w:p>
        </w:tc>
      </w:tr>
      <w:tr w14:paraId="198D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08" w:type="dxa"/>
            <w:vAlign w:val="center"/>
          </w:tcPr>
          <w:p w14:paraId="16F58F43">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7</w:t>
            </w:r>
          </w:p>
        </w:tc>
        <w:tc>
          <w:tcPr>
            <w:tcW w:w="1837" w:type="dxa"/>
            <w:vAlign w:val="center"/>
          </w:tcPr>
          <w:p w14:paraId="6EE3EFB6">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磋商有效期</w:t>
            </w:r>
          </w:p>
        </w:tc>
        <w:tc>
          <w:tcPr>
            <w:tcW w:w="6735" w:type="dxa"/>
            <w:vAlign w:val="center"/>
          </w:tcPr>
          <w:p w14:paraId="461848BB">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有效期为从提交磋商响应文件的截止时间起九十（90）个日历日；磋商响应文件中必须载明磋商有效期，磋商响应文件中载明的磋商有效期可以长于磋商文件规定的期限，但不得短于磋商文件规定的期限。在有效期内磋商响应文件对磋商供应商具有法律约束力，成交供应商的磋商响应文件有效期延长至合同执行完毕。</w:t>
            </w:r>
          </w:p>
        </w:tc>
      </w:tr>
      <w:tr w14:paraId="13F3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0F7E05D6">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8</w:t>
            </w:r>
          </w:p>
        </w:tc>
        <w:tc>
          <w:tcPr>
            <w:tcW w:w="1837" w:type="dxa"/>
            <w:tcBorders>
              <w:top w:val="single" w:color="auto" w:sz="4" w:space="0"/>
              <w:left w:val="single" w:color="auto" w:sz="4" w:space="0"/>
              <w:bottom w:val="single" w:color="auto" w:sz="4" w:space="0"/>
              <w:right w:val="single" w:color="auto" w:sz="4" w:space="0"/>
            </w:tcBorders>
            <w:vAlign w:val="center"/>
          </w:tcPr>
          <w:p w14:paraId="04F1B610">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磋商保证金</w:t>
            </w:r>
          </w:p>
        </w:tc>
        <w:tc>
          <w:tcPr>
            <w:tcW w:w="6735" w:type="dxa"/>
            <w:tcBorders>
              <w:top w:val="single" w:color="auto" w:sz="4" w:space="0"/>
              <w:left w:val="single" w:color="auto" w:sz="4" w:space="0"/>
              <w:bottom w:val="single" w:color="auto" w:sz="4" w:space="0"/>
              <w:right w:val="single" w:color="auto" w:sz="4" w:space="0"/>
            </w:tcBorders>
            <w:vAlign w:val="center"/>
          </w:tcPr>
          <w:p w14:paraId="4E089EF8">
            <w:pPr>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在磋商响应文件提交截止前（以招标代理公司到账时间为准）向泾清项目管理有限公司交纳磋商保证金。保证金应当采用转账、网上银行支付或者保函等非现金形式交纳。保证金以转账、网上银行支付等方式交纳的，应从其基本账户足额交纳，以银行确认的收款账户到账时间为准；保证金以保函方式交纳的，供应商应将保函提交给泾清项目管理有限公司财务部门，到账时间以财务部门开具收据时间为准。（联系人及电话：韩瑞 15353399106）。</w:t>
            </w:r>
          </w:p>
          <w:p w14:paraId="7721A469">
            <w:pPr>
              <w:spacing w:line="440" w:lineRule="exac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保证金的金额：人民币</w:t>
            </w:r>
            <w:r>
              <w:rPr>
                <w:rFonts w:hint="eastAsia" w:ascii="宋体" w:hAnsi="宋体" w:cs="宋体"/>
                <w:color w:val="000000" w:themeColor="text1"/>
                <w:sz w:val="24"/>
                <w:lang w:val="en-US" w:eastAsia="zh-CN"/>
                <w14:textFill>
                  <w14:solidFill>
                    <w14:schemeClr w14:val="tx1"/>
                  </w14:solidFill>
                </w14:textFill>
              </w:rPr>
              <w:t>伍仟元整</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000.00元）</w:t>
            </w:r>
          </w:p>
          <w:p w14:paraId="139EF198">
            <w:pPr>
              <w:spacing w:line="440" w:lineRule="exac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收款单位：</w:t>
            </w:r>
            <w:r>
              <w:rPr>
                <w:rFonts w:hint="eastAsia" w:cs="宋体"/>
                <w:color w:val="000000"/>
                <w:sz w:val="24"/>
              </w:rPr>
              <w:t>泾清项目管理有限公司富平分公司</w:t>
            </w:r>
          </w:p>
          <w:p w14:paraId="2F77ABB7">
            <w:pPr>
              <w:spacing w:line="440" w:lineRule="exac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开户银行：中国建设银行股份有限公司富平县支行</w:t>
            </w:r>
          </w:p>
          <w:p w14:paraId="5E54766D">
            <w:pPr>
              <w:spacing w:line="440" w:lineRule="exac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账    号：610501 648308 00002 007</w:t>
            </w:r>
          </w:p>
          <w:p w14:paraId="7F1FB8AF">
            <w:pPr>
              <w:spacing w:line="440" w:lineRule="exac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转账事由：</w:t>
            </w:r>
            <w:r>
              <w:rPr>
                <w:rFonts w:hint="eastAsia" w:ascii="宋体" w:hAnsi="宋体" w:cs="宋体"/>
                <w:color w:val="000000" w:themeColor="text1"/>
                <w:sz w:val="24"/>
                <w:lang w:eastAsia="zh-CN"/>
                <w14:textFill>
                  <w14:solidFill>
                    <w14:schemeClr w14:val="tx1"/>
                  </w14:solidFill>
                </w14:textFill>
              </w:rPr>
              <w:t>JQ2025-ZFCG-01005</w:t>
            </w:r>
            <w:r>
              <w:rPr>
                <w:rFonts w:hint="eastAsia" w:ascii="宋体" w:hAnsi="宋体" w:cs="宋体"/>
                <w:color w:val="000000" w:themeColor="text1"/>
                <w:sz w:val="24"/>
                <w14:textFill>
                  <w14:solidFill>
                    <w14:schemeClr w14:val="tx1"/>
                  </w14:solidFill>
                </w14:textFill>
              </w:rPr>
              <w:t>磋商保证金</w:t>
            </w:r>
          </w:p>
          <w:p w14:paraId="328550CB">
            <w:pPr>
              <w:spacing w:line="420" w:lineRule="exac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磋商保证金有效期：从提交磋商响应文件的截止时间起九十（90）个日历日。</w:t>
            </w:r>
          </w:p>
        </w:tc>
      </w:tr>
      <w:tr w14:paraId="6EC2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72981FFD">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9</w:t>
            </w:r>
          </w:p>
        </w:tc>
        <w:tc>
          <w:tcPr>
            <w:tcW w:w="1837" w:type="dxa"/>
            <w:tcBorders>
              <w:top w:val="single" w:color="auto" w:sz="4" w:space="0"/>
              <w:left w:val="single" w:color="auto" w:sz="4" w:space="0"/>
              <w:bottom w:val="single" w:color="auto" w:sz="4" w:space="0"/>
              <w:right w:val="single" w:color="auto" w:sz="4" w:space="0"/>
            </w:tcBorders>
            <w:vAlign w:val="center"/>
          </w:tcPr>
          <w:p w14:paraId="2D91EE7E">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履约担保</w:t>
            </w:r>
          </w:p>
        </w:tc>
        <w:tc>
          <w:tcPr>
            <w:tcW w:w="6735" w:type="dxa"/>
            <w:tcBorders>
              <w:top w:val="single" w:color="auto" w:sz="4" w:space="0"/>
              <w:left w:val="single" w:color="auto" w:sz="4" w:space="0"/>
              <w:bottom w:val="single" w:color="auto" w:sz="4" w:space="0"/>
              <w:right w:val="single" w:color="auto" w:sz="4" w:space="0"/>
            </w:tcBorders>
            <w:vAlign w:val="center"/>
          </w:tcPr>
          <w:p w14:paraId="27213CF3">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tc>
      </w:tr>
      <w:tr w14:paraId="6F8F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20F2E2F6">
            <w:pPr>
              <w:spacing w:line="420" w:lineRule="exact"/>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20</w:t>
            </w:r>
          </w:p>
        </w:tc>
        <w:tc>
          <w:tcPr>
            <w:tcW w:w="1837" w:type="dxa"/>
            <w:tcBorders>
              <w:top w:val="single" w:color="auto" w:sz="4" w:space="0"/>
              <w:left w:val="single" w:color="auto" w:sz="4" w:space="0"/>
              <w:bottom w:val="single" w:color="auto" w:sz="4" w:space="0"/>
              <w:right w:val="single" w:color="auto" w:sz="4" w:space="0"/>
            </w:tcBorders>
            <w:vAlign w:val="center"/>
          </w:tcPr>
          <w:p w14:paraId="20DF66CE">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是否允许递交备选磋商文件方案</w:t>
            </w:r>
          </w:p>
        </w:tc>
        <w:tc>
          <w:tcPr>
            <w:tcW w:w="6735" w:type="dxa"/>
            <w:tcBorders>
              <w:top w:val="single" w:color="auto" w:sz="4" w:space="0"/>
              <w:left w:val="single" w:color="auto" w:sz="4" w:space="0"/>
              <w:bottom w:val="single" w:color="auto" w:sz="4" w:space="0"/>
              <w:right w:val="single" w:color="auto" w:sz="4" w:space="0"/>
            </w:tcBorders>
            <w:vAlign w:val="center"/>
          </w:tcPr>
          <w:p w14:paraId="17985DF4">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tc>
      </w:tr>
      <w:tr w14:paraId="4956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7104BA98">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1</w:t>
            </w:r>
          </w:p>
        </w:tc>
        <w:tc>
          <w:tcPr>
            <w:tcW w:w="1837" w:type="dxa"/>
            <w:tcBorders>
              <w:top w:val="single" w:color="auto" w:sz="4" w:space="0"/>
              <w:left w:val="single" w:color="auto" w:sz="4" w:space="0"/>
              <w:bottom w:val="single" w:color="auto" w:sz="4" w:space="0"/>
              <w:right w:val="single" w:color="auto" w:sz="4" w:space="0"/>
            </w:tcBorders>
            <w:vAlign w:val="center"/>
          </w:tcPr>
          <w:p w14:paraId="323FC4D9">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签字或盖章要求</w:t>
            </w:r>
          </w:p>
        </w:tc>
        <w:tc>
          <w:tcPr>
            <w:tcW w:w="6735" w:type="dxa"/>
            <w:tcBorders>
              <w:top w:val="single" w:color="auto" w:sz="4" w:space="0"/>
              <w:left w:val="single" w:color="auto" w:sz="4" w:space="0"/>
              <w:bottom w:val="single" w:color="auto" w:sz="4" w:space="0"/>
              <w:right w:val="single" w:color="auto" w:sz="4" w:space="0"/>
            </w:tcBorders>
            <w:vAlign w:val="center"/>
          </w:tcPr>
          <w:p w14:paraId="5A82C007">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磋商响应文件封面、磋商函等响应文件中要求盖章签字的地方，均应按要求加盖供应商印章，并经法人或授权委托人签字或盖章。</w:t>
            </w:r>
          </w:p>
        </w:tc>
      </w:tr>
      <w:tr w14:paraId="0844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27495B68">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2</w:t>
            </w:r>
          </w:p>
        </w:tc>
        <w:tc>
          <w:tcPr>
            <w:tcW w:w="1837" w:type="dxa"/>
            <w:tcBorders>
              <w:top w:val="single" w:color="auto" w:sz="4" w:space="0"/>
              <w:left w:val="single" w:color="auto" w:sz="4" w:space="0"/>
              <w:bottom w:val="single" w:color="auto" w:sz="4" w:space="0"/>
              <w:right w:val="single" w:color="auto" w:sz="4" w:space="0"/>
            </w:tcBorders>
            <w:vAlign w:val="center"/>
          </w:tcPr>
          <w:p w14:paraId="67CB4067">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磋商文件份数</w:t>
            </w:r>
          </w:p>
        </w:tc>
        <w:tc>
          <w:tcPr>
            <w:tcW w:w="6735" w:type="dxa"/>
            <w:tcBorders>
              <w:top w:val="single" w:color="auto" w:sz="4" w:space="0"/>
              <w:left w:val="single" w:color="auto" w:sz="4" w:space="0"/>
              <w:bottom w:val="single" w:color="auto" w:sz="4" w:space="0"/>
              <w:right w:val="single" w:color="auto" w:sz="4" w:space="0"/>
            </w:tcBorders>
            <w:vAlign w:val="center"/>
          </w:tcPr>
          <w:p w14:paraId="602D1ECE">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磋商响应文件一律采用书籍（胶装）方式装订。磋商响应文件正本壹份、副本贰份、电子版（U盘）</w:t>
            </w:r>
            <w:r>
              <w:rPr>
                <w:rFonts w:hint="eastAsia" w:ascii="宋体" w:hAnsi="宋体" w:cs="宋体"/>
                <w:color w:val="000000" w:themeColor="text1"/>
                <w:sz w:val="24"/>
                <w:lang w:val="en-US" w:eastAsia="zh-CN"/>
                <w14:textFill>
                  <w14:solidFill>
                    <w14:schemeClr w14:val="tx1"/>
                  </w14:solidFill>
                </w14:textFill>
              </w:rPr>
              <w:t>壹</w:t>
            </w:r>
            <w:r>
              <w:rPr>
                <w:rFonts w:hint="eastAsia" w:ascii="宋体" w:hAnsi="宋体" w:cs="宋体"/>
                <w:color w:val="000000" w:themeColor="text1"/>
                <w:sz w:val="24"/>
                <w14:textFill>
                  <w14:solidFill>
                    <w14:schemeClr w14:val="tx1"/>
                  </w14:solidFill>
                </w14:textFill>
              </w:rPr>
              <w:t>份（word一份包含磋商响应文件所有内容）。纸质磋商响应文件建议A4纸双面打印，正、副本分别各自装订成册并编制目录和页码，单独密封。电子版放置“正本”密封袋内并加贴不掉标贴，注写磋商供应商名称。</w:t>
            </w:r>
          </w:p>
        </w:tc>
      </w:tr>
      <w:tr w14:paraId="6BA1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75186FF6">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3</w:t>
            </w:r>
          </w:p>
        </w:tc>
        <w:tc>
          <w:tcPr>
            <w:tcW w:w="1837" w:type="dxa"/>
            <w:tcBorders>
              <w:top w:val="single" w:color="auto" w:sz="4" w:space="0"/>
              <w:left w:val="single" w:color="auto" w:sz="4" w:space="0"/>
              <w:bottom w:val="single" w:color="auto" w:sz="4" w:space="0"/>
              <w:right w:val="single" w:color="auto" w:sz="4" w:space="0"/>
            </w:tcBorders>
            <w:vAlign w:val="center"/>
          </w:tcPr>
          <w:p w14:paraId="34EA9728">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封套上写明</w:t>
            </w:r>
          </w:p>
        </w:tc>
        <w:tc>
          <w:tcPr>
            <w:tcW w:w="6735" w:type="dxa"/>
            <w:tcBorders>
              <w:top w:val="single" w:color="auto" w:sz="4" w:space="0"/>
              <w:left w:val="single" w:color="auto" w:sz="4" w:space="0"/>
              <w:bottom w:val="single" w:color="auto" w:sz="4" w:space="0"/>
              <w:right w:val="single" w:color="auto" w:sz="4" w:space="0"/>
            </w:tcBorders>
            <w:vAlign w:val="center"/>
          </w:tcPr>
          <w:p w14:paraId="2186DEE6">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详见磋商文件第六部分封袋正面标识式样</w:t>
            </w:r>
          </w:p>
        </w:tc>
      </w:tr>
      <w:tr w14:paraId="7AB2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323BB69D">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4</w:t>
            </w:r>
          </w:p>
        </w:tc>
        <w:tc>
          <w:tcPr>
            <w:tcW w:w="1837" w:type="dxa"/>
            <w:tcBorders>
              <w:top w:val="single" w:color="auto" w:sz="4" w:space="0"/>
              <w:left w:val="single" w:color="auto" w:sz="4" w:space="0"/>
              <w:bottom w:val="single" w:color="auto" w:sz="4" w:space="0"/>
              <w:right w:val="single" w:color="auto" w:sz="4" w:space="0"/>
            </w:tcBorders>
            <w:vAlign w:val="center"/>
          </w:tcPr>
          <w:p w14:paraId="787E7258">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递交磋商文件地点</w:t>
            </w:r>
          </w:p>
        </w:tc>
        <w:tc>
          <w:tcPr>
            <w:tcW w:w="6735" w:type="dxa"/>
            <w:tcBorders>
              <w:top w:val="single" w:color="auto" w:sz="4" w:space="0"/>
              <w:left w:val="single" w:color="auto" w:sz="4" w:space="0"/>
              <w:bottom w:val="single" w:color="auto" w:sz="4" w:space="0"/>
              <w:right w:val="single" w:color="auto" w:sz="4" w:space="0"/>
            </w:tcBorders>
            <w:vAlign w:val="center"/>
          </w:tcPr>
          <w:p w14:paraId="37D6E155">
            <w:pPr>
              <w:spacing w:line="420" w:lineRule="exact"/>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陕西省渭南市富平县频阳大道108号云创大厦9楼会议室</w:t>
            </w:r>
          </w:p>
        </w:tc>
      </w:tr>
      <w:tr w14:paraId="7237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32AA5688">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5</w:t>
            </w:r>
          </w:p>
        </w:tc>
        <w:tc>
          <w:tcPr>
            <w:tcW w:w="1837" w:type="dxa"/>
            <w:tcBorders>
              <w:top w:val="single" w:color="auto" w:sz="4" w:space="0"/>
              <w:left w:val="single" w:color="auto" w:sz="4" w:space="0"/>
              <w:bottom w:val="single" w:color="auto" w:sz="4" w:space="0"/>
              <w:right w:val="single" w:color="auto" w:sz="4" w:space="0"/>
            </w:tcBorders>
            <w:vAlign w:val="center"/>
          </w:tcPr>
          <w:p w14:paraId="3597F295">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是否退还磋商文件</w:t>
            </w:r>
          </w:p>
        </w:tc>
        <w:tc>
          <w:tcPr>
            <w:tcW w:w="6735" w:type="dxa"/>
            <w:tcBorders>
              <w:top w:val="single" w:color="auto" w:sz="4" w:space="0"/>
              <w:left w:val="single" w:color="auto" w:sz="4" w:space="0"/>
              <w:bottom w:val="single" w:color="auto" w:sz="4" w:space="0"/>
              <w:right w:val="single" w:color="auto" w:sz="4" w:space="0"/>
            </w:tcBorders>
            <w:vAlign w:val="center"/>
          </w:tcPr>
          <w:p w14:paraId="081F741F">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否</w:t>
            </w:r>
          </w:p>
        </w:tc>
      </w:tr>
      <w:tr w14:paraId="2112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2770257C">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6</w:t>
            </w:r>
          </w:p>
        </w:tc>
        <w:tc>
          <w:tcPr>
            <w:tcW w:w="1837" w:type="dxa"/>
            <w:tcBorders>
              <w:top w:val="single" w:color="auto" w:sz="4" w:space="0"/>
              <w:left w:val="single" w:color="auto" w:sz="4" w:space="0"/>
              <w:bottom w:val="single" w:color="auto" w:sz="4" w:space="0"/>
              <w:right w:val="single" w:color="auto" w:sz="4" w:space="0"/>
            </w:tcBorders>
            <w:vAlign w:val="center"/>
          </w:tcPr>
          <w:p w14:paraId="7E4B8253">
            <w:pPr>
              <w:spacing w:line="4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磋商时间和地点</w:t>
            </w:r>
          </w:p>
        </w:tc>
        <w:tc>
          <w:tcPr>
            <w:tcW w:w="6735" w:type="dxa"/>
            <w:tcBorders>
              <w:top w:val="single" w:color="auto" w:sz="4" w:space="0"/>
              <w:left w:val="single" w:color="auto" w:sz="4" w:space="0"/>
              <w:bottom w:val="single" w:color="auto" w:sz="4" w:space="0"/>
              <w:right w:val="single" w:color="auto" w:sz="4" w:space="0"/>
            </w:tcBorders>
            <w:vAlign w:val="center"/>
          </w:tcPr>
          <w:p w14:paraId="0AAE311A">
            <w:pPr>
              <w:spacing w:line="420" w:lineRule="exact"/>
              <w:jc w:val="left"/>
              <w:rPr>
                <w:rFonts w:hint="default" w:ascii="宋体" w:hAnsi="宋体" w:cs="宋体"/>
                <w:color w:val="000000" w:themeColor="text1"/>
                <w:sz w:val="24"/>
                <w:highlight w:val="none"/>
                <w:lang w:val="en-US"/>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磋商时间：</w:t>
            </w:r>
            <w:r>
              <w:rPr>
                <w:rFonts w:hint="eastAsia" w:ascii="宋体" w:hAnsi="宋体" w:eastAsia="宋体" w:cs="宋体"/>
                <w:kern w:val="0"/>
                <w:sz w:val="24"/>
                <w:highlight w:val="none"/>
              </w:rPr>
              <w:t>202</w:t>
            </w:r>
            <w:r>
              <w:rPr>
                <w:rFonts w:hint="eastAsia" w:ascii="宋体" w:hAnsi="宋体" w:cs="宋体"/>
                <w:kern w:val="0"/>
                <w:sz w:val="24"/>
                <w:highlight w:val="none"/>
                <w:lang w:val="en-US" w:eastAsia="zh-CN"/>
              </w:rPr>
              <w:t>5</w:t>
            </w:r>
            <w:r>
              <w:rPr>
                <w:rFonts w:hint="eastAsia" w:ascii="宋体" w:hAnsi="宋体" w:eastAsia="宋体" w:cs="宋体"/>
                <w:kern w:val="0"/>
                <w:sz w:val="24"/>
                <w:highlight w:val="none"/>
              </w:rPr>
              <w:t>年</w:t>
            </w:r>
            <w:r>
              <w:rPr>
                <w:rFonts w:hint="eastAsia" w:ascii="宋体" w:hAnsi="宋体" w:cs="宋体"/>
                <w:kern w:val="0"/>
                <w:sz w:val="24"/>
                <w:highlight w:val="none"/>
                <w:lang w:val="en-US" w:eastAsia="zh-CN"/>
              </w:rPr>
              <w:t>03</w:t>
            </w:r>
            <w:r>
              <w:rPr>
                <w:rFonts w:hint="eastAsia" w:ascii="宋体" w:hAnsi="宋体" w:eastAsia="宋体" w:cs="宋体"/>
                <w:kern w:val="0"/>
                <w:sz w:val="24"/>
                <w:highlight w:val="none"/>
              </w:rPr>
              <w:t>月</w:t>
            </w:r>
            <w:r>
              <w:rPr>
                <w:rFonts w:hint="eastAsia" w:ascii="宋体" w:hAnsi="宋体" w:cs="宋体"/>
                <w:kern w:val="0"/>
                <w:sz w:val="24"/>
                <w:highlight w:val="none"/>
                <w:lang w:val="en-US" w:eastAsia="zh-CN"/>
              </w:rPr>
              <w:t>11</w:t>
            </w:r>
            <w:r>
              <w:rPr>
                <w:rFonts w:hint="eastAsia" w:ascii="宋体" w:hAnsi="宋体" w:eastAsia="宋体" w:cs="宋体"/>
                <w:kern w:val="0"/>
                <w:sz w:val="24"/>
                <w:highlight w:val="none"/>
              </w:rPr>
              <w:t>日</w:t>
            </w:r>
            <w:r>
              <w:rPr>
                <w:rFonts w:hint="eastAsia" w:ascii="宋体" w:hAnsi="宋体" w:cs="宋体"/>
                <w:kern w:val="0"/>
                <w:sz w:val="24"/>
                <w:highlight w:val="none"/>
                <w:lang w:val="en-US" w:eastAsia="zh-CN"/>
              </w:rPr>
              <w:t>14</w:t>
            </w:r>
            <w:r>
              <w:rPr>
                <w:rFonts w:hint="eastAsia" w:ascii="宋体" w:hAnsi="宋体" w:eastAsia="宋体" w:cs="宋体"/>
                <w:kern w:val="0"/>
                <w:sz w:val="24"/>
                <w:highlight w:val="none"/>
                <w:lang w:val="en-US" w:eastAsia="zh-CN"/>
              </w:rPr>
              <w:t>时30分</w:t>
            </w:r>
            <w:r>
              <w:rPr>
                <w:rFonts w:hint="eastAsia" w:ascii="宋体" w:hAnsi="宋体" w:cs="宋体"/>
                <w:kern w:val="0"/>
                <w:sz w:val="24"/>
                <w:highlight w:val="none"/>
                <w:lang w:val="en-US" w:eastAsia="zh-CN"/>
              </w:rPr>
              <w:t>00秒</w:t>
            </w:r>
          </w:p>
          <w:p w14:paraId="235FBCE5">
            <w:pPr>
              <w:spacing w:line="420" w:lineRule="exact"/>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磋商地点：</w:t>
            </w:r>
            <w:r>
              <w:rPr>
                <w:rFonts w:hint="eastAsia" w:ascii="宋体" w:hAnsi="宋体" w:cs="宋体"/>
                <w:color w:val="000000" w:themeColor="text1"/>
                <w:sz w:val="24"/>
                <w:highlight w:val="none"/>
                <w:lang w:eastAsia="zh-CN"/>
                <w14:textFill>
                  <w14:solidFill>
                    <w14:schemeClr w14:val="tx1"/>
                  </w14:solidFill>
                </w14:textFill>
              </w:rPr>
              <w:t>陕西省渭南市富平县频阳大道108号云创大厦9楼会议室</w:t>
            </w:r>
          </w:p>
        </w:tc>
      </w:tr>
      <w:tr w14:paraId="2498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0DA0A01E">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7</w:t>
            </w:r>
          </w:p>
        </w:tc>
        <w:tc>
          <w:tcPr>
            <w:tcW w:w="1837" w:type="dxa"/>
            <w:tcBorders>
              <w:top w:val="single" w:color="auto" w:sz="4" w:space="0"/>
              <w:left w:val="single" w:color="auto" w:sz="4" w:space="0"/>
              <w:bottom w:val="single" w:color="auto" w:sz="4" w:space="0"/>
              <w:right w:val="single" w:color="auto" w:sz="4" w:space="0"/>
            </w:tcBorders>
            <w:vAlign w:val="center"/>
          </w:tcPr>
          <w:p w14:paraId="709443C8">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磋商小组的组建</w:t>
            </w:r>
          </w:p>
        </w:tc>
        <w:tc>
          <w:tcPr>
            <w:tcW w:w="6735" w:type="dxa"/>
            <w:tcBorders>
              <w:top w:val="single" w:color="auto" w:sz="4" w:space="0"/>
              <w:left w:val="single" w:color="auto" w:sz="4" w:space="0"/>
              <w:bottom w:val="single" w:color="auto" w:sz="4" w:space="0"/>
              <w:right w:val="single" w:color="auto" w:sz="4" w:space="0"/>
            </w:tcBorders>
            <w:vAlign w:val="center"/>
          </w:tcPr>
          <w:p w14:paraId="66D27371">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磋商小组构成：专家3人；</w:t>
            </w:r>
          </w:p>
          <w:p w14:paraId="24B72762">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磋商专家确定方式：陕西省政府采购网专家库随机抽取</w:t>
            </w:r>
          </w:p>
        </w:tc>
      </w:tr>
      <w:tr w14:paraId="5497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1EAB5700">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8</w:t>
            </w:r>
          </w:p>
        </w:tc>
        <w:tc>
          <w:tcPr>
            <w:tcW w:w="1837" w:type="dxa"/>
            <w:tcBorders>
              <w:top w:val="single" w:color="auto" w:sz="4" w:space="0"/>
              <w:left w:val="single" w:color="auto" w:sz="4" w:space="0"/>
              <w:bottom w:val="single" w:color="auto" w:sz="4" w:space="0"/>
              <w:right w:val="single" w:color="auto" w:sz="4" w:space="0"/>
            </w:tcBorders>
            <w:vAlign w:val="center"/>
          </w:tcPr>
          <w:p w14:paraId="3E56252C">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是否授权磋商小组确定供应商</w:t>
            </w:r>
          </w:p>
        </w:tc>
        <w:tc>
          <w:tcPr>
            <w:tcW w:w="6735" w:type="dxa"/>
            <w:tcBorders>
              <w:top w:val="single" w:color="auto" w:sz="4" w:space="0"/>
              <w:left w:val="single" w:color="auto" w:sz="4" w:space="0"/>
              <w:bottom w:val="single" w:color="auto" w:sz="4" w:space="0"/>
              <w:right w:val="single" w:color="auto" w:sz="4" w:space="0"/>
            </w:tcBorders>
            <w:vAlign w:val="center"/>
          </w:tcPr>
          <w:p w14:paraId="1E07A610">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否</w:t>
            </w:r>
          </w:p>
        </w:tc>
      </w:tr>
      <w:tr w14:paraId="6C56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01A32B65">
            <w:pPr>
              <w:spacing w:line="420" w:lineRule="exact"/>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9</w:t>
            </w:r>
          </w:p>
        </w:tc>
        <w:tc>
          <w:tcPr>
            <w:tcW w:w="1837" w:type="dxa"/>
            <w:tcBorders>
              <w:top w:val="single" w:color="auto" w:sz="4" w:space="0"/>
              <w:left w:val="single" w:color="auto" w:sz="4" w:space="0"/>
              <w:bottom w:val="single" w:color="auto" w:sz="4" w:space="0"/>
              <w:right w:val="single" w:color="auto" w:sz="4" w:space="0"/>
            </w:tcBorders>
            <w:vAlign w:val="center"/>
          </w:tcPr>
          <w:p w14:paraId="6610D5CA">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磋商企业的政府采购政策</w:t>
            </w:r>
          </w:p>
        </w:tc>
        <w:tc>
          <w:tcPr>
            <w:tcW w:w="6735" w:type="dxa"/>
            <w:tcBorders>
              <w:top w:val="single" w:color="auto" w:sz="4" w:space="0"/>
              <w:left w:val="single" w:color="auto" w:sz="4" w:space="0"/>
              <w:bottom w:val="single" w:color="auto" w:sz="4" w:space="0"/>
              <w:right w:val="single" w:color="auto" w:sz="4" w:space="0"/>
            </w:tcBorders>
            <w:vAlign w:val="center"/>
          </w:tcPr>
          <w:p w14:paraId="0F714258">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（1）《节能产品政府采购实施意见》（财库〔2004〕185号）；</w:t>
            </w:r>
          </w:p>
          <w:p w14:paraId="26DDB657">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 《国务院办公厅关于建立政府强制采购节能产品制度的通知》（国办发〔2007〕51号）；</w:t>
            </w:r>
          </w:p>
          <w:p w14:paraId="34E8D009">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（3）《财政部司法部关于政府采购支持监狱企业发展有关问题的通知》（财库〔2014〕68号）；</w:t>
            </w:r>
          </w:p>
          <w:p w14:paraId="7CEBC912">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（4）三部门联合发布《关于促进残疾人就业政府采购政策的通知》（财库〔2017〕141号）；</w:t>
            </w:r>
          </w:p>
          <w:p w14:paraId="02D3C17B">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（5）《财政部发展改革委生态环境部市场监管总局关于调整优化节能产品、环境标志产品政府采购执行机制的通知》（财库〔2019〕9号）；</w:t>
            </w:r>
          </w:p>
          <w:p w14:paraId="797778D1">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（6）《关于促进政府采购公平竞争优化营商环境的通知》（财库〔2019〕38号）；</w:t>
            </w:r>
          </w:p>
          <w:p w14:paraId="5248B336">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（7）《财政部农业农村部 国家乡村振兴局关于运用政府采购政策支持乡村产业振兴的通知》（财库〔2021〕19号）；</w:t>
            </w:r>
          </w:p>
          <w:p w14:paraId="50950F60">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（8）陕西省财政厅《关于进一步加强政府绿色采购有关问题的通知》（陕财办采〔2021〕29号）；</w:t>
            </w:r>
          </w:p>
          <w:p w14:paraId="4F43F9D2">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（9）陕西省财政厅关于印发《陕西省中小企业政府采购信用融资办法》（陕财办采〔2018〕23号）；</w:t>
            </w:r>
          </w:p>
          <w:p w14:paraId="0E51F594">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（10）《陕西省财政厅关于加快推进我省中小企业政府采购信用融资工作的通知》（陕财办采〔2020〕15号）；</w:t>
            </w:r>
          </w:p>
          <w:p w14:paraId="3C6A13D9">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（11）《政府采购促进中小企业发展管理办法》（财库〔2020〕46号）；</w:t>
            </w:r>
          </w:p>
          <w:p w14:paraId="0C72999B">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（12）《关于进一步加大政府采购支持中小企业力度的通知》（财库〔2022〕19号）；</w:t>
            </w:r>
          </w:p>
          <w:p w14:paraId="6D7E46D0">
            <w:pPr>
              <w:spacing w:line="24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（13）《陕西省财政厅关于进一步落实政府采购支持中小企业相关政策的通知》（陕财办采〔2023〕3号）；</w:t>
            </w:r>
          </w:p>
          <w:p w14:paraId="17F7AC67">
            <w:pPr>
              <w:spacing w:line="24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（14）《陕西省财政厅关于进一步优化政府采购营商环境有关事项的通知》（陕财办采（2023）4号）。</w:t>
            </w:r>
          </w:p>
        </w:tc>
      </w:tr>
      <w:tr w14:paraId="6704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18CD00D6">
            <w:pPr>
              <w:spacing w:line="420" w:lineRule="exact"/>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30</w:t>
            </w:r>
          </w:p>
        </w:tc>
        <w:tc>
          <w:tcPr>
            <w:tcW w:w="1837" w:type="dxa"/>
            <w:tcBorders>
              <w:top w:val="single" w:color="auto" w:sz="4" w:space="0"/>
              <w:left w:val="single" w:color="auto" w:sz="4" w:space="0"/>
              <w:bottom w:val="single" w:color="auto" w:sz="4" w:space="0"/>
              <w:right w:val="single" w:color="auto" w:sz="4" w:space="0"/>
            </w:tcBorders>
            <w:vAlign w:val="center"/>
          </w:tcPr>
          <w:p w14:paraId="24240544">
            <w:pPr>
              <w:spacing w:line="42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招标代理费</w:t>
            </w:r>
          </w:p>
        </w:tc>
        <w:tc>
          <w:tcPr>
            <w:tcW w:w="6735" w:type="dxa"/>
            <w:tcBorders>
              <w:top w:val="single" w:color="auto" w:sz="4" w:space="0"/>
              <w:left w:val="single" w:color="auto" w:sz="4" w:space="0"/>
              <w:bottom w:val="single" w:color="auto" w:sz="4" w:space="0"/>
              <w:right w:val="single" w:color="auto" w:sz="4" w:space="0"/>
            </w:tcBorders>
            <w:vAlign w:val="center"/>
          </w:tcPr>
          <w:p w14:paraId="722C5851">
            <w:pPr>
              <w:spacing w:line="42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成交人应依据成交金额向招标代理交纳代理服务费，交费金额按照国家计委颁布的《招标代理服务收费管理暂行办法》（计价格『2002』1980号）及发改办价格『2003』857号文规定按服务类收取招标代理服务费。</w:t>
            </w:r>
          </w:p>
        </w:tc>
      </w:tr>
      <w:tr w14:paraId="440C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14:paraId="4643E9BF">
            <w:pPr>
              <w:spacing w:line="420" w:lineRule="exact"/>
              <w:jc w:val="center"/>
              <w:rPr>
                <w:rFonts w:hint="default"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31</w:t>
            </w:r>
          </w:p>
        </w:tc>
        <w:tc>
          <w:tcPr>
            <w:tcW w:w="1837" w:type="dxa"/>
            <w:tcBorders>
              <w:top w:val="single" w:color="auto" w:sz="4" w:space="0"/>
              <w:left w:val="single" w:color="auto" w:sz="4" w:space="0"/>
              <w:bottom w:val="single" w:color="auto" w:sz="4" w:space="0"/>
              <w:right w:val="single" w:color="auto" w:sz="4" w:space="0"/>
            </w:tcBorders>
            <w:vAlign w:val="center"/>
          </w:tcPr>
          <w:p w14:paraId="1765A02A">
            <w:pPr>
              <w:spacing w:line="420" w:lineRule="exact"/>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所属行业</w:t>
            </w:r>
          </w:p>
        </w:tc>
        <w:tc>
          <w:tcPr>
            <w:tcW w:w="6735" w:type="dxa"/>
            <w:tcBorders>
              <w:top w:val="single" w:color="auto" w:sz="4" w:space="0"/>
              <w:left w:val="single" w:color="auto" w:sz="4" w:space="0"/>
              <w:bottom w:val="single" w:color="auto" w:sz="4" w:space="0"/>
              <w:right w:val="single" w:color="auto" w:sz="4" w:space="0"/>
            </w:tcBorders>
            <w:vAlign w:val="center"/>
          </w:tcPr>
          <w:p w14:paraId="3C36FB16">
            <w:pPr>
              <w:spacing w:line="420" w:lineRule="exact"/>
              <w:jc w:val="left"/>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其他未列明行业</w:t>
            </w:r>
          </w:p>
        </w:tc>
      </w:tr>
    </w:tbl>
    <w:p w14:paraId="2C953FDD">
      <w:pPr>
        <w:rPr>
          <w:rFonts w:ascii="宋体" w:hAnsi="宋体" w:cs="宋体"/>
          <w:b/>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br w:type="page"/>
      </w:r>
    </w:p>
    <w:p w14:paraId="4D51C333">
      <w:pPr>
        <w:jc w:val="center"/>
        <w:rPr>
          <w:rFonts w:ascii="宋体" w:hAnsi="宋体" w:cs="宋体"/>
          <w:b/>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一、名词解释</w:t>
      </w:r>
    </w:p>
    <w:p w14:paraId="06BCC9F0">
      <w:pPr>
        <w:numPr>
          <w:ilvl w:val="0"/>
          <w:numId w:val="5"/>
        </w:numPr>
        <w:tabs>
          <w:tab w:val="left" w:pos="240"/>
        </w:tabs>
        <w:spacing w:line="460" w:lineRule="exact"/>
        <w:ind w:left="-118" w:leftChars="-56" w:firstLine="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w:t>
      </w:r>
      <w:r>
        <w:rPr>
          <w:rFonts w:hint="eastAsia" w:ascii="宋体" w:hAnsi="宋体" w:cs="宋体"/>
          <w:color w:val="000000" w:themeColor="text1"/>
          <w:sz w:val="24"/>
          <w:lang w:eastAsia="zh-CN"/>
          <w14:textFill>
            <w14:solidFill>
              <w14:schemeClr w14:val="tx1"/>
            </w14:solidFill>
          </w14:textFill>
        </w:rPr>
        <w:t>富平县精神病医院</w:t>
      </w:r>
    </w:p>
    <w:p w14:paraId="79AA26E7">
      <w:pPr>
        <w:numPr>
          <w:ilvl w:val="0"/>
          <w:numId w:val="5"/>
        </w:numPr>
        <w:tabs>
          <w:tab w:val="left" w:pos="240"/>
        </w:tabs>
        <w:spacing w:line="460" w:lineRule="exact"/>
        <w:ind w:left="-118" w:leftChars="-56" w:firstLine="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监督机构：</w:t>
      </w:r>
      <w:r>
        <w:rPr>
          <w:rFonts w:hint="eastAsia" w:ascii="宋体" w:hAnsi="宋体" w:cs="宋体"/>
          <w:color w:val="000000" w:themeColor="text1"/>
          <w:sz w:val="24"/>
          <w:lang w:eastAsia="zh-CN"/>
          <w14:textFill>
            <w14:solidFill>
              <w14:schemeClr w14:val="tx1"/>
            </w14:solidFill>
          </w14:textFill>
        </w:rPr>
        <w:t>富平县卫生健康局、</w:t>
      </w:r>
      <w:r>
        <w:rPr>
          <w:rFonts w:hint="eastAsia" w:ascii="宋体" w:hAnsi="宋体" w:cs="宋体"/>
          <w:color w:val="000000" w:themeColor="text1"/>
          <w:sz w:val="24"/>
          <w14:textFill>
            <w14:solidFill>
              <w14:schemeClr w14:val="tx1"/>
            </w14:solidFill>
          </w14:textFill>
        </w:rPr>
        <w:t>富平县财政局</w:t>
      </w:r>
    </w:p>
    <w:p w14:paraId="246C8A78">
      <w:pPr>
        <w:numPr>
          <w:ilvl w:val="0"/>
          <w:numId w:val="5"/>
        </w:numPr>
        <w:tabs>
          <w:tab w:val="left" w:pos="240"/>
        </w:tabs>
        <w:spacing w:line="460" w:lineRule="exact"/>
        <w:ind w:left="-118" w:leftChars="-56" w:firstLine="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采购代理机构：泾清项目管理有限公司</w:t>
      </w:r>
    </w:p>
    <w:p w14:paraId="5D06601D">
      <w:pPr>
        <w:numPr>
          <w:ilvl w:val="0"/>
          <w:numId w:val="5"/>
        </w:numPr>
        <w:tabs>
          <w:tab w:val="left" w:pos="240"/>
        </w:tabs>
        <w:spacing w:line="460" w:lineRule="exact"/>
        <w:ind w:left="-118" w:leftChars="-56" w:firstLine="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磋商供应商：满足本次磋商要求具有相应资质和完成项目能力的供应商</w:t>
      </w:r>
    </w:p>
    <w:p w14:paraId="5399B72E">
      <w:pPr>
        <w:numPr>
          <w:ilvl w:val="0"/>
          <w:numId w:val="5"/>
        </w:numPr>
        <w:tabs>
          <w:tab w:val="left" w:pos="240"/>
        </w:tabs>
        <w:spacing w:line="460" w:lineRule="exact"/>
        <w:ind w:left="-118" w:leftChars="-56" w:firstLine="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成交供应商：由磋商小组推荐经采购人确认的磋商供应商</w:t>
      </w:r>
    </w:p>
    <w:p w14:paraId="0ADE621E">
      <w:pPr>
        <w:numPr>
          <w:ilvl w:val="0"/>
          <w:numId w:val="5"/>
        </w:numPr>
        <w:tabs>
          <w:tab w:val="left" w:pos="240"/>
        </w:tabs>
        <w:spacing w:line="460" w:lineRule="exact"/>
        <w:ind w:left="-118" w:leftChars="-56"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pacing w:val="6"/>
          <w:sz w:val="24"/>
          <w:highlight w:val="none"/>
          <w14:textFill>
            <w14:solidFill>
              <w14:schemeClr w14:val="tx1"/>
            </w14:solidFill>
          </w14:textFill>
        </w:rPr>
        <w:t>近3年：从202</w:t>
      </w:r>
      <w:r>
        <w:rPr>
          <w:rFonts w:hint="eastAsia" w:ascii="宋体" w:hAnsi="宋体" w:cs="宋体"/>
          <w:color w:val="000000" w:themeColor="text1"/>
          <w:spacing w:val="6"/>
          <w:sz w:val="24"/>
          <w:highlight w:val="none"/>
          <w:lang w:val="en-US" w:eastAsia="zh-CN"/>
          <w14:textFill>
            <w14:solidFill>
              <w14:schemeClr w14:val="tx1"/>
            </w14:solidFill>
          </w14:textFill>
        </w:rPr>
        <w:t>2</w:t>
      </w:r>
      <w:r>
        <w:rPr>
          <w:rFonts w:hint="eastAsia" w:ascii="宋体" w:hAnsi="宋体" w:cs="宋体"/>
          <w:color w:val="000000" w:themeColor="text1"/>
          <w:spacing w:val="6"/>
          <w:sz w:val="24"/>
          <w:highlight w:val="none"/>
          <w14:textFill>
            <w14:solidFill>
              <w14:schemeClr w14:val="tx1"/>
            </w14:solidFill>
          </w14:textFill>
        </w:rPr>
        <w:t>年</w:t>
      </w:r>
      <w:r>
        <w:rPr>
          <w:rFonts w:hint="eastAsia" w:ascii="宋体" w:hAnsi="宋体" w:cs="宋体"/>
          <w:color w:val="000000" w:themeColor="text1"/>
          <w:spacing w:val="6"/>
          <w:sz w:val="24"/>
          <w:highlight w:val="none"/>
          <w:lang w:val="en-US" w:eastAsia="zh-CN"/>
          <w14:textFill>
            <w14:solidFill>
              <w14:schemeClr w14:val="tx1"/>
            </w14:solidFill>
          </w14:textFill>
        </w:rPr>
        <w:t>01</w:t>
      </w:r>
      <w:r>
        <w:rPr>
          <w:rFonts w:hint="eastAsia" w:ascii="宋体" w:hAnsi="宋体" w:cs="宋体"/>
          <w:color w:val="000000" w:themeColor="text1"/>
          <w:spacing w:val="6"/>
          <w:sz w:val="24"/>
          <w:highlight w:val="none"/>
          <w14:textFill>
            <w14:solidFill>
              <w14:schemeClr w14:val="tx1"/>
            </w14:solidFill>
          </w14:textFill>
        </w:rPr>
        <w:t>月至本项目磋商响应文件递交截止</w:t>
      </w:r>
      <w:r>
        <w:rPr>
          <w:rFonts w:hint="eastAsia" w:ascii="宋体" w:hAnsi="宋体" w:cs="宋体"/>
          <w:color w:val="000000" w:themeColor="text1"/>
          <w:sz w:val="24"/>
          <w:highlight w:val="none"/>
          <w14:textFill>
            <w14:solidFill>
              <w14:schemeClr w14:val="tx1"/>
            </w14:solidFill>
          </w14:textFill>
        </w:rPr>
        <w:t>时间止</w:t>
      </w:r>
    </w:p>
    <w:p w14:paraId="563F6D38">
      <w:pPr>
        <w:spacing w:before="120" w:beforeLines="50" w:line="360" w:lineRule="auto"/>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二、磋商供应商</w:t>
      </w:r>
    </w:p>
    <w:p w14:paraId="5E77932A">
      <w:pPr>
        <w:spacing w:before="120" w:beforeLines="50" w:line="460" w:lineRule="exact"/>
        <w:ind w:firstLine="120" w:firstLineChars="5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1.合格磋商供应商</w:t>
      </w:r>
    </w:p>
    <w:p w14:paraId="65CB1014">
      <w:pPr>
        <w:spacing w:line="460" w:lineRule="exact"/>
        <w:ind w:left="1078" w:leftChars="172" w:hanging="717" w:hangingChars="29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14:paraId="1C8A1887">
      <w:pPr>
        <w:spacing w:line="460" w:lineRule="exact"/>
        <w:ind w:left="1078" w:leftChars="172" w:hanging="717" w:hangingChars="29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（2）具有良好的商业信誉和健全的财务会计制度</w:t>
      </w:r>
    </w:p>
    <w:p w14:paraId="5E9C4F2B">
      <w:pPr>
        <w:spacing w:line="460" w:lineRule="exact"/>
        <w:ind w:left="1078" w:leftChars="172" w:hanging="717" w:hangingChars="29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（3）具有履行合同所必需的设计和专业技术能力</w:t>
      </w:r>
    </w:p>
    <w:p w14:paraId="49C9B59D">
      <w:pPr>
        <w:spacing w:line="460" w:lineRule="exact"/>
        <w:ind w:left="1078" w:leftChars="172" w:hanging="717" w:hangingChars="29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14:paraId="40E5802C">
      <w:pPr>
        <w:spacing w:line="460" w:lineRule="exact"/>
        <w:ind w:left="1078" w:leftChars="172" w:hanging="717" w:hangingChars="29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（5）参加政府采购活动前三年内，在经营活动中没有重大违法记录</w:t>
      </w:r>
    </w:p>
    <w:p w14:paraId="39BA2727">
      <w:pPr>
        <w:spacing w:line="460" w:lineRule="exact"/>
        <w:ind w:left="1078" w:leftChars="172" w:hanging="717" w:hangingChars="29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（6）法律、行政法规规定的其它条件</w:t>
      </w:r>
    </w:p>
    <w:p w14:paraId="671D00BD">
      <w:pPr>
        <w:spacing w:line="460" w:lineRule="exact"/>
        <w:ind w:firstLine="120" w:firstLineChars="5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2.磋商委托</w:t>
      </w:r>
    </w:p>
    <w:p w14:paraId="48F1EE99">
      <w:pPr>
        <w:spacing w:line="4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如磋商供应商代表不是法定代表人</w:t>
      </w:r>
      <w:r>
        <w:rPr>
          <w:rFonts w:hint="eastAsia" w:ascii="宋体" w:hAnsi="宋体" w:cs="宋体"/>
          <w:b/>
          <w:bCs/>
          <w:color w:val="000000" w:themeColor="text1"/>
          <w:sz w:val="24"/>
          <w:highlight w:val="none"/>
          <w:lang w:val="en-US" w:eastAsia="zh-CN"/>
          <w14:textFill>
            <w14:solidFill>
              <w14:schemeClr w14:val="tx1"/>
            </w14:solidFill>
          </w14:textFill>
        </w:rPr>
        <w:t>/负责人</w:t>
      </w:r>
      <w:r>
        <w:rPr>
          <w:rFonts w:hint="eastAsia" w:ascii="宋体" w:hAnsi="宋体" w:cs="宋体"/>
          <w:b/>
          <w:bCs/>
          <w:color w:val="000000" w:themeColor="text1"/>
          <w:sz w:val="24"/>
          <w:highlight w:val="none"/>
          <w14:textFill>
            <w14:solidFill>
              <w14:schemeClr w14:val="tx1"/>
            </w14:solidFill>
          </w14:textFill>
        </w:rPr>
        <w:t>，须持有《法定代表人</w:t>
      </w:r>
      <w:r>
        <w:rPr>
          <w:rFonts w:hint="eastAsia" w:ascii="宋体" w:hAnsi="宋体" w:cs="宋体"/>
          <w:b/>
          <w:bCs/>
          <w:color w:val="000000" w:themeColor="text1"/>
          <w:sz w:val="24"/>
          <w:highlight w:val="none"/>
          <w:lang w:val="en-US" w:eastAsia="zh-CN"/>
          <w14:textFill>
            <w14:solidFill>
              <w14:schemeClr w14:val="tx1"/>
            </w14:solidFill>
          </w14:textFill>
        </w:rPr>
        <w:t>/负责人</w:t>
      </w:r>
      <w:r>
        <w:rPr>
          <w:rFonts w:hint="eastAsia" w:ascii="宋体" w:hAnsi="宋体" w:cs="宋体"/>
          <w:b/>
          <w:bCs/>
          <w:color w:val="000000" w:themeColor="text1"/>
          <w:sz w:val="24"/>
          <w14:textFill>
            <w14:solidFill>
              <w14:schemeClr w14:val="tx1"/>
            </w14:solidFill>
          </w14:textFill>
        </w:rPr>
        <w:t>授权书》。</w:t>
      </w:r>
    </w:p>
    <w:p w14:paraId="7C71DC5A">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3.磋商费用</w:t>
      </w:r>
    </w:p>
    <w:p w14:paraId="3D84C683">
      <w:pPr>
        <w:spacing w:line="4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无论磋商结果如何，磋商供应商自行承担参加磋商相关的全部费用。</w:t>
      </w:r>
    </w:p>
    <w:p w14:paraId="7A817843">
      <w:pPr>
        <w:spacing w:before="120" w:beforeLines="50"/>
        <w:jc w:val="center"/>
        <w:rPr>
          <w:rFonts w:ascii="宋体" w:hAnsi="宋体" w:cs="宋体"/>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三、磋商文件</w:t>
      </w:r>
    </w:p>
    <w:p w14:paraId="5C1DC7E5">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1.磋商文件</w:t>
      </w:r>
    </w:p>
    <w:p w14:paraId="2586F591">
      <w:pPr>
        <w:spacing w:line="360" w:lineRule="auto"/>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磋商文件由磋商文件总目录所列内容组成；磋商供应商应详细阅读磋商文件中所有的事项、格式、条款和规范要求,在磋商响应文件中对磋商文件的各方面都应做出实质性的响应，按照磋商文件的要求提交全部资料。</w:t>
      </w:r>
    </w:p>
    <w:p w14:paraId="0711AC9D">
      <w:pPr>
        <w:spacing w:line="360" w:lineRule="auto"/>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（2）采购项目需要落实的政府采购政策：依据《中华人民共和国政府采购法》和《中华人民共和国政府采购实施条例》的有关规定，落实政府采购政策：</w:t>
      </w:r>
    </w:p>
    <w:p w14:paraId="40A38637">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1）《节能产品政府采购实施意见》（财库〔2004〕185号）；</w:t>
      </w:r>
    </w:p>
    <w:p w14:paraId="67A31437">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 xml:space="preserve">2）《环境标志产品政府采购实施的意见》（财库〔2006〕90号）； </w:t>
      </w:r>
    </w:p>
    <w:p w14:paraId="0CF8DB7F">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 xml:space="preserve">3）《国务院办公厅关于建立政府强制采购节能产品制度的通知》（国办发〔2007〕51号）； </w:t>
      </w:r>
    </w:p>
    <w:p w14:paraId="2A46F47B">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 xml:space="preserve">4）《财政部司法部关于政府采购支持监狱企业发展有关问题的通知》（财库〔2014〕68号）； </w:t>
      </w:r>
    </w:p>
    <w:p w14:paraId="13122975">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 xml:space="preserve">5）三部门联合发布《关于促进残疾人就业政府采购政策的通知》（财库〔2017〕141号）； </w:t>
      </w:r>
    </w:p>
    <w:p w14:paraId="1CB797B8">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 xml:space="preserve">6）陕西省财政厅关于印发《陕西省中小企业政府采购信用融资办法》（陕财办采〔2018〕23号）； </w:t>
      </w:r>
    </w:p>
    <w:p w14:paraId="57AE3AA3">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 xml:space="preserve">7）《财政部发展改革委生态环境部市场监管总局关于调整优化节能产品、环境标志产品政府采购执行机制的通知》（财库〔2019〕9号）； </w:t>
      </w:r>
    </w:p>
    <w:p w14:paraId="4E721785">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8）《陕西省财政厅关于加快推进我省中小企业政府采购信用融资工作的通知》（陕财办采〔2020〕15号）；</w:t>
      </w:r>
    </w:p>
    <w:p w14:paraId="17967DD6">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9）《政府采购促进中小企业发展管理办法》（财库〔2020〕46号）；</w:t>
      </w:r>
    </w:p>
    <w:p w14:paraId="44DFAF46">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10）《财政部 农业农村部 国家乡村振兴局关于运用政府采购政策支持乡村产业振兴的通知》（财库〔2021〕19号）；</w:t>
      </w:r>
    </w:p>
    <w:p w14:paraId="54EC261D">
      <w:pPr>
        <w:widowControl/>
        <w:spacing w:line="360" w:lineRule="auto"/>
        <w:ind w:firstLine="480" w:firstLineChars="200"/>
        <w:contextualSpacing/>
        <w:jc w:val="left"/>
        <w:rPr>
          <w:rFonts w:hint="eastAsia" w:ascii="宋体" w:hAnsi="宋体" w:cs="宋体"/>
          <w:kern w:val="0"/>
          <w:sz w:val="24"/>
        </w:rPr>
      </w:pPr>
      <w:r>
        <w:rPr>
          <w:rFonts w:hint="eastAsia" w:ascii="宋体" w:hAnsi="宋体" w:cs="宋体"/>
          <w:kern w:val="0"/>
          <w:sz w:val="24"/>
        </w:rPr>
        <w:t>11）陕西省财政厅《关于进一步加强政府绿色采购有关问题的通知》陕财办采〔2021〕29号。</w:t>
      </w:r>
    </w:p>
    <w:p w14:paraId="56878429">
      <w:pPr>
        <w:spacing w:line="360" w:lineRule="auto"/>
        <w:ind w:firstLine="426" w:firstLineChars="177"/>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2．磋商文件的澄清</w:t>
      </w:r>
    </w:p>
    <w:p w14:paraId="4330DCEB">
      <w:pPr>
        <w:spacing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任何要求对磋商文件进行澄清的磋商供应商，均应在磋商截止期三日前按磋商文件中的通讯地址以书面形式通知采购代理机构，采购代理机构对收到的书面澄清将以书面形式在磋商截止期前予以答复，并通知其它购买磋商文件的磋商供应商。</w:t>
      </w:r>
      <w:r>
        <w:rPr>
          <w:rFonts w:hint="eastAsia" w:ascii="宋体" w:hAnsi="宋体" w:cs="宋体"/>
          <w:bCs/>
          <w:color w:val="000000" w:themeColor="text1"/>
          <w:sz w:val="24"/>
          <w14:textFill>
            <w14:solidFill>
              <w14:schemeClr w14:val="tx1"/>
            </w14:solidFill>
          </w14:textFill>
        </w:rPr>
        <w:t>对磋商文件中有难以理解或参数有疑义的内容，须在规定时间内提交书面资料，否则视为对磋商文件再无疑义，因此带来的一切不利后果由磋商供应商自负。</w:t>
      </w:r>
    </w:p>
    <w:p w14:paraId="58A74BA4">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2.1质疑和投诉（供应商须在法定质疑期内一次性提出针对同一采购程序环节的质疑）。</w:t>
      </w:r>
    </w:p>
    <w:p w14:paraId="10F687DE">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供应商如果认为采购文件中涉及的采购需求（包括供应商资格条件、评审要素及分值设置、采购内容和要求、合同条款等）使自身的合法权益受到损害，可以在法定期限内，以书面形式向采购人提出质疑；供应商如果认为采购程序、采购过程或成交结果使自身的合法权益受到损害，可以在法定期限内，以书面形式向代理机构提出质疑。</w:t>
      </w:r>
    </w:p>
    <w:p w14:paraId="4FB6589A">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2.2质疑函应当包括以下主要内容：供应商的姓名或者名称、地址、邮编、联系人及联系电话；质疑项目的名称、编号；具体、明确的质疑事项和与质疑事项相关的请求；事实依据；必要的法律依据；提出质疑的日期。</w:t>
      </w:r>
    </w:p>
    <w:p w14:paraId="7F760CE7">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2.3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18DC1CC8">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2.4有下列情形之一的，属于无效质疑，代理机构和采购人不予受理：</w:t>
      </w:r>
    </w:p>
    <w:p w14:paraId="162B0D24">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（1）质疑人不是参与本次政府采购项目的供应商或潜在供应商；</w:t>
      </w:r>
    </w:p>
    <w:p w14:paraId="15287B06">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（2）质疑人与质疑事项不存在利害关系的；</w:t>
      </w:r>
    </w:p>
    <w:p w14:paraId="43AE0A21">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（3）未在法定期限内提出质疑的；</w:t>
      </w:r>
    </w:p>
    <w:p w14:paraId="402A8824">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（4）质疑未以书面形式提出，或质疑函主要内容构成不完整的，或缺乏必要的证明材料及证明材料不完整的；</w:t>
      </w:r>
    </w:p>
    <w:p w14:paraId="20301128">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（5）质疑函没有合法有效的签字、盖章或授权的；</w:t>
      </w:r>
    </w:p>
    <w:p w14:paraId="11512434">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（6）以非法手段取得证据、材料的；</w:t>
      </w:r>
    </w:p>
    <w:p w14:paraId="280A4452">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（7）质疑答复后，同一质疑人就同一事项再次提出质疑的；</w:t>
      </w:r>
    </w:p>
    <w:p w14:paraId="5755E4AD">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（8）不符合法律、法规、规章和政府采购监管机构规定的其他条件的。</w:t>
      </w:r>
    </w:p>
    <w:p w14:paraId="7D655902">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2.5代理机构或采购人将在收到书面质疑后7个工作日内做出答复，并以书面形式通知质疑人和其他有关供应商。</w:t>
      </w:r>
    </w:p>
    <w:p w14:paraId="62FF7491">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2.6质疑人对代理机构或采购人的答复不满意，以及代理机构或采购人未在规定时间内做出答复的，可以在答复期满后15个工作日内向政府采购监管机构提出投诉。</w:t>
      </w:r>
    </w:p>
    <w:p w14:paraId="1D152306">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2.7供应商投诉的事项不得超出已质疑事项的范围。</w:t>
      </w:r>
    </w:p>
    <w:p w14:paraId="5D31D2DC">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2.8对捏造事实、提供虚假材料进行质疑、投诉的行为予以严肃处理：</w:t>
      </w:r>
    </w:p>
    <w:p w14:paraId="560DA42B">
      <w:pPr>
        <w:pStyle w:val="2"/>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依据《中华人民共和国政府采购法》及其实施条例、《中华人民共和国招标投标法》及其实施条例、《政府采购供应商投诉处理办法》等法律法规的规定，供应商质疑、投诉应当有明确的请求和必要的证明材料。对于捏造事实、提供虚假材料或者以非法手段取得证明材料进行投诉的，财政部门应当予以驳回，并将其列入不良行为记录名单，禁止其一至三年内参加政府采购活动。</w:t>
      </w:r>
    </w:p>
    <w:p w14:paraId="3CF675D2">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2.9对捏造事实诬告陷害他人、诽谤他人的法律适用：</w:t>
      </w:r>
    </w:p>
    <w:p w14:paraId="6C04B769">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《中华人民共和国刑法》第243条【诬告陷害罪】捏造事实诬告陷害他人，意图使他人受刑事追究，情节严重的，处三年以下有期徒刑、拘役或者管制；造成严重后果的，处三年以上十年以下有期徒刑。</w:t>
      </w:r>
    </w:p>
    <w:p w14:paraId="4126BEFF">
      <w:pPr>
        <w:pStyle w:val="2"/>
        <w:spacing w:line="360" w:lineRule="auto"/>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《中华人民共和国刑法》第246条【侮辱罪、诽谤罪】以暴力或者其他方法公然侮辱他人或者捏造事实诽谤他人，情节严重的，处三年以下有期徒刑、拘役、管制或者剥夺政治权利。</w:t>
      </w:r>
    </w:p>
    <w:p w14:paraId="42D32A35">
      <w:pPr>
        <w:jc w:val="center"/>
        <w:rPr>
          <w:rFonts w:ascii="宋体" w:hAnsi="宋体" w:cs="宋体"/>
          <w:b/>
          <w:bCs/>
          <w:color w:val="000000" w:themeColor="text1"/>
          <w:sz w:val="28"/>
          <w:szCs w:val="28"/>
          <w14:textFill>
            <w14:solidFill>
              <w14:schemeClr w14:val="tx1"/>
            </w14:solidFill>
          </w14:textFill>
        </w:rPr>
        <w:sectPr>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p>
    <w:p w14:paraId="549B290F">
      <w:pPr>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附件：质疑函范本</w:t>
      </w:r>
    </w:p>
    <w:tbl>
      <w:tblPr>
        <w:tblStyle w:val="21"/>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6"/>
      </w:tblGrid>
      <w:tr w14:paraId="089B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9" w:hRule="atLeast"/>
        </w:trPr>
        <w:tc>
          <w:tcPr>
            <w:tcW w:w="9456" w:type="dxa"/>
          </w:tcPr>
          <w:p w14:paraId="623F783F">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一、质疑供应商基本信息</w:t>
            </w:r>
          </w:p>
          <w:p w14:paraId="780547E7">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质疑供应商</w:t>
            </w:r>
          </w:p>
          <w:p w14:paraId="0CE8FFCD">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地址：                                       邮编：</w:t>
            </w:r>
          </w:p>
          <w:p w14:paraId="69095F7C">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联系人：                                     联系电话</w:t>
            </w:r>
          </w:p>
          <w:p w14:paraId="39D7AC1D">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授权代表：</w:t>
            </w:r>
          </w:p>
          <w:p w14:paraId="4BAB64BC">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联系电话：</w:t>
            </w:r>
          </w:p>
          <w:p w14:paraId="5AD290D2">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地址：                                       邮编：</w:t>
            </w:r>
          </w:p>
          <w:p w14:paraId="3E158C4D">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二、质疑项目基本情况</w:t>
            </w:r>
          </w:p>
          <w:p w14:paraId="272940E7">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质疑项目的名称：</w:t>
            </w:r>
          </w:p>
          <w:p w14:paraId="2410B6B9">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质疑项目的编号：</w:t>
            </w:r>
          </w:p>
          <w:p w14:paraId="1E2517CA">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包号：</w:t>
            </w:r>
          </w:p>
          <w:p w14:paraId="152F68B0">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采购人名称：</w:t>
            </w:r>
          </w:p>
          <w:p w14:paraId="57F502D2">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采购文件获取日期：</w:t>
            </w:r>
          </w:p>
          <w:p w14:paraId="491BE80F">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三、质疑项目具体内容</w:t>
            </w:r>
          </w:p>
          <w:p w14:paraId="0407853F">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质疑事项1：</w:t>
            </w:r>
          </w:p>
          <w:p w14:paraId="55B861DA">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事实依据：</w:t>
            </w:r>
          </w:p>
          <w:p w14:paraId="25959B4A">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法律依据</w:t>
            </w:r>
          </w:p>
          <w:p w14:paraId="3B3F32E8">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质疑事项2：</w:t>
            </w:r>
          </w:p>
          <w:p w14:paraId="388E6909">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四、与质疑事项相关的质疑请求</w:t>
            </w:r>
          </w:p>
          <w:p w14:paraId="4499CC1F">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请求：</w:t>
            </w:r>
          </w:p>
          <w:p w14:paraId="5CCB514D">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签字（签章）：                          公章：</w:t>
            </w:r>
          </w:p>
          <w:p w14:paraId="200F13DC">
            <w:pPr>
              <w:pStyle w:val="2"/>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日期：</w:t>
            </w:r>
          </w:p>
        </w:tc>
      </w:tr>
    </w:tbl>
    <w:p w14:paraId="5C43D053">
      <w:pPr>
        <w:pStyle w:val="27"/>
        <w:rPr>
          <w:color w:val="000000" w:themeColor="text1"/>
          <w14:textFill>
            <w14:solidFill>
              <w14:schemeClr w14:val="tx1"/>
            </w14:solidFill>
          </w14:textFill>
        </w:rPr>
      </w:pPr>
    </w:p>
    <w:p w14:paraId="4252C2DA">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3．磋商文件的修改</w:t>
      </w:r>
    </w:p>
    <w:p w14:paraId="18D60E9E">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代理机构对已发出的磋商文件进行必要澄清或者修改的，在磋商文件要求提交磋商响应文件截止时间五日前，以书面形式通知所有购买磋商文件的磋商供应商，该澄清或者修改的内容作为磋商文件的组成部分，与其具有同等法律效力；</w:t>
      </w:r>
    </w:p>
    <w:p w14:paraId="2EE9BA00">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为方便磋商供应商对磋商文件修改或澄清内容有充分的时间进行补充修改，采购代理机构可延长磋商截止时间和磋商时间，均应在磋商文件要求提交磋商响应文件的截止时间五日前，将变更时间书面通知所有购买磋商文件的磋商供应商。</w:t>
      </w:r>
    </w:p>
    <w:p w14:paraId="7E148D4F">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4.磋商文件的购买</w:t>
      </w:r>
    </w:p>
    <w:p w14:paraId="2A6FA960">
      <w:pPr>
        <w:spacing w:line="4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磋商供应商必须从采购代理机构购买磋商文件，磋商供应商自行转让或复制的磋商文件视为无效文件；磋商文件一经售出，一律不退，仅作为本次磋商使用。</w:t>
      </w:r>
    </w:p>
    <w:p w14:paraId="6CD2EC2B">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5.磋商的处理依据</w:t>
      </w:r>
    </w:p>
    <w:p w14:paraId="5D08A0A7">
      <w:pPr>
        <w:spacing w:line="4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根据《中华人民共和国政府采购法》和《政府采购竞争性磋商采购方式管理暂行办法》的条款，本着公开、公平、公正的原则进行处理。</w:t>
      </w:r>
    </w:p>
    <w:p w14:paraId="5561A994">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6.解释权归属</w:t>
      </w:r>
    </w:p>
    <w:p w14:paraId="23684EA5">
      <w:pPr>
        <w:spacing w:line="4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本次磋商文件的解释权归采购代理机构。</w:t>
      </w:r>
    </w:p>
    <w:p w14:paraId="112411D0">
      <w:pPr>
        <w:jc w:val="center"/>
        <w:rPr>
          <w:rFonts w:ascii="宋体" w:hAnsi="宋体" w:cs="宋体"/>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四、磋商要求</w:t>
      </w:r>
    </w:p>
    <w:p w14:paraId="7187F65B">
      <w:pPr>
        <w:spacing w:line="360" w:lineRule="auto"/>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1.磋商内容</w:t>
      </w:r>
    </w:p>
    <w:p w14:paraId="6AF38BC9">
      <w:pPr>
        <w:kinsoku w:val="0"/>
        <w:spacing w:line="360" w:lineRule="auto"/>
        <w:ind w:firstLine="480"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本次磋商为：</w:t>
      </w:r>
      <w:r>
        <w:rPr>
          <w:rFonts w:hint="eastAsia" w:ascii="宋体" w:hAnsi="宋体" w:cs="宋体"/>
          <w:color w:val="000000" w:themeColor="text1"/>
          <w:sz w:val="24"/>
          <w:lang w:val="en-US" w:eastAsia="zh-CN"/>
          <w14:textFill>
            <w14:solidFill>
              <w14:schemeClr w14:val="tx1"/>
            </w14:solidFill>
          </w14:textFill>
        </w:rPr>
        <w:t>富平县精神病医院信息化系统升级服务采购项目</w:t>
      </w:r>
      <w:r>
        <w:rPr>
          <w:rFonts w:hint="eastAsia" w:ascii="宋体" w:hAnsi="宋体" w:cs="宋体"/>
          <w:color w:val="000000" w:themeColor="text1"/>
          <w:sz w:val="24"/>
          <w14:textFill>
            <w14:solidFill>
              <w14:schemeClr w14:val="tx1"/>
            </w14:solidFill>
          </w14:textFill>
        </w:rPr>
        <w:t>。磋商供应商可根据自身的资质情况和经营范围对项目进行磋商，不得将其子目再行分解或只响应其中的一部分内容，否则磋商无效；开标、阅标、磋商、成交、签订合同均以项目为单位进行。</w:t>
      </w:r>
    </w:p>
    <w:p w14:paraId="2D095AB0">
      <w:pPr>
        <w:kinsoku w:val="0"/>
        <w:spacing w:line="360" w:lineRule="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2.磋商供应商须提交以下资质证明文件：</w:t>
      </w:r>
    </w:p>
    <w:p w14:paraId="309FCEB5">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lang w:eastAsia="zh-CN"/>
        </w:rPr>
        <w:t>（</w:t>
      </w:r>
      <w:r>
        <w:rPr>
          <w:rFonts w:hint="eastAsia" w:ascii="宋体" w:hAnsi="宋体" w:cs="宋体"/>
          <w:kern w:val="0"/>
          <w:sz w:val="24"/>
          <w:lang w:val="en-US" w:eastAsia="zh-CN"/>
        </w:rPr>
        <w:t>1</w:t>
      </w:r>
      <w:r>
        <w:rPr>
          <w:rFonts w:hint="eastAsia" w:ascii="宋体" w:hAnsi="宋体" w:cs="宋体"/>
          <w:kern w:val="0"/>
          <w:sz w:val="24"/>
          <w:lang w:eastAsia="zh-CN"/>
        </w:rPr>
        <w:t>）</w:t>
      </w:r>
      <w:r>
        <w:rPr>
          <w:rFonts w:hint="eastAsia" w:ascii="宋体" w:hAnsi="宋体" w:cs="宋体"/>
          <w:kern w:val="0"/>
          <w:sz w:val="24"/>
        </w:rPr>
        <w:t>投标人提供具有统一社会信用代码证的营业执照（或事业法人证），投标人</w:t>
      </w:r>
      <w:r>
        <w:rPr>
          <w:rFonts w:hint="eastAsia" w:ascii="宋体" w:hAnsi="宋体" w:cs="宋体"/>
          <w:kern w:val="0"/>
          <w:sz w:val="24"/>
          <w:highlight w:val="none"/>
        </w:rPr>
        <w:t>为自然人的提供身份证；</w:t>
      </w:r>
    </w:p>
    <w:p w14:paraId="7F17E1DD">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lang w:eastAsia="zh-CN"/>
        </w:rPr>
        <w:t>（</w:t>
      </w:r>
      <w:r>
        <w:rPr>
          <w:rFonts w:hint="eastAsia" w:ascii="宋体" w:hAnsi="宋体" w:cs="宋体"/>
          <w:kern w:val="0"/>
          <w:sz w:val="24"/>
          <w:highlight w:val="none"/>
          <w:lang w:val="en-US" w:eastAsia="zh-CN"/>
        </w:rPr>
        <w:t>2</w:t>
      </w:r>
      <w:r>
        <w:rPr>
          <w:rFonts w:hint="eastAsia" w:ascii="宋体" w:hAnsi="宋体" w:cs="宋体"/>
          <w:kern w:val="0"/>
          <w:sz w:val="24"/>
          <w:highlight w:val="none"/>
          <w:lang w:eastAsia="zh-CN"/>
        </w:rPr>
        <w:t>）供应商应授权合法的人员参加投标全过程，其中法定代表人直接参加投标的，须出具法人代表身份证，并与营业执照上信息一致。法定代表人授权代表参加投标的，须出具法定代表人授权书及授权代表身份证</w:t>
      </w:r>
      <w:r>
        <w:rPr>
          <w:rFonts w:hint="eastAsia" w:ascii="宋体" w:hAnsi="宋体" w:cs="宋体"/>
          <w:kern w:val="0"/>
          <w:sz w:val="24"/>
          <w:highlight w:val="none"/>
        </w:rPr>
        <w:t>；</w:t>
      </w:r>
    </w:p>
    <w:p w14:paraId="0AC57C8B">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lang w:val="en-US" w:eastAsia="zh-CN"/>
        </w:rPr>
        <w:t>3</w:t>
      </w:r>
      <w:r>
        <w:rPr>
          <w:rFonts w:hint="eastAsia" w:ascii="宋体" w:hAnsi="宋体" w:cs="宋体"/>
          <w:kern w:val="0"/>
          <w:sz w:val="24"/>
          <w:lang w:eastAsia="zh-CN"/>
        </w:rPr>
        <w:t>）</w:t>
      </w:r>
      <w:r>
        <w:rPr>
          <w:rFonts w:hint="eastAsia" w:ascii="宋体" w:hAnsi="宋体" w:cs="宋体"/>
          <w:kern w:val="0"/>
          <w:sz w:val="24"/>
        </w:rPr>
        <w:t>须提供依法缴纳税收资金的良好记录（提供投标截止时间前六个月内任意一个月份的缴纳凭据复印件并加盖单位公章，依法免税或开标前一年内零申报的供应商应提供相关证明文件））</w:t>
      </w:r>
    </w:p>
    <w:p w14:paraId="7B9BE2ED">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lang w:val="en-US" w:eastAsia="zh-CN"/>
        </w:rPr>
        <w:t>4</w:t>
      </w:r>
      <w:r>
        <w:rPr>
          <w:rFonts w:hint="eastAsia" w:ascii="宋体" w:hAnsi="宋体" w:cs="宋体"/>
          <w:kern w:val="0"/>
          <w:sz w:val="24"/>
          <w:lang w:eastAsia="zh-CN"/>
        </w:rPr>
        <w:t>）</w:t>
      </w:r>
      <w:r>
        <w:rPr>
          <w:rFonts w:hint="eastAsia" w:ascii="宋体" w:hAnsi="宋体" w:cs="宋体"/>
          <w:kern w:val="0"/>
          <w:sz w:val="24"/>
        </w:rPr>
        <w:t>须提供依法缴纳社会保障资金（养老保险）的良好记录（提供投标截止时间前六个月内任意一个月份的缴纳凭据复印件并加盖单位公章或其他相关证明资料）；</w:t>
      </w:r>
    </w:p>
    <w:p w14:paraId="2F59D69E">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lang w:val="en-US" w:eastAsia="zh-CN"/>
        </w:rPr>
        <w:t>5</w:t>
      </w:r>
      <w:r>
        <w:rPr>
          <w:rFonts w:hint="eastAsia" w:ascii="宋体" w:hAnsi="宋体" w:cs="宋体"/>
          <w:kern w:val="0"/>
          <w:sz w:val="24"/>
          <w:lang w:eastAsia="zh-CN"/>
        </w:rPr>
        <w:t>）</w:t>
      </w:r>
      <w:r>
        <w:rPr>
          <w:rFonts w:hint="eastAsia" w:ascii="宋体" w:hAnsi="宋体" w:cs="宋体"/>
          <w:kern w:val="0"/>
          <w:sz w:val="24"/>
        </w:rPr>
        <w:t>供应商应在投标截止日前未被列入失信被执行人、重大税收违法案件当事人名单、政府采购严重违法失信行为记录名单（处罚期限届满的除外（以“信用中国”网站（www.creditchina.gov.cn）查询结果为准）；中国政府采购网（www.ccgp.gov.cn）提供政府采购严重违法失信行为记录名单（处罚期限届满的除外）网站截图并加盖单位公章。</w:t>
      </w:r>
    </w:p>
    <w:p w14:paraId="1230856F">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lang w:val="en-US" w:eastAsia="zh-CN"/>
        </w:rPr>
        <w:t>6</w:t>
      </w:r>
      <w:r>
        <w:rPr>
          <w:rFonts w:hint="eastAsia" w:ascii="宋体" w:hAnsi="宋体" w:cs="宋体"/>
          <w:kern w:val="0"/>
          <w:sz w:val="24"/>
          <w:lang w:eastAsia="zh-CN"/>
        </w:rPr>
        <w:t>）</w:t>
      </w:r>
      <w:r>
        <w:rPr>
          <w:rFonts w:hint="eastAsia" w:ascii="宋体" w:hAnsi="宋体" w:cs="宋体"/>
          <w:kern w:val="0"/>
          <w:sz w:val="24"/>
        </w:rPr>
        <w:t>满足《中华人民共和国政府采购法实施条例》第十八条规定。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4DF981E8">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lang w:val="en-US" w:eastAsia="zh-CN"/>
        </w:rPr>
        <w:t>7</w:t>
      </w:r>
      <w:r>
        <w:rPr>
          <w:rFonts w:hint="eastAsia" w:ascii="宋体" w:hAnsi="宋体" w:cs="宋体"/>
          <w:kern w:val="0"/>
          <w:sz w:val="24"/>
          <w:lang w:eastAsia="zh-CN"/>
        </w:rPr>
        <w:t>）</w:t>
      </w:r>
      <w:r>
        <w:rPr>
          <w:rFonts w:hint="eastAsia" w:ascii="宋体" w:hAnsi="宋体" w:cs="宋体"/>
          <w:kern w:val="0"/>
          <w:sz w:val="24"/>
        </w:rPr>
        <w:t>须提供2023年或2024年经审计的财务报告（成立时间至提交响应文件截止时间不足一年的可提供成立后任意时段的财务报表）或基本存款账户开户银行出具的资信证明；</w:t>
      </w:r>
    </w:p>
    <w:p w14:paraId="6E30B453">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lang w:val="en-US" w:eastAsia="zh-CN"/>
        </w:rPr>
        <w:t>8</w:t>
      </w:r>
      <w:r>
        <w:rPr>
          <w:rFonts w:hint="eastAsia" w:ascii="宋体" w:hAnsi="宋体" w:cs="宋体"/>
          <w:kern w:val="0"/>
          <w:sz w:val="24"/>
          <w:lang w:eastAsia="zh-CN"/>
        </w:rPr>
        <w:t>）</w:t>
      </w:r>
      <w:r>
        <w:rPr>
          <w:rFonts w:hint="eastAsia" w:ascii="宋体" w:hAnsi="宋体" w:cs="宋体"/>
          <w:kern w:val="0"/>
          <w:sz w:val="24"/>
        </w:rPr>
        <w:t>提供近3年内在经营活动中没有重大违法记录的书面声明；</w:t>
      </w:r>
    </w:p>
    <w:p w14:paraId="4A98FB72">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lang w:val="en-US" w:eastAsia="zh-CN"/>
        </w:rPr>
        <w:t>9</w:t>
      </w:r>
      <w:r>
        <w:rPr>
          <w:rFonts w:hint="eastAsia" w:ascii="宋体" w:hAnsi="宋体" w:cs="宋体"/>
          <w:kern w:val="0"/>
          <w:sz w:val="24"/>
          <w:lang w:eastAsia="zh-CN"/>
        </w:rPr>
        <w:t>）</w:t>
      </w:r>
      <w:r>
        <w:rPr>
          <w:rFonts w:hint="eastAsia" w:ascii="宋体" w:hAnsi="宋体" w:cs="宋体"/>
          <w:kern w:val="0"/>
          <w:sz w:val="24"/>
        </w:rPr>
        <w:t>提供投标保证金转账凭证复印件并加盖单位公章。</w:t>
      </w:r>
    </w:p>
    <w:p w14:paraId="0CD6C789">
      <w:pPr>
        <w:widowControl/>
        <w:spacing w:line="480" w:lineRule="auto"/>
        <w:ind w:firstLine="480" w:firstLineChars="200"/>
        <w:contextualSpacing/>
        <w:jc w:val="left"/>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cs="宋体"/>
          <w:kern w:val="0"/>
          <w:sz w:val="24"/>
          <w:lang w:eastAsia="zh-CN"/>
        </w:rPr>
        <w:t>（</w:t>
      </w:r>
      <w:r>
        <w:rPr>
          <w:rFonts w:hint="eastAsia" w:ascii="宋体" w:hAnsi="宋体" w:cs="宋体"/>
          <w:kern w:val="0"/>
          <w:sz w:val="24"/>
          <w:lang w:val="en-US" w:eastAsia="zh-CN"/>
        </w:rPr>
        <w:t>10</w:t>
      </w:r>
      <w:r>
        <w:rPr>
          <w:rFonts w:hint="eastAsia" w:ascii="宋体" w:hAnsi="宋体" w:cs="宋体"/>
          <w:kern w:val="0"/>
          <w:sz w:val="24"/>
          <w:lang w:eastAsia="zh-CN"/>
        </w:rPr>
        <w:t>）</w:t>
      </w:r>
      <w:r>
        <w:rPr>
          <w:rFonts w:hint="eastAsia" w:ascii="宋体" w:hAnsi="宋体" w:cs="宋体"/>
          <w:kern w:val="0"/>
          <w:sz w:val="24"/>
        </w:rPr>
        <w:t>提供具有履行本合同所必需的专业技术能力的说明及承诺。</w:t>
      </w:r>
    </w:p>
    <w:p w14:paraId="78ADCF9E">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注：上述1-10项资格证明材料为必备材料</w:t>
      </w:r>
      <w:r>
        <w:rPr>
          <w:rFonts w:hint="eastAsia" w:ascii="宋体" w:hAnsi="宋体" w:cs="宋体"/>
          <w:b/>
          <w:color w:val="000000" w:themeColor="text1"/>
          <w:sz w:val="24"/>
          <w14:textFill>
            <w14:solidFill>
              <w14:schemeClr w14:val="tx1"/>
            </w14:solidFill>
          </w14:textFill>
        </w:rPr>
        <w:t>，缺一项或某项达不到要求的按无效文件处理。</w:t>
      </w:r>
    </w:p>
    <w:p w14:paraId="5A0E657F">
      <w:pPr>
        <w:spacing w:line="360" w:lineRule="auto"/>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3.磋商响应文件的编制</w:t>
      </w:r>
    </w:p>
    <w:p w14:paraId="23DF75D9">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磋商响应文件须根据磋商文件提供的内容及格式编制，并对磋商文件做出实质性响应；具体内容包括：</w:t>
      </w:r>
    </w:p>
    <w:p w14:paraId="7582479E">
      <w:pPr>
        <w:tabs>
          <w:tab w:val="left" w:pos="1080"/>
        </w:tabs>
        <w:spacing w:line="360" w:lineRule="auto"/>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（1）按照格式要求填写的磋商函；</w:t>
      </w:r>
    </w:p>
    <w:p w14:paraId="5A790DAD">
      <w:pPr>
        <w:spacing w:line="360" w:lineRule="auto"/>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（2）报价一览表、商务偏离表、技术偏离表；</w:t>
      </w:r>
    </w:p>
    <w:p w14:paraId="4D165033">
      <w:pPr>
        <w:tabs>
          <w:tab w:val="left" w:pos="1080"/>
        </w:tabs>
        <w:spacing w:line="360" w:lineRule="auto"/>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（3）按要求出具的资质文件；</w:t>
      </w:r>
    </w:p>
    <w:p w14:paraId="2523EF23">
      <w:pPr>
        <w:tabs>
          <w:tab w:val="left" w:pos="1080"/>
        </w:tabs>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法定代表人</w:t>
      </w:r>
      <w:r>
        <w:rPr>
          <w:rFonts w:hint="eastAsia" w:ascii="宋体" w:hAnsi="宋体" w:cs="宋体"/>
          <w:color w:val="000000" w:themeColor="text1"/>
          <w:sz w:val="24"/>
          <w:highlight w:val="none"/>
          <w:lang w:val="en-US" w:eastAsia="zh-CN"/>
          <w14:textFill>
            <w14:solidFill>
              <w14:schemeClr w14:val="tx1"/>
            </w14:solidFill>
          </w14:textFill>
        </w:rPr>
        <w:t>/负责人</w:t>
      </w:r>
      <w:r>
        <w:rPr>
          <w:rFonts w:hint="eastAsia" w:ascii="宋体" w:hAnsi="宋体" w:cs="宋体"/>
          <w:color w:val="000000" w:themeColor="text1"/>
          <w:sz w:val="24"/>
          <w:highlight w:val="none"/>
          <w14:textFill>
            <w14:solidFill>
              <w14:schemeClr w14:val="tx1"/>
            </w14:solidFill>
          </w14:textFill>
        </w:rPr>
        <w:t>证明书或法定代表人</w:t>
      </w:r>
      <w:r>
        <w:rPr>
          <w:rFonts w:hint="eastAsia" w:ascii="宋体" w:hAnsi="宋体" w:cs="宋体"/>
          <w:color w:val="000000" w:themeColor="text1"/>
          <w:sz w:val="24"/>
          <w:highlight w:val="none"/>
          <w:lang w:val="en-US" w:eastAsia="zh-CN"/>
          <w14:textFill>
            <w14:solidFill>
              <w14:schemeClr w14:val="tx1"/>
            </w14:solidFill>
          </w14:textFill>
        </w:rPr>
        <w:t>/负责人</w:t>
      </w:r>
      <w:r>
        <w:rPr>
          <w:rFonts w:hint="eastAsia" w:ascii="宋体" w:hAnsi="宋体" w:cs="宋体"/>
          <w:color w:val="000000" w:themeColor="text1"/>
          <w:sz w:val="24"/>
          <w:highlight w:val="none"/>
          <w14:textFill>
            <w14:solidFill>
              <w14:schemeClr w14:val="tx1"/>
            </w14:solidFill>
          </w14:textFill>
        </w:rPr>
        <w:t>授权委托书；</w:t>
      </w:r>
    </w:p>
    <w:p w14:paraId="74ABE275">
      <w:pPr>
        <w:tabs>
          <w:tab w:val="left" w:pos="1080"/>
        </w:tabs>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（5）磋商供应商的磋商方案： </w:t>
      </w:r>
    </w:p>
    <w:p w14:paraId="19AAEC46">
      <w:pPr>
        <w:kinsoku w:val="0"/>
        <w:spacing w:line="360" w:lineRule="auto"/>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A.磋商供应商企业简介。</w:t>
      </w:r>
    </w:p>
    <w:p w14:paraId="3E77C2DD">
      <w:pPr>
        <w:kinsoku w:val="0"/>
        <w:spacing w:line="360" w:lineRule="auto"/>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B.商务内容响应说明。</w:t>
      </w:r>
    </w:p>
    <w:p w14:paraId="0049D963">
      <w:pPr>
        <w:kinsoku w:val="0"/>
        <w:spacing w:line="360" w:lineRule="auto"/>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C.磋商供应商完成项目的组织机构、实施计划。</w:t>
      </w:r>
    </w:p>
    <w:p w14:paraId="74145551">
      <w:pPr>
        <w:kinsoku w:val="0"/>
        <w:spacing w:line="360" w:lineRule="auto"/>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D.磋商供应商完成项目保障能力。</w:t>
      </w:r>
    </w:p>
    <w:p w14:paraId="2629FBCB">
      <w:pPr>
        <w:kinsoku w:val="0"/>
        <w:spacing w:line="360" w:lineRule="auto"/>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E.磋商供应商认为有必要说明的问题。</w:t>
      </w:r>
    </w:p>
    <w:p w14:paraId="58D55A64">
      <w:pPr>
        <w:tabs>
          <w:tab w:val="left" w:pos="1080"/>
        </w:tabs>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（6）磋商响应文件按项目必须单独制作。</w:t>
      </w:r>
    </w:p>
    <w:p w14:paraId="0FE89B01">
      <w:pPr>
        <w:spacing w:line="360" w:lineRule="auto"/>
        <w:ind w:firstLine="120" w:firstLineChars="5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4.磋商报价</w:t>
      </w:r>
    </w:p>
    <w:p w14:paraId="3F68561A">
      <w:pPr>
        <w:kinsoku w:val="0"/>
        <w:spacing w:line="360" w:lineRule="auto"/>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（1）磋商报价是指项目完成并经验收合格的所有费用，包括项目费用、国家按现行税收政策征收的一切税费等，以磋商文件的内容和要求作为依据；</w:t>
      </w:r>
    </w:p>
    <w:p w14:paraId="1922BA1C">
      <w:pPr>
        <w:spacing w:line="460" w:lineRule="atLeas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（2）磋商供应商应在磋商响应文件中的响应报价表上，标明费用组成；任何有选择的报价不予接受；</w:t>
      </w:r>
    </w:p>
    <w:p w14:paraId="52AE389A">
      <w:pPr>
        <w:spacing w:line="460" w:lineRule="atLeas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（3）磋商货币：人民币；单位：元（精确到小数点后两位）；</w:t>
      </w:r>
    </w:p>
    <w:p w14:paraId="52C97A73">
      <w:pPr>
        <w:spacing w:line="460" w:lineRule="atLeas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（4）响应报价表应有法定代表人</w:t>
      </w:r>
      <w:r>
        <w:rPr>
          <w:rFonts w:hint="eastAsia" w:ascii="宋体" w:hAnsi="宋体" w:cs="宋体"/>
          <w:color w:val="000000" w:themeColor="text1"/>
          <w:sz w:val="24"/>
          <w:highlight w:val="none"/>
          <w:lang w:val="en-US" w:eastAsia="zh-CN"/>
          <w14:textFill>
            <w14:solidFill>
              <w14:schemeClr w14:val="tx1"/>
            </w14:solidFill>
          </w14:textFill>
        </w:rPr>
        <w:t>/负责人</w:t>
      </w:r>
      <w:r>
        <w:rPr>
          <w:rFonts w:hint="eastAsia" w:ascii="宋体" w:hAnsi="宋体" w:cs="宋体"/>
          <w:color w:val="000000" w:themeColor="text1"/>
          <w:sz w:val="24"/>
          <w:highlight w:val="none"/>
          <w14:textFill>
            <w14:solidFill>
              <w14:schemeClr w14:val="tx1"/>
            </w14:solidFill>
          </w14:textFill>
        </w:rPr>
        <w:t>或被授权人的签字；</w:t>
      </w:r>
    </w:p>
    <w:p w14:paraId="7E7411FB">
      <w:pPr>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（5）合同价格：经磋商小组确认的某一磋商供应</w:t>
      </w:r>
      <w:r>
        <w:rPr>
          <w:rFonts w:hint="eastAsia" w:ascii="宋体" w:hAnsi="宋体" w:cs="宋体"/>
          <w:color w:val="000000" w:themeColor="text1"/>
          <w:sz w:val="24"/>
          <w14:textFill>
            <w14:solidFill>
              <w14:schemeClr w14:val="tx1"/>
            </w14:solidFill>
          </w14:textFill>
        </w:rPr>
        <w:t>商的最终报价，在合同执行过程中是固定不变的，不受外汇汇率及市场价格变化的影响；</w:t>
      </w:r>
    </w:p>
    <w:p w14:paraId="6BC4DAC0">
      <w:pPr>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（6）凡因磋商供应商对磋商文件阅读不深、理解不透、误解、疏漏、或因市场行情了解不清造成的后果和风险均由磋商供应商自负；</w:t>
      </w:r>
    </w:p>
    <w:p w14:paraId="0473C352">
      <w:pPr>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磋商供应商不得以低于成本的报价参加磋商。当磋商小组认为某个磋商供应商的磋商价或者某些分项报价明显不合理或者低于成本，有可能影响设计质量和不能诚信履约的，可要求该磋商供应商在规定的期限内提供书面文件予以解释说明，并提交相关证明材料；否则，磋商小组可以取消该磋商供应商的成交候选资格。</w:t>
      </w:r>
    </w:p>
    <w:p w14:paraId="3EAAB9C3">
      <w:pPr>
        <w:spacing w:line="460" w:lineRule="atLeas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5.磋商保证金</w:t>
      </w:r>
    </w:p>
    <w:p w14:paraId="06F5DD1B">
      <w:pPr>
        <w:kinsoku w:val="0"/>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（1）本次磋商活动需交纳磋商保证金为：</w:t>
      </w:r>
      <w:r>
        <w:rPr>
          <w:rFonts w:hint="eastAsia" w:ascii="宋体" w:hAnsi="宋体" w:cs="宋体"/>
          <w:color w:val="000000" w:themeColor="text1"/>
          <w:sz w:val="24"/>
          <w:lang w:val="en-US" w:eastAsia="zh-CN"/>
          <w14:textFill>
            <w14:solidFill>
              <w14:schemeClr w14:val="tx1"/>
            </w14:solidFill>
          </w14:textFill>
        </w:rPr>
        <w:t>伍仟元整</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000.00元）</w:t>
      </w:r>
    </w:p>
    <w:p w14:paraId="27017065">
      <w:pPr>
        <w:kinsoku w:val="0"/>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（2）磋商保证金应为人民币，可采用下列任何一种形式支付：</w:t>
      </w:r>
    </w:p>
    <w:p w14:paraId="0C0C75F7">
      <w:pPr>
        <w:kinsoku w:val="0"/>
        <w:spacing w:line="460" w:lineRule="atLeast"/>
        <w:ind w:firstLine="960" w:firstLineChars="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A、银行转账        B、电汇     C、信用担保或银行担保</w:t>
      </w:r>
    </w:p>
    <w:p w14:paraId="6CB8FBAA">
      <w:pPr>
        <w:kinsoku w:val="0"/>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磋商单位应在响应截止时间前提交磋商保证金，由响应单位通过银行转账、电汇、保函等非现金形式。</w:t>
      </w:r>
    </w:p>
    <w:p w14:paraId="5359C55B">
      <w:pPr>
        <w:spacing w:line="460" w:lineRule="atLeas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备注：</w:t>
      </w:r>
      <w:r>
        <w:rPr>
          <w:rFonts w:ascii="Calibri" w:hAnsi="Calibri" w:cs="Calibri"/>
          <w:b/>
          <w:color w:val="000000" w:themeColor="text1"/>
          <w:sz w:val="24"/>
          <w14:textFill>
            <w14:solidFill>
              <w14:schemeClr w14:val="tx1"/>
            </w14:solidFill>
          </w14:textFill>
        </w:rPr>
        <w:t>①</w:t>
      </w:r>
      <w:r>
        <w:rPr>
          <w:rFonts w:hint="eastAsia" w:ascii="宋体" w:hAnsi="宋体" w:cs="宋体"/>
          <w:b/>
          <w:color w:val="000000" w:themeColor="text1"/>
          <w:sz w:val="24"/>
          <w14:textFill>
            <w14:solidFill>
              <w14:schemeClr w14:val="tx1"/>
            </w14:solidFill>
          </w14:textFill>
        </w:rPr>
        <w:t>磋商保证金以磋商供应商名称汇款,如以个人汇款，视为无效。</w:t>
      </w:r>
    </w:p>
    <w:p w14:paraId="42B0834E">
      <w:pPr>
        <w:spacing w:line="460" w:lineRule="atLeast"/>
        <w:ind w:firstLine="723" w:firstLineChars="300"/>
        <w:rPr>
          <w:rFonts w:ascii="宋体" w:hAnsi="宋体" w:cs="宋体"/>
          <w:b/>
          <w:color w:val="000000" w:themeColor="text1"/>
          <w:sz w:val="24"/>
          <w14:textFill>
            <w14:solidFill>
              <w14:schemeClr w14:val="tx1"/>
            </w14:solidFill>
          </w14:textFill>
        </w:rPr>
      </w:pPr>
      <w:r>
        <w:rPr>
          <w:rFonts w:ascii="Calibri" w:hAnsi="Calibri" w:cs="Calibri"/>
          <w:b/>
          <w:color w:val="000000" w:themeColor="text1"/>
          <w:sz w:val="24"/>
          <w14:textFill>
            <w14:solidFill>
              <w14:schemeClr w14:val="tx1"/>
            </w14:solidFill>
          </w14:textFill>
        </w:rPr>
        <w:t>②</w:t>
      </w:r>
      <w:r>
        <w:rPr>
          <w:rFonts w:hint="eastAsia" w:ascii="宋体" w:hAnsi="宋体" w:cs="宋体"/>
          <w:b/>
          <w:color w:val="000000" w:themeColor="text1"/>
          <w:sz w:val="24"/>
          <w14:textFill>
            <w14:solidFill>
              <w14:schemeClr w14:val="tx1"/>
            </w14:solidFill>
          </w14:textFill>
        </w:rPr>
        <w:t>银行转账或电汇凭证标明项目编号。</w:t>
      </w:r>
    </w:p>
    <w:p w14:paraId="2C040EA4">
      <w:pPr>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（3）磋商供应商未交纳、未足额交纳或未按规定时间交纳保证金的，将被视为自动放弃磋商权利 (缴纳时间与金额以银行到账时间为准)。</w:t>
      </w:r>
    </w:p>
    <w:p w14:paraId="0B6D13D6">
      <w:pPr>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（4）磋商保证金的交付单位和磋商供应商的名称必须一致，否则将视为磋商响应无效；</w:t>
      </w:r>
    </w:p>
    <w:p w14:paraId="7D98DD8A">
      <w:pPr>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（5）成交供应商与采购人签订了合同后，成交服务费不可以从保证金中扣除，需要以现金或银行转账方式缴纳；</w:t>
      </w:r>
    </w:p>
    <w:p w14:paraId="155FF9FD">
      <w:pPr>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（6）发生下列情况之一，磋商保证金将被没收：</w:t>
      </w:r>
    </w:p>
    <w:p w14:paraId="07C89E35">
      <w:pPr>
        <w:spacing w:line="460" w:lineRule="atLeast"/>
        <w:ind w:left="359" w:leftChars="171"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A．磋商后在磋商有效期间，磋商供应商撤回其磋商响应文件；</w:t>
      </w:r>
    </w:p>
    <w:p w14:paraId="71120BFB">
      <w:pPr>
        <w:spacing w:line="460" w:lineRule="atLeast"/>
        <w:ind w:left="359" w:leftChars="171"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B．成交供应商在规定的时间内未能签订合同；</w:t>
      </w:r>
    </w:p>
    <w:p w14:paraId="31B8F795">
      <w:pPr>
        <w:spacing w:line="460" w:lineRule="atLeast"/>
        <w:ind w:left="359" w:leftChars="171"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C．成交供应商未按时缴付成交服务费；</w:t>
      </w:r>
    </w:p>
    <w:p w14:paraId="7E637ECD">
      <w:pPr>
        <w:spacing w:line="460" w:lineRule="atLeast"/>
        <w:ind w:left="359" w:leftChars="171"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D．由于磋商供应商的原因导致成交无效的。</w:t>
      </w:r>
    </w:p>
    <w:p w14:paraId="717D471D">
      <w:pPr>
        <w:spacing w:line="460" w:lineRule="atLeast"/>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（7）联合磋商的，可以由联合体中的主体提交磋商保证金，以一方名义提交磋商保证金，对联合体各方均具有约束力；</w:t>
      </w:r>
    </w:p>
    <w:p w14:paraId="2FAC5705">
      <w:pPr>
        <w:spacing w:line="360" w:lineRule="auto"/>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6.信用担保及信用融资</w:t>
      </w:r>
    </w:p>
    <w:p w14:paraId="3FA4E721">
      <w:pPr>
        <w:spacing w:line="360" w:lineRule="auto"/>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（1）陕西省政府采购信用担保及信用融资政策</w:t>
      </w:r>
    </w:p>
    <w:p w14:paraId="075F6407">
      <w:pPr>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为支持和促进中小企业发展，进一步发挥政府采购政策功能作用，有效缓解中小企业融资难等问题，根据财政部财库【2011】124号文件的精神，富平县财政局制订了《陕西省政府采购信用担保试点工作实施方案（试行）》，为参与陕西省政府采购项目的供应商提供政府采购信用担保，并按照程序确定了合作的担保机构。成交供应商缴纳履约保证金时可自愿选择通过担保机构保函的形式缴纳；成交供应商如果需要融资贷款服务的，根据《陕西省中小企业政府采购信用融资办法》（陕财办采〔2018〕23号），可凭成交通知书、政府采购合同等相关资料，按照文件规定的程序申请办理，具体规定可登陆陕西省政府采购网(www.ccgp-shaanxi.gov.cn)重要通知专栏中查询了解。</w:t>
      </w:r>
    </w:p>
    <w:p w14:paraId="3B83379D">
      <w:pPr>
        <w:spacing w:line="460" w:lineRule="atLeas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7.磋商响应文件的有效期</w:t>
      </w:r>
    </w:p>
    <w:p w14:paraId="508D7DCD">
      <w:pPr>
        <w:pStyle w:val="28"/>
        <w:spacing w:line="460" w:lineRule="atLeast"/>
        <w:ind w:firstLine="480"/>
        <w:rPr>
          <w:rFonts w:ascii="宋体" w:hAnsi="宋体" w:cs="宋体"/>
          <w:color w:val="000000" w:themeColor="text1"/>
          <w:kern w:val="2"/>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磋商有效期为从提交磋商响应文件的截止时间起九十（90）个日历日</w:t>
      </w:r>
      <w:r>
        <w:rPr>
          <w:rFonts w:hint="eastAsia" w:ascii="宋体" w:hAnsi="宋体" w:cs="宋体"/>
          <w:color w:val="000000" w:themeColor="text1"/>
          <w:kern w:val="2"/>
          <w:sz w:val="24"/>
          <w:szCs w:val="24"/>
          <w14:textFill>
            <w14:solidFill>
              <w14:schemeClr w14:val="tx1"/>
            </w14:solidFill>
          </w14:textFill>
        </w:rPr>
        <w:t>；有效期短于规定的磋商有效期，视为无效响应文件。成交供应商的磋商响应文件有效期延长至合同执行完毕。</w:t>
      </w:r>
    </w:p>
    <w:p w14:paraId="32C28A8C">
      <w:pPr>
        <w:spacing w:line="460" w:lineRule="atLeas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8.磋商响应文件的签署及规定</w:t>
      </w:r>
    </w:p>
    <w:p w14:paraId="3B75B536">
      <w:pPr>
        <w:spacing w:line="460" w:lineRule="atLeas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（1）磋商供应商须依据磋商文件内容和磋商响应文件格式的要求编制磋商响应文件；</w:t>
      </w:r>
    </w:p>
    <w:p w14:paraId="7BF6E35E">
      <w:pPr>
        <w:spacing w:line="460" w:lineRule="atLeas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（2）磋商响应文件的正本和所有的副本均需打印或用不褪色的蓝（黑）墨水填写，注明“正本”“副本”字样。统一胶装、编码，在每一页的正下方标明页码；</w:t>
      </w:r>
    </w:p>
    <w:p w14:paraId="78FF4B36">
      <w:pPr>
        <w:tabs>
          <w:tab w:val="left" w:pos="7013"/>
        </w:tabs>
        <w:spacing w:line="460" w:lineRule="atLeast"/>
        <w:ind w:firstLine="240" w:firstLineChars="1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（3）磋商响应文件份数，本次磋商需提交磋商响应文件共</w:t>
      </w:r>
      <w:r>
        <w:rPr>
          <w:rFonts w:hint="eastAsia" w:ascii="宋体" w:hAnsi="宋体" w:cs="宋体"/>
          <w:color w:val="000000" w:themeColor="text1"/>
          <w:sz w:val="24"/>
          <w:lang w:val="en-US" w:eastAsia="zh-CN"/>
          <w14:textFill>
            <w14:solidFill>
              <w14:schemeClr w14:val="tx1"/>
            </w14:solidFill>
          </w14:textFill>
        </w:rPr>
        <w:t>肆</w:t>
      </w:r>
      <w:r>
        <w:rPr>
          <w:rFonts w:hint="eastAsia" w:ascii="宋体" w:hAnsi="宋体" w:cs="宋体"/>
          <w:color w:val="000000" w:themeColor="text1"/>
          <w:sz w:val="24"/>
          <w14:textFill>
            <w14:solidFill>
              <w14:schemeClr w14:val="tx1"/>
            </w14:solidFill>
          </w14:textFill>
        </w:rPr>
        <w:t>份，其中正本壹份，副本贰份，电子版（U盘）</w:t>
      </w:r>
      <w:r>
        <w:rPr>
          <w:rFonts w:hint="eastAsia" w:ascii="宋体" w:hAnsi="宋体" w:cs="宋体"/>
          <w:color w:val="000000" w:themeColor="text1"/>
          <w:sz w:val="24"/>
          <w:lang w:val="en-US" w:eastAsia="zh-CN"/>
          <w14:textFill>
            <w14:solidFill>
              <w14:schemeClr w14:val="tx1"/>
            </w14:solidFill>
          </w14:textFill>
        </w:rPr>
        <w:t>壹</w:t>
      </w:r>
      <w:r>
        <w:rPr>
          <w:rFonts w:hint="eastAsia" w:ascii="宋体" w:hAnsi="宋体" w:cs="宋体"/>
          <w:color w:val="000000" w:themeColor="text1"/>
          <w:sz w:val="24"/>
          <w14:textFill>
            <w14:solidFill>
              <w14:schemeClr w14:val="tx1"/>
            </w14:solidFill>
          </w14:textFill>
        </w:rPr>
        <w:t>份（word一份包含磋商响应文件所有内容）；在封面标明“正本”、“副本”字样，电子版文件（U盘）放置“正本”密封袋内并加贴不掉标贴，注写磋商供应商名称。</w:t>
      </w:r>
    </w:p>
    <w:p w14:paraId="57C93ADA">
      <w:pPr>
        <w:spacing w:line="460" w:lineRule="atLeas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（4）磋商供应商在磋商响应文件中指定的页面落款处，必须按磋商文件要求加盖印章或签字；</w:t>
      </w:r>
    </w:p>
    <w:p w14:paraId="6B07170A">
      <w:pPr>
        <w:spacing w:line="460" w:lineRule="atLeas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（5）磋商供应商名称应填写全称，同时加盖公章；</w:t>
      </w:r>
    </w:p>
    <w:p w14:paraId="7C5D9792">
      <w:pPr>
        <w:spacing w:line="460" w:lineRule="atLeas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（6）磋商响应文件的任何行间插字、涂改和增删，必须由</w:t>
      </w:r>
      <w:r>
        <w:rPr>
          <w:rFonts w:hint="eastAsia" w:ascii="宋体" w:hAnsi="宋体" w:cs="宋体"/>
          <w:color w:val="000000" w:themeColor="text1"/>
          <w:sz w:val="24"/>
          <w:highlight w:val="none"/>
          <w14:textFill>
            <w14:solidFill>
              <w14:schemeClr w14:val="tx1"/>
            </w14:solidFill>
          </w14:textFill>
        </w:rPr>
        <w:t>法定代表人</w:t>
      </w:r>
      <w:r>
        <w:rPr>
          <w:rFonts w:hint="eastAsia" w:ascii="宋体" w:hAnsi="宋体" w:cs="宋体"/>
          <w:color w:val="000000" w:themeColor="text1"/>
          <w:sz w:val="24"/>
          <w:highlight w:val="none"/>
          <w:lang w:val="en-US" w:eastAsia="zh-CN"/>
          <w14:textFill>
            <w14:solidFill>
              <w14:schemeClr w14:val="tx1"/>
            </w14:solidFill>
          </w14:textFill>
        </w:rPr>
        <w:t>/负责人</w:t>
      </w:r>
      <w:r>
        <w:rPr>
          <w:rFonts w:hint="eastAsia" w:ascii="宋体" w:hAnsi="宋体" w:cs="宋体"/>
          <w:color w:val="000000" w:themeColor="text1"/>
          <w:sz w:val="24"/>
          <w:highlight w:val="none"/>
          <w14:textFill>
            <w14:solidFill>
              <w14:schemeClr w14:val="tx1"/>
            </w14:solidFill>
          </w14:textFill>
        </w:rPr>
        <w:t>或被授权人在改动处旁签字方为有效；</w:t>
      </w:r>
    </w:p>
    <w:p w14:paraId="04A02B83">
      <w:pPr>
        <w:spacing w:line="460" w:lineRule="atLeas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（7）磋商响应文件因字迹潦草或表达不清所引起的后果由磋商供应商负责。</w:t>
      </w:r>
    </w:p>
    <w:p w14:paraId="24A194C2">
      <w:pPr>
        <w:spacing w:line="460" w:lineRule="atLeas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9.文字要求</w:t>
      </w:r>
    </w:p>
    <w:p w14:paraId="2DBFDB71">
      <w:pPr>
        <w:spacing w:line="460" w:lineRule="atLeas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本次磋商只接受简体中文文字的磋商响应文件。</w:t>
      </w:r>
    </w:p>
    <w:p w14:paraId="35AAA387">
      <w:pPr>
        <w:spacing w:line="460" w:lineRule="atLeas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10.联合磋商</w:t>
      </w:r>
    </w:p>
    <w:p w14:paraId="1E2145A1">
      <w:pPr>
        <w:spacing w:line="460" w:lineRule="atLeast"/>
        <w:ind w:firstLine="360" w:firstLineChars="150"/>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本项目不接受联合体磋商。</w:t>
      </w:r>
    </w:p>
    <w:p w14:paraId="75671765">
      <w:pPr>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五、磋商响应文件封装、递交</w:t>
      </w:r>
    </w:p>
    <w:p w14:paraId="379BA803">
      <w:pPr>
        <w:spacing w:line="460" w:lineRule="exact"/>
        <w:ind w:firstLine="120" w:firstLineChars="5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1.磋商响应文件的封装及标记</w:t>
      </w:r>
    </w:p>
    <w:p w14:paraId="2977903F">
      <w:pPr>
        <w:spacing w:line="460" w:lineRule="exac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pacing w:val="6"/>
          <w:sz w:val="24"/>
          <w:highlight w:val="none"/>
          <w14:textFill>
            <w14:solidFill>
              <w14:schemeClr w14:val="tx1"/>
            </w14:solidFill>
          </w14:textFill>
        </w:rPr>
        <w:t>磋商响应文件</w:t>
      </w:r>
      <w:r>
        <w:rPr>
          <w:rFonts w:hint="eastAsia" w:ascii="宋体" w:hAnsi="宋体" w:cs="宋体"/>
          <w:color w:val="000000" w:themeColor="text1"/>
          <w:sz w:val="24"/>
          <w:highlight w:val="none"/>
          <w14:textFill>
            <w14:solidFill>
              <w14:schemeClr w14:val="tx1"/>
            </w14:solidFill>
          </w14:textFill>
        </w:rPr>
        <w:t>应按以下要求封装：</w:t>
      </w:r>
    </w:p>
    <w:p w14:paraId="29A871CD">
      <w:pPr>
        <w:spacing w:line="460" w:lineRule="exact"/>
        <w:ind w:left="120" w:leftChars="57"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w:t>
      </w:r>
      <w:r>
        <w:rPr>
          <w:rFonts w:hint="eastAsia" w:ascii="宋体" w:hAnsi="宋体" w:cs="宋体"/>
          <w:color w:val="000000" w:themeColor="text1"/>
          <w:spacing w:val="6"/>
          <w:sz w:val="24"/>
          <w:highlight w:val="none"/>
          <w14:textFill>
            <w14:solidFill>
              <w14:schemeClr w14:val="tx1"/>
            </w14:solidFill>
          </w14:textFill>
        </w:rPr>
        <w:t>磋商供应商</w:t>
      </w:r>
      <w:r>
        <w:rPr>
          <w:rFonts w:hint="eastAsia" w:ascii="宋体" w:hAnsi="宋体" w:cs="宋体"/>
          <w:color w:val="000000" w:themeColor="text1"/>
          <w:sz w:val="24"/>
          <w:highlight w:val="none"/>
          <w14:textFill>
            <w14:solidFill>
              <w14:schemeClr w14:val="tx1"/>
            </w14:solidFill>
          </w14:textFill>
        </w:rPr>
        <w:t>应将</w:t>
      </w:r>
      <w:r>
        <w:rPr>
          <w:rFonts w:hint="eastAsia" w:ascii="宋体" w:hAnsi="宋体" w:cs="宋体"/>
          <w:color w:val="000000" w:themeColor="text1"/>
          <w:spacing w:val="6"/>
          <w:sz w:val="24"/>
          <w:highlight w:val="none"/>
          <w14:textFill>
            <w14:solidFill>
              <w14:schemeClr w14:val="tx1"/>
            </w14:solidFill>
          </w14:textFill>
        </w:rPr>
        <w:t>磋商响应文件</w:t>
      </w:r>
      <w:r>
        <w:rPr>
          <w:rFonts w:hint="eastAsia" w:ascii="宋体" w:hAnsi="宋体" w:cs="宋体"/>
          <w:color w:val="000000" w:themeColor="text1"/>
          <w:sz w:val="24"/>
          <w:highlight w:val="none"/>
          <w14:textFill>
            <w14:solidFill>
              <w14:schemeClr w14:val="tx1"/>
            </w14:solidFill>
          </w14:textFill>
        </w:rPr>
        <w:t>的正本、副本，用单独的封袋分装密封（封袋不得有破损），在封袋上标明“正本”或“副本”字样，封线处加盖</w:t>
      </w:r>
      <w:r>
        <w:rPr>
          <w:rFonts w:hint="eastAsia" w:ascii="宋体" w:hAnsi="宋体" w:cs="宋体"/>
          <w:color w:val="000000" w:themeColor="text1"/>
          <w:spacing w:val="6"/>
          <w:sz w:val="24"/>
          <w:highlight w:val="none"/>
          <w14:textFill>
            <w14:solidFill>
              <w14:schemeClr w14:val="tx1"/>
            </w14:solidFill>
          </w14:textFill>
        </w:rPr>
        <w:t>磋商供应商</w:t>
      </w:r>
      <w:r>
        <w:rPr>
          <w:rFonts w:hint="eastAsia" w:ascii="宋体" w:hAnsi="宋体" w:cs="宋体"/>
          <w:color w:val="000000" w:themeColor="text1"/>
          <w:sz w:val="24"/>
          <w:highlight w:val="none"/>
          <w14:textFill>
            <w14:solidFill>
              <w14:schemeClr w14:val="tx1"/>
            </w14:solidFill>
          </w14:textFill>
        </w:rPr>
        <w:t>公章，封袋正面要粘贴标识。磋商响应文件中资质证明文件为复印件加盖磋商供应商公章；</w:t>
      </w:r>
    </w:p>
    <w:p w14:paraId="655236B3">
      <w:pPr>
        <w:spacing w:line="46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B.封袋正面标识式样（参见格式A）。</w:t>
      </w:r>
    </w:p>
    <w:p w14:paraId="33AE12F7">
      <w:pPr>
        <w:spacing w:line="460" w:lineRule="exact"/>
        <w:ind w:left="120" w:leftChars="57" w:firstLine="360" w:firstLineChars="15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如果磋商供应商未按上述要求封装及加写标记，误投或过早启封的磋商响应文件，出现此类情况的磋商响应文件，采购代理机构将拒绝接收，并退回磋商供应商。采购代理机构对磋商响应文件的误投和提前启封概不负责。</w:t>
      </w:r>
    </w:p>
    <w:p w14:paraId="5F3842B1">
      <w:pPr>
        <w:spacing w:line="460" w:lineRule="exact"/>
        <w:ind w:firstLine="120" w:firstLineChars="5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2.磋商响应文件递交</w:t>
      </w:r>
    </w:p>
    <w:p w14:paraId="0C220B9D">
      <w:pPr>
        <w:spacing w:line="46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（1）磋商供应商必须在磋商文件规定的时间和地点，将全部磋商响应文件递交至采购代理机构项目承办人；</w:t>
      </w:r>
    </w:p>
    <w:p w14:paraId="2DF961B3">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（2）采购代理机构项目承办人在磋商文件规定的磋商响应文件递交截止时间前，只负责磋商响应文件的接收、清点、造册登记工作，并请法定代表人</w:t>
      </w:r>
      <w:r>
        <w:rPr>
          <w:rFonts w:hint="eastAsia" w:ascii="宋体" w:hAnsi="宋体" w:cs="宋体"/>
          <w:color w:val="000000" w:themeColor="text1"/>
          <w:sz w:val="24"/>
          <w:highlight w:val="none"/>
          <w:lang w:val="en-US" w:eastAsia="zh-CN"/>
          <w14:textFill>
            <w14:solidFill>
              <w14:schemeClr w14:val="tx1"/>
            </w14:solidFill>
          </w14:textFill>
        </w:rPr>
        <w:t>/负责人</w:t>
      </w:r>
      <w:r>
        <w:rPr>
          <w:rFonts w:hint="eastAsia" w:ascii="宋体" w:hAnsi="宋体" w:cs="宋体"/>
          <w:color w:val="000000" w:themeColor="text1"/>
          <w:sz w:val="24"/>
          <w:highlight w:val="none"/>
          <w14:textFill>
            <w14:solidFill>
              <w14:schemeClr w14:val="tx1"/>
            </w14:solidFill>
          </w14:textFill>
        </w:rPr>
        <w:t>或</w:t>
      </w:r>
      <w:r>
        <w:rPr>
          <w:rFonts w:hint="eastAsia" w:ascii="宋体" w:hAnsi="宋体" w:cs="宋体"/>
          <w:color w:val="000000" w:themeColor="text1"/>
          <w:sz w:val="24"/>
          <w14:textFill>
            <w14:solidFill>
              <w14:schemeClr w14:val="tx1"/>
            </w14:solidFill>
          </w14:textFill>
        </w:rPr>
        <w:t>被授权人签字确认，对其有效性不负任何责任；</w:t>
      </w:r>
    </w:p>
    <w:p w14:paraId="562826E9">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（3）采购代理机构在宣布递交磋商响应文件时间截止之后，拒绝接收任何人送达、递交的磋商响应文件；</w:t>
      </w:r>
    </w:p>
    <w:p w14:paraId="449A8768">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（4）无论磋商供应商成交与否或者废标，其磋商响应文件恕不退还。</w:t>
      </w:r>
    </w:p>
    <w:p w14:paraId="2522FC70">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3.磋商响应文件递交截止时间</w:t>
      </w:r>
    </w:p>
    <w:p w14:paraId="0F230D69">
      <w:pPr>
        <w:kinsoku w:val="0"/>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（1）磋商供应商</w:t>
      </w:r>
      <w:r>
        <w:rPr>
          <w:rFonts w:hint="eastAsia" w:ascii="宋体" w:hAnsi="宋体" w:cs="宋体"/>
          <w:color w:val="000000" w:themeColor="text1"/>
          <w:spacing w:val="6"/>
          <w:sz w:val="24"/>
          <w14:textFill>
            <w14:solidFill>
              <w14:schemeClr w14:val="tx1"/>
            </w14:solidFill>
          </w14:textFill>
        </w:rPr>
        <w:t>必须在磋商文件规定的递交截止时间之前递交磋商响应文件，</w:t>
      </w:r>
      <w:r>
        <w:rPr>
          <w:rFonts w:hint="eastAsia" w:ascii="宋体" w:hAnsi="宋体" w:cs="宋体"/>
          <w:color w:val="000000" w:themeColor="text1"/>
          <w:sz w:val="24"/>
          <w14:textFill>
            <w14:solidFill>
              <w14:schemeClr w14:val="tx1"/>
            </w14:solidFill>
          </w14:textFill>
        </w:rPr>
        <w:t>采购代理机构在截止时间后拒绝接收任何磋商响应文件。</w:t>
      </w:r>
    </w:p>
    <w:p w14:paraId="39AB3FF1">
      <w:pPr>
        <w:kinsoku w:val="0"/>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（2）采购代理机构因采购人推迟磋商截止时间时，应以书面（或传真）的形式，通知所有磋商供应商；在这种情况下，采购代理机构和磋商供应商的权利和义务将受到新的截止期的约束。</w:t>
      </w:r>
    </w:p>
    <w:p w14:paraId="326EF1EE">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4.磋商响应文件的修改和撤回</w:t>
      </w:r>
    </w:p>
    <w:p w14:paraId="7C664B64">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（1）磋商响应文件递交后，如果磋商供应商提出书面修改和撤回磋商响应文件要求，在磋商截止时间前以书面形式送达采购代理机构；</w:t>
      </w:r>
    </w:p>
    <w:p w14:paraId="6C40AA12">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（2）磋商供应商修改磋商响应文件的书面材料，须密封送达采购代理机构，修改或补充的内容应按磋商文件要求签署、盖章、密封、标记，并作为磋商响应文件的组成部分；</w:t>
      </w:r>
    </w:p>
    <w:p w14:paraId="7B416932">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（3）撤回磋商响应文件应以书面（或传真）的形式通知采购代理机构。如采取传真形式撤回磋商响应文件，随后必须补</w:t>
      </w:r>
      <w:r>
        <w:rPr>
          <w:rFonts w:hint="eastAsia" w:ascii="宋体" w:hAnsi="宋体" w:cs="宋体"/>
          <w:color w:val="000000" w:themeColor="text1"/>
          <w:sz w:val="24"/>
          <w:highlight w:val="none"/>
          <w14:textFill>
            <w14:solidFill>
              <w14:schemeClr w14:val="tx1"/>
            </w14:solidFill>
          </w14:textFill>
        </w:rPr>
        <w:t>充有法定代表人</w:t>
      </w:r>
      <w:r>
        <w:rPr>
          <w:rFonts w:hint="eastAsia" w:ascii="宋体" w:hAnsi="宋体" w:cs="宋体"/>
          <w:color w:val="000000" w:themeColor="text1"/>
          <w:sz w:val="24"/>
          <w:highlight w:val="none"/>
          <w:lang w:val="en-US" w:eastAsia="zh-CN"/>
          <w14:textFill>
            <w14:solidFill>
              <w14:schemeClr w14:val="tx1"/>
            </w14:solidFill>
          </w14:textFill>
        </w:rPr>
        <w:t>/负责人</w:t>
      </w:r>
      <w:r>
        <w:rPr>
          <w:rFonts w:hint="eastAsia" w:ascii="宋体" w:hAnsi="宋体" w:cs="宋体"/>
          <w:color w:val="000000" w:themeColor="text1"/>
          <w:sz w:val="24"/>
          <w:highlight w:val="none"/>
          <w14:textFill>
            <w14:solidFill>
              <w14:schemeClr w14:val="tx1"/>
            </w14:solidFill>
          </w14:textFill>
        </w:rPr>
        <w:t>或被授权人签署的要求撤回磋商响应文件的正式文件；撤回磋商响应文件的时间以送达采购代</w:t>
      </w:r>
      <w:r>
        <w:rPr>
          <w:rFonts w:hint="eastAsia" w:ascii="宋体" w:hAnsi="宋体" w:cs="宋体"/>
          <w:color w:val="000000" w:themeColor="text1"/>
          <w:sz w:val="24"/>
          <w14:textFill>
            <w14:solidFill>
              <w14:schemeClr w14:val="tx1"/>
            </w14:solidFill>
          </w14:textFill>
        </w:rPr>
        <w:t>理机构到达日期为准；</w:t>
      </w:r>
    </w:p>
    <w:p w14:paraId="53E32BAA">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（4）在磋商截止时间后到磋商文件规定的磋商有效期满之间的这段时间内，磋商供应商不得撤回其磋商响应文件；</w:t>
      </w:r>
    </w:p>
    <w:p w14:paraId="79643077">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（5）磋商供应商在磋商响应文件递交截止时间后，不得对其磋商响应文件做任何修改。</w:t>
      </w:r>
    </w:p>
    <w:p w14:paraId="472CB85D">
      <w:pPr>
        <w:jc w:val="center"/>
        <w:rPr>
          <w:rFonts w:ascii="宋体" w:hAnsi="宋体" w:cs="宋体"/>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六、磋商、澄清、成交</w:t>
      </w:r>
    </w:p>
    <w:p w14:paraId="67CB5005">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1.磋商方法</w:t>
      </w:r>
    </w:p>
    <w:p w14:paraId="0DE90ABD">
      <w:pPr>
        <w:spacing w:line="460" w:lineRule="exact"/>
        <w:ind w:left="120" w:leftChars="57" w:firstLine="240" w:firstLineChars="100"/>
        <w:rPr>
          <w:rFonts w:ascii="宋体" w:hAnsi="宋体" w:cs="宋体"/>
          <w:b/>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（1）磋商方法：采用综合评分法</w:t>
      </w:r>
    </w:p>
    <w:p w14:paraId="40F9D918">
      <w:pPr>
        <w:spacing w:line="460" w:lineRule="exact"/>
        <w:ind w:left="120" w:leftChars="57"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磋商程序：采购代理机构宣布大会开始，宣布会场纪律，介绍参会人员情况，响应单位点到，查验响应文件密封情况，拆封响应文件，对响应单位资格审查，对响应文件的有效性、符合性审查，对参加磋商的磋商供应商分别进行磋商，磋商小组推荐1-3名供应商。</w:t>
      </w:r>
    </w:p>
    <w:p w14:paraId="08DFCD0C">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2.磋商</w:t>
      </w:r>
    </w:p>
    <w:p w14:paraId="4F9913ED">
      <w:pPr>
        <w:spacing w:line="460" w:lineRule="exact"/>
        <w:ind w:left="120" w:leftChars="57"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（1）采购代理机构按竞争性磋商文件规定的时间、地点组织磋商；磋商大会由采购人代表、磋商小组成员、监督机构代表、磋商供应商代表及采购代理机构工作人员参加，参会代表应签名报到，以证明其出席；</w:t>
      </w:r>
    </w:p>
    <w:p w14:paraId="2294FDAC">
      <w:pPr>
        <w:spacing w:line="460" w:lineRule="exact"/>
        <w:ind w:left="120" w:leftChars="57"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（2）为确保磋商工作公开、公平、公正，依法成立磋商小组。磋商小组由有关专家组成，其中技术、经济等方面的专家不少于磋商小组成员总数的三分之二，专家名单由有关人员在</w:t>
      </w:r>
      <w:r>
        <w:rPr>
          <w:rFonts w:hint="eastAsia" w:ascii="宋体" w:hAnsi="宋体" w:cs="宋体"/>
          <w:color w:val="000000" w:themeColor="text1"/>
          <w:sz w:val="24"/>
          <w:lang w:val="en-US" w:eastAsia="zh-CN"/>
          <w14:textFill>
            <w14:solidFill>
              <w14:schemeClr w14:val="tx1"/>
            </w14:solidFill>
          </w14:textFill>
        </w:rPr>
        <w:t>陕西省</w:t>
      </w:r>
      <w:r>
        <w:rPr>
          <w:rFonts w:hint="eastAsia" w:ascii="宋体" w:hAnsi="宋体" w:cs="宋体"/>
          <w:color w:val="000000" w:themeColor="text1"/>
          <w:sz w:val="24"/>
          <w14:textFill>
            <w14:solidFill>
              <w14:schemeClr w14:val="tx1"/>
            </w14:solidFill>
          </w14:textFill>
        </w:rPr>
        <w:t>政府采购专家库中随机抽取，磋商小组成员应当遵守并履行下列责任和义务：</w:t>
      </w:r>
    </w:p>
    <w:p w14:paraId="1870C38E">
      <w:pPr>
        <w:spacing w:line="460" w:lineRule="exact"/>
        <w:ind w:left="120" w:leftChars="57"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A.要严格遵守政府采购相关法律制度，依法履行各自职责，公正、客观、审慎地组织和参与评审工作；</w:t>
      </w:r>
    </w:p>
    <w:p w14:paraId="392602DC">
      <w:pPr>
        <w:spacing w:line="460" w:lineRule="exact"/>
        <w:ind w:left="120" w:leftChars="57"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B.对磋商响应文件进行资格性、符合性检查，并做出评价；</w:t>
      </w:r>
    </w:p>
    <w:p w14:paraId="43CBF42F">
      <w:pPr>
        <w:spacing w:line="460" w:lineRule="exact"/>
        <w:ind w:left="120" w:leftChars="57"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C.按竞争性磋商采购邀请书规定的评审方法和标准，进行比较和评价； </w:t>
      </w:r>
    </w:p>
    <w:p w14:paraId="06DCF140">
      <w:pPr>
        <w:spacing w:line="460" w:lineRule="exact"/>
        <w:ind w:left="120" w:leftChars="57"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D.要求磋商供应商对磋商响应文件有关事项作出解释或澄清；</w:t>
      </w:r>
    </w:p>
    <w:p w14:paraId="64F7265F">
      <w:pPr>
        <w:spacing w:line="460" w:lineRule="exact"/>
        <w:ind w:left="120" w:leftChars="57"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E.要依法独立评审，按照竞争性磋商采购邀请书的要求和评标标准进行评标，推荐成交候选供应商名单，对评审意见承担个人责任；</w:t>
      </w:r>
    </w:p>
    <w:p w14:paraId="5718E06B">
      <w:pPr>
        <w:spacing w:line="460" w:lineRule="exact"/>
        <w:ind w:left="120" w:leftChars="57"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F.对需要共同认定的事项存在争议的，按照少数服从多数的原则做出结论。持不同意见的磋商小组成员应当在评审报告上签署不同意见并说明理由，否则视为同意； </w:t>
      </w:r>
    </w:p>
    <w:p w14:paraId="5AFF5ADE">
      <w:pPr>
        <w:spacing w:line="460" w:lineRule="exact"/>
        <w:ind w:left="120" w:leftChars="57"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G.对评审情况以及在评审过程中获悉的国家秘密、商业秘密负有保密责任；</w:t>
      </w:r>
    </w:p>
    <w:p w14:paraId="46268292">
      <w:pPr>
        <w:spacing w:line="460" w:lineRule="exact"/>
        <w:ind w:left="120" w:leftChars="57"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H.配合财政部门的投诉处理工作；</w:t>
      </w:r>
    </w:p>
    <w:p w14:paraId="114C69C7">
      <w:pPr>
        <w:spacing w:line="460" w:lineRule="exact"/>
        <w:ind w:left="120" w:leftChars="57"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I.配合采购人、采购代理机构答复磋商供应商提出的质疑。</w:t>
      </w:r>
    </w:p>
    <w:p w14:paraId="4E0043A6">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3.磋商响应文件的初审</w:t>
      </w:r>
    </w:p>
    <w:p w14:paraId="0B69C594">
      <w:pPr>
        <w:spacing w:line="460" w:lineRule="atLeas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（1）响应文件审查(初审)</w:t>
      </w:r>
    </w:p>
    <w:p w14:paraId="1E848CAD">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审查分为资格性检查和符合性检查。分别按照以下内容对响应文件进行检查，一项不合格即按照无效响应处理。</w:t>
      </w:r>
    </w:p>
    <w:p w14:paraId="19E2358A">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响应文件审查合格的为实质性响应磋商文件要求的供应商。</w:t>
      </w:r>
    </w:p>
    <w:p w14:paraId="267EE378">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1）资格性检查</w:t>
      </w:r>
    </w:p>
    <w:p w14:paraId="012072ED">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有下列情形之一的，应在资格审查时按照无效磋商处理：</w:t>
      </w:r>
    </w:p>
    <w:p w14:paraId="1DBE5983">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(1)供应商不具备磋商文件规定的供应商资格条件的；</w:t>
      </w:r>
    </w:p>
    <w:p w14:paraId="737B5D29">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(2)报价超过磋商文件中规定的预算金额的；</w:t>
      </w:r>
    </w:p>
    <w:p w14:paraId="2AF4E20B">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2）符合性检查</w:t>
      </w:r>
    </w:p>
    <w:p w14:paraId="02E4A479">
      <w:pPr>
        <w:spacing w:line="460" w:lineRule="atLeast"/>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磋商供应商及磋商响应文件有效性和符合性审查，出现下列情况之一者（但不限于），按无效标处理。</w:t>
      </w:r>
    </w:p>
    <w:p w14:paraId="3B5D3392">
      <w:pPr>
        <w:spacing w:line="460" w:lineRule="atLeast"/>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 xml:space="preserve">磋商内容出现漏项或数量与要求不符，出现重大负偏差； </w:t>
      </w:r>
    </w:p>
    <w:p w14:paraId="6DC33434">
      <w:pPr>
        <w:spacing w:line="460" w:lineRule="atLeast"/>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 xml:space="preserve">磋商响应文件的签署、加盖印章是否合格、有效； </w:t>
      </w:r>
    </w:p>
    <w:p w14:paraId="76DDD717">
      <w:pPr>
        <w:spacing w:line="460" w:lineRule="atLeast"/>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bCs/>
          <w:color w:val="000000" w:themeColor="text1"/>
          <w:sz w:val="24"/>
          <w14:textFill>
            <w14:solidFill>
              <w14:schemeClr w14:val="tx1"/>
            </w14:solidFill>
          </w14:textFill>
        </w:rPr>
        <w:t>供应商没有经过正常渠道购买磋商文件或供应商的名称与登记领取磋商文件单位的名称不符；</w:t>
      </w:r>
    </w:p>
    <w:p w14:paraId="3CFE8BFD">
      <w:pPr>
        <w:spacing w:line="460" w:lineRule="atLeast"/>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bCs/>
          <w:color w:val="000000" w:themeColor="text1"/>
          <w:sz w:val="24"/>
          <w14:textFill>
            <w14:solidFill>
              <w14:schemeClr w14:val="tx1"/>
            </w14:solidFill>
          </w14:textFill>
        </w:rPr>
        <w:t>磋商响应文件中未</w:t>
      </w:r>
      <w:r>
        <w:rPr>
          <w:rFonts w:hint="eastAsia" w:ascii="宋体" w:hAnsi="宋体" w:cs="宋体"/>
          <w:bCs/>
          <w:color w:val="000000" w:themeColor="text1"/>
          <w:sz w:val="24"/>
          <w:highlight w:val="none"/>
          <w14:textFill>
            <w14:solidFill>
              <w14:schemeClr w14:val="tx1"/>
            </w14:solidFill>
          </w14:textFill>
        </w:rPr>
        <w:t>提交法定代表人授权书(法定代表人直接</w:t>
      </w:r>
      <w:r>
        <w:rPr>
          <w:rFonts w:hint="eastAsia" w:ascii="宋体" w:hAnsi="宋体" w:cs="宋体"/>
          <w:bCs/>
          <w:color w:val="000000" w:themeColor="text1"/>
          <w:sz w:val="24"/>
          <w14:textFill>
            <w14:solidFill>
              <w14:schemeClr w14:val="tx1"/>
            </w14:solidFill>
          </w14:textFill>
        </w:rPr>
        <w:t>参加磋商未按要求提交其有效身份证) 或授权书的合法性或有效性不符合磋商文件规定。</w:t>
      </w:r>
    </w:p>
    <w:p w14:paraId="0FEB3A44">
      <w:pPr>
        <w:spacing w:line="460" w:lineRule="atLeast"/>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r>
        <w:rPr>
          <w:rFonts w:hint="eastAsia" w:ascii="宋体" w:hAnsi="宋体" w:cs="宋体"/>
          <w:bCs/>
          <w:color w:val="000000" w:themeColor="text1"/>
          <w:sz w:val="24"/>
          <w14:textFill>
            <w14:solidFill>
              <w14:schemeClr w14:val="tx1"/>
            </w14:solidFill>
          </w14:textFill>
        </w:rPr>
        <w:t>磋商单位针对同一项目递交两份或多份内容不同的磋商响应文件，出现选择性报价的；</w:t>
      </w:r>
    </w:p>
    <w:p w14:paraId="37205DCE">
      <w:pPr>
        <w:spacing w:line="460" w:lineRule="atLeast"/>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bCs/>
          <w:color w:val="000000" w:themeColor="text1"/>
          <w:sz w:val="24"/>
          <w14:textFill>
            <w14:solidFill>
              <w14:schemeClr w14:val="tx1"/>
            </w14:solidFill>
          </w14:textFill>
        </w:rPr>
        <w:t>磋商报价是否低于成本价，涉嫌不正当竞争；（如果磋商小组认为某磋商报价明显不合理或者低于成本，应当要求该供应商在评审现场合理时间内作出书面说明并提供相关证明材料；供应商不能证明其报价合理性的，磋商小组应当将其作为无效磋商或者无效响应处理）；</w:t>
      </w:r>
    </w:p>
    <w:p w14:paraId="767458BF">
      <w:pPr>
        <w:spacing w:line="460" w:lineRule="atLeast"/>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bCs/>
          <w:color w:val="000000" w:themeColor="text1"/>
          <w:sz w:val="24"/>
          <w14:textFill>
            <w14:solidFill>
              <w14:schemeClr w14:val="tx1"/>
            </w14:solidFill>
          </w14:textFill>
        </w:rPr>
        <w:t>不符合法律、法规和磋商文件规定的其他无效情形的。</w:t>
      </w:r>
    </w:p>
    <w:p w14:paraId="6437B248">
      <w:pPr>
        <w:spacing w:line="460" w:lineRule="atLeas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（2）在资格性、符合性检查时，审查未通过的，不得进入后续评审环节。</w:t>
      </w:r>
    </w:p>
    <w:p w14:paraId="5194A5AD">
      <w:pPr>
        <w:spacing w:line="460" w:lineRule="atLeast"/>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4.磋商澄清</w:t>
      </w:r>
    </w:p>
    <w:p w14:paraId="03B209B7">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（1）磋商小组有权就磋商响应文件中含混之处向上述步骤初审合格的磋商供应商提出询问或澄清要求；磋商供应商将有关询标澄清、补正、说明的内容应以书面形式提交；</w:t>
      </w:r>
    </w:p>
    <w:p w14:paraId="0E0DF683">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竞争性磋商公告、磋商响应文件作为磋商的依据，澄清、补正、说明的内容只作为磋商参考。磋商澄清时磋商供应商只作说明和解释，不得借此对磋商报价、交货期、主要技术指标等实质性内容做任何修改；如澄清、补正、说明的内容与磋商响应文件内容有重大相悖或矛盾，将被认定为无效文件；</w:t>
      </w:r>
    </w:p>
    <w:p w14:paraId="35810A9D">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（3）磋商供应商对磋商响应文件的澄清不得改变磋商报价及实质内容。</w:t>
      </w:r>
    </w:p>
    <w:p w14:paraId="6C9031A2">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磋商时，磋商响应文件中出现下列情况，修正原则为：</w:t>
      </w:r>
    </w:p>
    <w:p w14:paraId="19ECFE78">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A.磋商响应文件中响应报价表内容与磋商响应文件中明细内容不一致的，以响应报价表为准；</w:t>
      </w:r>
    </w:p>
    <w:p w14:paraId="3B3E8C05">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B.磋商报价的大写金额和小写金额不一致的，以大写金额为准；</w:t>
      </w:r>
    </w:p>
    <w:p w14:paraId="2DB3A7FF">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C.总价金额与按单价汇总金额不一致的，以单价金额计算结果为准；</w:t>
      </w:r>
    </w:p>
    <w:p w14:paraId="2153C3D6">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D.单价金额小数点有明显错位的，以总价为准，并修改单价；</w:t>
      </w:r>
    </w:p>
    <w:p w14:paraId="26430B53">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E.磋商响应文件正本与副本不一致的，以正本为准；</w:t>
      </w:r>
    </w:p>
    <w:p w14:paraId="564A425C">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F.多处内容交叉不符时，以磋商小组成员会评审结果为准；</w:t>
      </w:r>
    </w:p>
    <w:p w14:paraId="2490853B">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G.文字与图表不符时以文字为准；</w:t>
      </w:r>
    </w:p>
    <w:p w14:paraId="265EBC6F">
      <w:pPr>
        <w:spacing w:line="460" w:lineRule="atLeas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上述修正错误的原则及方法调整或修正磋商响应文件的报价，磋商供应商同意后，调整后的报价对磋商供应商起约束作用。如果磋商供应商不接受修正后的报价，则其磋商活动将被拒绝，并且其磋商保证金也将被没收。</w:t>
      </w:r>
    </w:p>
    <w:p w14:paraId="566A2A45">
      <w:pPr>
        <w:spacing w:line="460" w:lineRule="exact"/>
        <w:ind w:firstLine="120" w:firstLineChars="5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5.评审方法及内容</w:t>
      </w:r>
    </w:p>
    <w:p w14:paraId="6BFFCBB0">
      <w:pPr>
        <w:spacing w:line="460" w:lineRule="exact"/>
        <w:ind w:left="120" w:leftChars="57"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用综合评分法：二次报价为最终报价，最终报价后按照磋商文件中规定的各项因素进行综合评审后，以磋商总得分最高的供应商作为成交供应商的磋商方法。若有两个或两个以上最高得分相同，推荐其中报价最低的供应商为成交候选供应商。</w:t>
      </w:r>
    </w:p>
    <w:p w14:paraId="43E4BF09">
      <w:pPr>
        <w:spacing w:line="460" w:lineRule="exact"/>
        <w:ind w:left="120" w:leftChars="57"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磋商程序：采购代理机构宣布大会开始，宣布会场纪律，介绍参会人员情况，响应单位点到，查验响应文件密封情况，拆封响应文件，对响应单位资格审查，对响应文件的有效性、符合性审查，对参加磋商的磋商供应商分别进行磋商，磋商小组推荐成交供应商。</w:t>
      </w:r>
    </w:p>
    <w:p w14:paraId="15FC9756">
      <w:pPr>
        <w:spacing w:line="460" w:lineRule="exact"/>
        <w:ind w:left="120" w:leftChars="57"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（3）磋商小组根据以下内容进行综合比较，自主打分，按最后得分由高到低汇总排序，以标段为单位分别推荐成交候选供应商；磋商小组根据磋商结果写出磋商意见。</w:t>
      </w:r>
    </w:p>
    <w:p w14:paraId="70B6091A">
      <w:pPr>
        <w:spacing w:line="460" w:lineRule="exact"/>
        <w:ind w:left="120" w:leftChars="57"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（4）评审指标分值构成（总计100分）</w:t>
      </w:r>
    </w:p>
    <w:p w14:paraId="3DF8BA81">
      <w:pPr>
        <w:pStyle w:val="10"/>
        <w:spacing w:line="460" w:lineRule="exac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采用综合评分法</w:t>
      </w:r>
    </w:p>
    <w:p w14:paraId="1C5C8F8A">
      <w:pPr>
        <w:pStyle w:val="10"/>
        <w:spacing w:line="460" w:lineRule="exact"/>
        <w:rPr>
          <w:rFonts w:hAnsi="宋体" w:cs="宋体"/>
          <w:color w:val="000000" w:themeColor="text1"/>
          <w:sz w:val="24"/>
          <w:szCs w:val="24"/>
          <w14:textFill>
            <w14:solidFill>
              <w14:schemeClr w14:val="tx1"/>
            </w14:solidFill>
          </w14:textFill>
        </w:rPr>
        <w:sectPr>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p>
    <w:p w14:paraId="50011A3B">
      <w:pPr>
        <w:pStyle w:val="10"/>
        <w:spacing w:line="460" w:lineRule="exac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评审因素见下表：</w:t>
      </w:r>
    </w:p>
    <w:tbl>
      <w:tblPr>
        <w:tblStyle w:val="2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5"/>
        <w:gridCol w:w="1353"/>
        <w:gridCol w:w="2178"/>
        <w:gridCol w:w="5265"/>
      </w:tblGrid>
      <w:tr w14:paraId="17007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9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8A958FC">
            <w:pPr>
              <w:spacing w:line="460" w:lineRule="exact"/>
              <w:jc w:val="center"/>
              <w:rPr>
                <w:rFonts w:hint="eastAsia" w:ascii="宋体" w:hAnsi="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评分因素</w:t>
            </w:r>
          </w:p>
        </w:tc>
        <w:tc>
          <w:tcPr>
            <w:tcW w:w="4009" w:type="pct"/>
            <w:gridSpan w:val="2"/>
            <w:tcBorders>
              <w:top w:val="single" w:color="000000" w:sz="8" w:space="0"/>
              <w:left w:val="nil"/>
              <w:bottom w:val="single" w:color="000000" w:sz="8" w:space="0"/>
              <w:right w:val="single" w:color="000000" w:sz="8" w:space="0"/>
            </w:tcBorders>
            <w:shd w:val="clear" w:color="auto" w:fill="auto"/>
            <w:vAlign w:val="center"/>
          </w:tcPr>
          <w:p w14:paraId="4F05F6BD">
            <w:pPr>
              <w:spacing w:line="460" w:lineRule="exact"/>
              <w:jc w:val="center"/>
              <w:rPr>
                <w:rFonts w:hint="eastAsia" w:ascii="宋体" w:hAnsi="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评分标准</w:t>
            </w:r>
          </w:p>
        </w:tc>
      </w:tr>
      <w:tr w14:paraId="28390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261" w:type="pct"/>
            <w:vMerge w:val="restart"/>
            <w:tcBorders>
              <w:top w:val="nil"/>
              <w:left w:val="single" w:color="000000" w:sz="8" w:space="0"/>
              <w:bottom w:val="single" w:color="000000" w:sz="8" w:space="0"/>
              <w:right w:val="single" w:color="000000" w:sz="8" w:space="0"/>
            </w:tcBorders>
            <w:shd w:val="clear" w:color="auto" w:fill="auto"/>
            <w:vAlign w:val="center"/>
          </w:tcPr>
          <w:p w14:paraId="4B810B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详细评审</w:t>
            </w:r>
          </w:p>
        </w:tc>
        <w:tc>
          <w:tcPr>
            <w:tcW w:w="728" w:type="pct"/>
            <w:tcBorders>
              <w:top w:val="nil"/>
              <w:left w:val="nil"/>
              <w:bottom w:val="single" w:color="000000" w:sz="8" w:space="0"/>
              <w:right w:val="single" w:color="000000" w:sz="8" w:space="0"/>
            </w:tcBorders>
            <w:shd w:val="clear" w:color="auto" w:fill="auto"/>
            <w:vAlign w:val="center"/>
          </w:tcPr>
          <w:p w14:paraId="6BC28AEF">
            <w:pPr>
              <w:spacing w:line="46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价格评审（15分）</w:t>
            </w:r>
          </w:p>
        </w:tc>
        <w:tc>
          <w:tcPr>
            <w:tcW w:w="1173" w:type="pct"/>
            <w:tcBorders>
              <w:top w:val="single" w:color="000000" w:sz="8" w:space="0"/>
              <w:left w:val="nil"/>
              <w:bottom w:val="single" w:color="000000" w:sz="8" w:space="0"/>
              <w:right w:val="single" w:color="000000" w:sz="8" w:space="0"/>
            </w:tcBorders>
            <w:shd w:val="clear" w:color="auto" w:fill="auto"/>
            <w:vAlign w:val="center"/>
          </w:tcPr>
          <w:p w14:paraId="0B8CB2F3">
            <w:pPr>
              <w:spacing w:line="460" w:lineRule="exact"/>
              <w:ind w:left="120" w:leftChars="57" w:firstLine="360" w:firstLineChars="1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价格评审</w:t>
            </w:r>
          </w:p>
        </w:tc>
        <w:tc>
          <w:tcPr>
            <w:tcW w:w="2836" w:type="pct"/>
            <w:tcBorders>
              <w:top w:val="single" w:color="000000" w:sz="8" w:space="0"/>
              <w:left w:val="nil"/>
              <w:bottom w:val="single" w:color="000000" w:sz="8" w:space="0"/>
              <w:right w:val="single" w:color="000000" w:sz="8" w:space="0"/>
            </w:tcBorders>
            <w:shd w:val="clear" w:color="auto" w:fill="auto"/>
            <w:vAlign w:val="center"/>
          </w:tcPr>
          <w:p w14:paraId="0C4CF3F1">
            <w:pPr>
              <w:spacing w:line="46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投标报价评标基准价=有效投标报价的平均值，有效投标报价等于基准值的得满分，报价得分=（投标基准价/最后报价）×15%×100。有效投标报价为通过初步审查的供应商的最后报价。</w:t>
            </w:r>
          </w:p>
        </w:tc>
      </w:tr>
      <w:tr w14:paraId="6C012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5" w:hRule="atLeast"/>
        </w:trPr>
        <w:tc>
          <w:tcPr>
            <w:tcW w:w="261" w:type="pct"/>
            <w:vMerge w:val="continue"/>
            <w:tcBorders>
              <w:top w:val="nil"/>
              <w:left w:val="single" w:color="000000" w:sz="8" w:space="0"/>
              <w:bottom w:val="single" w:color="000000" w:sz="8" w:space="0"/>
              <w:right w:val="single" w:color="000000" w:sz="8" w:space="0"/>
            </w:tcBorders>
            <w:shd w:val="clear" w:color="auto" w:fill="auto"/>
            <w:vAlign w:val="center"/>
          </w:tcPr>
          <w:p w14:paraId="5F8D2C83">
            <w:pPr>
              <w:jc w:val="center"/>
              <w:rPr>
                <w:rFonts w:hint="eastAsia" w:ascii="微软雅黑" w:hAnsi="微软雅黑" w:eastAsia="微软雅黑" w:cs="微软雅黑"/>
                <w:i w:val="0"/>
                <w:iCs w:val="0"/>
                <w:color w:val="000000"/>
                <w:sz w:val="20"/>
                <w:szCs w:val="20"/>
                <w:u w:val="none"/>
              </w:rPr>
            </w:pPr>
          </w:p>
        </w:tc>
        <w:tc>
          <w:tcPr>
            <w:tcW w:w="728" w:type="pct"/>
            <w:vMerge w:val="restart"/>
            <w:tcBorders>
              <w:top w:val="nil"/>
              <w:left w:val="nil"/>
              <w:bottom w:val="single" w:color="000000" w:sz="8" w:space="0"/>
              <w:right w:val="single" w:color="000000" w:sz="8" w:space="0"/>
            </w:tcBorders>
            <w:shd w:val="clear" w:color="auto" w:fill="auto"/>
            <w:vAlign w:val="center"/>
          </w:tcPr>
          <w:p w14:paraId="28BF21A2">
            <w:pPr>
              <w:spacing w:line="460" w:lineRule="exact"/>
              <w:jc w:val="both"/>
              <w:rPr>
                <w:rFonts w:hint="eastAsia" w:ascii="宋体" w:hAnsi="宋体" w:cs="宋体"/>
                <w:color w:val="auto"/>
                <w:sz w:val="24"/>
                <w:lang w:val="en-US" w:eastAsia="zh-CN"/>
              </w:rPr>
            </w:pPr>
            <w:r>
              <w:rPr>
                <w:rFonts w:hint="eastAsia" w:ascii="宋体" w:hAnsi="宋体" w:cs="宋体"/>
                <w:color w:val="auto"/>
                <w:sz w:val="24"/>
                <w:lang w:val="en-US" w:eastAsia="zh-CN"/>
              </w:rPr>
              <w:t>商务部分（20分）</w:t>
            </w:r>
          </w:p>
        </w:tc>
        <w:tc>
          <w:tcPr>
            <w:tcW w:w="1173" w:type="pct"/>
            <w:tcBorders>
              <w:top w:val="nil"/>
              <w:left w:val="nil"/>
              <w:bottom w:val="single" w:color="000000" w:sz="8" w:space="0"/>
              <w:right w:val="single" w:color="000000" w:sz="8" w:space="0"/>
            </w:tcBorders>
            <w:shd w:val="clear" w:color="auto" w:fill="auto"/>
            <w:vAlign w:val="center"/>
          </w:tcPr>
          <w:p w14:paraId="04C24E7C">
            <w:pPr>
              <w:spacing w:line="460" w:lineRule="exact"/>
              <w:jc w:val="center"/>
              <w:rPr>
                <w:rFonts w:hint="eastAsia" w:ascii="宋体" w:hAnsi="宋体" w:cs="宋体"/>
                <w:color w:val="auto"/>
                <w:sz w:val="24"/>
                <w:lang w:val="en-US" w:eastAsia="zh-CN"/>
              </w:rPr>
            </w:pPr>
            <w:r>
              <w:rPr>
                <w:rFonts w:hint="eastAsia" w:ascii="宋体" w:hAnsi="宋体" w:cs="宋体"/>
                <w:color w:val="auto"/>
                <w:sz w:val="24"/>
                <w:lang w:val="en-US" w:eastAsia="zh-CN"/>
              </w:rPr>
              <w:t>类似项目业绩</w:t>
            </w:r>
          </w:p>
          <w:p w14:paraId="07421B00">
            <w:pPr>
              <w:spacing w:line="460" w:lineRule="exact"/>
              <w:jc w:val="center"/>
              <w:rPr>
                <w:rFonts w:hint="eastAsia" w:ascii="宋体" w:hAnsi="宋体" w:cs="宋体"/>
                <w:color w:val="auto"/>
                <w:sz w:val="24"/>
                <w:lang w:val="en-US" w:eastAsia="zh-CN"/>
              </w:rPr>
            </w:pPr>
            <w:r>
              <w:rPr>
                <w:rFonts w:hint="eastAsia" w:ascii="宋体" w:hAnsi="宋体" w:cs="宋体"/>
                <w:color w:val="auto"/>
                <w:sz w:val="24"/>
                <w:lang w:val="en-US" w:eastAsia="zh-CN"/>
              </w:rPr>
              <w:t>（0-10分）</w:t>
            </w:r>
          </w:p>
        </w:tc>
        <w:tc>
          <w:tcPr>
            <w:tcW w:w="2836" w:type="pct"/>
            <w:tcBorders>
              <w:top w:val="nil"/>
              <w:left w:val="nil"/>
              <w:bottom w:val="single" w:color="000000" w:sz="8" w:space="0"/>
              <w:right w:val="single" w:color="000000" w:sz="8" w:space="0"/>
            </w:tcBorders>
            <w:shd w:val="clear" w:color="auto" w:fill="auto"/>
            <w:vAlign w:val="center"/>
          </w:tcPr>
          <w:p w14:paraId="45456C21">
            <w:pPr>
              <w:spacing w:line="460" w:lineRule="exact"/>
              <w:jc w:val="left"/>
              <w:rPr>
                <w:rFonts w:hint="eastAsia" w:ascii="宋体" w:hAnsi="宋体" w:cs="宋体"/>
                <w:color w:val="auto"/>
                <w:sz w:val="24"/>
                <w:lang w:val="en-US" w:eastAsia="zh-CN"/>
              </w:rPr>
            </w:pPr>
            <w:r>
              <w:rPr>
                <w:rFonts w:hint="eastAsia" w:ascii="宋体" w:hAnsi="宋体" w:cs="宋体"/>
                <w:color w:val="auto"/>
                <w:sz w:val="24"/>
                <w:lang w:val="en-US" w:eastAsia="zh-CN"/>
              </w:rPr>
              <w:t>供应商自2022年01月01日至今的类似项目业绩，每提供1项业绩得2分，满分10分。以供应商提供的合同为准，未提供证明资料的，不计分。</w:t>
            </w:r>
          </w:p>
        </w:tc>
      </w:tr>
      <w:tr w14:paraId="4E255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9" w:hRule="atLeast"/>
        </w:trPr>
        <w:tc>
          <w:tcPr>
            <w:tcW w:w="261" w:type="pct"/>
            <w:vMerge w:val="continue"/>
            <w:tcBorders>
              <w:top w:val="nil"/>
              <w:left w:val="single" w:color="000000" w:sz="8" w:space="0"/>
              <w:bottom w:val="single" w:color="000000" w:sz="8" w:space="0"/>
              <w:right w:val="single" w:color="000000" w:sz="8" w:space="0"/>
            </w:tcBorders>
            <w:shd w:val="clear" w:color="auto" w:fill="auto"/>
            <w:vAlign w:val="center"/>
          </w:tcPr>
          <w:p w14:paraId="1B9AE0BA">
            <w:pPr>
              <w:jc w:val="center"/>
              <w:rPr>
                <w:rFonts w:hint="eastAsia" w:ascii="微软雅黑" w:hAnsi="微软雅黑" w:eastAsia="微软雅黑" w:cs="微软雅黑"/>
                <w:i w:val="0"/>
                <w:iCs w:val="0"/>
                <w:color w:val="000000"/>
                <w:sz w:val="20"/>
                <w:szCs w:val="20"/>
                <w:u w:val="none"/>
              </w:rPr>
            </w:pPr>
          </w:p>
        </w:tc>
        <w:tc>
          <w:tcPr>
            <w:tcW w:w="728" w:type="pct"/>
            <w:vMerge w:val="continue"/>
            <w:tcBorders>
              <w:top w:val="nil"/>
              <w:left w:val="nil"/>
              <w:bottom w:val="single" w:color="000000" w:sz="8" w:space="0"/>
              <w:right w:val="single" w:color="000000" w:sz="8" w:space="0"/>
            </w:tcBorders>
            <w:shd w:val="clear" w:color="auto" w:fill="auto"/>
            <w:vAlign w:val="center"/>
          </w:tcPr>
          <w:p w14:paraId="459C2BD3">
            <w:pPr>
              <w:jc w:val="center"/>
              <w:rPr>
                <w:rFonts w:hint="eastAsia" w:ascii="宋体" w:hAnsi="宋体" w:eastAsia="宋体" w:cs="宋体"/>
                <w:color w:val="auto"/>
                <w:kern w:val="2"/>
                <w:sz w:val="24"/>
                <w:szCs w:val="24"/>
                <w:lang w:val="en-US" w:eastAsia="zh-CN" w:bidi="ar-SA"/>
              </w:rPr>
            </w:pPr>
          </w:p>
        </w:tc>
        <w:tc>
          <w:tcPr>
            <w:tcW w:w="11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3BEB56">
            <w:pPr>
              <w:keepNext w:val="0"/>
              <w:keepLines w:val="0"/>
              <w:widowControl/>
              <w:suppressLineNumbers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企业实力</w:t>
            </w:r>
          </w:p>
          <w:p w14:paraId="510AAE82">
            <w:pPr>
              <w:pStyle w:val="11"/>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（0-10分）</w:t>
            </w:r>
          </w:p>
        </w:tc>
        <w:tc>
          <w:tcPr>
            <w:tcW w:w="283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0FB6DB">
            <w:pPr>
              <w:keepNext w:val="0"/>
              <w:keepLines w:val="0"/>
              <w:widowControl/>
              <w:suppressLineNumbers w:val="0"/>
              <w:jc w:val="left"/>
              <w:textAlignment w:val="center"/>
              <w:rPr>
                <w:rFonts w:hint="eastAsia" w:ascii="宋体" w:hAnsi="宋体" w:eastAsia="宋体" w:cs="宋体"/>
                <w:strike w:val="0"/>
                <w:dstrike w:val="0"/>
                <w:color w:val="auto"/>
                <w:kern w:val="2"/>
                <w:sz w:val="24"/>
                <w:szCs w:val="24"/>
                <w:highlight w:val="none"/>
                <w:lang w:val="en-US" w:eastAsia="zh-CN" w:bidi="ar-SA"/>
              </w:rPr>
            </w:pPr>
            <w:r>
              <w:rPr>
                <w:rFonts w:hint="eastAsia" w:ascii="宋体" w:hAnsi="宋体" w:cs="宋体"/>
                <w:strike w:val="0"/>
                <w:dstrike w:val="0"/>
                <w:color w:val="auto"/>
                <w:kern w:val="2"/>
                <w:sz w:val="24"/>
                <w:szCs w:val="24"/>
                <w:lang w:val="en-US" w:eastAsia="zh-CN" w:bidi="ar-SA"/>
              </w:rPr>
              <w:t>1.</w:t>
            </w:r>
            <w:r>
              <w:rPr>
                <w:rFonts w:hint="eastAsia" w:ascii="宋体" w:hAnsi="宋体" w:eastAsia="宋体" w:cs="宋体"/>
                <w:strike w:val="0"/>
                <w:dstrike w:val="0"/>
                <w:color w:val="auto"/>
                <w:kern w:val="2"/>
                <w:sz w:val="24"/>
                <w:szCs w:val="24"/>
                <w:lang w:val="en-US" w:eastAsia="zh-CN" w:bidi="ar-SA"/>
              </w:rPr>
              <w:t>投标人或所投产品厂家，如有类似软件著作权证书，每个证书得1分。</w:t>
            </w:r>
            <w:r>
              <w:rPr>
                <w:rFonts w:hint="eastAsia" w:ascii="宋体" w:hAnsi="宋体" w:eastAsia="宋体" w:cs="宋体"/>
                <w:strike w:val="0"/>
                <w:dstrike w:val="0"/>
                <w:color w:val="auto"/>
                <w:kern w:val="2"/>
                <w:sz w:val="24"/>
                <w:szCs w:val="24"/>
                <w:highlight w:val="none"/>
                <w:lang w:val="en-US" w:eastAsia="zh-CN" w:bidi="ar-SA"/>
              </w:rPr>
              <w:t>本项最高得</w:t>
            </w:r>
            <w:r>
              <w:rPr>
                <w:rFonts w:hint="eastAsia" w:ascii="宋体" w:hAnsi="宋体" w:cs="宋体"/>
                <w:strike w:val="0"/>
                <w:dstrike w:val="0"/>
                <w:color w:val="auto"/>
                <w:kern w:val="2"/>
                <w:sz w:val="24"/>
                <w:szCs w:val="24"/>
                <w:highlight w:val="none"/>
                <w:lang w:val="en-US" w:eastAsia="zh-CN" w:bidi="ar-SA"/>
              </w:rPr>
              <w:t>5</w:t>
            </w:r>
            <w:r>
              <w:rPr>
                <w:rFonts w:hint="eastAsia" w:ascii="宋体" w:hAnsi="宋体" w:eastAsia="宋体" w:cs="宋体"/>
                <w:strike w:val="0"/>
                <w:dstrike w:val="0"/>
                <w:color w:val="auto"/>
                <w:kern w:val="2"/>
                <w:sz w:val="24"/>
                <w:szCs w:val="24"/>
                <w:highlight w:val="none"/>
                <w:lang w:val="en-US" w:eastAsia="zh-CN" w:bidi="ar-SA"/>
              </w:rPr>
              <w:t>分。</w:t>
            </w:r>
          </w:p>
          <w:p w14:paraId="383F75A4">
            <w:pPr>
              <w:pStyle w:val="10"/>
              <w:bidi w:val="0"/>
              <w:rPr>
                <w:rFonts w:hint="eastAsia" w:ascii="宋体" w:hAnsi="宋体" w:eastAsia="宋体" w:cs="宋体"/>
                <w:strike w:val="0"/>
                <w:dstrike w:val="0"/>
                <w:color w:val="auto"/>
                <w:kern w:val="2"/>
                <w:sz w:val="24"/>
                <w:szCs w:val="24"/>
                <w:highlight w:val="none"/>
                <w:lang w:val="en-US" w:eastAsia="zh-CN" w:bidi="ar-SA"/>
              </w:rPr>
            </w:pPr>
            <w:r>
              <w:rPr>
                <w:rFonts w:hint="eastAsia" w:ascii="宋体" w:hAnsi="宋体" w:eastAsia="宋体" w:cs="宋体"/>
                <w:strike w:val="0"/>
                <w:dstrike w:val="0"/>
                <w:color w:val="auto"/>
                <w:kern w:val="2"/>
                <w:sz w:val="24"/>
                <w:szCs w:val="24"/>
                <w:highlight w:val="none"/>
                <w:lang w:val="en-US" w:eastAsia="zh-CN" w:bidi="ar-SA"/>
              </w:rPr>
              <w:t>2.投标人或所投产品厂家具有承接本项目的专业技术及研发实力（提供CMMI证书复印件并加盖公章）。</w:t>
            </w:r>
          </w:p>
          <w:p w14:paraId="1385278D">
            <w:pPr>
              <w:pStyle w:val="10"/>
              <w:bidi w:val="0"/>
              <w:rPr>
                <w:rFonts w:hint="eastAsia" w:ascii="宋体" w:hAnsi="宋体" w:eastAsia="宋体" w:cs="宋体"/>
                <w:strike w:val="0"/>
                <w:dstrike w:val="0"/>
                <w:color w:val="auto"/>
                <w:kern w:val="2"/>
                <w:sz w:val="24"/>
                <w:szCs w:val="24"/>
                <w:highlight w:val="none"/>
                <w:lang w:val="en-US" w:eastAsia="zh-CN" w:bidi="ar-SA"/>
              </w:rPr>
            </w:pPr>
            <w:r>
              <w:rPr>
                <w:rFonts w:hint="eastAsia" w:ascii="宋体" w:hAnsi="宋体" w:eastAsia="宋体" w:cs="宋体"/>
                <w:strike w:val="0"/>
                <w:dstrike w:val="0"/>
                <w:color w:val="auto"/>
                <w:kern w:val="2"/>
                <w:sz w:val="24"/>
                <w:szCs w:val="24"/>
                <w:highlight w:val="none"/>
                <w:lang w:val="en-US" w:eastAsia="zh-CN" w:bidi="ar-SA"/>
              </w:rPr>
              <w:t>[3-5分]证书满足，专业技术及研发实力强；</w:t>
            </w:r>
          </w:p>
          <w:p w14:paraId="1EE36911">
            <w:pPr>
              <w:pStyle w:val="10"/>
              <w:bidi w:val="0"/>
              <w:rPr>
                <w:rFonts w:hint="eastAsia"/>
                <w:color w:val="auto"/>
                <w:lang w:val="en-US" w:eastAsia="zh-CN"/>
              </w:rPr>
            </w:pPr>
            <w:r>
              <w:rPr>
                <w:rFonts w:hint="eastAsia" w:ascii="宋体" w:hAnsi="宋体" w:eastAsia="宋体" w:cs="宋体"/>
                <w:strike w:val="0"/>
                <w:dstrike w:val="0"/>
                <w:color w:val="auto"/>
                <w:kern w:val="2"/>
                <w:sz w:val="24"/>
                <w:szCs w:val="24"/>
                <w:highlight w:val="none"/>
                <w:lang w:val="en-US" w:eastAsia="zh-CN" w:bidi="ar-SA"/>
              </w:rPr>
              <w:t>[0-3分）证书欠缺，专业技术及研发实力较差。</w:t>
            </w:r>
          </w:p>
        </w:tc>
      </w:tr>
      <w:tr w14:paraId="35B9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261" w:type="pct"/>
            <w:vMerge w:val="continue"/>
            <w:tcBorders>
              <w:top w:val="nil"/>
              <w:left w:val="single" w:color="000000" w:sz="8" w:space="0"/>
              <w:bottom w:val="single" w:color="000000" w:sz="8" w:space="0"/>
              <w:right w:val="single" w:color="000000" w:sz="8" w:space="0"/>
            </w:tcBorders>
            <w:shd w:val="clear" w:color="auto" w:fill="auto"/>
            <w:vAlign w:val="center"/>
          </w:tcPr>
          <w:p w14:paraId="2F9BB5C7">
            <w:pPr>
              <w:jc w:val="center"/>
              <w:rPr>
                <w:rFonts w:hint="eastAsia" w:ascii="微软雅黑" w:hAnsi="微软雅黑" w:eastAsia="微软雅黑" w:cs="微软雅黑"/>
                <w:i w:val="0"/>
                <w:iCs w:val="0"/>
                <w:color w:val="000000"/>
                <w:sz w:val="20"/>
                <w:szCs w:val="20"/>
                <w:u w:val="none"/>
              </w:rPr>
            </w:pPr>
          </w:p>
        </w:tc>
        <w:tc>
          <w:tcPr>
            <w:tcW w:w="728" w:type="pct"/>
            <w:vMerge w:val="restart"/>
            <w:tcBorders>
              <w:top w:val="nil"/>
              <w:left w:val="nil"/>
              <w:bottom w:val="single" w:color="000000" w:sz="8" w:space="0"/>
              <w:right w:val="single" w:color="000000" w:sz="8" w:space="0"/>
            </w:tcBorders>
            <w:shd w:val="clear" w:color="auto" w:fill="auto"/>
            <w:vAlign w:val="bottom"/>
          </w:tcPr>
          <w:p w14:paraId="018DC380">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7748ED00">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35BE76C6">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243D182F">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2B2A2453">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1DCE1C68">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375CFB47">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6C24F2F5">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662546B1">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47AC1F41">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技术部分（6</w:t>
            </w:r>
            <w:r>
              <w:rPr>
                <w:rFonts w:hint="eastAsia" w:ascii="宋体" w:hAnsi="宋体" w:cs="宋体"/>
                <w:color w:val="000000" w:themeColor="text1"/>
                <w:kern w:val="2"/>
                <w:sz w:val="24"/>
                <w:szCs w:val="24"/>
                <w:lang w:val="en-US" w:eastAsia="zh-CN" w:bidi="ar-SA"/>
                <w14:textFill>
                  <w14:solidFill>
                    <w14:schemeClr w14:val="tx1"/>
                  </w14:solidFill>
                </w14:textFill>
              </w:rPr>
              <w:t>5</w:t>
            </w:r>
            <w:r>
              <w:rPr>
                <w:rFonts w:hint="eastAsia" w:ascii="宋体" w:hAnsi="宋体" w:eastAsia="宋体" w:cs="宋体"/>
                <w:color w:val="000000" w:themeColor="text1"/>
                <w:kern w:val="2"/>
                <w:sz w:val="24"/>
                <w:szCs w:val="24"/>
                <w:lang w:val="en-US" w:eastAsia="zh-CN" w:bidi="ar-SA"/>
                <w14:textFill>
                  <w14:solidFill>
                    <w14:schemeClr w14:val="tx1"/>
                  </w14:solidFill>
                </w14:textFill>
              </w:rPr>
              <w:t>分）</w:t>
            </w:r>
          </w:p>
        </w:tc>
        <w:tc>
          <w:tcPr>
            <w:tcW w:w="11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E29315">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技术指标参数</w:t>
            </w:r>
          </w:p>
          <w:p w14:paraId="0594B4DF">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（0-</w:t>
            </w:r>
            <w:r>
              <w:rPr>
                <w:rFonts w:hint="eastAsia" w:ascii="宋体" w:hAnsi="宋体" w:cs="宋体"/>
                <w:color w:val="000000" w:themeColor="text1"/>
                <w:kern w:val="2"/>
                <w:sz w:val="24"/>
                <w:szCs w:val="24"/>
                <w:lang w:val="en-US" w:eastAsia="zh-CN" w:bidi="ar-SA"/>
                <w14:textFill>
                  <w14:solidFill>
                    <w14:schemeClr w14:val="tx1"/>
                  </w14:solidFill>
                </w14:textFill>
              </w:rPr>
              <w:t>50</w:t>
            </w:r>
            <w:r>
              <w:rPr>
                <w:rFonts w:hint="eastAsia" w:ascii="宋体" w:hAnsi="宋体" w:eastAsia="宋体" w:cs="宋体"/>
                <w:color w:val="000000" w:themeColor="text1"/>
                <w:kern w:val="2"/>
                <w:sz w:val="24"/>
                <w:szCs w:val="24"/>
                <w:lang w:val="en-US" w:eastAsia="zh-CN" w:bidi="ar-SA"/>
                <w14:textFill>
                  <w14:solidFill>
                    <w14:schemeClr w14:val="tx1"/>
                  </w14:solidFill>
                </w14:textFill>
              </w:rPr>
              <w:t>分）</w:t>
            </w:r>
          </w:p>
        </w:tc>
        <w:tc>
          <w:tcPr>
            <w:tcW w:w="283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417B7F">
            <w:pPr>
              <w:keepNext w:val="0"/>
              <w:keepLines w:val="0"/>
              <w:widowControl/>
              <w:suppressLineNumbers w:val="0"/>
              <w:jc w:val="left"/>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投标人所投产品技术参数完全满足招标文件采购需求得</w:t>
            </w:r>
            <w:r>
              <w:rPr>
                <w:rFonts w:hint="eastAsia" w:ascii="宋体" w:hAnsi="宋体" w:cs="宋体"/>
                <w:color w:val="000000" w:themeColor="text1"/>
                <w:kern w:val="2"/>
                <w:sz w:val="24"/>
                <w:szCs w:val="24"/>
                <w:lang w:val="en-US" w:eastAsia="zh-CN" w:bidi="ar-SA"/>
                <w14:textFill>
                  <w14:solidFill>
                    <w14:schemeClr w14:val="tx1"/>
                  </w14:solidFill>
                </w14:textFill>
              </w:rPr>
              <w:t>50</w:t>
            </w:r>
            <w:r>
              <w:rPr>
                <w:rFonts w:hint="eastAsia" w:ascii="宋体" w:hAnsi="宋体" w:eastAsia="宋体" w:cs="宋体"/>
                <w:color w:val="000000" w:themeColor="text1"/>
                <w:kern w:val="2"/>
                <w:sz w:val="24"/>
                <w:szCs w:val="24"/>
                <w:lang w:val="en-US" w:eastAsia="zh-CN" w:bidi="ar-SA"/>
                <w14:textFill>
                  <w14:solidFill>
                    <w14:schemeClr w14:val="tx1"/>
                  </w14:solidFill>
                </w14:textFill>
              </w:rPr>
              <w:t>分。其中重要参数标记“*”的有一项不满足扣</w:t>
            </w:r>
            <w:r>
              <w:rPr>
                <w:rFonts w:hint="eastAsia" w:ascii="宋体" w:hAnsi="宋体" w:cs="宋体"/>
                <w:color w:val="000000" w:themeColor="text1"/>
                <w:kern w:val="2"/>
                <w:sz w:val="24"/>
                <w:szCs w:val="24"/>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lang w:val="en-US" w:eastAsia="zh-CN" w:bidi="ar-SA"/>
                <w14:textFill>
                  <w14:solidFill>
                    <w14:schemeClr w14:val="tx1"/>
                  </w14:solidFill>
                </w14:textFill>
              </w:rPr>
              <w:t>分，其他参数有一项不满足扣1分，扣完为止。</w:t>
            </w:r>
          </w:p>
          <w:p w14:paraId="7EBDDD73">
            <w:pPr>
              <w:keepNext w:val="0"/>
              <w:keepLines w:val="0"/>
              <w:widowControl/>
              <w:suppressLineNumbers w:val="0"/>
              <w:jc w:val="left"/>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注：带“*”标记参数必须提供相关产品功能截图、官网或者技术白皮书等佐证材料，未提供视为不满足进行扣分。</w:t>
            </w:r>
          </w:p>
        </w:tc>
      </w:tr>
      <w:tr w14:paraId="01651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1" w:hRule="atLeast"/>
        </w:trPr>
        <w:tc>
          <w:tcPr>
            <w:tcW w:w="261" w:type="pct"/>
            <w:vMerge w:val="continue"/>
            <w:tcBorders>
              <w:top w:val="nil"/>
              <w:left w:val="single" w:color="000000" w:sz="8" w:space="0"/>
              <w:bottom w:val="single" w:color="000000" w:sz="8" w:space="0"/>
              <w:right w:val="single" w:color="000000" w:sz="8" w:space="0"/>
            </w:tcBorders>
            <w:shd w:val="clear" w:color="auto" w:fill="auto"/>
            <w:vAlign w:val="center"/>
          </w:tcPr>
          <w:p w14:paraId="4A7BEDF1">
            <w:pPr>
              <w:jc w:val="center"/>
              <w:rPr>
                <w:rFonts w:hint="eastAsia" w:ascii="微软雅黑" w:hAnsi="微软雅黑" w:eastAsia="微软雅黑" w:cs="微软雅黑"/>
                <w:i w:val="0"/>
                <w:iCs w:val="0"/>
                <w:color w:val="000000"/>
                <w:sz w:val="20"/>
                <w:szCs w:val="20"/>
                <w:u w:val="none"/>
              </w:rPr>
            </w:pPr>
          </w:p>
        </w:tc>
        <w:tc>
          <w:tcPr>
            <w:tcW w:w="728" w:type="pct"/>
            <w:vMerge w:val="continue"/>
            <w:tcBorders>
              <w:top w:val="nil"/>
              <w:left w:val="nil"/>
              <w:bottom w:val="single" w:color="000000" w:sz="8" w:space="0"/>
              <w:right w:val="single" w:color="000000" w:sz="8" w:space="0"/>
            </w:tcBorders>
            <w:shd w:val="clear" w:color="auto" w:fill="auto"/>
            <w:vAlign w:val="center"/>
          </w:tcPr>
          <w:p w14:paraId="7E895BF7">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tc>
        <w:tc>
          <w:tcPr>
            <w:tcW w:w="11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5743AC">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技术方案</w:t>
            </w:r>
          </w:p>
          <w:p w14:paraId="18A46A8B">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（0-5分）</w:t>
            </w:r>
          </w:p>
        </w:tc>
        <w:tc>
          <w:tcPr>
            <w:tcW w:w="283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303950">
            <w:pPr>
              <w:keepNext w:val="0"/>
              <w:keepLines w:val="0"/>
              <w:widowControl/>
              <w:suppressLineNumbers w:val="0"/>
              <w:jc w:val="left"/>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对供应商根据采购需求提供的总体设计方案进行综合评分，应提供系统架构、设计原则、技术路线、性能设计内容且满足本项目需求。根据供应商提供的方案进行综合评分。内容详细、合理、满足采购需求根据响应程度得分，优良:5分，较好:3分，一般:1分。(未提供不得分）</w:t>
            </w:r>
          </w:p>
        </w:tc>
      </w:tr>
      <w:tr w14:paraId="6D200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1" w:hRule="atLeast"/>
        </w:trPr>
        <w:tc>
          <w:tcPr>
            <w:tcW w:w="261" w:type="pct"/>
            <w:vMerge w:val="continue"/>
            <w:tcBorders>
              <w:top w:val="nil"/>
              <w:left w:val="single" w:color="000000" w:sz="8" w:space="0"/>
              <w:bottom w:val="single" w:color="000000" w:sz="8" w:space="0"/>
              <w:right w:val="single" w:color="000000" w:sz="8" w:space="0"/>
            </w:tcBorders>
            <w:shd w:val="clear" w:color="auto" w:fill="auto"/>
            <w:vAlign w:val="center"/>
          </w:tcPr>
          <w:p w14:paraId="7D000889">
            <w:pPr>
              <w:jc w:val="center"/>
              <w:rPr>
                <w:rFonts w:hint="eastAsia" w:ascii="微软雅黑" w:hAnsi="微软雅黑" w:eastAsia="微软雅黑" w:cs="微软雅黑"/>
                <w:i w:val="0"/>
                <w:iCs w:val="0"/>
                <w:color w:val="000000"/>
                <w:sz w:val="20"/>
                <w:szCs w:val="20"/>
                <w:u w:val="none"/>
              </w:rPr>
            </w:pPr>
          </w:p>
        </w:tc>
        <w:tc>
          <w:tcPr>
            <w:tcW w:w="728" w:type="pct"/>
            <w:vMerge w:val="continue"/>
            <w:tcBorders>
              <w:top w:val="nil"/>
              <w:left w:val="nil"/>
              <w:bottom w:val="single" w:color="000000" w:sz="8" w:space="0"/>
              <w:right w:val="single" w:color="000000" w:sz="8" w:space="0"/>
            </w:tcBorders>
            <w:shd w:val="clear" w:color="auto" w:fill="auto"/>
            <w:vAlign w:val="center"/>
          </w:tcPr>
          <w:p w14:paraId="1F01A765">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tc>
        <w:tc>
          <w:tcPr>
            <w:tcW w:w="1173" w:type="pct"/>
            <w:tcBorders>
              <w:top w:val="nil"/>
              <w:left w:val="nil"/>
              <w:bottom w:val="single" w:color="000000" w:sz="8" w:space="0"/>
              <w:right w:val="single" w:color="000000" w:sz="8" w:space="0"/>
            </w:tcBorders>
            <w:shd w:val="clear" w:color="auto" w:fill="auto"/>
            <w:vAlign w:val="center"/>
          </w:tcPr>
          <w:p w14:paraId="712EC142">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实施方案</w:t>
            </w:r>
          </w:p>
          <w:p w14:paraId="53D44C69">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（0-5分）</w:t>
            </w:r>
          </w:p>
        </w:tc>
        <w:tc>
          <w:tcPr>
            <w:tcW w:w="2836" w:type="pct"/>
            <w:tcBorders>
              <w:top w:val="nil"/>
              <w:left w:val="nil"/>
              <w:bottom w:val="single" w:color="000000" w:sz="8" w:space="0"/>
              <w:right w:val="single" w:color="000000" w:sz="8" w:space="0"/>
            </w:tcBorders>
            <w:shd w:val="clear" w:color="auto" w:fill="auto"/>
            <w:vAlign w:val="center"/>
          </w:tcPr>
          <w:p w14:paraId="323C78F4">
            <w:pPr>
              <w:keepNext w:val="0"/>
              <w:keepLines w:val="0"/>
              <w:widowControl/>
              <w:suppressLineNumbers w:val="0"/>
              <w:jc w:val="left"/>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投标人提供建设本系统所需的完整的实施方案，有完善的管理体系针对本项目的工作计划有合理的阶段划分，各阶段有明确的工作目标和可行的时间进度安排，可以确保工作优质、高效、如期完成，根据响应程度得分，优良:5分，较好:3分，一般:1分。(未提供不得分)</w:t>
            </w:r>
          </w:p>
        </w:tc>
      </w:tr>
      <w:tr w14:paraId="07112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261" w:type="pct"/>
            <w:vMerge w:val="continue"/>
            <w:tcBorders>
              <w:top w:val="nil"/>
              <w:left w:val="single" w:color="000000" w:sz="8" w:space="0"/>
              <w:bottom w:val="single" w:color="000000" w:sz="8" w:space="0"/>
              <w:right w:val="single" w:color="000000" w:sz="8" w:space="0"/>
            </w:tcBorders>
            <w:shd w:val="clear" w:color="auto" w:fill="auto"/>
            <w:vAlign w:val="center"/>
          </w:tcPr>
          <w:p w14:paraId="2FD7B98F">
            <w:pPr>
              <w:jc w:val="center"/>
              <w:rPr>
                <w:rFonts w:hint="eastAsia" w:ascii="微软雅黑" w:hAnsi="微软雅黑" w:eastAsia="微软雅黑" w:cs="微软雅黑"/>
                <w:i w:val="0"/>
                <w:iCs w:val="0"/>
                <w:color w:val="000000"/>
                <w:sz w:val="20"/>
                <w:szCs w:val="20"/>
                <w:u w:val="none"/>
              </w:rPr>
            </w:pPr>
          </w:p>
        </w:tc>
        <w:tc>
          <w:tcPr>
            <w:tcW w:w="728" w:type="pct"/>
            <w:vMerge w:val="continue"/>
            <w:tcBorders>
              <w:top w:val="nil"/>
              <w:left w:val="nil"/>
              <w:bottom w:val="single" w:color="000000" w:sz="8" w:space="0"/>
              <w:right w:val="single" w:color="000000" w:sz="8" w:space="0"/>
            </w:tcBorders>
            <w:shd w:val="clear" w:color="auto" w:fill="auto"/>
            <w:vAlign w:val="center"/>
          </w:tcPr>
          <w:p w14:paraId="109F4534">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p>
        </w:tc>
        <w:tc>
          <w:tcPr>
            <w:tcW w:w="11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C2B57F">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运行维护方案</w:t>
            </w:r>
          </w:p>
          <w:p w14:paraId="27266DC5">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（0-5分）</w:t>
            </w:r>
          </w:p>
        </w:tc>
        <w:tc>
          <w:tcPr>
            <w:tcW w:w="283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A272D5">
            <w:pPr>
              <w:keepNext w:val="0"/>
              <w:keepLines w:val="0"/>
              <w:widowControl/>
              <w:suppressLineNumbers w:val="0"/>
              <w:jc w:val="left"/>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投标人提供项目运行维护方案，对项目运行维护体系、维护响应机制等内容进行阐述：</w:t>
            </w:r>
          </w:p>
          <w:p w14:paraId="22AFDF95">
            <w:pPr>
              <w:keepNext w:val="0"/>
              <w:keepLines w:val="0"/>
              <w:widowControl/>
              <w:suppressLineNumbers w:val="0"/>
              <w:jc w:val="left"/>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项目运行维护方案详细、科学、合理，具有较强的可操作性的得5分；</w:t>
            </w:r>
          </w:p>
          <w:p w14:paraId="3E3A910C">
            <w:pPr>
              <w:keepNext w:val="0"/>
              <w:keepLines w:val="0"/>
              <w:widowControl/>
              <w:suppressLineNumbers w:val="0"/>
              <w:jc w:val="left"/>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项目运行维护方案内容完整，具有一定的可操作性的得3分；</w:t>
            </w:r>
          </w:p>
          <w:p w14:paraId="47682CF4">
            <w:pPr>
              <w:keepNext w:val="0"/>
              <w:keepLines w:val="0"/>
              <w:widowControl/>
              <w:suppressLineNumbers w:val="0"/>
              <w:jc w:val="left"/>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3.项目运行维护方案有待完善的得1分；</w:t>
            </w:r>
          </w:p>
        </w:tc>
      </w:tr>
    </w:tbl>
    <w:p w14:paraId="72DA2832">
      <w:pPr>
        <w:pStyle w:val="10"/>
        <w:spacing w:line="460" w:lineRule="exact"/>
        <w:rPr>
          <w:rFonts w:hAnsi="宋体" w:cs="宋体"/>
          <w:color w:val="000000" w:themeColor="text1"/>
          <w:sz w:val="24"/>
          <w:szCs w:val="24"/>
          <w14:textFill>
            <w14:solidFill>
              <w14:schemeClr w14:val="tx1"/>
            </w14:solidFill>
          </w14:textFill>
        </w:rPr>
      </w:pPr>
    </w:p>
    <w:p w14:paraId="4313CE3D">
      <w:pPr>
        <w:spacing w:line="460" w:lineRule="exac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6.成交</w:t>
      </w:r>
    </w:p>
    <w:p w14:paraId="42F0807D">
      <w:pPr>
        <w:spacing w:line="460" w:lineRule="exact"/>
        <w:ind w:left="120" w:leftChars="57"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代理机构在磋商结束后二个工作日内将磋商结果报告送达采购人，采购人在收到磋商结果报告后五个工作日内，按照磋商结果报告中推荐的成交候选供应商确定成交供应商，同时书面复函采购代理机构；</w:t>
      </w:r>
    </w:p>
    <w:p w14:paraId="2076FD96">
      <w:pPr>
        <w:spacing w:line="460" w:lineRule="exact"/>
        <w:ind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（2）采购代理机构收到采购人“成交复函”后，在财政部门指定的政府采购信息媒体上发布公告，公示期无异议后，向成交供应商发出“成交通知书”。</w:t>
      </w:r>
    </w:p>
    <w:p w14:paraId="5035440B">
      <w:pPr>
        <w:jc w:val="center"/>
        <w:rPr>
          <w:rFonts w:ascii="宋体" w:hAnsi="宋体" w:cs="宋体"/>
          <w:b/>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七、签订合同</w:t>
      </w:r>
    </w:p>
    <w:p w14:paraId="2CA1AA7A">
      <w:pPr>
        <w:spacing w:line="4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成交后，成交供应商（单位）在收到成交通知书后三十个日历天内，应按磋商文件的要求与采购人洽谈合同条款，并签订供货合同，同时送监督机构备案，磋商文件及成交供应商（单位）的磋商响应文件均作为合同的组成部分；</w:t>
      </w:r>
    </w:p>
    <w:p w14:paraId="23A5DC87">
      <w:pPr>
        <w:spacing w:line="4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政府采购合同履行中，单位需追加与合同标的相同的货物、工程或者服务的，在不改变合同其他条款的前提下，可以与成交供应商协商签订补充合同，但所有补充合同的采购金额不得超过原合同采购金额的百分之十；</w:t>
      </w:r>
    </w:p>
    <w:p w14:paraId="4525D820">
      <w:pPr>
        <w:spacing w:line="4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3.根据需要，采购代理机构可会同采购人负责监督、协调和处理履约过程中出现的问题；</w:t>
      </w:r>
    </w:p>
    <w:p w14:paraId="6DF6A7A8">
      <w:pPr>
        <w:jc w:val="center"/>
        <w:rPr>
          <w:rFonts w:ascii="宋体" w:hAnsi="宋体" w:cs="宋体"/>
          <w:b/>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八、成交服务费</w:t>
      </w:r>
    </w:p>
    <w:p w14:paraId="1A5A455A">
      <w:pPr>
        <w:snapToGrid w:val="0"/>
        <w:spacing w:line="45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1.招标代理服务费由成交供应商缴纳。</w:t>
      </w:r>
    </w:p>
    <w:p w14:paraId="38C98015">
      <w:pPr>
        <w:snapToGrid w:val="0"/>
        <w:spacing w:line="45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成交人应依据成交金额向代理机构缴纳代理服务费，招标代理服务费收取按照国家计委颁布的《招标代理服务收费管理暂行办法》（计价格[2002]1980号）和（发改办价格[2003]857号）文服务类收费标准计取，此服务费应计入磋商报价中。</w:t>
      </w:r>
    </w:p>
    <w:p w14:paraId="0EA09AD8">
      <w:pPr>
        <w:snapToGrid w:val="0"/>
        <w:spacing w:line="45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3.招标代理服务费交纳信息</w:t>
      </w:r>
    </w:p>
    <w:p w14:paraId="4D74AED8">
      <w:pPr>
        <w:snapToGrid w:val="0"/>
        <w:spacing w:line="450" w:lineRule="exact"/>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银行户名：泾清项目管理有限公司</w:t>
      </w:r>
    </w:p>
    <w:p w14:paraId="2D3C5C01">
      <w:pPr>
        <w:snapToGrid w:val="0"/>
        <w:spacing w:line="450" w:lineRule="exact"/>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开户银行：中国建设银行股份有限公司富平县支行</w:t>
      </w:r>
    </w:p>
    <w:p w14:paraId="3D3140FD">
      <w:pPr>
        <w:snapToGrid w:val="0"/>
        <w:spacing w:line="450" w:lineRule="exact"/>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账    号：610501 648308 00002 007</w:t>
      </w:r>
    </w:p>
    <w:p w14:paraId="23FC18FB">
      <w:pPr>
        <w:snapToGrid w:val="0"/>
        <w:spacing w:line="450" w:lineRule="exact"/>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联 系 人：韩瑞   </w:t>
      </w:r>
    </w:p>
    <w:p w14:paraId="2E52A1B0">
      <w:pPr>
        <w:snapToGrid w:val="0"/>
        <w:spacing w:line="450" w:lineRule="exact"/>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联系电话：15353399106</w:t>
      </w:r>
    </w:p>
    <w:p w14:paraId="07B357FD">
      <w:pPr>
        <w:jc w:val="center"/>
        <w:rPr>
          <w:rFonts w:ascii="宋体" w:hAnsi="宋体" w:cs="宋体"/>
          <w:b/>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九、其它事项</w:t>
      </w:r>
    </w:p>
    <w:p w14:paraId="29FB207C">
      <w:pPr>
        <w:spacing w:line="4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1．竞争性磋商项目实行二轮报价，第一次报价后，磋商小组可以变更采购需求中的技术、服务要求以及合同草案条款，二轮报价为最终报价。</w:t>
      </w:r>
    </w:p>
    <w:p w14:paraId="672B9AD9">
      <w:pPr>
        <w:spacing w:line="4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磋商保证金额的，还应当对超过部分予以赔偿，并依法承担相应法律责任。</w:t>
      </w:r>
    </w:p>
    <w:p w14:paraId="0B164547">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2F1163C7">
      <w:pPr>
        <w:rPr>
          <w:rFonts w:asciiTheme="minorEastAsia" w:hAnsiTheme="minorEastAsia" w:eastAsiaTheme="minorEastAsia" w:cstheme="minorEastAsia"/>
          <w:color w:val="000000" w:themeColor="text1"/>
          <w:sz w:val="28"/>
          <w:szCs w:val="28"/>
          <w14:textFill>
            <w14:solidFill>
              <w14:schemeClr w14:val="tx1"/>
            </w14:solidFill>
          </w14:textFill>
        </w:rPr>
      </w:pPr>
      <w:bookmarkStart w:id="4" w:name="_Toc1653"/>
      <w:r>
        <w:rPr>
          <w:rFonts w:hint="eastAsia" w:asciiTheme="minorEastAsia" w:hAnsiTheme="minorEastAsia" w:eastAsiaTheme="minorEastAsia" w:cstheme="minorEastAsia"/>
          <w:color w:val="000000" w:themeColor="text1"/>
          <w:sz w:val="28"/>
          <w:szCs w:val="28"/>
          <w14:textFill>
            <w14:solidFill>
              <w14:schemeClr w14:val="tx1"/>
            </w14:solidFill>
          </w14:textFill>
        </w:rPr>
        <w:t>附件1：投标担保函</w:t>
      </w:r>
      <w:bookmarkEnd w:id="4"/>
    </w:p>
    <w:p w14:paraId="7399FCE0">
      <w:pPr>
        <w:pStyle w:val="7"/>
        <w:snapToGrid w:val="0"/>
        <w:spacing w:line="360" w:lineRule="auto"/>
        <w:ind w:firstLine="480"/>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（适用于投标保证金保函）</w:t>
      </w:r>
    </w:p>
    <w:p w14:paraId="12DBDB97">
      <w:pPr>
        <w:snapToGrid w:val="0"/>
        <w:spacing w:line="360" w:lineRule="auto"/>
        <w:ind w:right="480"/>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保函编号:</w:t>
      </w:r>
    </w:p>
    <w:p w14:paraId="7975DF16">
      <w:pPr>
        <w:snapToGrid w:val="0"/>
        <w:spacing w:line="360" w:lineRule="auto"/>
        <w:ind w:right="480"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致</w:t>
      </w:r>
      <w:r>
        <w:rPr>
          <w:rFonts w:hint="eastAsia" w:asciiTheme="minorEastAsia" w:hAnsiTheme="minorEastAsia" w:cstheme="minorEastAsia"/>
          <w:color w:val="000000" w:themeColor="text1"/>
          <w:sz w:val="24"/>
          <w:u w:val="single"/>
          <w14:textFill>
            <w14:solidFill>
              <w14:schemeClr w14:val="tx1"/>
            </w14:solidFill>
          </w14:textFill>
        </w:rPr>
        <w:t>泾清项目管理有限公司</w:t>
      </w:r>
      <w:r>
        <w:rPr>
          <w:rFonts w:hint="eastAsia" w:asciiTheme="minorEastAsia" w:hAnsiTheme="minorEastAsia" w:eastAsiaTheme="minorEastAsia" w:cstheme="minorEastAsia"/>
          <w:color w:val="000000" w:themeColor="text1"/>
          <w:sz w:val="24"/>
          <w14:textFill>
            <w14:solidFill>
              <w14:schemeClr w14:val="tx1"/>
            </w14:solidFill>
          </w14:textFill>
        </w:rPr>
        <w:t>(下称受益人):</w:t>
      </w:r>
    </w:p>
    <w:p w14:paraId="3C1F607B">
      <w:pPr>
        <w:snapToGrid w:val="0"/>
        <w:spacing w:line="360" w:lineRule="auto"/>
        <w:jc w:val="left"/>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鉴于</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(下称被保证人)将于</w:t>
      </w:r>
      <w:r>
        <w:rPr>
          <w:rFonts w:hint="eastAsia" w:asciiTheme="minorEastAsia" w:hAnsiTheme="minorEastAsia" w:eastAsiaTheme="minorEastAsia" w:cstheme="minorEastAsia"/>
          <w:color w:val="000000" w:themeColor="text1"/>
          <w:sz w:val="24"/>
          <w:u w:val="single"/>
          <w14:textFill>
            <w14:solidFill>
              <w14:schemeClr w14:val="tx1"/>
            </w14:solidFill>
          </w14:textFill>
        </w:rPr>
        <w:t>    年 月 日</w:t>
      </w:r>
      <w:r>
        <w:rPr>
          <w:rFonts w:hint="eastAsia" w:asciiTheme="minorEastAsia" w:hAnsiTheme="minorEastAsia" w:eastAsiaTheme="minorEastAsia" w:cstheme="minorEastAsia"/>
          <w:color w:val="000000" w:themeColor="text1"/>
          <w:sz w:val="24"/>
          <w14:textFill>
            <w14:solidFill>
              <w14:schemeClr w14:val="tx1"/>
            </w14:solidFill>
          </w14:textFill>
        </w:rPr>
        <w:t>参加贵方招标编号为</w:t>
      </w:r>
      <w:r>
        <w:rPr>
          <w:rFonts w:hint="eastAsia" w:asciiTheme="minorEastAsia" w:hAnsiTheme="minorEastAsia" w:eastAsiaTheme="minorEastAsia" w:cstheme="minorEastAsia"/>
          <w:color w:val="000000" w:themeColor="text1"/>
          <w:sz w:val="24"/>
          <w:u w:val="single"/>
          <w14:textFill>
            <w14:solidFill>
              <w14:schemeClr w14:val="tx1"/>
            </w14:solidFill>
          </w14:textFill>
        </w:rPr>
        <w:t> （采购项目编号）</w:t>
      </w:r>
      <w:r>
        <w:rPr>
          <w:rFonts w:hint="eastAsia" w:asciiTheme="minorEastAsia" w:hAnsiTheme="minorEastAsia" w:eastAsiaTheme="minorEastAsia" w:cstheme="minorEastAsia"/>
          <w:color w:val="000000" w:themeColor="text1"/>
          <w:sz w:val="24"/>
          <w14:textFill>
            <w14:solidFill>
              <w14:schemeClr w14:val="tx1"/>
            </w14:solidFill>
          </w14:textFill>
        </w:rPr>
        <w:t>的</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（项目名称） </w:t>
      </w:r>
      <w:r>
        <w:rPr>
          <w:rFonts w:hint="eastAsia" w:asciiTheme="minorEastAsia" w:hAnsiTheme="minorEastAsia" w:eastAsiaTheme="minorEastAsia" w:cstheme="minorEastAsia"/>
          <w:color w:val="000000" w:themeColor="text1"/>
          <w:sz w:val="24"/>
          <w14:textFill>
            <w14:solidFill>
              <w14:schemeClr w14:val="tx1"/>
            </w14:solidFill>
          </w14:textFill>
        </w:rPr>
        <w:t>的投标,我方接受被保证人的委托,在此向受益人提供不可撤销的投标保证：</w:t>
      </w:r>
    </w:p>
    <w:p w14:paraId="5D43C0E5">
      <w:pPr>
        <w:numPr>
          <w:ilvl w:val="0"/>
          <w:numId w:val="6"/>
        </w:num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本保证担保的担保金额为</w:t>
      </w:r>
      <w:r>
        <w:rPr>
          <w:rFonts w:hint="eastAsia" w:asciiTheme="minorEastAsia" w:hAnsiTheme="minorEastAsia" w:eastAsiaTheme="minorEastAsia" w:cstheme="minorEastAsia"/>
          <w:color w:val="000000" w:themeColor="text1"/>
          <w:sz w:val="24"/>
          <w:u w:val="single"/>
          <w14:textFill>
            <w14:solidFill>
              <w14:schemeClr w14:val="tx1"/>
            </w14:solidFill>
          </w14:textFill>
        </w:rPr>
        <w:t>人民币</w:t>
      </w:r>
      <w:r>
        <w:rPr>
          <w:rFonts w:hint="eastAsia" w:asciiTheme="minorEastAsia" w:hAnsiTheme="minorEastAsia" w:eastAsiaTheme="minorEastAsia" w:cstheme="minorEastAsia"/>
          <w:color w:val="000000" w:themeColor="text1"/>
          <w:sz w:val="24"/>
          <w14:textFill>
            <w14:solidFill>
              <w14:schemeClr w14:val="tx1"/>
            </w14:solidFill>
          </w14:textFill>
        </w:rPr>
        <w:t>(币种</w:t>
      </w:r>
      <w:r>
        <w:rPr>
          <w:rFonts w:hint="eastAsia" w:asciiTheme="minorEastAsia" w:hAnsiTheme="minorEastAsia" w:eastAsiaTheme="minorEastAsia" w:cstheme="minorEastAsia"/>
          <w:color w:val="000000" w:themeColor="text1"/>
          <w:sz w:val="24"/>
          <w:u w:val="single"/>
          <w14:textFill>
            <w14:solidFill>
              <w14:schemeClr w14:val="tx1"/>
            </w14:solidFill>
          </w14:textFill>
        </w:rPr>
        <w:t>)     </w:t>
      </w:r>
      <w:r>
        <w:rPr>
          <w:rFonts w:hint="eastAsia" w:asciiTheme="minorEastAsia" w:hAnsiTheme="minorEastAsia" w:eastAsiaTheme="minorEastAsia" w:cstheme="minorEastAsia"/>
          <w:color w:val="000000" w:themeColor="text1"/>
          <w:sz w:val="24"/>
          <w14:textFill>
            <w14:solidFill>
              <w14:schemeClr w14:val="tx1"/>
            </w14:solidFill>
          </w14:textFill>
        </w:rPr>
        <w:t>元(小写)</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元整</w:t>
      </w:r>
      <w:r>
        <w:rPr>
          <w:rFonts w:hint="eastAsia" w:asciiTheme="minorEastAsia" w:hAnsiTheme="minorEastAsia" w:eastAsiaTheme="minorEastAsia" w:cstheme="minorEastAsia"/>
          <w:color w:val="000000" w:themeColor="text1"/>
          <w:sz w:val="24"/>
          <w14:textFill>
            <w14:solidFill>
              <w14:schemeClr w14:val="tx1"/>
            </w14:solidFill>
          </w14:textFill>
        </w:rPr>
        <w:t>(大写）。</w:t>
      </w:r>
    </w:p>
    <w:p w14:paraId="30F42E7D">
      <w:pPr>
        <w:numPr>
          <w:ilvl w:val="0"/>
          <w:numId w:val="6"/>
        </w:num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本保证担保的保证期间为该项目的投标有效期(或延长的投标有效期)后28日(含28日),延长投标有效期无须通知我方。</w:t>
      </w:r>
    </w:p>
    <w:p w14:paraId="53C1A88A">
      <w:pPr>
        <w:numPr>
          <w:ilvl w:val="0"/>
          <w:numId w:val="6"/>
        </w:num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在本保证担保的保证期间内,如果被保证人出现下列情形之一,受益人可以向我方提起索赔：</w:t>
      </w:r>
    </w:p>
    <w:p w14:paraId="65EE21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1.被保证人在招标文件规定的投标有效期内撤回其投标；</w:t>
      </w:r>
    </w:p>
    <w:p w14:paraId="6E5D4C3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2.被保证人在投标有效期内收到受益人发出的中标通知书后,不能或拒绝按招标文件的要求签署合同；</w:t>
      </w:r>
    </w:p>
    <w:p w14:paraId="39AF906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3.被保证人在投标有效期内收到受益人发出的中标通知书后,不能或拒绝按招标文件的规定提交履约担保；</w:t>
      </w:r>
    </w:p>
    <w:p w14:paraId="3F0A0AF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4.被保证人中标后未按照招标文件规定交纳招标代理服务费。</w:t>
      </w:r>
    </w:p>
    <w:p w14:paraId="178C2D34">
      <w:pPr>
        <w:numPr>
          <w:ilvl w:val="0"/>
          <w:numId w:val="6"/>
        </w:numPr>
        <w:snapToGrid w:val="0"/>
        <w:spacing w:line="360" w:lineRule="auto"/>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在本保证担保的保证期间内,我方收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到受益人经法定代表人</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/负责人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或其授权委托代理人签字并加盖公章的书面索赔通知后,将不争辩、不挑剔、不可撤销地立即向受益人支付本保证担保的担保金额。</w:t>
      </w:r>
    </w:p>
    <w:p w14:paraId="6E7FFB08">
      <w:pPr>
        <w:numPr>
          <w:ilvl w:val="0"/>
          <w:numId w:val="6"/>
        </w:numPr>
        <w:snapToGrid w:val="0"/>
        <w:spacing w:line="360" w:lineRule="auto"/>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受益人的索赔通知应当说明索赔理由,并必须在本保证担保的保证期间内送达我方。</w:t>
      </w:r>
    </w:p>
    <w:p w14:paraId="20BE2F96">
      <w:pPr>
        <w:numPr>
          <w:ilvl w:val="0"/>
          <w:numId w:val="6"/>
        </w:numPr>
        <w:snapToGrid w:val="0"/>
        <w:spacing w:line="360" w:lineRule="auto"/>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本保证担保项下的权利不得转让。</w:t>
      </w:r>
    </w:p>
    <w:p w14:paraId="210768F4">
      <w:pPr>
        <w:numPr>
          <w:ilvl w:val="0"/>
          <w:numId w:val="6"/>
        </w:numPr>
        <w:snapToGrid w:val="0"/>
        <w:spacing w:line="360" w:lineRule="auto"/>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本保证担保的保证期间届满,或我方已向受益人支付本保证担保的担保金额,我方的保证责任免除。</w:t>
      </w:r>
    </w:p>
    <w:p w14:paraId="79ACCCEA">
      <w:pPr>
        <w:numPr>
          <w:ilvl w:val="0"/>
          <w:numId w:val="6"/>
        </w:numPr>
        <w:snapToGrid w:val="0"/>
        <w:spacing w:line="360" w:lineRule="auto"/>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本保证担保适用中华人民共和国法律。</w:t>
      </w:r>
    </w:p>
    <w:p w14:paraId="0D7B30B3">
      <w:pPr>
        <w:numPr>
          <w:ilvl w:val="0"/>
          <w:numId w:val="6"/>
        </w:numPr>
        <w:snapToGrid w:val="0"/>
        <w:spacing w:line="360" w:lineRule="auto"/>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本保证担保以中文文本为准,涂改无效。</w:t>
      </w:r>
    </w:p>
    <w:p w14:paraId="01F46650">
      <w:pPr>
        <w:snapToGrid w:val="0"/>
        <w:spacing w:line="360" w:lineRule="auto"/>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p>
    <w:p w14:paraId="11A62EAE">
      <w:pPr>
        <w:snapToGrid w:val="0"/>
        <w:spacing w:line="360" w:lineRule="auto"/>
        <w:rPr>
          <w:rFonts w:hint="eastAsia" w:asciiTheme="minorEastAsia" w:hAnsiTheme="minorEastAsia" w:eastAsiaTheme="minorEastAsia" w:cstheme="minorEastAsia"/>
          <w:color w:val="000000" w:themeColor="text1"/>
          <w:sz w:val="24"/>
          <w:highlight w:val="none"/>
          <w:u w:val="singl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保证人(盖章):</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 xml:space="preserve">     </w:t>
      </w:r>
    </w:p>
    <w:p w14:paraId="0B7FEF5B">
      <w:pPr>
        <w:snapToGrid w:val="0"/>
        <w:spacing w:line="360" w:lineRule="auto"/>
        <w:rPr>
          <w:rFonts w:hint="eastAsia" w:asciiTheme="minorEastAsia" w:hAnsiTheme="minorEastAsia" w:eastAsiaTheme="minorEastAsia" w:cstheme="minorEastAsia"/>
          <w:color w:val="000000" w:themeColor="text1"/>
          <w:sz w:val="24"/>
          <w:u w:val="singl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法定代表人</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/负责人</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或其授权委托代理</w:t>
      </w:r>
      <w:r>
        <w:rPr>
          <w:rFonts w:hint="eastAsia" w:asciiTheme="minorEastAsia" w:hAnsiTheme="minorEastAsia" w:eastAsiaTheme="minorEastAsia" w:cstheme="minorEastAsia"/>
          <w:color w:val="000000" w:themeColor="text1"/>
          <w:sz w:val="24"/>
          <w14:textFill>
            <w14:solidFill>
              <w14:schemeClr w14:val="tx1"/>
            </w14:solidFill>
          </w14:textFill>
        </w:rPr>
        <w:t xml:space="preserve">人(签字或盖章）： </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p>
    <w:p w14:paraId="7F922DA4">
      <w:pPr>
        <w:snapToGrid w:val="0"/>
        <w:spacing w:line="360" w:lineRule="auto"/>
        <w:rPr>
          <w:rFonts w:hint="eastAsia" w:asciiTheme="minorEastAsia" w:hAnsiTheme="minorEastAsia" w:eastAsiaTheme="minorEastAsia" w:cstheme="minorEastAsia"/>
          <w:color w:val="000000" w:themeColor="text1"/>
          <w:sz w:val="24"/>
          <w:u w:val="singl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单位地址:</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p>
    <w:p w14:paraId="72C3F8DE">
      <w:pPr>
        <w:snapToGrid w:val="0"/>
        <w:spacing w:line="360" w:lineRule="auto"/>
        <w:rPr>
          <w:rFonts w:asciiTheme="minorEastAsia" w:hAnsiTheme="minorEastAsia" w:eastAsiaTheme="minorEastAsia" w:cstheme="minorEastAsia"/>
          <w:color w:val="000000" w:themeColor="text1"/>
          <w:sz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电话:</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p>
    <w:p w14:paraId="1C0F41DC">
      <w:pPr>
        <w:pStyle w:val="18"/>
        <w:snapToGrid w:val="0"/>
        <w:spacing w:before="0" w:beforeAutospacing="0" w:after="0" w:afterAutospacing="0" w:line="360" w:lineRule="auto"/>
        <w:jc w:val="both"/>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日期:</w:t>
      </w:r>
      <w:r>
        <w:rPr>
          <w:rFonts w:hint="eastAsia" w:asciiTheme="minorEastAsia" w:hAnsiTheme="minorEastAsia" w:eastAsiaTheme="minorEastAsia" w:cstheme="minorEastAsia"/>
          <w:color w:val="000000" w:themeColor="text1"/>
          <w:u w:val="single"/>
          <w14:textFill>
            <w14:solidFill>
              <w14:schemeClr w14:val="tx1"/>
            </w14:solidFill>
          </w14:textFill>
        </w:rPr>
        <w:t xml:space="preserve">     年    月    日</w:t>
      </w:r>
      <w:bookmarkStart w:id="5" w:name="_Toc16186"/>
      <w:bookmarkStart w:id="6" w:name="_Toc532473491"/>
      <w:bookmarkStart w:id="7" w:name="_Toc515647799"/>
      <w:bookmarkStart w:id="8" w:name="_Toc21748"/>
      <w:r>
        <w:rPr>
          <w:rFonts w:hint="eastAsia" w:asciiTheme="minorEastAsia" w:hAnsiTheme="minorEastAsia" w:eastAsiaTheme="minorEastAsia" w:cstheme="minorEastAsia"/>
          <w:color w:val="000000" w:themeColor="text1"/>
          <w14:textFill>
            <w14:solidFill>
              <w14:schemeClr w14:val="tx1"/>
            </w14:solidFill>
          </w14:textFill>
        </w:rPr>
        <w:br w:type="page"/>
      </w:r>
      <w:bookmarkEnd w:id="5"/>
      <w:bookmarkEnd w:id="6"/>
      <w:bookmarkEnd w:id="7"/>
      <w:bookmarkEnd w:id="8"/>
      <w:bookmarkStart w:id="9" w:name="_Toc10951"/>
      <w:bookmarkStart w:id="10" w:name="_Toc532473492"/>
      <w:bookmarkStart w:id="11" w:name="_Toc6548"/>
      <w:bookmarkStart w:id="12" w:name="_Toc515647800"/>
      <w:bookmarkStart w:id="13" w:name="_Toc19164"/>
      <w:r>
        <w:rPr>
          <w:rFonts w:hint="eastAsia" w:asciiTheme="minorEastAsia" w:hAnsiTheme="minorEastAsia" w:eastAsiaTheme="minorEastAsia" w:cstheme="minorEastAsia"/>
          <w:color w:val="000000" w:themeColor="text1"/>
          <w:sz w:val="28"/>
          <w:szCs w:val="28"/>
          <w14:textFill>
            <w14:solidFill>
              <w14:schemeClr w14:val="tx1"/>
            </w14:solidFill>
          </w14:textFill>
        </w:rPr>
        <w:t>附件2：履约担保函格式</w:t>
      </w:r>
      <w:bookmarkEnd w:id="9"/>
      <w:bookmarkEnd w:id="10"/>
      <w:bookmarkEnd w:id="11"/>
      <w:bookmarkEnd w:id="12"/>
      <w:bookmarkEnd w:id="13"/>
    </w:p>
    <w:p w14:paraId="29B0279C">
      <w:pPr>
        <w:snapToGrid w:val="0"/>
        <w:spacing w:line="360" w:lineRule="auto"/>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编号：</w:t>
      </w:r>
    </w:p>
    <w:p w14:paraId="0CD6AB3B">
      <w:pPr>
        <w:snapToGrid w:val="0"/>
        <w:spacing w:line="360" w:lineRule="auto"/>
        <w:rPr>
          <w:rFonts w:asciiTheme="minorEastAsia" w:hAnsiTheme="minorEastAsia" w:eastAsiaTheme="minorEastAsia" w:cstheme="minorEastAsia"/>
          <w:color w:val="000000" w:themeColor="text1"/>
          <w:sz w:val="24"/>
          <w14:textFill>
            <w14:solidFill>
              <w14:schemeClr w14:val="tx1"/>
            </w14:solidFill>
          </w14:textFill>
        </w:rPr>
      </w:pPr>
    </w:p>
    <w:p w14:paraId="4DDF99C0">
      <w:pPr>
        <w:snapToGrid w:val="0"/>
        <w:spacing w:line="360" w:lineRule="auto"/>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（采购人名称）：</w:t>
      </w:r>
    </w:p>
    <w:p w14:paraId="762604DB">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鉴于你方与</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（以下简称供应商）于</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年</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月</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日签定编号为   的《</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政府采购合同》（以下简称主合同），且依据该合同的约定，供应商应在</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年</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月</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日前向你方交纳履约保证金，且可以履约担保函的形式交纳履约保证金。应供应商的申请，我方以保证的方式向你方提供如下履约保证金担保：</w:t>
      </w:r>
    </w:p>
    <w:p w14:paraId="629A93D7">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一、保证责任的情形及保证金额</w:t>
      </w:r>
    </w:p>
    <w:p w14:paraId="0DAAF10F">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（一）在供应商出现下列情形之一时，我方承担保证责任：</w:t>
      </w:r>
    </w:p>
    <w:p w14:paraId="43DBFAB2">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1．将中标项目转让给他人，或者在投标文件中未说明，且未经采购招标机构人同意，将中标项目分包给他人的；</w:t>
      </w:r>
    </w:p>
    <w:p w14:paraId="4C03CA97">
      <w:pPr>
        <w:snapToGrid w:val="0"/>
        <w:spacing w:line="360" w:lineRule="auto"/>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2．主合同约定的应当缴纳履约保证金的情形: </w:t>
      </w:r>
    </w:p>
    <w:p w14:paraId="599AC513">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（1）未按主合同约定的质量、数量和期限供应货物/提供服务/完成工程的；</w:t>
      </w:r>
    </w:p>
    <w:p w14:paraId="63DCA409">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w:t>
      </w:r>
    </w:p>
    <w:p w14:paraId="377C9FA4">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（二）我方的保证范围是主合同约定的合同价款总额的</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%数额为</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元（大写</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），币种为</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。（即主合同履约保证金金额）</w:t>
      </w:r>
    </w:p>
    <w:p w14:paraId="3B66F034">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二、保证的方式及保证期间</w:t>
      </w:r>
    </w:p>
    <w:p w14:paraId="0E6E170F">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我方保证的方式为：连带责任保证。</w:t>
      </w:r>
    </w:p>
    <w:p w14:paraId="300D7014">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我方保证的期间为：自本合同生效之日起至供应商按照主合同约定的供货/完工期限届满后</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日内。</w:t>
      </w:r>
    </w:p>
    <w:p w14:paraId="19B71A93">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如果供应商未按主合同约定向贵方供应货物/提供服务/完成工程的，由我方在保证金额内向你方支付上述款项。</w:t>
      </w:r>
    </w:p>
    <w:p w14:paraId="14EF9FDC">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三、承担保证责任的程序</w:t>
      </w:r>
    </w:p>
    <w:p w14:paraId="649C8633">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1．你方要求我方承担保证责任的，应在本保函保证期间内向我方发出书面索赔通知。索赔通知应写明要求索赔的金额，支付款项应到达的帐号。并附有证明供应商违约事实的证明材料。</w:t>
      </w:r>
    </w:p>
    <w:p w14:paraId="0C0147F3">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如果你方与供应商因货物质量问题产生争议，你方还需同时提供</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部门出具的质量检测报告，或经诉讼（仲裁）程序裁决后的裁决书、调解书，本保证人即按照检测结果或裁决书、调解书决定是否承担保证责任。</w:t>
      </w:r>
    </w:p>
    <w:p w14:paraId="77FFF799">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 我方收到你方的书面索赔通知及相应证明材料，在</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工作日内进行核定后按照本保函的承诺承担保证责任。</w:t>
      </w:r>
    </w:p>
    <w:p w14:paraId="0DF135EF">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四、保证责任的终止</w:t>
      </w:r>
    </w:p>
    <w:p w14:paraId="76560DBB">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932D33B">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2．我方按照本保函向你方履行了保证责任后，自我方向你方支付款项（支付款项从我方账户划出）之日起，保证责任即终止。</w:t>
      </w:r>
    </w:p>
    <w:p w14:paraId="23EF4843">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3．按照法律法规的规定或出现应终止我方保证责任的其它情形的，我方在本保函项下的保证责任亦终止。</w:t>
      </w:r>
    </w:p>
    <w:p w14:paraId="5EFE6691">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606E5C7B">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五、免责条款</w:t>
      </w:r>
    </w:p>
    <w:p w14:paraId="1328A7A2">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1．因你方违反主合同约定致使供应商不能履行义务的，我方不承担保证责任。</w:t>
      </w:r>
    </w:p>
    <w:p w14:paraId="6B08E961">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2．依照法律法规的规定或你方与供应商的另行约定，全部或者部分免除供应商应缴纳的保证金义务的，我方亦免除相应的保证责任。</w:t>
      </w:r>
    </w:p>
    <w:p w14:paraId="6135C324">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3．因不可抗力造成供应商不能履行供货义务的，我方不承担保证责任。</w:t>
      </w:r>
    </w:p>
    <w:p w14:paraId="59388615">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六、争议的解决</w:t>
      </w:r>
    </w:p>
    <w:p w14:paraId="7C6BE66B">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因本保函发生的纠纷，由你我双方协商解决，协商不成的，通过诉讼程序解决，诉讼管辖地法院为</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法院。</w:t>
      </w:r>
    </w:p>
    <w:p w14:paraId="169A45DB">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七、保函的生效</w:t>
      </w:r>
    </w:p>
    <w:p w14:paraId="0AC9CD50">
      <w:pPr>
        <w:snapToGrid w:val="0"/>
        <w:spacing w:line="360" w:lineRule="auto"/>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本保函自我方加盖公章之日起生效。                     </w:t>
      </w:r>
    </w:p>
    <w:p w14:paraId="4E7DFC33">
      <w:pPr>
        <w:pStyle w:val="10"/>
        <w:spacing w:line="360" w:lineRule="auto"/>
        <w:ind w:left="1080" w:leftChars="257" w:hanging="540"/>
        <w:rPr>
          <w:rFonts w:asciiTheme="minorEastAsia" w:hAnsiTheme="minorEastAsia" w:eastAsiaTheme="minorEastAsia" w:cstheme="minorEastAsia"/>
          <w:color w:val="000000" w:themeColor="text1"/>
          <w:sz w:val="24"/>
          <w:szCs w:val="24"/>
          <w14:textFill>
            <w14:solidFill>
              <w14:schemeClr w14:val="tx1"/>
            </w14:solidFill>
          </w14:textFill>
        </w:rPr>
      </w:pPr>
    </w:p>
    <w:p w14:paraId="3340AD02">
      <w:pPr>
        <w:pStyle w:val="10"/>
        <w:spacing w:line="360" w:lineRule="auto"/>
        <w:ind w:left="1080" w:leftChars="257" w:hanging="54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出具保函单位名称（盖公章）：</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14:paraId="65D31A35">
      <w:pPr>
        <w:pStyle w:val="10"/>
        <w:spacing w:line="360" w:lineRule="auto"/>
        <w:ind w:left="1080" w:leftChars="257" w:hanging="540"/>
        <w:rPr>
          <w:rFonts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签字人姓名和职务：</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14:paraId="08ED28AF">
      <w:pPr>
        <w:pStyle w:val="10"/>
        <w:spacing w:line="360" w:lineRule="auto"/>
        <w:ind w:left="1080" w:leftChars="257" w:hanging="54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签字人签名：</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14:paraId="28DBC37E">
      <w:pPr>
        <w:pStyle w:val="10"/>
        <w:spacing w:line="360" w:lineRule="auto"/>
        <w:ind w:left="1080" w:leftChars="257" w:hanging="540"/>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时间：</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年      月      日                    </w:t>
      </w:r>
    </w:p>
    <w:p w14:paraId="44489152">
      <w:pP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br w:type="page"/>
      </w:r>
    </w:p>
    <w:p w14:paraId="3D97ABFF">
      <w:pPr>
        <w:pStyle w:val="3"/>
        <w:rPr>
          <w:color w:val="000000" w:themeColor="text1"/>
          <w14:textFill>
            <w14:solidFill>
              <w14:schemeClr w14:val="tx1"/>
            </w14:solidFill>
          </w14:textFill>
        </w:rPr>
      </w:pPr>
      <w:bookmarkStart w:id="14" w:name="_Toc19123"/>
      <w:r>
        <w:rPr>
          <w:rFonts w:hint="eastAsia"/>
          <w:color w:val="000000" w:themeColor="text1"/>
          <w14:textFill>
            <w14:solidFill>
              <w14:schemeClr w14:val="tx1"/>
            </w14:solidFill>
          </w14:textFill>
        </w:rPr>
        <w:t>第三部分  磋商要求及说明</w:t>
      </w:r>
      <w:bookmarkEnd w:id="14"/>
      <w:bookmarkStart w:id="15" w:name="_Toc13755620"/>
    </w:p>
    <w:bookmarkEnd w:id="15"/>
    <w:p w14:paraId="0279BBBA">
      <w:pPr>
        <w:snapToGrid w:val="0"/>
        <w:spacing w:line="360" w:lineRule="auto"/>
        <w:ind w:firstLine="480" w:firstLineChars="200"/>
        <w:rPr>
          <w:rFonts w:hint="eastAsia" w:asciiTheme="minorEastAsia" w:hAnsiTheme="minorEastAsia" w:eastAsiaTheme="minorEastAsia" w:cstheme="minorEastAsia"/>
          <w:color w:val="000000" w:themeColor="text1"/>
          <w:sz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采购需求：对富平县精神病院医院信息化系统进行升级（HIS系统、电子病历系统EMR、LIS（检验）系统、PACS系统、服务器、虚拟化软件等）</w:t>
      </w:r>
      <w:r>
        <w:rPr>
          <w:rFonts w:hint="eastAsia" w:asciiTheme="minorEastAsia" w:hAnsiTheme="minorEastAsia" w:eastAsiaTheme="minorEastAsia" w:cstheme="minorEastAsia"/>
          <w:color w:val="000000" w:themeColor="text1"/>
          <w:sz w:val="24"/>
          <w:lang w:val="zh-CN" w:eastAsia="zh-CN"/>
          <w14:textFill>
            <w14:solidFill>
              <w14:schemeClr w14:val="tx1"/>
            </w14:solidFill>
          </w14:textFill>
        </w:rPr>
        <w:t>，1项， 采购预算：</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800000.00</w:t>
      </w:r>
      <w:r>
        <w:rPr>
          <w:rFonts w:hint="eastAsia" w:asciiTheme="minorEastAsia" w:hAnsiTheme="minorEastAsia" w:eastAsiaTheme="minorEastAsia" w:cstheme="minorEastAsia"/>
          <w:color w:val="000000" w:themeColor="text1"/>
          <w:sz w:val="24"/>
          <w:lang w:val="zh-CN" w:eastAsia="zh-CN"/>
          <w14:textFill>
            <w14:solidFill>
              <w14:schemeClr w14:val="tx1"/>
            </w14:solidFill>
          </w14:textFill>
        </w:rPr>
        <w:t>元。</w:t>
      </w:r>
    </w:p>
    <w:p w14:paraId="05F259C1">
      <w:pPr>
        <w:ind w:left="0" w:leftChars="0" w:firstLine="0" w:firstLineChars="0"/>
        <w:jc w:val="both"/>
        <w:rPr>
          <w:rFonts w:hint="default"/>
          <w:b/>
          <w:bCs/>
          <w:sz w:val="32"/>
          <w:szCs w:val="32"/>
          <w:lang w:val="en-US" w:eastAsia="zh-CN"/>
        </w:rPr>
      </w:pPr>
      <w:r>
        <w:rPr>
          <w:rFonts w:hint="eastAsia"/>
          <w:b/>
          <w:bCs/>
          <w:sz w:val="32"/>
          <w:szCs w:val="32"/>
          <w:lang w:val="en-US" w:eastAsia="zh-CN"/>
        </w:rPr>
        <w:t>一、软件平台</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160"/>
        <w:gridCol w:w="1115"/>
        <w:gridCol w:w="4599"/>
        <w:gridCol w:w="891"/>
        <w:gridCol w:w="743"/>
      </w:tblGrid>
      <w:tr w14:paraId="7F8D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shd w:val="clear" w:color="auto" w:fill="auto"/>
            <w:vAlign w:val="center"/>
          </w:tcPr>
          <w:p w14:paraId="02CEDB61">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序号</w:t>
            </w:r>
          </w:p>
        </w:tc>
        <w:tc>
          <w:tcPr>
            <w:tcW w:w="624" w:type="pct"/>
            <w:shd w:val="clear" w:color="auto" w:fill="auto"/>
            <w:vAlign w:val="center"/>
          </w:tcPr>
          <w:p w14:paraId="6DD3BA3C">
            <w:pPr>
              <w:widowControl/>
              <w:jc w:val="center"/>
              <w:textAlignment w:val="center"/>
              <w:rPr>
                <w:rFonts w:hint="eastAsia" w:asciiTheme="minorEastAsia" w:hAnsiTheme="minorEastAsia" w:eastAsiaTheme="minorEastAsia" w:cstheme="minorEastAsia"/>
                <w:b/>
                <w:bCs/>
                <w:color w:val="000000"/>
                <w:sz w:val="20"/>
                <w:szCs w:val="20"/>
                <w:lang w:eastAsia="zh-CN"/>
              </w:rPr>
            </w:pPr>
            <w:r>
              <w:rPr>
                <w:rFonts w:hint="eastAsia" w:asciiTheme="minorEastAsia" w:hAnsiTheme="minorEastAsia" w:eastAsiaTheme="minorEastAsia" w:cstheme="minorEastAsia"/>
                <w:b/>
                <w:bCs/>
                <w:color w:val="000000"/>
                <w:kern w:val="0"/>
                <w:sz w:val="20"/>
                <w:szCs w:val="20"/>
                <w:lang w:bidi="ar"/>
              </w:rPr>
              <w:t>系统</w:t>
            </w:r>
            <w:r>
              <w:rPr>
                <w:rFonts w:hint="eastAsia" w:asciiTheme="minorEastAsia" w:hAnsiTheme="minorEastAsia" w:eastAsiaTheme="minorEastAsia" w:cstheme="minorEastAsia"/>
                <w:b/>
                <w:bCs/>
                <w:color w:val="000000"/>
                <w:kern w:val="0"/>
                <w:sz w:val="20"/>
                <w:szCs w:val="20"/>
                <w:lang w:val="en-US" w:eastAsia="zh-CN" w:bidi="ar"/>
              </w:rPr>
              <w:t>类别</w:t>
            </w:r>
          </w:p>
        </w:tc>
        <w:tc>
          <w:tcPr>
            <w:tcW w:w="600" w:type="pct"/>
            <w:shd w:val="clear" w:color="auto" w:fill="auto"/>
            <w:vAlign w:val="center"/>
          </w:tcPr>
          <w:p w14:paraId="46AB0F45">
            <w:pPr>
              <w:widowControl/>
              <w:jc w:val="center"/>
              <w:textAlignment w:val="center"/>
              <w:rPr>
                <w:rFonts w:hint="eastAsia" w:asciiTheme="minorEastAsia" w:hAnsiTheme="minorEastAsia" w:eastAsiaTheme="minorEastAsia" w:cstheme="minorEastAsia"/>
                <w:b/>
                <w:bCs/>
                <w:color w:val="000000"/>
                <w:sz w:val="20"/>
                <w:szCs w:val="20"/>
                <w:lang w:val="en-US" w:eastAsia="zh-CN"/>
              </w:rPr>
            </w:pPr>
            <w:r>
              <w:rPr>
                <w:rFonts w:hint="eastAsia" w:asciiTheme="minorEastAsia" w:hAnsiTheme="minorEastAsia" w:eastAsiaTheme="minorEastAsia" w:cstheme="minorEastAsia"/>
                <w:b/>
                <w:bCs/>
                <w:color w:val="000000"/>
                <w:kern w:val="0"/>
                <w:sz w:val="20"/>
                <w:szCs w:val="20"/>
                <w:lang w:bidi="ar"/>
              </w:rPr>
              <w:t>系统</w:t>
            </w:r>
            <w:r>
              <w:rPr>
                <w:rFonts w:hint="eastAsia" w:asciiTheme="minorEastAsia" w:hAnsiTheme="minorEastAsia" w:eastAsiaTheme="minorEastAsia" w:cstheme="minorEastAsia"/>
                <w:b/>
                <w:bCs/>
                <w:color w:val="000000"/>
                <w:kern w:val="0"/>
                <w:sz w:val="20"/>
                <w:szCs w:val="20"/>
                <w:lang w:val="en-US" w:eastAsia="zh-CN" w:bidi="ar"/>
              </w:rPr>
              <w:t>名称</w:t>
            </w:r>
          </w:p>
        </w:tc>
        <w:tc>
          <w:tcPr>
            <w:tcW w:w="2477" w:type="pct"/>
            <w:shd w:val="clear" w:color="auto" w:fill="auto"/>
            <w:vAlign w:val="center"/>
          </w:tcPr>
          <w:p w14:paraId="4C656B8C">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系统参数</w:t>
            </w:r>
          </w:p>
        </w:tc>
        <w:tc>
          <w:tcPr>
            <w:tcW w:w="479" w:type="pct"/>
            <w:shd w:val="clear" w:color="auto" w:fill="auto"/>
            <w:vAlign w:val="center"/>
          </w:tcPr>
          <w:p w14:paraId="61A4BFFD">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数量</w:t>
            </w:r>
          </w:p>
        </w:tc>
        <w:tc>
          <w:tcPr>
            <w:tcW w:w="400" w:type="pct"/>
            <w:shd w:val="clear" w:color="auto" w:fill="auto"/>
            <w:vAlign w:val="center"/>
          </w:tcPr>
          <w:p w14:paraId="27E2F0F8">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单位</w:t>
            </w:r>
          </w:p>
        </w:tc>
      </w:tr>
      <w:tr w14:paraId="0D37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69BC0FB6">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val="0"/>
                <w:bCs w:val="0"/>
                <w:color w:val="000000"/>
                <w:kern w:val="0"/>
                <w:sz w:val="20"/>
                <w:szCs w:val="20"/>
                <w:lang w:bidi="ar"/>
              </w:rPr>
              <w:t>1</w:t>
            </w:r>
          </w:p>
        </w:tc>
        <w:tc>
          <w:tcPr>
            <w:tcW w:w="624" w:type="pct"/>
            <w:vMerge w:val="restart"/>
            <w:shd w:val="clear" w:color="auto" w:fill="auto"/>
            <w:vAlign w:val="center"/>
          </w:tcPr>
          <w:p w14:paraId="7DDA82CC">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HIS系统</w:t>
            </w:r>
          </w:p>
        </w:tc>
        <w:tc>
          <w:tcPr>
            <w:tcW w:w="600" w:type="pct"/>
            <w:vMerge w:val="restart"/>
            <w:shd w:val="clear" w:color="auto" w:fill="auto"/>
            <w:vAlign w:val="center"/>
          </w:tcPr>
          <w:p w14:paraId="4B8391D1">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HIS基础平台</w:t>
            </w:r>
          </w:p>
        </w:tc>
        <w:tc>
          <w:tcPr>
            <w:tcW w:w="2477" w:type="pct"/>
            <w:shd w:val="clear" w:color="auto" w:fill="auto"/>
            <w:vAlign w:val="center"/>
          </w:tcPr>
          <w:p w14:paraId="24A518A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组织管理：包括科室员工管理、机构管理；支持机构的新增、编辑、删除，科室的新增、编辑、删除，员工资料的新增、编辑，支持多机构多院区集团化管理，可新增总院、分院等医疗机构名称、医疗机构代码等信息。</w:t>
            </w:r>
          </w:p>
        </w:tc>
        <w:tc>
          <w:tcPr>
            <w:tcW w:w="479" w:type="pct"/>
            <w:vMerge w:val="restart"/>
            <w:shd w:val="clear" w:color="auto" w:fill="auto"/>
            <w:vAlign w:val="center"/>
          </w:tcPr>
          <w:p w14:paraId="6CC85B18">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43710516">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14BE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C07D9B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A38B62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F297F6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590552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2．模块管理：支持对系统之中的所有模块进行安装、卸载、配置等，支持对模块基于角色和具体账号的访问授权。</w:t>
            </w:r>
          </w:p>
        </w:tc>
        <w:tc>
          <w:tcPr>
            <w:tcW w:w="479" w:type="pct"/>
            <w:vMerge w:val="continue"/>
            <w:shd w:val="clear" w:color="auto" w:fill="auto"/>
            <w:vAlign w:val="center"/>
          </w:tcPr>
          <w:p w14:paraId="55E8E21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697C672">
            <w:pPr>
              <w:jc w:val="center"/>
              <w:rPr>
                <w:rFonts w:hint="eastAsia" w:asciiTheme="minorEastAsia" w:hAnsiTheme="minorEastAsia" w:eastAsiaTheme="minorEastAsia" w:cstheme="minorEastAsia"/>
                <w:color w:val="000000"/>
                <w:sz w:val="20"/>
                <w:szCs w:val="20"/>
              </w:rPr>
            </w:pPr>
          </w:p>
        </w:tc>
      </w:tr>
      <w:tr w14:paraId="0E4A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665F47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AF5251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161334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3AFF89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3．统一单点登录：系统支持在任意办公室的任意一台部署了医院信息系统的电脑上登录到系统；系统根据登录人的权限，动态组织系统的菜单。</w:t>
            </w:r>
          </w:p>
        </w:tc>
        <w:tc>
          <w:tcPr>
            <w:tcW w:w="479" w:type="pct"/>
            <w:vMerge w:val="continue"/>
            <w:shd w:val="clear" w:color="auto" w:fill="auto"/>
            <w:vAlign w:val="center"/>
          </w:tcPr>
          <w:p w14:paraId="3D16AB3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162F165">
            <w:pPr>
              <w:jc w:val="center"/>
              <w:rPr>
                <w:rFonts w:hint="eastAsia" w:asciiTheme="minorEastAsia" w:hAnsiTheme="minorEastAsia" w:eastAsiaTheme="minorEastAsia" w:cstheme="minorEastAsia"/>
                <w:color w:val="000000"/>
                <w:sz w:val="20"/>
                <w:szCs w:val="20"/>
              </w:rPr>
            </w:pPr>
          </w:p>
        </w:tc>
      </w:tr>
      <w:tr w14:paraId="45F0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5F11B3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28DBB6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6D54C3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4F524B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4．临床字典：医嘱字典、检验字典、检查字典的新增，编辑、删除等维护；护理计划字典、护理计划模板、护理记录字典、护理记录模板、临床路径字典、临床路径表单的新增，编辑，删除等维护管理。</w:t>
            </w:r>
          </w:p>
        </w:tc>
        <w:tc>
          <w:tcPr>
            <w:tcW w:w="479" w:type="pct"/>
            <w:vMerge w:val="continue"/>
            <w:shd w:val="clear" w:color="auto" w:fill="auto"/>
            <w:vAlign w:val="center"/>
          </w:tcPr>
          <w:p w14:paraId="4770AC2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5053E51">
            <w:pPr>
              <w:jc w:val="center"/>
              <w:rPr>
                <w:rFonts w:hint="eastAsia" w:asciiTheme="minorEastAsia" w:hAnsiTheme="minorEastAsia" w:eastAsiaTheme="minorEastAsia" w:cstheme="minorEastAsia"/>
                <w:color w:val="000000"/>
                <w:sz w:val="20"/>
                <w:szCs w:val="20"/>
              </w:rPr>
            </w:pPr>
          </w:p>
        </w:tc>
      </w:tr>
      <w:tr w14:paraId="70B8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CF4800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D152B2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09A965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CA54CA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5．床位信息：病区列表、病区床位管理(床号、序号、科室、病室 、床位费、编制、性质、说明等)，新增、编辑、删除床位设置。</w:t>
            </w:r>
          </w:p>
        </w:tc>
        <w:tc>
          <w:tcPr>
            <w:tcW w:w="479" w:type="pct"/>
            <w:vMerge w:val="continue"/>
            <w:shd w:val="clear" w:color="auto" w:fill="auto"/>
            <w:vAlign w:val="center"/>
          </w:tcPr>
          <w:p w14:paraId="7F4A1B3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A90517F">
            <w:pPr>
              <w:jc w:val="center"/>
              <w:rPr>
                <w:rFonts w:hint="eastAsia" w:asciiTheme="minorEastAsia" w:hAnsiTheme="minorEastAsia" w:eastAsiaTheme="minorEastAsia" w:cstheme="minorEastAsia"/>
                <w:color w:val="000000"/>
                <w:sz w:val="20"/>
                <w:szCs w:val="20"/>
              </w:rPr>
            </w:pPr>
          </w:p>
        </w:tc>
      </w:tr>
      <w:tr w14:paraId="211F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7107BF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19BC4F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1FBEA1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A2985E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6．疾病诊断：中医疾病编码、中医病征编码、ICD-10疾病编码、肿瘤形态学编码、ICD-9-CM3手术编码、损伤中毒的外部原因等。新增、编辑、禁用等。</w:t>
            </w:r>
          </w:p>
        </w:tc>
        <w:tc>
          <w:tcPr>
            <w:tcW w:w="479" w:type="pct"/>
            <w:vMerge w:val="continue"/>
            <w:shd w:val="clear" w:color="auto" w:fill="auto"/>
            <w:vAlign w:val="center"/>
          </w:tcPr>
          <w:p w14:paraId="4EC7C11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48B4122">
            <w:pPr>
              <w:jc w:val="center"/>
              <w:rPr>
                <w:rFonts w:hint="eastAsia" w:asciiTheme="minorEastAsia" w:hAnsiTheme="minorEastAsia" w:eastAsiaTheme="minorEastAsia" w:cstheme="minorEastAsia"/>
                <w:color w:val="000000"/>
                <w:sz w:val="20"/>
                <w:szCs w:val="20"/>
              </w:rPr>
            </w:pPr>
          </w:p>
        </w:tc>
      </w:tr>
      <w:tr w14:paraId="3EB2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6D1192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E3CD83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2E2083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AEB0F9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7．收费项目分类管理：收费项目分类管理、新增、编辑、删除项目等。</w:t>
            </w:r>
          </w:p>
        </w:tc>
        <w:tc>
          <w:tcPr>
            <w:tcW w:w="479" w:type="pct"/>
            <w:vMerge w:val="continue"/>
            <w:shd w:val="clear" w:color="auto" w:fill="auto"/>
            <w:vAlign w:val="center"/>
          </w:tcPr>
          <w:p w14:paraId="67C4208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3324277">
            <w:pPr>
              <w:jc w:val="center"/>
              <w:rPr>
                <w:rFonts w:hint="eastAsia" w:asciiTheme="minorEastAsia" w:hAnsiTheme="minorEastAsia" w:eastAsiaTheme="minorEastAsia" w:cstheme="minorEastAsia"/>
                <w:color w:val="000000"/>
                <w:sz w:val="20"/>
                <w:szCs w:val="20"/>
              </w:rPr>
            </w:pPr>
          </w:p>
        </w:tc>
      </w:tr>
      <w:tr w14:paraId="614B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01B915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37B4CA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B021D6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3F380C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8．收费项目：收费项目分类管理、收费项目设置（包括分类、编号、类型、名称、执行科室、发票分类、收费组套设置、价格等），新增、编辑、删除收费项目。</w:t>
            </w:r>
          </w:p>
        </w:tc>
        <w:tc>
          <w:tcPr>
            <w:tcW w:w="479" w:type="pct"/>
            <w:vMerge w:val="continue"/>
            <w:shd w:val="clear" w:color="auto" w:fill="auto"/>
            <w:vAlign w:val="center"/>
          </w:tcPr>
          <w:p w14:paraId="1F3C768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72CFC2B">
            <w:pPr>
              <w:jc w:val="center"/>
              <w:rPr>
                <w:rFonts w:hint="eastAsia" w:asciiTheme="minorEastAsia" w:hAnsiTheme="minorEastAsia" w:eastAsiaTheme="minorEastAsia" w:cstheme="minorEastAsia"/>
                <w:color w:val="000000"/>
                <w:sz w:val="20"/>
                <w:szCs w:val="20"/>
              </w:rPr>
            </w:pPr>
          </w:p>
        </w:tc>
      </w:tr>
      <w:tr w14:paraId="7920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54BC04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2FEA72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D24249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F377CA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9．支付方式：支付方式设置（包括编号、支付方式名称、类型、序号等）、新增、编辑支付方式。</w:t>
            </w:r>
          </w:p>
        </w:tc>
        <w:tc>
          <w:tcPr>
            <w:tcW w:w="479" w:type="pct"/>
            <w:vMerge w:val="continue"/>
            <w:shd w:val="clear" w:color="auto" w:fill="auto"/>
            <w:vAlign w:val="center"/>
          </w:tcPr>
          <w:p w14:paraId="20FDCDE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AB571E3">
            <w:pPr>
              <w:jc w:val="center"/>
              <w:rPr>
                <w:rFonts w:hint="eastAsia" w:asciiTheme="minorEastAsia" w:hAnsiTheme="minorEastAsia" w:eastAsiaTheme="minorEastAsia" w:cstheme="minorEastAsia"/>
                <w:color w:val="000000"/>
                <w:sz w:val="20"/>
                <w:szCs w:val="20"/>
              </w:rPr>
            </w:pPr>
          </w:p>
        </w:tc>
      </w:tr>
      <w:tr w14:paraId="1680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A33107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57585F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A768B1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61D38F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10．供应商管理：供应商分类、供应商设置（包括编码、类别、名称、类型、详细信息、辅助信息等）、新增、编辑、删除供应商。</w:t>
            </w:r>
          </w:p>
        </w:tc>
        <w:tc>
          <w:tcPr>
            <w:tcW w:w="479" w:type="pct"/>
            <w:vMerge w:val="continue"/>
            <w:shd w:val="clear" w:color="auto" w:fill="auto"/>
            <w:vAlign w:val="center"/>
          </w:tcPr>
          <w:p w14:paraId="6EB7DAF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727A057">
            <w:pPr>
              <w:jc w:val="center"/>
              <w:rPr>
                <w:rFonts w:hint="eastAsia" w:asciiTheme="minorEastAsia" w:hAnsiTheme="minorEastAsia" w:eastAsiaTheme="minorEastAsia" w:cstheme="minorEastAsia"/>
                <w:color w:val="000000"/>
                <w:sz w:val="20"/>
                <w:szCs w:val="20"/>
              </w:rPr>
            </w:pPr>
          </w:p>
        </w:tc>
      </w:tr>
      <w:tr w14:paraId="4993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CB68E0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0C884F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D3E425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CB64F2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11．药品目录管理：药品分类、药品品种设置（包括分类、编码、名称、药理毒性等）、新增、修改、删除品种，用法用量。药品规格设置（规格信息、价格信息），新增、修改、删除规格。</w:t>
            </w:r>
          </w:p>
        </w:tc>
        <w:tc>
          <w:tcPr>
            <w:tcW w:w="479" w:type="pct"/>
            <w:vMerge w:val="continue"/>
            <w:shd w:val="clear" w:color="auto" w:fill="auto"/>
            <w:vAlign w:val="center"/>
          </w:tcPr>
          <w:p w14:paraId="710F3C5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021373D">
            <w:pPr>
              <w:jc w:val="center"/>
              <w:rPr>
                <w:rFonts w:hint="eastAsia" w:asciiTheme="minorEastAsia" w:hAnsiTheme="minorEastAsia" w:eastAsiaTheme="minorEastAsia" w:cstheme="minorEastAsia"/>
                <w:color w:val="000000"/>
                <w:sz w:val="20"/>
                <w:szCs w:val="20"/>
              </w:rPr>
            </w:pPr>
          </w:p>
        </w:tc>
      </w:tr>
      <w:tr w14:paraId="68CF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DE83CF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4AB35A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D537F8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AA2FF1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12．材料物资管理：物资分类、材料品种设置（包括分类、编码、单位、名称、有效期等）、新增、编辑、删除品种，材料规格设置（规格设置、价格信息等）、新增、编辑、删除规格。</w:t>
            </w:r>
          </w:p>
        </w:tc>
        <w:tc>
          <w:tcPr>
            <w:tcW w:w="479" w:type="pct"/>
            <w:vMerge w:val="continue"/>
            <w:shd w:val="clear" w:color="auto" w:fill="auto"/>
            <w:vAlign w:val="center"/>
          </w:tcPr>
          <w:p w14:paraId="58D2FFC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BF48FD7">
            <w:pPr>
              <w:jc w:val="center"/>
              <w:rPr>
                <w:rFonts w:hint="eastAsia" w:asciiTheme="minorEastAsia" w:hAnsiTheme="minorEastAsia" w:eastAsiaTheme="minorEastAsia" w:cstheme="minorEastAsia"/>
                <w:color w:val="000000"/>
                <w:sz w:val="20"/>
                <w:szCs w:val="20"/>
              </w:rPr>
            </w:pPr>
          </w:p>
        </w:tc>
      </w:tr>
      <w:tr w14:paraId="2CBE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7741DC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9BF742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40AC28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50DF7B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13．诊疗频次管理：西医频次设置（包括编码、名称、频次、间隔周期等）、中医频次设置（包括编码、名称、频次、间隔周期等），新增、编辑频次 设置。</w:t>
            </w:r>
          </w:p>
        </w:tc>
        <w:tc>
          <w:tcPr>
            <w:tcW w:w="479" w:type="pct"/>
            <w:vMerge w:val="continue"/>
            <w:shd w:val="clear" w:color="auto" w:fill="auto"/>
            <w:vAlign w:val="center"/>
          </w:tcPr>
          <w:p w14:paraId="6BDDD8D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D28B1FC">
            <w:pPr>
              <w:jc w:val="center"/>
              <w:rPr>
                <w:rFonts w:hint="eastAsia" w:asciiTheme="minorEastAsia" w:hAnsiTheme="minorEastAsia" w:eastAsiaTheme="minorEastAsia" w:cstheme="minorEastAsia"/>
                <w:color w:val="000000"/>
                <w:sz w:val="20"/>
                <w:szCs w:val="20"/>
              </w:rPr>
            </w:pPr>
          </w:p>
        </w:tc>
      </w:tr>
      <w:tr w14:paraId="0781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F1E76D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F22659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283134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60365C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14．检查部位设置：检查项目检查部位分类、检查部位设置（包括编码、名称、分类、说明、检查方法、影像类型等），新增、编辑检查部位。</w:t>
            </w:r>
          </w:p>
        </w:tc>
        <w:tc>
          <w:tcPr>
            <w:tcW w:w="479" w:type="pct"/>
            <w:vMerge w:val="continue"/>
            <w:shd w:val="clear" w:color="auto" w:fill="auto"/>
            <w:vAlign w:val="center"/>
          </w:tcPr>
          <w:p w14:paraId="34AB93B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F491A39">
            <w:pPr>
              <w:jc w:val="center"/>
              <w:rPr>
                <w:rFonts w:hint="eastAsia" w:asciiTheme="minorEastAsia" w:hAnsiTheme="minorEastAsia" w:eastAsiaTheme="minorEastAsia" w:cstheme="minorEastAsia"/>
                <w:color w:val="000000"/>
                <w:sz w:val="20"/>
                <w:szCs w:val="20"/>
              </w:rPr>
            </w:pPr>
          </w:p>
        </w:tc>
      </w:tr>
      <w:tr w14:paraId="29B5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A0A166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6891E6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739BCC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309692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15．诊疗项目管理：诊疗项目分类管理、诊疗项目设置（包括基本信息、诊疗属性）、诊疗项目收费对照等。</w:t>
            </w:r>
          </w:p>
        </w:tc>
        <w:tc>
          <w:tcPr>
            <w:tcW w:w="479" w:type="pct"/>
            <w:vMerge w:val="continue"/>
            <w:shd w:val="clear" w:color="auto" w:fill="auto"/>
            <w:vAlign w:val="center"/>
          </w:tcPr>
          <w:p w14:paraId="2537E3D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B9D2047">
            <w:pPr>
              <w:jc w:val="center"/>
              <w:rPr>
                <w:rFonts w:hint="eastAsia" w:asciiTheme="minorEastAsia" w:hAnsiTheme="minorEastAsia" w:eastAsiaTheme="minorEastAsia" w:cstheme="minorEastAsia"/>
                <w:color w:val="000000"/>
                <w:sz w:val="20"/>
                <w:szCs w:val="20"/>
              </w:rPr>
            </w:pPr>
          </w:p>
        </w:tc>
      </w:tr>
      <w:tr w14:paraId="43E8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E210DF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52F24B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6315A2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2F9CCF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16．国家贯标对码管理：支持按照对码的数据类型进行选择，然后选择对照情况（已对照、未对照），列出相对应的数据列表；支持选择对应数据列表进行院内编码和国家贯标编码的对码操作。</w:t>
            </w:r>
          </w:p>
        </w:tc>
        <w:tc>
          <w:tcPr>
            <w:tcW w:w="479" w:type="pct"/>
            <w:vMerge w:val="continue"/>
            <w:shd w:val="clear" w:color="auto" w:fill="auto"/>
            <w:vAlign w:val="center"/>
          </w:tcPr>
          <w:p w14:paraId="2FD0BFF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B96CD22">
            <w:pPr>
              <w:jc w:val="center"/>
              <w:rPr>
                <w:rFonts w:hint="eastAsia" w:asciiTheme="minorEastAsia" w:hAnsiTheme="minorEastAsia" w:eastAsiaTheme="minorEastAsia" w:cstheme="minorEastAsia"/>
                <w:color w:val="000000"/>
                <w:sz w:val="20"/>
                <w:szCs w:val="20"/>
              </w:rPr>
            </w:pPr>
          </w:p>
        </w:tc>
      </w:tr>
      <w:tr w14:paraId="2464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84E188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9661B3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1A266C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D47410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17．角色成员管理：按院区、科室对应人员新增用户、删除用户、密码修改、用户角色应用权限管理等，满足各类医院灵活的管理及流程配置要求。</w:t>
            </w:r>
          </w:p>
        </w:tc>
        <w:tc>
          <w:tcPr>
            <w:tcW w:w="479" w:type="pct"/>
            <w:vMerge w:val="continue"/>
            <w:shd w:val="clear" w:color="auto" w:fill="auto"/>
            <w:vAlign w:val="center"/>
          </w:tcPr>
          <w:p w14:paraId="109D622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9D752D2">
            <w:pPr>
              <w:jc w:val="center"/>
              <w:rPr>
                <w:rFonts w:hint="eastAsia" w:asciiTheme="minorEastAsia" w:hAnsiTheme="minorEastAsia" w:eastAsiaTheme="minorEastAsia" w:cstheme="minorEastAsia"/>
                <w:color w:val="000000"/>
                <w:sz w:val="20"/>
                <w:szCs w:val="20"/>
              </w:rPr>
            </w:pPr>
          </w:p>
        </w:tc>
      </w:tr>
      <w:tr w14:paraId="08D7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153A04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013D64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38FD05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295EBC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18．角色权限管理：角色授权管理，新增角色、新增角色用户、编辑角色、针对角色进行程序授权管理、报表授权管理等。</w:t>
            </w:r>
          </w:p>
        </w:tc>
        <w:tc>
          <w:tcPr>
            <w:tcW w:w="479" w:type="pct"/>
            <w:vMerge w:val="continue"/>
            <w:shd w:val="clear" w:color="auto" w:fill="auto"/>
            <w:vAlign w:val="center"/>
          </w:tcPr>
          <w:p w14:paraId="1CB6E9E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43FBFBE">
            <w:pPr>
              <w:jc w:val="center"/>
              <w:rPr>
                <w:rFonts w:hint="eastAsia" w:asciiTheme="minorEastAsia" w:hAnsiTheme="minorEastAsia" w:eastAsiaTheme="minorEastAsia" w:cstheme="minorEastAsia"/>
                <w:color w:val="000000"/>
                <w:sz w:val="20"/>
                <w:szCs w:val="20"/>
              </w:rPr>
            </w:pPr>
          </w:p>
        </w:tc>
      </w:tr>
      <w:tr w14:paraId="5EE6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7036581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68C39A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067F18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56071E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19．系统参数配置：配置系统用到的参数设置，包括发票打印模式、各系统集成方式调用等方面的个性化运行开关等。</w:t>
            </w:r>
          </w:p>
        </w:tc>
        <w:tc>
          <w:tcPr>
            <w:tcW w:w="479" w:type="pct"/>
            <w:vMerge w:val="continue"/>
            <w:shd w:val="clear" w:color="auto" w:fill="auto"/>
            <w:vAlign w:val="center"/>
          </w:tcPr>
          <w:p w14:paraId="7FAA088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15F1900">
            <w:pPr>
              <w:jc w:val="center"/>
              <w:rPr>
                <w:rFonts w:hint="eastAsia" w:asciiTheme="minorEastAsia" w:hAnsiTheme="minorEastAsia" w:eastAsiaTheme="minorEastAsia" w:cstheme="minorEastAsia"/>
                <w:color w:val="000000"/>
                <w:sz w:val="20"/>
                <w:szCs w:val="20"/>
              </w:rPr>
            </w:pPr>
          </w:p>
        </w:tc>
      </w:tr>
      <w:tr w14:paraId="4A5F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75ED3DE2">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w:t>
            </w:r>
          </w:p>
        </w:tc>
        <w:tc>
          <w:tcPr>
            <w:tcW w:w="624" w:type="pct"/>
            <w:vMerge w:val="continue"/>
            <w:shd w:val="clear" w:color="auto" w:fill="auto"/>
            <w:vAlign w:val="center"/>
          </w:tcPr>
          <w:p w14:paraId="24B6FDB0">
            <w:pPr>
              <w:jc w:val="center"/>
              <w:rPr>
                <w:rFonts w:hint="eastAsia" w:asciiTheme="minorEastAsia" w:hAnsiTheme="minorEastAsia" w:eastAsiaTheme="minorEastAsia" w:cstheme="minorEastAsia"/>
                <w:color w:val="000000"/>
                <w:sz w:val="20"/>
                <w:szCs w:val="20"/>
              </w:rPr>
            </w:pPr>
          </w:p>
        </w:tc>
        <w:tc>
          <w:tcPr>
            <w:tcW w:w="600" w:type="pct"/>
            <w:vMerge w:val="restart"/>
            <w:shd w:val="clear" w:color="auto" w:fill="auto"/>
            <w:vAlign w:val="center"/>
          </w:tcPr>
          <w:p w14:paraId="5BE701F5">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门诊医生工作站</w:t>
            </w:r>
          </w:p>
        </w:tc>
        <w:tc>
          <w:tcPr>
            <w:tcW w:w="2477" w:type="pct"/>
            <w:shd w:val="clear" w:color="auto" w:fill="auto"/>
            <w:vAlign w:val="center"/>
          </w:tcPr>
          <w:p w14:paraId="24A3542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1．候诊列表：包含候诊中、已接诊列表。</w:t>
            </w:r>
          </w:p>
        </w:tc>
        <w:tc>
          <w:tcPr>
            <w:tcW w:w="479" w:type="pct"/>
            <w:vMerge w:val="restart"/>
            <w:shd w:val="clear" w:color="auto" w:fill="auto"/>
            <w:vAlign w:val="center"/>
          </w:tcPr>
          <w:p w14:paraId="564B1F2A">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0CCD2AC0">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7937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D0DE86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49F94E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98FFDA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C7BAE8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2．接诊：选择待诊患者，点击“接诊”，跳转到工作站页面，患者状态变为“已接诊”，且不再在待诊列表，在已接诊列表查询。</w:t>
            </w:r>
          </w:p>
        </w:tc>
        <w:tc>
          <w:tcPr>
            <w:tcW w:w="479" w:type="pct"/>
            <w:vMerge w:val="continue"/>
            <w:shd w:val="clear" w:color="auto" w:fill="auto"/>
            <w:vAlign w:val="center"/>
          </w:tcPr>
          <w:p w14:paraId="14C944B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3E34CCC">
            <w:pPr>
              <w:jc w:val="center"/>
              <w:rPr>
                <w:rFonts w:hint="eastAsia" w:asciiTheme="minorEastAsia" w:hAnsiTheme="minorEastAsia" w:eastAsiaTheme="minorEastAsia" w:cstheme="minorEastAsia"/>
                <w:color w:val="000000"/>
                <w:sz w:val="20"/>
                <w:szCs w:val="20"/>
              </w:rPr>
            </w:pPr>
          </w:p>
        </w:tc>
      </w:tr>
      <w:tr w14:paraId="3E0F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5E3120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F1DFFC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95E52B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6820E1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3．呼叫：通过排队叫号系统呼叫队列顺序中排在首位的患者，并在大屏播报与展示。</w:t>
            </w:r>
          </w:p>
        </w:tc>
        <w:tc>
          <w:tcPr>
            <w:tcW w:w="479" w:type="pct"/>
            <w:vMerge w:val="continue"/>
            <w:shd w:val="clear" w:color="auto" w:fill="auto"/>
            <w:vAlign w:val="center"/>
          </w:tcPr>
          <w:p w14:paraId="0619A8A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00C20A7">
            <w:pPr>
              <w:jc w:val="center"/>
              <w:rPr>
                <w:rFonts w:hint="eastAsia" w:asciiTheme="minorEastAsia" w:hAnsiTheme="minorEastAsia" w:eastAsiaTheme="minorEastAsia" w:cstheme="minorEastAsia"/>
                <w:color w:val="000000"/>
                <w:sz w:val="20"/>
                <w:szCs w:val="20"/>
              </w:rPr>
            </w:pPr>
          </w:p>
        </w:tc>
      </w:tr>
      <w:tr w14:paraId="276E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F17B40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B2076A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180A73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B101BB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4．简易挂号：医生对患者进行诊间加号等挂号操作。</w:t>
            </w:r>
          </w:p>
        </w:tc>
        <w:tc>
          <w:tcPr>
            <w:tcW w:w="479" w:type="pct"/>
            <w:vMerge w:val="continue"/>
            <w:shd w:val="clear" w:color="auto" w:fill="auto"/>
            <w:vAlign w:val="center"/>
          </w:tcPr>
          <w:p w14:paraId="3D53A84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28BBE6E">
            <w:pPr>
              <w:jc w:val="center"/>
              <w:rPr>
                <w:rFonts w:hint="eastAsia" w:asciiTheme="minorEastAsia" w:hAnsiTheme="minorEastAsia" w:eastAsiaTheme="minorEastAsia" w:cstheme="minorEastAsia"/>
                <w:color w:val="000000"/>
                <w:sz w:val="20"/>
                <w:szCs w:val="20"/>
              </w:rPr>
            </w:pPr>
          </w:p>
        </w:tc>
      </w:tr>
      <w:tr w14:paraId="19EE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288152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9E232B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E98ED2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74DAD2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5．转诊：发起转诊（未接诊患者）。</w:t>
            </w:r>
          </w:p>
        </w:tc>
        <w:tc>
          <w:tcPr>
            <w:tcW w:w="479" w:type="pct"/>
            <w:vMerge w:val="continue"/>
            <w:shd w:val="clear" w:color="auto" w:fill="auto"/>
            <w:vAlign w:val="center"/>
          </w:tcPr>
          <w:p w14:paraId="6045A47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32AE735">
            <w:pPr>
              <w:jc w:val="center"/>
              <w:rPr>
                <w:rFonts w:hint="eastAsia" w:asciiTheme="minorEastAsia" w:hAnsiTheme="minorEastAsia" w:eastAsiaTheme="minorEastAsia" w:cstheme="minorEastAsia"/>
                <w:color w:val="000000"/>
                <w:sz w:val="20"/>
                <w:szCs w:val="20"/>
              </w:rPr>
            </w:pPr>
          </w:p>
        </w:tc>
      </w:tr>
      <w:tr w14:paraId="49B5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F748F5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D95808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F082C2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6E2003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6．筛选患者：可根据列表字段，个人、科室、全院等权限筛选患者。</w:t>
            </w:r>
          </w:p>
        </w:tc>
        <w:tc>
          <w:tcPr>
            <w:tcW w:w="479" w:type="pct"/>
            <w:vMerge w:val="continue"/>
            <w:shd w:val="clear" w:color="auto" w:fill="auto"/>
            <w:vAlign w:val="center"/>
          </w:tcPr>
          <w:p w14:paraId="62E34D5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A9A1620">
            <w:pPr>
              <w:jc w:val="center"/>
              <w:rPr>
                <w:rFonts w:hint="eastAsia" w:asciiTheme="minorEastAsia" w:hAnsiTheme="minorEastAsia" w:eastAsiaTheme="minorEastAsia" w:cstheme="minorEastAsia"/>
                <w:color w:val="000000"/>
                <w:sz w:val="20"/>
                <w:szCs w:val="20"/>
              </w:rPr>
            </w:pPr>
          </w:p>
        </w:tc>
      </w:tr>
      <w:tr w14:paraId="5CB8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7C6837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175ED4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7B1506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DEFE9B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7．搜索患者：支持患者姓名、就诊号等方式查询检索患者。</w:t>
            </w:r>
          </w:p>
        </w:tc>
        <w:tc>
          <w:tcPr>
            <w:tcW w:w="479" w:type="pct"/>
            <w:vMerge w:val="continue"/>
            <w:shd w:val="clear" w:color="auto" w:fill="auto"/>
            <w:vAlign w:val="center"/>
          </w:tcPr>
          <w:p w14:paraId="411D3C0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9D925FD">
            <w:pPr>
              <w:jc w:val="center"/>
              <w:rPr>
                <w:rFonts w:hint="eastAsia" w:asciiTheme="minorEastAsia" w:hAnsiTheme="minorEastAsia" w:eastAsiaTheme="minorEastAsia" w:cstheme="minorEastAsia"/>
                <w:color w:val="000000"/>
                <w:sz w:val="20"/>
                <w:szCs w:val="20"/>
              </w:rPr>
            </w:pPr>
          </w:p>
        </w:tc>
      </w:tr>
      <w:tr w14:paraId="6DA2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CD26C0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202919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A2CE16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248BF0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8．患者基本信息展示：患者基本信息展示，姓名/性别/年龄/就诊号/身份证号/初复诊/费用类别等。</w:t>
            </w:r>
          </w:p>
        </w:tc>
        <w:tc>
          <w:tcPr>
            <w:tcW w:w="479" w:type="pct"/>
            <w:vMerge w:val="continue"/>
            <w:shd w:val="clear" w:color="auto" w:fill="auto"/>
            <w:vAlign w:val="center"/>
          </w:tcPr>
          <w:p w14:paraId="0918477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6E58934">
            <w:pPr>
              <w:jc w:val="center"/>
              <w:rPr>
                <w:rFonts w:hint="eastAsia" w:asciiTheme="minorEastAsia" w:hAnsiTheme="minorEastAsia" w:eastAsiaTheme="minorEastAsia" w:cstheme="minorEastAsia"/>
                <w:color w:val="000000"/>
                <w:sz w:val="20"/>
                <w:szCs w:val="20"/>
              </w:rPr>
            </w:pPr>
          </w:p>
        </w:tc>
      </w:tr>
      <w:tr w14:paraId="1431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7D2B8F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D8290A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ED0A25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B32AB6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9．患者详情：可查看患者全部信息。</w:t>
            </w:r>
          </w:p>
        </w:tc>
        <w:tc>
          <w:tcPr>
            <w:tcW w:w="479" w:type="pct"/>
            <w:vMerge w:val="continue"/>
            <w:shd w:val="clear" w:color="auto" w:fill="auto"/>
            <w:vAlign w:val="center"/>
          </w:tcPr>
          <w:p w14:paraId="30ADDBC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ADEF9C0">
            <w:pPr>
              <w:jc w:val="center"/>
              <w:rPr>
                <w:rFonts w:hint="eastAsia" w:asciiTheme="minorEastAsia" w:hAnsiTheme="minorEastAsia" w:eastAsiaTheme="minorEastAsia" w:cstheme="minorEastAsia"/>
                <w:color w:val="000000"/>
                <w:sz w:val="20"/>
                <w:szCs w:val="20"/>
              </w:rPr>
            </w:pPr>
          </w:p>
        </w:tc>
      </w:tr>
      <w:tr w14:paraId="3370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9F2369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0623CC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921C8F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9D32D3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10．新增诊断：包含西医、中医、证件类型及诊断前后缀等，对诊断的编辑和删除操作。</w:t>
            </w:r>
          </w:p>
        </w:tc>
        <w:tc>
          <w:tcPr>
            <w:tcW w:w="479" w:type="pct"/>
            <w:vMerge w:val="continue"/>
            <w:shd w:val="clear" w:color="auto" w:fill="auto"/>
            <w:vAlign w:val="center"/>
          </w:tcPr>
          <w:p w14:paraId="5EA886C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3AF3713">
            <w:pPr>
              <w:jc w:val="center"/>
              <w:rPr>
                <w:rFonts w:hint="eastAsia" w:asciiTheme="minorEastAsia" w:hAnsiTheme="minorEastAsia" w:eastAsiaTheme="minorEastAsia" w:cstheme="minorEastAsia"/>
                <w:color w:val="000000"/>
                <w:sz w:val="20"/>
                <w:szCs w:val="20"/>
              </w:rPr>
            </w:pPr>
          </w:p>
        </w:tc>
      </w:tr>
      <w:tr w14:paraId="71EC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EBFD0A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853D8C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6FF1E9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2E8FCD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11．诊断引用：与医嘱及病历中的诊断进行引用展示，同时复诊患者可一键引用上次诊断。</w:t>
            </w:r>
          </w:p>
        </w:tc>
        <w:tc>
          <w:tcPr>
            <w:tcW w:w="479" w:type="pct"/>
            <w:vMerge w:val="continue"/>
            <w:shd w:val="clear" w:color="auto" w:fill="auto"/>
            <w:vAlign w:val="center"/>
          </w:tcPr>
          <w:p w14:paraId="36BA734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46ABE1D">
            <w:pPr>
              <w:jc w:val="center"/>
              <w:rPr>
                <w:rFonts w:hint="eastAsia" w:asciiTheme="minorEastAsia" w:hAnsiTheme="minorEastAsia" w:eastAsiaTheme="minorEastAsia" w:cstheme="minorEastAsia"/>
                <w:color w:val="000000"/>
                <w:sz w:val="20"/>
                <w:szCs w:val="20"/>
              </w:rPr>
            </w:pPr>
          </w:p>
        </w:tc>
      </w:tr>
      <w:tr w14:paraId="6F98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E961C6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F61B79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86B2C6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7BD050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12．诊断管理：本次诊疗期间/历史所下达的全部已关联医嘱的诊断将归类至诊断管理列表。</w:t>
            </w:r>
          </w:p>
        </w:tc>
        <w:tc>
          <w:tcPr>
            <w:tcW w:w="479" w:type="pct"/>
            <w:vMerge w:val="continue"/>
            <w:shd w:val="clear" w:color="auto" w:fill="auto"/>
            <w:vAlign w:val="center"/>
          </w:tcPr>
          <w:p w14:paraId="380A145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1C06DFE">
            <w:pPr>
              <w:jc w:val="center"/>
              <w:rPr>
                <w:rFonts w:hint="eastAsia" w:asciiTheme="minorEastAsia" w:hAnsiTheme="minorEastAsia" w:eastAsiaTheme="minorEastAsia" w:cstheme="minorEastAsia"/>
                <w:color w:val="000000"/>
                <w:sz w:val="20"/>
                <w:szCs w:val="20"/>
              </w:rPr>
            </w:pPr>
          </w:p>
        </w:tc>
      </w:tr>
      <w:tr w14:paraId="674A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5178F4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63647D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41CDE8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53D596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13．医嘱诊断：从诊断或病历中同步关联对应医嘱。</w:t>
            </w:r>
          </w:p>
        </w:tc>
        <w:tc>
          <w:tcPr>
            <w:tcW w:w="479" w:type="pct"/>
            <w:vMerge w:val="continue"/>
            <w:shd w:val="clear" w:color="auto" w:fill="auto"/>
            <w:vAlign w:val="center"/>
          </w:tcPr>
          <w:p w14:paraId="039DD0C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3F600AE">
            <w:pPr>
              <w:jc w:val="center"/>
              <w:rPr>
                <w:rFonts w:hint="eastAsia" w:asciiTheme="minorEastAsia" w:hAnsiTheme="minorEastAsia" w:eastAsiaTheme="minorEastAsia" w:cstheme="minorEastAsia"/>
                <w:color w:val="000000"/>
                <w:sz w:val="20"/>
                <w:szCs w:val="20"/>
              </w:rPr>
            </w:pPr>
          </w:p>
        </w:tc>
      </w:tr>
      <w:tr w14:paraId="7C7C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00E98F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1D5AB4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A8929A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11EF5B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14．医嘱组套：支持自定义维护医嘱组套，并保存为模板，可重复使用并编辑。</w:t>
            </w:r>
          </w:p>
        </w:tc>
        <w:tc>
          <w:tcPr>
            <w:tcW w:w="479" w:type="pct"/>
            <w:vMerge w:val="continue"/>
            <w:shd w:val="clear" w:color="auto" w:fill="auto"/>
            <w:vAlign w:val="center"/>
          </w:tcPr>
          <w:p w14:paraId="04E6687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9CBE697">
            <w:pPr>
              <w:jc w:val="center"/>
              <w:rPr>
                <w:rFonts w:hint="eastAsia" w:asciiTheme="minorEastAsia" w:hAnsiTheme="minorEastAsia" w:eastAsiaTheme="minorEastAsia" w:cstheme="minorEastAsia"/>
                <w:color w:val="000000"/>
                <w:sz w:val="20"/>
                <w:szCs w:val="20"/>
              </w:rPr>
            </w:pPr>
          </w:p>
        </w:tc>
      </w:tr>
      <w:tr w14:paraId="0918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68D839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FFE2D9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831790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BFDD09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15．医嘱模板管理：医嘱/常用个嘱/检验/检查等维护与筛选引用。</w:t>
            </w:r>
          </w:p>
        </w:tc>
        <w:tc>
          <w:tcPr>
            <w:tcW w:w="479" w:type="pct"/>
            <w:vMerge w:val="continue"/>
            <w:shd w:val="clear" w:color="auto" w:fill="auto"/>
            <w:vAlign w:val="center"/>
          </w:tcPr>
          <w:p w14:paraId="3E425C6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7F3E493">
            <w:pPr>
              <w:jc w:val="center"/>
              <w:rPr>
                <w:rFonts w:hint="eastAsia" w:asciiTheme="minorEastAsia" w:hAnsiTheme="minorEastAsia" w:eastAsiaTheme="minorEastAsia" w:cstheme="minorEastAsia"/>
                <w:color w:val="000000"/>
                <w:sz w:val="20"/>
                <w:szCs w:val="20"/>
              </w:rPr>
            </w:pPr>
          </w:p>
        </w:tc>
      </w:tr>
      <w:tr w14:paraId="35FC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4866D7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8DD511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53E13A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694DBB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16．新开西成药：选择已存在药品进行添加，并配置用法、用量、频次等药品信息，支持药品添加、删除、修改等操作。</w:t>
            </w:r>
          </w:p>
        </w:tc>
        <w:tc>
          <w:tcPr>
            <w:tcW w:w="479" w:type="pct"/>
            <w:vMerge w:val="continue"/>
            <w:shd w:val="clear" w:color="auto" w:fill="auto"/>
            <w:vAlign w:val="center"/>
          </w:tcPr>
          <w:p w14:paraId="06C9C9D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A8E6CA8">
            <w:pPr>
              <w:jc w:val="center"/>
              <w:rPr>
                <w:rFonts w:hint="eastAsia" w:asciiTheme="minorEastAsia" w:hAnsiTheme="minorEastAsia" w:eastAsiaTheme="minorEastAsia" w:cstheme="minorEastAsia"/>
                <w:color w:val="000000"/>
                <w:sz w:val="20"/>
                <w:szCs w:val="20"/>
              </w:rPr>
            </w:pPr>
          </w:p>
        </w:tc>
      </w:tr>
      <w:tr w14:paraId="7CD5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300034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E1E526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6B4797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762AE7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17．新开中草药：选择已存在中草药品进行添加，并配置煎法、剂数、煎次等使用方法，支持对药品添加、修改、删除等操作。</w:t>
            </w:r>
          </w:p>
        </w:tc>
        <w:tc>
          <w:tcPr>
            <w:tcW w:w="479" w:type="pct"/>
            <w:vMerge w:val="continue"/>
            <w:shd w:val="clear" w:color="auto" w:fill="auto"/>
            <w:vAlign w:val="center"/>
          </w:tcPr>
          <w:p w14:paraId="2DF1D87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AF83405">
            <w:pPr>
              <w:jc w:val="center"/>
              <w:rPr>
                <w:rFonts w:hint="eastAsia" w:asciiTheme="minorEastAsia" w:hAnsiTheme="minorEastAsia" w:eastAsiaTheme="minorEastAsia" w:cstheme="minorEastAsia"/>
                <w:color w:val="000000"/>
                <w:sz w:val="20"/>
                <w:szCs w:val="20"/>
              </w:rPr>
            </w:pPr>
          </w:p>
        </w:tc>
      </w:tr>
      <w:tr w14:paraId="1ED7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E9892E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44C1A1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AB5137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A194FD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18．新开治疗：选择已存在治疗项目，并填入总量、频次等检查信息，支持治疗项目添加、修改、删除等操作。</w:t>
            </w:r>
          </w:p>
        </w:tc>
        <w:tc>
          <w:tcPr>
            <w:tcW w:w="479" w:type="pct"/>
            <w:vMerge w:val="continue"/>
            <w:shd w:val="clear" w:color="auto" w:fill="auto"/>
            <w:vAlign w:val="center"/>
          </w:tcPr>
          <w:p w14:paraId="09E9E89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2BCFCED">
            <w:pPr>
              <w:jc w:val="center"/>
              <w:rPr>
                <w:rFonts w:hint="eastAsia" w:asciiTheme="minorEastAsia" w:hAnsiTheme="minorEastAsia" w:eastAsiaTheme="minorEastAsia" w:cstheme="minorEastAsia"/>
                <w:color w:val="000000"/>
                <w:sz w:val="20"/>
                <w:szCs w:val="20"/>
              </w:rPr>
            </w:pPr>
          </w:p>
        </w:tc>
      </w:tr>
      <w:tr w14:paraId="7C57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CFB354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C21290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E6F4EA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F21206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19．历史医嘱：患者本次问诊前在院内所开具的医嘱单，支持医嘱单时间筛选、复制操作。</w:t>
            </w:r>
          </w:p>
        </w:tc>
        <w:tc>
          <w:tcPr>
            <w:tcW w:w="479" w:type="pct"/>
            <w:vMerge w:val="continue"/>
            <w:shd w:val="clear" w:color="auto" w:fill="auto"/>
            <w:vAlign w:val="center"/>
          </w:tcPr>
          <w:p w14:paraId="5143CAC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A8DCE8C">
            <w:pPr>
              <w:jc w:val="center"/>
              <w:rPr>
                <w:rFonts w:hint="eastAsia" w:asciiTheme="minorEastAsia" w:hAnsiTheme="minorEastAsia" w:eastAsiaTheme="minorEastAsia" w:cstheme="minorEastAsia"/>
                <w:color w:val="000000"/>
                <w:sz w:val="20"/>
                <w:szCs w:val="20"/>
              </w:rPr>
            </w:pPr>
          </w:p>
        </w:tc>
      </w:tr>
      <w:tr w14:paraId="6CF2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96F827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F6501A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3E5917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AB92E1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20．预览单据：新增医嘱发送样式预览功能，预览打印。</w:t>
            </w:r>
          </w:p>
        </w:tc>
        <w:tc>
          <w:tcPr>
            <w:tcW w:w="479" w:type="pct"/>
            <w:vMerge w:val="continue"/>
            <w:shd w:val="clear" w:color="auto" w:fill="auto"/>
            <w:vAlign w:val="center"/>
          </w:tcPr>
          <w:p w14:paraId="73998D4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C7C3500">
            <w:pPr>
              <w:jc w:val="center"/>
              <w:rPr>
                <w:rFonts w:hint="eastAsia" w:asciiTheme="minorEastAsia" w:hAnsiTheme="minorEastAsia" w:eastAsiaTheme="minorEastAsia" w:cstheme="minorEastAsia"/>
                <w:color w:val="000000"/>
                <w:sz w:val="20"/>
                <w:szCs w:val="20"/>
              </w:rPr>
            </w:pPr>
          </w:p>
        </w:tc>
      </w:tr>
      <w:tr w14:paraId="10E2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67AA0C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EAD634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3A8493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D4FD0B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21．历史诊断：可查看对应就诊日期的诊断记录。</w:t>
            </w:r>
          </w:p>
        </w:tc>
        <w:tc>
          <w:tcPr>
            <w:tcW w:w="479" w:type="pct"/>
            <w:vMerge w:val="continue"/>
            <w:shd w:val="clear" w:color="auto" w:fill="auto"/>
            <w:vAlign w:val="center"/>
          </w:tcPr>
          <w:p w14:paraId="58527DB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90352B2">
            <w:pPr>
              <w:jc w:val="center"/>
              <w:rPr>
                <w:rFonts w:hint="eastAsia" w:asciiTheme="minorEastAsia" w:hAnsiTheme="minorEastAsia" w:eastAsiaTheme="minorEastAsia" w:cstheme="minorEastAsia"/>
                <w:color w:val="000000"/>
                <w:sz w:val="20"/>
                <w:szCs w:val="20"/>
              </w:rPr>
            </w:pPr>
          </w:p>
        </w:tc>
      </w:tr>
      <w:tr w14:paraId="23C6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A64349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D9F375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76ADE8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0B65DE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22．就诊记录：通过就诊时间轴，查询具体就诊日期的全部就诊记录详情包含诊断与医嘱内容。</w:t>
            </w:r>
          </w:p>
        </w:tc>
        <w:tc>
          <w:tcPr>
            <w:tcW w:w="479" w:type="pct"/>
            <w:vMerge w:val="continue"/>
            <w:shd w:val="clear" w:color="auto" w:fill="auto"/>
            <w:vAlign w:val="center"/>
          </w:tcPr>
          <w:p w14:paraId="7593D87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64ECF70">
            <w:pPr>
              <w:jc w:val="center"/>
              <w:rPr>
                <w:rFonts w:hint="eastAsia" w:asciiTheme="minorEastAsia" w:hAnsiTheme="minorEastAsia" w:eastAsiaTheme="minorEastAsia" w:cstheme="minorEastAsia"/>
                <w:color w:val="000000"/>
                <w:sz w:val="20"/>
                <w:szCs w:val="20"/>
              </w:rPr>
            </w:pPr>
          </w:p>
        </w:tc>
      </w:tr>
      <w:tr w14:paraId="5F7E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3FA58F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D96C49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1447FE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B7A393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23．抗菌药物分级授权：新开和审核权限可以根据角色和用户进行新开等级和审核等级的权限分配，支持满足用户医生职称新开、药物等级新开、药物审核三方面的授权管理，更灵活，能适用不同场景。</w:t>
            </w:r>
          </w:p>
        </w:tc>
        <w:tc>
          <w:tcPr>
            <w:tcW w:w="479" w:type="pct"/>
            <w:vMerge w:val="continue"/>
            <w:shd w:val="clear" w:color="auto" w:fill="auto"/>
            <w:vAlign w:val="center"/>
          </w:tcPr>
          <w:p w14:paraId="5AC5B4F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585D22D">
            <w:pPr>
              <w:jc w:val="center"/>
              <w:rPr>
                <w:rFonts w:hint="eastAsia" w:asciiTheme="minorEastAsia" w:hAnsiTheme="minorEastAsia" w:eastAsiaTheme="minorEastAsia" w:cstheme="minorEastAsia"/>
                <w:color w:val="000000"/>
                <w:sz w:val="20"/>
                <w:szCs w:val="20"/>
              </w:rPr>
            </w:pPr>
          </w:p>
        </w:tc>
      </w:tr>
      <w:tr w14:paraId="4866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063C45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EA78AC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8AEDBF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95B9E1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24．自动获取患者基本信息、诊疗相关信息、医生信息及费用相关信息，方便快捷。</w:t>
            </w:r>
          </w:p>
        </w:tc>
        <w:tc>
          <w:tcPr>
            <w:tcW w:w="479" w:type="pct"/>
            <w:vMerge w:val="continue"/>
            <w:shd w:val="clear" w:color="auto" w:fill="auto"/>
            <w:vAlign w:val="center"/>
          </w:tcPr>
          <w:p w14:paraId="72591E5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F6B32CF">
            <w:pPr>
              <w:jc w:val="center"/>
              <w:rPr>
                <w:rFonts w:hint="eastAsia" w:asciiTheme="minorEastAsia" w:hAnsiTheme="minorEastAsia" w:eastAsiaTheme="minorEastAsia" w:cstheme="minorEastAsia"/>
                <w:color w:val="000000"/>
                <w:sz w:val="20"/>
                <w:szCs w:val="20"/>
              </w:rPr>
            </w:pPr>
          </w:p>
        </w:tc>
      </w:tr>
      <w:tr w14:paraId="1A32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9490D9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449C39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6D76F0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120AB2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25．支持医生处理门诊病历记录、检查、检验、诊断、处方、治疗处置、卫生材料等诊疗活动信息。</w:t>
            </w:r>
          </w:p>
        </w:tc>
        <w:tc>
          <w:tcPr>
            <w:tcW w:w="479" w:type="pct"/>
            <w:vMerge w:val="continue"/>
            <w:shd w:val="clear" w:color="auto" w:fill="auto"/>
            <w:vAlign w:val="center"/>
          </w:tcPr>
          <w:p w14:paraId="74DBF8D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08FADB3">
            <w:pPr>
              <w:jc w:val="center"/>
              <w:rPr>
                <w:rFonts w:hint="eastAsia" w:asciiTheme="minorEastAsia" w:hAnsiTheme="minorEastAsia" w:eastAsiaTheme="minorEastAsia" w:cstheme="minorEastAsia"/>
                <w:color w:val="000000"/>
                <w:sz w:val="20"/>
                <w:szCs w:val="20"/>
              </w:rPr>
            </w:pPr>
          </w:p>
        </w:tc>
      </w:tr>
      <w:tr w14:paraId="3AFF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F3032C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A05605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76062F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278E17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26．支持对接合理用药系统对医生不合理用药的情况进行及时监测，并将监测信息及时提示给医生。</w:t>
            </w:r>
          </w:p>
        </w:tc>
        <w:tc>
          <w:tcPr>
            <w:tcW w:w="479" w:type="pct"/>
            <w:vMerge w:val="continue"/>
            <w:shd w:val="clear" w:color="auto" w:fill="auto"/>
            <w:vAlign w:val="center"/>
          </w:tcPr>
          <w:p w14:paraId="574C108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D72D315">
            <w:pPr>
              <w:jc w:val="center"/>
              <w:rPr>
                <w:rFonts w:hint="eastAsia" w:asciiTheme="minorEastAsia" w:hAnsiTheme="minorEastAsia" w:eastAsiaTheme="minorEastAsia" w:cstheme="minorEastAsia"/>
                <w:color w:val="000000"/>
                <w:sz w:val="20"/>
                <w:szCs w:val="20"/>
              </w:rPr>
            </w:pPr>
          </w:p>
        </w:tc>
      </w:tr>
      <w:tr w14:paraId="3ACB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42B224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01EA56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80CCAB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D86C1D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27．基本信息查看补充：支持完善患者基本信息。</w:t>
            </w:r>
          </w:p>
        </w:tc>
        <w:tc>
          <w:tcPr>
            <w:tcW w:w="479" w:type="pct"/>
            <w:vMerge w:val="continue"/>
            <w:shd w:val="clear" w:color="auto" w:fill="auto"/>
            <w:vAlign w:val="center"/>
          </w:tcPr>
          <w:p w14:paraId="08B7B8D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DE84A97">
            <w:pPr>
              <w:jc w:val="center"/>
              <w:rPr>
                <w:rFonts w:hint="eastAsia" w:asciiTheme="minorEastAsia" w:hAnsiTheme="minorEastAsia" w:eastAsiaTheme="minorEastAsia" w:cstheme="minorEastAsia"/>
                <w:color w:val="000000"/>
                <w:sz w:val="20"/>
                <w:szCs w:val="20"/>
              </w:rPr>
            </w:pPr>
          </w:p>
        </w:tc>
      </w:tr>
      <w:tr w14:paraId="5365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C4FF81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09AA9C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D24F3F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43523F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28．处方开立：支持用法频率相同的医嘱放在一组,一个处方可以建立多个新组，可以将医嘱另存为模板,后续可以使用，支持查看患者历史就诊信息，默认查看该患者一个月的历史就诊信息,时间可以自行调整。</w:t>
            </w:r>
          </w:p>
        </w:tc>
        <w:tc>
          <w:tcPr>
            <w:tcW w:w="479" w:type="pct"/>
            <w:vMerge w:val="continue"/>
            <w:shd w:val="clear" w:color="auto" w:fill="auto"/>
            <w:vAlign w:val="center"/>
          </w:tcPr>
          <w:p w14:paraId="38A815D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F0149FB">
            <w:pPr>
              <w:jc w:val="center"/>
              <w:rPr>
                <w:rFonts w:hint="eastAsia" w:asciiTheme="minorEastAsia" w:hAnsiTheme="minorEastAsia" w:eastAsiaTheme="minorEastAsia" w:cstheme="minorEastAsia"/>
                <w:color w:val="000000"/>
                <w:sz w:val="20"/>
                <w:szCs w:val="20"/>
              </w:rPr>
            </w:pPr>
          </w:p>
        </w:tc>
      </w:tr>
      <w:tr w14:paraId="6BCA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6EADE1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AACB62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F0CD63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C71B98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29．检验、检查、手术申请：开立检验、检查申请时选择检验项目后会提示该项目包含的所有子项目，支持查看检验、检查报告，手术申请时可根据手术名称进行检索。</w:t>
            </w:r>
          </w:p>
        </w:tc>
        <w:tc>
          <w:tcPr>
            <w:tcW w:w="479" w:type="pct"/>
            <w:vMerge w:val="continue"/>
            <w:shd w:val="clear" w:color="auto" w:fill="auto"/>
            <w:vAlign w:val="center"/>
          </w:tcPr>
          <w:p w14:paraId="03A314D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AF94377">
            <w:pPr>
              <w:jc w:val="center"/>
              <w:rPr>
                <w:rFonts w:hint="eastAsia" w:asciiTheme="minorEastAsia" w:hAnsiTheme="minorEastAsia" w:eastAsiaTheme="minorEastAsia" w:cstheme="minorEastAsia"/>
                <w:color w:val="000000"/>
                <w:sz w:val="20"/>
                <w:szCs w:val="20"/>
              </w:rPr>
            </w:pPr>
          </w:p>
        </w:tc>
      </w:tr>
      <w:tr w14:paraId="326A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992765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8B6042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E1475A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0DF9E4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30．住院证：可以给患者开具住院证，同时可以查看既往住院证，支持打印。</w:t>
            </w:r>
          </w:p>
        </w:tc>
        <w:tc>
          <w:tcPr>
            <w:tcW w:w="479" w:type="pct"/>
            <w:vMerge w:val="continue"/>
            <w:shd w:val="clear" w:color="auto" w:fill="auto"/>
            <w:vAlign w:val="center"/>
          </w:tcPr>
          <w:p w14:paraId="6D98A6D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2F8BB53">
            <w:pPr>
              <w:jc w:val="center"/>
              <w:rPr>
                <w:rFonts w:hint="eastAsia" w:asciiTheme="minorEastAsia" w:hAnsiTheme="minorEastAsia" w:eastAsiaTheme="minorEastAsia" w:cstheme="minorEastAsia"/>
                <w:color w:val="000000"/>
                <w:sz w:val="20"/>
                <w:szCs w:val="20"/>
              </w:rPr>
            </w:pPr>
          </w:p>
        </w:tc>
      </w:tr>
      <w:tr w14:paraId="7A88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27F2BD1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961A05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C9398B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790D97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31．就诊历史：可根据患者主索引、身份证号查询患者在本院的既往就诊记录，支持查看患者的门诊病历、西药处方、中药处方、检验申请和检查申请。</w:t>
            </w:r>
          </w:p>
        </w:tc>
        <w:tc>
          <w:tcPr>
            <w:tcW w:w="479" w:type="pct"/>
            <w:vMerge w:val="continue"/>
            <w:shd w:val="clear" w:color="auto" w:fill="auto"/>
            <w:vAlign w:val="center"/>
          </w:tcPr>
          <w:p w14:paraId="5728204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2CE188F">
            <w:pPr>
              <w:jc w:val="center"/>
              <w:rPr>
                <w:rFonts w:hint="eastAsia" w:asciiTheme="minorEastAsia" w:hAnsiTheme="minorEastAsia" w:eastAsiaTheme="minorEastAsia" w:cstheme="minorEastAsia"/>
                <w:color w:val="000000"/>
                <w:sz w:val="20"/>
                <w:szCs w:val="20"/>
              </w:rPr>
            </w:pPr>
          </w:p>
        </w:tc>
      </w:tr>
      <w:tr w14:paraId="6790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D384FB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1F8807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50C235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00DC74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32．门诊日志：可以根据患者基本信息和病历信息自动提取完成门诊日志，支持修改、删除、查看门诊就诊信息和统计信息。</w:t>
            </w:r>
          </w:p>
        </w:tc>
        <w:tc>
          <w:tcPr>
            <w:tcW w:w="479" w:type="pct"/>
            <w:vMerge w:val="continue"/>
            <w:shd w:val="clear" w:color="auto" w:fill="auto"/>
            <w:vAlign w:val="center"/>
          </w:tcPr>
          <w:p w14:paraId="6D0BA0B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330269B">
            <w:pPr>
              <w:jc w:val="center"/>
              <w:rPr>
                <w:rFonts w:hint="eastAsia" w:asciiTheme="minorEastAsia" w:hAnsiTheme="minorEastAsia" w:eastAsiaTheme="minorEastAsia" w:cstheme="minorEastAsia"/>
                <w:color w:val="000000"/>
                <w:sz w:val="20"/>
                <w:szCs w:val="20"/>
              </w:rPr>
            </w:pPr>
          </w:p>
        </w:tc>
      </w:tr>
      <w:tr w14:paraId="04FE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1697ACF8">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w:t>
            </w:r>
          </w:p>
        </w:tc>
        <w:tc>
          <w:tcPr>
            <w:tcW w:w="624" w:type="pct"/>
            <w:vMerge w:val="continue"/>
            <w:shd w:val="clear" w:color="auto" w:fill="auto"/>
            <w:vAlign w:val="center"/>
          </w:tcPr>
          <w:p w14:paraId="6D34B88F">
            <w:pPr>
              <w:jc w:val="center"/>
              <w:rPr>
                <w:rFonts w:hint="eastAsia" w:asciiTheme="minorEastAsia" w:hAnsiTheme="minorEastAsia" w:eastAsiaTheme="minorEastAsia" w:cstheme="minorEastAsia"/>
                <w:color w:val="000000"/>
                <w:sz w:val="20"/>
                <w:szCs w:val="20"/>
              </w:rPr>
            </w:pPr>
          </w:p>
        </w:tc>
        <w:tc>
          <w:tcPr>
            <w:tcW w:w="600" w:type="pct"/>
            <w:vMerge w:val="restart"/>
            <w:shd w:val="clear" w:color="auto" w:fill="auto"/>
            <w:vAlign w:val="center"/>
          </w:tcPr>
          <w:p w14:paraId="74C3F727">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住院医生工作站</w:t>
            </w:r>
          </w:p>
        </w:tc>
        <w:tc>
          <w:tcPr>
            <w:tcW w:w="2477" w:type="pct"/>
            <w:shd w:val="clear" w:color="auto" w:fill="auto"/>
            <w:vAlign w:val="center"/>
          </w:tcPr>
          <w:p w14:paraId="3B9AD4C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1．医生工作平台：患者列表中可查看我的管床患者，也可查询全科患者信息、跨科处置患者、转出患者信息，同时支持按照住院号、姓名、床号进行患者检索。</w:t>
            </w:r>
          </w:p>
        </w:tc>
        <w:tc>
          <w:tcPr>
            <w:tcW w:w="479" w:type="pct"/>
            <w:vMerge w:val="restart"/>
            <w:shd w:val="clear" w:color="auto" w:fill="auto"/>
            <w:vAlign w:val="center"/>
          </w:tcPr>
          <w:p w14:paraId="3315D375">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578AD8D6">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2DA3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67D66F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F57988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72F88E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E05A56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2．住院总览：病区整体的床位患者总览，用于全局查看，不同患者类型搜索，不同展示形式，包含患者情况，以及对患者右键所有操作。</w:t>
            </w:r>
          </w:p>
        </w:tc>
        <w:tc>
          <w:tcPr>
            <w:tcW w:w="479" w:type="pct"/>
            <w:vMerge w:val="continue"/>
            <w:shd w:val="clear" w:color="auto" w:fill="auto"/>
            <w:vAlign w:val="center"/>
          </w:tcPr>
          <w:p w14:paraId="3018F51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2908BA3">
            <w:pPr>
              <w:jc w:val="center"/>
              <w:rPr>
                <w:rFonts w:hint="eastAsia" w:asciiTheme="minorEastAsia" w:hAnsiTheme="minorEastAsia" w:eastAsiaTheme="minorEastAsia" w:cstheme="minorEastAsia"/>
                <w:color w:val="000000"/>
                <w:sz w:val="20"/>
                <w:szCs w:val="20"/>
              </w:rPr>
            </w:pPr>
          </w:p>
        </w:tc>
      </w:tr>
      <w:tr w14:paraId="6436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21FE91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F6AC7E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FFE27C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40BF3A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3．患者中心：支持以诊疗时间轴的方式展现患者本次体征与对应治疗措施。</w:t>
            </w:r>
          </w:p>
        </w:tc>
        <w:tc>
          <w:tcPr>
            <w:tcW w:w="479" w:type="pct"/>
            <w:vMerge w:val="continue"/>
            <w:shd w:val="clear" w:color="auto" w:fill="auto"/>
            <w:vAlign w:val="center"/>
          </w:tcPr>
          <w:p w14:paraId="6C90601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077C251">
            <w:pPr>
              <w:jc w:val="center"/>
              <w:rPr>
                <w:rFonts w:hint="eastAsia" w:asciiTheme="minorEastAsia" w:hAnsiTheme="minorEastAsia" w:eastAsiaTheme="minorEastAsia" w:cstheme="minorEastAsia"/>
                <w:color w:val="000000"/>
                <w:sz w:val="20"/>
                <w:szCs w:val="20"/>
              </w:rPr>
            </w:pPr>
          </w:p>
        </w:tc>
      </w:tr>
      <w:tr w14:paraId="445B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68C422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A626BA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19E81C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F5B4CA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4．患者基本信息展示：患者基本信息展示，姓名/性别/年龄/就诊号/身份证号/费用类别等。</w:t>
            </w:r>
          </w:p>
        </w:tc>
        <w:tc>
          <w:tcPr>
            <w:tcW w:w="479" w:type="pct"/>
            <w:vMerge w:val="continue"/>
            <w:shd w:val="clear" w:color="auto" w:fill="auto"/>
            <w:vAlign w:val="center"/>
          </w:tcPr>
          <w:p w14:paraId="36A48C7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FB9044F">
            <w:pPr>
              <w:jc w:val="center"/>
              <w:rPr>
                <w:rFonts w:hint="eastAsia" w:asciiTheme="minorEastAsia" w:hAnsiTheme="minorEastAsia" w:eastAsiaTheme="minorEastAsia" w:cstheme="minorEastAsia"/>
                <w:color w:val="000000"/>
                <w:sz w:val="20"/>
                <w:szCs w:val="20"/>
              </w:rPr>
            </w:pPr>
          </w:p>
        </w:tc>
      </w:tr>
      <w:tr w14:paraId="369B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106A14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648CA3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821579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A5E1AF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5．患者详情编辑：根据修改权限可修改部分字段内容。</w:t>
            </w:r>
          </w:p>
        </w:tc>
        <w:tc>
          <w:tcPr>
            <w:tcW w:w="479" w:type="pct"/>
            <w:vMerge w:val="continue"/>
            <w:shd w:val="clear" w:color="auto" w:fill="auto"/>
            <w:vAlign w:val="center"/>
          </w:tcPr>
          <w:p w14:paraId="5A903E6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31C287E">
            <w:pPr>
              <w:jc w:val="center"/>
              <w:rPr>
                <w:rFonts w:hint="eastAsia" w:asciiTheme="minorEastAsia" w:hAnsiTheme="minorEastAsia" w:eastAsiaTheme="minorEastAsia" w:cstheme="minorEastAsia"/>
                <w:color w:val="000000"/>
                <w:sz w:val="20"/>
                <w:szCs w:val="20"/>
              </w:rPr>
            </w:pPr>
          </w:p>
        </w:tc>
      </w:tr>
      <w:tr w14:paraId="31CD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C814B4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500949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6CE83C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FF9665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6．新增诊断：新增诊断，包含西医、中医、证件类型等，对诊断的编辑和删除操作。</w:t>
            </w:r>
          </w:p>
        </w:tc>
        <w:tc>
          <w:tcPr>
            <w:tcW w:w="479" w:type="pct"/>
            <w:vMerge w:val="continue"/>
            <w:shd w:val="clear" w:color="auto" w:fill="auto"/>
            <w:vAlign w:val="center"/>
          </w:tcPr>
          <w:p w14:paraId="11D9CA4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A8CD316">
            <w:pPr>
              <w:jc w:val="center"/>
              <w:rPr>
                <w:rFonts w:hint="eastAsia" w:asciiTheme="minorEastAsia" w:hAnsiTheme="minorEastAsia" w:eastAsiaTheme="minorEastAsia" w:cstheme="minorEastAsia"/>
                <w:color w:val="000000"/>
                <w:sz w:val="20"/>
                <w:szCs w:val="20"/>
              </w:rPr>
            </w:pPr>
          </w:p>
        </w:tc>
      </w:tr>
      <w:tr w14:paraId="2C1B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828376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2C0A44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C67019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90445E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7．诊断引用：与医嘱及病历中的诊断进行引用展示。</w:t>
            </w:r>
          </w:p>
        </w:tc>
        <w:tc>
          <w:tcPr>
            <w:tcW w:w="479" w:type="pct"/>
            <w:vMerge w:val="continue"/>
            <w:shd w:val="clear" w:color="auto" w:fill="auto"/>
            <w:vAlign w:val="center"/>
          </w:tcPr>
          <w:p w14:paraId="1998C18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D4CA037">
            <w:pPr>
              <w:jc w:val="center"/>
              <w:rPr>
                <w:rFonts w:hint="eastAsia" w:asciiTheme="minorEastAsia" w:hAnsiTheme="minorEastAsia" w:eastAsiaTheme="minorEastAsia" w:cstheme="minorEastAsia"/>
                <w:color w:val="000000"/>
                <w:sz w:val="20"/>
                <w:szCs w:val="20"/>
              </w:rPr>
            </w:pPr>
          </w:p>
        </w:tc>
      </w:tr>
      <w:tr w14:paraId="5B65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6239B0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F0A1DB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563F11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D4576D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8．临床诊断：本次诊疗期间所下达的全部诊断将归类至诊断管理列表。</w:t>
            </w:r>
          </w:p>
        </w:tc>
        <w:tc>
          <w:tcPr>
            <w:tcW w:w="479" w:type="pct"/>
            <w:vMerge w:val="continue"/>
            <w:shd w:val="clear" w:color="auto" w:fill="auto"/>
            <w:vAlign w:val="center"/>
          </w:tcPr>
          <w:p w14:paraId="604222B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61E8DDD">
            <w:pPr>
              <w:jc w:val="center"/>
              <w:rPr>
                <w:rFonts w:hint="eastAsia" w:asciiTheme="minorEastAsia" w:hAnsiTheme="minorEastAsia" w:eastAsiaTheme="minorEastAsia" w:cstheme="minorEastAsia"/>
                <w:color w:val="000000"/>
                <w:sz w:val="20"/>
                <w:szCs w:val="20"/>
              </w:rPr>
            </w:pPr>
          </w:p>
        </w:tc>
      </w:tr>
      <w:tr w14:paraId="3081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36B3E3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C4B261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D1737C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C10435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9．全部医嘱：支持快捷通过首字母缩写、关键字模糊查询，检索开具西成药/中草药（方剂）/检验/检查/治疗/手术/护理等不同类型的医嘱。</w:t>
            </w:r>
          </w:p>
        </w:tc>
        <w:tc>
          <w:tcPr>
            <w:tcW w:w="479" w:type="pct"/>
            <w:vMerge w:val="continue"/>
            <w:shd w:val="clear" w:color="auto" w:fill="auto"/>
            <w:vAlign w:val="center"/>
          </w:tcPr>
          <w:p w14:paraId="0CD08FC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D5ACF89">
            <w:pPr>
              <w:jc w:val="center"/>
              <w:rPr>
                <w:rFonts w:hint="eastAsia" w:asciiTheme="minorEastAsia" w:hAnsiTheme="minorEastAsia" w:eastAsiaTheme="minorEastAsia" w:cstheme="minorEastAsia"/>
                <w:color w:val="000000"/>
                <w:sz w:val="20"/>
                <w:szCs w:val="20"/>
              </w:rPr>
            </w:pPr>
          </w:p>
        </w:tc>
      </w:tr>
      <w:tr w14:paraId="52E9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251798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2A5C29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240386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2C2E39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10．西成药：支持快捷通过首字母缩写、关键字模糊查询，检索开具西药、中成药类医嘱。</w:t>
            </w:r>
          </w:p>
        </w:tc>
        <w:tc>
          <w:tcPr>
            <w:tcW w:w="479" w:type="pct"/>
            <w:vMerge w:val="continue"/>
            <w:shd w:val="clear" w:color="auto" w:fill="auto"/>
            <w:vAlign w:val="center"/>
          </w:tcPr>
          <w:p w14:paraId="5FCC2A3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9255C37">
            <w:pPr>
              <w:jc w:val="center"/>
              <w:rPr>
                <w:rFonts w:hint="eastAsia" w:asciiTheme="minorEastAsia" w:hAnsiTheme="minorEastAsia" w:eastAsiaTheme="minorEastAsia" w:cstheme="minorEastAsia"/>
                <w:color w:val="000000"/>
                <w:sz w:val="20"/>
                <w:szCs w:val="20"/>
              </w:rPr>
            </w:pPr>
          </w:p>
        </w:tc>
      </w:tr>
      <w:tr w14:paraId="586B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D39AEF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69B655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D38FDC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4C2FE3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11．中草药：支持快捷通过首字母缩写、关键字模糊查询，检索开具中草药类医嘱。</w:t>
            </w:r>
          </w:p>
        </w:tc>
        <w:tc>
          <w:tcPr>
            <w:tcW w:w="479" w:type="pct"/>
            <w:vMerge w:val="continue"/>
            <w:shd w:val="clear" w:color="auto" w:fill="auto"/>
            <w:vAlign w:val="center"/>
          </w:tcPr>
          <w:p w14:paraId="31B7EFD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42B510B">
            <w:pPr>
              <w:jc w:val="center"/>
              <w:rPr>
                <w:rFonts w:hint="eastAsia" w:asciiTheme="minorEastAsia" w:hAnsiTheme="minorEastAsia" w:eastAsiaTheme="minorEastAsia" w:cstheme="minorEastAsia"/>
                <w:color w:val="000000"/>
                <w:sz w:val="20"/>
                <w:szCs w:val="20"/>
              </w:rPr>
            </w:pPr>
          </w:p>
        </w:tc>
      </w:tr>
      <w:tr w14:paraId="5D4E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D953F6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7C54CD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6B1956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C7B309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12．检验：支持快捷通过首字母缩写、关键字模糊查询，检索开具检验类医嘱。</w:t>
            </w:r>
          </w:p>
        </w:tc>
        <w:tc>
          <w:tcPr>
            <w:tcW w:w="479" w:type="pct"/>
            <w:vMerge w:val="continue"/>
            <w:shd w:val="clear" w:color="auto" w:fill="auto"/>
            <w:vAlign w:val="center"/>
          </w:tcPr>
          <w:p w14:paraId="779AEFB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576977D">
            <w:pPr>
              <w:jc w:val="center"/>
              <w:rPr>
                <w:rFonts w:hint="eastAsia" w:asciiTheme="minorEastAsia" w:hAnsiTheme="minorEastAsia" w:eastAsiaTheme="minorEastAsia" w:cstheme="minorEastAsia"/>
                <w:color w:val="000000"/>
                <w:sz w:val="20"/>
                <w:szCs w:val="20"/>
              </w:rPr>
            </w:pPr>
          </w:p>
        </w:tc>
      </w:tr>
      <w:tr w14:paraId="4E27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079FC4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F61E6C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78F3F7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CA8E0B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13．检查：支持快捷通过首字母缩写、关键字模糊查询，检索开具检查类医嘱。</w:t>
            </w:r>
          </w:p>
        </w:tc>
        <w:tc>
          <w:tcPr>
            <w:tcW w:w="479" w:type="pct"/>
            <w:vMerge w:val="continue"/>
            <w:shd w:val="clear" w:color="auto" w:fill="auto"/>
            <w:vAlign w:val="center"/>
          </w:tcPr>
          <w:p w14:paraId="09E0C27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7AEFF0D">
            <w:pPr>
              <w:jc w:val="center"/>
              <w:rPr>
                <w:rFonts w:hint="eastAsia" w:asciiTheme="minorEastAsia" w:hAnsiTheme="minorEastAsia" w:eastAsiaTheme="minorEastAsia" w:cstheme="minorEastAsia"/>
                <w:color w:val="000000"/>
                <w:sz w:val="20"/>
                <w:szCs w:val="20"/>
              </w:rPr>
            </w:pPr>
          </w:p>
        </w:tc>
      </w:tr>
      <w:tr w14:paraId="2E22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200866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894347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781B72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B4C339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14．治疗：支持快捷通过首字母缩写、关键字模糊查询，检索开具治疗类医嘱。</w:t>
            </w:r>
          </w:p>
        </w:tc>
        <w:tc>
          <w:tcPr>
            <w:tcW w:w="479" w:type="pct"/>
            <w:vMerge w:val="continue"/>
            <w:shd w:val="clear" w:color="auto" w:fill="auto"/>
            <w:vAlign w:val="center"/>
          </w:tcPr>
          <w:p w14:paraId="198729A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E31BCAD">
            <w:pPr>
              <w:jc w:val="center"/>
              <w:rPr>
                <w:rFonts w:hint="eastAsia" w:asciiTheme="minorEastAsia" w:hAnsiTheme="minorEastAsia" w:eastAsiaTheme="minorEastAsia" w:cstheme="minorEastAsia"/>
                <w:color w:val="000000"/>
                <w:sz w:val="20"/>
                <w:szCs w:val="20"/>
              </w:rPr>
            </w:pPr>
          </w:p>
        </w:tc>
      </w:tr>
      <w:tr w14:paraId="25C4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BE519E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94F2CD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435DE2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F28B48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15．手术：支持快捷通过首字母缩写、关键字模糊查询，检索开具手术类医嘱。</w:t>
            </w:r>
          </w:p>
        </w:tc>
        <w:tc>
          <w:tcPr>
            <w:tcW w:w="479" w:type="pct"/>
            <w:vMerge w:val="continue"/>
            <w:shd w:val="clear" w:color="auto" w:fill="auto"/>
            <w:vAlign w:val="center"/>
          </w:tcPr>
          <w:p w14:paraId="1323937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08D41FB">
            <w:pPr>
              <w:jc w:val="center"/>
              <w:rPr>
                <w:rFonts w:hint="eastAsia" w:asciiTheme="minorEastAsia" w:hAnsiTheme="minorEastAsia" w:eastAsiaTheme="minorEastAsia" w:cstheme="minorEastAsia"/>
                <w:color w:val="000000"/>
                <w:sz w:val="20"/>
                <w:szCs w:val="20"/>
              </w:rPr>
            </w:pPr>
          </w:p>
        </w:tc>
      </w:tr>
      <w:tr w14:paraId="1264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32D355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9C3B99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916E99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C166CD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16．护理：支持快捷通过首字母缩写、关键字模糊查询，检索开具护理类医嘱。</w:t>
            </w:r>
          </w:p>
        </w:tc>
        <w:tc>
          <w:tcPr>
            <w:tcW w:w="479" w:type="pct"/>
            <w:vMerge w:val="continue"/>
            <w:shd w:val="clear" w:color="auto" w:fill="auto"/>
            <w:vAlign w:val="center"/>
          </w:tcPr>
          <w:p w14:paraId="7F971D2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AE45E8F">
            <w:pPr>
              <w:jc w:val="center"/>
              <w:rPr>
                <w:rFonts w:hint="eastAsia" w:asciiTheme="minorEastAsia" w:hAnsiTheme="minorEastAsia" w:eastAsiaTheme="minorEastAsia" w:cstheme="minorEastAsia"/>
                <w:color w:val="000000"/>
                <w:sz w:val="20"/>
                <w:szCs w:val="20"/>
              </w:rPr>
            </w:pPr>
          </w:p>
        </w:tc>
      </w:tr>
      <w:tr w14:paraId="5B98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67E11C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A37B8F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A75E77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134CF4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17．材料：支持快捷通过首字母缩写、关键字模糊查询，检索开具材料类医嘱。</w:t>
            </w:r>
          </w:p>
        </w:tc>
        <w:tc>
          <w:tcPr>
            <w:tcW w:w="479" w:type="pct"/>
            <w:vMerge w:val="continue"/>
            <w:shd w:val="clear" w:color="auto" w:fill="auto"/>
            <w:vAlign w:val="center"/>
          </w:tcPr>
          <w:p w14:paraId="3EE8884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7739E61">
            <w:pPr>
              <w:jc w:val="center"/>
              <w:rPr>
                <w:rFonts w:hint="eastAsia" w:asciiTheme="minorEastAsia" w:hAnsiTheme="minorEastAsia" w:eastAsiaTheme="minorEastAsia" w:cstheme="minorEastAsia"/>
                <w:color w:val="000000"/>
                <w:sz w:val="20"/>
                <w:szCs w:val="20"/>
              </w:rPr>
            </w:pPr>
          </w:p>
        </w:tc>
      </w:tr>
      <w:tr w14:paraId="765B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334608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FB3166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B24BBA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534725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18．医嘱操作：保存、提交 、删除、作废、停止、打印、预览、存为模板。</w:t>
            </w:r>
          </w:p>
        </w:tc>
        <w:tc>
          <w:tcPr>
            <w:tcW w:w="479" w:type="pct"/>
            <w:vMerge w:val="continue"/>
            <w:shd w:val="clear" w:color="auto" w:fill="auto"/>
            <w:vAlign w:val="center"/>
          </w:tcPr>
          <w:p w14:paraId="5FCA4B5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A2470CA">
            <w:pPr>
              <w:jc w:val="center"/>
              <w:rPr>
                <w:rFonts w:hint="eastAsia" w:asciiTheme="minorEastAsia" w:hAnsiTheme="minorEastAsia" w:eastAsiaTheme="minorEastAsia" w:cstheme="minorEastAsia"/>
                <w:color w:val="000000"/>
                <w:sz w:val="20"/>
                <w:szCs w:val="20"/>
              </w:rPr>
            </w:pPr>
          </w:p>
        </w:tc>
      </w:tr>
      <w:tr w14:paraId="5A92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3E4E57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BF8BED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3D0D2D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E86907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19．单条医嘱操作：根据当前医嘱状态展示对应操作：保存/提交/删除/作废/停止/打印/预览。</w:t>
            </w:r>
          </w:p>
        </w:tc>
        <w:tc>
          <w:tcPr>
            <w:tcW w:w="479" w:type="pct"/>
            <w:vMerge w:val="continue"/>
            <w:shd w:val="clear" w:color="auto" w:fill="auto"/>
            <w:vAlign w:val="center"/>
          </w:tcPr>
          <w:p w14:paraId="68CB242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A69871C">
            <w:pPr>
              <w:jc w:val="center"/>
              <w:rPr>
                <w:rFonts w:hint="eastAsia" w:asciiTheme="minorEastAsia" w:hAnsiTheme="minorEastAsia" w:eastAsiaTheme="minorEastAsia" w:cstheme="minorEastAsia"/>
                <w:color w:val="000000"/>
                <w:sz w:val="20"/>
                <w:szCs w:val="20"/>
              </w:rPr>
            </w:pPr>
          </w:p>
        </w:tc>
      </w:tr>
      <w:tr w14:paraId="34BC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F7DEA3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A25727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E2FAFF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072C73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20．医嘱详情：查看对应医嘱信息、计价内容等详细信息。</w:t>
            </w:r>
          </w:p>
        </w:tc>
        <w:tc>
          <w:tcPr>
            <w:tcW w:w="479" w:type="pct"/>
            <w:vMerge w:val="continue"/>
            <w:shd w:val="clear" w:color="auto" w:fill="auto"/>
            <w:vAlign w:val="center"/>
          </w:tcPr>
          <w:p w14:paraId="5B87F0F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7AC6DDE">
            <w:pPr>
              <w:jc w:val="center"/>
              <w:rPr>
                <w:rFonts w:hint="eastAsia" w:asciiTheme="minorEastAsia" w:hAnsiTheme="minorEastAsia" w:eastAsiaTheme="minorEastAsia" w:cstheme="minorEastAsia"/>
                <w:color w:val="000000"/>
                <w:sz w:val="20"/>
                <w:szCs w:val="20"/>
              </w:rPr>
            </w:pPr>
          </w:p>
        </w:tc>
      </w:tr>
      <w:tr w14:paraId="5984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76C938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F5A356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4410DF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D18131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21．医嘱列表筛选：医嘱状态筛选。</w:t>
            </w:r>
          </w:p>
        </w:tc>
        <w:tc>
          <w:tcPr>
            <w:tcW w:w="479" w:type="pct"/>
            <w:vMerge w:val="continue"/>
            <w:shd w:val="clear" w:color="auto" w:fill="auto"/>
            <w:vAlign w:val="center"/>
          </w:tcPr>
          <w:p w14:paraId="57F2AC0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1647A99">
            <w:pPr>
              <w:jc w:val="center"/>
              <w:rPr>
                <w:rFonts w:hint="eastAsia" w:asciiTheme="minorEastAsia" w:hAnsiTheme="minorEastAsia" w:eastAsiaTheme="minorEastAsia" w:cstheme="minorEastAsia"/>
                <w:color w:val="000000"/>
                <w:sz w:val="20"/>
                <w:szCs w:val="20"/>
              </w:rPr>
            </w:pPr>
          </w:p>
        </w:tc>
      </w:tr>
      <w:tr w14:paraId="5B8F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CCBFBB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317513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C40EC7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361899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22．医嘱项报告：医嘱项对应的报告快捷入口。</w:t>
            </w:r>
          </w:p>
        </w:tc>
        <w:tc>
          <w:tcPr>
            <w:tcW w:w="479" w:type="pct"/>
            <w:vMerge w:val="continue"/>
            <w:shd w:val="clear" w:color="auto" w:fill="auto"/>
            <w:vAlign w:val="center"/>
          </w:tcPr>
          <w:p w14:paraId="6BEC998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818456D">
            <w:pPr>
              <w:jc w:val="center"/>
              <w:rPr>
                <w:rFonts w:hint="eastAsia" w:asciiTheme="minorEastAsia" w:hAnsiTheme="minorEastAsia" w:eastAsiaTheme="minorEastAsia" w:cstheme="minorEastAsia"/>
                <w:color w:val="000000"/>
                <w:sz w:val="20"/>
                <w:szCs w:val="20"/>
              </w:rPr>
            </w:pPr>
          </w:p>
        </w:tc>
      </w:tr>
      <w:tr w14:paraId="11FC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7C3F5D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1F5A7A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909D38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EE3636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23．合理用药：支持医嘱项目触发合理用药知识库。</w:t>
            </w:r>
          </w:p>
        </w:tc>
        <w:tc>
          <w:tcPr>
            <w:tcW w:w="479" w:type="pct"/>
            <w:vMerge w:val="continue"/>
            <w:shd w:val="clear" w:color="auto" w:fill="auto"/>
            <w:vAlign w:val="center"/>
          </w:tcPr>
          <w:p w14:paraId="3B04FC4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55C4425">
            <w:pPr>
              <w:jc w:val="center"/>
              <w:rPr>
                <w:rFonts w:hint="eastAsia" w:asciiTheme="minorEastAsia" w:hAnsiTheme="minorEastAsia" w:eastAsiaTheme="minorEastAsia" w:cstheme="minorEastAsia"/>
                <w:color w:val="000000"/>
                <w:sz w:val="20"/>
                <w:szCs w:val="20"/>
              </w:rPr>
            </w:pPr>
          </w:p>
        </w:tc>
      </w:tr>
      <w:tr w14:paraId="7CDA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F0501E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9EC4C5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F7C103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808B7D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24．医嘱费用：当前医嘱费用合计与费用明细详情。</w:t>
            </w:r>
          </w:p>
        </w:tc>
        <w:tc>
          <w:tcPr>
            <w:tcW w:w="479" w:type="pct"/>
            <w:vMerge w:val="continue"/>
            <w:shd w:val="clear" w:color="auto" w:fill="auto"/>
            <w:vAlign w:val="center"/>
          </w:tcPr>
          <w:p w14:paraId="0617040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FBC6720">
            <w:pPr>
              <w:jc w:val="center"/>
              <w:rPr>
                <w:rFonts w:hint="eastAsia" w:asciiTheme="minorEastAsia" w:hAnsiTheme="minorEastAsia" w:eastAsiaTheme="minorEastAsia" w:cstheme="minorEastAsia"/>
                <w:color w:val="000000"/>
                <w:sz w:val="20"/>
                <w:szCs w:val="20"/>
              </w:rPr>
            </w:pPr>
          </w:p>
        </w:tc>
      </w:tr>
      <w:tr w14:paraId="7C74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8147E3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076569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52C017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7430D7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25．医嘱类型选择：支持新开西成药、中草药、检验、检查项目；已提交医嘱转抄前支持作废，已保存未发生医嘱可进行编辑并重新提交。</w:t>
            </w:r>
          </w:p>
        </w:tc>
        <w:tc>
          <w:tcPr>
            <w:tcW w:w="479" w:type="pct"/>
            <w:vMerge w:val="continue"/>
            <w:shd w:val="clear" w:color="auto" w:fill="auto"/>
            <w:vAlign w:val="center"/>
          </w:tcPr>
          <w:p w14:paraId="0F942E6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CEFE116">
            <w:pPr>
              <w:jc w:val="center"/>
              <w:rPr>
                <w:rFonts w:hint="eastAsia" w:asciiTheme="minorEastAsia" w:hAnsiTheme="minorEastAsia" w:eastAsiaTheme="minorEastAsia" w:cstheme="minorEastAsia"/>
                <w:color w:val="000000"/>
                <w:sz w:val="20"/>
                <w:szCs w:val="20"/>
              </w:rPr>
            </w:pPr>
          </w:p>
        </w:tc>
      </w:tr>
      <w:tr w14:paraId="7A2F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46E7BF6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2EE332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F16ECB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29BC8F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26．医嘱组套：支持自定义维护医嘱组套，并保存为模板，可重复使用并编辑。</w:t>
            </w:r>
          </w:p>
        </w:tc>
        <w:tc>
          <w:tcPr>
            <w:tcW w:w="479" w:type="pct"/>
            <w:vMerge w:val="continue"/>
            <w:shd w:val="clear" w:color="auto" w:fill="auto"/>
            <w:vAlign w:val="center"/>
          </w:tcPr>
          <w:p w14:paraId="1335155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F4853D9">
            <w:pPr>
              <w:jc w:val="center"/>
              <w:rPr>
                <w:rFonts w:hint="eastAsia" w:asciiTheme="minorEastAsia" w:hAnsiTheme="minorEastAsia" w:eastAsiaTheme="minorEastAsia" w:cstheme="minorEastAsia"/>
                <w:color w:val="000000"/>
                <w:sz w:val="20"/>
                <w:szCs w:val="20"/>
              </w:rPr>
            </w:pPr>
          </w:p>
        </w:tc>
      </w:tr>
      <w:tr w14:paraId="5F16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3516BE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9F7372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5DC5B0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FD98F4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27．医嘱模板管理：医嘱/常用个嘱/高频药品/检验/检查等维护与筛选引用。</w:t>
            </w:r>
          </w:p>
        </w:tc>
        <w:tc>
          <w:tcPr>
            <w:tcW w:w="479" w:type="pct"/>
            <w:vMerge w:val="continue"/>
            <w:shd w:val="clear" w:color="auto" w:fill="auto"/>
            <w:vAlign w:val="center"/>
          </w:tcPr>
          <w:p w14:paraId="277E036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5927E41">
            <w:pPr>
              <w:jc w:val="center"/>
              <w:rPr>
                <w:rFonts w:hint="eastAsia" w:asciiTheme="minorEastAsia" w:hAnsiTheme="minorEastAsia" w:eastAsiaTheme="minorEastAsia" w:cstheme="minorEastAsia"/>
                <w:color w:val="000000"/>
                <w:sz w:val="20"/>
                <w:szCs w:val="20"/>
              </w:rPr>
            </w:pPr>
          </w:p>
        </w:tc>
      </w:tr>
      <w:tr w14:paraId="41AF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C13991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EBBD5C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5A8E30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8854E8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28．新开西成药：选择已存在药品进行添加，并配置用法、用量、频次等药品信息，支持药品添加、删除、修改等操作。</w:t>
            </w:r>
          </w:p>
        </w:tc>
        <w:tc>
          <w:tcPr>
            <w:tcW w:w="479" w:type="pct"/>
            <w:vMerge w:val="continue"/>
            <w:shd w:val="clear" w:color="auto" w:fill="auto"/>
            <w:vAlign w:val="center"/>
          </w:tcPr>
          <w:p w14:paraId="2D93F79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427A8E0">
            <w:pPr>
              <w:jc w:val="center"/>
              <w:rPr>
                <w:rFonts w:hint="eastAsia" w:asciiTheme="minorEastAsia" w:hAnsiTheme="minorEastAsia" w:eastAsiaTheme="minorEastAsia" w:cstheme="minorEastAsia"/>
                <w:color w:val="000000"/>
                <w:sz w:val="20"/>
                <w:szCs w:val="20"/>
              </w:rPr>
            </w:pPr>
          </w:p>
        </w:tc>
      </w:tr>
      <w:tr w14:paraId="7DCD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879BDD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21FA3D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51191B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19C87C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29．新开中草药：选择已存在中草药品进行添加，并配置煎法、剂数、煎次等使用方法，支持对药品添加、修改、删除等操作。</w:t>
            </w:r>
          </w:p>
        </w:tc>
        <w:tc>
          <w:tcPr>
            <w:tcW w:w="479" w:type="pct"/>
            <w:vMerge w:val="continue"/>
            <w:shd w:val="clear" w:color="auto" w:fill="auto"/>
            <w:vAlign w:val="center"/>
          </w:tcPr>
          <w:p w14:paraId="45E24E1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406FE0F">
            <w:pPr>
              <w:jc w:val="center"/>
              <w:rPr>
                <w:rFonts w:hint="eastAsia" w:asciiTheme="minorEastAsia" w:hAnsiTheme="minorEastAsia" w:eastAsiaTheme="minorEastAsia" w:cstheme="minorEastAsia"/>
                <w:color w:val="000000"/>
                <w:sz w:val="20"/>
                <w:szCs w:val="20"/>
              </w:rPr>
            </w:pPr>
          </w:p>
        </w:tc>
      </w:tr>
      <w:tr w14:paraId="3C2C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54158C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AEDAC8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86984D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01263D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30．新开检验：选择已存在的检验项目，并填入样本类型、总量、单位、频次等检验信息，支持检验项目添加、修改、删除等操作。</w:t>
            </w:r>
          </w:p>
        </w:tc>
        <w:tc>
          <w:tcPr>
            <w:tcW w:w="479" w:type="pct"/>
            <w:vMerge w:val="continue"/>
            <w:shd w:val="clear" w:color="auto" w:fill="auto"/>
            <w:vAlign w:val="center"/>
          </w:tcPr>
          <w:p w14:paraId="5C05B4D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6039AC1">
            <w:pPr>
              <w:jc w:val="center"/>
              <w:rPr>
                <w:rFonts w:hint="eastAsia" w:asciiTheme="minorEastAsia" w:hAnsiTheme="minorEastAsia" w:eastAsiaTheme="minorEastAsia" w:cstheme="minorEastAsia"/>
                <w:color w:val="000000"/>
                <w:sz w:val="20"/>
                <w:szCs w:val="20"/>
              </w:rPr>
            </w:pPr>
          </w:p>
        </w:tc>
      </w:tr>
      <w:tr w14:paraId="3F41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F0EC2E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A3B735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E27D7A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78079E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31．新开检查：选择已存在检查项目，并填入检查部位、总量、频次等检查信息，支持检查项目添加、修改、删除等操作。</w:t>
            </w:r>
          </w:p>
        </w:tc>
        <w:tc>
          <w:tcPr>
            <w:tcW w:w="479" w:type="pct"/>
            <w:vMerge w:val="continue"/>
            <w:shd w:val="clear" w:color="auto" w:fill="auto"/>
            <w:vAlign w:val="center"/>
          </w:tcPr>
          <w:p w14:paraId="7F95B77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F2EA365">
            <w:pPr>
              <w:jc w:val="center"/>
              <w:rPr>
                <w:rFonts w:hint="eastAsia" w:asciiTheme="minorEastAsia" w:hAnsiTheme="minorEastAsia" w:eastAsiaTheme="minorEastAsia" w:cstheme="minorEastAsia"/>
                <w:color w:val="000000"/>
                <w:sz w:val="20"/>
                <w:szCs w:val="20"/>
              </w:rPr>
            </w:pPr>
          </w:p>
        </w:tc>
      </w:tr>
      <w:tr w14:paraId="151F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A302F2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F4C2F0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34AF4E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F30573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32．新开治疗：选择已存在治疗项目，并填入总量、频次等检查信息，支持治疗项目添加、修改、删除等操作。</w:t>
            </w:r>
          </w:p>
        </w:tc>
        <w:tc>
          <w:tcPr>
            <w:tcW w:w="479" w:type="pct"/>
            <w:vMerge w:val="continue"/>
            <w:shd w:val="clear" w:color="auto" w:fill="auto"/>
            <w:vAlign w:val="center"/>
          </w:tcPr>
          <w:p w14:paraId="2F64B55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332A522">
            <w:pPr>
              <w:jc w:val="center"/>
              <w:rPr>
                <w:rFonts w:hint="eastAsia" w:asciiTheme="minorEastAsia" w:hAnsiTheme="minorEastAsia" w:eastAsiaTheme="minorEastAsia" w:cstheme="minorEastAsia"/>
                <w:color w:val="000000"/>
                <w:sz w:val="20"/>
                <w:szCs w:val="20"/>
              </w:rPr>
            </w:pPr>
          </w:p>
        </w:tc>
      </w:tr>
      <w:tr w14:paraId="66CA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0C9947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CAD384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6F1D93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581602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33．新开手术：选择已存在手术项目，并填入手术等级、麻醉方式、手术人员等手术信息，支持手术项目添加、修改、删除等操作。</w:t>
            </w:r>
          </w:p>
        </w:tc>
        <w:tc>
          <w:tcPr>
            <w:tcW w:w="479" w:type="pct"/>
            <w:vMerge w:val="continue"/>
            <w:shd w:val="clear" w:color="auto" w:fill="auto"/>
            <w:vAlign w:val="center"/>
          </w:tcPr>
          <w:p w14:paraId="74AB56F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2CBF01F">
            <w:pPr>
              <w:jc w:val="center"/>
              <w:rPr>
                <w:rFonts w:hint="eastAsia" w:asciiTheme="minorEastAsia" w:hAnsiTheme="minorEastAsia" w:eastAsiaTheme="minorEastAsia" w:cstheme="minorEastAsia"/>
                <w:color w:val="000000"/>
                <w:sz w:val="20"/>
                <w:szCs w:val="20"/>
              </w:rPr>
            </w:pPr>
          </w:p>
        </w:tc>
      </w:tr>
      <w:tr w14:paraId="52E4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3E711C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43C234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B10796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0F6C79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34．新开护理：选择已存在护理项目，并填入护理信息，支持护理项目添加、修改、删除等操作。</w:t>
            </w:r>
          </w:p>
        </w:tc>
        <w:tc>
          <w:tcPr>
            <w:tcW w:w="479" w:type="pct"/>
            <w:vMerge w:val="continue"/>
            <w:shd w:val="clear" w:color="auto" w:fill="auto"/>
            <w:vAlign w:val="center"/>
          </w:tcPr>
          <w:p w14:paraId="6F961E9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3AF7A31">
            <w:pPr>
              <w:jc w:val="center"/>
              <w:rPr>
                <w:rFonts w:hint="eastAsia" w:asciiTheme="minorEastAsia" w:hAnsiTheme="minorEastAsia" w:eastAsiaTheme="minorEastAsia" w:cstheme="minorEastAsia"/>
                <w:color w:val="000000"/>
                <w:sz w:val="20"/>
                <w:szCs w:val="20"/>
              </w:rPr>
            </w:pPr>
          </w:p>
        </w:tc>
      </w:tr>
      <w:tr w14:paraId="13CB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E7F98D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4A3D18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9579C7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8255B7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35．预览单据：新增医嘱发送样式预览功能，预览打印。</w:t>
            </w:r>
          </w:p>
        </w:tc>
        <w:tc>
          <w:tcPr>
            <w:tcW w:w="479" w:type="pct"/>
            <w:vMerge w:val="continue"/>
            <w:shd w:val="clear" w:color="auto" w:fill="auto"/>
            <w:vAlign w:val="center"/>
          </w:tcPr>
          <w:p w14:paraId="2BC7B5F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3BC9274">
            <w:pPr>
              <w:jc w:val="center"/>
              <w:rPr>
                <w:rFonts w:hint="eastAsia" w:asciiTheme="minorEastAsia" w:hAnsiTheme="minorEastAsia" w:eastAsiaTheme="minorEastAsia" w:cstheme="minorEastAsia"/>
                <w:color w:val="000000"/>
                <w:sz w:val="20"/>
                <w:szCs w:val="20"/>
              </w:rPr>
            </w:pPr>
          </w:p>
        </w:tc>
      </w:tr>
      <w:tr w14:paraId="391A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EB1EE8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8746DB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989AD5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C3E1F9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36．就诊记录：通过就诊时间轴，查询具体就诊日期的全部就诊记录详情包含诊断与医嘱内容。</w:t>
            </w:r>
          </w:p>
        </w:tc>
        <w:tc>
          <w:tcPr>
            <w:tcW w:w="479" w:type="pct"/>
            <w:vMerge w:val="continue"/>
            <w:shd w:val="clear" w:color="auto" w:fill="auto"/>
            <w:vAlign w:val="center"/>
          </w:tcPr>
          <w:p w14:paraId="79077F8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7B764B3">
            <w:pPr>
              <w:jc w:val="center"/>
              <w:rPr>
                <w:rFonts w:hint="eastAsia" w:asciiTheme="minorEastAsia" w:hAnsiTheme="minorEastAsia" w:eastAsiaTheme="minorEastAsia" w:cstheme="minorEastAsia"/>
                <w:color w:val="000000"/>
                <w:sz w:val="20"/>
                <w:szCs w:val="20"/>
              </w:rPr>
            </w:pPr>
          </w:p>
        </w:tc>
      </w:tr>
      <w:tr w14:paraId="552B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452296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628279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0EA970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8F28F3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37．住院病案首页：对住院患者的病案进行查看、填写、归档等；</w:t>
            </w:r>
          </w:p>
        </w:tc>
        <w:tc>
          <w:tcPr>
            <w:tcW w:w="479" w:type="pct"/>
            <w:vMerge w:val="continue"/>
            <w:shd w:val="clear" w:color="auto" w:fill="auto"/>
            <w:vAlign w:val="center"/>
          </w:tcPr>
          <w:p w14:paraId="52DF547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04B72B9">
            <w:pPr>
              <w:jc w:val="center"/>
              <w:rPr>
                <w:rFonts w:hint="eastAsia" w:asciiTheme="minorEastAsia" w:hAnsiTheme="minorEastAsia" w:eastAsiaTheme="minorEastAsia" w:cstheme="minorEastAsia"/>
                <w:color w:val="000000"/>
                <w:sz w:val="20"/>
                <w:szCs w:val="20"/>
              </w:rPr>
            </w:pPr>
          </w:p>
        </w:tc>
      </w:tr>
      <w:tr w14:paraId="66A8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3B9F2E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26F99F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820716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6135E0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38．结果与报告调阅：可查看诊疗过程完整的历史及本次检验、检查结果与报告，支持报告打印，查看检查胶片。</w:t>
            </w:r>
          </w:p>
        </w:tc>
        <w:tc>
          <w:tcPr>
            <w:tcW w:w="479" w:type="pct"/>
            <w:vMerge w:val="continue"/>
            <w:shd w:val="clear" w:color="auto" w:fill="auto"/>
            <w:vAlign w:val="center"/>
          </w:tcPr>
          <w:p w14:paraId="454D316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EC7B96F">
            <w:pPr>
              <w:jc w:val="center"/>
              <w:rPr>
                <w:rFonts w:hint="eastAsia" w:asciiTheme="minorEastAsia" w:hAnsiTheme="minorEastAsia" w:eastAsiaTheme="minorEastAsia" w:cstheme="minorEastAsia"/>
                <w:color w:val="000000"/>
                <w:sz w:val="20"/>
                <w:szCs w:val="20"/>
              </w:rPr>
            </w:pPr>
          </w:p>
        </w:tc>
      </w:tr>
      <w:tr w14:paraId="2B05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2894CF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DEC03C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F6C0FB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4510E5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39．智能引用：支持电子病历对检验检查结果的智能引用，支持局部结构化或全部引用。</w:t>
            </w:r>
          </w:p>
        </w:tc>
        <w:tc>
          <w:tcPr>
            <w:tcW w:w="479" w:type="pct"/>
            <w:vMerge w:val="continue"/>
            <w:shd w:val="clear" w:color="auto" w:fill="auto"/>
            <w:vAlign w:val="center"/>
          </w:tcPr>
          <w:p w14:paraId="592510C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B174275">
            <w:pPr>
              <w:jc w:val="center"/>
              <w:rPr>
                <w:rFonts w:hint="eastAsia" w:asciiTheme="minorEastAsia" w:hAnsiTheme="minorEastAsia" w:eastAsiaTheme="minorEastAsia" w:cstheme="minorEastAsia"/>
                <w:color w:val="000000"/>
                <w:sz w:val="20"/>
                <w:szCs w:val="20"/>
              </w:rPr>
            </w:pPr>
          </w:p>
        </w:tc>
      </w:tr>
      <w:tr w14:paraId="3D7D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692C84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138989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E3F379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57C78C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40．分类开立：可通过西药、中成药、中草药药品目录查询并引用药品、卫材等医嘱项。</w:t>
            </w:r>
          </w:p>
        </w:tc>
        <w:tc>
          <w:tcPr>
            <w:tcW w:w="479" w:type="pct"/>
            <w:vMerge w:val="continue"/>
            <w:shd w:val="clear" w:color="auto" w:fill="auto"/>
            <w:vAlign w:val="center"/>
          </w:tcPr>
          <w:p w14:paraId="6C6E7FD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4904F4C">
            <w:pPr>
              <w:jc w:val="center"/>
              <w:rPr>
                <w:rFonts w:hint="eastAsia" w:asciiTheme="minorEastAsia" w:hAnsiTheme="minorEastAsia" w:eastAsiaTheme="minorEastAsia" w:cstheme="minorEastAsia"/>
                <w:color w:val="000000"/>
                <w:sz w:val="20"/>
                <w:szCs w:val="20"/>
              </w:rPr>
            </w:pPr>
          </w:p>
        </w:tc>
      </w:tr>
      <w:tr w14:paraId="5E3C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A741BA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D06819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218D0C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54E247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41．医嘱组套：可进行组套、中草药方/剂的维护，并支持添加组套过滤条件</w:t>
            </w:r>
          </w:p>
        </w:tc>
        <w:tc>
          <w:tcPr>
            <w:tcW w:w="479" w:type="pct"/>
            <w:vMerge w:val="continue"/>
            <w:shd w:val="clear" w:color="auto" w:fill="auto"/>
            <w:vAlign w:val="center"/>
          </w:tcPr>
          <w:p w14:paraId="066A005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2DE29A2">
            <w:pPr>
              <w:jc w:val="center"/>
              <w:rPr>
                <w:rFonts w:hint="eastAsia" w:asciiTheme="minorEastAsia" w:hAnsiTheme="minorEastAsia" w:eastAsiaTheme="minorEastAsia" w:cstheme="minorEastAsia"/>
                <w:color w:val="000000"/>
                <w:sz w:val="20"/>
                <w:szCs w:val="20"/>
              </w:rPr>
            </w:pPr>
          </w:p>
        </w:tc>
      </w:tr>
      <w:tr w14:paraId="7015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FAE42B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0B3066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7F9326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D5FEE2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42．报卡填报：传染病报告卡、死亡报告卡等报卡管理。</w:t>
            </w:r>
          </w:p>
        </w:tc>
        <w:tc>
          <w:tcPr>
            <w:tcW w:w="479" w:type="pct"/>
            <w:vMerge w:val="continue"/>
            <w:shd w:val="clear" w:color="auto" w:fill="auto"/>
            <w:vAlign w:val="center"/>
          </w:tcPr>
          <w:p w14:paraId="620F0C3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F2A6EAD">
            <w:pPr>
              <w:jc w:val="center"/>
              <w:rPr>
                <w:rFonts w:hint="eastAsia" w:asciiTheme="minorEastAsia" w:hAnsiTheme="minorEastAsia" w:eastAsiaTheme="minorEastAsia" w:cstheme="minorEastAsia"/>
                <w:color w:val="000000"/>
                <w:sz w:val="20"/>
                <w:szCs w:val="20"/>
              </w:rPr>
            </w:pPr>
          </w:p>
        </w:tc>
      </w:tr>
      <w:tr w14:paraId="3B55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CB769A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EB7AAC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ECC0BA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60CC91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43．抗菌药物分级授权：新开和审核权限可以根据角色和用户进行新开等级和审核等级的权限分配，支持满足用户医生职称新开、药物等级新开、药物审核三方面的授权管理，更灵活，能适用不同场景。</w:t>
            </w:r>
          </w:p>
        </w:tc>
        <w:tc>
          <w:tcPr>
            <w:tcW w:w="479" w:type="pct"/>
            <w:vMerge w:val="continue"/>
            <w:shd w:val="clear" w:color="auto" w:fill="auto"/>
            <w:vAlign w:val="center"/>
          </w:tcPr>
          <w:p w14:paraId="12C3631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6C19036">
            <w:pPr>
              <w:jc w:val="center"/>
              <w:rPr>
                <w:rFonts w:hint="eastAsia" w:asciiTheme="minorEastAsia" w:hAnsiTheme="minorEastAsia" w:eastAsiaTheme="minorEastAsia" w:cstheme="minorEastAsia"/>
                <w:color w:val="000000"/>
                <w:sz w:val="20"/>
                <w:szCs w:val="20"/>
              </w:rPr>
            </w:pPr>
          </w:p>
        </w:tc>
      </w:tr>
      <w:tr w14:paraId="3A42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2A50B4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573FF4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C34BF5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32F195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44．自备药开具：医师在开医嘱时，选择自备药。</w:t>
            </w:r>
          </w:p>
        </w:tc>
        <w:tc>
          <w:tcPr>
            <w:tcW w:w="479" w:type="pct"/>
            <w:vMerge w:val="continue"/>
            <w:shd w:val="clear" w:color="auto" w:fill="auto"/>
            <w:vAlign w:val="center"/>
          </w:tcPr>
          <w:p w14:paraId="6CF4AAB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B27A070">
            <w:pPr>
              <w:jc w:val="center"/>
              <w:rPr>
                <w:rFonts w:hint="eastAsia" w:asciiTheme="minorEastAsia" w:hAnsiTheme="minorEastAsia" w:eastAsiaTheme="minorEastAsia" w:cstheme="minorEastAsia"/>
                <w:color w:val="000000"/>
                <w:sz w:val="20"/>
                <w:szCs w:val="20"/>
              </w:rPr>
            </w:pPr>
          </w:p>
        </w:tc>
      </w:tr>
      <w:tr w14:paraId="4769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2C19ED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308CEB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8765FF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53D7ED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45．医嘱打印：长期医嘱单打印支持续打功能，可选择起始页号和起始行号。</w:t>
            </w:r>
          </w:p>
        </w:tc>
        <w:tc>
          <w:tcPr>
            <w:tcW w:w="479" w:type="pct"/>
            <w:vMerge w:val="continue"/>
            <w:shd w:val="clear" w:color="auto" w:fill="auto"/>
            <w:vAlign w:val="center"/>
          </w:tcPr>
          <w:p w14:paraId="7F0B4FA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8E9D5DA">
            <w:pPr>
              <w:jc w:val="center"/>
              <w:rPr>
                <w:rFonts w:hint="eastAsia" w:asciiTheme="minorEastAsia" w:hAnsiTheme="minorEastAsia" w:eastAsiaTheme="minorEastAsia" w:cstheme="minorEastAsia"/>
                <w:color w:val="000000"/>
                <w:sz w:val="20"/>
                <w:szCs w:val="20"/>
              </w:rPr>
            </w:pPr>
          </w:p>
        </w:tc>
      </w:tr>
      <w:tr w14:paraId="0EE0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789964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780C83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E42B7F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6892B3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46.检验、检查、手术申请：开立检验、检查申请时选择检验项目后会提示。</w:t>
            </w:r>
          </w:p>
        </w:tc>
        <w:tc>
          <w:tcPr>
            <w:tcW w:w="479" w:type="pct"/>
            <w:vMerge w:val="continue"/>
            <w:shd w:val="clear" w:color="auto" w:fill="auto"/>
            <w:vAlign w:val="center"/>
          </w:tcPr>
          <w:p w14:paraId="0A75342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FAA7797">
            <w:pPr>
              <w:jc w:val="center"/>
              <w:rPr>
                <w:rFonts w:hint="eastAsia" w:asciiTheme="minorEastAsia" w:hAnsiTheme="minorEastAsia" w:eastAsiaTheme="minorEastAsia" w:cstheme="minorEastAsia"/>
                <w:color w:val="000000"/>
                <w:sz w:val="20"/>
                <w:szCs w:val="20"/>
              </w:rPr>
            </w:pPr>
          </w:p>
        </w:tc>
      </w:tr>
      <w:tr w14:paraId="41CC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4E5231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36E835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C21D9A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085883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47．会诊（院内）：会诊申请可发起普通/急诊与单科/多学科会诊的电子会诊申请单。</w:t>
            </w:r>
          </w:p>
        </w:tc>
        <w:tc>
          <w:tcPr>
            <w:tcW w:w="479" w:type="pct"/>
            <w:vMerge w:val="continue"/>
            <w:shd w:val="clear" w:color="auto" w:fill="auto"/>
            <w:vAlign w:val="center"/>
          </w:tcPr>
          <w:p w14:paraId="78D3D93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7637AB6">
            <w:pPr>
              <w:jc w:val="center"/>
              <w:rPr>
                <w:rFonts w:hint="eastAsia" w:asciiTheme="minorEastAsia" w:hAnsiTheme="minorEastAsia" w:eastAsiaTheme="minorEastAsia" w:cstheme="minorEastAsia"/>
                <w:color w:val="000000"/>
                <w:sz w:val="20"/>
                <w:szCs w:val="20"/>
              </w:rPr>
            </w:pPr>
          </w:p>
        </w:tc>
      </w:tr>
      <w:tr w14:paraId="1693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643CDEFA">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w:t>
            </w:r>
          </w:p>
        </w:tc>
        <w:tc>
          <w:tcPr>
            <w:tcW w:w="624" w:type="pct"/>
            <w:vMerge w:val="continue"/>
            <w:shd w:val="clear" w:color="auto" w:fill="auto"/>
            <w:vAlign w:val="center"/>
          </w:tcPr>
          <w:p w14:paraId="2F4528B7">
            <w:pPr>
              <w:jc w:val="center"/>
              <w:rPr>
                <w:rFonts w:hint="eastAsia" w:asciiTheme="minorEastAsia" w:hAnsiTheme="minorEastAsia" w:eastAsiaTheme="minorEastAsia" w:cstheme="minorEastAsia"/>
                <w:color w:val="000000"/>
                <w:sz w:val="20"/>
                <w:szCs w:val="20"/>
              </w:rPr>
            </w:pPr>
          </w:p>
        </w:tc>
        <w:tc>
          <w:tcPr>
            <w:tcW w:w="600" w:type="pct"/>
            <w:vMerge w:val="restart"/>
            <w:shd w:val="clear" w:color="auto" w:fill="auto"/>
            <w:vAlign w:val="center"/>
          </w:tcPr>
          <w:p w14:paraId="15DEFF57">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住院护士工作站</w:t>
            </w:r>
          </w:p>
        </w:tc>
        <w:tc>
          <w:tcPr>
            <w:tcW w:w="2477" w:type="pct"/>
            <w:shd w:val="clear" w:color="auto" w:fill="auto"/>
            <w:vAlign w:val="center"/>
          </w:tcPr>
          <w:p w14:paraId="0F6D5A1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1．入科登记：可查询到新入院患者信息，办理入科登记、分配床位。</w:t>
            </w:r>
          </w:p>
        </w:tc>
        <w:tc>
          <w:tcPr>
            <w:tcW w:w="479" w:type="pct"/>
            <w:vMerge w:val="restart"/>
            <w:shd w:val="clear" w:color="auto" w:fill="auto"/>
            <w:vAlign w:val="center"/>
          </w:tcPr>
          <w:p w14:paraId="768B104D">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1AE15509">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63C3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6DD625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E4C2BE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781189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804530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2．出科登记：患者结算前完成出科登记操作。</w:t>
            </w:r>
          </w:p>
        </w:tc>
        <w:tc>
          <w:tcPr>
            <w:tcW w:w="479" w:type="pct"/>
            <w:vMerge w:val="continue"/>
            <w:shd w:val="clear" w:color="auto" w:fill="auto"/>
            <w:vAlign w:val="center"/>
          </w:tcPr>
          <w:p w14:paraId="22A690D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578B5E2">
            <w:pPr>
              <w:jc w:val="center"/>
              <w:rPr>
                <w:rFonts w:hint="eastAsia" w:asciiTheme="minorEastAsia" w:hAnsiTheme="minorEastAsia" w:eastAsiaTheme="minorEastAsia" w:cstheme="minorEastAsia"/>
                <w:color w:val="000000"/>
                <w:sz w:val="20"/>
                <w:szCs w:val="20"/>
              </w:rPr>
            </w:pPr>
          </w:p>
        </w:tc>
      </w:tr>
      <w:tr w14:paraId="5F5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6F64EE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375921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07040C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840932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病区信息一览表：可查看全科患者信息、未入科患者信息、出科患者信息，同时支持按照住院号、姓名、床号进行患者检索，患者信息卡可显示患者姓名、编号、年龄、入院时间、医护人员姓名、诊断名称、已使用费用、余额、费用类别，可按照护理级别进行颜色标注。</w:t>
            </w:r>
          </w:p>
        </w:tc>
        <w:tc>
          <w:tcPr>
            <w:tcW w:w="479" w:type="pct"/>
            <w:vMerge w:val="continue"/>
            <w:shd w:val="clear" w:color="auto" w:fill="auto"/>
            <w:vAlign w:val="center"/>
          </w:tcPr>
          <w:p w14:paraId="219054E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5033F5E">
            <w:pPr>
              <w:jc w:val="center"/>
              <w:rPr>
                <w:rFonts w:hint="eastAsia" w:asciiTheme="minorEastAsia" w:hAnsiTheme="minorEastAsia" w:eastAsiaTheme="minorEastAsia" w:cstheme="minorEastAsia"/>
                <w:color w:val="000000"/>
                <w:sz w:val="20"/>
                <w:szCs w:val="20"/>
              </w:rPr>
            </w:pPr>
          </w:p>
        </w:tc>
      </w:tr>
      <w:tr w14:paraId="338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4F8819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3D65CE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2B0770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822438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医嘱查对：可按照病区患者查询患者长期医嘱和临时医嘱，同时可查看新开、已转抄、已发药、已执行、停止的医嘱。转抄通过的医嘱可进行转抄撤销操作，每条医嘱可附带医材录入，附带的医材可由护士录入或维护新附属医嘱来自动录入。</w:t>
            </w:r>
          </w:p>
        </w:tc>
        <w:tc>
          <w:tcPr>
            <w:tcW w:w="479" w:type="pct"/>
            <w:vMerge w:val="continue"/>
            <w:shd w:val="clear" w:color="auto" w:fill="auto"/>
            <w:vAlign w:val="center"/>
          </w:tcPr>
          <w:p w14:paraId="65D7A36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8130267">
            <w:pPr>
              <w:jc w:val="center"/>
              <w:rPr>
                <w:rFonts w:hint="eastAsia" w:asciiTheme="minorEastAsia" w:hAnsiTheme="minorEastAsia" w:eastAsiaTheme="minorEastAsia" w:cstheme="minorEastAsia"/>
                <w:color w:val="000000"/>
                <w:sz w:val="20"/>
                <w:szCs w:val="20"/>
              </w:rPr>
            </w:pPr>
          </w:p>
        </w:tc>
      </w:tr>
      <w:tr w14:paraId="40F8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16DF2A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D7276E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098244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2F0C12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5．申请摆药：对于转抄后的药品类医嘱以及未停的长期医嘱，系统支持自动生成申请摆药单信息。根据长期医嘱或临时医嘱产生医嘱汇总和医嘱明细。</w:t>
            </w:r>
          </w:p>
        </w:tc>
        <w:tc>
          <w:tcPr>
            <w:tcW w:w="479" w:type="pct"/>
            <w:vMerge w:val="continue"/>
            <w:shd w:val="clear" w:color="auto" w:fill="auto"/>
            <w:vAlign w:val="center"/>
          </w:tcPr>
          <w:p w14:paraId="52FD178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B109EBC">
            <w:pPr>
              <w:jc w:val="center"/>
              <w:rPr>
                <w:rFonts w:hint="eastAsia" w:asciiTheme="minorEastAsia" w:hAnsiTheme="minorEastAsia" w:eastAsiaTheme="minorEastAsia" w:cstheme="minorEastAsia"/>
                <w:color w:val="000000"/>
                <w:sz w:val="20"/>
                <w:szCs w:val="20"/>
              </w:rPr>
            </w:pPr>
          </w:p>
        </w:tc>
      </w:tr>
      <w:tr w14:paraId="2D75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584436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555485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169BA6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ED0353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医嘱执行：长期医嘱、临时医嘱可按科室一次全部执行。执行长期医嘱时可弹出该科室所有病人住院号、科床号等信息，由护士进行选择，被选中的病人的医嘱可一次同时执行，通过医嘱执行可以打印输液单、静滴单、口服药单、注射单、治疗单、处置单等临床执行单。</w:t>
            </w:r>
          </w:p>
        </w:tc>
        <w:tc>
          <w:tcPr>
            <w:tcW w:w="479" w:type="pct"/>
            <w:vMerge w:val="continue"/>
            <w:shd w:val="clear" w:color="auto" w:fill="auto"/>
            <w:vAlign w:val="center"/>
          </w:tcPr>
          <w:p w14:paraId="69680C3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073FDDE">
            <w:pPr>
              <w:jc w:val="center"/>
              <w:rPr>
                <w:rFonts w:hint="eastAsia" w:asciiTheme="minorEastAsia" w:hAnsiTheme="minorEastAsia" w:eastAsiaTheme="minorEastAsia" w:cstheme="minorEastAsia"/>
                <w:color w:val="000000"/>
                <w:sz w:val="20"/>
                <w:szCs w:val="20"/>
              </w:rPr>
            </w:pPr>
          </w:p>
        </w:tc>
      </w:tr>
      <w:tr w14:paraId="3257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6165CD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5B8AD1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A1FFDA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FDA037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7．费用录入：可对药品、临时用药进行录入，支持一天领多日药品，已解决药房集中领药问题。</w:t>
            </w:r>
          </w:p>
        </w:tc>
        <w:tc>
          <w:tcPr>
            <w:tcW w:w="479" w:type="pct"/>
            <w:vMerge w:val="continue"/>
            <w:shd w:val="clear" w:color="auto" w:fill="auto"/>
            <w:vAlign w:val="center"/>
          </w:tcPr>
          <w:p w14:paraId="543FD72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E9BF1D8">
            <w:pPr>
              <w:jc w:val="center"/>
              <w:rPr>
                <w:rFonts w:hint="eastAsia" w:asciiTheme="minorEastAsia" w:hAnsiTheme="minorEastAsia" w:eastAsiaTheme="minorEastAsia" w:cstheme="minorEastAsia"/>
                <w:color w:val="000000"/>
                <w:sz w:val="20"/>
                <w:szCs w:val="20"/>
              </w:rPr>
            </w:pPr>
          </w:p>
        </w:tc>
      </w:tr>
      <w:tr w14:paraId="188F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9725C7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9B28B6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90AD7E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12AE8C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体温单：支持脉搏、心率、体温、降温、疼痛、干预疼痛、呼吸、血压、大便、尿量、入量、出量、身高、体重、SP02、血压、药物过敏等数据录入，保存后自动生成体温单，支持按不同颜色显示体温计脉搏疼痛曲线。</w:t>
            </w:r>
          </w:p>
        </w:tc>
        <w:tc>
          <w:tcPr>
            <w:tcW w:w="479" w:type="pct"/>
            <w:vMerge w:val="continue"/>
            <w:shd w:val="clear" w:color="auto" w:fill="auto"/>
            <w:vAlign w:val="center"/>
          </w:tcPr>
          <w:p w14:paraId="266AF7D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E4848E1">
            <w:pPr>
              <w:jc w:val="center"/>
              <w:rPr>
                <w:rFonts w:hint="eastAsia" w:asciiTheme="minorEastAsia" w:hAnsiTheme="minorEastAsia" w:eastAsiaTheme="minorEastAsia" w:cstheme="minorEastAsia"/>
                <w:color w:val="000000"/>
                <w:sz w:val="20"/>
                <w:szCs w:val="20"/>
              </w:rPr>
            </w:pPr>
          </w:p>
        </w:tc>
      </w:tr>
      <w:tr w14:paraId="7392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2C26AB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926662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89A555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6939F1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9．一日清单：支持打印患者住院费用一日清单，可按科室、指定住院号进行打印。</w:t>
            </w:r>
          </w:p>
        </w:tc>
        <w:tc>
          <w:tcPr>
            <w:tcW w:w="479" w:type="pct"/>
            <w:vMerge w:val="continue"/>
            <w:shd w:val="clear" w:color="auto" w:fill="auto"/>
            <w:vAlign w:val="center"/>
          </w:tcPr>
          <w:p w14:paraId="2F5A489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E0D4155">
            <w:pPr>
              <w:jc w:val="center"/>
              <w:rPr>
                <w:rFonts w:hint="eastAsia" w:asciiTheme="minorEastAsia" w:hAnsiTheme="minorEastAsia" w:eastAsiaTheme="minorEastAsia" w:cstheme="minorEastAsia"/>
                <w:color w:val="000000"/>
                <w:sz w:val="20"/>
                <w:szCs w:val="20"/>
              </w:rPr>
            </w:pPr>
          </w:p>
        </w:tc>
      </w:tr>
      <w:tr w14:paraId="0C2B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4A8958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594CFE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067504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8F3B2F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10．可根据病人余额情况打印催款单。</w:t>
            </w:r>
          </w:p>
        </w:tc>
        <w:tc>
          <w:tcPr>
            <w:tcW w:w="479" w:type="pct"/>
            <w:vMerge w:val="continue"/>
            <w:shd w:val="clear" w:color="auto" w:fill="auto"/>
            <w:vAlign w:val="center"/>
          </w:tcPr>
          <w:p w14:paraId="4AC21E4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5D41140">
            <w:pPr>
              <w:jc w:val="center"/>
              <w:rPr>
                <w:rFonts w:hint="eastAsia" w:asciiTheme="minorEastAsia" w:hAnsiTheme="minorEastAsia" w:eastAsiaTheme="minorEastAsia" w:cstheme="minorEastAsia"/>
                <w:color w:val="000000"/>
                <w:sz w:val="20"/>
                <w:szCs w:val="20"/>
              </w:rPr>
            </w:pPr>
          </w:p>
        </w:tc>
      </w:tr>
      <w:tr w14:paraId="2240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19DD8B03">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w:t>
            </w:r>
          </w:p>
        </w:tc>
        <w:tc>
          <w:tcPr>
            <w:tcW w:w="624" w:type="pct"/>
            <w:vMerge w:val="continue"/>
            <w:shd w:val="clear" w:color="auto" w:fill="auto"/>
            <w:vAlign w:val="center"/>
          </w:tcPr>
          <w:p w14:paraId="37FE2630">
            <w:pPr>
              <w:jc w:val="center"/>
              <w:rPr>
                <w:rFonts w:hint="eastAsia" w:asciiTheme="minorEastAsia" w:hAnsiTheme="minorEastAsia" w:eastAsiaTheme="minorEastAsia" w:cstheme="minorEastAsia"/>
                <w:color w:val="000000"/>
                <w:sz w:val="20"/>
                <w:szCs w:val="20"/>
              </w:rPr>
            </w:pPr>
          </w:p>
        </w:tc>
        <w:tc>
          <w:tcPr>
            <w:tcW w:w="600" w:type="pct"/>
            <w:vMerge w:val="restart"/>
            <w:shd w:val="clear" w:color="auto" w:fill="auto"/>
            <w:vAlign w:val="center"/>
          </w:tcPr>
          <w:p w14:paraId="586379DC">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入院管理系统</w:t>
            </w:r>
          </w:p>
        </w:tc>
        <w:tc>
          <w:tcPr>
            <w:tcW w:w="2477" w:type="pct"/>
            <w:shd w:val="clear" w:color="auto" w:fill="auto"/>
            <w:vAlign w:val="center"/>
          </w:tcPr>
          <w:p w14:paraId="2B5FDD5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1．待入院患者管理：待入院患者列表，同步住院证信息，查看全院当前待入院患者（需对接门诊医生工作站）。</w:t>
            </w:r>
          </w:p>
        </w:tc>
        <w:tc>
          <w:tcPr>
            <w:tcW w:w="479" w:type="pct"/>
            <w:vMerge w:val="restart"/>
            <w:shd w:val="clear" w:color="auto" w:fill="auto"/>
            <w:vAlign w:val="center"/>
          </w:tcPr>
          <w:p w14:paraId="61975BB4">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491F7372">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1E5F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3E640F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06880E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614467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D9F458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2．待入院患者检索：支撑多种筛选方式进行检索患者。</w:t>
            </w:r>
          </w:p>
        </w:tc>
        <w:tc>
          <w:tcPr>
            <w:tcW w:w="479" w:type="pct"/>
            <w:vMerge w:val="continue"/>
            <w:shd w:val="clear" w:color="auto" w:fill="auto"/>
            <w:vAlign w:val="center"/>
          </w:tcPr>
          <w:p w14:paraId="0FF82BF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C53F4A1">
            <w:pPr>
              <w:jc w:val="center"/>
              <w:rPr>
                <w:rFonts w:hint="eastAsia" w:asciiTheme="minorEastAsia" w:hAnsiTheme="minorEastAsia" w:eastAsiaTheme="minorEastAsia" w:cstheme="minorEastAsia"/>
                <w:color w:val="000000"/>
                <w:sz w:val="20"/>
                <w:szCs w:val="20"/>
              </w:rPr>
            </w:pPr>
          </w:p>
        </w:tc>
      </w:tr>
      <w:tr w14:paraId="0D8B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8B62E5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1DFC98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23621D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4A145B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3．入院登记：读身份证识别患者，对接硬件读身份证识别患者信息（硬件支持）并将身份信息回填。</w:t>
            </w:r>
          </w:p>
        </w:tc>
        <w:tc>
          <w:tcPr>
            <w:tcW w:w="479" w:type="pct"/>
            <w:vMerge w:val="continue"/>
            <w:shd w:val="clear" w:color="auto" w:fill="auto"/>
            <w:vAlign w:val="center"/>
          </w:tcPr>
          <w:p w14:paraId="556F0F2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75E4B92">
            <w:pPr>
              <w:jc w:val="center"/>
              <w:rPr>
                <w:rFonts w:hint="eastAsia" w:asciiTheme="minorEastAsia" w:hAnsiTheme="minorEastAsia" w:eastAsiaTheme="minorEastAsia" w:cstheme="minorEastAsia"/>
                <w:color w:val="000000"/>
                <w:sz w:val="20"/>
                <w:szCs w:val="20"/>
              </w:rPr>
            </w:pPr>
          </w:p>
        </w:tc>
      </w:tr>
      <w:tr w14:paraId="086E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096DBD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04B281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15B756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EF4661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4．读社保卡识别患者，对接硬件读社保卡识别患者信息（硬件支持、医保接口对接）并将身份信息回填。</w:t>
            </w:r>
          </w:p>
        </w:tc>
        <w:tc>
          <w:tcPr>
            <w:tcW w:w="479" w:type="pct"/>
            <w:vMerge w:val="continue"/>
            <w:shd w:val="clear" w:color="auto" w:fill="auto"/>
            <w:vAlign w:val="center"/>
          </w:tcPr>
          <w:p w14:paraId="4407D73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076A2DA">
            <w:pPr>
              <w:jc w:val="center"/>
              <w:rPr>
                <w:rFonts w:hint="eastAsia" w:asciiTheme="minorEastAsia" w:hAnsiTheme="minorEastAsia" w:eastAsiaTheme="minorEastAsia" w:cstheme="minorEastAsia"/>
                <w:color w:val="000000"/>
                <w:sz w:val="20"/>
                <w:szCs w:val="20"/>
              </w:rPr>
            </w:pPr>
          </w:p>
        </w:tc>
      </w:tr>
      <w:tr w14:paraId="3CBA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AA3867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DE9589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21AC57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5EBACF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5．患者医保信息：保险机构、医疗类别、医保号、账户余额等。</w:t>
            </w:r>
          </w:p>
        </w:tc>
        <w:tc>
          <w:tcPr>
            <w:tcW w:w="479" w:type="pct"/>
            <w:vMerge w:val="continue"/>
            <w:shd w:val="clear" w:color="auto" w:fill="auto"/>
            <w:vAlign w:val="center"/>
          </w:tcPr>
          <w:p w14:paraId="20B8D4B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D58D379">
            <w:pPr>
              <w:jc w:val="center"/>
              <w:rPr>
                <w:rFonts w:hint="eastAsia" w:asciiTheme="minorEastAsia" w:hAnsiTheme="minorEastAsia" w:eastAsiaTheme="minorEastAsia" w:cstheme="minorEastAsia"/>
                <w:color w:val="000000"/>
                <w:sz w:val="20"/>
                <w:szCs w:val="20"/>
              </w:rPr>
            </w:pPr>
          </w:p>
        </w:tc>
      </w:tr>
      <w:tr w14:paraId="0C0E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A95B14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83488A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1163B9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4AA083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6．患者基本信息：个人信息、家庭信息、联系人信息（患者中心提供能力）。</w:t>
            </w:r>
          </w:p>
        </w:tc>
        <w:tc>
          <w:tcPr>
            <w:tcW w:w="479" w:type="pct"/>
            <w:vMerge w:val="continue"/>
            <w:shd w:val="clear" w:color="auto" w:fill="auto"/>
            <w:vAlign w:val="center"/>
          </w:tcPr>
          <w:p w14:paraId="4F4A41E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77974FF">
            <w:pPr>
              <w:jc w:val="center"/>
              <w:rPr>
                <w:rFonts w:hint="eastAsia" w:asciiTheme="minorEastAsia" w:hAnsiTheme="minorEastAsia" w:eastAsiaTheme="minorEastAsia" w:cstheme="minorEastAsia"/>
                <w:color w:val="000000"/>
                <w:sz w:val="20"/>
                <w:szCs w:val="20"/>
              </w:rPr>
            </w:pPr>
          </w:p>
        </w:tc>
      </w:tr>
      <w:tr w14:paraId="0C86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54D675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BBA0A4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D720B7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BBC5FC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7．患者住院信息：入院科室、病区、可用床位数量、入院病况、入院目的、门诊诊断、入院诊断等。</w:t>
            </w:r>
          </w:p>
        </w:tc>
        <w:tc>
          <w:tcPr>
            <w:tcW w:w="479" w:type="pct"/>
            <w:vMerge w:val="continue"/>
            <w:shd w:val="clear" w:color="auto" w:fill="auto"/>
            <w:vAlign w:val="center"/>
          </w:tcPr>
          <w:p w14:paraId="1FE832C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145FB74">
            <w:pPr>
              <w:jc w:val="center"/>
              <w:rPr>
                <w:rFonts w:hint="eastAsia" w:asciiTheme="minorEastAsia" w:hAnsiTheme="minorEastAsia" w:eastAsiaTheme="minorEastAsia" w:cstheme="minorEastAsia"/>
                <w:color w:val="000000"/>
                <w:sz w:val="20"/>
                <w:szCs w:val="20"/>
              </w:rPr>
            </w:pPr>
          </w:p>
        </w:tc>
      </w:tr>
      <w:tr w14:paraId="33D0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14D55E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5C3BD1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7B45BC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54BA52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8．患者住院信息修改：编辑登记，帮患者办理登记信息的变更。</w:t>
            </w:r>
          </w:p>
        </w:tc>
        <w:tc>
          <w:tcPr>
            <w:tcW w:w="479" w:type="pct"/>
            <w:vMerge w:val="continue"/>
            <w:shd w:val="clear" w:color="auto" w:fill="auto"/>
            <w:vAlign w:val="center"/>
          </w:tcPr>
          <w:p w14:paraId="4F1B888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41FDEAA">
            <w:pPr>
              <w:jc w:val="center"/>
              <w:rPr>
                <w:rFonts w:hint="eastAsia" w:asciiTheme="minorEastAsia" w:hAnsiTheme="minorEastAsia" w:eastAsiaTheme="minorEastAsia" w:cstheme="minorEastAsia"/>
                <w:color w:val="000000"/>
                <w:sz w:val="20"/>
                <w:szCs w:val="20"/>
              </w:rPr>
            </w:pPr>
          </w:p>
        </w:tc>
      </w:tr>
      <w:tr w14:paraId="17A3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B98D31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C63490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8F954C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D4D157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9．无费入院：校验是否可以帮患者办理无费入院。</w:t>
            </w:r>
          </w:p>
        </w:tc>
        <w:tc>
          <w:tcPr>
            <w:tcW w:w="479" w:type="pct"/>
            <w:vMerge w:val="continue"/>
            <w:shd w:val="clear" w:color="auto" w:fill="auto"/>
            <w:vAlign w:val="center"/>
          </w:tcPr>
          <w:p w14:paraId="0DAC1C0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F48485B">
            <w:pPr>
              <w:jc w:val="center"/>
              <w:rPr>
                <w:rFonts w:hint="eastAsia" w:asciiTheme="minorEastAsia" w:hAnsiTheme="minorEastAsia" w:eastAsiaTheme="minorEastAsia" w:cstheme="minorEastAsia"/>
                <w:color w:val="000000"/>
                <w:sz w:val="20"/>
                <w:szCs w:val="20"/>
              </w:rPr>
            </w:pPr>
          </w:p>
        </w:tc>
      </w:tr>
      <w:tr w14:paraId="5E42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29F4DD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E3E550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4D0AAD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8C0DEB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10．读身份证识别患者，对接硬件读身份证识别患者信息（硬件支持）并将身份信息回填。</w:t>
            </w:r>
          </w:p>
        </w:tc>
        <w:tc>
          <w:tcPr>
            <w:tcW w:w="479" w:type="pct"/>
            <w:vMerge w:val="continue"/>
            <w:shd w:val="clear" w:color="auto" w:fill="auto"/>
            <w:vAlign w:val="center"/>
          </w:tcPr>
          <w:p w14:paraId="14A9EFD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9E114F2">
            <w:pPr>
              <w:jc w:val="center"/>
              <w:rPr>
                <w:rFonts w:hint="eastAsia" w:asciiTheme="minorEastAsia" w:hAnsiTheme="minorEastAsia" w:eastAsiaTheme="minorEastAsia" w:cstheme="minorEastAsia"/>
                <w:color w:val="000000"/>
                <w:sz w:val="20"/>
                <w:szCs w:val="20"/>
              </w:rPr>
            </w:pPr>
          </w:p>
        </w:tc>
      </w:tr>
      <w:tr w14:paraId="570B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457302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88464D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4D8177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42B132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11．读社保卡识别患者，对接硬件读社保卡识别患者信息（硬件支持、医保接口对接）并将身份信息回填。</w:t>
            </w:r>
          </w:p>
        </w:tc>
        <w:tc>
          <w:tcPr>
            <w:tcW w:w="479" w:type="pct"/>
            <w:vMerge w:val="continue"/>
            <w:shd w:val="clear" w:color="auto" w:fill="auto"/>
            <w:vAlign w:val="center"/>
          </w:tcPr>
          <w:p w14:paraId="7C824E8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1AFCDB0">
            <w:pPr>
              <w:jc w:val="center"/>
              <w:rPr>
                <w:rFonts w:hint="eastAsia" w:asciiTheme="minorEastAsia" w:hAnsiTheme="minorEastAsia" w:eastAsiaTheme="minorEastAsia" w:cstheme="minorEastAsia"/>
                <w:color w:val="000000"/>
                <w:sz w:val="20"/>
                <w:szCs w:val="20"/>
              </w:rPr>
            </w:pPr>
          </w:p>
        </w:tc>
      </w:tr>
      <w:tr w14:paraId="0E54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92E161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8EE5E7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29E7AF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3C771C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12．扫电子健康卡二维码检索患者，对接硬件扫电子健康卡二维码识别者信息（硬件支持、电子健康卡接口对接）并将身份信息回填。</w:t>
            </w:r>
          </w:p>
        </w:tc>
        <w:tc>
          <w:tcPr>
            <w:tcW w:w="479" w:type="pct"/>
            <w:vMerge w:val="continue"/>
            <w:shd w:val="clear" w:color="auto" w:fill="auto"/>
            <w:vAlign w:val="center"/>
          </w:tcPr>
          <w:p w14:paraId="7CBBE9D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9424DCD">
            <w:pPr>
              <w:jc w:val="center"/>
              <w:rPr>
                <w:rFonts w:hint="eastAsia" w:asciiTheme="minorEastAsia" w:hAnsiTheme="minorEastAsia" w:eastAsiaTheme="minorEastAsia" w:cstheme="minorEastAsia"/>
                <w:color w:val="000000"/>
                <w:sz w:val="20"/>
                <w:szCs w:val="20"/>
              </w:rPr>
            </w:pPr>
          </w:p>
        </w:tc>
      </w:tr>
      <w:tr w14:paraId="602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370664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B20416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4E95E1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FC1729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13．患者基本信息：个人信息、家庭信息、联系人信息。</w:t>
            </w:r>
          </w:p>
        </w:tc>
        <w:tc>
          <w:tcPr>
            <w:tcW w:w="479" w:type="pct"/>
            <w:vMerge w:val="continue"/>
            <w:shd w:val="clear" w:color="auto" w:fill="auto"/>
            <w:vAlign w:val="center"/>
          </w:tcPr>
          <w:p w14:paraId="5FF0C43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B0913C3">
            <w:pPr>
              <w:jc w:val="center"/>
              <w:rPr>
                <w:rFonts w:hint="eastAsia" w:asciiTheme="minorEastAsia" w:hAnsiTheme="minorEastAsia" w:eastAsiaTheme="minorEastAsia" w:cstheme="minorEastAsia"/>
                <w:color w:val="000000"/>
                <w:sz w:val="20"/>
                <w:szCs w:val="20"/>
              </w:rPr>
            </w:pPr>
          </w:p>
        </w:tc>
      </w:tr>
      <w:tr w14:paraId="2E3D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729E41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0503DE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6BA1E2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8E4854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14．入院患者管理：入院患者列表，查看全院的住院患者以及患者实时的在院状态（入院、在院、转科、出院）和实时的费用情况（预交款、当前消费、余额）。</w:t>
            </w:r>
          </w:p>
        </w:tc>
        <w:tc>
          <w:tcPr>
            <w:tcW w:w="479" w:type="pct"/>
            <w:vMerge w:val="continue"/>
            <w:shd w:val="clear" w:color="auto" w:fill="auto"/>
            <w:vAlign w:val="center"/>
          </w:tcPr>
          <w:p w14:paraId="48A4FB0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CC7AE01">
            <w:pPr>
              <w:jc w:val="center"/>
              <w:rPr>
                <w:rFonts w:hint="eastAsia" w:asciiTheme="minorEastAsia" w:hAnsiTheme="minorEastAsia" w:eastAsiaTheme="minorEastAsia" w:cstheme="minorEastAsia"/>
                <w:color w:val="000000"/>
                <w:sz w:val="20"/>
                <w:szCs w:val="20"/>
              </w:rPr>
            </w:pPr>
          </w:p>
        </w:tc>
      </w:tr>
      <w:tr w14:paraId="0992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E830A3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9DEB09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29DB53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1D3449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15．入院患者检索，多种筛选方式进行检索患者：患者姓名、入院时间、患者类别、入院病区。</w:t>
            </w:r>
          </w:p>
        </w:tc>
        <w:tc>
          <w:tcPr>
            <w:tcW w:w="479" w:type="pct"/>
            <w:vMerge w:val="continue"/>
            <w:shd w:val="clear" w:color="auto" w:fill="auto"/>
            <w:vAlign w:val="center"/>
          </w:tcPr>
          <w:p w14:paraId="7B6B14C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1F83ABE">
            <w:pPr>
              <w:jc w:val="center"/>
              <w:rPr>
                <w:rFonts w:hint="eastAsia" w:asciiTheme="minorEastAsia" w:hAnsiTheme="minorEastAsia" w:eastAsiaTheme="minorEastAsia" w:cstheme="minorEastAsia"/>
                <w:color w:val="000000"/>
                <w:sz w:val="20"/>
                <w:szCs w:val="20"/>
              </w:rPr>
            </w:pPr>
          </w:p>
        </w:tc>
      </w:tr>
      <w:tr w14:paraId="328D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F5ECCE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92C05E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E3DF39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3C2EE9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16．医保信息查询：医保查询，对接医保平台，进行患者医保信息的查询。</w:t>
            </w:r>
          </w:p>
        </w:tc>
        <w:tc>
          <w:tcPr>
            <w:tcW w:w="479" w:type="pct"/>
            <w:vMerge w:val="continue"/>
            <w:shd w:val="clear" w:color="auto" w:fill="auto"/>
            <w:vAlign w:val="center"/>
          </w:tcPr>
          <w:p w14:paraId="7F45BD1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4291F74">
            <w:pPr>
              <w:jc w:val="center"/>
              <w:rPr>
                <w:rFonts w:hint="eastAsia" w:asciiTheme="minorEastAsia" w:hAnsiTheme="minorEastAsia" w:eastAsiaTheme="minorEastAsia" w:cstheme="minorEastAsia"/>
                <w:color w:val="000000"/>
                <w:sz w:val="20"/>
                <w:szCs w:val="20"/>
              </w:rPr>
            </w:pPr>
          </w:p>
        </w:tc>
      </w:tr>
      <w:tr w14:paraId="6722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6E7F51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99E24D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EDE9E8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F28AC5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17．医保患者转自费：医保业务变更，对接医保平台，进行患者医保信息的变更。</w:t>
            </w:r>
          </w:p>
        </w:tc>
        <w:tc>
          <w:tcPr>
            <w:tcW w:w="479" w:type="pct"/>
            <w:vMerge w:val="continue"/>
            <w:shd w:val="clear" w:color="auto" w:fill="auto"/>
            <w:vAlign w:val="center"/>
          </w:tcPr>
          <w:p w14:paraId="79AA028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B6F8E3C">
            <w:pPr>
              <w:jc w:val="center"/>
              <w:rPr>
                <w:rFonts w:hint="eastAsia" w:asciiTheme="minorEastAsia" w:hAnsiTheme="minorEastAsia" w:eastAsiaTheme="minorEastAsia" w:cstheme="minorEastAsia"/>
                <w:color w:val="000000"/>
                <w:sz w:val="20"/>
                <w:szCs w:val="20"/>
              </w:rPr>
            </w:pPr>
          </w:p>
        </w:tc>
      </w:tr>
      <w:tr w14:paraId="71A3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976AFE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0A639C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6B1095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6830BD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18．预交款查询：预交款查询，可查询患者当前的预交款以及预交款变更记录。</w:t>
            </w:r>
          </w:p>
        </w:tc>
        <w:tc>
          <w:tcPr>
            <w:tcW w:w="479" w:type="pct"/>
            <w:vMerge w:val="continue"/>
            <w:shd w:val="clear" w:color="auto" w:fill="auto"/>
            <w:vAlign w:val="center"/>
          </w:tcPr>
          <w:p w14:paraId="7A9C5B5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220A1A8">
            <w:pPr>
              <w:jc w:val="center"/>
              <w:rPr>
                <w:rFonts w:hint="eastAsia" w:asciiTheme="minorEastAsia" w:hAnsiTheme="minorEastAsia" w:eastAsiaTheme="minorEastAsia" w:cstheme="minorEastAsia"/>
                <w:color w:val="000000"/>
                <w:sz w:val="20"/>
                <w:szCs w:val="20"/>
              </w:rPr>
            </w:pPr>
          </w:p>
        </w:tc>
      </w:tr>
      <w:tr w14:paraId="5882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993FA8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82CDC3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A18102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FAE71D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19．收取预交款收费：收取预交款收费，复用住院收费能力，患者可在登记处直接缴纳预交款。</w:t>
            </w:r>
          </w:p>
        </w:tc>
        <w:tc>
          <w:tcPr>
            <w:tcW w:w="479" w:type="pct"/>
            <w:vMerge w:val="continue"/>
            <w:shd w:val="clear" w:color="auto" w:fill="auto"/>
            <w:vAlign w:val="center"/>
          </w:tcPr>
          <w:p w14:paraId="7AAA909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339A56F">
            <w:pPr>
              <w:jc w:val="center"/>
              <w:rPr>
                <w:rFonts w:hint="eastAsia" w:asciiTheme="minorEastAsia" w:hAnsiTheme="minorEastAsia" w:eastAsiaTheme="minorEastAsia" w:cstheme="minorEastAsia"/>
                <w:color w:val="000000"/>
                <w:sz w:val="20"/>
                <w:szCs w:val="20"/>
              </w:rPr>
            </w:pPr>
          </w:p>
        </w:tc>
      </w:tr>
      <w:tr w14:paraId="027E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4B9FA7F5">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w:t>
            </w:r>
          </w:p>
        </w:tc>
        <w:tc>
          <w:tcPr>
            <w:tcW w:w="624" w:type="pct"/>
            <w:vMerge w:val="continue"/>
            <w:shd w:val="clear" w:color="auto" w:fill="auto"/>
            <w:vAlign w:val="center"/>
          </w:tcPr>
          <w:p w14:paraId="439B1F17">
            <w:pPr>
              <w:jc w:val="center"/>
              <w:rPr>
                <w:rFonts w:hint="eastAsia" w:asciiTheme="minorEastAsia" w:hAnsiTheme="minorEastAsia" w:eastAsiaTheme="minorEastAsia" w:cstheme="minorEastAsia"/>
                <w:color w:val="000000"/>
                <w:sz w:val="20"/>
                <w:szCs w:val="20"/>
              </w:rPr>
            </w:pPr>
          </w:p>
        </w:tc>
        <w:tc>
          <w:tcPr>
            <w:tcW w:w="600" w:type="pct"/>
            <w:vMerge w:val="restart"/>
            <w:shd w:val="clear" w:color="auto" w:fill="auto"/>
            <w:vAlign w:val="center"/>
          </w:tcPr>
          <w:p w14:paraId="0F511E1E">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收费管理系统</w:t>
            </w:r>
          </w:p>
        </w:tc>
        <w:tc>
          <w:tcPr>
            <w:tcW w:w="2477" w:type="pct"/>
            <w:shd w:val="clear" w:color="auto" w:fill="auto"/>
            <w:vAlign w:val="center"/>
          </w:tcPr>
          <w:p w14:paraId="179003A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1．发票管理：</w:t>
            </w:r>
          </w:p>
        </w:tc>
        <w:tc>
          <w:tcPr>
            <w:tcW w:w="479" w:type="pct"/>
            <w:vMerge w:val="restart"/>
            <w:shd w:val="clear" w:color="auto" w:fill="auto"/>
            <w:vAlign w:val="center"/>
          </w:tcPr>
          <w:p w14:paraId="15B916A9">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3F63BC88">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55E1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4DCF32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344341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11C21D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C8233C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1）票据管理：票据检索，支持领用人、登记人、登记时间检索、展示票据列表、展示票据的使用记录信息、展示票据的作废记录信息。</w:t>
            </w:r>
          </w:p>
        </w:tc>
        <w:tc>
          <w:tcPr>
            <w:tcW w:w="479" w:type="pct"/>
            <w:vMerge w:val="continue"/>
            <w:shd w:val="clear" w:color="auto" w:fill="auto"/>
            <w:vAlign w:val="center"/>
          </w:tcPr>
          <w:p w14:paraId="0390A44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AEC08A2">
            <w:pPr>
              <w:jc w:val="center"/>
              <w:rPr>
                <w:rFonts w:hint="eastAsia" w:asciiTheme="minorEastAsia" w:hAnsiTheme="minorEastAsia" w:eastAsiaTheme="minorEastAsia" w:cstheme="minorEastAsia"/>
                <w:color w:val="000000"/>
                <w:sz w:val="20"/>
                <w:szCs w:val="20"/>
              </w:rPr>
            </w:pPr>
          </w:p>
        </w:tc>
      </w:tr>
      <w:tr w14:paraId="77B9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71BA7A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9040DB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18CD38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896F6B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2）领用票据（弹窗）：领用票据表单，展示和填写领用票据表单字段。</w:t>
            </w:r>
          </w:p>
        </w:tc>
        <w:tc>
          <w:tcPr>
            <w:tcW w:w="479" w:type="pct"/>
            <w:vMerge w:val="continue"/>
            <w:shd w:val="clear" w:color="auto" w:fill="auto"/>
            <w:vAlign w:val="center"/>
          </w:tcPr>
          <w:p w14:paraId="3D9926E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72D745D">
            <w:pPr>
              <w:jc w:val="center"/>
              <w:rPr>
                <w:rFonts w:hint="eastAsia" w:asciiTheme="minorEastAsia" w:hAnsiTheme="minorEastAsia" w:eastAsiaTheme="minorEastAsia" w:cstheme="minorEastAsia"/>
                <w:color w:val="000000"/>
                <w:sz w:val="20"/>
                <w:szCs w:val="20"/>
              </w:rPr>
            </w:pPr>
          </w:p>
        </w:tc>
      </w:tr>
      <w:tr w14:paraId="6D61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A41384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FB371C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DDABD6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58AA7A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2．财务核算管理：</w:t>
            </w:r>
          </w:p>
        </w:tc>
        <w:tc>
          <w:tcPr>
            <w:tcW w:w="479" w:type="pct"/>
            <w:vMerge w:val="continue"/>
            <w:shd w:val="clear" w:color="auto" w:fill="auto"/>
            <w:vAlign w:val="center"/>
          </w:tcPr>
          <w:p w14:paraId="5CAE358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BC2FCE5">
            <w:pPr>
              <w:jc w:val="center"/>
              <w:rPr>
                <w:rFonts w:hint="eastAsia" w:asciiTheme="minorEastAsia" w:hAnsiTheme="minorEastAsia" w:eastAsiaTheme="minorEastAsia" w:cstheme="minorEastAsia"/>
                <w:color w:val="000000"/>
                <w:sz w:val="20"/>
                <w:szCs w:val="20"/>
              </w:rPr>
            </w:pPr>
          </w:p>
        </w:tc>
      </w:tr>
      <w:tr w14:paraId="7259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46BB63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7B0548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67062B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5E37E4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1）收费员缴款：支持结账时间、结账业务、结算方式检索。</w:t>
            </w:r>
          </w:p>
        </w:tc>
        <w:tc>
          <w:tcPr>
            <w:tcW w:w="479" w:type="pct"/>
            <w:vMerge w:val="continue"/>
            <w:shd w:val="clear" w:color="auto" w:fill="auto"/>
            <w:vAlign w:val="center"/>
          </w:tcPr>
          <w:p w14:paraId="0FD7928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8C8B93A">
            <w:pPr>
              <w:jc w:val="center"/>
              <w:rPr>
                <w:rFonts w:hint="eastAsia" w:asciiTheme="minorEastAsia" w:hAnsiTheme="minorEastAsia" w:eastAsiaTheme="minorEastAsia" w:cstheme="minorEastAsia"/>
                <w:color w:val="000000"/>
                <w:sz w:val="20"/>
                <w:szCs w:val="20"/>
              </w:rPr>
            </w:pPr>
          </w:p>
        </w:tc>
      </w:tr>
      <w:tr w14:paraId="56BE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610B96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5D66FF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AA3FDA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850C56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2）已缴款记录检索：支持缴款时间、状态、业务类型、审核人检索。</w:t>
            </w:r>
          </w:p>
        </w:tc>
        <w:tc>
          <w:tcPr>
            <w:tcW w:w="479" w:type="pct"/>
            <w:vMerge w:val="continue"/>
            <w:shd w:val="clear" w:color="auto" w:fill="auto"/>
            <w:vAlign w:val="center"/>
          </w:tcPr>
          <w:p w14:paraId="0E3D1F5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3879D37">
            <w:pPr>
              <w:jc w:val="center"/>
              <w:rPr>
                <w:rFonts w:hint="eastAsia" w:asciiTheme="minorEastAsia" w:hAnsiTheme="minorEastAsia" w:eastAsiaTheme="minorEastAsia" w:cstheme="minorEastAsia"/>
                <w:color w:val="000000"/>
                <w:sz w:val="20"/>
                <w:szCs w:val="20"/>
              </w:rPr>
            </w:pPr>
          </w:p>
        </w:tc>
      </w:tr>
      <w:tr w14:paraId="096C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978182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F1175B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558B91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6770CD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3）提供医院财物状况查询统计汇总功能：包括门诊、住院收入及支出情况查询统计；药品采购、销售、调价等信息查询统计，所有统计结果支持打印功能，统计报表可按照医院要求定制。</w:t>
            </w:r>
          </w:p>
        </w:tc>
        <w:tc>
          <w:tcPr>
            <w:tcW w:w="479" w:type="pct"/>
            <w:vMerge w:val="continue"/>
            <w:shd w:val="clear" w:color="auto" w:fill="auto"/>
            <w:vAlign w:val="center"/>
          </w:tcPr>
          <w:p w14:paraId="4311679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4CFF72B">
            <w:pPr>
              <w:jc w:val="center"/>
              <w:rPr>
                <w:rFonts w:hint="eastAsia" w:asciiTheme="minorEastAsia" w:hAnsiTheme="minorEastAsia" w:eastAsiaTheme="minorEastAsia" w:cstheme="minorEastAsia"/>
                <w:color w:val="000000"/>
                <w:sz w:val="20"/>
                <w:szCs w:val="20"/>
              </w:rPr>
            </w:pPr>
          </w:p>
        </w:tc>
      </w:tr>
      <w:tr w14:paraId="100B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DC2319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27B05C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B9CC9A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7F6DD2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4）支持全院财务归类统计、全院结算汇总统计、全院费用核算统计、门诊费用核算统计、住院费用核算统计。</w:t>
            </w:r>
          </w:p>
        </w:tc>
        <w:tc>
          <w:tcPr>
            <w:tcW w:w="479" w:type="pct"/>
            <w:vMerge w:val="continue"/>
            <w:shd w:val="clear" w:color="auto" w:fill="auto"/>
            <w:vAlign w:val="center"/>
          </w:tcPr>
          <w:p w14:paraId="1D00187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4016CF3">
            <w:pPr>
              <w:jc w:val="center"/>
              <w:rPr>
                <w:rFonts w:hint="eastAsia" w:asciiTheme="minorEastAsia" w:hAnsiTheme="minorEastAsia" w:eastAsiaTheme="minorEastAsia" w:cstheme="minorEastAsia"/>
                <w:color w:val="000000"/>
                <w:sz w:val="20"/>
                <w:szCs w:val="20"/>
              </w:rPr>
            </w:pPr>
          </w:p>
        </w:tc>
      </w:tr>
      <w:tr w14:paraId="55DD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CE3E64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0EA6DD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DC1BBC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3992CB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3．门急诊挂号：</w:t>
            </w:r>
          </w:p>
        </w:tc>
        <w:tc>
          <w:tcPr>
            <w:tcW w:w="479" w:type="pct"/>
            <w:vMerge w:val="continue"/>
            <w:shd w:val="clear" w:color="auto" w:fill="auto"/>
            <w:vAlign w:val="center"/>
          </w:tcPr>
          <w:p w14:paraId="5731D7F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63C142E">
            <w:pPr>
              <w:jc w:val="center"/>
              <w:rPr>
                <w:rFonts w:hint="eastAsia" w:asciiTheme="minorEastAsia" w:hAnsiTheme="minorEastAsia" w:eastAsiaTheme="minorEastAsia" w:cstheme="minorEastAsia"/>
                <w:color w:val="000000"/>
                <w:sz w:val="20"/>
                <w:szCs w:val="20"/>
              </w:rPr>
            </w:pPr>
          </w:p>
        </w:tc>
      </w:tr>
      <w:tr w14:paraId="5983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B9334F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A73818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E1C69E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D6E267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1）系统内可配置支持在挂号窗口挂号也支持在医生站挂号。</w:t>
            </w:r>
          </w:p>
        </w:tc>
        <w:tc>
          <w:tcPr>
            <w:tcW w:w="479" w:type="pct"/>
            <w:vMerge w:val="continue"/>
            <w:shd w:val="clear" w:color="auto" w:fill="auto"/>
            <w:vAlign w:val="center"/>
          </w:tcPr>
          <w:p w14:paraId="7C577A8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2AC1381">
            <w:pPr>
              <w:jc w:val="center"/>
              <w:rPr>
                <w:rFonts w:hint="eastAsia" w:asciiTheme="minorEastAsia" w:hAnsiTheme="minorEastAsia" w:eastAsiaTheme="minorEastAsia" w:cstheme="minorEastAsia"/>
                <w:color w:val="000000"/>
                <w:sz w:val="20"/>
                <w:szCs w:val="20"/>
              </w:rPr>
            </w:pPr>
          </w:p>
        </w:tc>
      </w:tr>
      <w:tr w14:paraId="0D87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6CAC90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8D7AEC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01A685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36BB64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2）系统内支持在医生工作站挂号，支持在医生工作站读身份证信息进行快捷挂号。</w:t>
            </w:r>
          </w:p>
        </w:tc>
        <w:tc>
          <w:tcPr>
            <w:tcW w:w="479" w:type="pct"/>
            <w:vMerge w:val="continue"/>
            <w:shd w:val="clear" w:color="auto" w:fill="auto"/>
            <w:vAlign w:val="center"/>
          </w:tcPr>
          <w:p w14:paraId="3E3A578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F1E27D2">
            <w:pPr>
              <w:jc w:val="center"/>
              <w:rPr>
                <w:rFonts w:hint="eastAsia" w:asciiTheme="minorEastAsia" w:hAnsiTheme="minorEastAsia" w:eastAsiaTheme="minorEastAsia" w:cstheme="minorEastAsia"/>
                <w:color w:val="000000"/>
                <w:sz w:val="20"/>
                <w:szCs w:val="20"/>
              </w:rPr>
            </w:pPr>
          </w:p>
        </w:tc>
      </w:tr>
      <w:tr w14:paraId="3018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B0B9DB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7564C7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CD50A5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DA4E0F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3）提供各种身份的患者挂号（自费、医保）。</w:t>
            </w:r>
          </w:p>
        </w:tc>
        <w:tc>
          <w:tcPr>
            <w:tcW w:w="479" w:type="pct"/>
            <w:vMerge w:val="continue"/>
            <w:shd w:val="clear" w:color="auto" w:fill="auto"/>
            <w:vAlign w:val="center"/>
          </w:tcPr>
          <w:p w14:paraId="646E3DB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D2C3A2F">
            <w:pPr>
              <w:jc w:val="center"/>
              <w:rPr>
                <w:rFonts w:hint="eastAsia" w:asciiTheme="minorEastAsia" w:hAnsiTheme="minorEastAsia" w:eastAsiaTheme="minorEastAsia" w:cstheme="minorEastAsia"/>
                <w:color w:val="000000"/>
                <w:sz w:val="20"/>
                <w:szCs w:val="20"/>
              </w:rPr>
            </w:pPr>
          </w:p>
        </w:tc>
      </w:tr>
      <w:tr w14:paraId="2D7B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4ABF8C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67BF6F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C5F7CB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0DC61D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4）提供多种收费方式（现金、刷卡等）。</w:t>
            </w:r>
          </w:p>
        </w:tc>
        <w:tc>
          <w:tcPr>
            <w:tcW w:w="479" w:type="pct"/>
            <w:vMerge w:val="continue"/>
            <w:shd w:val="clear" w:color="auto" w:fill="auto"/>
            <w:vAlign w:val="center"/>
          </w:tcPr>
          <w:p w14:paraId="205DCC1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842167F">
            <w:pPr>
              <w:jc w:val="center"/>
              <w:rPr>
                <w:rFonts w:hint="eastAsia" w:asciiTheme="minorEastAsia" w:hAnsiTheme="minorEastAsia" w:eastAsiaTheme="minorEastAsia" w:cstheme="minorEastAsia"/>
                <w:color w:val="000000"/>
                <w:sz w:val="20"/>
                <w:szCs w:val="20"/>
              </w:rPr>
            </w:pPr>
          </w:p>
        </w:tc>
      </w:tr>
      <w:tr w14:paraId="2A30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A0DD52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72055A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4C4FA8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BEB734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5）提供不同类别的挂号包括：急诊、普通、专家挂号等。</w:t>
            </w:r>
          </w:p>
        </w:tc>
        <w:tc>
          <w:tcPr>
            <w:tcW w:w="479" w:type="pct"/>
            <w:vMerge w:val="continue"/>
            <w:shd w:val="clear" w:color="auto" w:fill="auto"/>
            <w:vAlign w:val="center"/>
          </w:tcPr>
          <w:p w14:paraId="57F7118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73DF2F3">
            <w:pPr>
              <w:jc w:val="center"/>
              <w:rPr>
                <w:rFonts w:hint="eastAsia" w:asciiTheme="minorEastAsia" w:hAnsiTheme="minorEastAsia" w:eastAsiaTheme="minorEastAsia" w:cstheme="minorEastAsia"/>
                <w:color w:val="000000"/>
                <w:sz w:val="20"/>
                <w:szCs w:val="20"/>
              </w:rPr>
            </w:pPr>
          </w:p>
        </w:tc>
      </w:tr>
      <w:tr w14:paraId="65A0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BDF00D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5BE3D9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C9DB3F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D09842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6）基础号表管理：基础号表管理主要用于制定一个科室、或一个大夫的按周进行的坐诊规则，每一个大夫或者科室可以制定多组规则，制定好的规则用于生成每日号表。</w:t>
            </w:r>
          </w:p>
        </w:tc>
        <w:tc>
          <w:tcPr>
            <w:tcW w:w="479" w:type="pct"/>
            <w:vMerge w:val="continue"/>
            <w:shd w:val="clear" w:color="auto" w:fill="auto"/>
            <w:vAlign w:val="center"/>
          </w:tcPr>
          <w:p w14:paraId="17BF69E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6204641">
            <w:pPr>
              <w:jc w:val="center"/>
              <w:rPr>
                <w:rFonts w:hint="eastAsia" w:asciiTheme="minorEastAsia" w:hAnsiTheme="minorEastAsia" w:eastAsiaTheme="minorEastAsia" w:cstheme="minorEastAsia"/>
                <w:color w:val="000000"/>
                <w:sz w:val="20"/>
                <w:szCs w:val="20"/>
              </w:rPr>
            </w:pPr>
          </w:p>
        </w:tc>
      </w:tr>
      <w:tr w14:paraId="1C31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FCE40B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1B128D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A9C170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AF2B12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7）每日号表管理：对排号的科室和医生进行出诊开始和结束时间的设置,选择开始和结束时间后点击确定,生成时间段选择,然后然后设置起始日和结束日以及规则选择,最后预约挂号。</w:t>
            </w:r>
          </w:p>
        </w:tc>
        <w:tc>
          <w:tcPr>
            <w:tcW w:w="479" w:type="pct"/>
            <w:vMerge w:val="continue"/>
            <w:shd w:val="clear" w:color="auto" w:fill="auto"/>
            <w:vAlign w:val="center"/>
          </w:tcPr>
          <w:p w14:paraId="48D0229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0642EEE">
            <w:pPr>
              <w:jc w:val="center"/>
              <w:rPr>
                <w:rFonts w:hint="eastAsia" w:asciiTheme="minorEastAsia" w:hAnsiTheme="minorEastAsia" w:eastAsiaTheme="minorEastAsia" w:cstheme="minorEastAsia"/>
                <w:color w:val="000000"/>
                <w:sz w:val="20"/>
                <w:szCs w:val="20"/>
              </w:rPr>
            </w:pPr>
          </w:p>
        </w:tc>
      </w:tr>
      <w:tr w14:paraId="32A6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4E5FD2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F4168C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D43AE8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9001DD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8）门诊挂号：该功能主要用于挂号使用,可以使用扫描电子健康码,医保电子凭证,社保卡,身份证以及无就诊卡操作挂号。</w:t>
            </w:r>
          </w:p>
        </w:tc>
        <w:tc>
          <w:tcPr>
            <w:tcW w:w="479" w:type="pct"/>
            <w:vMerge w:val="continue"/>
            <w:shd w:val="clear" w:color="auto" w:fill="auto"/>
            <w:vAlign w:val="center"/>
          </w:tcPr>
          <w:p w14:paraId="30AA3B7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241F06D">
            <w:pPr>
              <w:jc w:val="center"/>
              <w:rPr>
                <w:rFonts w:hint="eastAsia" w:asciiTheme="minorEastAsia" w:hAnsiTheme="minorEastAsia" w:eastAsiaTheme="minorEastAsia" w:cstheme="minorEastAsia"/>
                <w:color w:val="000000"/>
                <w:sz w:val="20"/>
                <w:szCs w:val="20"/>
              </w:rPr>
            </w:pPr>
          </w:p>
        </w:tc>
      </w:tr>
      <w:tr w14:paraId="05FE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061F57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5A2AE0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D8CF94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800257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9）系统可以重打挂号发票。</w:t>
            </w:r>
          </w:p>
        </w:tc>
        <w:tc>
          <w:tcPr>
            <w:tcW w:w="479" w:type="pct"/>
            <w:vMerge w:val="continue"/>
            <w:shd w:val="clear" w:color="auto" w:fill="auto"/>
            <w:vAlign w:val="center"/>
          </w:tcPr>
          <w:p w14:paraId="62E85E0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BE10706">
            <w:pPr>
              <w:jc w:val="center"/>
              <w:rPr>
                <w:rFonts w:hint="eastAsia" w:asciiTheme="minorEastAsia" w:hAnsiTheme="minorEastAsia" w:eastAsiaTheme="minorEastAsia" w:cstheme="minorEastAsia"/>
                <w:color w:val="000000"/>
                <w:sz w:val="20"/>
                <w:szCs w:val="20"/>
              </w:rPr>
            </w:pPr>
          </w:p>
        </w:tc>
      </w:tr>
      <w:tr w14:paraId="02C0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579F85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2702FB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3481AA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57C3DE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10）系统支持一个病人挂多个号的功能。</w:t>
            </w:r>
          </w:p>
        </w:tc>
        <w:tc>
          <w:tcPr>
            <w:tcW w:w="479" w:type="pct"/>
            <w:vMerge w:val="continue"/>
            <w:shd w:val="clear" w:color="auto" w:fill="auto"/>
            <w:vAlign w:val="center"/>
          </w:tcPr>
          <w:p w14:paraId="45D136C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FE13E88">
            <w:pPr>
              <w:jc w:val="center"/>
              <w:rPr>
                <w:rFonts w:hint="eastAsia" w:asciiTheme="minorEastAsia" w:hAnsiTheme="minorEastAsia" w:eastAsiaTheme="minorEastAsia" w:cstheme="minorEastAsia"/>
                <w:color w:val="000000"/>
                <w:sz w:val="20"/>
                <w:szCs w:val="20"/>
              </w:rPr>
            </w:pPr>
          </w:p>
        </w:tc>
      </w:tr>
      <w:tr w14:paraId="1516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4A12C1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07EFB5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5DB045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FE45D7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11）门诊退号：可以进行未就诊患者的退号操作，输入门诊号查询后填写原因进行退号。</w:t>
            </w:r>
          </w:p>
        </w:tc>
        <w:tc>
          <w:tcPr>
            <w:tcW w:w="479" w:type="pct"/>
            <w:vMerge w:val="continue"/>
            <w:shd w:val="clear" w:color="auto" w:fill="auto"/>
            <w:vAlign w:val="center"/>
          </w:tcPr>
          <w:p w14:paraId="111EF84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1A7730A">
            <w:pPr>
              <w:jc w:val="center"/>
              <w:rPr>
                <w:rFonts w:hint="eastAsia" w:asciiTheme="minorEastAsia" w:hAnsiTheme="minorEastAsia" w:eastAsiaTheme="minorEastAsia" w:cstheme="minorEastAsia"/>
                <w:color w:val="000000"/>
                <w:sz w:val="20"/>
                <w:szCs w:val="20"/>
              </w:rPr>
            </w:pPr>
          </w:p>
        </w:tc>
      </w:tr>
      <w:tr w14:paraId="1483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B18CCA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EABDDB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256251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B81952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12）提供挂号量查询、门诊患者就诊信息查询。</w:t>
            </w:r>
          </w:p>
        </w:tc>
        <w:tc>
          <w:tcPr>
            <w:tcW w:w="479" w:type="pct"/>
            <w:vMerge w:val="continue"/>
            <w:shd w:val="clear" w:color="auto" w:fill="auto"/>
            <w:vAlign w:val="center"/>
          </w:tcPr>
          <w:p w14:paraId="39C1B2C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CFCF94B">
            <w:pPr>
              <w:jc w:val="center"/>
              <w:rPr>
                <w:rFonts w:hint="eastAsia" w:asciiTheme="minorEastAsia" w:hAnsiTheme="minorEastAsia" w:eastAsiaTheme="minorEastAsia" w:cstheme="minorEastAsia"/>
                <w:color w:val="000000"/>
                <w:sz w:val="20"/>
                <w:szCs w:val="20"/>
              </w:rPr>
            </w:pPr>
          </w:p>
        </w:tc>
      </w:tr>
      <w:tr w14:paraId="0C61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1EB6A7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932D56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54EEF8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BABA08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4．门急诊收费：</w:t>
            </w:r>
          </w:p>
        </w:tc>
        <w:tc>
          <w:tcPr>
            <w:tcW w:w="479" w:type="pct"/>
            <w:vMerge w:val="continue"/>
            <w:shd w:val="clear" w:color="auto" w:fill="auto"/>
            <w:vAlign w:val="center"/>
          </w:tcPr>
          <w:p w14:paraId="422E2A6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3C8FA8B">
            <w:pPr>
              <w:jc w:val="center"/>
              <w:rPr>
                <w:rFonts w:hint="eastAsia" w:asciiTheme="minorEastAsia" w:hAnsiTheme="minorEastAsia" w:eastAsiaTheme="minorEastAsia" w:cstheme="minorEastAsia"/>
                <w:color w:val="000000"/>
                <w:sz w:val="20"/>
                <w:szCs w:val="20"/>
              </w:rPr>
            </w:pPr>
          </w:p>
        </w:tc>
      </w:tr>
      <w:tr w14:paraId="5DFF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94B938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DBFF9B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6C2CC0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FBB815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1）使用国家统一的编码，遵循票据管理制度。</w:t>
            </w:r>
          </w:p>
        </w:tc>
        <w:tc>
          <w:tcPr>
            <w:tcW w:w="479" w:type="pct"/>
            <w:vMerge w:val="continue"/>
            <w:shd w:val="clear" w:color="auto" w:fill="auto"/>
            <w:vAlign w:val="center"/>
          </w:tcPr>
          <w:p w14:paraId="511537A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8947F41">
            <w:pPr>
              <w:jc w:val="center"/>
              <w:rPr>
                <w:rFonts w:hint="eastAsia" w:asciiTheme="minorEastAsia" w:hAnsiTheme="minorEastAsia" w:eastAsiaTheme="minorEastAsia" w:cstheme="minorEastAsia"/>
                <w:color w:val="000000"/>
                <w:sz w:val="20"/>
                <w:szCs w:val="20"/>
              </w:rPr>
            </w:pPr>
          </w:p>
        </w:tc>
      </w:tr>
      <w:tr w14:paraId="1A51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D2EBF8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E1DA61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591982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AD6F54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2）支持挂号、划价、收费一体化。</w:t>
            </w:r>
          </w:p>
        </w:tc>
        <w:tc>
          <w:tcPr>
            <w:tcW w:w="479" w:type="pct"/>
            <w:vMerge w:val="continue"/>
            <w:shd w:val="clear" w:color="auto" w:fill="auto"/>
            <w:vAlign w:val="center"/>
          </w:tcPr>
          <w:p w14:paraId="10045DF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5159383">
            <w:pPr>
              <w:jc w:val="center"/>
              <w:rPr>
                <w:rFonts w:hint="eastAsia" w:asciiTheme="minorEastAsia" w:hAnsiTheme="minorEastAsia" w:eastAsiaTheme="minorEastAsia" w:cstheme="minorEastAsia"/>
                <w:color w:val="000000"/>
                <w:sz w:val="20"/>
                <w:szCs w:val="20"/>
              </w:rPr>
            </w:pPr>
          </w:p>
        </w:tc>
      </w:tr>
      <w:tr w14:paraId="70FD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46426F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3E470F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BA2B6B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307C77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3）支持多种支付方式（现金、信用卡、支票等）。</w:t>
            </w:r>
          </w:p>
        </w:tc>
        <w:tc>
          <w:tcPr>
            <w:tcW w:w="479" w:type="pct"/>
            <w:vMerge w:val="continue"/>
            <w:shd w:val="clear" w:color="auto" w:fill="auto"/>
            <w:vAlign w:val="center"/>
          </w:tcPr>
          <w:p w14:paraId="08C50E5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9CEE5D1">
            <w:pPr>
              <w:jc w:val="center"/>
              <w:rPr>
                <w:rFonts w:hint="eastAsia" w:asciiTheme="minorEastAsia" w:hAnsiTheme="minorEastAsia" w:eastAsiaTheme="minorEastAsia" w:cstheme="minorEastAsia"/>
                <w:color w:val="000000"/>
                <w:sz w:val="20"/>
                <w:szCs w:val="20"/>
              </w:rPr>
            </w:pPr>
          </w:p>
        </w:tc>
      </w:tr>
      <w:tr w14:paraId="37D2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F697A9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549E48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057E91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2C17F9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4）提供统计汇总功能：收费科目汇总、科室核算统计汇总报表；报表支持打印。</w:t>
            </w:r>
          </w:p>
        </w:tc>
        <w:tc>
          <w:tcPr>
            <w:tcW w:w="479" w:type="pct"/>
            <w:vMerge w:val="continue"/>
            <w:shd w:val="clear" w:color="auto" w:fill="auto"/>
            <w:vAlign w:val="center"/>
          </w:tcPr>
          <w:p w14:paraId="1ED913E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37110DE">
            <w:pPr>
              <w:jc w:val="center"/>
              <w:rPr>
                <w:rFonts w:hint="eastAsia" w:asciiTheme="minorEastAsia" w:hAnsiTheme="minorEastAsia" w:eastAsiaTheme="minorEastAsia" w:cstheme="minorEastAsia"/>
                <w:color w:val="000000"/>
                <w:sz w:val="20"/>
                <w:szCs w:val="20"/>
              </w:rPr>
            </w:pPr>
          </w:p>
        </w:tc>
      </w:tr>
      <w:tr w14:paraId="411F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C8FC06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06D788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26651D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9FAAA7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5）支持让患者出示医保电子凭证进行扫码支付，收费完成后可自动打印发票。</w:t>
            </w:r>
          </w:p>
        </w:tc>
        <w:tc>
          <w:tcPr>
            <w:tcW w:w="479" w:type="pct"/>
            <w:vMerge w:val="continue"/>
            <w:shd w:val="clear" w:color="auto" w:fill="auto"/>
            <w:vAlign w:val="center"/>
          </w:tcPr>
          <w:p w14:paraId="0EFB9D0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E0766B3">
            <w:pPr>
              <w:jc w:val="center"/>
              <w:rPr>
                <w:rFonts w:hint="eastAsia" w:asciiTheme="minorEastAsia" w:hAnsiTheme="minorEastAsia" w:eastAsiaTheme="minorEastAsia" w:cstheme="minorEastAsia"/>
                <w:color w:val="000000"/>
                <w:sz w:val="20"/>
                <w:szCs w:val="20"/>
              </w:rPr>
            </w:pPr>
          </w:p>
        </w:tc>
      </w:tr>
      <w:tr w14:paraId="6248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C23B8B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D0FCF7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6D78CC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2D54C3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6）支持重打发票</w:t>
            </w:r>
          </w:p>
        </w:tc>
        <w:tc>
          <w:tcPr>
            <w:tcW w:w="479" w:type="pct"/>
            <w:vMerge w:val="continue"/>
            <w:shd w:val="clear" w:color="auto" w:fill="auto"/>
            <w:vAlign w:val="center"/>
          </w:tcPr>
          <w:p w14:paraId="391AC3B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17E9A8E">
            <w:pPr>
              <w:jc w:val="center"/>
              <w:rPr>
                <w:rFonts w:hint="eastAsia" w:asciiTheme="minorEastAsia" w:hAnsiTheme="minorEastAsia" w:eastAsiaTheme="minorEastAsia" w:cstheme="minorEastAsia"/>
                <w:color w:val="000000"/>
                <w:sz w:val="20"/>
                <w:szCs w:val="20"/>
              </w:rPr>
            </w:pPr>
          </w:p>
        </w:tc>
      </w:tr>
      <w:tr w14:paraId="4950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283BA3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ACB532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F36D98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6224E0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7）可以直接从医生站提取收费项目，也可以支持直接由收款员录入收费项目</w:t>
            </w:r>
          </w:p>
        </w:tc>
        <w:tc>
          <w:tcPr>
            <w:tcW w:w="479" w:type="pct"/>
            <w:vMerge w:val="continue"/>
            <w:shd w:val="clear" w:color="auto" w:fill="auto"/>
            <w:vAlign w:val="center"/>
          </w:tcPr>
          <w:p w14:paraId="3A41035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20A78F2">
            <w:pPr>
              <w:jc w:val="center"/>
              <w:rPr>
                <w:rFonts w:hint="eastAsia" w:asciiTheme="minorEastAsia" w:hAnsiTheme="minorEastAsia" w:eastAsiaTheme="minorEastAsia" w:cstheme="minorEastAsia"/>
                <w:color w:val="000000"/>
                <w:sz w:val="20"/>
                <w:szCs w:val="20"/>
              </w:rPr>
            </w:pPr>
          </w:p>
        </w:tc>
      </w:tr>
      <w:tr w14:paraId="1FEB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D73ACA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F8D3D2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78D1FA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949553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8）支持当日退费或隔日退费操作。</w:t>
            </w:r>
          </w:p>
        </w:tc>
        <w:tc>
          <w:tcPr>
            <w:tcW w:w="479" w:type="pct"/>
            <w:vMerge w:val="continue"/>
            <w:shd w:val="clear" w:color="auto" w:fill="auto"/>
            <w:vAlign w:val="center"/>
          </w:tcPr>
          <w:p w14:paraId="30997A8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E4EE38E">
            <w:pPr>
              <w:jc w:val="center"/>
              <w:rPr>
                <w:rFonts w:hint="eastAsia" w:asciiTheme="minorEastAsia" w:hAnsiTheme="minorEastAsia" w:eastAsiaTheme="minorEastAsia" w:cstheme="minorEastAsia"/>
                <w:color w:val="000000"/>
                <w:sz w:val="20"/>
                <w:szCs w:val="20"/>
              </w:rPr>
            </w:pPr>
          </w:p>
        </w:tc>
      </w:tr>
      <w:tr w14:paraId="2521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2697E2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2F93BE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5BAED1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921AC4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9）门诊退费可通过发票号查询病人退费信息，进行门诊退费操作。</w:t>
            </w:r>
          </w:p>
        </w:tc>
        <w:tc>
          <w:tcPr>
            <w:tcW w:w="479" w:type="pct"/>
            <w:vMerge w:val="continue"/>
            <w:shd w:val="clear" w:color="auto" w:fill="auto"/>
            <w:vAlign w:val="center"/>
          </w:tcPr>
          <w:p w14:paraId="7ECBCD6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00969CE">
            <w:pPr>
              <w:jc w:val="center"/>
              <w:rPr>
                <w:rFonts w:hint="eastAsia" w:asciiTheme="minorEastAsia" w:hAnsiTheme="minorEastAsia" w:eastAsiaTheme="minorEastAsia" w:cstheme="minorEastAsia"/>
                <w:color w:val="000000"/>
                <w:sz w:val="20"/>
                <w:szCs w:val="20"/>
              </w:rPr>
            </w:pPr>
          </w:p>
        </w:tc>
      </w:tr>
      <w:tr w14:paraId="0A43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B8A4EE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83C1AF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57128D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C38ABC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10）门诊收费交账：支持个人结算及结算报表的打印。</w:t>
            </w:r>
          </w:p>
        </w:tc>
        <w:tc>
          <w:tcPr>
            <w:tcW w:w="479" w:type="pct"/>
            <w:vMerge w:val="continue"/>
            <w:shd w:val="clear" w:color="auto" w:fill="auto"/>
            <w:vAlign w:val="center"/>
          </w:tcPr>
          <w:p w14:paraId="29841AF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217D424">
            <w:pPr>
              <w:jc w:val="center"/>
              <w:rPr>
                <w:rFonts w:hint="eastAsia" w:asciiTheme="minorEastAsia" w:hAnsiTheme="minorEastAsia" w:eastAsiaTheme="minorEastAsia" w:cstheme="minorEastAsia"/>
                <w:color w:val="000000"/>
                <w:sz w:val="20"/>
                <w:szCs w:val="20"/>
              </w:rPr>
            </w:pPr>
          </w:p>
        </w:tc>
      </w:tr>
      <w:tr w14:paraId="4CC3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5B608D7D">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w:t>
            </w:r>
          </w:p>
        </w:tc>
        <w:tc>
          <w:tcPr>
            <w:tcW w:w="624" w:type="pct"/>
            <w:vMerge w:val="continue"/>
            <w:shd w:val="clear" w:color="auto" w:fill="auto"/>
            <w:vAlign w:val="center"/>
          </w:tcPr>
          <w:p w14:paraId="70C8D6ED">
            <w:pPr>
              <w:jc w:val="center"/>
              <w:rPr>
                <w:rFonts w:hint="eastAsia" w:asciiTheme="minorEastAsia" w:hAnsiTheme="minorEastAsia" w:eastAsiaTheme="minorEastAsia" w:cstheme="minorEastAsia"/>
                <w:color w:val="000000"/>
                <w:sz w:val="20"/>
                <w:szCs w:val="20"/>
              </w:rPr>
            </w:pPr>
          </w:p>
        </w:tc>
        <w:tc>
          <w:tcPr>
            <w:tcW w:w="600" w:type="pct"/>
            <w:vMerge w:val="restart"/>
            <w:shd w:val="clear" w:color="auto" w:fill="auto"/>
            <w:vAlign w:val="center"/>
          </w:tcPr>
          <w:p w14:paraId="6E89F2A6">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药库管理</w:t>
            </w:r>
          </w:p>
        </w:tc>
        <w:tc>
          <w:tcPr>
            <w:tcW w:w="2477" w:type="pct"/>
            <w:shd w:val="clear" w:color="auto" w:fill="auto"/>
            <w:vAlign w:val="center"/>
          </w:tcPr>
          <w:p w14:paraId="2974BC5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1．药品字典</w:t>
            </w:r>
          </w:p>
        </w:tc>
        <w:tc>
          <w:tcPr>
            <w:tcW w:w="479" w:type="pct"/>
            <w:vMerge w:val="restart"/>
            <w:shd w:val="clear" w:color="auto" w:fill="auto"/>
            <w:vAlign w:val="center"/>
          </w:tcPr>
          <w:p w14:paraId="0C3BBE84">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7791816C">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4842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BDBF1B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954DA6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350B3F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BA1FE6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支持对药品字典进行维护：新增、修改、停用药品，新增药品分类，设置药品品种、分类、别名、药理毒性等基础信息，设置药品规格、产地、流转单位、价格、执行药房、开单科室等信息维护。药品字典可扩展自定义字段。</w:t>
            </w:r>
          </w:p>
        </w:tc>
        <w:tc>
          <w:tcPr>
            <w:tcW w:w="479" w:type="pct"/>
            <w:vMerge w:val="continue"/>
            <w:shd w:val="clear" w:color="auto" w:fill="auto"/>
            <w:vAlign w:val="center"/>
          </w:tcPr>
          <w:p w14:paraId="087661A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50BAAC1">
            <w:pPr>
              <w:jc w:val="center"/>
              <w:rPr>
                <w:rFonts w:hint="eastAsia" w:asciiTheme="minorEastAsia" w:hAnsiTheme="minorEastAsia" w:eastAsiaTheme="minorEastAsia" w:cstheme="minorEastAsia"/>
                <w:color w:val="000000"/>
                <w:sz w:val="20"/>
                <w:szCs w:val="20"/>
              </w:rPr>
            </w:pPr>
          </w:p>
        </w:tc>
      </w:tr>
      <w:tr w14:paraId="5395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1EE433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CA39FA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0FE8BA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A7046C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2）支持针对药品设置医保的报销标识，如药品甲乙类设置，医保代码对应设置。</w:t>
            </w:r>
          </w:p>
        </w:tc>
        <w:tc>
          <w:tcPr>
            <w:tcW w:w="479" w:type="pct"/>
            <w:vMerge w:val="continue"/>
            <w:shd w:val="clear" w:color="auto" w:fill="auto"/>
            <w:vAlign w:val="center"/>
          </w:tcPr>
          <w:p w14:paraId="7F2163E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4ED51B0">
            <w:pPr>
              <w:jc w:val="center"/>
              <w:rPr>
                <w:rFonts w:hint="eastAsia" w:asciiTheme="minorEastAsia" w:hAnsiTheme="minorEastAsia" w:eastAsiaTheme="minorEastAsia" w:cstheme="minorEastAsia"/>
                <w:color w:val="000000"/>
                <w:sz w:val="20"/>
                <w:szCs w:val="20"/>
              </w:rPr>
            </w:pPr>
          </w:p>
        </w:tc>
      </w:tr>
      <w:tr w14:paraId="23B6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7FEAD6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3855A2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F6AF42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AFA3DE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3）支持新增、修改、停用药品规格、产地、别名等基本信息。</w:t>
            </w:r>
          </w:p>
        </w:tc>
        <w:tc>
          <w:tcPr>
            <w:tcW w:w="479" w:type="pct"/>
            <w:vMerge w:val="continue"/>
            <w:shd w:val="clear" w:color="auto" w:fill="auto"/>
            <w:vAlign w:val="center"/>
          </w:tcPr>
          <w:p w14:paraId="2FD44B1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1AF7376">
            <w:pPr>
              <w:jc w:val="center"/>
              <w:rPr>
                <w:rFonts w:hint="eastAsia" w:asciiTheme="minorEastAsia" w:hAnsiTheme="minorEastAsia" w:eastAsiaTheme="minorEastAsia" w:cstheme="minorEastAsia"/>
                <w:color w:val="000000"/>
                <w:sz w:val="20"/>
                <w:szCs w:val="20"/>
              </w:rPr>
            </w:pPr>
          </w:p>
        </w:tc>
      </w:tr>
      <w:tr w14:paraId="5371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E4CB5E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966C4F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9AD6EC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90321C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4）支持社保目录升级，完成因社保政策引起的诸如编码等变动的调整。</w:t>
            </w:r>
          </w:p>
        </w:tc>
        <w:tc>
          <w:tcPr>
            <w:tcW w:w="479" w:type="pct"/>
            <w:vMerge w:val="continue"/>
            <w:shd w:val="clear" w:color="auto" w:fill="auto"/>
            <w:vAlign w:val="center"/>
          </w:tcPr>
          <w:p w14:paraId="2895544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8100B71">
            <w:pPr>
              <w:jc w:val="center"/>
              <w:rPr>
                <w:rFonts w:hint="eastAsia" w:asciiTheme="minorEastAsia" w:hAnsiTheme="minorEastAsia" w:eastAsiaTheme="minorEastAsia" w:cstheme="minorEastAsia"/>
                <w:color w:val="000000"/>
                <w:sz w:val="20"/>
                <w:szCs w:val="20"/>
              </w:rPr>
            </w:pPr>
          </w:p>
        </w:tc>
      </w:tr>
      <w:tr w14:paraId="2317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2661E7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4EBD82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559036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3D27C4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5）支持抗生素/毒麻药品分类分级设定及医生级别授权。</w:t>
            </w:r>
          </w:p>
        </w:tc>
        <w:tc>
          <w:tcPr>
            <w:tcW w:w="479" w:type="pct"/>
            <w:vMerge w:val="continue"/>
            <w:shd w:val="clear" w:color="auto" w:fill="auto"/>
            <w:vAlign w:val="center"/>
          </w:tcPr>
          <w:p w14:paraId="6B39F7B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3E20313">
            <w:pPr>
              <w:jc w:val="center"/>
              <w:rPr>
                <w:rFonts w:hint="eastAsia" w:asciiTheme="minorEastAsia" w:hAnsiTheme="minorEastAsia" w:eastAsiaTheme="minorEastAsia" w:cstheme="minorEastAsia"/>
                <w:color w:val="000000"/>
                <w:sz w:val="20"/>
                <w:szCs w:val="20"/>
              </w:rPr>
            </w:pPr>
          </w:p>
        </w:tc>
      </w:tr>
      <w:tr w14:paraId="30DF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BD81F0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364538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BAF1C9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09FFE1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2．药品采购入库。</w:t>
            </w:r>
          </w:p>
        </w:tc>
        <w:tc>
          <w:tcPr>
            <w:tcW w:w="479" w:type="pct"/>
            <w:vMerge w:val="continue"/>
            <w:shd w:val="clear" w:color="auto" w:fill="auto"/>
            <w:vAlign w:val="center"/>
          </w:tcPr>
          <w:p w14:paraId="05BF0B1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256CA9B">
            <w:pPr>
              <w:jc w:val="center"/>
              <w:rPr>
                <w:rFonts w:hint="eastAsia" w:asciiTheme="minorEastAsia" w:hAnsiTheme="minorEastAsia" w:eastAsiaTheme="minorEastAsia" w:cstheme="minorEastAsia"/>
                <w:color w:val="000000"/>
                <w:sz w:val="20"/>
                <w:szCs w:val="20"/>
              </w:rPr>
            </w:pPr>
          </w:p>
        </w:tc>
      </w:tr>
      <w:tr w14:paraId="73E0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6AB097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21A74F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D3DC6A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900E2E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1）通过新增、编辑、查看、审核采购入库单，对采购的药品数据进行管理，增加库存。</w:t>
            </w:r>
          </w:p>
        </w:tc>
        <w:tc>
          <w:tcPr>
            <w:tcW w:w="479" w:type="pct"/>
            <w:vMerge w:val="continue"/>
            <w:shd w:val="clear" w:color="auto" w:fill="auto"/>
            <w:vAlign w:val="center"/>
          </w:tcPr>
          <w:p w14:paraId="745A1DC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C02D8A2">
            <w:pPr>
              <w:jc w:val="center"/>
              <w:rPr>
                <w:rFonts w:hint="eastAsia" w:asciiTheme="minorEastAsia" w:hAnsiTheme="minorEastAsia" w:eastAsiaTheme="minorEastAsia" w:cstheme="minorEastAsia"/>
                <w:color w:val="000000"/>
                <w:sz w:val="20"/>
                <w:szCs w:val="20"/>
              </w:rPr>
            </w:pPr>
          </w:p>
        </w:tc>
      </w:tr>
      <w:tr w14:paraId="304F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99A49C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1E68AE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091928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925598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2）可以直接采购入库，也可以配置为采购申请后审核入库的两种模式，根据医院实际情况进行选择。</w:t>
            </w:r>
          </w:p>
        </w:tc>
        <w:tc>
          <w:tcPr>
            <w:tcW w:w="479" w:type="pct"/>
            <w:vMerge w:val="continue"/>
            <w:shd w:val="clear" w:color="auto" w:fill="auto"/>
            <w:vAlign w:val="center"/>
          </w:tcPr>
          <w:p w14:paraId="798B94C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FEA4EA2">
            <w:pPr>
              <w:jc w:val="center"/>
              <w:rPr>
                <w:rFonts w:hint="eastAsia" w:asciiTheme="minorEastAsia" w:hAnsiTheme="minorEastAsia" w:eastAsiaTheme="minorEastAsia" w:cstheme="minorEastAsia"/>
                <w:color w:val="000000"/>
                <w:sz w:val="20"/>
                <w:szCs w:val="20"/>
              </w:rPr>
            </w:pPr>
          </w:p>
        </w:tc>
      </w:tr>
      <w:tr w14:paraId="0E27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7D4B73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854737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DAB0B2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76B85C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3）供应商退货：通过新增、编辑、查看、审核退货单，对于需要退回给供应商的药品，进行退货处理，扣除相应库存。</w:t>
            </w:r>
          </w:p>
        </w:tc>
        <w:tc>
          <w:tcPr>
            <w:tcW w:w="479" w:type="pct"/>
            <w:vMerge w:val="continue"/>
            <w:shd w:val="clear" w:color="auto" w:fill="auto"/>
            <w:vAlign w:val="center"/>
          </w:tcPr>
          <w:p w14:paraId="77CA810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5CDA2D6">
            <w:pPr>
              <w:jc w:val="center"/>
              <w:rPr>
                <w:rFonts w:hint="eastAsia" w:asciiTheme="minorEastAsia" w:hAnsiTheme="minorEastAsia" w:eastAsiaTheme="minorEastAsia" w:cstheme="minorEastAsia"/>
                <w:color w:val="000000"/>
                <w:sz w:val="20"/>
                <w:szCs w:val="20"/>
              </w:rPr>
            </w:pPr>
          </w:p>
        </w:tc>
      </w:tr>
      <w:tr w14:paraId="0F7C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CF955D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EEE916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5C3250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09F693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3．药库出库</w:t>
            </w:r>
          </w:p>
        </w:tc>
        <w:tc>
          <w:tcPr>
            <w:tcW w:w="479" w:type="pct"/>
            <w:vMerge w:val="continue"/>
            <w:shd w:val="clear" w:color="auto" w:fill="auto"/>
            <w:vAlign w:val="center"/>
          </w:tcPr>
          <w:p w14:paraId="6822F1C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195E66D">
            <w:pPr>
              <w:jc w:val="center"/>
              <w:rPr>
                <w:rFonts w:hint="eastAsia" w:asciiTheme="minorEastAsia" w:hAnsiTheme="minorEastAsia" w:eastAsiaTheme="minorEastAsia" w:cstheme="minorEastAsia"/>
                <w:color w:val="000000"/>
                <w:sz w:val="20"/>
                <w:szCs w:val="20"/>
              </w:rPr>
            </w:pPr>
          </w:p>
        </w:tc>
      </w:tr>
      <w:tr w14:paraId="3A06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BBF197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D65190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25DDEA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49D41E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1）可根据药房的入库请领单进行药品出库，生成出库单并扣减库存。</w:t>
            </w:r>
          </w:p>
        </w:tc>
        <w:tc>
          <w:tcPr>
            <w:tcW w:w="479" w:type="pct"/>
            <w:vMerge w:val="continue"/>
            <w:shd w:val="clear" w:color="auto" w:fill="auto"/>
            <w:vAlign w:val="center"/>
          </w:tcPr>
          <w:p w14:paraId="43B8B68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491A8EB">
            <w:pPr>
              <w:jc w:val="center"/>
              <w:rPr>
                <w:rFonts w:hint="eastAsia" w:asciiTheme="minorEastAsia" w:hAnsiTheme="minorEastAsia" w:eastAsiaTheme="minorEastAsia" w:cstheme="minorEastAsia"/>
                <w:color w:val="000000"/>
                <w:sz w:val="20"/>
                <w:szCs w:val="20"/>
              </w:rPr>
            </w:pPr>
          </w:p>
        </w:tc>
      </w:tr>
      <w:tr w14:paraId="7869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CD58E8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BBC0D7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3C3540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A27F41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2）可通过新增、编辑、查看、审核等操作，手动新增出库单并扣减库存。</w:t>
            </w:r>
          </w:p>
        </w:tc>
        <w:tc>
          <w:tcPr>
            <w:tcW w:w="479" w:type="pct"/>
            <w:vMerge w:val="continue"/>
            <w:shd w:val="clear" w:color="auto" w:fill="auto"/>
            <w:vAlign w:val="center"/>
          </w:tcPr>
          <w:p w14:paraId="4DFD86C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F53E6EE">
            <w:pPr>
              <w:jc w:val="center"/>
              <w:rPr>
                <w:rFonts w:hint="eastAsia" w:asciiTheme="minorEastAsia" w:hAnsiTheme="minorEastAsia" w:eastAsiaTheme="minorEastAsia" w:cstheme="minorEastAsia"/>
                <w:color w:val="000000"/>
                <w:sz w:val="20"/>
                <w:szCs w:val="20"/>
              </w:rPr>
            </w:pPr>
          </w:p>
        </w:tc>
      </w:tr>
      <w:tr w14:paraId="71CC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0D4129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C1CA6A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27D526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1BB8DA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3）新增出库单后，可根据院内实际情况选择是否需要药房审核。</w:t>
            </w:r>
          </w:p>
        </w:tc>
        <w:tc>
          <w:tcPr>
            <w:tcW w:w="479" w:type="pct"/>
            <w:vMerge w:val="continue"/>
            <w:shd w:val="clear" w:color="auto" w:fill="auto"/>
            <w:vAlign w:val="center"/>
          </w:tcPr>
          <w:p w14:paraId="4A2FE43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3EA11BA">
            <w:pPr>
              <w:jc w:val="center"/>
              <w:rPr>
                <w:rFonts w:hint="eastAsia" w:asciiTheme="minorEastAsia" w:hAnsiTheme="minorEastAsia" w:eastAsiaTheme="minorEastAsia" w:cstheme="minorEastAsia"/>
                <w:color w:val="000000"/>
                <w:sz w:val="20"/>
                <w:szCs w:val="20"/>
              </w:rPr>
            </w:pPr>
          </w:p>
        </w:tc>
      </w:tr>
      <w:tr w14:paraId="3945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1427EE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E02C42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30BA60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66676F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4）可拒绝药房入库请领单。</w:t>
            </w:r>
          </w:p>
        </w:tc>
        <w:tc>
          <w:tcPr>
            <w:tcW w:w="479" w:type="pct"/>
            <w:vMerge w:val="continue"/>
            <w:shd w:val="clear" w:color="auto" w:fill="auto"/>
            <w:vAlign w:val="center"/>
          </w:tcPr>
          <w:p w14:paraId="4E858C4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E5132E7">
            <w:pPr>
              <w:jc w:val="center"/>
              <w:rPr>
                <w:rFonts w:hint="eastAsia" w:asciiTheme="minorEastAsia" w:hAnsiTheme="minorEastAsia" w:eastAsiaTheme="minorEastAsia" w:cstheme="minorEastAsia"/>
                <w:color w:val="000000"/>
                <w:sz w:val="20"/>
                <w:szCs w:val="20"/>
              </w:rPr>
            </w:pPr>
          </w:p>
        </w:tc>
      </w:tr>
      <w:tr w14:paraId="0DDE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0B0404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36F1AD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92FC30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53C8FE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4．药库退库单</w:t>
            </w:r>
          </w:p>
        </w:tc>
        <w:tc>
          <w:tcPr>
            <w:tcW w:w="479" w:type="pct"/>
            <w:vMerge w:val="continue"/>
            <w:shd w:val="clear" w:color="auto" w:fill="auto"/>
            <w:vAlign w:val="center"/>
          </w:tcPr>
          <w:p w14:paraId="70CF8AE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7F064EC">
            <w:pPr>
              <w:jc w:val="center"/>
              <w:rPr>
                <w:rFonts w:hint="eastAsia" w:asciiTheme="minorEastAsia" w:hAnsiTheme="minorEastAsia" w:eastAsiaTheme="minorEastAsia" w:cstheme="minorEastAsia"/>
                <w:color w:val="000000"/>
                <w:sz w:val="20"/>
                <w:szCs w:val="20"/>
              </w:rPr>
            </w:pPr>
          </w:p>
        </w:tc>
      </w:tr>
      <w:tr w14:paraId="3582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030BBA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8D73EA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A8DF3A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098C98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1）可根据药房的退库申请单进行药品退库，生成退库单并增加库存。</w:t>
            </w:r>
          </w:p>
        </w:tc>
        <w:tc>
          <w:tcPr>
            <w:tcW w:w="479" w:type="pct"/>
            <w:vMerge w:val="continue"/>
            <w:shd w:val="clear" w:color="auto" w:fill="auto"/>
            <w:vAlign w:val="center"/>
          </w:tcPr>
          <w:p w14:paraId="25C3B95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79F0F9C">
            <w:pPr>
              <w:jc w:val="center"/>
              <w:rPr>
                <w:rFonts w:hint="eastAsia" w:asciiTheme="minorEastAsia" w:hAnsiTheme="minorEastAsia" w:eastAsiaTheme="minorEastAsia" w:cstheme="minorEastAsia"/>
                <w:color w:val="000000"/>
                <w:sz w:val="20"/>
                <w:szCs w:val="20"/>
              </w:rPr>
            </w:pPr>
          </w:p>
        </w:tc>
      </w:tr>
      <w:tr w14:paraId="27F0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6AF1CD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185009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825377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00C1DB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2）可以核对退库数量审核通过或拒绝药房退库申请。</w:t>
            </w:r>
          </w:p>
        </w:tc>
        <w:tc>
          <w:tcPr>
            <w:tcW w:w="479" w:type="pct"/>
            <w:vMerge w:val="continue"/>
            <w:shd w:val="clear" w:color="auto" w:fill="auto"/>
            <w:vAlign w:val="center"/>
          </w:tcPr>
          <w:p w14:paraId="2185A42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E3F034C">
            <w:pPr>
              <w:jc w:val="center"/>
              <w:rPr>
                <w:rFonts w:hint="eastAsia" w:asciiTheme="minorEastAsia" w:hAnsiTheme="minorEastAsia" w:eastAsiaTheme="minorEastAsia" w:cstheme="minorEastAsia"/>
                <w:color w:val="000000"/>
                <w:sz w:val="20"/>
                <w:szCs w:val="20"/>
              </w:rPr>
            </w:pPr>
          </w:p>
        </w:tc>
      </w:tr>
      <w:tr w14:paraId="2FA3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98368A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E6BF34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1D9010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27DC09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3）审核通过时，增加库存数量。</w:t>
            </w:r>
          </w:p>
        </w:tc>
        <w:tc>
          <w:tcPr>
            <w:tcW w:w="479" w:type="pct"/>
            <w:vMerge w:val="continue"/>
            <w:shd w:val="clear" w:color="auto" w:fill="auto"/>
            <w:vAlign w:val="center"/>
          </w:tcPr>
          <w:p w14:paraId="1CD39F1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9D6F267">
            <w:pPr>
              <w:jc w:val="center"/>
              <w:rPr>
                <w:rFonts w:hint="eastAsia" w:asciiTheme="minorEastAsia" w:hAnsiTheme="minorEastAsia" w:eastAsiaTheme="minorEastAsia" w:cstheme="minorEastAsia"/>
                <w:color w:val="000000"/>
                <w:sz w:val="20"/>
                <w:szCs w:val="20"/>
              </w:rPr>
            </w:pPr>
          </w:p>
        </w:tc>
      </w:tr>
      <w:tr w14:paraId="745F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C0DA60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69E030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1A1EF7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005867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5．药品损益</w:t>
            </w:r>
          </w:p>
        </w:tc>
        <w:tc>
          <w:tcPr>
            <w:tcW w:w="479" w:type="pct"/>
            <w:vMerge w:val="continue"/>
            <w:shd w:val="clear" w:color="auto" w:fill="auto"/>
            <w:vAlign w:val="center"/>
          </w:tcPr>
          <w:p w14:paraId="1DA409B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701A602">
            <w:pPr>
              <w:jc w:val="center"/>
              <w:rPr>
                <w:rFonts w:hint="eastAsia" w:asciiTheme="minorEastAsia" w:hAnsiTheme="minorEastAsia" w:eastAsiaTheme="minorEastAsia" w:cstheme="minorEastAsia"/>
                <w:color w:val="000000"/>
                <w:sz w:val="20"/>
                <w:szCs w:val="20"/>
              </w:rPr>
            </w:pPr>
          </w:p>
        </w:tc>
      </w:tr>
      <w:tr w14:paraId="2B55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C8CD7C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4B63AD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44D9FB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37AA03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1）可由盘点单自动生成库存损益记录。</w:t>
            </w:r>
          </w:p>
        </w:tc>
        <w:tc>
          <w:tcPr>
            <w:tcW w:w="479" w:type="pct"/>
            <w:vMerge w:val="continue"/>
            <w:shd w:val="clear" w:color="auto" w:fill="auto"/>
            <w:vAlign w:val="center"/>
          </w:tcPr>
          <w:p w14:paraId="21871FC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D9C0143">
            <w:pPr>
              <w:jc w:val="center"/>
              <w:rPr>
                <w:rFonts w:hint="eastAsia" w:asciiTheme="minorEastAsia" w:hAnsiTheme="minorEastAsia" w:eastAsiaTheme="minorEastAsia" w:cstheme="minorEastAsia"/>
                <w:color w:val="000000"/>
                <w:sz w:val="20"/>
                <w:szCs w:val="20"/>
              </w:rPr>
            </w:pPr>
          </w:p>
        </w:tc>
      </w:tr>
      <w:tr w14:paraId="3D36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2090FE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72FA62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234DEA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BDDC47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2）通过新增、编辑、查看、审核损益单的操作，对实际发生损益的药品进行记录，并增删库存。</w:t>
            </w:r>
          </w:p>
        </w:tc>
        <w:tc>
          <w:tcPr>
            <w:tcW w:w="479" w:type="pct"/>
            <w:vMerge w:val="continue"/>
            <w:shd w:val="clear" w:color="auto" w:fill="auto"/>
            <w:vAlign w:val="center"/>
          </w:tcPr>
          <w:p w14:paraId="74C3DFC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84D87C4">
            <w:pPr>
              <w:jc w:val="center"/>
              <w:rPr>
                <w:rFonts w:hint="eastAsia" w:asciiTheme="minorEastAsia" w:hAnsiTheme="minorEastAsia" w:eastAsiaTheme="minorEastAsia" w:cstheme="minorEastAsia"/>
                <w:color w:val="000000"/>
                <w:sz w:val="20"/>
                <w:szCs w:val="20"/>
              </w:rPr>
            </w:pPr>
          </w:p>
        </w:tc>
      </w:tr>
      <w:tr w14:paraId="7F7D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5A80FE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742CA7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AFA2FE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34F8E7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6．药库盘点</w:t>
            </w:r>
          </w:p>
        </w:tc>
        <w:tc>
          <w:tcPr>
            <w:tcW w:w="479" w:type="pct"/>
            <w:vMerge w:val="continue"/>
            <w:shd w:val="clear" w:color="auto" w:fill="auto"/>
            <w:vAlign w:val="center"/>
          </w:tcPr>
          <w:p w14:paraId="548C3D8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B916EA5">
            <w:pPr>
              <w:jc w:val="center"/>
              <w:rPr>
                <w:rFonts w:hint="eastAsia" w:asciiTheme="minorEastAsia" w:hAnsiTheme="minorEastAsia" w:eastAsiaTheme="minorEastAsia" w:cstheme="minorEastAsia"/>
                <w:color w:val="000000"/>
                <w:sz w:val="20"/>
                <w:szCs w:val="20"/>
              </w:rPr>
            </w:pPr>
          </w:p>
        </w:tc>
      </w:tr>
      <w:tr w14:paraId="0D99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733443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240BAD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66D3DA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3FC037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1）通过新增、编辑、查看、审核盘点单的操作，对药库现有药品盘点 。</w:t>
            </w:r>
          </w:p>
        </w:tc>
        <w:tc>
          <w:tcPr>
            <w:tcW w:w="479" w:type="pct"/>
            <w:vMerge w:val="continue"/>
            <w:shd w:val="clear" w:color="auto" w:fill="auto"/>
            <w:vAlign w:val="center"/>
          </w:tcPr>
          <w:p w14:paraId="5177C61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9BA2542">
            <w:pPr>
              <w:jc w:val="center"/>
              <w:rPr>
                <w:rFonts w:hint="eastAsia" w:asciiTheme="minorEastAsia" w:hAnsiTheme="minorEastAsia" w:eastAsiaTheme="minorEastAsia" w:cstheme="minorEastAsia"/>
                <w:color w:val="000000"/>
                <w:sz w:val="20"/>
                <w:szCs w:val="20"/>
              </w:rPr>
            </w:pPr>
          </w:p>
        </w:tc>
      </w:tr>
      <w:tr w14:paraId="5FB8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4B0B1AE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1F61A7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0845F2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674FDC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2）可以根据药品类型等条件来盘点。</w:t>
            </w:r>
          </w:p>
        </w:tc>
        <w:tc>
          <w:tcPr>
            <w:tcW w:w="479" w:type="pct"/>
            <w:vMerge w:val="continue"/>
            <w:shd w:val="clear" w:color="auto" w:fill="auto"/>
            <w:vAlign w:val="center"/>
          </w:tcPr>
          <w:p w14:paraId="2E03EF3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9E1BCBB">
            <w:pPr>
              <w:jc w:val="center"/>
              <w:rPr>
                <w:rFonts w:hint="eastAsia" w:asciiTheme="minorEastAsia" w:hAnsiTheme="minorEastAsia" w:eastAsiaTheme="minorEastAsia" w:cstheme="minorEastAsia"/>
                <w:color w:val="000000"/>
                <w:sz w:val="20"/>
                <w:szCs w:val="20"/>
              </w:rPr>
            </w:pPr>
          </w:p>
        </w:tc>
      </w:tr>
      <w:tr w14:paraId="3BA8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5A745D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CB0421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61C4F2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921430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3）盘点审核通过自动生成已审核的损益单。</w:t>
            </w:r>
          </w:p>
        </w:tc>
        <w:tc>
          <w:tcPr>
            <w:tcW w:w="479" w:type="pct"/>
            <w:vMerge w:val="continue"/>
            <w:shd w:val="clear" w:color="auto" w:fill="auto"/>
            <w:vAlign w:val="center"/>
          </w:tcPr>
          <w:p w14:paraId="421244E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EFAC20F">
            <w:pPr>
              <w:jc w:val="center"/>
              <w:rPr>
                <w:rFonts w:hint="eastAsia" w:asciiTheme="minorEastAsia" w:hAnsiTheme="minorEastAsia" w:eastAsiaTheme="minorEastAsia" w:cstheme="minorEastAsia"/>
                <w:color w:val="000000"/>
                <w:sz w:val="20"/>
                <w:szCs w:val="20"/>
              </w:rPr>
            </w:pPr>
          </w:p>
        </w:tc>
      </w:tr>
      <w:tr w14:paraId="42C4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250DB1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645EE6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496600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3C3F24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4）支持按药品规格盘点。</w:t>
            </w:r>
          </w:p>
        </w:tc>
        <w:tc>
          <w:tcPr>
            <w:tcW w:w="479" w:type="pct"/>
            <w:vMerge w:val="continue"/>
            <w:shd w:val="clear" w:color="auto" w:fill="auto"/>
            <w:vAlign w:val="center"/>
          </w:tcPr>
          <w:p w14:paraId="65D9146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5A079C8">
            <w:pPr>
              <w:jc w:val="center"/>
              <w:rPr>
                <w:rFonts w:hint="eastAsia" w:asciiTheme="minorEastAsia" w:hAnsiTheme="minorEastAsia" w:eastAsiaTheme="minorEastAsia" w:cstheme="minorEastAsia"/>
                <w:color w:val="000000"/>
                <w:sz w:val="20"/>
                <w:szCs w:val="20"/>
              </w:rPr>
            </w:pPr>
          </w:p>
        </w:tc>
      </w:tr>
      <w:tr w14:paraId="5556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E1609D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9B1BEA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592090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D02A18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7．药库入库</w:t>
            </w:r>
          </w:p>
        </w:tc>
        <w:tc>
          <w:tcPr>
            <w:tcW w:w="479" w:type="pct"/>
            <w:vMerge w:val="continue"/>
            <w:shd w:val="clear" w:color="auto" w:fill="auto"/>
            <w:vAlign w:val="center"/>
          </w:tcPr>
          <w:p w14:paraId="33726B8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F594370">
            <w:pPr>
              <w:jc w:val="center"/>
              <w:rPr>
                <w:rFonts w:hint="eastAsia" w:asciiTheme="minorEastAsia" w:hAnsiTheme="minorEastAsia" w:eastAsiaTheme="minorEastAsia" w:cstheme="minorEastAsia"/>
                <w:color w:val="000000"/>
                <w:sz w:val="20"/>
                <w:szCs w:val="20"/>
              </w:rPr>
            </w:pPr>
          </w:p>
        </w:tc>
      </w:tr>
      <w:tr w14:paraId="372A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B5C25E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CA624B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F22884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CD21B5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通过新增、编辑、查看、审核调入申请单，对于需要向其他药库申请的药品，可以填写调入申请。</w:t>
            </w:r>
          </w:p>
        </w:tc>
        <w:tc>
          <w:tcPr>
            <w:tcW w:w="479" w:type="pct"/>
            <w:vMerge w:val="continue"/>
            <w:shd w:val="clear" w:color="auto" w:fill="auto"/>
            <w:vAlign w:val="center"/>
          </w:tcPr>
          <w:p w14:paraId="4D167DC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A57C781">
            <w:pPr>
              <w:jc w:val="center"/>
              <w:rPr>
                <w:rFonts w:hint="eastAsia" w:asciiTheme="minorEastAsia" w:hAnsiTheme="minorEastAsia" w:eastAsiaTheme="minorEastAsia" w:cstheme="minorEastAsia"/>
                <w:color w:val="000000"/>
                <w:sz w:val="20"/>
                <w:szCs w:val="20"/>
              </w:rPr>
            </w:pPr>
          </w:p>
        </w:tc>
      </w:tr>
      <w:tr w14:paraId="062C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39E0F4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BDA09D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56F529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E0863A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8．药库出库</w:t>
            </w:r>
          </w:p>
        </w:tc>
        <w:tc>
          <w:tcPr>
            <w:tcW w:w="479" w:type="pct"/>
            <w:vMerge w:val="continue"/>
            <w:shd w:val="clear" w:color="auto" w:fill="auto"/>
            <w:vAlign w:val="center"/>
          </w:tcPr>
          <w:p w14:paraId="6D34DC2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559B80B">
            <w:pPr>
              <w:jc w:val="center"/>
              <w:rPr>
                <w:rFonts w:hint="eastAsia" w:asciiTheme="minorEastAsia" w:hAnsiTheme="minorEastAsia" w:eastAsiaTheme="minorEastAsia" w:cstheme="minorEastAsia"/>
                <w:color w:val="000000"/>
                <w:sz w:val="20"/>
                <w:szCs w:val="20"/>
              </w:rPr>
            </w:pPr>
          </w:p>
        </w:tc>
      </w:tr>
      <w:tr w14:paraId="2110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2FD289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B6CE32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33178A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F544B5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1）可根据入库申请单进行药品调出，生成调出单并扣减库存。</w:t>
            </w:r>
          </w:p>
        </w:tc>
        <w:tc>
          <w:tcPr>
            <w:tcW w:w="479" w:type="pct"/>
            <w:vMerge w:val="continue"/>
            <w:shd w:val="clear" w:color="auto" w:fill="auto"/>
            <w:vAlign w:val="center"/>
          </w:tcPr>
          <w:p w14:paraId="7A4F35A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0AD400E">
            <w:pPr>
              <w:jc w:val="center"/>
              <w:rPr>
                <w:rFonts w:hint="eastAsia" w:asciiTheme="minorEastAsia" w:hAnsiTheme="minorEastAsia" w:eastAsiaTheme="minorEastAsia" w:cstheme="minorEastAsia"/>
                <w:color w:val="000000"/>
                <w:sz w:val="20"/>
                <w:szCs w:val="20"/>
              </w:rPr>
            </w:pPr>
          </w:p>
        </w:tc>
      </w:tr>
      <w:tr w14:paraId="5464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BDEC1B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53DB6A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7BD25A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CA3C99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2）可通过新增、编辑、查看、审核等操作，手动新增出库单并扣减库存。</w:t>
            </w:r>
          </w:p>
        </w:tc>
        <w:tc>
          <w:tcPr>
            <w:tcW w:w="479" w:type="pct"/>
            <w:vMerge w:val="continue"/>
            <w:shd w:val="clear" w:color="auto" w:fill="auto"/>
            <w:vAlign w:val="center"/>
          </w:tcPr>
          <w:p w14:paraId="44B0D8E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B52D966">
            <w:pPr>
              <w:jc w:val="center"/>
              <w:rPr>
                <w:rFonts w:hint="eastAsia" w:asciiTheme="minorEastAsia" w:hAnsiTheme="minorEastAsia" w:eastAsiaTheme="minorEastAsia" w:cstheme="minorEastAsia"/>
                <w:color w:val="000000"/>
                <w:sz w:val="20"/>
                <w:szCs w:val="20"/>
              </w:rPr>
            </w:pPr>
          </w:p>
        </w:tc>
      </w:tr>
      <w:tr w14:paraId="54A8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9D0525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83582D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AB881F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30D6DC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3）新增出库单后，可根据院内实际情况选择是否需要对方审核。</w:t>
            </w:r>
          </w:p>
        </w:tc>
        <w:tc>
          <w:tcPr>
            <w:tcW w:w="479" w:type="pct"/>
            <w:vMerge w:val="continue"/>
            <w:shd w:val="clear" w:color="auto" w:fill="auto"/>
            <w:vAlign w:val="center"/>
          </w:tcPr>
          <w:p w14:paraId="24CE8AA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0ABE280">
            <w:pPr>
              <w:jc w:val="center"/>
              <w:rPr>
                <w:rFonts w:hint="eastAsia" w:asciiTheme="minorEastAsia" w:hAnsiTheme="minorEastAsia" w:eastAsiaTheme="minorEastAsia" w:cstheme="minorEastAsia"/>
                <w:color w:val="000000"/>
                <w:sz w:val="20"/>
                <w:szCs w:val="20"/>
              </w:rPr>
            </w:pPr>
          </w:p>
        </w:tc>
      </w:tr>
      <w:tr w14:paraId="2A1B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B8F7E9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FF7EDC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A54272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ECF9DB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4）可拒绝药库出库申请单。</w:t>
            </w:r>
          </w:p>
        </w:tc>
        <w:tc>
          <w:tcPr>
            <w:tcW w:w="479" w:type="pct"/>
            <w:vMerge w:val="continue"/>
            <w:shd w:val="clear" w:color="auto" w:fill="auto"/>
            <w:vAlign w:val="center"/>
          </w:tcPr>
          <w:p w14:paraId="2245DF1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FF370A7">
            <w:pPr>
              <w:jc w:val="center"/>
              <w:rPr>
                <w:rFonts w:hint="eastAsia" w:asciiTheme="minorEastAsia" w:hAnsiTheme="minorEastAsia" w:eastAsiaTheme="minorEastAsia" w:cstheme="minorEastAsia"/>
                <w:color w:val="000000"/>
                <w:sz w:val="20"/>
                <w:szCs w:val="20"/>
              </w:rPr>
            </w:pPr>
          </w:p>
        </w:tc>
      </w:tr>
      <w:tr w14:paraId="057F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F1DFA2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6505C6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97750C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F41282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9．药库库存警戒</w:t>
            </w:r>
          </w:p>
        </w:tc>
        <w:tc>
          <w:tcPr>
            <w:tcW w:w="479" w:type="pct"/>
            <w:vMerge w:val="continue"/>
            <w:shd w:val="clear" w:color="auto" w:fill="auto"/>
            <w:vAlign w:val="center"/>
          </w:tcPr>
          <w:p w14:paraId="47D694C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37F7822">
            <w:pPr>
              <w:jc w:val="center"/>
              <w:rPr>
                <w:rFonts w:hint="eastAsia" w:asciiTheme="minorEastAsia" w:hAnsiTheme="minorEastAsia" w:eastAsiaTheme="minorEastAsia" w:cstheme="minorEastAsia"/>
                <w:color w:val="000000"/>
                <w:sz w:val="20"/>
                <w:szCs w:val="20"/>
              </w:rPr>
            </w:pPr>
          </w:p>
        </w:tc>
      </w:tr>
      <w:tr w14:paraId="1FC3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EF0CF1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186D31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0F77DA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F073C9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1）展示药库全部药品的库存情况。</w:t>
            </w:r>
          </w:p>
        </w:tc>
        <w:tc>
          <w:tcPr>
            <w:tcW w:w="479" w:type="pct"/>
            <w:vMerge w:val="continue"/>
            <w:shd w:val="clear" w:color="auto" w:fill="auto"/>
            <w:vAlign w:val="center"/>
          </w:tcPr>
          <w:p w14:paraId="5AB9F71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4A4AF7D">
            <w:pPr>
              <w:jc w:val="center"/>
              <w:rPr>
                <w:rFonts w:hint="eastAsia" w:asciiTheme="minorEastAsia" w:hAnsiTheme="minorEastAsia" w:eastAsiaTheme="minorEastAsia" w:cstheme="minorEastAsia"/>
                <w:color w:val="000000"/>
                <w:sz w:val="20"/>
                <w:szCs w:val="20"/>
              </w:rPr>
            </w:pPr>
          </w:p>
        </w:tc>
      </w:tr>
      <w:tr w14:paraId="0A30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AC131E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7E1373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F022D4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312954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2）可以设置药品的上限、下限、货位、是否禁购等信息并实时保存。</w:t>
            </w:r>
          </w:p>
        </w:tc>
        <w:tc>
          <w:tcPr>
            <w:tcW w:w="479" w:type="pct"/>
            <w:vMerge w:val="continue"/>
            <w:shd w:val="clear" w:color="auto" w:fill="auto"/>
            <w:vAlign w:val="center"/>
          </w:tcPr>
          <w:p w14:paraId="588F98E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026968F">
            <w:pPr>
              <w:jc w:val="center"/>
              <w:rPr>
                <w:rFonts w:hint="eastAsia" w:asciiTheme="minorEastAsia" w:hAnsiTheme="minorEastAsia" w:eastAsiaTheme="minorEastAsia" w:cstheme="minorEastAsia"/>
                <w:color w:val="000000"/>
                <w:sz w:val="20"/>
                <w:szCs w:val="20"/>
              </w:rPr>
            </w:pPr>
          </w:p>
        </w:tc>
      </w:tr>
      <w:tr w14:paraId="7AAB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782972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282803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9649B5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E6CD6E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3）可以查看药品供应商的资质信息。</w:t>
            </w:r>
          </w:p>
        </w:tc>
        <w:tc>
          <w:tcPr>
            <w:tcW w:w="479" w:type="pct"/>
            <w:vMerge w:val="continue"/>
            <w:shd w:val="clear" w:color="auto" w:fill="auto"/>
            <w:vAlign w:val="center"/>
          </w:tcPr>
          <w:p w14:paraId="4CF9CD4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CCF94A2">
            <w:pPr>
              <w:jc w:val="center"/>
              <w:rPr>
                <w:rFonts w:hint="eastAsia" w:asciiTheme="minorEastAsia" w:hAnsiTheme="minorEastAsia" w:eastAsiaTheme="minorEastAsia" w:cstheme="minorEastAsia"/>
                <w:color w:val="000000"/>
                <w:sz w:val="20"/>
                <w:szCs w:val="20"/>
              </w:rPr>
            </w:pPr>
          </w:p>
        </w:tc>
      </w:tr>
      <w:tr w14:paraId="354D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B8208F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73A679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0208CE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7D6C5D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10．药品调价</w:t>
            </w:r>
          </w:p>
        </w:tc>
        <w:tc>
          <w:tcPr>
            <w:tcW w:w="479" w:type="pct"/>
            <w:vMerge w:val="continue"/>
            <w:shd w:val="clear" w:color="auto" w:fill="auto"/>
            <w:vAlign w:val="center"/>
          </w:tcPr>
          <w:p w14:paraId="00668A3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475227A">
            <w:pPr>
              <w:jc w:val="center"/>
              <w:rPr>
                <w:rFonts w:hint="eastAsia" w:asciiTheme="minorEastAsia" w:hAnsiTheme="minorEastAsia" w:eastAsiaTheme="minorEastAsia" w:cstheme="minorEastAsia"/>
                <w:color w:val="000000"/>
                <w:sz w:val="20"/>
                <w:szCs w:val="20"/>
              </w:rPr>
            </w:pPr>
          </w:p>
        </w:tc>
      </w:tr>
      <w:tr w14:paraId="303C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8B69DE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D1F8F4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541E05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6E46BD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1）通过新增、编辑、查看、审核调价单，对于需要调价的批次进行调价。</w:t>
            </w:r>
          </w:p>
        </w:tc>
        <w:tc>
          <w:tcPr>
            <w:tcW w:w="479" w:type="pct"/>
            <w:vMerge w:val="continue"/>
            <w:shd w:val="clear" w:color="auto" w:fill="auto"/>
            <w:vAlign w:val="center"/>
          </w:tcPr>
          <w:p w14:paraId="7ABEC09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4DB607A">
            <w:pPr>
              <w:jc w:val="center"/>
              <w:rPr>
                <w:rFonts w:hint="eastAsia" w:asciiTheme="minorEastAsia" w:hAnsiTheme="minorEastAsia" w:eastAsiaTheme="minorEastAsia" w:cstheme="minorEastAsia"/>
                <w:color w:val="000000"/>
                <w:sz w:val="20"/>
                <w:szCs w:val="20"/>
              </w:rPr>
            </w:pPr>
          </w:p>
        </w:tc>
      </w:tr>
      <w:tr w14:paraId="5517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9F2B06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2B5969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AE9037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3CD6FA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2）可以通过调价率、增减金额两种方式调价。</w:t>
            </w:r>
          </w:p>
        </w:tc>
        <w:tc>
          <w:tcPr>
            <w:tcW w:w="479" w:type="pct"/>
            <w:vMerge w:val="continue"/>
            <w:shd w:val="clear" w:color="auto" w:fill="auto"/>
            <w:vAlign w:val="center"/>
          </w:tcPr>
          <w:p w14:paraId="4AF89F8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D446425">
            <w:pPr>
              <w:jc w:val="center"/>
              <w:rPr>
                <w:rFonts w:hint="eastAsia" w:asciiTheme="minorEastAsia" w:hAnsiTheme="minorEastAsia" w:eastAsiaTheme="minorEastAsia" w:cstheme="minorEastAsia"/>
                <w:color w:val="000000"/>
                <w:sz w:val="20"/>
                <w:szCs w:val="20"/>
              </w:rPr>
            </w:pPr>
          </w:p>
        </w:tc>
      </w:tr>
      <w:tr w14:paraId="2609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AB874D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F3D320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257DED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36AF3E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3）支持对药品调价（选择全部批次）。</w:t>
            </w:r>
          </w:p>
        </w:tc>
        <w:tc>
          <w:tcPr>
            <w:tcW w:w="479" w:type="pct"/>
            <w:vMerge w:val="continue"/>
            <w:shd w:val="clear" w:color="auto" w:fill="auto"/>
            <w:vAlign w:val="center"/>
          </w:tcPr>
          <w:p w14:paraId="0D8F99E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E757524">
            <w:pPr>
              <w:jc w:val="center"/>
              <w:rPr>
                <w:rFonts w:hint="eastAsia" w:asciiTheme="minorEastAsia" w:hAnsiTheme="minorEastAsia" w:eastAsiaTheme="minorEastAsia" w:cstheme="minorEastAsia"/>
                <w:color w:val="000000"/>
                <w:sz w:val="20"/>
                <w:szCs w:val="20"/>
              </w:rPr>
            </w:pPr>
          </w:p>
        </w:tc>
      </w:tr>
      <w:tr w14:paraId="3D29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7B002C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456072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3475EB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D93D73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11．报表查询</w:t>
            </w:r>
          </w:p>
        </w:tc>
        <w:tc>
          <w:tcPr>
            <w:tcW w:w="479" w:type="pct"/>
            <w:vMerge w:val="continue"/>
            <w:shd w:val="clear" w:color="auto" w:fill="auto"/>
            <w:vAlign w:val="center"/>
          </w:tcPr>
          <w:p w14:paraId="7F6AB60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9B51355">
            <w:pPr>
              <w:jc w:val="center"/>
              <w:rPr>
                <w:rFonts w:hint="eastAsia" w:asciiTheme="minorEastAsia" w:hAnsiTheme="minorEastAsia" w:eastAsiaTheme="minorEastAsia" w:cstheme="minorEastAsia"/>
                <w:color w:val="000000"/>
                <w:sz w:val="20"/>
                <w:szCs w:val="20"/>
              </w:rPr>
            </w:pPr>
          </w:p>
        </w:tc>
      </w:tr>
      <w:tr w14:paraId="4000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B4D090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83DE64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A0B7B8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3C3393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生成药库管理的各种基本报表，并可导出为Excel格式。包括：药库进货汇总、药库进货明细、药库进货单据汇总、药库出库汇总、药库出库明细、药库出库单据汇总、药库损益汇总、药库损益明细、药品调价查询、药库调价明细、全院药品查询、全院药品动态、药品收入与成本、药库月结、药库药品库存余额查询、药库药品有效期查询、药库药品进货收入账等，也可根据用户实际情况定制报表内容</w:t>
            </w:r>
          </w:p>
        </w:tc>
        <w:tc>
          <w:tcPr>
            <w:tcW w:w="479" w:type="pct"/>
            <w:vMerge w:val="continue"/>
            <w:shd w:val="clear" w:color="auto" w:fill="auto"/>
            <w:vAlign w:val="center"/>
          </w:tcPr>
          <w:p w14:paraId="01A243A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B15FB9F">
            <w:pPr>
              <w:jc w:val="center"/>
              <w:rPr>
                <w:rFonts w:hint="eastAsia" w:asciiTheme="minorEastAsia" w:hAnsiTheme="minorEastAsia" w:eastAsiaTheme="minorEastAsia" w:cstheme="minorEastAsia"/>
                <w:color w:val="000000"/>
                <w:sz w:val="20"/>
                <w:szCs w:val="20"/>
              </w:rPr>
            </w:pPr>
          </w:p>
        </w:tc>
      </w:tr>
      <w:tr w14:paraId="582D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405038C8">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w:t>
            </w:r>
          </w:p>
        </w:tc>
        <w:tc>
          <w:tcPr>
            <w:tcW w:w="624" w:type="pct"/>
            <w:vMerge w:val="continue"/>
            <w:shd w:val="clear" w:color="auto" w:fill="auto"/>
            <w:vAlign w:val="center"/>
          </w:tcPr>
          <w:p w14:paraId="751DCFE3">
            <w:pPr>
              <w:jc w:val="center"/>
              <w:rPr>
                <w:rFonts w:hint="eastAsia" w:asciiTheme="minorEastAsia" w:hAnsiTheme="minorEastAsia" w:eastAsiaTheme="minorEastAsia" w:cstheme="minorEastAsia"/>
                <w:color w:val="000000"/>
                <w:sz w:val="20"/>
                <w:szCs w:val="20"/>
              </w:rPr>
            </w:pPr>
          </w:p>
        </w:tc>
        <w:tc>
          <w:tcPr>
            <w:tcW w:w="600" w:type="pct"/>
            <w:vMerge w:val="restart"/>
            <w:shd w:val="clear" w:color="auto" w:fill="auto"/>
            <w:vAlign w:val="center"/>
          </w:tcPr>
          <w:p w14:paraId="36D5ECB3">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药房管理</w:t>
            </w:r>
          </w:p>
        </w:tc>
        <w:tc>
          <w:tcPr>
            <w:tcW w:w="2477" w:type="pct"/>
            <w:shd w:val="clear" w:color="auto" w:fill="auto"/>
            <w:vAlign w:val="center"/>
          </w:tcPr>
          <w:p w14:paraId="417D441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1．药房入库</w:t>
            </w:r>
          </w:p>
        </w:tc>
        <w:tc>
          <w:tcPr>
            <w:tcW w:w="479" w:type="pct"/>
            <w:vMerge w:val="restart"/>
            <w:shd w:val="clear" w:color="auto" w:fill="auto"/>
            <w:vAlign w:val="center"/>
          </w:tcPr>
          <w:p w14:paraId="3E4C9D57">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45C2A2C2">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1134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E2B173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ED776E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569DFC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210ECC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1）通过新增、编辑、查看、审核入库请领单向药库申请药品。</w:t>
            </w:r>
          </w:p>
        </w:tc>
        <w:tc>
          <w:tcPr>
            <w:tcW w:w="479" w:type="pct"/>
            <w:vMerge w:val="continue"/>
            <w:shd w:val="clear" w:color="auto" w:fill="auto"/>
            <w:vAlign w:val="center"/>
          </w:tcPr>
          <w:p w14:paraId="7051AEB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C505B30">
            <w:pPr>
              <w:jc w:val="center"/>
              <w:rPr>
                <w:rFonts w:hint="eastAsia" w:asciiTheme="minorEastAsia" w:hAnsiTheme="minorEastAsia" w:eastAsiaTheme="minorEastAsia" w:cstheme="minorEastAsia"/>
                <w:color w:val="000000"/>
                <w:sz w:val="20"/>
                <w:szCs w:val="20"/>
              </w:rPr>
            </w:pPr>
          </w:p>
        </w:tc>
      </w:tr>
      <w:tr w14:paraId="11E9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47C88BB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CF1B2E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67D929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C043AA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2）按库存下限/上限差额数生成请领单、按时间段药房发药总数生成请领单、按时间段药房消耗总数生成请领单。</w:t>
            </w:r>
          </w:p>
        </w:tc>
        <w:tc>
          <w:tcPr>
            <w:tcW w:w="479" w:type="pct"/>
            <w:vMerge w:val="continue"/>
            <w:shd w:val="clear" w:color="auto" w:fill="auto"/>
            <w:vAlign w:val="center"/>
          </w:tcPr>
          <w:p w14:paraId="65C5205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1B32306">
            <w:pPr>
              <w:jc w:val="center"/>
              <w:rPr>
                <w:rFonts w:hint="eastAsia" w:asciiTheme="minorEastAsia" w:hAnsiTheme="minorEastAsia" w:eastAsiaTheme="minorEastAsia" w:cstheme="minorEastAsia"/>
                <w:color w:val="000000"/>
                <w:sz w:val="20"/>
                <w:szCs w:val="20"/>
              </w:rPr>
            </w:pPr>
          </w:p>
        </w:tc>
      </w:tr>
      <w:tr w14:paraId="6A7E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9551EF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CA8698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3B030C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AF9C77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2．药房退库</w:t>
            </w:r>
          </w:p>
        </w:tc>
        <w:tc>
          <w:tcPr>
            <w:tcW w:w="479" w:type="pct"/>
            <w:vMerge w:val="continue"/>
            <w:shd w:val="clear" w:color="auto" w:fill="auto"/>
            <w:vAlign w:val="center"/>
          </w:tcPr>
          <w:p w14:paraId="6C991B3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0D4A38F">
            <w:pPr>
              <w:jc w:val="center"/>
              <w:rPr>
                <w:rFonts w:hint="eastAsia" w:asciiTheme="minorEastAsia" w:hAnsiTheme="minorEastAsia" w:eastAsiaTheme="minorEastAsia" w:cstheme="minorEastAsia"/>
                <w:color w:val="000000"/>
                <w:sz w:val="20"/>
                <w:szCs w:val="20"/>
              </w:rPr>
            </w:pPr>
          </w:p>
        </w:tc>
      </w:tr>
      <w:tr w14:paraId="6C02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C775E9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9D859B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92F0E2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74B37D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1）通过新增、编辑、查看、审核入库请领单向药库申请药品。</w:t>
            </w:r>
          </w:p>
        </w:tc>
        <w:tc>
          <w:tcPr>
            <w:tcW w:w="479" w:type="pct"/>
            <w:vMerge w:val="continue"/>
            <w:shd w:val="clear" w:color="auto" w:fill="auto"/>
            <w:vAlign w:val="center"/>
          </w:tcPr>
          <w:p w14:paraId="4B50A0F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BBEED9C">
            <w:pPr>
              <w:jc w:val="center"/>
              <w:rPr>
                <w:rFonts w:hint="eastAsia" w:asciiTheme="minorEastAsia" w:hAnsiTheme="minorEastAsia" w:eastAsiaTheme="minorEastAsia" w:cstheme="minorEastAsia"/>
                <w:color w:val="000000"/>
                <w:sz w:val="20"/>
                <w:szCs w:val="20"/>
              </w:rPr>
            </w:pPr>
          </w:p>
        </w:tc>
      </w:tr>
      <w:tr w14:paraId="0311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1276A0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2D6974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151967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9442B5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2）可根据自己实际情况手动选择批次进行退库。</w:t>
            </w:r>
          </w:p>
        </w:tc>
        <w:tc>
          <w:tcPr>
            <w:tcW w:w="479" w:type="pct"/>
            <w:vMerge w:val="continue"/>
            <w:shd w:val="clear" w:color="auto" w:fill="auto"/>
            <w:vAlign w:val="center"/>
          </w:tcPr>
          <w:p w14:paraId="369905B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FBAA408">
            <w:pPr>
              <w:jc w:val="center"/>
              <w:rPr>
                <w:rFonts w:hint="eastAsia" w:asciiTheme="minorEastAsia" w:hAnsiTheme="minorEastAsia" w:eastAsiaTheme="minorEastAsia" w:cstheme="minorEastAsia"/>
                <w:color w:val="000000"/>
                <w:sz w:val="20"/>
                <w:szCs w:val="20"/>
              </w:rPr>
            </w:pPr>
          </w:p>
        </w:tc>
      </w:tr>
      <w:tr w14:paraId="008D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514500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A031FF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23FBCB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D3B0EF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3．药房损益</w:t>
            </w:r>
          </w:p>
        </w:tc>
        <w:tc>
          <w:tcPr>
            <w:tcW w:w="479" w:type="pct"/>
            <w:vMerge w:val="continue"/>
            <w:shd w:val="clear" w:color="auto" w:fill="auto"/>
            <w:vAlign w:val="center"/>
          </w:tcPr>
          <w:p w14:paraId="5C62CA4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A1C2DAF">
            <w:pPr>
              <w:jc w:val="center"/>
              <w:rPr>
                <w:rFonts w:hint="eastAsia" w:asciiTheme="minorEastAsia" w:hAnsiTheme="minorEastAsia" w:eastAsiaTheme="minorEastAsia" w:cstheme="minorEastAsia"/>
                <w:color w:val="000000"/>
                <w:sz w:val="20"/>
                <w:szCs w:val="20"/>
              </w:rPr>
            </w:pPr>
          </w:p>
        </w:tc>
      </w:tr>
      <w:tr w14:paraId="2971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76991C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FD1C42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AE9CBF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8684D5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1）可由盘点单自动生成损益单。</w:t>
            </w:r>
          </w:p>
        </w:tc>
        <w:tc>
          <w:tcPr>
            <w:tcW w:w="479" w:type="pct"/>
            <w:vMerge w:val="continue"/>
            <w:shd w:val="clear" w:color="auto" w:fill="auto"/>
            <w:vAlign w:val="center"/>
          </w:tcPr>
          <w:p w14:paraId="21FCFB9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E73622D">
            <w:pPr>
              <w:jc w:val="center"/>
              <w:rPr>
                <w:rFonts w:hint="eastAsia" w:asciiTheme="minorEastAsia" w:hAnsiTheme="minorEastAsia" w:eastAsiaTheme="minorEastAsia" w:cstheme="minorEastAsia"/>
                <w:color w:val="000000"/>
                <w:sz w:val="20"/>
                <w:szCs w:val="20"/>
              </w:rPr>
            </w:pPr>
          </w:p>
        </w:tc>
      </w:tr>
      <w:tr w14:paraId="42D7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8C2984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8D70A1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ED2DF7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F5AAEE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2）通过新增、编辑、查看、审核损益单的操作，对实际发生损益的药品进行记录，并增删库存。</w:t>
            </w:r>
          </w:p>
        </w:tc>
        <w:tc>
          <w:tcPr>
            <w:tcW w:w="479" w:type="pct"/>
            <w:vMerge w:val="continue"/>
            <w:shd w:val="clear" w:color="auto" w:fill="auto"/>
            <w:vAlign w:val="center"/>
          </w:tcPr>
          <w:p w14:paraId="1C1F7AA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49FCBD7">
            <w:pPr>
              <w:jc w:val="center"/>
              <w:rPr>
                <w:rFonts w:hint="eastAsia" w:asciiTheme="minorEastAsia" w:hAnsiTheme="minorEastAsia" w:eastAsiaTheme="minorEastAsia" w:cstheme="minorEastAsia"/>
                <w:color w:val="000000"/>
                <w:sz w:val="20"/>
                <w:szCs w:val="20"/>
              </w:rPr>
            </w:pPr>
          </w:p>
        </w:tc>
      </w:tr>
      <w:tr w14:paraId="1129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060045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D450DB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0FC7CC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0F20BE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4．药房盘点</w:t>
            </w:r>
          </w:p>
        </w:tc>
        <w:tc>
          <w:tcPr>
            <w:tcW w:w="479" w:type="pct"/>
            <w:vMerge w:val="continue"/>
            <w:shd w:val="clear" w:color="auto" w:fill="auto"/>
            <w:vAlign w:val="center"/>
          </w:tcPr>
          <w:p w14:paraId="2C10E88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7E2AFF1">
            <w:pPr>
              <w:jc w:val="center"/>
              <w:rPr>
                <w:rFonts w:hint="eastAsia" w:asciiTheme="minorEastAsia" w:hAnsiTheme="minorEastAsia" w:eastAsiaTheme="minorEastAsia" w:cstheme="minorEastAsia"/>
                <w:color w:val="000000"/>
                <w:sz w:val="20"/>
                <w:szCs w:val="20"/>
              </w:rPr>
            </w:pPr>
          </w:p>
        </w:tc>
      </w:tr>
      <w:tr w14:paraId="0108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460C5D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62C68F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8E15A6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818C67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1）通过新增、编辑、查看、审核盘点单的操作，对药库现有药品盘点。</w:t>
            </w:r>
          </w:p>
        </w:tc>
        <w:tc>
          <w:tcPr>
            <w:tcW w:w="479" w:type="pct"/>
            <w:vMerge w:val="continue"/>
            <w:shd w:val="clear" w:color="auto" w:fill="auto"/>
            <w:vAlign w:val="center"/>
          </w:tcPr>
          <w:p w14:paraId="4263C9B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C0C9983">
            <w:pPr>
              <w:jc w:val="center"/>
              <w:rPr>
                <w:rFonts w:hint="eastAsia" w:asciiTheme="minorEastAsia" w:hAnsiTheme="minorEastAsia" w:eastAsiaTheme="minorEastAsia" w:cstheme="minorEastAsia"/>
                <w:color w:val="000000"/>
                <w:sz w:val="20"/>
                <w:szCs w:val="20"/>
              </w:rPr>
            </w:pPr>
          </w:p>
        </w:tc>
      </w:tr>
      <w:tr w14:paraId="189D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4FEC105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C49748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7184AE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10B303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2）可以根据药品类型等条件来盘点。</w:t>
            </w:r>
          </w:p>
        </w:tc>
        <w:tc>
          <w:tcPr>
            <w:tcW w:w="479" w:type="pct"/>
            <w:vMerge w:val="continue"/>
            <w:shd w:val="clear" w:color="auto" w:fill="auto"/>
            <w:vAlign w:val="center"/>
          </w:tcPr>
          <w:p w14:paraId="6F3A9B5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880C60C">
            <w:pPr>
              <w:jc w:val="center"/>
              <w:rPr>
                <w:rFonts w:hint="eastAsia" w:asciiTheme="minorEastAsia" w:hAnsiTheme="minorEastAsia" w:eastAsiaTheme="minorEastAsia" w:cstheme="minorEastAsia"/>
                <w:color w:val="000000"/>
                <w:sz w:val="20"/>
                <w:szCs w:val="20"/>
              </w:rPr>
            </w:pPr>
          </w:p>
        </w:tc>
      </w:tr>
      <w:tr w14:paraId="5636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9E9319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D7CEBB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A45D78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67B92C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3）盘点审核通过自动生成已审核的损益单 。</w:t>
            </w:r>
          </w:p>
        </w:tc>
        <w:tc>
          <w:tcPr>
            <w:tcW w:w="479" w:type="pct"/>
            <w:vMerge w:val="continue"/>
            <w:shd w:val="clear" w:color="auto" w:fill="auto"/>
            <w:vAlign w:val="center"/>
          </w:tcPr>
          <w:p w14:paraId="62579F9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CC3DDB4">
            <w:pPr>
              <w:jc w:val="center"/>
              <w:rPr>
                <w:rFonts w:hint="eastAsia" w:asciiTheme="minorEastAsia" w:hAnsiTheme="minorEastAsia" w:eastAsiaTheme="minorEastAsia" w:cstheme="minorEastAsia"/>
                <w:color w:val="000000"/>
                <w:sz w:val="20"/>
                <w:szCs w:val="20"/>
              </w:rPr>
            </w:pPr>
          </w:p>
        </w:tc>
      </w:tr>
      <w:tr w14:paraId="126F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0A886C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E4B85A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445560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8F47BD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4）支持按药品规格盘点。</w:t>
            </w:r>
          </w:p>
        </w:tc>
        <w:tc>
          <w:tcPr>
            <w:tcW w:w="479" w:type="pct"/>
            <w:vMerge w:val="continue"/>
            <w:shd w:val="clear" w:color="auto" w:fill="auto"/>
            <w:vAlign w:val="center"/>
          </w:tcPr>
          <w:p w14:paraId="7F884A1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0C24E92">
            <w:pPr>
              <w:jc w:val="center"/>
              <w:rPr>
                <w:rFonts w:hint="eastAsia" w:asciiTheme="minorEastAsia" w:hAnsiTheme="minorEastAsia" w:eastAsiaTheme="minorEastAsia" w:cstheme="minorEastAsia"/>
                <w:color w:val="000000"/>
                <w:sz w:val="20"/>
                <w:szCs w:val="20"/>
              </w:rPr>
            </w:pPr>
          </w:p>
        </w:tc>
      </w:tr>
      <w:tr w14:paraId="125E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CCB41D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642B8A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8EA373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97074B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5．药房调入</w:t>
            </w:r>
          </w:p>
        </w:tc>
        <w:tc>
          <w:tcPr>
            <w:tcW w:w="479" w:type="pct"/>
            <w:vMerge w:val="continue"/>
            <w:shd w:val="clear" w:color="auto" w:fill="auto"/>
            <w:vAlign w:val="center"/>
          </w:tcPr>
          <w:p w14:paraId="5523398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9D2F4E2">
            <w:pPr>
              <w:jc w:val="center"/>
              <w:rPr>
                <w:rFonts w:hint="eastAsia" w:asciiTheme="minorEastAsia" w:hAnsiTheme="minorEastAsia" w:eastAsiaTheme="minorEastAsia" w:cstheme="minorEastAsia"/>
                <w:color w:val="000000"/>
                <w:sz w:val="20"/>
                <w:szCs w:val="20"/>
              </w:rPr>
            </w:pPr>
          </w:p>
        </w:tc>
      </w:tr>
      <w:tr w14:paraId="157A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F30750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CB2CA3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25D9BC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FAB630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通过新增、编辑、查看、审核调入申请单，对于需要向其他药房申请的药品，可以填写调入申请。</w:t>
            </w:r>
          </w:p>
        </w:tc>
        <w:tc>
          <w:tcPr>
            <w:tcW w:w="479" w:type="pct"/>
            <w:vMerge w:val="continue"/>
            <w:shd w:val="clear" w:color="auto" w:fill="auto"/>
            <w:vAlign w:val="center"/>
          </w:tcPr>
          <w:p w14:paraId="0CBF64E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1DD20AD">
            <w:pPr>
              <w:jc w:val="center"/>
              <w:rPr>
                <w:rFonts w:hint="eastAsia" w:asciiTheme="minorEastAsia" w:hAnsiTheme="minorEastAsia" w:eastAsiaTheme="minorEastAsia" w:cstheme="minorEastAsia"/>
                <w:color w:val="000000"/>
                <w:sz w:val="20"/>
                <w:szCs w:val="20"/>
              </w:rPr>
            </w:pPr>
          </w:p>
        </w:tc>
      </w:tr>
      <w:tr w14:paraId="6475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C74A4F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8414F6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C25F3E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C902D2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6．药房调出</w:t>
            </w:r>
          </w:p>
        </w:tc>
        <w:tc>
          <w:tcPr>
            <w:tcW w:w="479" w:type="pct"/>
            <w:vMerge w:val="continue"/>
            <w:shd w:val="clear" w:color="auto" w:fill="auto"/>
            <w:vAlign w:val="center"/>
          </w:tcPr>
          <w:p w14:paraId="5B62C10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B7EE58C">
            <w:pPr>
              <w:jc w:val="center"/>
              <w:rPr>
                <w:rFonts w:hint="eastAsia" w:asciiTheme="minorEastAsia" w:hAnsiTheme="minorEastAsia" w:eastAsiaTheme="minorEastAsia" w:cstheme="minorEastAsia"/>
                <w:color w:val="000000"/>
                <w:sz w:val="20"/>
                <w:szCs w:val="20"/>
              </w:rPr>
            </w:pPr>
          </w:p>
        </w:tc>
      </w:tr>
      <w:tr w14:paraId="14E3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ACE4BE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FACC16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593BB0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A5292C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1）可通过新增、编辑、查看、审核等操作，手动新增调出单并扣减库存。</w:t>
            </w:r>
          </w:p>
        </w:tc>
        <w:tc>
          <w:tcPr>
            <w:tcW w:w="479" w:type="pct"/>
            <w:vMerge w:val="continue"/>
            <w:shd w:val="clear" w:color="auto" w:fill="auto"/>
            <w:vAlign w:val="center"/>
          </w:tcPr>
          <w:p w14:paraId="5B9A0B3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DC6BEB8">
            <w:pPr>
              <w:jc w:val="center"/>
              <w:rPr>
                <w:rFonts w:hint="eastAsia" w:asciiTheme="minorEastAsia" w:hAnsiTheme="minorEastAsia" w:eastAsiaTheme="minorEastAsia" w:cstheme="minorEastAsia"/>
                <w:color w:val="000000"/>
                <w:sz w:val="20"/>
                <w:szCs w:val="20"/>
              </w:rPr>
            </w:pPr>
          </w:p>
        </w:tc>
      </w:tr>
      <w:tr w14:paraId="6562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423BE2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161050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944B61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E78A6E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2）新增调出单后，可根据院内实际情况选择是否需要对方审核。</w:t>
            </w:r>
          </w:p>
        </w:tc>
        <w:tc>
          <w:tcPr>
            <w:tcW w:w="479" w:type="pct"/>
            <w:vMerge w:val="continue"/>
            <w:shd w:val="clear" w:color="auto" w:fill="auto"/>
            <w:vAlign w:val="center"/>
          </w:tcPr>
          <w:p w14:paraId="3493325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A8B709A">
            <w:pPr>
              <w:jc w:val="center"/>
              <w:rPr>
                <w:rFonts w:hint="eastAsia" w:asciiTheme="minorEastAsia" w:hAnsiTheme="minorEastAsia" w:eastAsiaTheme="minorEastAsia" w:cstheme="minorEastAsia"/>
                <w:color w:val="000000"/>
                <w:sz w:val="20"/>
                <w:szCs w:val="20"/>
              </w:rPr>
            </w:pPr>
          </w:p>
        </w:tc>
      </w:tr>
      <w:tr w14:paraId="6E5A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3F2EE2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7DB52C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4872F1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4D1243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3）调出时可手动选择批次。</w:t>
            </w:r>
          </w:p>
        </w:tc>
        <w:tc>
          <w:tcPr>
            <w:tcW w:w="479" w:type="pct"/>
            <w:vMerge w:val="continue"/>
            <w:shd w:val="clear" w:color="auto" w:fill="auto"/>
            <w:vAlign w:val="center"/>
          </w:tcPr>
          <w:p w14:paraId="7AE2AF1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56F9F32">
            <w:pPr>
              <w:jc w:val="center"/>
              <w:rPr>
                <w:rFonts w:hint="eastAsia" w:asciiTheme="minorEastAsia" w:hAnsiTheme="minorEastAsia" w:eastAsiaTheme="minorEastAsia" w:cstheme="minorEastAsia"/>
                <w:color w:val="000000"/>
                <w:sz w:val="20"/>
                <w:szCs w:val="20"/>
              </w:rPr>
            </w:pPr>
          </w:p>
        </w:tc>
      </w:tr>
      <w:tr w14:paraId="14BB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2D615A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8698EF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1F1B76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62E1F3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4）可拒绝药房调入申请单。</w:t>
            </w:r>
          </w:p>
        </w:tc>
        <w:tc>
          <w:tcPr>
            <w:tcW w:w="479" w:type="pct"/>
            <w:vMerge w:val="continue"/>
            <w:shd w:val="clear" w:color="auto" w:fill="auto"/>
            <w:vAlign w:val="center"/>
          </w:tcPr>
          <w:p w14:paraId="4087E31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DB4A304">
            <w:pPr>
              <w:jc w:val="center"/>
              <w:rPr>
                <w:rFonts w:hint="eastAsia" w:asciiTheme="minorEastAsia" w:hAnsiTheme="minorEastAsia" w:eastAsiaTheme="minorEastAsia" w:cstheme="minorEastAsia"/>
                <w:color w:val="000000"/>
                <w:sz w:val="20"/>
                <w:szCs w:val="20"/>
              </w:rPr>
            </w:pPr>
          </w:p>
        </w:tc>
      </w:tr>
      <w:tr w14:paraId="57E0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624020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1DCD07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ABE5C7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E95A86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7．药房库存警戒</w:t>
            </w:r>
          </w:p>
        </w:tc>
        <w:tc>
          <w:tcPr>
            <w:tcW w:w="479" w:type="pct"/>
            <w:vMerge w:val="continue"/>
            <w:shd w:val="clear" w:color="auto" w:fill="auto"/>
            <w:vAlign w:val="center"/>
          </w:tcPr>
          <w:p w14:paraId="50A792E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7918509">
            <w:pPr>
              <w:jc w:val="center"/>
              <w:rPr>
                <w:rFonts w:hint="eastAsia" w:asciiTheme="minorEastAsia" w:hAnsiTheme="minorEastAsia" w:eastAsiaTheme="minorEastAsia" w:cstheme="minorEastAsia"/>
                <w:color w:val="000000"/>
                <w:sz w:val="20"/>
                <w:szCs w:val="20"/>
              </w:rPr>
            </w:pPr>
          </w:p>
        </w:tc>
      </w:tr>
      <w:tr w14:paraId="69DB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0A0C14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5109DB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871B28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8EA150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1）展示药房全部药品的库存情况。</w:t>
            </w:r>
          </w:p>
        </w:tc>
        <w:tc>
          <w:tcPr>
            <w:tcW w:w="479" w:type="pct"/>
            <w:vMerge w:val="continue"/>
            <w:shd w:val="clear" w:color="auto" w:fill="auto"/>
            <w:vAlign w:val="center"/>
          </w:tcPr>
          <w:p w14:paraId="00C0AF3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31E25CC">
            <w:pPr>
              <w:jc w:val="center"/>
              <w:rPr>
                <w:rFonts w:hint="eastAsia" w:asciiTheme="minorEastAsia" w:hAnsiTheme="minorEastAsia" w:eastAsiaTheme="minorEastAsia" w:cstheme="minorEastAsia"/>
                <w:color w:val="000000"/>
                <w:sz w:val="20"/>
                <w:szCs w:val="20"/>
              </w:rPr>
            </w:pPr>
          </w:p>
        </w:tc>
      </w:tr>
      <w:tr w14:paraId="62A6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96BCA0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AE0FED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F3550D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C291B6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2）可以设置药品的上限、下限、货位、是否禁售等信息并实时保存。</w:t>
            </w:r>
          </w:p>
        </w:tc>
        <w:tc>
          <w:tcPr>
            <w:tcW w:w="479" w:type="pct"/>
            <w:vMerge w:val="continue"/>
            <w:shd w:val="clear" w:color="auto" w:fill="auto"/>
            <w:vAlign w:val="center"/>
          </w:tcPr>
          <w:p w14:paraId="4AC0D4D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4F2218E">
            <w:pPr>
              <w:jc w:val="center"/>
              <w:rPr>
                <w:rFonts w:hint="eastAsia" w:asciiTheme="minorEastAsia" w:hAnsiTheme="minorEastAsia" w:eastAsiaTheme="minorEastAsia" w:cstheme="minorEastAsia"/>
                <w:color w:val="000000"/>
                <w:sz w:val="20"/>
                <w:szCs w:val="20"/>
              </w:rPr>
            </w:pPr>
          </w:p>
        </w:tc>
      </w:tr>
      <w:tr w14:paraId="2368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678E65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EBE82B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7AC4BE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4D32CE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3）展示低于下限药品，可向负责人推送待办提醒。</w:t>
            </w:r>
          </w:p>
        </w:tc>
        <w:tc>
          <w:tcPr>
            <w:tcW w:w="479" w:type="pct"/>
            <w:vMerge w:val="continue"/>
            <w:shd w:val="clear" w:color="auto" w:fill="auto"/>
            <w:vAlign w:val="center"/>
          </w:tcPr>
          <w:p w14:paraId="7088A9F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5F74908">
            <w:pPr>
              <w:jc w:val="center"/>
              <w:rPr>
                <w:rFonts w:hint="eastAsia" w:asciiTheme="minorEastAsia" w:hAnsiTheme="minorEastAsia" w:eastAsiaTheme="minorEastAsia" w:cstheme="minorEastAsia"/>
                <w:color w:val="000000"/>
                <w:sz w:val="20"/>
                <w:szCs w:val="20"/>
              </w:rPr>
            </w:pPr>
          </w:p>
        </w:tc>
      </w:tr>
      <w:tr w14:paraId="3609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EADAF8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F649A3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40D1B7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30F276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4）展示近效期药品，可向负责人推送待办提醒。</w:t>
            </w:r>
          </w:p>
        </w:tc>
        <w:tc>
          <w:tcPr>
            <w:tcW w:w="479" w:type="pct"/>
            <w:vMerge w:val="continue"/>
            <w:shd w:val="clear" w:color="auto" w:fill="auto"/>
            <w:vAlign w:val="center"/>
          </w:tcPr>
          <w:p w14:paraId="7EFB9C7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76A51C4">
            <w:pPr>
              <w:jc w:val="center"/>
              <w:rPr>
                <w:rFonts w:hint="eastAsia" w:asciiTheme="minorEastAsia" w:hAnsiTheme="minorEastAsia" w:eastAsiaTheme="minorEastAsia" w:cstheme="minorEastAsia"/>
                <w:color w:val="000000"/>
                <w:sz w:val="20"/>
                <w:szCs w:val="20"/>
              </w:rPr>
            </w:pPr>
          </w:p>
        </w:tc>
      </w:tr>
      <w:tr w14:paraId="7C0F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A74141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A0A8E7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E1EDB0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6E7E9B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8．药品消耗</w:t>
            </w:r>
          </w:p>
        </w:tc>
        <w:tc>
          <w:tcPr>
            <w:tcW w:w="479" w:type="pct"/>
            <w:vMerge w:val="continue"/>
            <w:shd w:val="clear" w:color="auto" w:fill="auto"/>
            <w:vAlign w:val="center"/>
          </w:tcPr>
          <w:p w14:paraId="56EA481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114C28C">
            <w:pPr>
              <w:jc w:val="center"/>
              <w:rPr>
                <w:rFonts w:hint="eastAsia" w:asciiTheme="minorEastAsia" w:hAnsiTheme="minorEastAsia" w:eastAsiaTheme="minorEastAsia" w:cstheme="minorEastAsia"/>
                <w:color w:val="000000"/>
                <w:sz w:val="20"/>
                <w:szCs w:val="20"/>
              </w:rPr>
            </w:pPr>
          </w:p>
        </w:tc>
      </w:tr>
      <w:tr w14:paraId="51C0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DE69E1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3C5705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02103C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227C86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支持记录项目绑定消耗药品，每段时间集中管理随项目用掉的药品。</w:t>
            </w:r>
          </w:p>
        </w:tc>
        <w:tc>
          <w:tcPr>
            <w:tcW w:w="479" w:type="pct"/>
            <w:vMerge w:val="continue"/>
            <w:shd w:val="clear" w:color="auto" w:fill="auto"/>
            <w:vAlign w:val="center"/>
          </w:tcPr>
          <w:p w14:paraId="3C34609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9A2D1FC">
            <w:pPr>
              <w:jc w:val="center"/>
              <w:rPr>
                <w:rFonts w:hint="eastAsia" w:asciiTheme="minorEastAsia" w:hAnsiTheme="minorEastAsia" w:eastAsiaTheme="minorEastAsia" w:cstheme="minorEastAsia"/>
                <w:color w:val="000000"/>
                <w:sz w:val="20"/>
                <w:szCs w:val="20"/>
              </w:rPr>
            </w:pPr>
          </w:p>
        </w:tc>
      </w:tr>
      <w:tr w14:paraId="7FD4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9FBB6D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922E48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347931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611C73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9．报表查询</w:t>
            </w:r>
          </w:p>
        </w:tc>
        <w:tc>
          <w:tcPr>
            <w:tcW w:w="479" w:type="pct"/>
            <w:vMerge w:val="continue"/>
            <w:shd w:val="clear" w:color="auto" w:fill="auto"/>
            <w:vAlign w:val="center"/>
          </w:tcPr>
          <w:p w14:paraId="2AAEE13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C2306EB">
            <w:pPr>
              <w:jc w:val="center"/>
              <w:rPr>
                <w:rFonts w:hint="eastAsia" w:asciiTheme="minorEastAsia" w:hAnsiTheme="minorEastAsia" w:eastAsiaTheme="minorEastAsia" w:cstheme="minorEastAsia"/>
                <w:color w:val="000000"/>
                <w:sz w:val="20"/>
                <w:szCs w:val="20"/>
              </w:rPr>
            </w:pPr>
          </w:p>
        </w:tc>
      </w:tr>
      <w:tr w14:paraId="7E24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078DAB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6DEB78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902B2F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0C2314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生成药房管理的各种基本报表，并可导出为Excel格式。包括：药房领入汇总、药房领入明细、药房调拨汇总、药房调拨明细、药房损益汇总、药房损益明细、开单医生药品查询、药房库存余额查询、科室药品库存查询、药房月结、药房药品有效期查询、药房业务进销日汇总，也可根据用户实际情况定制报表内容。</w:t>
            </w:r>
          </w:p>
        </w:tc>
        <w:tc>
          <w:tcPr>
            <w:tcW w:w="479" w:type="pct"/>
            <w:vMerge w:val="continue"/>
            <w:shd w:val="clear" w:color="auto" w:fill="auto"/>
            <w:vAlign w:val="center"/>
          </w:tcPr>
          <w:p w14:paraId="41ACB4D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043A226">
            <w:pPr>
              <w:jc w:val="center"/>
              <w:rPr>
                <w:rFonts w:hint="eastAsia" w:asciiTheme="minorEastAsia" w:hAnsiTheme="minorEastAsia" w:eastAsiaTheme="minorEastAsia" w:cstheme="minorEastAsia"/>
                <w:color w:val="000000"/>
                <w:sz w:val="20"/>
                <w:szCs w:val="20"/>
              </w:rPr>
            </w:pPr>
          </w:p>
        </w:tc>
      </w:tr>
      <w:tr w14:paraId="2215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204080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963BD2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020C11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6C4ACF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10．门诊发药</w:t>
            </w:r>
          </w:p>
        </w:tc>
        <w:tc>
          <w:tcPr>
            <w:tcW w:w="479" w:type="pct"/>
            <w:vMerge w:val="continue"/>
            <w:shd w:val="clear" w:color="auto" w:fill="auto"/>
            <w:vAlign w:val="center"/>
          </w:tcPr>
          <w:p w14:paraId="756A1F8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7F21902">
            <w:pPr>
              <w:jc w:val="center"/>
              <w:rPr>
                <w:rFonts w:hint="eastAsia" w:asciiTheme="minorEastAsia" w:hAnsiTheme="minorEastAsia" w:eastAsiaTheme="minorEastAsia" w:cstheme="minorEastAsia"/>
                <w:color w:val="000000"/>
                <w:sz w:val="20"/>
                <w:szCs w:val="20"/>
              </w:rPr>
            </w:pPr>
          </w:p>
        </w:tc>
      </w:tr>
      <w:tr w14:paraId="58D8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504935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967CD5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8E4A4C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FAE22A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1）支持通过医保卡、身份证、病历号、姓名、扫描枪（结算收据号）、处方号方式检索患者处方信息并发药；</w:t>
            </w:r>
          </w:p>
        </w:tc>
        <w:tc>
          <w:tcPr>
            <w:tcW w:w="479" w:type="pct"/>
            <w:vMerge w:val="continue"/>
            <w:shd w:val="clear" w:color="auto" w:fill="auto"/>
            <w:vAlign w:val="center"/>
          </w:tcPr>
          <w:p w14:paraId="124C693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A5183FE">
            <w:pPr>
              <w:jc w:val="center"/>
              <w:rPr>
                <w:rFonts w:hint="eastAsia" w:asciiTheme="minorEastAsia" w:hAnsiTheme="minorEastAsia" w:eastAsiaTheme="minorEastAsia" w:cstheme="minorEastAsia"/>
                <w:color w:val="000000"/>
                <w:sz w:val="20"/>
                <w:szCs w:val="20"/>
              </w:rPr>
            </w:pPr>
          </w:p>
        </w:tc>
      </w:tr>
      <w:tr w14:paraId="55B4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288B7B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3DDE0F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51C267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586297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2）对未收费处方进行警示提醒；</w:t>
            </w:r>
          </w:p>
        </w:tc>
        <w:tc>
          <w:tcPr>
            <w:tcW w:w="479" w:type="pct"/>
            <w:vMerge w:val="continue"/>
            <w:shd w:val="clear" w:color="auto" w:fill="auto"/>
            <w:vAlign w:val="center"/>
          </w:tcPr>
          <w:p w14:paraId="4CC6BEC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6438C98">
            <w:pPr>
              <w:jc w:val="center"/>
              <w:rPr>
                <w:rFonts w:hint="eastAsia" w:asciiTheme="minorEastAsia" w:hAnsiTheme="minorEastAsia" w:eastAsiaTheme="minorEastAsia" w:cstheme="minorEastAsia"/>
                <w:color w:val="000000"/>
                <w:sz w:val="20"/>
                <w:szCs w:val="20"/>
              </w:rPr>
            </w:pPr>
          </w:p>
        </w:tc>
      </w:tr>
      <w:tr w14:paraId="7B50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C4B2F2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468F02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EDF333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97E47B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3）支持对接处方审核和合理用药系统，校验医嘱合理性。</w:t>
            </w:r>
          </w:p>
        </w:tc>
        <w:tc>
          <w:tcPr>
            <w:tcW w:w="479" w:type="pct"/>
            <w:vMerge w:val="continue"/>
            <w:shd w:val="clear" w:color="auto" w:fill="auto"/>
            <w:vAlign w:val="center"/>
          </w:tcPr>
          <w:p w14:paraId="1C332DC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E02C8F4">
            <w:pPr>
              <w:jc w:val="center"/>
              <w:rPr>
                <w:rFonts w:hint="eastAsia" w:asciiTheme="minorEastAsia" w:hAnsiTheme="minorEastAsia" w:eastAsiaTheme="minorEastAsia" w:cstheme="minorEastAsia"/>
                <w:color w:val="000000"/>
                <w:sz w:val="20"/>
                <w:szCs w:val="20"/>
              </w:rPr>
            </w:pPr>
          </w:p>
        </w:tc>
      </w:tr>
      <w:tr w14:paraId="2CB7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C29006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614F9C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47E968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B05186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4）可对接排队叫号系统，呼叫患者（支持通过自助机签到管理）。</w:t>
            </w:r>
          </w:p>
        </w:tc>
        <w:tc>
          <w:tcPr>
            <w:tcW w:w="479" w:type="pct"/>
            <w:vMerge w:val="continue"/>
            <w:shd w:val="clear" w:color="auto" w:fill="auto"/>
            <w:vAlign w:val="center"/>
          </w:tcPr>
          <w:p w14:paraId="1803C42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7ABAD7E">
            <w:pPr>
              <w:jc w:val="center"/>
              <w:rPr>
                <w:rFonts w:hint="eastAsia" w:asciiTheme="minorEastAsia" w:hAnsiTheme="minorEastAsia" w:eastAsiaTheme="minorEastAsia" w:cstheme="minorEastAsia"/>
                <w:color w:val="000000"/>
                <w:sz w:val="20"/>
                <w:szCs w:val="20"/>
              </w:rPr>
            </w:pPr>
          </w:p>
        </w:tc>
      </w:tr>
      <w:tr w14:paraId="1ADD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B96A74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6A8514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313CEA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4CA41C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5）发药完成后，自动记录发药人员信息，扣减实际库存，更新药房库存。</w:t>
            </w:r>
          </w:p>
        </w:tc>
        <w:tc>
          <w:tcPr>
            <w:tcW w:w="479" w:type="pct"/>
            <w:vMerge w:val="continue"/>
            <w:shd w:val="clear" w:color="auto" w:fill="auto"/>
            <w:vAlign w:val="center"/>
          </w:tcPr>
          <w:p w14:paraId="1F51EDC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4760B09">
            <w:pPr>
              <w:jc w:val="center"/>
              <w:rPr>
                <w:rFonts w:hint="eastAsia" w:asciiTheme="minorEastAsia" w:hAnsiTheme="minorEastAsia" w:eastAsiaTheme="minorEastAsia" w:cstheme="minorEastAsia"/>
                <w:color w:val="000000"/>
                <w:sz w:val="20"/>
                <w:szCs w:val="20"/>
              </w:rPr>
            </w:pPr>
          </w:p>
        </w:tc>
      </w:tr>
      <w:tr w14:paraId="6FAC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687C10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78BB68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162CDC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1F70C7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6）支持发药清单的查看，可根据不同维度查看发药汇总、明细数据。</w:t>
            </w:r>
          </w:p>
        </w:tc>
        <w:tc>
          <w:tcPr>
            <w:tcW w:w="479" w:type="pct"/>
            <w:vMerge w:val="continue"/>
            <w:shd w:val="clear" w:color="auto" w:fill="auto"/>
            <w:vAlign w:val="center"/>
          </w:tcPr>
          <w:p w14:paraId="7A24D8C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BEF5469">
            <w:pPr>
              <w:jc w:val="center"/>
              <w:rPr>
                <w:rFonts w:hint="eastAsia" w:asciiTheme="minorEastAsia" w:hAnsiTheme="minorEastAsia" w:eastAsiaTheme="minorEastAsia" w:cstheme="minorEastAsia"/>
                <w:color w:val="000000"/>
                <w:sz w:val="20"/>
                <w:szCs w:val="20"/>
              </w:rPr>
            </w:pPr>
          </w:p>
        </w:tc>
      </w:tr>
      <w:tr w14:paraId="12BA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FBB68C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317848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DC5BE1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B484C1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7）支持药品溯源，药品的采购节点、入库节点、药师发药节点的时间、执行人信息均有记录，药品按批号追踪到患者。</w:t>
            </w:r>
          </w:p>
        </w:tc>
        <w:tc>
          <w:tcPr>
            <w:tcW w:w="479" w:type="pct"/>
            <w:vMerge w:val="continue"/>
            <w:shd w:val="clear" w:color="auto" w:fill="auto"/>
            <w:vAlign w:val="center"/>
          </w:tcPr>
          <w:p w14:paraId="4A86BEB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0B34C5C">
            <w:pPr>
              <w:jc w:val="center"/>
              <w:rPr>
                <w:rFonts w:hint="eastAsia" w:asciiTheme="minorEastAsia" w:hAnsiTheme="minorEastAsia" w:eastAsiaTheme="minorEastAsia" w:cstheme="minorEastAsia"/>
                <w:color w:val="000000"/>
                <w:sz w:val="20"/>
                <w:szCs w:val="20"/>
              </w:rPr>
            </w:pPr>
          </w:p>
        </w:tc>
      </w:tr>
      <w:tr w14:paraId="0984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CF32AD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0F2F4D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66A3F0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DB4E4E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8）支持发药机、智能药柜、静配中心对接。</w:t>
            </w:r>
          </w:p>
        </w:tc>
        <w:tc>
          <w:tcPr>
            <w:tcW w:w="479" w:type="pct"/>
            <w:vMerge w:val="continue"/>
            <w:shd w:val="clear" w:color="auto" w:fill="auto"/>
            <w:vAlign w:val="center"/>
          </w:tcPr>
          <w:p w14:paraId="58A0367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89A4978">
            <w:pPr>
              <w:jc w:val="center"/>
              <w:rPr>
                <w:rFonts w:hint="eastAsia" w:asciiTheme="minorEastAsia" w:hAnsiTheme="minorEastAsia" w:eastAsiaTheme="minorEastAsia" w:cstheme="minorEastAsia"/>
                <w:color w:val="000000"/>
                <w:sz w:val="20"/>
                <w:szCs w:val="20"/>
              </w:rPr>
            </w:pPr>
          </w:p>
        </w:tc>
      </w:tr>
      <w:tr w14:paraId="42BB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868FD5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5350DC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1156C1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CE4C6E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9）支持自动和手动两种方式检索患者并打印配药单。</w:t>
            </w:r>
          </w:p>
        </w:tc>
        <w:tc>
          <w:tcPr>
            <w:tcW w:w="479" w:type="pct"/>
            <w:vMerge w:val="continue"/>
            <w:shd w:val="clear" w:color="auto" w:fill="auto"/>
            <w:vAlign w:val="center"/>
          </w:tcPr>
          <w:p w14:paraId="6A06395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A68E84E">
            <w:pPr>
              <w:jc w:val="center"/>
              <w:rPr>
                <w:rFonts w:hint="eastAsia" w:asciiTheme="minorEastAsia" w:hAnsiTheme="minorEastAsia" w:eastAsiaTheme="minorEastAsia" w:cstheme="minorEastAsia"/>
                <w:color w:val="000000"/>
                <w:sz w:val="20"/>
                <w:szCs w:val="20"/>
              </w:rPr>
            </w:pPr>
          </w:p>
        </w:tc>
      </w:tr>
      <w:tr w14:paraId="2B67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B38E23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C3CFC2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DE4A51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53307F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10）支持按患者、开方医生、配药人员、发药人员、时间段进行处方查询。</w:t>
            </w:r>
          </w:p>
        </w:tc>
        <w:tc>
          <w:tcPr>
            <w:tcW w:w="479" w:type="pct"/>
            <w:vMerge w:val="continue"/>
            <w:shd w:val="clear" w:color="auto" w:fill="auto"/>
            <w:vAlign w:val="center"/>
          </w:tcPr>
          <w:p w14:paraId="559B822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33B36D0">
            <w:pPr>
              <w:jc w:val="center"/>
              <w:rPr>
                <w:rFonts w:hint="eastAsia" w:asciiTheme="minorEastAsia" w:hAnsiTheme="minorEastAsia" w:eastAsiaTheme="minorEastAsia" w:cstheme="minorEastAsia"/>
                <w:color w:val="000000"/>
                <w:sz w:val="20"/>
                <w:szCs w:val="20"/>
              </w:rPr>
            </w:pPr>
          </w:p>
        </w:tc>
      </w:tr>
      <w:tr w14:paraId="749B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24EC9C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E4BB3E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4BC5EE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21135A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11．住院发药</w:t>
            </w:r>
          </w:p>
        </w:tc>
        <w:tc>
          <w:tcPr>
            <w:tcW w:w="479" w:type="pct"/>
            <w:vMerge w:val="continue"/>
            <w:shd w:val="clear" w:color="auto" w:fill="auto"/>
            <w:vAlign w:val="center"/>
          </w:tcPr>
          <w:p w14:paraId="7146F5A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E906A9B">
            <w:pPr>
              <w:jc w:val="center"/>
              <w:rPr>
                <w:rFonts w:hint="eastAsia" w:asciiTheme="minorEastAsia" w:hAnsiTheme="minorEastAsia" w:eastAsiaTheme="minorEastAsia" w:cstheme="minorEastAsia"/>
                <w:color w:val="000000"/>
                <w:sz w:val="20"/>
                <w:szCs w:val="20"/>
              </w:rPr>
            </w:pPr>
          </w:p>
        </w:tc>
      </w:tr>
      <w:tr w14:paraId="6E3A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B8F114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D7415A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608989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18A4FF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1）支持对接处方审核和合理用药系统，校验医嘱合理性。</w:t>
            </w:r>
          </w:p>
        </w:tc>
        <w:tc>
          <w:tcPr>
            <w:tcW w:w="479" w:type="pct"/>
            <w:vMerge w:val="continue"/>
            <w:shd w:val="clear" w:color="auto" w:fill="auto"/>
            <w:vAlign w:val="center"/>
          </w:tcPr>
          <w:p w14:paraId="7A314D6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38A5D2A">
            <w:pPr>
              <w:jc w:val="center"/>
              <w:rPr>
                <w:rFonts w:hint="eastAsia" w:asciiTheme="minorEastAsia" w:hAnsiTheme="minorEastAsia" w:eastAsiaTheme="minorEastAsia" w:cstheme="minorEastAsia"/>
                <w:color w:val="000000"/>
                <w:sz w:val="20"/>
                <w:szCs w:val="20"/>
              </w:rPr>
            </w:pPr>
          </w:p>
        </w:tc>
      </w:tr>
      <w:tr w14:paraId="7780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1FF437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30BAC6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D99C8A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169A22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2）可根据病区/患者进行发药。</w:t>
            </w:r>
          </w:p>
        </w:tc>
        <w:tc>
          <w:tcPr>
            <w:tcW w:w="479" w:type="pct"/>
            <w:vMerge w:val="continue"/>
            <w:shd w:val="clear" w:color="auto" w:fill="auto"/>
            <w:vAlign w:val="center"/>
          </w:tcPr>
          <w:p w14:paraId="3AA28D4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B63743F">
            <w:pPr>
              <w:jc w:val="center"/>
              <w:rPr>
                <w:rFonts w:hint="eastAsia" w:asciiTheme="minorEastAsia" w:hAnsiTheme="minorEastAsia" w:eastAsiaTheme="minorEastAsia" w:cstheme="minorEastAsia"/>
                <w:color w:val="000000"/>
                <w:sz w:val="20"/>
                <w:szCs w:val="20"/>
              </w:rPr>
            </w:pPr>
          </w:p>
        </w:tc>
      </w:tr>
      <w:tr w14:paraId="15FF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622755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43022B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8C68B6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541FB4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3）可以根据患者紧急情况进行优先排序。</w:t>
            </w:r>
          </w:p>
        </w:tc>
        <w:tc>
          <w:tcPr>
            <w:tcW w:w="479" w:type="pct"/>
            <w:vMerge w:val="continue"/>
            <w:shd w:val="clear" w:color="auto" w:fill="auto"/>
            <w:vAlign w:val="center"/>
          </w:tcPr>
          <w:p w14:paraId="778DC13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2F48E4D">
            <w:pPr>
              <w:jc w:val="center"/>
              <w:rPr>
                <w:rFonts w:hint="eastAsia" w:asciiTheme="minorEastAsia" w:hAnsiTheme="minorEastAsia" w:eastAsiaTheme="minorEastAsia" w:cstheme="minorEastAsia"/>
                <w:color w:val="000000"/>
                <w:sz w:val="20"/>
                <w:szCs w:val="20"/>
              </w:rPr>
            </w:pPr>
          </w:p>
        </w:tc>
      </w:tr>
      <w:tr w14:paraId="4270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92C108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D9D5C9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475FCE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2B18DB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4）按医嘱发药时扣减实际库存，并在库房管理时更新或每日定时更新。</w:t>
            </w:r>
          </w:p>
        </w:tc>
        <w:tc>
          <w:tcPr>
            <w:tcW w:w="479" w:type="pct"/>
            <w:vMerge w:val="continue"/>
            <w:shd w:val="clear" w:color="auto" w:fill="auto"/>
            <w:vAlign w:val="center"/>
          </w:tcPr>
          <w:p w14:paraId="0D4895F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B7243EC">
            <w:pPr>
              <w:jc w:val="center"/>
              <w:rPr>
                <w:rFonts w:hint="eastAsia" w:asciiTheme="minorEastAsia" w:hAnsiTheme="minorEastAsia" w:eastAsiaTheme="minorEastAsia" w:cstheme="minorEastAsia"/>
                <w:color w:val="000000"/>
                <w:sz w:val="20"/>
                <w:szCs w:val="20"/>
              </w:rPr>
            </w:pPr>
          </w:p>
        </w:tc>
      </w:tr>
      <w:tr w14:paraId="5CB9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BC4EEA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80F784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B57CED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C0CC1C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5）支持按照病区请领模式发药。</w:t>
            </w:r>
          </w:p>
        </w:tc>
        <w:tc>
          <w:tcPr>
            <w:tcW w:w="479" w:type="pct"/>
            <w:vMerge w:val="continue"/>
            <w:shd w:val="clear" w:color="auto" w:fill="auto"/>
            <w:vAlign w:val="center"/>
          </w:tcPr>
          <w:p w14:paraId="4FE8253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6F4CAD9">
            <w:pPr>
              <w:jc w:val="center"/>
              <w:rPr>
                <w:rFonts w:hint="eastAsia" w:asciiTheme="minorEastAsia" w:hAnsiTheme="minorEastAsia" w:eastAsiaTheme="minorEastAsia" w:cstheme="minorEastAsia"/>
                <w:color w:val="000000"/>
                <w:sz w:val="20"/>
                <w:szCs w:val="20"/>
              </w:rPr>
            </w:pPr>
          </w:p>
        </w:tc>
      </w:tr>
      <w:tr w14:paraId="172D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566BE1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ABD12B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E4B66B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5CCB74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6）支持发药清单的查看，可查看发药汇总、明细数据，支持打印。</w:t>
            </w:r>
          </w:p>
        </w:tc>
        <w:tc>
          <w:tcPr>
            <w:tcW w:w="479" w:type="pct"/>
            <w:vMerge w:val="continue"/>
            <w:shd w:val="clear" w:color="auto" w:fill="auto"/>
            <w:vAlign w:val="center"/>
          </w:tcPr>
          <w:p w14:paraId="3FE4F72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24A2FF4">
            <w:pPr>
              <w:jc w:val="center"/>
              <w:rPr>
                <w:rFonts w:hint="eastAsia" w:asciiTheme="minorEastAsia" w:hAnsiTheme="minorEastAsia" w:eastAsiaTheme="minorEastAsia" w:cstheme="minorEastAsia"/>
                <w:color w:val="000000"/>
                <w:sz w:val="20"/>
                <w:szCs w:val="20"/>
              </w:rPr>
            </w:pPr>
          </w:p>
        </w:tc>
      </w:tr>
      <w:tr w14:paraId="086E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B0B8B1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21A5A8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E538BE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4FEB30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7）支持包药机、发药机、智能药柜、静配中心对接。</w:t>
            </w:r>
          </w:p>
        </w:tc>
        <w:tc>
          <w:tcPr>
            <w:tcW w:w="479" w:type="pct"/>
            <w:vMerge w:val="continue"/>
            <w:shd w:val="clear" w:color="auto" w:fill="auto"/>
            <w:vAlign w:val="center"/>
          </w:tcPr>
          <w:p w14:paraId="05A2EFC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AB711DB">
            <w:pPr>
              <w:jc w:val="center"/>
              <w:rPr>
                <w:rFonts w:hint="eastAsia" w:asciiTheme="minorEastAsia" w:hAnsiTheme="minorEastAsia" w:eastAsiaTheme="minorEastAsia" w:cstheme="minorEastAsia"/>
                <w:color w:val="000000"/>
                <w:sz w:val="20"/>
                <w:szCs w:val="20"/>
              </w:rPr>
            </w:pPr>
          </w:p>
        </w:tc>
      </w:tr>
      <w:tr w14:paraId="4C88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417" w:type="pct"/>
            <w:vMerge w:val="continue"/>
            <w:shd w:val="clear" w:color="auto" w:fill="auto"/>
            <w:vAlign w:val="center"/>
          </w:tcPr>
          <w:p w14:paraId="52C94D4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47C16E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BF7879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6842B30">
            <w:pPr>
              <w:widowControl/>
              <w:jc w:val="left"/>
              <w:textAlignment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12．统计分析</w:t>
            </w:r>
          </w:p>
          <w:p w14:paraId="4446054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生成药房管理的各种基本报表，并可导出为Excel格式。包括：药房发药汇总，药房发药明细，科室药品发药成本与收入，科室药品收入汇总，患者待发药查询，退药明细查询，药房发药工作量查询。毒麻药物使用排名（全员，科室，医生，患者等），抗菌药物使用排名（全员，科室，医生，患者等），抗生素DDD值统计分析，抗菌药物处方数占比、抗菌药物的金额占比、抗菌药物药占比，门诊抗菌药物药占比、住院抗菌药物药占比，抗菌药使用统计等，也可根据用户实际情况定制报表内容。</w:t>
            </w:r>
          </w:p>
        </w:tc>
        <w:tc>
          <w:tcPr>
            <w:tcW w:w="479" w:type="pct"/>
            <w:vMerge w:val="continue"/>
            <w:shd w:val="clear" w:color="auto" w:fill="auto"/>
            <w:vAlign w:val="center"/>
          </w:tcPr>
          <w:p w14:paraId="5DC18FA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BCE9ECF">
            <w:pPr>
              <w:jc w:val="center"/>
              <w:rPr>
                <w:rFonts w:hint="eastAsia" w:asciiTheme="minorEastAsia" w:hAnsiTheme="minorEastAsia" w:eastAsiaTheme="minorEastAsia" w:cstheme="minorEastAsia"/>
                <w:color w:val="000000"/>
                <w:sz w:val="20"/>
                <w:szCs w:val="20"/>
              </w:rPr>
            </w:pPr>
          </w:p>
        </w:tc>
      </w:tr>
      <w:tr w14:paraId="2E14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3E56DF24">
            <w:pPr>
              <w:widowControl/>
              <w:jc w:val="center"/>
              <w:textAlignment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lang w:val="en-US" w:eastAsia="zh-CN"/>
              </w:rPr>
              <w:t>9</w:t>
            </w:r>
          </w:p>
        </w:tc>
        <w:tc>
          <w:tcPr>
            <w:tcW w:w="624" w:type="pct"/>
            <w:vMerge w:val="restart"/>
            <w:tcBorders>
              <w:top w:val="nil"/>
            </w:tcBorders>
            <w:shd w:val="clear" w:color="auto" w:fill="auto"/>
            <w:vAlign w:val="center"/>
          </w:tcPr>
          <w:p w14:paraId="7AA220DF">
            <w:pPr>
              <w:jc w:val="center"/>
              <w:rPr>
                <w:rFonts w:hint="default" w:asciiTheme="minorEastAsia" w:hAnsiTheme="minorEastAsia" w:eastAsiaTheme="minorEastAsia" w:cstheme="minorEastAsia"/>
                <w:color w:val="000000"/>
                <w:sz w:val="20"/>
                <w:szCs w:val="20"/>
                <w:lang w:val="en-US" w:eastAsia="zh-CN"/>
              </w:rPr>
            </w:pPr>
          </w:p>
        </w:tc>
        <w:tc>
          <w:tcPr>
            <w:tcW w:w="600" w:type="pct"/>
            <w:vMerge w:val="restart"/>
            <w:shd w:val="clear" w:color="auto" w:fill="auto"/>
            <w:vAlign w:val="center"/>
          </w:tcPr>
          <w:p w14:paraId="223646FD">
            <w:pPr>
              <w:widowControl/>
              <w:jc w:val="center"/>
              <w:textAlignment w:val="center"/>
              <w:rPr>
                <w:rFonts w:hint="default"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b/>
                <w:bCs/>
                <w:color w:val="000000"/>
                <w:sz w:val="20"/>
                <w:szCs w:val="20"/>
                <w:lang w:val="en-US" w:eastAsia="zh-CN"/>
              </w:rPr>
              <w:t>统计中心</w:t>
            </w:r>
          </w:p>
        </w:tc>
        <w:tc>
          <w:tcPr>
            <w:tcW w:w="2477" w:type="pct"/>
            <w:shd w:val="clear" w:color="auto" w:fill="auto"/>
            <w:vAlign w:val="center"/>
          </w:tcPr>
          <w:p w14:paraId="4798CCA2">
            <w:pPr>
              <w:pStyle w:val="51"/>
              <w:ind w:left="0" w:leftChars="0" w:firstLine="0" w:firstLineChars="0"/>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1</w:t>
            </w:r>
            <w:r>
              <w:rPr>
                <w:rFonts w:hint="eastAsia" w:asciiTheme="minorEastAsia" w:hAnsiTheme="minorEastAsia" w:eastAsiaTheme="minorEastAsia" w:cstheme="minorEastAsia"/>
                <w:b w:val="0"/>
                <w:bCs w:val="0"/>
                <w:sz w:val="20"/>
                <w:szCs w:val="20"/>
                <w:lang w:eastAsia="zh-CN"/>
              </w:rPr>
              <w:t>.</w:t>
            </w:r>
            <w:r>
              <w:rPr>
                <w:rFonts w:hint="eastAsia" w:asciiTheme="minorEastAsia" w:hAnsiTheme="minorEastAsia" w:eastAsiaTheme="minorEastAsia" w:cstheme="minorEastAsia"/>
                <w:b w:val="0"/>
                <w:bCs w:val="0"/>
                <w:sz w:val="20"/>
                <w:szCs w:val="20"/>
              </w:rPr>
              <w:t>报表管理</w:t>
            </w:r>
          </w:p>
          <w:p w14:paraId="363B135E">
            <w:pPr>
              <w:spacing w:line="240" w:lineRule="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1）报表管理功能，提供报表筛选、预览等</w:t>
            </w:r>
            <w:r>
              <w:rPr>
                <w:rFonts w:hint="eastAsia" w:asciiTheme="minorEastAsia" w:hAnsiTheme="minorEastAsia" w:eastAsiaTheme="minorEastAsia" w:cstheme="minorEastAsia"/>
                <w:sz w:val="20"/>
                <w:szCs w:val="20"/>
                <w:lang w:eastAsia="zh-CN"/>
              </w:rPr>
              <w:t>。</w:t>
            </w:r>
          </w:p>
          <w:p w14:paraId="2D08FE14">
            <w:pPr>
              <w:pStyle w:val="4"/>
              <w:numPr>
                <w:ilvl w:val="1"/>
                <w:numId w:val="0"/>
              </w:numPr>
              <w:tabs>
                <w:tab w:val="left" w:pos="1134"/>
              </w:tabs>
              <w:spacing w:line="240" w:lineRule="auto"/>
              <w:ind w:leftChars="0"/>
              <w:rPr>
                <w:rFonts w:hint="eastAsia" w:asciiTheme="minorEastAsia" w:hAnsiTheme="minorEastAsia" w:eastAsiaTheme="minorEastAsia" w:cstheme="minorEastAsia"/>
                <w:sz w:val="20"/>
                <w:szCs w:val="20"/>
              </w:rPr>
            </w:pPr>
            <w:bookmarkStart w:id="16" w:name="_Toc27538"/>
            <w:r>
              <w:rPr>
                <w:rFonts w:hint="eastAsia" w:asciiTheme="minorEastAsia" w:hAnsiTheme="minorEastAsia" w:eastAsiaTheme="minorEastAsia" w:cstheme="minorEastAsia"/>
                <w:b w:val="0"/>
                <w:sz w:val="20"/>
                <w:szCs w:val="20"/>
                <w:lang w:val="en-US" w:eastAsia="zh-CN"/>
              </w:rPr>
              <w:t>*</w:t>
            </w:r>
            <w:r>
              <w:rPr>
                <w:rFonts w:hint="eastAsia" w:asciiTheme="minorEastAsia" w:hAnsiTheme="minorEastAsia" w:eastAsiaTheme="minorEastAsia" w:cstheme="minorEastAsia"/>
                <w:b w:val="0"/>
                <w:sz w:val="20"/>
                <w:szCs w:val="20"/>
              </w:rPr>
              <w:t>2）报表</w:t>
            </w:r>
            <w:bookmarkEnd w:id="16"/>
            <w:r>
              <w:rPr>
                <w:rFonts w:hint="eastAsia" w:asciiTheme="minorEastAsia" w:hAnsiTheme="minorEastAsia" w:eastAsiaTheme="minorEastAsia" w:cstheme="minorEastAsia"/>
                <w:b w:val="0"/>
                <w:sz w:val="20"/>
                <w:szCs w:val="20"/>
              </w:rPr>
              <w:t>管理页面：提供刷新、添加、删除、属性管理、设计、类型、检索等功能。</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b w:val="0"/>
                <w:bCs w:val="0"/>
                <w:spacing w:val="-3"/>
                <w:sz w:val="20"/>
                <w:szCs w:val="20"/>
              </w:rPr>
              <w:t>需提供功能截图证明，加盖生产</w:t>
            </w:r>
            <w:r>
              <w:rPr>
                <w:rFonts w:hint="eastAsia" w:asciiTheme="minorEastAsia" w:hAnsiTheme="minorEastAsia" w:eastAsiaTheme="minorEastAsia" w:cstheme="minorEastAsia"/>
                <w:b w:val="0"/>
                <w:bCs w:val="0"/>
                <w:spacing w:val="-7"/>
                <w:sz w:val="20"/>
                <w:szCs w:val="20"/>
              </w:rPr>
              <w:t>厂商公章</w:t>
            </w:r>
            <w:r>
              <w:rPr>
                <w:rFonts w:hint="eastAsia" w:asciiTheme="minorEastAsia" w:hAnsiTheme="minorEastAsia" w:eastAsiaTheme="minorEastAsia" w:cstheme="minorEastAsia"/>
                <w:sz w:val="20"/>
                <w:szCs w:val="20"/>
                <w:lang w:eastAsia="zh-CN"/>
              </w:rPr>
              <w:t>）</w:t>
            </w:r>
          </w:p>
        </w:tc>
        <w:tc>
          <w:tcPr>
            <w:tcW w:w="479" w:type="pct"/>
            <w:vMerge w:val="restart"/>
            <w:shd w:val="clear" w:color="auto" w:fill="auto"/>
            <w:vAlign w:val="center"/>
          </w:tcPr>
          <w:p w14:paraId="71EC1359">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2BD27E84">
            <w:pPr>
              <w:widowControl/>
              <w:jc w:val="center"/>
              <w:textAlignment w:val="center"/>
              <w:rPr>
                <w:rFonts w:hint="eastAsia" w:asciiTheme="minorEastAsia" w:hAnsiTheme="minorEastAsia" w:eastAsiaTheme="minorEastAsia" w:cstheme="minorEastAsia"/>
                <w:color w:val="000000"/>
                <w:sz w:val="20"/>
                <w:szCs w:val="20"/>
                <w:lang w:eastAsia="zh-CN"/>
              </w:rPr>
            </w:pPr>
            <w:r>
              <w:rPr>
                <w:rFonts w:hint="eastAsia" w:asciiTheme="minorEastAsia" w:hAnsiTheme="minorEastAsia" w:eastAsiaTheme="minorEastAsia" w:cstheme="minorEastAsia"/>
                <w:color w:val="000000"/>
                <w:kern w:val="0"/>
                <w:sz w:val="20"/>
                <w:szCs w:val="20"/>
                <w:lang w:val="en-US" w:eastAsia="zh-CN" w:bidi="ar"/>
              </w:rPr>
              <w:t>项</w:t>
            </w:r>
          </w:p>
        </w:tc>
      </w:tr>
      <w:tr w14:paraId="1665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2F6826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1F8304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547125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08D6A8A">
            <w:pPr>
              <w:pStyle w:val="51"/>
              <w:ind w:left="0" w:leftChars="0" w:firstLine="0" w:firstLineChars="0"/>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2</w:t>
            </w:r>
            <w:r>
              <w:rPr>
                <w:rFonts w:hint="eastAsia" w:asciiTheme="minorEastAsia" w:hAnsiTheme="minorEastAsia" w:eastAsiaTheme="minorEastAsia" w:cstheme="minorEastAsia"/>
                <w:b w:val="0"/>
                <w:bCs w:val="0"/>
                <w:sz w:val="20"/>
                <w:szCs w:val="20"/>
                <w:lang w:eastAsia="zh-CN"/>
              </w:rPr>
              <w:t>.</w:t>
            </w:r>
            <w:r>
              <w:rPr>
                <w:rFonts w:hint="eastAsia" w:asciiTheme="minorEastAsia" w:hAnsiTheme="minorEastAsia" w:eastAsiaTheme="minorEastAsia" w:cstheme="minorEastAsia"/>
                <w:b w:val="0"/>
                <w:bCs w:val="0"/>
                <w:sz w:val="20"/>
                <w:szCs w:val="20"/>
              </w:rPr>
              <w:t>动态报表</w:t>
            </w:r>
          </w:p>
          <w:p w14:paraId="131A5E67">
            <w:pP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20"/>
                <w:szCs w:val="20"/>
              </w:rPr>
              <w:t>支持通过编写 SQL 语句或存储过程配合内置的报表工具即能实现对业务系统 报表功能的编写功能，要求能自定义报表的查询界面并能自由调整报表格式。已完成的动态报表可做为系统功能模块挂接在系统菜单之中，报表发布之后，即可在所有终端使用。</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b w:val="0"/>
                <w:bCs w:val="0"/>
                <w:spacing w:val="-3"/>
                <w:sz w:val="20"/>
                <w:szCs w:val="20"/>
              </w:rPr>
              <w:t>需提供功能截图证明，加盖生产</w:t>
            </w:r>
            <w:r>
              <w:rPr>
                <w:rFonts w:hint="eastAsia" w:asciiTheme="minorEastAsia" w:hAnsiTheme="minorEastAsia" w:eastAsiaTheme="minorEastAsia" w:cstheme="minorEastAsia"/>
                <w:b w:val="0"/>
                <w:bCs w:val="0"/>
                <w:spacing w:val="-7"/>
                <w:sz w:val="20"/>
                <w:szCs w:val="20"/>
              </w:rPr>
              <w:t>厂商公章</w:t>
            </w:r>
            <w:r>
              <w:rPr>
                <w:rFonts w:hint="eastAsia" w:asciiTheme="minorEastAsia" w:hAnsiTheme="minorEastAsia" w:eastAsiaTheme="minorEastAsia" w:cstheme="minorEastAsia"/>
                <w:sz w:val="20"/>
                <w:szCs w:val="20"/>
                <w:lang w:eastAsia="zh-CN"/>
              </w:rPr>
              <w:t>）</w:t>
            </w:r>
          </w:p>
        </w:tc>
        <w:tc>
          <w:tcPr>
            <w:tcW w:w="479" w:type="pct"/>
            <w:vMerge w:val="continue"/>
            <w:shd w:val="clear" w:color="auto" w:fill="auto"/>
            <w:vAlign w:val="center"/>
          </w:tcPr>
          <w:p w14:paraId="6EEB208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E570054">
            <w:pPr>
              <w:jc w:val="center"/>
              <w:rPr>
                <w:rFonts w:hint="eastAsia" w:asciiTheme="minorEastAsia" w:hAnsiTheme="minorEastAsia" w:eastAsiaTheme="minorEastAsia" w:cstheme="minorEastAsia"/>
                <w:color w:val="000000"/>
                <w:sz w:val="20"/>
                <w:szCs w:val="20"/>
              </w:rPr>
            </w:pPr>
          </w:p>
        </w:tc>
      </w:tr>
      <w:tr w14:paraId="151F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90A2F1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105806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84717B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82D0FC3">
            <w:pPr>
              <w:pStyle w:val="51"/>
              <w:ind w:firstLine="0" w:firstLineChars="0"/>
              <w:jc w:val="both"/>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kern w:val="2"/>
                <w:sz w:val="20"/>
                <w:szCs w:val="20"/>
                <w:lang w:val="en-US" w:eastAsia="zh-CN" w:bidi="ar-SA"/>
              </w:rPr>
              <w:t>*</w:t>
            </w:r>
            <w:r>
              <w:rPr>
                <w:rFonts w:hint="eastAsia" w:asciiTheme="minorEastAsia" w:hAnsiTheme="minorEastAsia" w:eastAsiaTheme="minorEastAsia" w:cstheme="minorEastAsia"/>
                <w:b w:val="0"/>
                <w:bCs w:val="0"/>
                <w:sz w:val="20"/>
                <w:szCs w:val="20"/>
                <w:lang w:val="en-US" w:eastAsia="zh-CN"/>
              </w:rPr>
              <w:t>2）</w:t>
            </w:r>
            <w:r>
              <w:rPr>
                <w:rFonts w:hint="eastAsia" w:asciiTheme="minorEastAsia" w:hAnsiTheme="minorEastAsia" w:eastAsiaTheme="minorEastAsia" w:cstheme="minorEastAsia"/>
                <w:b w:val="0"/>
                <w:bCs w:val="0"/>
                <w:sz w:val="20"/>
                <w:szCs w:val="20"/>
              </w:rPr>
              <w:t>报表设计：集成报表设计插件完成报表的设计功能</w:t>
            </w:r>
            <w:r>
              <w:rPr>
                <w:rFonts w:hint="eastAsia" w:asciiTheme="minorEastAsia" w:hAnsiTheme="minorEastAsia" w:eastAsiaTheme="minorEastAsia" w:cstheme="minorEastAsia"/>
                <w:b w:val="0"/>
                <w:bCs w:val="0"/>
                <w:sz w:val="20"/>
                <w:szCs w:val="20"/>
                <w:lang w:eastAsia="zh-CN"/>
              </w:rPr>
              <w:t>。</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b w:val="0"/>
                <w:bCs w:val="0"/>
                <w:spacing w:val="-3"/>
                <w:sz w:val="20"/>
                <w:szCs w:val="20"/>
              </w:rPr>
              <w:t>需提供功能截图证明，加盖生产</w:t>
            </w:r>
            <w:r>
              <w:rPr>
                <w:rFonts w:hint="eastAsia" w:asciiTheme="minorEastAsia" w:hAnsiTheme="minorEastAsia" w:eastAsiaTheme="minorEastAsia" w:cstheme="minorEastAsia"/>
                <w:b w:val="0"/>
                <w:bCs w:val="0"/>
                <w:spacing w:val="-7"/>
                <w:sz w:val="20"/>
                <w:szCs w:val="20"/>
              </w:rPr>
              <w:t>厂商公章</w:t>
            </w:r>
            <w:r>
              <w:rPr>
                <w:rFonts w:hint="eastAsia" w:asciiTheme="minorEastAsia" w:hAnsiTheme="minorEastAsia" w:eastAsiaTheme="minorEastAsia" w:cstheme="minorEastAsia"/>
                <w:sz w:val="20"/>
                <w:szCs w:val="20"/>
                <w:lang w:eastAsia="zh-CN"/>
              </w:rPr>
              <w:t>）</w:t>
            </w:r>
          </w:p>
        </w:tc>
        <w:tc>
          <w:tcPr>
            <w:tcW w:w="479" w:type="pct"/>
            <w:vMerge w:val="continue"/>
            <w:shd w:val="clear" w:color="auto" w:fill="auto"/>
            <w:vAlign w:val="center"/>
          </w:tcPr>
          <w:p w14:paraId="4BE190D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F2C4D62">
            <w:pPr>
              <w:jc w:val="center"/>
              <w:rPr>
                <w:rFonts w:hint="eastAsia" w:asciiTheme="minorEastAsia" w:hAnsiTheme="minorEastAsia" w:eastAsiaTheme="minorEastAsia" w:cstheme="minorEastAsia"/>
                <w:color w:val="000000"/>
                <w:sz w:val="20"/>
                <w:szCs w:val="20"/>
              </w:rPr>
            </w:pPr>
          </w:p>
        </w:tc>
      </w:tr>
      <w:tr w14:paraId="2139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262415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49E38C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A394A7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79E812E">
            <w:pPr>
              <w:pStyle w:val="51"/>
              <w:ind w:left="0" w:leftChars="0" w:firstLine="0" w:firstLineChars="0"/>
              <w:jc w:val="both"/>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kern w:val="2"/>
                <w:sz w:val="20"/>
                <w:szCs w:val="20"/>
                <w:lang w:val="en-US" w:eastAsia="zh-CN" w:bidi="ar-SA"/>
              </w:rPr>
              <w:t>*</w:t>
            </w:r>
            <w:r>
              <w:rPr>
                <w:rFonts w:hint="eastAsia" w:asciiTheme="minorEastAsia" w:hAnsiTheme="minorEastAsia" w:eastAsiaTheme="minorEastAsia" w:cstheme="minorEastAsia"/>
                <w:b w:val="0"/>
                <w:bCs w:val="0"/>
                <w:sz w:val="20"/>
                <w:szCs w:val="20"/>
                <w:lang w:val="en-US" w:eastAsia="zh-CN"/>
              </w:rPr>
              <w:t>3）</w:t>
            </w:r>
            <w:r>
              <w:rPr>
                <w:rFonts w:hint="eastAsia" w:asciiTheme="minorEastAsia" w:hAnsiTheme="minorEastAsia" w:eastAsiaTheme="minorEastAsia" w:cstheme="minorEastAsia"/>
                <w:b w:val="0"/>
                <w:bCs w:val="0"/>
                <w:sz w:val="20"/>
                <w:szCs w:val="20"/>
              </w:rPr>
              <w:t>报表属性设置：设置报表打印机、打印份数等</w:t>
            </w:r>
            <w:r>
              <w:rPr>
                <w:rFonts w:hint="eastAsia" w:asciiTheme="minorEastAsia" w:hAnsiTheme="minorEastAsia" w:eastAsiaTheme="minorEastAsia" w:cstheme="minorEastAsia"/>
                <w:b w:val="0"/>
                <w:bCs w:val="0"/>
                <w:sz w:val="20"/>
                <w:szCs w:val="20"/>
                <w:lang w:eastAsia="zh-CN"/>
              </w:rPr>
              <w:t>。</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b w:val="0"/>
                <w:bCs w:val="0"/>
                <w:spacing w:val="-3"/>
                <w:sz w:val="20"/>
                <w:szCs w:val="20"/>
              </w:rPr>
              <w:t>需提供功能截图证明，加盖生产</w:t>
            </w:r>
            <w:r>
              <w:rPr>
                <w:rFonts w:hint="eastAsia" w:asciiTheme="minorEastAsia" w:hAnsiTheme="minorEastAsia" w:eastAsiaTheme="minorEastAsia" w:cstheme="minorEastAsia"/>
                <w:b w:val="0"/>
                <w:bCs w:val="0"/>
                <w:spacing w:val="-7"/>
                <w:sz w:val="20"/>
                <w:szCs w:val="20"/>
              </w:rPr>
              <w:t>厂商公章</w:t>
            </w:r>
            <w:r>
              <w:rPr>
                <w:rFonts w:hint="eastAsia" w:asciiTheme="minorEastAsia" w:hAnsiTheme="minorEastAsia" w:eastAsiaTheme="minorEastAsia" w:cstheme="minorEastAsia"/>
                <w:sz w:val="20"/>
                <w:szCs w:val="20"/>
                <w:lang w:eastAsia="zh-CN"/>
              </w:rPr>
              <w:t>）</w:t>
            </w:r>
          </w:p>
        </w:tc>
        <w:tc>
          <w:tcPr>
            <w:tcW w:w="479" w:type="pct"/>
            <w:vMerge w:val="continue"/>
            <w:shd w:val="clear" w:color="auto" w:fill="auto"/>
            <w:vAlign w:val="center"/>
          </w:tcPr>
          <w:p w14:paraId="571007B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F03D318">
            <w:pPr>
              <w:jc w:val="center"/>
              <w:rPr>
                <w:rFonts w:hint="eastAsia" w:asciiTheme="minorEastAsia" w:hAnsiTheme="minorEastAsia" w:eastAsiaTheme="minorEastAsia" w:cstheme="minorEastAsia"/>
                <w:color w:val="000000"/>
                <w:sz w:val="20"/>
                <w:szCs w:val="20"/>
              </w:rPr>
            </w:pPr>
          </w:p>
        </w:tc>
      </w:tr>
      <w:tr w14:paraId="2685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612861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33D08D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F20949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E5566BA">
            <w:pPr>
              <w:jc w:val="left"/>
              <w:rPr>
                <w:rFonts w:hint="eastAsia" w:asciiTheme="minorEastAsia" w:hAnsiTheme="minorEastAsia" w:eastAsiaTheme="minorEastAsia" w:cstheme="minorEastAsia"/>
                <w:b w:val="0"/>
                <w:bCs w:val="0"/>
                <w:sz w:val="20"/>
                <w:szCs w:val="20"/>
                <w:lang w:val="en-US" w:eastAsia="zh-CN"/>
              </w:rPr>
            </w:pPr>
            <w:r>
              <w:rPr>
                <w:rFonts w:hint="eastAsia" w:asciiTheme="minorEastAsia" w:hAnsiTheme="minorEastAsia" w:eastAsiaTheme="minorEastAsia" w:cstheme="minorEastAsia"/>
                <w:sz w:val="20"/>
                <w:szCs w:val="20"/>
                <w:lang w:val="en-US" w:eastAsia="zh-CN"/>
              </w:rPr>
              <w:t>*</w:t>
            </w:r>
            <w:r>
              <w:rPr>
                <w:rFonts w:hint="eastAsia" w:asciiTheme="minorEastAsia" w:hAnsiTheme="minorEastAsia" w:eastAsiaTheme="minorEastAsia" w:cstheme="minorEastAsia"/>
                <w:b w:val="0"/>
                <w:bCs w:val="0"/>
                <w:sz w:val="20"/>
                <w:szCs w:val="20"/>
                <w:lang w:val="en-US" w:eastAsia="zh-CN"/>
              </w:rPr>
              <w:t>4）报表脚本：</w:t>
            </w:r>
            <w:r>
              <w:rPr>
                <w:rFonts w:hint="eastAsia" w:asciiTheme="minorEastAsia" w:hAnsiTheme="minorEastAsia" w:eastAsiaTheme="minorEastAsia" w:cstheme="minorEastAsia"/>
                <w:sz w:val="20"/>
                <w:szCs w:val="20"/>
              </w:rPr>
              <w:t>报表执行时脚本，可以是 sql、存储过程、代码脚本等</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支持脚本绑定管理</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b w:val="0"/>
                <w:bCs w:val="0"/>
                <w:spacing w:val="-3"/>
                <w:sz w:val="20"/>
                <w:szCs w:val="20"/>
              </w:rPr>
              <w:t>需提供功能截图证明，加盖生产</w:t>
            </w:r>
            <w:r>
              <w:rPr>
                <w:rFonts w:hint="eastAsia" w:asciiTheme="minorEastAsia" w:hAnsiTheme="minorEastAsia" w:eastAsiaTheme="minorEastAsia" w:cstheme="minorEastAsia"/>
                <w:b w:val="0"/>
                <w:bCs w:val="0"/>
                <w:spacing w:val="-7"/>
                <w:sz w:val="20"/>
                <w:szCs w:val="20"/>
              </w:rPr>
              <w:t>厂商公章</w:t>
            </w:r>
            <w:r>
              <w:rPr>
                <w:rFonts w:hint="eastAsia" w:asciiTheme="minorEastAsia" w:hAnsiTheme="minorEastAsia" w:eastAsiaTheme="minorEastAsia" w:cstheme="minorEastAsia"/>
                <w:sz w:val="20"/>
                <w:szCs w:val="20"/>
                <w:lang w:eastAsia="zh-CN"/>
              </w:rPr>
              <w:t>）</w:t>
            </w:r>
          </w:p>
        </w:tc>
        <w:tc>
          <w:tcPr>
            <w:tcW w:w="479" w:type="pct"/>
            <w:vMerge w:val="continue"/>
            <w:shd w:val="clear" w:color="auto" w:fill="auto"/>
            <w:vAlign w:val="center"/>
          </w:tcPr>
          <w:p w14:paraId="6A402B2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88331A8">
            <w:pPr>
              <w:jc w:val="center"/>
              <w:rPr>
                <w:rFonts w:hint="eastAsia" w:asciiTheme="minorEastAsia" w:hAnsiTheme="minorEastAsia" w:eastAsiaTheme="minorEastAsia" w:cstheme="minorEastAsia"/>
                <w:color w:val="000000"/>
                <w:sz w:val="20"/>
                <w:szCs w:val="20"/>
              </w:rPr>
            </w:pPr>
          </w:p>
        </w:tc>
      </w:tr>
      <w:tr w14:paraId="52F7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E3EC3C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EDA13A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6DD714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FE8476B">
            <w:pPr>
              <w:pStyle w:val="51"/>
              <w:ind w:left="0" w:leftChars="0" w:firstLine="0" w:firstLineChars="0"/>
              <w:rPr>
                <w:rFonts w:hint="eastAsia" w:asciiTheme="minorEastAsia" w:hAnsiTheme="minorEastAsia" w:eastAsiaTheme="minorEastAsia" w:cstheme="minorEastAsia"/>
                <w:color w:val="000000"/>
                <w:sz w:val="20"/>
                <w:szCs w:val="20"/>
                <w:lang w:eastAsia="zh-CN"/>
              </w:rPr>
            </w:pPr>
            <w:r>
              <w:rPr>
                <w:rFonts w:hint="eastAsia" w:asciiTheme="minorEastAsia" w:hAnsiTheme="minorEastAsia" w:eastAsiaTheme="minorEastAsia" w:cstheme="minorEastAsia"/>
                <w:b w:val="0"/>
                <w:bCs w:val="0"/>
                <w:sz w:val="20"/>
                <w:szCs w:val="20"/>
                <w:lang w:val="en-US" w:eastAsia="zh-CN"/>
              </w:rPr>
              <w:t>5）*</w:t>
            </w:r>
            <w:r>
              <w:rPr>
                <w:rFonts w:hint="eastAsia" w:asciiTheme="minorEastAsia" w:hAnsiTheme="minorEastAsia" w:eastAsiaTheme="minorEastAsia" w:cstheme="minorEastAsia"/>
                <w:b w:val="0"/>
                <w:bCs w:val="0"/>
                <w:sz w:val="20"/>
                <w:szCs w:val="20"/>
              </w:rPr>
              <w:t>报表查询界面设计：专门的报表查询功能界面设计功能</w:t>
            </w:r>
            <w:r>
              <w:rPr>
                <w:rFonts w:hint="eastAsia" w:asciiTheme="minorEastAsia" w:hAnsiTheme="minorEastAsia" w:eastAsiaTheme="minorEastAsia" w:cstheme="minorEastAsia"/>
                <w:b w:val="0"/>
                <w:bCs w:val="0"/>
                <w:sz w:val="20"/>
                <w:szCs w:val="20"/>
                <w:lang w:eastAsia="zh-CN"/>
              </w:rPr>
              <w:t>。</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b w:val="0"/>
                <w:bCs w:val="0"/>
                <w:spacing w:val="-3"/>
                <w:sz w:val="20"/>
                <w:szCs w:val="20"/>
              </w:rPr>
              <w:t>需提供功能截图证明，加盖生产</w:t>
            </w:r>
            <w:r>
              <w:rPr>
                <w:rFonts w:hint="eastAsia" w:asciiTheme="minorEastAsia" w:hAnsiTheme="minorEastAsia" w:eastAsiaTheme="minorEastAsia" w:cstheme="minorEastAsia"/>
                <w:b w:val="0"/>
                <w:bCs w:val="0"/>
                <w:spacing w:val="-7"/>
                <w:sz w:val="20"/>
                <w:szCs w:val="20"/>
              </w:rPr>
              <w:t>厂商公章</w:t>
            </w:r>
            <w:r>
              <w:rPr>
                <w:rFonts w:hint="eastAsia" w:asciiTheme="minorEastAsia" w:hAnsiTheme="minorEastAsia" w:eastAsiaTheme="minorEastAsia" w:cstheme="minorEastAsia"/>
                <w:sz w:val="20"/>
                <w:szCs w:val="20"/>
                <w:lang w:eastAsia="zh-CN"/>
              </w:rPr>
              <w:t>）</w:t>
            </w:r>
          </w:p>
        </w:tc>
        <w:tc>
          <w:tcPr>
            <w:tcW w:w="479" w:type="pct"/>
            <w:shd w:val="clear" w:color="auto" w:fill="auto"/>
            <w:vAlign w:val="center"/>
          </w:tcPr>
          <w:p w14:paraId="43FAD083">
            <w:pPr>
              <w:jc w:val="center"/>
              <w:rPr>
                <w:rFonts w:hint="eastAsia" w:asciiTheme="minorEastAsia" w:hAnsiTheme="minorEastAsia" w:eastAsiaTheme="minorEastAsia" w:cstheme="minorEastAsia"/>
                <w:color w:val="000000"/>
                <w:sz w:val="20"/>
                <w:szCs w:val="20"/>
              </w:rPr>
            </w:pPr>
          </w:p>
        </w:tc>
        <w:tc>
          <w:tcPr>
            <w:tcW w:w="400" w:type="pct"/>
            <w:shd w:val="clear" w:color="auto" w:fill="auto"/>
            <w:vAlign w:val="center"/>
          </w:tcPr>
          <w:p w14:paraId="75A3DC5B">
            <w:pPr>
              <w:jc w:val="center"/>
              <w:rPr>
                <w:rFonts w:hint="eastAsia" w:asciiTheme="minorEastAsia" w:hAnsiTheme="minorEastAsia" w:eastAsiaTheme="minorEastAsia" w:cstheme="minorEastAsia"/>
                <w:color w:val="000000"/>
                <w:sz w:val="20"/>
                <w:szCs w:val="20"/>
              </w:rPr>
            </w:pPr>
          </w:p>
        </w:tc>
      </w:tr>
      <w:tr w14:paraId="0EC6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549125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41CA5F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6BB8E6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2D125D7">
            <w:pPr>
              <w:pStyle w:val="51"/>
              <w:ind w:left="0" w:leftChars="0" w:firstLine="0" w:firstLineChars="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val="0"/>
                <w:bCs w:val="0"/>
                <w:sz w:val="20"/>
                <w:szCs w:val="20"/>
                <w:lang w:val="en-US" w:eastAsia="zh-CN"/>
              </w:rPr>
              <w:t>3.</w:t>
            </w:r>
            <w:r>
              <w:rPr>
                <w:rFonts w:hint="eastAsia" w:asciiTheme="minorEastAsia" w:hAnsiTheme="minorEastAsia" w:eastAsiaTheme="minorEastAsia" w:cstheme="minorEastAsia"/>
                <w:b w:val="0"/>
                <w:bCs w:val="0"/>
                <w:sz w:val="20"/>
                <w:szCs w:val="20"/>
              </w:rPr>
              <w:t>报表集成：提供报表与HIS各业务系统的集成调用、权限控制。</w:t>
            </w:r>
          </w:p>
        </w:tc>
        <w:tc>
          <w:tcPr>
            <w:tcW w:w="479" w:type="pct"/>
            <w:shd w:val="clear" w:color="auto" w:fill="auto"/>
            <w:vAlign w:val="center"/>
          </w:tcPr>
          <w:p w14:paraId="37490EC1">
            <w:pPr>
              <w:jc w:val="center"/>
              <w:rPr>
                <w:rFonts w:hint="eastAsia" w:asciiTheme="minorEastAsia" w:hAnsiTheme="minorEastAsia" w:eastAsiaTheme="minorEastAsia" w:cstheme="minorEastAsia"/>
                <w:color w:val="000000"/>
                <w:sz w:val="20"/>
                <w:szCs w:val="20"/>
              </w:rPr>
            </w:pPr>
          </w:p>
        </w:tc>
        <w:tc>
          <w:tcPr>
            <w:tcW w:w="400" w:type="pct"/>
            <w:shd w:val="clear" w:color="auto" w:fill="auto"/>
            <w:vAlign w:val="center"/>
          </w:tcPr>
          <w:p w14:paraId="2EFB29E0">
            <w:pPr>
              <w:jc w:val="center"/>
              <w:rPr>
                <w:rFonts w:hint="eastAsia" w:asciiTheme="minorEastAsia" w:hAnsiTheme="minorEastAsia" w:eastAsiaTheme="minorEastAsia" w:cstheme="minorEastAsia"/>
                <w:color w:val="000000"/>
                <w:sz w:val="20"/>
                <w:szCs w:val="20"/>
              </w:rPr>
            </w:pPr>
          </w:p>
        </w:tc>
      </w:tr>
      <w:tr w14:paraId="4B38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3D4F8B00">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w:t>
            </w:r>
          </w:p>
        </w:tc>
        <w:tc>
          <w:tcPr>
            <w:tcW w:w="624" w:type="pct"/>
            <w:vMerge w:val="restart"/>
            <w:shd w:val="clear" w:color="auto" w:fill="auto"/>
            <w:vAlign w:val="center"/>
          </w:tcPr>
          <w:p w14:paraId="236C57D6">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电子病历系统</w:t>
            </w:r>
          </w:p>
        </w:tc>
        <w:tc>
          <w:tcPr>
            <w:tcW w:w="600" w:type="pct"/>
            <w:vMerge w:val="restart"/>
            <w:shd w:val="clear" w:color="auto" w:fill="auto"/>
            <w:vAlign w:val="center"/>
          </w:tcPr>
          <w:p w14:paraId="34669C3A">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病历质控系统</w:t>
            </w:r>
          </w:p>
        </w:tc>
        <w:tc>
          <w:tcPr>
            <w:tcW w:w="2477" w:type="pct"/>
            <w:shd w:val="clear" w:color="auto" w:fill="auto"/>
            <w:vAlign w:val="center"/>
          </w:tcPr>
          <w:p w14:paraId="10A6094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1．病历质控系统实现了在院病历、出院病历的全方位质量检测和管理，实现了基于规则的病历内容和病历时效的自动核查，以及医生自测，科室审核检测，病案质量部门终末检测的多层全过程质控。</w:t>
            </w:r>
          </w:p>
        </w:tc>
        <w:tc>
          <w:tcPr>
            <w:tcW w:w="479" w:type="pct"/>
            <w:vMerge w:val="restart"/>
            <w:shd w:val="clear" w:color="auto" w:fill="auto"/>
            <w:vAlign w:val="center"/>
          </w:tcPr>
          <w:p w14:paraId="5B79700E">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52FE1B8E">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136A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6EAACD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E4FD21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293558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BBA9D5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2．系统通过自定义时效规则自动分析在院和出院3天内患者病历，提供时效超时报表进行全院监控。</w:t>
            </w:r>
          </w:p>
        </w:tc>
        <w:tc>
          <w:tcPr>
            <w:tcW w:w="479" w:type="pct"/>
            <w:vMerge w:val="continue"/>
            <w:shd w:val="clear" w:color="auto" w:fill="auto"/>
            <w:vAlign w:val="center"/>
          </w:tcPr>
          <w:p w14:paraId="2C3D97D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5F56F32">
            <w:pPr>
              <w:jc w:val="center"/>
              <w:rPr>
                <w:rFonts w:hint="eastAsia" w:asciiTheme="minorEastAsia" w:hAnsiTheme="minorEastAsia" w:eastAsiaTheme="minorEastAsia" w:cstheme="minorEastAsia"/>
                <w:color w:val="000000"/>
                <w:sz w:val="20"/>
                <w:szCs w:val="20"/>
              </w:rPr>
            </w:pPr>
          </w:p>
        </w:tc>
      </w:tr>
      <w:tr w14:paraId="7C18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F0447C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56A875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DED076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EDB212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3．支持病历时效检查规则自定义。可方便地扩展时效检查规则，除了满足当前文书类型检查要求，也为将来新增文书类型的时效检查提供配置入口。</w:t>
            </w:r>
          </w:p>
        </w:tc>
        <w:tc>
          <w:tcPr>
            <w:tcW w:w="479" w:type="pct"/>
            <w:vMerge w:val="continue"/>
            <w:shd w:val="clear" w:color="auto" w:fill="auto"/>
            <w:vAlign w:val="center"/>
          </w:tcPr>
          <w:p w14:paraId="1E6EFB5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3182FFE">
            <w:pPr>
              <w:jc w:val="center"/>
              <w:rPr>
                <w:rFonts w:hint="eastAsia" w:asciiTheme="minorEastAsia" w:hAnsiTheme="minorEastAsia" w:eastAsiaTheme="minorEastAsia" w:cstheme="minorEastAsia"/>
                <w:color w:val="000000"/>
                <w:sz w:val="20"/>
                <w:szCs w:val="20"/>
              </w:rPr>
            </w:pPr>
          </w:p>
        </w:tc>
      </w:tr>
      <w:tr w14:paraId="3BC0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E1E574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729EBB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09AFCE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599DAA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系统提供运行病历内容缺陷自动监测功能。可针对以下五类内容缺陷自动检查：文书内容逻辑性错误；文书内关键元素内容为空；元素为重点关注项，用户必须点击确认；数据类型不符，内容必须为数字或时间格式；内容长度或值超出范围。</w:t>
            </w:r>
          </w:p>
        </w:tc>
        <w:tc>
          <w:tcPr>
            <w:tcW w:w="479" w:type="pct"/>
            <w:vMerge w:val="continue"/>
            <w:shd w:val="clear" w:color="auto" w:fill="auto"/>
            <w:vAlign w:val="center"/>
          </w:tcPr>
          <w:p w14:paraId="52DB5D2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6C024A7">
            <w:pPr>
              <w:jc w:val="center"/>
              <w:rPr>
                <w:rFonts w:hint="eastAsia" w:asciiTheme="minorEastAsia" w:hAnsiTheme="minorEastAsia" w:eastAsiaTheme="minorEastAsia" w:cstheme="minorEastAsia"/>
                <w:color w:val="000000"/>
                <w:sz w:val="20"/>
                <w:szCs w:val="20"/>
              </w:rPr>
            </w:pPr>
          </w:p>
        </w:tc>
      </w:tr>
      <w:tr w14:paraId="4693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B7E2FE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DC6FEC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9222F0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B92FAE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5．提供手术患者、入院后多次手术患者、病情危重的患者、三日内未确诊的疑难病因患者、重复入院患者重点筛选功能。</w:t>
            </w:r>
          </w:p>
        </w:tc>
        <w:tc>
          <w:tcPr>
            <w:tcW w:w="479" w:type="pct"/>
            <w:vMerge w:val="continue"/>
            <w:shd w:val="clear" w:color="auto" w:fill="auto"/>
            <w:vAlign w:val="center"/>
          </w:tcPr>
          <w:p w14:paraId="73E4228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6B67EBA">
            <w:pPr>
              <w:jc w:val="center"/>
              <w:rPr>
                <w:rFonts w:hint="eastAsia" w:asciiTheme="minorEastAsia" w:hAnsiTheme="minorEastAsia" w:eastAsiaTheme="minorEastAsia" w:cstheme="minorEastAsia"/>
                <w:color w:val="000000"/>
                <w:sz w:val="20"/>
                <w:szCs w:val="20"/>
              </w:rPr>
            </w:pPr>
          </w:p>
        </w:tc>
      </w:tr>
      <w:tr w14:paraId="1890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E196BC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743B4A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03A94D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C8C569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系统与临床科室医生工作站协同工作，建立网上闭环式质控流程。质控医生检查运行病历，在线提交质检问题，同时触发对临床医生的消息提醒。医生收到质检问题，修改后可将处理结果反馈给质控医生，质控医生据此复查整改情况。</w:t>
            </w:r>
          </w:p>
        </w:tc>
        <w:tc>
          <w:tcPr>
            <w:tcW w:w="479" w:type="pct"/>
            <w:vMerge w:val="continue"/>
            <w:shd w:val="clear" w:color="auto" w:fill="auto"/>
            <w:vAlign w:val="center"/>
          </w:tcPr>
          <w:p w14:paraId="0B02183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FC0CA26">
            <w:pPr>
              <w:jc w:val="center"/>
              <w:rPr>
                <w:rFonts w:hint="eastAsia" w:asciiTheme="minorEastAsia" w:hAnsiTheme="minorEastAsia" w:eastAsiaTheme="minorEastAsia" w:cstheme="minorEastAsia"/>
                <w:color w:val="000000"/>
                <w:sz w:val="20"/>
                <w:szCs w:val="20"/>
              </w:rPr>
            </w:pPr>
          </w:p>
        </w:tc>
      </w:tr>
      <w:tr w14:paraId="433B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7BDC68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39C720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3920D1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43EF55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7．支持闭环式质控过程状态追踪。记录提交质检问题处理的状态，根据状态查询得到未接收和待复查的质检问题。</w:t>
            </w:r>
          </w:p>
        </w:tc>
        <w:tc>
          <w:tcPr>
            <w:tcW w:w="479" w:type="pct"/>
            <w:vMerge w:val="continue"/>
            <w:shd w:val="clear" w:color="auto" w:fill="auto"/>
            <w:vAlign w:val="center"/>
          </w:tcPr>
          <w:p w14:paraId="531C3CC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91235E2">
            <w:pPr>
              <w:jc w:val="center"/>
              <w:rPr>
                <w:rFonts w:hint="eastAsia" w:asciiTheme="minorEastAsia" w:hAnsiTheme="minorEastAsia" w:eastAsiaTheme="minorEastAsia" w:cstheme="minorEastAsia"/>
                <w:color w:val="000000"/>
                <w:sz w:val="20"/>
                <w:szCs w:val="20"/>
              </w:rPr>
            </w:pPr>
          </w:p>
        </w:tc>
      </w:tr>
      <w:tr w14:paraId="6095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093C5EE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020007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E047E4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8A3812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8．提供终末病案抽检功能，按每科室病案份数、患者病情、患者出院方式、出院时间、住院天数等条件筛选和分配病案，提交给病案专家组检查。</w:t>
            </w:r>
          </w:p>
        </w:tc>
        <w:tc>
          <w:tcPr>
            <w:tcW w:w="479" w:type="pct"/>
            <w:vMerge w:val="continue"/>
            <w:shd w:val="clear" w:color="auto" w:fill="auto"/>
            <w:vAlign w:val="center"/>
          </w:tcPr>
          <w:p w14:paraId="5B2FC86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0F2CDEB">
            <w:pPr>
              <w:jc w:val="center"/>
              <w:rPr>
                <w:rFonts w:hint="eastAsia" w:asciiTheme="minorEastAsia" w:hAnsiTheme="minorEastAsia" w:eastAsiaTheme="minorEastAsia" w:cstheme="minorEastAsia"/>
                <w:color w:val="000000"/>
                <w:sz w:val="20"/>
                <w:szCs w:val="20"/>
              </w:rPr>
            </w:pPr>
          </w:p>
        </w:tc>
      </w:tr>
      <w:tr w14:paraId="4723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3E93DF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BD0AC0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71FCAA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8C050A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9．提供自动评分和人工评分两种方式。其中自动评分用于医生自查，人工评分用于终末病案质量评级。</w:t>
            </w:r>
          </w:p>
        </w:tc>
        <w:tc>
          <w:tcPr>
            <w:tcW w:w="479" w:type="pct"/>
            <w:vMerge w:val="continue"/>
            <w:shd w:val="clear" w:color="auto" w:fill="auto"/>
            <w:vAlign w:val="center"/>
          </w:tcPr>
          <w:p w14:paraId="5A543E1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9033FDC">
            <w:pPr>
              <w:jc w:val="center"/>
              <w:rPr>
                <w:rFonts w:hint="eastAsia" w:asciiTheme="minorEastAsia" w:hAnsiTheme="minorEastAsia" w:eastAsiaTheme="minorEastAsia" w:cstheme="minorEastAsia"/>
                <w:color w:val="000000"/>
                <w:sz w:val="20"/>
                <w:szCs w:val="20"/>
              </w:rPr>
            </w:pPr>
          </w:p>
        </w:tc>
      </w:tr>
      <w:tr w14:paraId="195D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7BDD61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B41AD5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F10B0A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D131EA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10．提供病案质量和评分一览表、质控医生工作量、时效超时情况、病历内容缺陷率、延期提交归档病历等统计报表。</w:t>
            </w:r>
          </w:p>
        </w:tc>
        <w:tc>
          <w:tcPr>
            <w:tcW w:w="479" w:type="pct"/>
            <w:vMerge w:val="continue"/>
            <w:shd w:val="clear" w:color="auto" w:fill="auto"/>
            <w:vAlign w:val="center"/>
          </w:tcPr>
          <w:p w14:paraId="3843242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97BFB86">
            <w:pPr>
              <w:jc w:val="center"/>
              <w:rPr>
                <w:rFonts w:hint="eastAsia" w:asciiTheme="minorEastAsia" w:hAnsiTheme="minorEastAsia" w:eastAsiaTheme="minorEastAsia" w:cstheme="minorEastAsia"/>
                <w:color w:val="000000"/>
                <w:sz w:val="20"/>
                <w:szCs w:val="20"/>
              </w:rPr>
            </w:pPr>
          </w:p>
        </w:tc>
      </w:tr>
      <w:tr w14:paraId="1CD4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EC585E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24748E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565B81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70A703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11．提供病历问题分类、质检问题模板设置功能，支持时效规则、内容缺陷检查规则扩展。</w:t>
            </w:r>
          </w:p>
        </w:tc>
        <w:tc>
          <w:tcPr>
            <w:tcW w:w="479" w:type="pct"/>
            <w:vMerge w:val="continue"/>
            <w:shd w:val="clear" w:color="auto" w:fill="auto"/>
            <w:vAlign w:val="center"/>
          </w:tcPr>
          <w:p w14:paraId="6A20DFB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8F54BF9">
            <w:pPr>
              <w:jc w:val="center"/>
              <w:rPr>
                <w:rFonts w:hint="eastAsia" w:asciiTheme="minorEastAsia" w:hAnsiTheme="minorEastAsia" w:eastAsiaTheme="minorEastAsia" w:cstheme="minorEastAsia"/>
                <w:color w:val="000000"/>
                <w:sz w:val="20"/>
                <w:szCs w:val="20"/>
              </w:rPr>
            </w:pPr>
          </w:p>
        </w:tc>
      </w:tr>
      <w:tr w14:paraId="0CCC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A0D7A4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096562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6F6146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62A9BC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12．质控规则</w:t>
            </w:r>
          </w:p>
        </w:tc>
        <w:tc>
          <w:tcPr>
            <w:tcW w:w="479" w:type="pct"/>
            <w:vMerge w:val="continue"/>
            <w:shd w:val="clear" w:color="auto" w:fill="auto"/>
            <w:vAlign w:val="center"/>
          </w:tcPr>
          <w:p w14:paraId="03620BE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4742759">
            <w:pPr>
              <w:jc w:val="center"/>
              <w:rPr>
                <w:rFonts w:hint="eastAsia" w:asciiTheme="minorEastAsia" w:hAnsiTheme="minorEastAsia" w:eastAsiaTheme="minorEastAsia" w:cstheme="minorEastAsia"/>
                <w:color w:val="000000"/>
                <w:sz w:val="20"/>
                <w:szCs w:val="20"/>
              </w:rPr>
            </w:pPr>
          </w:p>
        </w:tc>
      </w:tr>
      <w:tr w14:paraId="659F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55329A1">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6D58A4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D9A4BC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D6F6F41">
            <w:pPr>
              <w:widowControl/>
              <w:numPr>
                <w:ilvl w:val="0"/>
                <w:numId w:val="7"/>
              </w:numPr>
              <w:jc w:val="left"/>
              <w:textAlignment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支持门诊病历质控规则设置；</w:t>
            </w:r>
          </w:p>
          <w:p w14:paraId="421F4A1E">
            <w:pPr>
              <w:widowControl/>
              <w:numPr>
                <w:ilvl w:val="0"/>
                <w:numId w:val="7"/>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支持入院记录质控规则设置；</w:t>
            </w:r>
          </w:p>
          <w:p w14:paraId="0825B792">
            <w:pPr>
              <w:widowControl/>
              <w:numPr>
                <w:ilvl w:val="0"/>
                <w:numId w:val="7"/>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支持病程记录质控规则设置；</w:t>
            </w:r>
          </w:p>
          <w:p w14:paraId="2796CE99">
            <w:pPr>
              <w:widowControl/>
              <w:numPr>
                <w:ilvl w:val="0"/>
                <w:numId w:val="7"/>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支持出院病历质控规则设置；</w:t>
            </w:r>
          </w:p>
          <w:p w14:paraId="2F094EE8">
            <w:pPr>
              <w:widowControl/>
              <w:numPr>
                <w:ilvl w:val="0"/>
                <w:numId w:val="7"/>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支持手术病历质控规则设置；</w:t>
            </w:r>
          </w:p>
          <w:p w14:paraId="03A4C8A5">
            <w:pPr>
              <w:widowControl/>
              <w:numPr>
                <w:ilvl w:val="0"/>
                <w:numId w:val="7"/>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支持死亡病历质控规则设置；</w:t>
            </w:r>
          </w:p>
          <w:p w14:paraId="1C14FAA9">
            <w:pPr>
              <w:widowControl/>
              <w:numPr>
                <w:ilvl w:val="0"/>
                <w:numId w:val="7"/>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支持首页质控管理；</w:t>
            </w:r>
          </w:p>
          <w:p w14:paraId="36B23FFD">
            <w:pPr>
              <w:widowControl/>
              <w:numPr>
                <w:ilvl w:val="0"/>
                <w:numId w:val="7"/>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支持时间类质控管理。</w:t>
            </w:r>
          </w:p>
        </w:tc>
        <w:tc>
          <w:tcPr>
            <w:tcW w:w="479" w:type="pct"/>
            <w:vMerge w:val="continue"/>
            <w:shd w:val="clear" w:color="auto" w:fill="auto"/>
            <w:vAlign w:val="center"/>
          </w:tcPr>
          <w:p w14:paraId="7C16596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224E958">
            <w:pPr>
              <w:jc w:val="center"/>
              <w:rPr>
                <w:rFonts w:hint="eastAsia" w:asciiTheme="minorEastAsia" w:hAnsiTheme="minorEastAsia" w:eastAsiaTheme="minorEastAsia" w:cstheme="minorEastAsia"/>
                <w:color w:val="000000"/>
                <w:sz w:val="20"/>
                <w:szCs w:val="20"/>
              </w:rPr>
            </w:pPr>
          </w:p>
        </w:tc>
      </w:tr>
      <w:tr w14:paraId="2002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7A586A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7CDEB7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A8976B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02D267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13．病历缺陷管理</w:t>
            </w:r>
          </w:p>
        </w:tc>
        <w:tc>
          <w:tcPr>
            <w:tcW w:w="479" w:type="pct"/>
            <w:vMerge w:val="continue"/>
            <w:shd w:val="clear" w:color="auto" w:fill="auto"/>
            <w:vAlign w:val="center"/>
          </w:tcPr>
          <w:p w14:paraId="38CFA26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CD92941">
            <w:pPr>
              <w:jc w:val="center"/>
              <w:rPr>
                <w:rFonts w:hint="eastAsia" w:asciiTheme="minorEastAsia" w:hAnsiTheme="minorEastAsia" w:eastAsiaTheme="minorEastAsia" w:cstheme="minorEastAsia"/>
                <w:color w:val="000000"/>
                <w:sz w:val="20"/>
                <w:szCs w:val="20"/>
              </w:rPr>
            </w:pPr>
          </w:p>
        </w:tc>
      </w:tr>
      <w:tr w14:paraId="6F03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0AD6FF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F19630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DB0091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97DBD9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针对门诊、住院病历根据质控规则建立质控评分方案，质控过程中将最后的质控得分，生成质控病历的等级病历等级分为甲乙丙三种等级。</w:t>
            </w:r>
          </w:p>
        </w:tc>
        <w:tc>
          <w:tcPr>
            <w:tcW w:w="479" w:type="pct"/>
            <w:vMerge w:val="continue"/>
            <w:shd w:val="clear" w:color="auto" w:fill="auto"/>
            <w:vAlign w:val="center"/>
          </w:tcPr>
          <w:p w14:paraId="14DA6A1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4F46DC3">
            <w:pPr>
              <w:jc w:val="center"/>
              <w:rPr>
                <w:rFonts w:hint="eastAsia" w:asciiTheme="minorEastAsia" w:hAnsiTheme="minorEastAsia" w:eastAsiaTheme="minorEastAsia" w:cstheme="minorEastAsia"/>
                <w:color w:val="000000"/>
                <w:sz w:val="20"/>
                <w:szCs w:val="20"/>
              </w:rPr>
            </w:pPr>
          </w:p>
        </w:tc>
      </w:tr>
      <w:tr w14:paraId="3C05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74984E3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A613F1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C76CBF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349514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14．质控工作站</w:t>
            </w:r>
          </w:p>
        </w:tc>
        <w:tc>
          <w:tcPr>
            <w:tcW w:w="479" w:type="pct"/>
            <w:vMerge w:val="continue"/>
            <w:shd w:val="clear" w:color="auto" w:fill="auto"/>
            <w:vAlign w:val="center"/>
          </w:tcPr>
          <w:p w14:paraId="64CA665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6383EF6">
            <w:pPr>
              <w:jc w:val="center"/>
              <w:rPr>
                <w:rFonts w:hint="eastAsia" w:asciiTheme="minorEastAsia" w:hAnsiTheme="minorEastAsia" w:eastAsiaTheme="minorEastAsia" w:cstheme="minorEastAsia"/>
                <w:color w:val="000000"/>
                <w:sz w:val="20"/>
                <w:szCs w:val="20"/>
              </w:rPr>
            </w:pPr>
          </w:p>
        </w:tc>
      </w:tr>
      <w:tr w14:paraId="2495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EF3648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9E6177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BC9942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88E943B">
            <w:pPr>
              <w:widowControl/>
              <w:numPr>
                <w:ilvl w:val="0"/>
                <w:numId w:val="8"/>
              </w:numPr>
              <w:jc w:val="left"/>
              <w:textAlignment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支持质控评分；</w:t>
            </w:r>
          </w:p>
          <w:p w14:paraId="46585310">
            <w:pPr>
              <w:widowControl/>
              <w:numPr>
                <w:ilvl w:val="0"/>
                <w:numId w:val="8"/>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支持工作站主页管理；</w:t>
            </w:r>
          </w:p>
          <w:p w14:paraId="2E3064F2">
            <w:pPr>
              <w:widowControl/>
              <w:numPr>
                <w:ilvl w:val="0"/>
                <w:numId w:val="8"/>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支持三级质控管理；</w:t>
            </w:r>
          </w:p>
          <w:p w14:paraId="15A50B89">
            <w:pPr>
              <w:widowControl/>
              <w:numPr>
                <w:ilvl w:val="0"/>
                <w:numId w:val="8"/>
              </w:numPr>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支持质控记录；</w:t>
            </w:r>
          </w:p>
          <w:p w14:paraId="001958BE">
            <w:pPr>
              <w:pStyle w:val="2"/>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kern w:val="0"/>
                <w:sz w:val="20"/>
                <w:szCs w:val="20"/>
                <w:lang w:bidi="ar"/>
              </w:rPr>
              <w:t>*5)支持病历质控管理，400多条质控规则、分病历类型质控、时间类质控、完整性质控、逻辑性质控，质控规则严重程度分级，系统自动质控评分、诊断书写权限分级，循环书写时间判断，标准数据集内置，临床医师质控分数按钮，自动质控得分，出科前自评，三级质控，上级医师审阅、人工质控、评分方案，质控分级退回，患者信息查看；超时病历，全结构化病历质控。</w:t>
            </w: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b w:val="0"/>
                <w:bCs w:val="0"/>
                <w:color w:val="auto"/>
                <w:spacing w:val="-3"/>
                <w:sz w:val="20"/>
                <w:szCs w:val="20"/>
              </w:rPr>
              <w:t>需提供功能截图证明，加盖生产</w:t>
            </w:r>
            <w:r>
              <w:rPr>
                <w:rFonts w:hint="eastAsia" w:asciiTheme="minorEastAsia" w:hAnsiTheme="minorEastAsia" w:eastAsiaTheme="minorEastAsia" w:cstheme="minorEastAsia"/>
                <w:b w:val="0"/>
                <w:bCs w:val="0"/>
                <w:color w:val="auto"/>
                <w:spacing w:val="-7"/>
                <w:sz w:val="20"/>
                <w:szCs w:val="20"/>
              </w:rPr>
              <w:t>厂商公章</w:t>
            </w:r>
            <w:r>
              <w:rPr>
                <w:rFonts w:hint="eastAsia" w:asciiTheme="minorEastAsia" w:hAnsiTheme="minorEastAsia" w:eastAsiaTheme="minorEastAsia" w:cstheme="minorEastAsia"/>
                <w:color w:val="auto"/>
                <w:sz w:val="20"/>
                <w:szCs w:val="20"/>
                <w:lang w:eastAsia="zh-CN"/>
              </w:rPr>
              <w:t>）</w:t>
            </w:r>
          </w:p>
        </w:tc>
        <w:tc>
          <w:tcPr>
            <w:tcW w:w="479" w:type="pct"/>
            <w:vMerge w:val="continue"/>
            <w:shd w:val="clear" w:color="auto" w:fill="auto"/>
            <w:vAlign w:val="center"/>
          </w:tcPr>
          <w:p w14:paraId="7FF8204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DCD1B94">
            <w:pPr>
              <w:jc w:val="center"/>
              <w:rPr>
                <w:rFonts w:hint="eastAsia" w:asciiTheme="minorEastAsia" w:hAnsiTheme="minorEastAsia" w:eastAsiaTheme="minorEastAsia" w:cstheme="minorEastAsia"/>
                <w:color w:val="000000"/>
                <w:sz w:val="20"/>
                <w:szCs w:val="20"/>
              </w:rPr>
            </w:pPr>
          </w:p>
        </w:tc>
      </w:tr>
      <w:tr w14:paraId="2095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restart"/>
            <w:shd w:val="clear" w:color="auto" w:fill="auto"/>
            <w:vAlign w:val="center"/>
          </w:tcPr>
          <w:p w14:paraId="144C490A">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w:t>
            </w:r>
          </w:p>
        </w:tc>
        <w:tc>
          <w:tcPr>
            <w:tcW w:w="624" w:type="pct"/>
            <w:vMerge w:val="continue"/>
            <w:shd w:val="clear" w:color="auto" w:fill="auto"/>
            <w:vAlign w:val="center"/>
          </w:tcPr>
          <w:p w14:paraId="5E8AFE68">
            <w:pPr>
              <w:jc w:val="center"/>
              <w:rPr>
                <w:rFonts w:hint="eastAsia" w:asciiTheme="minorEastAsia" w:hAnsiTheme="minorEastAsia" w:eastAsiaTheme="minorEastAsia" w:cstheme="minorEastAsia"/>
                <w:color w:val="000000"/>
                <w:sz w:val="20"/>
                <w:szCs w:val="20"/>
              </w:rPr>
            </w:pPr>
          </w:p>
        </w:tc>
        <w:tc>
          <w:tcPr>
            <w:tcW w:w="600" w:type="pct"/>
            <w:vMerge w:val="restart"/>
            <w:shd w:val="clear" w:color="auto" w:fill="auto"/>
            <w:vAlign w:val="center"/>
          </w:tcPr>
          <w:p w14:paraId="73289DF8">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病案管理系统</w:t>
            </w:r>
          </w:p>
        </w:tc>
        <w:tc>
          <w:tcPr>
            <w:tcW w:w="2477" w:type="pct"/>
            <w:shd w:val="clear" w:color="auto" w:fill="auto"/>
            <w:vAlign w:val="center"/>
          </w:tcPr>
          <w:p w14:paraId="6EBBEF7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1．病案首页管理</w:t>
            </w:r>
          </w:p>
        </w:tc>
        <w:tc>
          <w:tcPr>
            <w:tcW w:w="479" w:type="pct"/>
            <w:vMerge w:val="restart"/>
            <w:shd w:val="clear" w:color="auto" w:fill="auto"/>
            <w:vAlign w:val="center"/>
          </w:tcPr>
          <w:p w14:paraId="677FA99F">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07A462D2">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676B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A499F8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ED8F1C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0C2BB8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2B0DE4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查看患者病案首页信息，进行病案首页编辑，病案首页导出，病案首页打印。查看病案归档状态，审核状态。</w:t>
            </w:r>
          </w:p>
        </w:tc>
        <w:tc>
          <w:tcPr>
            <w:tcW w:w="479" w:type="pct"/>
            <w:vMerge w:val="continue"/>
            <w:shd w:val="clear" w:color="auto" w:fill="auto"/>
            <w:vAlign w:val="center"/>
          </w:tcPr>
          <w:p w14:paraId="06F60C7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D59E143">
            <w:pPr>
              <w:jc w:val="center"/>
              <w:rPr>
                <w:rFonts w:hint="eastAsia" w:asciiTheme="minorEastAsia" w:hAnsiTheme="minorEastAsia" w:eastAsiaTheme="minorEastAsia" w:cstheme="minorEastAsia"/>
                <w:color w:val="000000"/>
                <w:sz w:val="20"/>
                <w:szCs w:val="20"/>
              </w:rPr>
            </w:pPr>
          </w:p>
        </w:tc>
      </w:tr>
      <w:tr w14:paraId="6B75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BA0F6C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D9B2F3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DFC248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9B6004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2．病案档案管理</w:t>
            </w:r>
          </w:p>
        </w:tc>
        <w:tc>
          <w:tcPr>
            <w:tcW w:w="479" w:type="pct"/>
            <w:vMerge w:val="continue"/>
            <w:shd w:val="clear" w:color="auto" w:fill="auto"/>
            <w:vAlign w:val="center"/>
          </w:tcPr>
          <w:p w14:paraId="2EDA02C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96B0A13">
            <w:pPr>
              <w:jc w:val="center"/>
              <w:rPr>
                <w:rFonts w:hint="eastAsia" w:asciiTheme="minorEastAsia" w:hAnsiTheme="minorEastAsia" w:eastAsiaTheme="minorEastAsia" w:cstheme="minorEastAsia"/>
                <w:color w:val="000000"/>
                <w:sz w:val="20"/>
                <w:szCs w:val="20"/>
              </w:rPr>
            </w:pPr>
          </w:p>
        </w:tc>
      </w:tr>
      <w:tr w14:paraId="2C38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3C3745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10BD9E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A415A0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5A7219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查看患者基本病案信息，按照日期与患者姓名，住院号身份证号等条件检索患者，支持操作病案回收，病案回收编辑。</w:t>
            </w:r>
          </w:p>
        </w:tc>
        <w:tc>
          <w:tcPr>
            <w:tcW w:w="479" w:type="pct"/>
            <w:vMerge w:val="continue"/>
            <w:shd w:val="clear" w:color="auto" w:fill="auto"/>
            <w:vAlign w:val="center"/>
          </w:tcPr>
          <w:p w14:paraId="110AD2A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5A74C01">
            <w:pPr>
              <w:jc w:val="center"/>
              <w:rPr>
                <w:rFonts w:hint="eastAsia" w:asciiTheme="minorEastAsia" w:hAnsiTheme="minorEastAsia" w:eastAsiaTheme="minorEastAsia" w:cstheme="minorEastAsia"/>
                <w:color w:val="000000"/>
                <w:sz w:val="20"/>
                <w:szCs w:val="20"/>
              </w:rPr>
            </w:pPr>
          </w:p>
        </w:tc>
      </w:tr>
      <w:tr w14:paraId="1BEA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D6B37D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21A431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69C0E6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7ED89E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3．病案评分管理</w:t>
            </w:r>
          </w:p>
        </w:tc>
        <w:tc>
          <w:tcPr>
            <w:tcW w:w="479" w:type="pct"/>
            <w:vMerge w:val="continue"/>
            <w:shd w:val="clear" w:color="auto" w:fill="auto"/>
            <w:vAlign w:val="center"/>
          </w:tcPr>
          <w:p w14:paraId="1F33470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AB62CD9">
            <w:pPr>
              <w:jc w:val="center"/>
              <w:rPr>
                <w:rFonts w:hint="eastAsia" w:asciiTheme="minorEastAsia" w:hAnsiTheme="minorEastAsia" w:eastAsiaTheme="minorEastAsia" w:cstheme="minorEastAsia"/>
                <w:color w:val="000000"/>
                <w:sz w:val="20"/>
                <w:szCs w:val="20"/>
              </w:rPr>
            </w:pPr>
          </w:p>
        </w:tc>
      </w:tr>
      <w:tr w14:paraId="4320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EDD8E35">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D8AD34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A32CF3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86C3A5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病案评分方案：根据标准病案管理评分机制设置病案评分方案，为每一项病案设置评分分值与缺陷内容，包括（病案首页，入院记录，病程记录，手术记录，查房记录，辅助检查，医嘱及病历书写，出院记录等）；2）病案评分管理：针对患者病案进行评分管理，病案评分，编辑，保存，审核，退回等操作，可根据评分方案查看当前病案书写的缺陷内容及评分标准。</w:t>
            </w:r>
          </w:p>
        </w:tc>
        <w:tc>
          <w:tcPr>
            <w:tcW w:w="479" w:type="pct"/>
            <w:vMerge w:val="continue"/>
            <w:shd w:val="clear" w:color="auto" w:fill="auto"/>
            <w:vAlign w:val="center"/>
          </w:tcPr>
          <w:p w14:paraId="020D67F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9C913D4">
            <w:pPr>
              <w:jc w:val="center"/>
              <w:rPr>
                <w:rFonts w:hint="eastAsia" w:asciiTheme="minorEastAsia" w:hAnsiTheme="minorEastAsia" w:eastAsiaTheme="minorEastAsia" w:cstheme="minorEastAsia"/>
                <w:color w:val="000000"/>
                <w:sz w:val="20"/>
                <w:szCs w:val="20"/>
              </w:rPr>
            </w:pPr>
          </w:p>
        </w:tc>
      </w:tr>
      <w:tr w14:paraId="5DFE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D744DE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4AB64B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13F149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D4C34D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4．病案复印管理</w:t>
            </w:r>
          </w:p>
        </w:tc>
        <w:tc>
          <w:tcPr>
            <w:tcW w:w="479" w:type="pct"/>
            <w:vMerge w:val="continue"/>
            <w:shd w:val="clear" w:color="auto" w:fill="auto"/>
            <w:vAlign w:val="center"/>
          </w:tcPr>
          <w:p w14:paraId="7626238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D701671">
            <w:pPr>
              <w:jc w:val="center"/>
              <w:rPr>
                <w:rFonts w:hint="eastAsia" w:asciiTheme="minorEastAsia" w:hAnsiTheme="minorEastAsia" w:eastAsiaTheme="minorEastAsia" w:cstheme="minorEastAsia"/>
                <w:color w:val="000000"/>
                <w:sz w:val="20"/>
                <w:szCs w:val="20"/>
              </w:rPr>
            </w:pPr>
          </w:p>
        </w:tc>
      </w:tr>
      <w:tr w14:paraId="1B54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555318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4E6CC5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E05CE4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37D71B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查看患者基本病案信息，按照日期与患者姓名，住院号身份证号等条件检索患者，支持新增复印记录，编辑复印记录，删除复印记录，可管理患者病案复印记录，复印申请，复印用途复印内容及审核经办人。线上病案复印、管理复印申请，进行审核、收费、复印、邮寄等流程操作，查询过往线上线下的复印记录。</w:t>
            </w:r>
          </w:p>
        </w:tc>
        <w:tc>
          <w:tcPr>
            <w:tcW w:w="479" w:type="pct"/>
            <w:vMerge w:val="continue"/>
            <w:shd w:val="clear" w:color="auto" w:fill="auto"/>
            <w:vAlign w:val="center"/>
          </w:tcPr>
          <w:p w14:paraId="32CA92B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B817B84">
            <w:pPr>
              <w:jc w:val="center"/>
              <w:rPr>
                <w:rFonts w:hint="eastAsia" w:asciiTheme="minorEastAsia" w:hAnsiTheme="minorEastAsia" w:eastAsiaTheme="minorEastAsia" w:cstheme="minorEastAsia"/>
                <w:color w:val="000000"/>
                <w:sz w:val="20"/>
                <w:szCs w:val="20"/>
              </w:rPr>
            </w:pPr>
          </w:p>
        </w:tc>
      </w:tr>
      <w:tr w14:paraId="1EF6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A9FCCA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26E83F5">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F1C926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76A2D17">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5．病案借阅归还管理</w:t>
            </w:r>
          </w:p>
        </w:tc>
        <w:tc>
          <w:tcPr>
            <w:tcW w:w="479" w:type="pct"/>
            <w:vMerge w:val="continue"/>
            <w:shd w:val="clear" w:color="auto" w:fill="auto"/>
            <w:vAlign w:val="center"/>
          </w:tcPr>
          <w:p w14:paraId="7E86368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EC27279">
            <w:pPr>
              <w:jc w:val="center"/>
              <w:rPr>
                <w:rFonts w:hint="eastAsia" w:asciiTheme="minorEastAsia" w:hAnsiTheme="minorEastAsia" w:eastAsiaTheme="minorEastAsia" w:cstheme="minorEastAsia"/>
                <w:color w:val="000000"/>
                <w:sz w:val="20"/>
                <w:szCs w:val="20"/>
              </w:rPr>
            </w:pPr>
          </w:p>
        </w:tc>
      </w:tr>
      <w:tr w14:paraId="6953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2FDCC1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1D1F8B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7F2645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58448A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查看患者基本病案信息，按照日期与患者姓名，住院号身份证号等条件检索患者，支持新建借阅记录，编辑借阅记录，删除借阅记录，借阅病案归还，及批量借阅与批量归还等功能。可管理患者病案借阅/归还状态，借阅归还人，借阅截止时间，及借阅说明。</w:t>
            </w:r>
          </w:p>
        </w:tc>
        <w:tc>
          <w:tcPr>
            <w:tcW w:w="479" w:type="pct"/>
            <w:vMerge w:val="continue"/>
            <w:shd w:val="clear" w:color="auto" w:fill="auto"/>
            <w:vAlign w:val="center"/>
          </w:tcPr>
          <w:p w14:paraId="6FAFCA3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FB7043B">
            <w:pPr>
              <w:jc w:val="center"/>
              <w:rPr>
                <w:rFonts w:hint="eastAsia" w:asciiTheme="minorEastAsia" w:hAnsiTheme="minorEastAsia" w:eastAsiaTheme="minorEastAsia" w:cstheme="minorEastAsia"/>
                <w:color w:val="000000"/>
                <w:sz w:val="20"/>
                <w:szCs w:val="20"/>
              </w:rPr>
            </w:pPr>
          </w:p>
        </w:tc>
      </w:tr>
      <w:tr w14:paraId="3B4B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restart"/>
            <w:shd w:val="clear" w:color="auto" w:fill="auto"/>
            <w:vAlign w:val="center"/>
          </w:tcPr>
          <w:p w14:paraId="58665900">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12</w:t>
            </w:r>
          </w:p>
        </w:tc>
        <w:tc>
          <w:tcPr>
            <w:tcW w:w="624" w:type="pct"/>
            <w:vMerge w:val="continue"/>
            <w:shd w:val="clear" w:color="auto" w:fill="auto"/>
            <w:vAlign w:val="center"/>
          </w:tcPr>
          <w:p w14:paraId="5307FF0C">
            <w:pPr>
              <w:jc w:val="center"/>
              <w:rPr>
                <w:rFonts w:hint="eastAsia" w:asciiTheme="minorEastAsia" w:hAnsiTheme="minorEastAsia" w:eastAsiaTheme="minorEastAsia" w:cstheme="minorEastAsia"/>
                <w:color w:val="000000"/>
                <w:sz w:val="20"/>
                <w:szCs w:val="20"/>
              </w:rPr>
            </w:pPr>
          </w:p>
        </w:tc>
        <w:tc>
          <w:tcPr>
            <w:tcW w:w="600" w:type="pct"/>
            <w:vMerge w:val="restart"/>
            <w:shd w:val="clear" w:color="auto" w:fill="auto"/>
            <w:vAlign w:val="center"/>
          </w:tcPr>
          <w:p w14:paraId="65C29AB4">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门诊、住院电子病历</w:t>
            </w:r>
          </w:p>
        </w:tc>
        <w:tc>
          <w:tcPr>
            <w:tcW w:w="2477" w:type="pct"/>
            <w:shd w:val="clear" w:color="auto" w:fill="auto"/>
            <w:vAlign w:val="center"/>
          </w:tcPr>
          <w:p w14:paraId="310306E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1．整体要求</w:t>
            </w:r>
          </w:p>
        </w:tc>
        <w:tc>
          <w:tcPr>
            <w:tcW w:w="479" w:type="pct"/>
            <w:vMerge w:val="restart"/>
            <w:shd w:val="clear" w:color="auto" w:fill="auto"/>
            <w:vAlign w:val="center"/>
          </w:tcPr>
          <w:p w14:paraId="0C6D7747">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vMerge w:val="restart"/>
            <w:shd w:val="clear" w:color="auto" w:fill="auto"/>
            <w:vAlign w:val="center"/>
          </w:tcPr>
          <w:p w14:paraId="49B09D5D">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1657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EDCED2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E9DAF2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E4CF50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1D8C78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1）必须满足卫生部颁发的《电子病历基本规范》、《电子病历系统功能规范（试行）》、《中医电子病历基本规范（试行）》等相关规范和标准。</w:t>
            </w:r>
          </w:p>
        </w:tc>
        <w:tc>
          <w:tcPr>
            <w:tcW w:w="479" w:type="pct"/>
            <w:vMerge w:val="continue"/>
            <w:shd w:val="clear" w:color="auto" w:fill="auto"/>
            <w:vAlign w:val="center"/>
          </w:tcPr>
          <w:p w14:paraId="497E539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BEE8EAE">
            <w:pPr>
              <w:jc w:val="center"/>
              <w:rPr>
                <w:rFonts w:hint="eastAsia" w:asciiTheme="minorEastAsia" w:hAnsiTheme="minorEastAsia" w:eastAsiaTheme="minorEastAsia" w:cstheme="minorEastAsia"/>
                <w:color w:val="000000"/>
                <w:sz w:val="20"/>
                <w:szCs w:val="20"/>
              </w:rPr>
            </w:pPr>
          </w:p>
        </w:tc>
      </w:tr>
      <w:tr w14:paraId="7EC1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D28139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EF2CC7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D14BAA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99D491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2）必须满足卫生部及各级卫生管理机构下发的《病历书写规范》及相关实施细则。</w:t>
            </w:r>
          </w:p>
        </w:tc>
        <w:tc>
          <w:tcPr>
            <w:tcW w:w="479" w:type="pct"/>
            <w:vMerge w:val="continue"/>
            <w:shd w:val="clear" w:color="auto" w:fill="auto"/>
            <w:vAlign w:val="center"/>
          </w:tcPr>
          <w:p w14:paraId="3EF19AB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634F76E">
            <w:pPr>
              <w:jc w:val="center"/>
              <w:rPr>
                <w:rFonts w:hint="eastAsia" w:asciiTheme="minorEastAsia" w:hAnsiTheme="minorEastAsia" w:eastAsiaTheme="minorEastAsia" w:cstheme="minorEastAsia"/>
                <w:color w:val="000000"/>
                <w:sz w:val="20"/>
                <w:szCs w:val="20"/>
              </w:rPr>
            </w:pPr>
          </w:p>
        </w:tc>
      </w:tr>
      <w:tr w14:paraId="7881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721404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4DCA13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044430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7EAD88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3）必须建立满足卫生部颁发的《电子病历基本架构与数据标准》的完整数据元素库。</w:t>
            </w:r>
          </w:p>
        </w:tc>
        <w:tc>
          <w:tcPr>
            <w:tcW w:w="479" w:type="pct"/>
            <w:vMerge w:val="continue"/>
            <w:shd w:val="clear" w:color="auto" w:fill="auto"/>
            <w:vAlign w:val="center"/>
          </w:tcPr>
          <w:p w14:paraId="2023A94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D81D8B2">
            <w:pPr>
              <w:jc w:val="center"/>
              <w:rPr>
                <w:rFonts w:hint="eastAsia" w:asciiTheme="minorEastAsia" w:hAnsiTheme="minorEastAsia" w:eastAsiaTheme="minorEastAsia" w:cstheme="minorEastAsia"/>
                <w:color w:val="000000"/>
                <w:sz w:val="20"/>
                <w:szCs w:val="20"/>
              </w:rPr>
            </w:pPr>
          </w:p>
        </w:tc>
      </w:tr>
      <w:tr w14:paraId="18B0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77663D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950149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19E443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781FD63">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4）电子病历系统建立必须符合业界的统一标准，遵循HL7 RIM CDA, HL7数据交换、ICD-9、ICD-10、SNOMED、IHE等规范和标准，以及与信息相关的国家标准和规范，特别是软件工程方面的标准和规范。</w:t>
            </w:r>
          </w:p>
        </w:tc>
        <w:tc>
          <w:tcPr>
            <w:tcW w:w="479" w:type="pct"/>
            <w:vMerge w:val="continue"/>
            <w:shd w:val="clear" w:color="auto" w:fill="auto"/>
            <w:vAlign w:val="center"/>
          </w:tcPr>
          <w:p w14:paraId="413AFAA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F955747">
            <w:pPr>
              <w:jc w:val="center"/>
              <w:rPr>
                <w:rFonts w:hint="eastAsia" w:asciiTheme="minorEastAsia" w:hAnsiTheme="minorEastAsia" w:eastAsiaTheme="minorEastAsia" w:cstheme="minorEastAsia"/>
                <w:color w:val="000000"/>
                <w:sz w:val="20"/>
                <w:szCs w:val="20"/>
              </w:rPr>
            </w:pPr>
          </w:p>
        </w:tc>
      </w:tr>
      <w:tr w14:paraId="08D7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931FB0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755EEBC">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A5E81A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D2AB6C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5）电子病历系统需建有严格的安全保障机制，对电子病历的修改、查阅、输出、交流等权责进行划分，授权用户才能够对病历内容进行操作。系统需提供自动记录完整的操作日志。</w:t>
            </w:r>
          </w:p>
        </w:tc>
        <w:tc>
          <w:tcPr>
            <w:tcW w:w="479" w:type="pct"/>
            <w:vMerge w:val="continue"/>
            <w:shd w:val="clear" w:color="auto" w:fill="auto"/>
            <w:vAlign w:val="center"/>
          </w:tcPr>
          <w:p w14:paraId="0C6D12A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24F7B2B">
            <w:pPr>
              <w:jc w:val="center"/>
              <w:rPr>
                <w:rFonts w:hint="eastAsia" w:asciiTheme="minorEastAsia" w:hAnsiTheme="minorEastAsia" w:eastAsiaTheme="minorEastAsia" w:cstheme="minorEastAsia"/>
                <w:color w:val="000000"/>
                <w:sz w:val="20"/>
                <w:szCs w:val="20"/>
              </w:rPr>
            </w:pPr>
          </w:p>
        </w:tc>
      </w:tr>
      <w:tr w14:paraId="38A1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C80966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52F229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1E30964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D423D0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6）实现住院和门诊病历信息的有机整合和共享，医疗和护理数据的充分共享。</w:t>
            </w:r>
          </w:p>
        </w:tc>
        <w:tc>
          <w:tcPr>
            <w:tcW w:w="479" w:type="pct"/>
            <w:vMerge w:val="continue"/>
            <w:shd w:val="clear" w:color="auto" w:fill="auto"/>
            <w:vAlign w:val="center"/>
          </w:tcPr>
          <w:p w14:paraId="2148B02D">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6B93CAEC">
            <w:pPr>
              <w:jc w:val="center"/>
              <w:rPr>
                <w:rFonts w:hint="eastAsia" w:asciiTheme="minorEastAsia" w:hAnsiTheme="minorEastAsia" w:eastAsiaTheme="minorEastAsia" w:cstheme="minorEastAsia"/>
                <w:color w:val="000000"/>
                <w:sz w:val="20"/>
                <w:szCs w:val="20"/>
              </w:rPr>
            </w:pPr>
          </w:p>
        </w:tc>
      </w:tr>
      <w:tr w14:paraId="4C3F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E76671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45033E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B5CC8B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B51FFD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7）能够满足各种专科病历的要求（如产科、新生儿病历）。</w:t>
            </w:r>
          </w:p>
        </w:tc>
        <w:tc>
          <w:tcPr>
            <w:tcW w:w="479" w:type="pct"/>
            <w:vMerge w:val="continue"/>
            <w:shd w:val="clear" w:color="auto" w:fill="auto"/>
            <w:vAlign w:val="center"/>
          </w:tcPr>
          <w:p w14:paraId="6AD14F8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D4BA2AB">
            <w:pPr>
              <w:jc w:val="center"/>
              <w:rPr>
                <w:rFonts w:hint="eastAsia" w:asciiTheme="minorEastAsia" w:hAnsiTheme="minorEastAsia" w:eastAsiaTheme="minorEastAsia" w:cstheme="minorEastAsia"/>
                <w:color w:val="000000"/>
                <w:sz w:val="20"/>
                <w:szCs w:val="20"/>
              </w:rPr>
            </w:pPr>
          </w:p>
        </w:tc>
      </w:tr>
      <w:tr w14:paraId="7C56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DAD207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FC1E46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CA57AB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6D21D9C">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2．住院医生电子病历</w:t>
            </w:r>
          </w:p>
        </w:tc>
        <w:tc>
          <w:tcPr>
            <w:tcW w:w="479" w:type="pct"/>
            <w:vMerge w:val="continue"/>
            <w:shd w:val="clear" w:color="auto" w:fill="auto"/>
            <w:vAlign w:val="center"/>
          </w:tcPr>
          <w:p w14:paraId="18CDD0E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792BA8F">
            <w:pPr>
              <w:jc w:val="center"/>
              <w:rPr>
                <w:rFonts w:hint="eastAsia" w:asciiTheme="minorEastAsia" w:hAnsiTheme="minorEastAsia" w:eastAsiaTheme="minorEastAsia" w:cstheme="minorEastAsia"/>
                <w:color w:val="000000"/>
                <w:sz w:val="20"/>
                <w:szCs w:val="20"/>
              </w:rPr>
            </w:pPr>
          </w:p>
        </w:tc>
      </w:tr>
      <w:tr w14:paraId="78C9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5A8061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41D0A6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12D7AE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CB85A9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系统必须按照卫生部医疗文书书写规范的要求，提供完整及规范的电子病历系统，覆盖本院各种医学文档的内容。协助医务人员完成病人住院期间所有的病情变化、诊断信息、检验检查结构、治疗方案等临床信息记录工作，主要病历内容包括：患者首次病程记录（病史概要、诊断依据、治疗计划）；入院记录（主诉、现病史、既往史、个人史、家族史、体格检查、辅助检查）；病程记录（普通病程记录、上级医师查房记录、术后病程记录、诊疗操作记录等）；手术相关记录；会诊记录；转科记录；出院记录；死亡记录；病案首页等。</w:t>
            </w:r>
          </w:p>
        </w:tc>
        <w:tc>
          <w:tcPr>
            <w:tcW w:w="479" w:type="pct"/>
            <w:vMerge w:val="continue"/>
            <w:shd w:val="clear" w:color="auto" w:fill="auto"/>
            <w:vAlign w:val="center"/>
          </w:tcPr>
          <w:p w14:paraId="788CCAF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B8F9322">
            <w:pPr>
              <w:jc w:val="center"/>
              <w:rPr>
                <w:rFonts w:hint="eastAsia" w:asciiTheme="minorEastAsia" w:hAnsiTheme="minorEastAsia" w:eastAsiaTheme="minorEastAsia" w:cstheme="minorEastAsia"/>
                <w:color w:val="000000"/>
                <w:sz w:val="20"/>
                <w:szCs w:val="20"/>
              </w:rPr>
            </w:pPr>
          </w:p>
        </w:tc>
      </w:tr>
      <w:tr w14:paraId="00A0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581B16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1CEF7C7">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EAE7AB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6C58F4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2）根据临床要求，灵活地选择各类病人范围进行病历操作，并提供列表和床头卡的病人选择方式。</w:t>
            </w:r>
          </w:p>
        </w:tc>
        <w:tc>
          <w:tcPr>
            <w:tcW w:w="479" w:type="pct"/>
            <w:vMerge w:val="continue"/>
            <w:shd w:val="clear" w:color="auto" w:fill="auto"/>
            <w:vAlign w:val="center"/>
          </w:tcPr>
          <w:p w14:paraId="2408561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1B3135F">
            <w:pPr>
              <w:jc w:val="center"/>
              <w:rPr>
                <w:rFonts w:hint="eastAsia" w:asciiTheme="minorEastAsia" w:hAnsiTheme="minorEastAsia" w:eastAsiaTheme="minorEastAsia" w:cstheme="minorEastAsia"/>
                <w:color w:val="000000"/>
                <w:sz w:val="20"/>
                <w:szCs w:val="20"/>
              </w:rPr>
            </w:pPr>
          </w:p>
        </w:tc>
      </w:tr>
      <w:tr w14:paraId="483C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C5BCAF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D9D0F4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D419EA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DECE40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3）提供多种方式的结构化病历书写模式，支持知识库、医学术语等内容自定义动态插入病历文书中，提高医生的编写效率和质量。</w:t>
            </w:r>
          </w:p>
        </w:tc>
        <w:tc>
          <w:tcPr>
            <w:tcW w:w="479" w:type="pct"/>
            <w:vMerge w:val="continue"/>
            <w:shd w:val="clear" w:color="auto" w:fill="auto"/>
            <w:vAlign w:val="center"/>
          </w:tcPr>
          <w:p w14:paraId="63FD5572">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1F981FA">
            <w:pPr>
              <w:jc w:val="center"/>
              <w:rPr>
                <w:rFonts w:hint="eastAsia" w:asciiTheme="minorEastAsia" w:hAnsiTheme="minorEastAsia" w:eastAsiaTheme="minorEastAsia" w:cstheme="minorEastAsia"/>
                <w:color w:val="000000"/>
                <w:sz w:val="20"/>
                <w:szCs w:val="20"/>
              </w:rPr>
            </w:pPr>
          </w:p>
        </w:tc>
      </w:tr>
      <w:tr w14:paraId="4135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E96B81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73EC22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E2F08A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BE29FC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*4）提供全院各专科病历的支持和识别，可以根据性别、年龄段等要求来规范病历的输入内容，支持对男性和女性病历的自动筛选。</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b w:val="0"/>
                <w:bCs w:val="0"/>
                <w:spacing w:val="-3"/>
                <w:sz w:val="20"/>
                <w:szCs w:val="20"/>
              </w:rPr>
              <w:t>需提供功能截图证明，加盖生产</w:t>
            </w:r>
            <w:r>
              <w:rPr>
                <w:rFonts w:hint="eastAsia" w:asciiTheme="minorEastAsia" w:hAnsiTheme="minorEastAsia" w:eastAsiaTheme="minorEastAsia" w:cstheme="minorEastAsia"/>
                <w:b w:val="0"/>
                <w:bCs w:val="0"/>
                <w:spacing w:val="-7"/>
                <w:sz w:val="20"/>
                <w:szCs w:val="20"/>
              </w:rPr>
              <w:t>厂商公章</w:t>
            </w:r>
            <w:r>
              <w:rPr>
                <w:rFonts w:hint="eastAsia" w:asciiTheme="minorEastAsia" w:hAnsiTheme="minorEastAsia" w:eastAsiaTheme="minorEastAsia" w:cstheme="minorEastAsia"/>
                <w:sz w:val="20"/>
                <w:szCs w:val="20"/>
                <w:lang w:eastAsia="zh-CN"/>
              </w:rPr>
              <w:t>）</w:t>
            </w:r>
          </w:p>
        </w:tc>
        <w:tc>
          <w:tcPr>
            <w:tcW w:w="479" w:type="pct"/>
            <w:vMerge w:val="continue"/>
            <w:shd w:val="clear" w:color="auto" w:fill="auto"/>
            <w:vAlign w:val="center"/>
          </w:tcPr>
          <w:p w14:paraId="7E8D718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90E2039">
            <w:pPr>
              <w:jc w:val="center"/>
              <w:rPr>
                <w:rFonts w:hint="eastAsia" w:asciiTheme="minorEastAsia" w:hAnsiTheme="minorEastAsia" w:eastAsiaTheme="minorEastAsia" w:cstheme="minorEastAsia"/>
                <w:color w:val="000000"/>
                <w:sz w:val="20"/>
                <w:szCs w:val="20"/>
              </w:rPr>
            </w:pPr>
          </w:p>
        </w:tc>
      </w:tr>
      <w:tr w14:paraId="7AC5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1C2D41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050CAED">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4E147E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77BDD3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5）屏蔽不同病人病历复制，但允许同一患者资料的内部复制。</w:t>
            </w:r>
          </w:p>
        </w:tc>
        <w:tc>
          <w:tcPr>
            <w:tcW w:w="479" w:type="pct"/>
            <w:vMerge w:val="continue"/>
            <w:shd w:val="clear" w:color="auto" w:fill="auto"/>
            <w:vAlign w:val="center"/>
          </w:tcPr>
          <w:p w14:paraId="717BB8A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3AA2525">
            <w:pPr>
              <w:jc w:val="center"/>
              <w:rPr>
                <w:rFonts w:hint="eastAsia" w:asciiTheme="minorEastAsia" w:hAnsiTheme="minorEastAsia" w:eastAsiaTheme="minorEastAsia" w:cstheme="minorEastAsia"/>
                <w:color w:val="000000"/>
                <w:sz w:val="20"/>
                <w:szCs w:val="20"/>
              </w:rPr>
            </w:pPr>
          </w:p>
        </w:tc>
      </w:tr>
      <w:tr w14:paraId="47FF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54000F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86E2AB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B205DE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7FD9D1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6）有严格的病历编辑的权限控制，上级医师能够修改下级医师书写的病历，同级医师不能互相修改，历次修改都需要留痕，并可查看修改痕迹。</w:t>
            </w:r>
          </w:p>
        </w:tc>
        <w:tc>
          <w:tcPr>
            <w:tcW w:w="479" w:type="pct"/>
            <w:vMerge w:val="continue"/>
            <w:shd w:val="clear" w:color="auto" w:fill="auto"/>
            <w:vAlign w:val="center"/>
          </w:tcPr>
          <w:p w14:paraId="76E8865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089E1A0">
            <w:pPr>
              <w:jc w:val="center"/>
              <w:rPr>
                <w:rFonts w:hint="eastAsia" w:asciiTheme="minorEastAsia" w:hAnsiTheme="minorEastAsia" w:eastAsiaTheme="minorEastAsia" w:cstheme="minorEastAsia"/>
                <w:color w:val="000000"/>
                <w:sz w:val="20"/>
                <w:szCs w:val="20"/>
              </w:rPr>
            </w:pPr>
          </w:p>
        </w:tc>
      </w:tr>
      <w:tr w14:paraId="1928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57E153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0BE591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06A092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4CD8BA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7）提供病历模板配置工具，允许医院统一或各科室自己维护各种结构化病历模板；支持将现有病历内容保存为病历模板功能。</w:t>
            </w:r>
          </w:p>
        </w:tc>
        <w:tc>
          <w:tcPr>
            <w:tcW w:w="479" w:type="pct"/>
            <w:vMerge w:val="continue"/>
            <w:shd w:val="clear" w:color="auto" w:fill="auto"/>
            <w:vAlign w:val="center"/>
          </w:tcPr>
          <w:p w14:paraId="4B19024F">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0857BBE">
            <w:pPr>
              <w:jc w:val="center"/>
              <w:rPr>
                <w:rFonts w:hint="eastAsia" w:asciiTheme="minorEastAsia" w:hAnsiTheme="minorEastAsia" w:eastAsiaTheme="minorEastAsia" w:cstheme="minorEastAsia"/>
                <w:color w:val="000000"/>
                <w:sz w:val="20"/>
                <w:szCs w:val="20"/>
              </w:rPr>
            </w:pPr>
          </w:p>
        </w:tc>
      </w:tr>
      <w:tr w14:paraId="60F2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B557F6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195659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01B948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954555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8）病案首页：病案首页内容须根据病历内容自动完成，同时提供手工录入模式。</w:t>
            </w:r>
          </w:p>
        </w:tc>
        <w:tc>
          <w:tcPr>
            <w:tcW w:w="479" w:type="pct"/>
            <w:vMerge w:val="continue"/>
            <w:shd w:val="clear" w:color="auto" w:fill="auto"/>
            <w:vAlign w:val="center"/>
          </w:tcPr>
          <w:p w14:paraId="29A1AEF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672059D">
            <w:pPr>
              <w:jc w:val="center"/>
              <w:rPr>
                <w:rFonts w:hint="eastAsia" w:asciiTheme="minorEastAsia" w:hAnsiTheme="minorEastAsia" w:eastAsiaTheme="minorEastAsia" w:cstheme="minorEastAsia"/>
                <w:color w:val="000000"/>
                <w:sz w:val="20"/>
                <w:szCs w:val="20"/>
              </w:rPr>
            </w:pPr>
          </w:p>
        </w:tc>
      </w:tr>
      <w:tr w14:paraId="336D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0E976E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229C744">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B81FA8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0D64E6E">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病历输入时能够任意插入文字、图片、表格等内容，对图片可以进行编辑，提供医疗文书书写过程中常用的特殊符号集如：℃，℉，‰，㎡，mol等（不允许医生自行创建），提供上、下标功能：支持对文字的上下标功能。</w:t>
            </w:r>
          </w:p>
        </w:tc>
        <w:tc>
          <w:tcPr>
            <w:tcW w:w="479" w:type="pct"/>
            <w:vMerge w:val="continue"/>
            <w:shd w:val="clear" w:color="auto" w:fill="auto"/>
            <w:vAlign w:val="center"/>
          </w:tcPr>
          <w:p w14:paraId="1994136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B3FB85F">
            <w:pPr>
              <w:jc w:val="center"/>
              <w:rPr>
                <w:rFonts w:hint="eastAsia" w:asciiTheme="minorEastAsia" w:hAnsiTheme="minorEastAsia" w:eastAsiaTheme="minorEastAsia" w:cstheme="minorEastAsia"/>
                <w:color w:val="000000"/>
                <w:sz w:val="20"/>
                <w:szCs w:val="20"/>
              </w:rPr>
            </w:pPr>
          </w:p>
        </w:tc>
      </w:tr>
      <w:tr w14:paraId="42E6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FE82F3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B5081E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23051CF">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EF9001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10）结构化书写与自由语言描述在同一界面下完成。</w:t>
            </w:r>
          </w:p>
        </w:tc>
        <w:tc>
          <w:tcPr>
            <w:tcW w:w="479" w:type="pct"/>
            <w:vMerge w:val="continue"/>
            <w:shd w:val="clear" w:color="auto" w:fill="auto"/>
            <w:vAlign w:val="center"/>
          </w:tcPr>
          <w:p w14:paraId="3B700184">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4CE42D0">
            <w:pPr>
              <w:jc w:val="center"/>
              <w:rPr>
                <w:rFonts w:hint="eastAsia" w:asciiTheme="minorEastAsia" w:hAnsiTheme="minorEastAsia" w:eastAsiaTheme="minorEastAsia" w:cstheme="minorEastAsia"/>
                <w:color w:val="000000"/>
                <w:sz w:val="20"/>
                <w:szCs w:val="20"/>
              </w:rPr>
            </w:pPr>
          </w:p>
        </w:tc>
      </w:tr>
      <w:tr w14:paraId="5138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BDDFF2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4BDD82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83AA4D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F37F8F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11）诊断名称支持西医ICD-10标准和中医诊断《中医病症分类与代码》国家标准，同时能够满足临床描述的准确性要求，并支持自定义扩展诊断编码。</w:t>
            </w:r>
          </w:p>
        </w:tc>
        <w:tc>
          <w:tcPr>
            <w:tcW w:w="479" w:type="pct"/>
            <w:vMerge w:val="continue"/>
            <w:shd w:val="clear" w:color="auto" w:fill="auto"/>
            <w:vAlign w:val="center"/>
          </w:tcPr>
          <w:p w14:paraId="6986B6B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184BA87">
            <w:pPr>
              <w:jc w:val="center"/>
              <w:rPr>
                <w:rFonts w:hint="eastAsia" w:asciiTheme="minorEastAsia" w:hAnsiTheme="minorEastAsia" w:eastAsiaTheme="minorEastAsia" w:cstheme="minorEastAsia"/>
                <w:color w:val="000000"/>
                <w:sz w:val="20"/>
                <w:szCs w:val="20"/>
              </w:rPr>
            </w:pPr>
          </w:p>
        </w:tc>
      </w:tr>
      <w:tr w14:paraId="737C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8A82EFA">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FD9943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2B22127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130DC0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12）实现临床数据的“一处输入，全程共享”，能够采用自动导入和选择导入相结合的方式，实现各病历间数据的充分衔接。</w:t>
            </w:r>
          </w:p>
        </w:tc>
        <w:tc>
          <w:tcPr>
            <w:tcW w:w="479" w:type="pct"/>
            <w:vMerge w:val="continue"/>
            <w:shd w:val="clear" w:color="auto" w:fill="auto"/>
            <w:vAlign w:val="center"/>
          </w:tcPr>
          <w:p w14:paraId="74643E9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138CD374">
            <w:pPr>
              <w:jc w:val="center"/>
              <w:rPr>
                <w:rFonts w:hint="eastAsia" w:asciiTheme="minorEastAsia" w:hAnsiTheme="minorEastAsia" w:eastAsiaTheme="minorEastAsia" w:cstheme="minorEastAsia"/>
                <w:color w:val="000000"/>
                <w:sz w:val="20"/>
                <w:szCs w:val="20"/>
              </w:rPr>
            </w:pPr>
          </w:p>
        </w:tc>
      </w:tr>
      <w:tr w14:paraId="6DEA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C91FC0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0216A9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0D0C54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9C8846F">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*13）支持病历的整体打印、选页打印和续打等功能，同时能支持病人转科、转床等各种实际情况，实现病历数据的不失真。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b w:val="0"/>
                <w:bCs w:val="0"/>
                <w:spacing w:val="-3"/>
                <w:sz w:val="20"/>
                <w:szCs w:val="20"/>
              </w:rPr>
              <w:t>需提供功能截图证明，加盖生产</w:t>
            </w:r>
            <w:r>
              <w:rPr>
                <w:rFonts w:hint="eastAsia" w:asciiTheme="minorEastAsia" w:hAnsiTheme="minorEastAsia" w:eastAsiaTheme="minorEastAsia" w:cstheme="minorEastAsia"/>
                <w:b w:val="0"/>
                <w:bCs w:val="0"/>
                <w:spacing w:val="-7"/>
                <w:sz w:val="20"/>
                <w:szCs w:val="20"/>
              </w:rPr>
              <w:t>厂商公章</w:t>
            </w:r>
            <w:r>
              <w:rPr>
                <w:rFonts w:hint="eastAsia" w:asciiTheme="minorEastAsia" w:hAnsiTheme="minorEastAsia" w:eastAsiaTheme="minorEastAsia" w:cstheme="minorEastAsia"/>
                <w:sz w:val="20"/>
                <w:szCs w:val="20"/>
                <w:lang w:eastAsia="zh-CN"/>
              </w:rPr>
              <w:t>）</w:t>
            </w:r>
          </w:p>
        </w:tc>
        <w:tc>
          <w:tcPr>
            <w:tcW w:w="479" w:type="pct"/>
            <w:vMerge w:val="continue"/>
            <w:shd w:val="clear" w:color="auto" w:fill="auto"/>
            <w:vAlign w:val="center"/>
          </w:tcPr>
          <w:p w14:paraId="7B0C77F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0FAE3C1">
            <w:pPr>
              <w:jc w:val="center"/>
              <w:rPr>
                <w:rFonts w:hint="eastAsia" w:asciiTheme="minorEastAsia" w:hAnsiTheme="minorEastAsia" w:eastAsiaTheme="minorEastAsia" w:cstheme="minorEastAsia"/>
                <w:color w:val="000000"/>
                <w:sz w:val="20"/>
                <w:szCs w:val="20"/>
              </w:rPr>
            </w:pPr>
          </w:p>
        </w:tc>
      </w:tr>
      <w:tr w14:paraId="1C7B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B315A06">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865B9A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93433E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AC5363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14）能够实现与HIS、LIS、RIS/PACS之间的数据整合，检查完成后可以实时查看检查报告内容（包括图片形式的报告内容）。</w:t>
            </w:r>
          </w:p>
        </w:tc>
        <w:tc>
          <w:tcPr>
            <w:tcW w:w="479" w:type="pct"/>
            <w:vMerge w:val="continue"/>
            <w:shd w:val="clear" w:color="auto" w:fill="auto"/>
            <w:vAlign w:val="center"/>
          </w:tcPr>
          <w:p w14:paraId="438A4EA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756BB65">
            <w:pPr>
              <w:jc w:val="center"/>
              <w:rPr>
                <w:rFonts w:hint="eastAsia" w:asciiTheme="minorEastAsia" w:hAnsiTheme="minorEastAsia" w:eastAsiaTheme="minorEastAsia" w:cstheme="minorEastAsia"/>
                <w:color w:val="000000"/>
                <w:sz w:val="20"/>
                <w:szCs w:val="20"/>
              </w:rPr>
            </w:pPr>
          </w:p>
        </w:tc>
      </w:tr>
      <w:tr w14:paraId="34FD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C8F82D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2F0AA2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AB6D4F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7A78DB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15）提供完整的会诊申请、提示及会诊记录功能，提供配套的权限授权及收回处理及工作量统计。</w:t>
            </w:r>
          </w:p>
        </w:tc>
        <w:tc>
          <w:tcPr>
            <w:tcW w:w="479" w:type="pct"/>
            <w:vMerge w:val="continue"/>
            <w:shd w:val="clear" w:color="auto" w:fill="auto"/>
            <w:vAlign w:val="center"/>
          </w:tcPr>
          <w:p w14:paraId="26C99FF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76EC4E5">
            <w:pPr>
              <w:jc w:val="center"/>
              <w:rPr>
                <w:rFonts w:hint="eastAsia" w:asciiTheme="minorEastAsia" w:hAnsiTheme="minorEastAsia" w:eastAsiaTheme="minorEastAsia" w:cstheme="minorEastAsia"/>
                <w:color w:val="000000"/>
                <w:sz w:val="20"/>
                <w:szCs w:val="20"/>
              </w:rPr>
            </w:pPr>
          </w:p>
        </w:tc>
      </w:tr>
      <w:tr w14:paraId="3EF5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8AB96E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E4C8F5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C656D51">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FB989D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16）提供病历质量的自动提醒、医生自查功能，便于医生及时发现病历缺陷并予以修改。</w:t>
            </w:r>
          </w:p>
        </w:tc>
        <w:tc>
          <w:tcPr>
            <w:tcW w:w="479" w:type="pct"/>
            <w:vMerge w:val="continue"/>
            <w:shd w:val="clear" w:color="auto" w:fill="auto"/>
            <w:vAlign w:val="center"/>
          </w:tcPr>
          <w:p w14:paraId="3FA1F2B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BCC3B34">
            <w:pPr>
              <w:jc w:val="center"/>
              <w:rPr>
                <w:rFonts w:hint="eastAsia" w:asciiTheme="minorEastAsia" w:hAnsiTheme="minorEastAsia" w:eastAsiaTheme="minorEastAsia" w:cstheme="minorEastAsia"/>
                <w:color w:val="000000"/>
                <w:sz w:val="20"/>
                <w:szCs w:val="20"/>
              </w:rPr>
            </w:pPr>
          </w:p>
        </w:tc>
      </w:tr>
      <w:tr w14:paraId="45FF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757DBBAC">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9E74A7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BFF41C9">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1CE2A9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3．门诊电子病历</w:t>
            </w:r>
          </w:p>
        </w:tc>
        <w:tc>
          <w:tcPr>
            <w:tcW w:w="479" w:type="pct"/>
            <w:vMerge w:val="continue"/>
            <w:shd w:val="clear" w:color="auto" w:fill="auto"/>
            <w:vAlign w:val="center"/>
          </w:tcPr>
          <w:p w14:paraId="27393EBE">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DC9E5C8">
            <w:pPr>
              <w:jc w:val="center"/>
              <w:rPr>
                <w:rFonts w:hint="eastAsia" w:asciiTheme="minorEastAsia" w:hAnsiTheme="minorEastAsia" w:eastAsiaTheme="minorEastAsia" w:cstheme="minorEastAsia"/>
                <w:color w:val="000000"/>
                <w:sz w:val="20"/>
                <w:szCs w:val="20"/>
              </w:rPr>
            </w:pPr>
          </w:p>
        </w:tc>
      </w:tr>
      <w:tr w14:paraId="3A7A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23FFDD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B69FE9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5A9E03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93DAB7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1）能根据临床要求，灵活地选择各类病人范围进行病历操作，并提供列表的病人选择方式。</w:t>
            </w:r>
          </w:p>
        </w:tc>
        <w:tc>
          <w:tcPr>
            <w:tcW w:w="479" w:type="pct"/>
            <w:vMerge w:val="continue"/>
            <w:shd w:val="clear" w:color="auto" w:fill="auto"/>
            <w:vAlign w:val="center"/>
          </w:tcPr>
          <w:p w14:paraId="2AD79023">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671BD7D">
            <w:pPr>
              <w:jc w:val="center"/>
              <w:rPr>
                <w:rFonts w:hint="eastAsia" w:asciiTheme="minorEastAsia" w:hAnsiTheme="minorEastAsia" w:eastAsiaTheme="minorEastAsia" w:cstheme="minorEastAsia"/>
                <w:color w:val="000000"/>
                <w:sz w:val="20"/>
                <w:szCs w:val="20"/>
              </w:rPr>
            </w:pPr>
          </w:p>
        </w:tc>
      </w:tr>
      <w:tr w14:paraId="02A3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B3769A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5B9C791">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DBC0DA2">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98EB2F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2）提供多种方式的结构化病历书写模式，支持知识库、医学术语等内容自定义动态插入病历文书中，提高医生的编写效率和质量。</w:t>
            </w:r>
          </w:p>
        </w:tc>
        <w:tc>
          <w:tcPr>
            <w:tcW w:w="479" w:type="pct"/>
            <w:vMerge w:val="continue"/>
            <w:shd w:val="clear" w:color="auto" w:fill="auto"/>
            <w:vAlign w:val="center"/>
          </w:tcPr>
          <w:p w14:paraId="70B671F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732F3C0">
            <w:pPr>
              <w:jc w:val="center"/>
              <w:rPr>
                <w:rFonts w:hint="eastAsia" w:asciiTheme="minorEastAsia" w:hAnsiTheme="minorEastAsia" w:eastAsiaTheme="minorEastAsia" w:cstheme="minorEastAsia"/>
                <w:color w:val="000000"/>
                <w:sz w:val="20"/>
                <w:szCs w:val="20"/>
              </w:rPr>
            </w:pPr>
          </w:p>
        </w:tc>
      </w:tr>
      <w:tr w14:paraId="490F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2B6897BD">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6048AFB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8917823">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585520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3）提供全院各专科病历的支持和识别，可以根据性别、年龄段等要求来规范病历的输入内容，支持对男性和女性病历的自动筛选。</w:t>
            </w:r>
          </w:p>
        </w:tc>
        <w:tc>
          <w:tcPr>
            <w:tcW w:w="479" w:type="pct"/>
            <w:vMerge w:val="continue"/>
            <w:shd w:val="clear" w:color="auto" w:fill="auto"/>
            <w:vAlign w:val="center"/>
          </w:tcPr>
          <w:p w14:paraId="01516D15">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6DDE8B3">
            <w:pPr>
              <w:jc w:val="center"/>
              <w:rPr>
                <w:rFonts w:hint="eastAsia" w:asciiTheme="minorEastAsia" w:hAnsiTheme="minorEastAsia" w:eastAsiaTheme="minorEastAsia" w:cstheme="minorEastAsia"/>
                <w:color w:val="000000"/>
                <w:sz w:val="20"/>
                <w:szCs w:val="20"/>
              </w:rPr>
            </w:pPr>
          </w:p>
        </w:tc>
      </w:tr>
      <w:tr w14:paraId="5ECC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00FF5583">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2D2821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B157AAD">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AF0272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4）有严格的病历编辑的权限控制，同级医师不能互相修改，历次修改都需要留痕，并可查看修改痕迹。</w:t>
            </w:r>
          </w:p>
        </w:tc>
        <w:tc>
          <w:tcPr>
            <w:tcW w:w="479" w:type="pct"/>
            <w:vMerge w:val="continue"/>
            <w:shd w:val="clear" w:color="auto" w:fill="auto"/>
            <w:vAlign w:val="center"/>
          </w:tcPr>
          <w:p w14:paraId="6403A9D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706C175">
            <w:pPr>
              <w:jc w:val="center"/>
              <w:rPr>
                <w:rFonts w:hint="eastAsia" w:asciiTheme="minorEastAsia" w:hAnsiTheme="minorEastAsia" w:eastAsiaTheme="minorEastAsia" w:cstheme="minorEastAsia"/>
                <w:color w:val="000000"/>
                <w:sz w:val="20"/>
                <w:szCs w:val="20"/>
              </w:rPr>
            </w:pPr>
          </w:p>
        </w:tc>
      </w:tr>
      <w:tr w14:paraId="594D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417" w:type="pct"/>
            <w:vMerge w:val="continue"/>
            <w:shd w:val="clear" w:color="auto" w:fill="auto"/>
            <w:vAlign w:val="center"/>
          </w:tcPr>
          <w:p w14:paraId="041F52D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460253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962492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42A9EBA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5）具有分科室安全控制机制和访问日志查看。</w:t>
            </w:r>
          </w:p>
        </w:tc>
        <w:tc>
          <w:tcPr>
            <w:tcW w:w="479" w:type="pct"/>
            <w:vMerge w:val="continue"/>
            <w:shd w:val="clear" w:color="auto" w:fill="auto"/>
            <w:vAlign w:val="center"/>
          </w:tcPr>
          <w:p w14:paraId="1D127C8B">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17C957A">
            <w:pPr>
              <w:jc w:val="center"/>
              <w:rPr>
                <w:rFonts w:hint="eastAsia" w:asciiTheme="minorEastAsia" w:hAnsiTheme="minorEastAsia" w:eastAsiaTheme="minorEastAsia" w:cstheme="minorEastAsia"/>
                <w:color w:val="000000"/>
                <w:sz w:val="20"/>
                <w:szCs w:val="20"/>
              </w:rPr>
            </w:pPr>
          </w:p>
        </w:tc>
      </w:tr>
      <w:tr w14:paraId="6D1E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25CFFE0">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04C872E">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AB4C6AE">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2DC2DC2">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6）提供病历模板配置工具，允许医院统一或各科室自己维护各种结构化病历模板；支持将现有病历内容保存为病历模板功能。</w:t>
            </w:r>
          </w:p>
        </w:tc>
        <w:tc>
          <w:tcPr>
            <w:tcW w:w="479" w:type="pct"/>
            <w:vMerge w:val="continue"/>
            <w:shd w:val="clear" w:color="auto" w:fill="auto"/>
            <w:vAlign w:val="center"/>
          </w:tcPr>
          <w:p w14:paraId="7183A8A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BBD2300">
            <w:pPr>
              <w:jc w:val="center"/>
              <w:rPr>
                <w:rFonts w:hint="eastAsia" w:asciiTheme="minorEastAsia" w:hAnsiTheme="minorEastAsia" w:eastAsiaTheme="minorEastAsia" w:cstheme="minorEastAsia"/>
                <w:color w:val="000000"/>
                <w:sz w:val="20"/>
                <w:szCs w:val="20"/>
              </w:rPr>
            </w:pPr>
          </w:p>
        </w:tc>
      </w:tr>
      <w:tr w14:paraId="1F6A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317FE9F">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49518C42">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08851CE4">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05415530">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病历输入时能够任意插入文字、图片、表格等内容，对图片可以进行编辑，提供医疗文书书写过程中常用的特殊符号集如：℃，℉，‰，㎡，mol等（不允许医生自行创建），提供上、下标功能：支持对文字的上下标功能。</w:t>
            </w:r>
          </w:p>
        </w:tc>
        <w:tc>
          <w:tcPr>
            <w:tcW w:w="479" w:type="pct"/>
            <w:vMerge w:val="continue"/>
            <w:shd w:val="clear" w:color="auto" w:fill="auto"/>
            <w:vAlign w:val="center"/>
          </w:tcPr>
          <w:p w14:paraId="02D22D0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6D68FED">
            <w:pPr>
              <w:jc w:val="center"/>
              <w:rPr>
                <w:rFonts w:hint="eastAsia" w:asciiTheme="minorEastAsia" w:hAnsiTheme="minorEastAsia" w:eastAsiaTheme="minorEastAsia" w:cstheme="minorEastAsia"/>
                <w:color w:val="000000"/>
                <w:sz w:val="20"/>
                <w:szCs w:val="20"/>
              </w:rPr>
            </w:pPr>
          </w:p>
        </w:tc>
      </w:tr>
      <w:tr w14:paraId="313E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6F415B9B">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2D5ABEA8">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DC40348">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149790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8）结构化书写与自由语言描述在同一界面下完成。</w:t>
            </w:r>
          </w:p>
        </w:tc>
        <w:tc>
          <w:tcPr>
            <w:tcW w:w="479" w:type="pct"/>
            <w:vMerge w:val="continue"/>
            <w:shd w:val="clear" w:color="auto" w:fill="auto"/>
            <w:vAlign w:val="center"/>
          </w:tcPr>
          <w:p w14:paraId="7FCB190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6294CB2">
            <w:pPr>
              <w:jc w:val="center"/>
              <w:rPr>
                <w:rFonts w:hint="eastAsia" w:asciiTheme="minorEastAsia" w:hAnsiTheme="minorEastAsia" w:eastAsiaTheme="minorEastAsia" w:cstheme="minorEastAsia"/>
                <w:color w:val="000000"/>
                <w:sz w:val="20"/>
                <w:szCs w:val="20"/>
              </w:rPr>
            </w:pPr>
          </w:p>
        </w:tc>
      </w:tr>
      <w:tr w14:paraId="4F44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241EFE52">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1AC5AC09">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7D0C09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528B725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9）支持妇产科以及各种专科疾病的特殊病历输入和输出要求。</w:t>
            </w:r>
          </w:p>
        </w:tc>
        <w:tc>
          <w:tcPr>
            <w:tcW w:w="479" w:type="pct"/>
            <w:vMerge w:val="continue"/>
            <w:shd w:val="clear" w:color="auto" w:fill="auto"/>
            <w:vAlign w:val="center"/>
          </w:tcPr>
          <w:p w14:paraId="7E1F053C">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0D557D7F">
            <w:pPr>
              <w:jc w:val="center"/>
              <w:rPr>
                <w:rFonts w:hint="eastAsia" w:asciiTheme="minorEastAsia" w:hAnsiTheme="minorEastAsia" w:eastAsiaTheme="minorEastAsia" w:cstheme="minorEastAsia"/>
                <w:color w:val="000000"/>
                <w:sz w:val="20"/>
                <w:szCs w:val="20"/>
              </w:rPr>
            </w:pPr>
          </w:p>
        </w:tc>
      </w:tr>
      <w:tr w14:paraId="08E1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E559A47">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73D39EF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69244496">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1B7521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10）诊断名称支持西医ICD-10标准和中医诊断《中医病症分类与代码》国家标准，同时能够满足临床描述的准确性要求，并支持自定义扩展诊断编码。</w:t>
            </w:r>
          </w:p>
        </w:tc>
        <w:tc>
          <w:tcPr>
            <w:tcW w:w="479" w:type="pct"/>
            <w:vMerge w:val="continue"/>
            <w:shd w:val="clear" w:color="auto" w:fill="auto"/>
            <w:vAlign w:val="center"/>
          </w:tcPr>
          <w:p w14:paraId="2D768280">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27D3D83">
            <w:pPr>
              <w:jc w:val="center"/>
              <w:rPr>
                <w:rFonts w:hint="eastAsia" w:asciiTheme="minorEastAsia" w:hAnsiTheme="minorEastAsia" w:eastAsiaTheme="minorEastAsia" w:cstheme="minorEastAsia"/>
                <w:color w:val="000000"/>
                <w:sz w:val="20"/>
                <w:szCs w:val="20"/>
              </w:rPr>
            </w:pPr>
          </w:p>
        </w:tc>
      </w:tr>
      <w:tr w14:paraId="36E0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FF96B3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3CF527F">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662710C">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01A1FD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11）实现临床数据的“一处输入，全程共享”，能够采用自动导入和选择导入相结合的方式，实现各病历项间数据的充分衔接。</w:t>
            </w:r>
          </w:p>
        </w:tc>
        <w:tc>
          <w:tcPr>
            <w:tcW w:w="479" w:type="pct"/>
            <w:vMerge w:val="continue"/>
            <w:shd w:val="clear" w:color="auto" w:fill="auto"/>
            <w:vAlign w:val="center"/>
          </w:tcPr>
          <w:p w14:paraId="077D5F91">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3DB85A83">
            <w:pPr>
              <w:jc w:val="center"/>
              <w:rPr>
                <w:rFonts w:hint="eastAsia" w:asciiTheme="minorEastAsia" w:hAnsiTheme="minorEastAsia" w:eastAsiaTheme="minorEastAsia" w:cstheme="minorEastAsia"/>
                <w:color w:val="000000"/>
                <w:sz w:val="20"/>
                <w:szCs w:val="20"/>
              </w:rPr>
            </w:pPr>
          </w:p>
        </w:tc>
      </w:tr>
      <w:tr w14:paraId="2AC0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CC1523E">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8E1A73B">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A586E80">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7CDBFCE1">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12）门诊电子病历系统必须实现提取病历之中的主诉、现病史、既往史、过敏史、体格检查、辅助检查、诊疗计划等病历段落等信息并进行展示。</w:t>
            </w:r>
          </w:p>
        </w:tc>
        <w:tc>
          <w:tcPr>
            <w:tcW w:w="479" w:type="pct"/>
            <w:vMerge w:val="continue"/>
            <w:shd w:val="clear" w:color="auto" w:fill="auto"/>
            <w:vAlign w:val="center"/>
          </w:tcPr>
          <w:p w14:paraId="7D4C66F9">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E3DF9A8">
            <w:pPr>
              <w:jc w:val="center"/>
              <w:rPr>
                <w:rFonts w:hint="eastAsia" w:asciiTheme="minorEastAsia" w:hAnsiTheme="minorEastAsia" w:eastAsiaTheme="minorEastAsia" w:cstheme="minorEastAsia"/>
                <w:color w:val="000000"/>
                <w:sz w:val="20"/>
                <w:szCs w:val="20"/>
              </w:rPr>
            </w:pPr>
          </w:p>
        </w:tc>
      </w:tr>
      <w:tr w14:paraId="62B2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54B5F0C8">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09826D0A">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72AAC815">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269C1F6B">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13）支持病历的整体打印、选页打印和续打等功能操作。</w:t>
            </w:r>
          </w:p>
        </w:tc>
        <w:tc>
          <w:tcPr>
            <w:tcW w:w="479" w:type="pct"/>
            <w:vMerge w:val="continue"/>
            <w:shd w:val="clear" w:color="auto" w:fill="auto"/>
            <w:vAlign w:val="center"/>
          </w:tcPr>
          <w:p w14:paraId="59ED7F4A">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726F39D1">
            <w:pPr>
              <w:jc w:val="center"/>
              <w:rPr>
                <w:rFonts w:hint="eastAsia" w:asciiTheme="minorEastAsia" w:hAnsiTheme="minorEastAsia" w:eastAsiaTheme="minorEastAsia" w:cstheme="minorEastAsia"/>
                <w:color w:val="000000"/>
                <w:sz w:val="20"/>
                <w:szCs w:val="20"/>
              </w:rPr>
            </w:pPr>
          </w:p>
        </w:tc>
      </w:tr>
      <w:tr w14:paraId="2B6D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15E8945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5417E560">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579B14CA">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67F6CCA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14）实现与HIS、LIS、RIS/PACS之间的数据整合，检查完成后可以实时查看检查报告内容，同时支持病历书写时插入检验检查结果功能。</w:t>
            </w:r>
          </w:p>
        </w:tc>
        <w:tc>
          <w:tcPr>
            <w:tcW w:w="479" w:type="pct"/>
            <w:vMerge w:val="continue"/>
            <w:shd w:val="clear" w:color="auto" w:fill="auto"/>
            <w:vAlign w:val="center"/>
          </w:tcPr>
          <w:p w14:paraId="62765908">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238ECA3D">
            <w:pPr>
              <w:jc w:val="center"/>
              <w:rPr>
                <w:rFonts w:hint="eastAsia" w:asciiTheme="minorEastAsia" w:hAnsiTheme="minorEastAsia" w:eastAsiaTheme="minorEastAsia" w:cstheme="minorEastAsia"/>
                <w:color w:val="000000"/>
                <w:sz w:val="20"/>
                <w:szCs w:val="20"/>
              </w:rPr>
            </w:pPr>
          </w:p>
        </w:tc>
      </w:tr>
      <w:tr w14:paraId="5276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397020A4">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0E28336">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479EB1A7">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1905C735">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15）可以实现与院感、传染病等相关信息的提醒功能。</w:t>
            </w:r>
          </w:p>
        </w:tc>
        <w:tc>
          <w:tcPr>
            <w:tcW w:w="479" w:type="pct"/>
            <w:vMerge w:val="continue"/>
            <w:shd w:val="clear" w:color="auto" w:fill="auto"/>
            <w:vAlign w:val="center"/>
          </w:tcPr>
          <w:p w14:paraId="62B02167">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43576D92">
            <w:pPr>
              <w:jc w:val="center"/>
              <w:rPr>
                <w:rFonts w:hint="eastAsia" w:asciiTheme="minorEastAsia" w:hAnsiTheme="minorEastAsia" w:eastAsiaTheme="minorEastAsia" w:cstheme="minorEastAsia"/>
                <w:color w:val="000000"/>
                <w:sz w:val="20"/>
                <w:szCs w:val="20"/>
              </w:rPr>
            </w:pPr>
          </w:p>
        </w:tc>
      </w:tr>
      <w:tr w14:paraId="0BC1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vMerge w:val="continue"/>
            <w:shd w:val="clear" w:color="auto" w:fill="auto"/>
            <w:vAlign w:val="center"/>
          </w:tcPr>
          <w:p w14:paraId="44CAC329">
            <w:pPr>
              <w:jc w:val="center"/>
              <w:rPr>
                <w:rFonts w:hint="eastAsia" w:asciiTheme="minorEastAsia" w:hAnsiTheme="minorEastAsia" w:eastAsiaTheme="minorEastAsia" w:cstheme="minorEastAsia"/>
                <w:color w:val="000000"/>
                <w:sz w:val="20"/>
                <w:szCs w:val="20"/>
              </w:rPr>
            </w:pPr>
          </w:p>
        </w:tc>
        <w:tc>
          <w:tcPr>
            <w:tcW w:w="624" w:type="pct"/>
            <w:vMerge w:val="continue"/>
            <w:shd w:val="clear" w:color="auto" w:fill="auto"/>
            <w:vAlign w:val="center"/>
          </w:tcPr>
          <w:p w14:paraId="3F5BEC43">
            <w:pPr>
              <w:jc w:val="center"/>
              <w:rPr>
                <w:rFonts w:hint="eastAsia" w:asciiTheme="minorEastAsia" w:hAnsiTheme="minorEastAsia" w:eastAsiaTheme="minorEastAsia" w:cstheme="minorEastAsia"/>
                <w:color w:val="000000"/>
                <w:sz w:val="20"/>
                <w:szCs w:val="20"/>
              </w:rPr>
            </w:pPr>
          </w:p>
        </w:tc>
        <w:tc>
          <w:tcPr>
            <w:tcW w:w="600" w:type="pct"/>
            <w:vMerge w:val="continue"/>
            <w:shd w:val="clear" w:color="auto" w:fill="auto"/>
            <w:vAlign w:val="center"/>
          </w:tcPr>
          <w:p w14:paraId="3F350EFB">
            <w:pPr>
              <w:jc w:val="center"/>
              <w:rPr>
                <w:rFonts w:hint="eastAsia" w:asciiTheme="minorEastAsia" w:hAnsiTheme="minorEastAsia" w:eastAsiaTheme="minorEastAsia" w:cstheme="minorEastAsia"/>
                <w:color w:val="000000"/>
                <w:sz w:val="20"/>
                <w:szCs w:val="20"/>
              </w:rPr>
            </w:pPr>
          </w:p>
        </w:tc>
        <w:tc>
          <w:tcPr>
            <w:tcW w:w="2477" w:type="pct"/>
            <w:shd w:val="clear" w:color="auto" w:fill="auto"/>
            <w:vAlign w:val="center"/>
          </w:tcPr>
          <w:p w14:paraId="3DFEC759">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16）提供病历质量的自动提醒、医生自查功能，便于医生及时发现病历缺陷并予以修改。</w:t>
            </w:r>
          </w:p>
        </w:tc>
        <w:tc>
          <w:tcPr>
            <w:tcW w:w="479" w:type="pct"/>
            <w:vMerge w:val="continue"/>
            <w:shd w:val="clear" w:color="auto" w:fill="auto"/>
            <w:vAlign w:val="center"/>
          </w:tcPr>
          <w:p w14:paraId="2ABACE66">
            <w:pPr>
              <w:jc w:val="center"/>
              <w:rPr>
                <w:rFonts w:hint="eastAsia" w:asciiTheme="minorEastAsia" w:hAnsiTheme="minorEastAsia" w:eastAsiaTheme="minorEastAsia" w:cstheme="minorEastAsia"/>
                <w:color w:val="000000"/>
                <w:sz w:val="20"/>
                <w:szCs w:val="20"/>
              </w:rPr>
            </w:pPr>
          </w:p>
        </w:tc>
        <w:tc>
          <w:tcPr>
            <w:tcW w:w="400" w:type="pct"/>
            <w:vMerge w:val="continue"/>
            <w:shd w:val="clear" w:color="auto" w:fill="auto"/>
            <w:vAlign w:val="center"/>
          </w:tcPr>
          <w:p w14:paraId="507671A6">
            <w:pPr>
              <w:jc w:val="center"/>
              <w:rPr>
                <w:rFonts w:hint="eastAsia" w:asciiTheme="minorEastAsia" w:hAnsiTheme="minorEastAsia" w:eastAsiaTheme="minorEastAsia" w:cstheme="minorEastAsia"/>
                <w:color w:val="000000"/>
                <w:sz w:val="20"/>
                <w:szCs w:val="20"/>
              </w:rPr>
            </w:pPr>
          </w:p>
        </w:tc>
      </w:tr>
      <w:tr w14:paraId="6C34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shd w:val="clear" w:color="auto" w:fill="auto"/>
            <w:vAlign w:val="center"/>
          </w:tcPr>
          <w:p w14:paraId="53511330">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13</w:t>
            </w:r>
          </w:p>
        </w:tc>
        <w:tc>
          <w:tcPr>
            <w:tcW w:w="624" w:type="pct"/>
            <w:vMerge w:val="continue"/>
            <w:shd w:val="clear" w:color="auto" w:fill="auto"/>
            <w:vAlign w:val="center"/>
          </w:tcPr>
          <w:p w14:paraId="74B24C04">
            <w:pPr>
              <w:jc w:val="center"/>
              <w:rPr>
                <w:rFonts w:hint="eastAsia" w:asciiTheme="minorEastAsia" w:hAnsiTheme="minorEastAsia" w:eastAsiaTheme="minorEastAsia" w:cstheme="minorEastAsia"/>
                <w:color w:val="000000"/>
                <w:sz w:val="20"/>
                <w:szCs w:val="20"/>
              </w:rPr>
            </w:pPr>
          </w:p>
        </w:tc>
        <w:tc>
          <w:tcPr>
            <w:tcW w:w="600" w:type="pct"/>
            <w:shd w:val="clear" w:color="auto" w:fill="auto"/>
            <w:vAlign w:val="center"/>
          </w:tcPr>
          <w:p w14:paraId="552635B3">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b/>
                <w:bCs/>
                <w:color w:val="000000"/>
                <w:kern w:val="0"/>
                <w:sz w:val="20"/>
                <w:szCs w:val="20"/>
                <w:lang w:bidi="ar"/>
              </w:rPr>
              <w:t>护士电子病历</w:t>
            </w:r>
          </w:p>
        </w:tc>
        <w:tc>
          <w:tcPr>
            <w:tcW w:w="2477" w:type="pct"/>
            <w:shd w:val="clear" w:color="auto" w:fill="auto"/>
            <w:vAlign w:val="center"/>
          </w:tcPr>
          <w:p w14:paraId="388E61DD">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1．系统必须按照卫生部医疗文书书写规范的要求，提供完整及规范的护理电子病历系统的应用。</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2．主要护理病历：包括入院护理评估单、体温单（三测单）、一般护理记录单、特殊护理记录单、科室专病使用的护理记录单等。</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3．查阅：能够在电子病历护士工作站界面中查阅病人的住院医生书写的病史资料。</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4．护理信息：填写入院护理评估单、护理记录单、护理计划单、危重病人的监护和特护记录单等护理病历内容。提供模板录入的功能。</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5．支持上述医疗文书的打印和连续打印。</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6．提供个性化模板制作、保存、调用功能。</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7．体温单：单人描绘或者批量填写住院病人的体温单，并能够打印存档。</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8．支持产程图的刻画与录入。</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9．提供多种方式的病历书写模式，提高护士的编写效率和质量。</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10．提供体温单输入功能，并能够自动将输入的体温数据转换成符合医院要求的曲线输出，支持上下注释、降温后体温、疼痛和干预疼痛等特殊内容的显示输出。</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11．提供各种入院评估单、一般护理记录单等单据的输入功能。</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12．提供各种动态观察表和量表的功能支持。</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13．提供护理病历辅助录入功能，方便护士书写病历。</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14．支持护士站的无线应用，系统预留未来扩展接口。</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15．提供护理工作常规知识库。</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16．采用医护一体化界面设计，实现病人医疗、护理、检验、检查数据的直观查阅，并可方便地将这些病历内容加入到护理病历编辑页面。</w:t>
            </w:r>
          </w:p>
        </w:tc>
        <w:tc>
          <w:tcPr>
            <w:tcW w:w="479" w:type="pct"/>
            <w:shd w:val="clear" w:color="auto" w:fill="auto"/>
            <w:vAlign w:val="center"/>
          </w:tcPr>
          <w:p w14:paraId="235F0ED5">
            <w:pPr>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rPr>
              <w:t>1</w:t>
            </w:r>
          </w:p>
        </w:tc>
        <w:tc>
          <w:tcPr>
            <w:tcW w:w="400" w:type="pct"/>
            <w:shd w:val="clear" w:color="auto" w:fill="auto"/>
            <w:vAlign w:val="center"/>
          </w:tcPr>
          <w:p w14:paraId="24BB3AAF">
            <w:pPr>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2C38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shd w:val="clear" w:color="auto" w:fill="auto"/>
            <w:vAlign w:val="center"/>
          </w:tcPr>
          <w:p w14:paraId="51DE5239">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14</w:t>
            </w:r>
          </w:p>
        </w:tc>
        <w:tc>
          <w:tcPr>
            <w:tcW w:w="624" w:type="pct"/>
            <w:vMerge w:val="continue"/>
            <w:shd w:val="clear" w:color="auto" w:fill="auto"/>
            <w:vAlign w:val="center"/>
          </w:tcPr>
          <w:p w14:paraId="333B5D2B">
            <w:pPr>
              <w:jc w:val="center"/>
              <w:rPr>
                <w:rFonts w:hint="eastAsia" w:asciiTheme="minorEastAsia" w:hAnsiTheme="minorEastAsia" w:eastAsiaTheme="minorEastAsia" w:cstheme="minorEastAsia"/>
                <w:color w:val="000000"/>
                <w:sz w:val="20"/>
                <w:szCs w:val="20"/>
              </w:rPr>
            </w:pPr>
          </w:p>
        </w:tc>
        <w:tc>
          <w:tcPr>
            <w:tcW w:w="600" w:type="pct"/>
            <w:shd w:val="clear" w:color="auto" w:fill="auto"/>
            <w:vAlign w:val="center"/>
          </w:tcPr>
          <w:p w14:paraId="4629D105">
            <w:pPr>
              <w:widowControl/>
              <w:jc w:val="center"/>
              <w:textAlignment w:val="center"/>
              <w:rPr>
                <w:rFonts w:hint="eastAsia" w:asciiTheme="minorEastAsia" w:hAnsiTheme="minorEastAsia" w:eastAsiaTheme="minorEastAsia" w:cstheme="minorEastAsia"/>
                <w:color w:val="FF0000"/>
                <w:sz w:val="20"/>
                <w:szCs w:val="20"/>
              </w:rPr>
            </w:pPr>
            <w:r>
              <w:rPr>
                <w:rFonts w:hint="eastAsia" w:asciiTheme="minorEastAsia" w:hAnsiTheme="minorEastAsia" w:eastAsiaTheme="minorEastAsia" w:cstheme="minorEastAsia"/>
                <w:b/>
                <w:bCs/>
                <w:color w:val="auto"/>
                <w:kern w:val="0"/>
                <w:sz w:val="20"/>
                <w:szCs w:val="20"/>
                <w:lang w:bidi="ar"/>
              </w:rPr>
              <w:t>病历智能输入法</w:t>
            </w:r>
          </w:p>
        </w:tc>
        <w:tc>
          <w:tcPr>
            <w:tcW w:w="2477" w:type="pct"/>
            <w:shd w:val="clear" w:color="auto" w:fill="auto"/>
            <w:vAlign w:val="center"/>
          </w:tcPr>
          <w:p w14:paraId="7792E33B">
            <w:pPr>
              <w:widowControl/>
              <w:spacing w:after="200"/>
              <w:jc w:val="left"/>
              <w:textAlignment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*1．能根据医生经常书写的文字内容进行机器学习，书写时根据当前书写位置和上下文信息和当前操作人员的按键进行不同的推荐，推荐方式弹出式推荐和内置输入法推荐。</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*2．电子病历系统内置智能输入法，提供基于病历内容上下文的超级联想功能，即比如在主诉：后面按键输入ks，则会提示“咳嗽3天，咳嗽2天，咳嗽一周”等不同的候选。</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*3．系统需能提供基于病历内容上下文的自动完成功能，包括短句内自动完成和短句间的自动输入提示。</w:t>
            </w:r>
            <w:r>
              <w:rPr>
                <w:rFonts w:hint="eastAsia" w:asciiTheme="minorEastAsia" w:hAnsiTheme="minorEastAsia" w:eastAsiaTheme="minorEastAsia" w:cstheme="minorEastAsia"/>
                <w:color w:val="000000"/>
                <w:kern w:val="0"/>
                <w:sz w:val="20"/>
                <w:szCs w:val="20"/>
                <w:lang w:bidi="ar"/>
              </w:rPr>
              <w:br w:type="textWrapping"/>
            </w:r>
            <w:r>
              <w:rPr>
                <w:rFonts w:hint="eastAsia" w:asciiTheme="minorEastAsia" w:hAnsiTheme="minorEastAsia" w:eastAsiaTheme="minorEastAsia" w:cstheme="minorEastAsia"/>
                <w:color w:val="000000"/>
                <w:kern w:val="0"/>
                <w:sz w:val="20"/>
                <w:szCs w:val="20"/>
                <w:lang w:bidi="ar"/>
              </w:rPr>
              <w:t>*4．系统需能自由书写病历的内容书写的基础上，针对自由书写内容自动结构化并选择替换录入功能。</w:t>
            </w:r>
          </w:p>
          <w:p w14:paraId="5D300681">
            <w:pPr>
              <w:pStyle w:val="2"/>
              <w:rPr>
                <w:rFonts w:hint="eastAsia"/>
              </w:rPr>
            </w:pPr>
            <w:r>
              <w:rPr>
                <w:rFonts w:hint="eastAsia" w:asciiTheme="minorEastAsia" w:hAnsiTheme="minorEastAsia" w:eastAsiaTheme="minorEastAsia" w:cstheme="minorEastAsia"/>
                <w:color w:val="auto"/>
                <w:sz w:val="20"/>
                <w:szCs w:val="20"/>
                <w:lang w:eastAsia="zh-CN"/>
              </w:rPr>
              <w:t>（</w:t>
            </w:r>
            <w:r>
              <w:rPr>
                <w:rFonts w:hint="eastAsia" w:asciiTheme="minorEastAsia" w:hAnsiTheme="minorEastAsia" w:eastAsiaTheme="minorEastAsia" w:cstheme="minorEastAsia"/>
                <w:color w:val="auto"/>
                <w:sz w:val="20"/>
                <w:szCs w:val="20"/>
                <w:lang w:val="en-US" w:eastAsia="zh-CN"/>
              </w:rPr>
              <w:t>以上*</w:t>
            </w:r>
            <w:r>
              <w:rPr>
                <w:rFonts w:hint="eastAsia" w:asciiTheme="minorEastAsia" w:hAnsiTheme="minorEastAsia" w:eastAsiaTheme="minorEastAsia" w:cstheme="minorEastAsia"/>
                <w:b w:val="0"/>
                <w:bCs w:val="0"/>
                <w:color w:val="auto"/>
                <w:spacing w:val="-3"/>
                <w:sz w:val="20"/>
                <w:szCs w:val="20"/>
              </w:rPr>
              <w:t>需提供功能截图证明，加盖生产</w:t>
            </w:r>
            <w:r>
              <w:rPr>
                <w:rFonts w:hint="eastAsia" w:asciiTheme="minorEastAsia" w:hAnsiTheme="minorEastAsia" w:eastAsiaTheme="minorEastAsia" w:cstheme="minorEastAsia"/>
                <w:b w:val="0"/>
                <w:bCs w:val="0"/>
                <w:color w:val="auto"/>
                <w:spacing w:val="-7"/>
                <w:sz w:val="20"/>
                <w:szCs w:val="20"/>
              </w:rPr>
              <w:t>厂商公章</w:t>
            </w:r>
            <w:r>
              <w:rPr>
                <w:rFonts w:hint="eastAsia" w:asciiTheme="minorEastAsia" w:hAnsiTheme="minorEastAsia" w:eastAsiaTheme="minorEastAsia" w:cstheme="minorEastAsia"/>
                <w:color w:val="auto"/>
                <w:sz w:val="20"/>
                <w:szCs w:val="20"/>
                <w:lang w:eastAsia="zh-CN"/>
              </w:rPr>
              <w:t>）</w:t>
            </w:r>
          </w:p>
        </w:tc>
        <w:tc>
          <w:tcPr>
            <w:tcW w:w="479" w:type="pct"/>
            <w:shd w:val="clear" w:color="auto" w:fill="auto"/>
            <w:vAlign w:val="center"/>
          </w:tcPr>
          <w:p w14:paraId="60F2F815">
            <w:pPr>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sz w:val="20"/>
                <w:szCs w:val="20"/>
              </w:rPr>
              <w:t>1</w:t>
            </w:r>
          </w:p>
        </w:tc>
        <w:tc>
          <w:tcPr>
            <w:tcW w:w="400" w:type="pct"/>
            <w:shd w:val="clear" w:color="auto" w:fill="auto"/>
            <w:vAlign w:val="center"/>
          </w:tcPr>
          <w:p w14:paraId="5E498EC3">
            <w:pPr>
              <w:jc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658E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shd w:val="clear" w:color="auto" w:fill="auto"/>
            <w:vAlign w:val="center"/>
          </w:tcPr>
          <w:p w14:paraId="3426BFC3">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15</w:t>
            </w:r>
          </w:p>
        </w:tc>
        <w:tc>
          <w:tcPr>
            <w:tcW w:w="624" w:type="pct"/>
            <w:vMerge w:val="restart"/>
            <w:shd w:val="clear" w:color="auto" w:fill="auto"/>
            <w:vAlign w:val="center"/>
          </w:tcPr>
          <w:p w14:paraId="534364A7">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医技业务</w:t>
            </w:r>
          </w:p>
        </w:tc>
        <w:tc>
          <w:tcPr>
            <w:tcW w:w="600" w:type="pct"/>
            <w:shd w:val="clear" w:color="auto" w:fill="auto"/>
            <w:vAlign w:val="center"/>
          </w:tcPr>
          <w:p w14:paraId="4FE78196">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检验系统</w:t>
            </w:r>
          </w:p>
        </w:tc>
        <w:tc>
          <w:tcPr>
            <w:tcW w:w="2477" w:type="pct"/>
            <w:shd w:val="clear" w:color="auto" w:fill="auto"/>
            <w:vAlign w:val="center"/>
          </w:tcPr>
          <w:p w14:paraId="7B222398">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临床检验信息管理：包含检验申请、标本检验、审核发布、报告打印、统计查询、质控管理、权限管理、设备管理、条码管理等功能。</w:t>
            </w:r>
          </w:p>
        </w:tc>
        <w:tc>
          <w:tcPr>
            <w:tcW w:w="479" w:type="pct"/>
            <w:shd w:val="clear" w:color="auto" w:fill="auto"/>
            <w:vAlign w:val="center"/>
          </w:tcPr>
          <w:p w14:paraId="4122BF57">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shd w:val="clear" w:color="auto" w:fill="auto"/>
            <w:vAlign w:val="center"/>
          </w:tcPr>
          <w:p w14:paraId="7618DE32">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032D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shd w:val="clear" w:color="auto" w:fill="auto"/>
            <w:vAlign w:val="center"/>
          </w:tcPr>
          <w:p w14:paraId="66CC85CB">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16</w:t>
            </w:r>
          </w:p>
        </w:tc>
        <w:tc>
          <w:tcPr>
            <w:tcW w:w="624" w:type="pct"/>
            <w:vMerge w:val="continue"/>
            <w:shd w:val="clear" w:color="auto" w:fill="auto"/>
            <w:vAlign w:val="center"/>
          </w:tcPr>
          <w:p w14:paraId="035BFC2D">
            <w:pPr>
              <w:jc w:val="center"/>
              <w:rPr>
                <w:rFonts w:hint="eastAsia" w:asciiTheme="minorEastAsia" w:hAnsiTheme="minorEastAsia" w:eastAsiaTheme="minorEastAsia" w:cstheme="minorEastAsia"/>
                <w:b/>
                <w:bCs/>
                <w:color w:val="000000"/>
                <w:sz w:val="20"/>
                <w:szCs w:val="20"/>
              </w:rPr>
            </w:pPr>
          </w:p>
        </w:tc>
        <w:tc>
          <w:tcPr>
            <w:tcW w:w="600" w:type="pct"/>
            <w:shd w:val="clear" w:color="auto" w:fill="auto"/>
            <w:vAlign w:val="center"/>
          </w:tcPr>
          <w:p w14:paraId="7EA9F6B1">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PACS系统</w:t>
            </w:r>
          </w:p>
        </w:tc>
        <w:tc>
          <w:tcPr>
            <w:tcW w:w="2477" w:type="pct"/>
            <w:shd w:val="clear" w:color="auto" w:fill="auto"/>
            <w:vAlign w:val="center"/>
          </w:tcPr>
          <w:p w14:paraId="46A27CDA">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创建符合医院特点的影像中心，实现影像科设备的联网，达到影像信息数字化的统一存储管理。提供检查申请、检查结果查询、系统登录模块、基础维护模块、放射、超声登记模块、模版管理、统计模块、图像采集模块、图像调阅模块、胶片打印等功能，提供长期历史影像数据的访问服务。</w:t>
            </w:r>
          </w:p>
        </w:tc>
        <w:tc>
          <w:tcPr>
            <w:tcW w:w="479" w:type="pct"/>
            <w:shd w:val="clear" w:color="auto" w:fill="auto"/>
            <w:vAlign w:val="center"/>
          </w:tcPr>
          <w:p w14:paraId="7E5E4C45">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shd w:val="clear" w:color="auto" w:fill="auto"/>
            <w:vAlign w:val="center"/>
          </w:tcPr>
          <w:p w14:paraId="5B7085BD">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1659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shd w:val="clear" w:color="auto" w:fill="auto"/>
            <w:vAlign w:val="center"/>
          </w:tcPr>
          <w:p w14:paraId="625BBA68">
            <w:pPr>
              <w:widowControl/>
              <w:jc w:val="center"/>
              <w:textAlignment w:val="center"/>
              <w:rPr>
                <w:rFonts w:hint="eastAsia" w:asciiTheme="minorEastAsia" w:hAnsiTheme="minorEastAsia" w:eastAsiaTheme="minorEastAsia" w:cstheme="minorEastAsia"/>
                <w:color w:val="000000"/>
                <w:sz w:val="20"/>
                <w:szCs w:val="20"/>
              </w:rPr>
            </w:pPr>
            <w:bookmarkStart w:id="17" w:name="_Hlk191392014"/>
            <w:r>
              <w:rPr>
                <w:rFonts w:hint="eastAsia" w:asciiTheme="minorEastAsia" w:hAnsiTheme="minorEastAsia" w:eastAsiaTheme="minorEastAsia" w:cstheme="minorEastAsia"/>
                <w:color w:val="000000"/>
                <w:kern w:val="0"/>
                <w:sz w:val="20"/>
                <w:szCs w:val="20"/>
                <w:lang w:bidi="ar"/>
              </w:rPr>
              <w:t>17</w:t>
            </w:r>
          </w:p>
        </w:tc>
        <w:tc>
          <w:tcPr>
            <w:tcW w:w="624" w:type="pct"/>
            <w:shd w:val="clear" w:color="auto" w:fill="auto"/>
            <w:vAlign w:val="center"/>
          </w:tcPr>
          <w:p w14:paraId="0D391BF7">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智慧服务</w:t>
            </w:r>
          </w:p>
        </w:tc>
        <w:tc>
          <w:tcPr>
            <w:tcW w:w="600" w:type="pct"/>
            <w:shd w:val="clear" w:color="auto" w:fill="auto"/>
            <w:vAlign w:val="center"/>
          </w:tcPr>
          <w:p w14:paraId="390DD4AF">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掌上智慧医院</w:t>
            </w:r>
          </w:p>
        </w:tc>
        <w:tc>
          <w:tcPr>
            <w:tcW w:w="2477" w:type="pct"/>
            <w:shd w:val="clear" w:color="auto" w:fill="auto"/>
            <w:vAlign w:val="center"/>
          </w:tcPr>
          <w:p w14:paraId="68D38CD4">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基于微信小程序的掌上医院系统，存在无需下载、安装、注册APP的特点，轻量化的应用终端能增加患者的接受度，一键注册的特点免去填写资料的复杂过程，只需用微信扫一扫即可使用。面向广大患者群体提供的互联网+医疗便民、惠民功能，可供患者在移动互联网（手机）上通过微信小程序(小程序)平台进行预约挂号，诊间缴费，查询等，实现就诊和相关信息查询功能的软件系统。</w:t>
            </w:r>
          </w:p>
        </w:tc>
        <w:tc>
          <w:tcPr>
            <w:tcW w:w="479" w:type="pct"/>
            <w:shd w:val="clear" w:color="auto" w:fill="auto"/>
            <w:vAlign w:val="center"/>
          </w:tcPr>
          <w:p w14:paraId="48A2A256">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shd w:val="clear" w:color="auto" w:fill="auto"/>
            <w:vAlign w:val="center"/>
          </w:tcPr>
          <w:p w14:paraId="62764588">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tr w14:paraId="4323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7" w:type="pct"/>
            <w:shd w:val="clear" w:color="auto" w:fill="auto"/>
            <w:vAlign w:val="center"/>
          </w:tcPr>
          <w:p w14:paraId="680DC637">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18</w:t>
            </w:r>
          </w:p>
        </w:tc>
        <w:tc>
          <w:tcPr>
            <w:tcW w:w="624" w:type="pct"/>
            <w:shd w:val="clear" w:color="auto" w:fill="auto"/>
            <w:vAlign w:val="center"/>
          </w:tcPr>
          <w:p w14:paraId="0B639F58">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智慧管理</w:t>
            </w:r>
          </w:p>
        </w:tc>
        <w:tc>
          <w:tcPr>
            <w:tcW w:w="600" w:type="pct"/>
            <w:shd w:val="clear" w:color="auto" w:fill="auto"/>
            <w:vAlign w:val="center"/>
          </w:tcPr>
          <w:p w14:paraId="57E47358">
            <w:pPr>
              <w:widowControl/>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BI领导驾驶舱</w:t>
            </w:r>
          </w:p>
        </w:tc>
        <w:tc>
          <w:tcPr>
            <w:tcW w:w="2477" w:type="pct"/>
            <w:shd w:val="clear" w:color="auto" w:fill="auto"/>
            <w:vAlign w:val="center"/>
          </w:tcPr>
          <w:p w14:paraId="2358A906">
            <w:pPr>
              <w:widowControl/>
              <w:jc w:val="left"/>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主要集成门诊、医务、护理、质控等管理模块，通过自设的指标体系，采用各种常见的图表，实时监测医院的运营情况，并可以对异常关键指标进行预警和挖掘分析。提供决策支持等功能，帮助医院管理者更好地了解医院运营情况、优化资源配置、提升管理效率和决策科学性。</w:t>
            </w:r>
          </w:p>
        </w:tc>
        <w:tc>
          <w:tcPr>
            <w:tcW w:w="479" w:type="pct"/>
            <w:shd w:val="clear" w:color="auto" w:fill="auto"/>
            <w:vAlign w:val="center"/>
          </w:tcPr>
          <w:p w14:paraId="5816B61F">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w:t>
            </w:r>
          </w:p>
        </w:tc>
        <w:tc>
          <w:tcPr>
            <w:tcW w:w="400" w:type="pct"/>
            <w:shd w:val="clear" w:color="auto" w:fill="auto"/>
            <w:vAlign w:val="center"/>
          </w:tcPr>
          <w:p w14:paraId="4275D790">
            <w:pPr>
              <w:widowControl/>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val="en-US" w:eastAsia="zh-CN" w:bidi="ar"/>
              </w:rPr>
              <w:t>项</w:t>
            </w:r>
          </w:p>
        </w:tc>
      </w:tr>
      <w:bookmarkEnd w:id="17"/>
    </w:tbl>
    <w:p w14:paraId="4E0B4A22">
      <w:pPr>
        <w:spacing w:line="360" w:lineRule="auto"/>
        <w:ind w:firstLine="480" w:firstLineChars="200"/>
        <w:rPr>
          <w:rFonts w:hint="eastAsia" w:ascii="宋体" w:hAnsi="宋体" w:eastAsia="宋体" w:cs="宋体"/>
          <w:color w:val="333333"/>
          <w:kern w:val="0"/>
          <w:sz w:val="24"/>
          <w:szCs w:val="24"/>
          <w:shd w:val="clear" w:color="auto" w:fill="FFFFFF"/>
          <w:lang w:val="en-US" w:eastAsia="zh-CN" w:bidi="ar"/>
        </w:rPr>
      </w:pPr>
    </w:p>
    <w:p w14:paraId="3813AA0E">
      <w:pPr>
        <w:pStyle w:val="11"/>
        <w:rPr>
          <w:rFonts w:hint="eastAsia"/>
          <w:lang w:val="en-US" w:eastAsia="zh-CN"/>
        </w:rPr>
      </w:pPr>
    </w:p>
    <w:p w14:paraId="164FFA74">
      <w:pPr>
        <w:ind w:left="0" w:leftChars="0" w:firstLine="0" w:firstLineChars="0"/>
        <w:rPr>
          <w:rFonts w:hint="eastAsia"/>
          <w:lang w:val="en-US" w:eastAsia="zh-CN"/>
        </w:rPr>
      </w:pPr>
      <w:r>
        <w:rPr>
          <w:rFonts w:hint="eastAsia"/>
          <w:lang w:val="en-US" w:eastAsia="zh-CN"/>
        </w:rPr>
        <w:br w:type="page"/>
      </w:r>
    </w:p>
    <w:p w14:paraId="41BE4C4B">
      <w:pPr>
        <w:ind w:left="0" w:leftChars="0" w:firstLine="0" w:firstLineChars="0"/>
        <w:jc w:val="both"/>
        <w:rPr>
          <w:rFonts w:hint="default"/>
          <w:b/>
          <w:bCs/>
          <w:sz w:val="32"/>
          <w:szCs w:val="32"/>
          <w:lang w:val="en-US" w:eastAsia="zh-CN"/>
        </w:rPr>
      </w:pPr>
      <w:r>
        <w:rPr>
          <w:rFonts w:hint="eastAsia"/>
          <w:b/>
          <w:bCs/>
          <w:sz w:val="32"/>
          <w:szCs w:val="32"/>
          <w:lang w:val="en-US" w:eastAsia="zh-CN"/>
        </w:rPr>
        <w:t>二、提供软件平台所需的配套服务</w:t>
      </w:r>
    </w:p>
    <w:p w14:paraId="4D7BF397">
      <w:pPr>
        <w:ind w:left="0" w:leftChars="0" w:firstLine="0" w:firstLineChars="0"/>
        <w:rPr>
          <w:rFonts w:hint="default"/>
          <w:lang w:val="en-US" w:eastAsia="zh-CN"/>
        </w:rPr>
      </w:pPr>
    </w:p>
    <w:tbl>
      <w:tblPr>
        <w:tblStyle w:val="21"/>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1"/>
        <w:gridCol w:w="661"/>
        <w:gridCol w:w="6637"/>
        <w:gridCol w:w="661"/>
        <w:gridCol w:w="662"/>
      </w:tblGrid>
      <w:tr w14:paraId="76290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5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FA27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356" w:type="pct"/>
            <w:tcBorders>
              <w:top w:val="single" w:color="000000" w:sz="8" w:space="0"/>
              <w:left w:val="nil"/>
              <w:bottom w:val="single" w:color="000000" w:sz="8" w:space="0"/>
              <w:right w:val="nil"/>
            </w:tcBorders>
            <w:shd w:val="clear" w:color="auto" w:fill="auto"/>
            <w:noWrap/>
            <w:vAlign w:val="center"/>
          </w:tcPr>
          <w:p w14:paraId="161391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3573" w:type="pct"/>
            <w:tcBorders>
              <w:top w:val="single" w:color="000000" w:sz="8" w:space="0"/>
              <w:left w:val="single" w:color="000000" w:sz="8" w:space="0"/>
              <w:bottom w:val="nil"/>
              <w:right w:val="single" w:color="000000" w:sz="8" w:space="0"/>
            </w:tcBorders>
            <w:shd w:val="clear" w:color="auto" w:fill="auto"/>
            <w:noWrap/>
            <w:vAlign w:val="center"/>
          </w:tcPr>
          <w:p w14:paraId="459AA4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参数要求</w:t>
            </w:r>
          </w:p>
        </w:tc>
        <w:tc>
          <w:tcPr>
            <w:tcW w:w="356" w:type="pct"/>
            <w:tcBorders>
              <w:top w:val="single" w:color="000000" w:sz="8" w:space="0"/>
              <w:left w:val="nil"/>
              <w:bottom w:val="nil"/>
              <w:right w:val="single" w:color="000000" w:sz="8" w:space="0"/>
            </w:tcBorders>
            <w:shd w:val="clear" w:color="auto" w:fill="auto"/>
            <w:noWrap/>
            <w:vAlign w:val="center"/>
          </w:tcPr>
          <w:p w14:paraId="620EB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356" w:type="pct"/>
            <w:tcBorders>
              <w:top w:val="single" w:color="000000" w:sz="8" w:space="0"/>
              <w:left w:val="nil"/>
              <w:bottom w:val="nil"/>
              <w:right w:val="single" w:color="000000" w:sz="8" w:space="0"/>
            </w:tcBorders>
            <w:shd w:val="clear" w:color="auto" w:fill="auto"/>
            <w:noWrap/>
            <w:vAlign w:val="center"/>
          </w:tcPr>
          <w:p w14:paraId="18AF5A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r>
      <w:tr w14:paraId="4358B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006A1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vMerge w:val="restart"/>
            <w:tcBorders>
              <w:top w:val="nil"/>
              <w:left w:val="nil"/>
              <w:bottom w:val="single" w:color="000000" w:sz="8" w:space="0"/>
              <w:right w:val="nil"/>
            </w:tcBorders>
            <w:shd w:val="clear" w:color="auto" w:fill="auto"/>
            <w:vAlign w:val="center"/>
          </w:tcPr>
          <w:p w14:paraId="2C508EFD">
            <w:pPr>
              <w:keepNext w:val="0"/>
              <w:keepLines w:val="0"/>
              <w:widowControl/>
              <w:suppressLineNumbers w:val="0"/>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数据处理服务</w:t>
            </w:r>
          </w:p>
        </w:tc>
        <w:tc>
          <w:tcPr>
            <w:tcW w:w="3573" w:type="pct"/>
            <w:tcBorders>
              <w:top w:val="single" w:color="000000" w:sz="8" w:space="0"/>
              <w:left w:val="single" w:color="000000" w:sz="8" w:space="0"/>
              <w:bottom w:val="nil"/>
              <w:right w:val="single" w:color="000000" w:sz="8" w:space="0"/>
            </w:tcBorders>
            <w:shd w:val="clear" w:color="auto" w:fill="auto"/>
            <w:vAlign w:val="center"/>
          </w:tcPr>
          <w:p w14:paraId="14753C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1.非OEM产品，无外资成分，具有自主知识产权；</w:t>
            </w:r>
          </w:p>
        </w:tc>
        <w:tc>
          <w:tcPr>
            <w:tcW w:w="356" w:type="pct"/>
            <w:vMerge w:val="restart"/>
            <w:tcBorders>
              <w:top w:val="single" w:color="000000" w:sz="8" w:space="0"/>
              <w:left w:val="nil"/>
              <w:bottom w:val="single" w:color="000000" w:sz="8" w:space="0"/>
              <w:right w:val="single" w:color="000000" w:sz="8" w:space="0"/>
            </w:tcBorders>
            <w:shd w:val="clear" w:color="auto" w:fill="auto"/>
            <w:noWrap/>
            <w:vAlign w:val="center"/>
          </w:tcPr>
          <w:p w14:paraId="3CA9EE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56" w:type="pct"/>
            <w:vMerge w:val="restart"/>
            <w:tcBorders>
              <w:top w:val="single" w:color="000000" w:sz="8" w:space="0"/>
              <w:left w:val="nil"/>
              <w:bottom w:val="single" w:color="000000" w:sz="8" w:space="0"/>
              <w:right w:val="single" w:color="000000" w:sz="8" w:space="0"/>
            </w:tcBorders>
            <w:shd w:val="clear" w:color="auto" w:fill="auto"/>
            <w:noWrap/>
            <w:vAlign w:val="center"/>
          </w:tcPr>
          <w:p w14:paraId="4E7A3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6B05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0BCBEDC2">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051F7D6E">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7731AC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2.CPU:配置2颗英特尔至强金牌5218(2.3GHz/16-Core/22MB/125W)处理器单颗处理器主频≥2.1Ghz，≥ 16核心；内存 :配置4*DDR4；RDIMM32GB;288pin,0.625ns,3200000KHz;1.2ECC，2Rank(2G*4bit)*8；内存插槽数≥24个插槽硬盘：配置2*固态硬盘-960GB-SATA 6Gb/s-读取密集型SE005系列-2.5英寸；4*通用硬盘-2400GB-SAS 12Gb/s-10K rpm-256MB 阵列卡：配置独立RAID卡XR450C-M 2G(Avago3508) SAS/SATA RAID卡-RAID0,1,5,6,10,50,60-12Gb/s-2GB Cache；I/O扩展：最多8个PCle4.0x8或3个PCle 4.0 x16+2个PCle 4.0x8标准插槽；网卡：配置板载插卡2*GE电口+2个万兆光口（含模块）；</w:t>
            </w:r>
          </w:p>
        </w:tc>
        <w:tc>
          <w:tcPr>
            <w:tcW w:w="356" w:type="pct"/>
            <w:vMerge w:val="continue"/>
            <w:tcBorders>
              <w:top w:val="single" w:color="000000" w:sz="8" w:space="0"/>
              <w:left w:val="nil"/>
              <w:bottom w:val="single" w:color="000000" w:sz="8" w:space="0"/>
              <w:right w:val="single" w:color="000000" w:sz="8" w:space="0"/>
            </w:tcBorders>
            <w:shd w:val="clear" w:color="auto" w:fill="auto"/>
            <w:noWrap/>
            <w:vAlign w:val="center"/>
          </w:tcPr>
          <w:p w14:paraId="1918EA99">
            <w:pPr>
              <w:jc w:val="center"/>
              <w:rPr>
                <w:rFonts w:hint="eastAsia" w:ascii="宋体" w:hAnsi="宋体" w:eastAsia="宋体" w:cs="宋体"/>
                <w:i w:val="0"/>
                <w:iCs w:val="0"/>
                <w:color w:val="000000"/>
                <w:sz w:val="22"/>
                <w:szCs w:val="22"/>
                <w:u w:val="none"/>
              </w:rPr>
            </w:pPr>
          </w:p>
        </w:tc>
        <w:tc>
          <w:tcPr>
            <w:tcW w:w="356" w:type="pct"/>
            <w:vMerge w:val="continue"/>
            <w:tcBorders>
              <w:top w:val="single" w:color="000000" w:sz="8" w:space="0"/>
              <w:left w:val="nil"/>
              <w:bottom w:val="single" w:color="000000" w:sz="8" w:space="0"/>
              <w:right w:val="single" w:color="000000" w:sz="8" w:space="0"/>
            </w:tcBorders>
            <w:shd w:val="clear" w:color="auto" w:fill="auto"/>
            <w:noWrap/>
            <w:vAlign w:val="center"/>
          </w:tcPr>
          <w:p w14:paraId="7DFB21EA">
            <w:pPr>
              <w:jc w:val="center"/>
              <w:rPr>
                <w:rFonts w:hint="eastAsia" w:ascii="宋体" w:hAnsi="宋体" w:eastAsia="宋体" w:cs="宋体"/>
                <w:i w:val="0"/>
                <w:iCs w:val="0"/>
                <w:color w:val="000000"/>
                <w:sz w:val="22"/>
                <w:szCs w:val="22"/>
                <w:u w:val="none"/>
              </w:rPr>
            </w:pPr>
          </w:p>
        </w:tc>
      </w:tr>
      <w:tr w14:paraId="03CA7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2C7B95A2">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338EEABF">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single" w:color="000000" w:sz="8" w:space="0"/>
              <w:right w:val="single" w:color="000000" w:sz="8" w:space="0"/>
            </w:tcBorders>
            <w:shd w:val="clear" w:color="auto" w:fill="auto"/>
            <w:vAlign w:val="center"/>
          </w:tcPr>
          <w:p w14:paraId="562503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3.售后服务：原厂服务，7*24小时电话支持。</w:t>
            </w:r>
          </w:p>
        </w:tc>
        <w:tc>
          <w:tcPr>
            <w:tcW w:w="356" w:type="pct"/>
            <w:vMerge w:val="continue"/>
            <w:tcBorders>
              <w:top w:val="single" w:color="000000" w:sz="8" w:space="0"/>
              <w:left w:val="nil"/>
              <w:bottom w:val="single" w:color="000000" w:sz="8" w:space="0"/>
              <w:right w:val="single" w:color="000000" w:sz="8" w:space="0"/>
            </w:tcBorders>
            <w:shd w:val="clear" w:color="auto" w:fill="auto"/>
            <w:noWrap/>
            <w:vAlign w:val="center"/>
          </w:tcPr>
          <w:p w14:paraId="573886EC">
            <w:pPr>
              <w:jc w:val="center"/>
              <w:rPr>
                <w:rFonts w:hint="eastAsia" w:ascii="宋体" w:hAnsi="宋体" w:eastAsia="宋体" w:cs="宋体"/>
                <w:i w:val="0"/>
                <w:iCs w:val="0"/>
                <w:color w:val="000000"/>
                <w:sz w:val="22"/>
                <w:szCs w:val="22"/>
                <w:u w:val="none"/>
              </w:rPr>
            </w:pPr>
          </w:p>
        </w:tc>
        <w:tc>
          <w:tcPr>
            <w:tcW w:w="356" w:type="pct"/>
            <w:vMerge w:val="continue"/>
            <w:tcBorders>
              <w:top w:val="single" w:color="000000" w:sz="8" w:space="0"/>
              <w:left w:val="nil"/>
              <w:bottom w:val="single" w:color="000000" w:sz="8" w:space="0"/>
              <w:right w:val="single" w:color="000000" w:sz="8" w:space="0"/>
            </w:tcBorders>
            <w:shd w:val="clear" w:color="auto" w:fill="auto"/>
            <w:noWrap/>
            <w:vAlign w:val="center"/>
          </w:tcPr>
          <w:p w14:paraId="37D09753">
            <w:pPr>
              <w:jc w:val="center"/>
              <w:rPr>
                <w:rFonts w:hint="eastAsia" w:ascii="宋体" w:hAnsi="宋体" w:eastAsia="宋体" w:cs="宋体"/>
                <w:i w:val="0"/>
                <w:iCs w:val="0"/>
                <w:color w:val="000000"/>
                <w:sz w:val="22"/>
                <w:szCs w:val="22"/>
                <w:u w:val="none"/>
              </w:rPr>
            </w:pPr>
          </w:p>
        </w:tc>
      </w:tr>
      <w:tr w14:paraId="4F9D2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3956F0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56" w:type="pct"/>
            <w:vMerge w:val="restart"/>
            <w:tcBorders>
              <w:top w:val="nil"/>
              <w:left w:val="nil"/>
              <w:bottom w:val="single" w:color="000000" w:sz="8" w:space="0"/>
              <w:right w:val="nil"/>
            </w:tcBorders>
            <w:shd w:val="clear" w:color="auto" w:fill="auto"/>
            <w:vAlign w:val="center"/>
          </w:tcPr>
          <w:p w14:paraId="3538E2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计算虚拟化软件</w:t>
            </w:r>
          </w:p>
        </w:tc>
        <w:tc>
          <w:tcPr>
            <w:tcW w:w="3573" w:type="pct"/>
            <w:tcBorders>
              <w:top w:val="nil"/>
              <w:left w:val="single" w:color="000000" w:sz="8" w:space="0"/>
              <w:bottom w:val="nil"/>
              <w:right w:val="single" w:color="000000" w:sz="8" w:space="0"/>
            </w:tcBorders>
            <w:shd w:val="clear" w:color="auto" w:fill="auto"/>
            <w:vAlign w:val="center"/>
          </w:tcPr>
          <w:p w14:paraId="2F9BC3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1.支持在同一个管理界面中监控和管理计算、存储、交换机、虚拟化平台等。</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2174B5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1D6DBD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7C1E9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5BC27821">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4AF46AB5">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7DDC42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2.管理节点采用主备方式或每个节点都自带管理软件，确保平台的可用性，单节点故障不影响业务。</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3F606331">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50136D05">
            <w:pPr>
              <w:jc w:val="center"/>
              <w:rPr>
                <w:rFonts w:hint="eastAsia" w:ascii="宋体" w:hAnsi="宋体" w:eastAsia="宋体" w:cs="宋体"/>
                <w:i w:val="0"/>
                <w:iCs w:val="0"/>
                <w:color w:val="000000"/>
                <w:sz w:val="22"/>
                <w:szCs w:val="22"/>
                <w:u w:val="none"/>
              </w:rPr>
            </w:pPr>
          </w:p>
        </w:tc>
      </w:tr>
      <w:tr w14:paraId="79B43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684594E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74AD4286">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1FB6FF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3.支持管理节点的管理数据定期自动备份到远端FTP服务，以便出现重大事故导致管理数据丢失时，可以利用备份的数据进行恢复。</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3BA20C32">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4FB624B7">
            <w:pPr>
              <w:jc w:val="center"/>
              <w:rPr>
                <w:rFonts w:hint="eastAsia" w:ascii="宋体" w:hAnsi="宋体" w:eastAsia="宋体" w:cs="宋体"/>
                <w:i w:val="0"/>
                <w:iCs w:val="0"/>
                <w:color w:val="000000"/>
                <w:sz w:val="22"/>
                <w:szCs w:val="22"/>
                <w:u w:val="none"/>
              </w:rPr>
            </w:pPr>
          </w:p>
        </w:tc>
      </w:tr>
      <w:tr w14:paraId="38726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4A37708E">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0998488D">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0BB2D1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*4.支持在统一图形界面上一键式或定期自动输出系统健康巡检报告，包括CPU、内存、HDD、SSD、RAID卡等硬件状态，虚拟化平台，存储软件，管理软件等部件的健康状态，便于主动识别潜在的风险。</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13837736">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3EA77AD3">
            <w:pPr>
              <w:jc w:val="center"/>
              <w:rPr>
                <w:rFonts w:hint="eastAsia" w:ascii="宋体" w:hAnsi="宋体" w:eastAsia="宋体" w:cs="宋体"/>
                <w:i w:val="0"/>
                <w:iCs w:val="0"/>
                <w:color w:val="000000"/>
                <w:sz w:val="22"/>
                <w:szCs w:val="22"/>
                <w:u w:val="none"/>
              </w:rPr>
            </w:pPr>
          </w:p>
        </w:tc>
      </w:tr>
      <w:tr w14:paraId="084AB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0E6043F7">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1A197C42">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55AE10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5.虚拟交换机级别的用户态交换技术(OVS+DPDK），支持高性能网络转发，提高数据处理性能和吞吐量，提高数据平面应用程序的工作效率。</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5B9BB20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441EC716">
            <w:pPr>
              <w:jc w:val="center"/>
              <w:rPr>
                <w:rFonts w:hint="eastAsia" w:ascii="宋体" w:hAnsi="宋体" w:eastAsia="宋体" w:cs="宋体"/>
                <w:i w:val="0"/>
                <w:iCs w:val="0"/>
                <w:color w:val="000000"/>
                <w:sz w:val="22"/>
                <w:szCs w:val="22"/>
                <w:u w:val="none"/>
              </w:rPr>
            </w:pPr>
          </w:p>
        </w:tc>
      </w:tr>
      <w:tr w14:paraId="59FA4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6B34DBC0">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0456B63F">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0E8D04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6.支持可通过管理界面配置7*24小时自动将系统告警信息发送给原厂商，便于及时处理系统告警。</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2A4680A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2B5DE9F6">
            <w:pPr>
              <w:jc w:val="center"/>
              <w:rPr>
                <w:rFonts w:hint="eastAsia" w:ascii="宋体" w:hAnsi="宋体" w:eastAsia="宋体" w:cs="宋体"/>
                <w:i w:val="0"/>
                <w:iCs w:val="0"/>
                <w:color w:val="000000"/>
                <w:sz w:val="22"/>
                <w:szCs w:val="22"/>
                <w:u w:val="none"/>
              </w:rPr>
            </w:pPr>
          </w:p>
        </w:tc>
      </w:tr>
      <w:tr w14:paraId="6CC58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1B2670F2">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1CE0799C">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0ED8C4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7.支持手工/自动虚拟机HA功能，把虚拟机从故障的服务器上迁移至正常的服务器。</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6FC4CEAA">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76FE82E0">
            <w:pPr>
              <w:jc w:val="center"/>
              <w:rPr>
                <w:rFonts w:hint="eastAsia" w:ascii="宋体" w:hAnsi="宋体" w:eastAsia="宋体" w:cs="宋体"/>
                <w:i w:val="0"/>
                <w:iCs w:val="0"/>
                <w:color w:val="000000"/>
                <w:sz w:val="22"/>
                <w:szCs w:val="22"/>
                <w:u w:val="none"/>
              </w:rPr>
            </w:pPr>
          </w:p>
        </w:tc>
      </w:tr>
      <w:tr w14:paraId="7DDB3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6026F867">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073DFA3D">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4A573C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*8.支持通过文件夹对虚拟机进行分组，不同类型的虚拟机实现逻辑分组管理，方便运维，文件夹深度最多可以支持5层，并可以对分组虚拟机批量进行关闭、启动、克隆等操作。（提供功能截图证明材料）</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6353CC73">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7A1DE669">
            <w:pPr>
              <w:jc w:val="center"/>
              <w:rPr>
                <w:rFonts w:hint="eastAsia" w:ascii="宋体" w:hAnsi="宋体" w:eastAsia="宋体" w:cs="宋体"/>
                <w:i w:val="0"/>
                <w:iCs w:val="0"/>
                <w:color w:val="000000"/>
                <w:sz w:val="22"/>
                <w:szCs w:val="22"/>
                <w:u w:val="none"/>
              </w:rPr>
            </w:pPr>
          </w:p>
        </w:tc>
      </w:tr>
      <w:tr w14:paraId="07A19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2188109C">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52107507">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00D87D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9.支持虚拟机热迁移功能，可以在不停机的状态下，手工或自动地实现VM在集群之内的不同物理机之间迁移，保障业务连续性。</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722A57A2">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37056BA0">
            <w:pPr>
              <w:jc w:val="center"/>
              <w:rPr>
                <w:rFonts w:hint="eastAsia" w:ascii="宋体" w:hAnsi="宋体" w:eastAsia="宋体" w:cs="宋体"/>
                <w:i w:val="0"/>
                <w:iCs w:val="0"/>
                <w:color w:val="000000"/>
                <w:sz w:val="22"/>
                <w:szCs w:val="22"/>
                <w:u w:val="none"/>
              </w:rPr>
            </w:pPr>
          </w:p>
        </w:tc>
      </w:tr>
      <w:tr w14:paraId="15737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1C53DB24">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50F71F0F">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single" w:color="000000" w:sz="8" w:space="0"/>
              <w:right w:val="single" w:color="000000" w:sz="8" w:space="0"/>
            </w:tcBorders>
            <w:shd w:val="clear" w:color="auto" w:fill="auto"/>
            <w:vAlign w:val="center"/>
          </w:tcPr>
          <w:p w14:paraId="336B5E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10.支持批量虚拟机资源调整，根据实际需要修改虚拟机的属性，包括vCPU个数、内存大小、硬盘数量和网卡个数等。</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6FA82AAB">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1A583E6F">
            <w:pPr>
              <w:jc w:val="center"/>
              <w:rPr>
                <w:rFonts w:hint="eastAsia" w:ascii="宋体" w:hAnsi="宋体" w:eastAsia="宋体" w:cs="宋体"/>
                <w:i w:val="0"/>
                <w:iCs w:val="0"/>
                <w:color w:val="000000"/>
                <w:sz w:val="22"/>
                <w:szCs w:val="22"/>
                <w:u w:val="none"/>
              </w:rPr>
            </w:pPr>
          </w:p>
        </w:tc>
      </w:tr>
      <w:tr w14:paraId="17EDB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190F5F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56" w:type="pct"/>
            <w:vMerge w:val="restart"/>
            <w:tcBorders>
              <w:top w:val="nil"/>
              <w:left w:val="nil"/>
              <w:bottom w:val="single" w:color="000000" w:sz="8" w:space="0"/>
              <w:right w:val="nil"/>
            </w:tcBorders>
            <w:shd w:val="clear" w:color="auto" w:fill="auto"/>
            <w:vAlign w:val="center"/>
          </w:tcPr>
          <w:p w14:paraId="3AA404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网络交换服务</w:t>
            </w:r>
          </w:p>
        </w:tc>
        <w:tc>
          <w:tcPr>
            <w:tcW w:w="3573" w:type="pct"/>
            <w:tcBorders>
              <w:top w:val="nil"/>
              <w:left w:val="single" w:color="000000" w:sz="8" w:space="0"/>
              <w:bottom w:val="nil"/>
              <w:right w:val="single" w:color="000000" w:sz="8" w:space="0"/>
            </w:tcBorders>
            <w:shd w:val="clear" w:color="auto" w:fill="auto"/>
            <w:vAlign w:val="center"/>
          </w:tcPr>
          <w:p w14:paraId="6E29C8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1.性能：整机交换容量 ≥672Gbps；转发性能 ≥166Mpps 端口：≥24个千兆SFP口，≥4个万兆SFP+口，含≥4个万兆光模块。</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41531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33A69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9F32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193F0A34">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5B3DD0F2">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5715FA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2.实现CPU保护功能，能限制非法报文对CPU的攻击，保护交换机在各种环境下稳定工作；</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2C4B54AB">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6577834A">
            <w:pPr>
              <w:jc w:val="center"/>
              <w:rPr>
                <w:rFonts w:hint="eastAsia" w:ascii="宋体" w:hAnsi="宋体" w:eastAsia="宋体" w:cs="宋体"/>
                <w:i w:val="0"/>
                <w:iCs w:val="0"/>
                <w:color w:val="000000"/>
                <w:sz w:val="22"/>
                <w:szCs w:val="22"/>
                <w:u w:val="none"/>
              </w:rPr>
            </w:pPr>
          </w:p>
        </w:tc>
      </w:tr>
      <w:tr w14:paraId="60862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31F02E7A">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1C1429A8">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7C64EE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支持横向虚拟化≥9台设备，支持单点管理功能，可以通过任意一台设备的Console口对整个堆叠进行管理；符合IEEE 802.3az（EEE）节能标准、支持端口休眠，关闭没有应用的端口，节省能源，符合RoHS标准并提供证书</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16149F03">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47831677">
            <w:pPr>
              <w:jc w:val="center"/>
              <w:rPr>
                <w:rFonts w:hint="eastAsia" w:ascii="宋体" w:hAnsi="宋体" w:eastAsia="宋体" w:cs="宋体"/>
                <w:i w:val="0"/>
                <w:iCs w:val="0"/>
                <w:color w:val="000000"/>
                <w:sz w:val="22"/>
                <w:szCs w:val="22"/>
                <w:u w:val="none"/>
              </w:rPr>
            </w:pPr>
          </w:p>
        </w:tc>
      </w:tr>
      <w:tr w14:paraId="6A94E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2AD15CD3">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7435E7AD">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single" w:color="000000" w:sz="8" w:space="0"/>
              <w:right w:val="single" w:color="000000" w:sz="8" w:space="0"/>
            </w:tcBorders>
            <w:shd w:val="clear" w:color="auto" w:fill="auto"/>
            <w:vAlign w:val="center"/>
          </w:tcPr>
          <w:p w14:paraId="524552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3.支持图形化操作的方式实现对网络的统一运维及管理，提供官网配置指导证明；提供产品进网检测报告、进网许可证</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53CD7238">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52858A8E">
            <w:pPr>
              <w:jc w:val="center"/>
              <w:rPr>
                <w:rFonts w:hint="eastAsia" w:ascii="宋体" w:hAnsi="宋体" w:eastAsia="宋体" w:cs="宋体"/>
                <w:i w:val="0"/>
                <w:iCs w:val="0"/>
                <w:color w:val="000000"/>
                <w:sz w:val="22"/>
                <w:szCs w:val="22"/>
                <w:u w:val="none"/>
              </w:rPr>
            </w:pPr>
          </w:p>
        </w:tc>
      </w:tr>
      <w:tr w14:paraId="16578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1CFDF8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56" w:type="pct"/>
            <w:vMerge w:val="restart"/>
            <w:tcBorders>
              <w:top w:val="nil"/>
              <w:left w:val="nil"/>
              <w:bottom w:val="single" w:color="000000" w:sz="8" w:space="0"/>
              <w:right w:val="nil"/>
            </w:tcBorders>
            <w:shd w:val="clear" w:color="auto" w:fill="auto"/>
            <w:vAlign w:val="center"/>
          </w:tcPr>
          <w:p w14:paraId="73FDE8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数据采集服务</w:t>
            </w:r>
          </w:p>
        </w:tc>
        <w:tc>
          <w:tcPr>
            <w:tcW w:w="3573" w:type="pct"/>
            <w:tcBorders>
              <w:top w:val="nil"/>
              <w:left w:val="single" w:color="000000" w:sz="8" w:space="0"/>
              <w:bottom w:val="nil"/>
              <w:right w:val="single" w:color="000000" w:sz="8" w:space="0"/>
            </w:tcBorders>
            <w:shd w:val="clear" w:color="auto" w:fill="auto"/>
            <w:vAlign w:val="center"/>
          </w:tcPr>
          <w:p w14:paraId="512151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支持陕西省社会保障卡、陕西省居民健康卡、医院就诊卡、二代居民身份证信息读取，兼容其他接触式IC卡和非接触式IC卡，同时提供陕西社会保障卡、陕西省居民健康卡、医院就诊卡、二代居民身份证判断动态链接库文件；产品需通过银行卡检测中心《PBOC2018非接触IC卡支付终端通讯协议测试》和《PBOC2018借记/贷记终端Level1检测认证》。</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7B79B4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327575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9998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4147FEA6">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41330645">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7E97A3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具备国家人力资源和社会保障部资格认证，具有《社会保障卡读写器检测报告》、具有国家跨省异地就医《社会保障卡读写终端接口检测报告》。产品设备厂家具备银联卡受理终端产品企业资质认证资质，支持识读电子健康卡，是国家健康卡综合管理平台电子健康卡备案产品，须提供国家居民健康卡综合管理平台官网截图。</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0B087257">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347A872F">
            <w:pPr>
              <w:jc w:val="center"/>
              <w:rPr>
                <w:rFonts w:hint="eastAsia" w:ascii="宋体" w:hAnsi="宋体" w:eastAsia="宋体" w:cs="宋体"/>
                <w:i w:val="0"/>
                <w:iCs w:val="0"/>
                <w:color w:val="000000"/>
                <w:sz w:val="22"/>
                <w:szCs w:val="22"/>
                <w:u w:val="none"/>
              </w:rPr>
            </w:pPr>
          </w:p>
        </w:tc>
      </w:tr>
      <w:tr w14:paraId="1D6E8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1484008C">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136BD799">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7725BB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非接触式支持符合ISO14443TypeA标准的IC卡，射频感应距离为0-5cm，无盲区，读写防冲突；接触式支持符合ISO7816标准的IC卡，卡座插拔卡寿命≥20万次；支持扫码读取（一维码、二维码）功能;支持医保电子凭证、电子健康卡读取。产品须配备电源适配器，在电脑USB电压不稳定的情况下，能保障设备电压稳定，保障USB正常通讯。支支持Windows XP，Windows 7、8、10，LINUX系列等操作系统；</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0164696F">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1E611099">
            <w:pPr>
              <w:jc w:val="center"/>
              <w:rPr>
                <w:rFonts w:hint="eastAsia" w:ascii="宋体" w:hAnsi="宋体" w:eastAsia="宋体" w:cs="宋体"/>
                <w:i w:val="0"/>
                <w:iCs w:val="0"/>
                <w:color w:val="000000"/>
                <w:sz w:val="22"/>
                <w:szCs w:val="22"/>
                <w:u w:val="none"/>
              </w:rPr>
            </w:pPr>
          </w:p>
        </w:tc>
      </w:tr>
      <w:tr w14:paraId="14BFD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77BD99F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196772E2">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single" w:color="000000" w:sz="8" w:space="0"/>
              <w:right w:val="single" w:color="000000" w:sz="8" w:space="0"/>
            </w:tcBorders>
            <w:shd w:val="clear" w:color="auto" w:fill="auto"/>
            <w:vAlign w:val="center"/>
          </w:tcPr>
          <w:p w14:paraId="1F7C35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提供统一的读写动态链接库，支持多操作系统和多语言开发平台。</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09E7192D">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31A77EDE">
            <w:pPr>
              <w:jc w:val="center"/>
              <w:rPr>
                <w:rFonts w:hint="eastAsia" w:ascii="宋体" w:hAnsi="宋体" w:eastAsia="宋体" w:cs="宋体"/>
                <w:i w:val="0"/>
                <w:iCs w:val="0"/>
                <w:color w:val="000000"/>
                <w:sz w:val="22"/>
                <w:szCs w:val="22"/>
                <w:u w:val="none"/>
              </w:rPr>
            </w:pPr>
          </w:p>
        </w:tc>
      </w:tr>
      <w:tr w14:paraId="5BE41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restart"/>
            <w:tcBorders>
              <w:top w:val="nil"/>
              <w:left w:val="single" w:color="000000" w:sz="8" w:space="0"/>
              <w:bottom w:val="single" w:color="000000" w:sz="8" w:space="0"/>
              <w:right w:val="single" w:color="000000" w:sz="8" w:space="0"/>
            </w:tcBorders>
            <w:shd w:val="clear" w:color="auto" w:fill="FFFFFF"/>
            <w:noWrap/>
            <w:vAlign w:val="center"/>
          </w:tcPr>
          <w:p w14:paraId="1E307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56" w:type="pct"/>
            <w:vMerge w:val="restart"/>
            <w:tcBorders>
              <w:top w:val="nil"/>
              <w:left w:val="nil"/>
              <w:bottom w:val="single" w:color="000000" w:sz="8" w:space="0"/>
              <w:right w:val="nil"/>
            </w:tcBorders>
            <w:shd w:val="clear" w:color="auto" w:fill="FFFFFF"/>
            <w:vAlign w:val="center"/>
          </w:tcPr>
          <w:p w14:paraId="4DF5FC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身份识别采集服务</w:t>
            </w:r>
          </w:p>
        </w:tc>
        <w:tc>
          <w:tcPr>
            <w:tcW w:w="3573" w:type="pct"/>
            <w:tcBorders>
              <w:top w:val="nil"/>
              <w:left w:val="single" w:color="000000" w:sz="8" w:space="0"/>
              <w:bottom w:val="nil"/>
              <w:right w:val="single" w:color="000000" w:sz="8" w:space="0"/>
            </w:tcBorders>
            <w:shd w:val="clear" w:color="auto" w:fill="FFFFFF"/>
            <w:vAlign w:val="center"/>
          </w:tcPr>
          <w:p w14:paraId="606132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1.读卡类型：13.56MHz符合IS014443Type B标准(TypeA可选)</w:t>
            </w:r>
          </w:p>
        </w:tc>
        <w:tc>
          <w:tcPr>
            <w:tcW w:w="356" w:type="pct"/>
            <w:vMerge w:val="restart"/>
            <w:tcBorders>
              <w:top w:val="nil"/>
              <w:left w:val="nil"/>
              <w:bottom w:val="single" w:color="000000" w:sz="8" w:space="0"/>
              <w:right w:val="single" w:color="000000" w:sz="8" w:space="0"/>
            </w:tcBorders>
            <w:shd w:val="clear" w:color="auto" w:fill="FFFFFF"/>
            <w:noWrap/>
            <w:vAlign w:val="center"/>
          </w:tcPr>
          <w:p w14:paraId="5776C6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56" w:type="pct"/>
            <w:vMerge w:val="restart"/>
            <w:tcBorders>
              <w:top w:val="nil"/>
              <w:left w:val="nil"/>
              <w:bottom w:val="single" w:color="000000" w:sz="8" w:space="0"/>
              <w:right w:val="single" w:color="000000" w:sz="8" w:space="0"/>
            </w:tcBorders>
            <w:shd w:val="clear" w:color="auto" w:fill="FFFFFF"/>
            <w:noWrap/>
            <w:vAlign w:val="center"/>
          </w:tcPr>
          <w:p w14:paraId="3660C4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FD13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FFFFFF"/>
            <w:noWrap/>
            <w:vAlign w:val="center"/>
          </w:tcPr>
          <w:p w14:paraId="107B491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FFFFFF"/>
            <w:vAlign w:val="center"/>
          </w:tcPr>
          <w:p w14:paraId="72DF7BCF">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FFFFFF"/>
            <w:vAlign w:val="center"/>
          </w:tcPr>
          <w:p w14:paraId="67C369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2.读卡距离：0~30mm  读卡时间：1.5秒</w:t>
            </w: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52774621">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1ACD877D">
            <w:pPr>
              <w:jc w:val="center"/>
              <w:rPr>
                <w:rFonts w:hint="eastAsia" w:ascii="宋体" w:hAnsi="宋体" w:eastAsia="宋体" w:cs="宋体"/>
                <w:i w:val="0"/>
                <w:iCs w:val="0"/>
                <w:color w:val="000000"/>
                <w:sz w:val="22"/>
                <w:szCs w:val="22"/>
                <w:u w:val="none"/>
              </w:rPr>
            </w:pPr>
          </w:p>
        </w:tc>
      </w:tr>
      <w:tr w14:paraId="2394A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FFFFFF"/>
            <w:noWrap/>
            <w:vAlign w:val="center"/>
          </w:tcPr>
          <w:p w14:paraId="0145FB19">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FFFFFF"/>
            <w:vAlign w:val="center"/>
          </w:tcPr>
          <w:p w14:paraId="5E167C36">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FFFFFF"/>
            <w:vAlign w:val="center"/>
          </w:tcPr>
          <w:p w14:paraId="72F7AC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3.信息读取：可读取公安部二代居民身份证的信息</w:t>
            </w: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46658A72">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3CC36116">
            <w:pPr>
              <w:jc w:val="center"/>
              <w:rPr>
                <w:rFonts w:hint="eastAsia" w:ascii="宋体" w:hAnsi="宋体" w:eastAsia="宋体" w:cs="宋体"/>
                <w:i w:val="0"/>
                <w:iCs w:val="0"/>
                <w:color w:val="000000"/>
                <w:sz w:val="22"/>
                <w:szCs w:val="22"/>
                <w:u w:val="none"/>
              </w:rPr>
            </w:pPr>
          </w:p>
        </w:tc>
      </w:tr>
      <w:tr w14:paraId="1B390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FFFFFF"/>
            <w:noWrap/>
            <w:vAlign w:val="center"/>
          </w:tcPr>
          <w:p w14:paraId="75447249">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FFFFFF"/>
            <w:vAlign w:val="center"/>
          </w:tcPr>
          <w:p w14:paraId="70D9A3CD">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FFFFFF"/>
            <w:vAlign w:val="center"/>
          </w:tcPr>
          <w:p w14:paraId="3426B2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4.接口： 电源工作电压:5.0V士0.5V   通讯 MINI USB端口通讯指示灯</w:t>
            </w: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415873B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47060901">
            <w:pPr>
              <w:jc w:val="center"/>
              <w:rPr>
                <w:rFonts w:hint="eastAsia" w:ascii="宋体" w:hAnsi="宋体" w:eastAsia="宋体" w:cs="宋体"/>
                <w:i w:val="0"/>
                <w:iCs w:val="0"/>
                <w:color w:val="000000"/>
                <w:sz w:val="22"/>
                <w:szCs w:val="22"/>
                <w:u w:val="none"/>
              </w:rPr>
            </w:pPr>
          </w:p>
        </w:tc>
      </w:tr>
      <w:tr w14:paraId="257CB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FFFFFF"/>
            <w:noWrap/>
            <w:vAlign w:val="center"/>
          </w:tcPr>
          <w:p w14:paraId="6055FAC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FFFFFF"/>
            <w:vAlign w:val="center"/>
          </w:tcPr>
          <w:p w14:paraId="7F35B59C">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single" w:color="000000" w:sz="8" w:space="0"/>
              <w:right w:val="single" w:color="000000" w:sz="8" w:space="0"/>
            </w:tcBorders>
            <w:shd w:val="clear" w:color="auto" w:fill="FFFFFF"/>
            <w:vAlign w:val="center"/>
          </w:tcPr>
          <w:p w14:paraId="012C44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5.支持功能定制</w:t>
            </w: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159D474C">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5A23BD88">
            <w:pPr>
              <w:jc w:val="center"/>
              <w:rPr>
                <w:rFonts w:hint="eastAsia" w:ascii="宋体" w:hAnsi="宋体" w:eastAsia="宋体" w:cs="宋体"/>
                <w:i w:val="0"/>
                <w:iCs w:val="0"/>
                <w:color w:val="000000"/>
                <w:sz w:val="22"/>
                <w:szCs w:val="22"/>
                <w:u w:val="none"/>
              </w:rPr>
            </w:pPr>
          </w:p>
        </w:tc>
      </w:tr>
      <w:tr w14:paraId="63D6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restart"/>
            <w:tcBorders>
              <w:top w:val="nil"/>
              <w:left w:val="single" w:color="000000" w:sz="8" w:space="0"/>
              <w:bottom w:val="single" w:color="000000" w:sz="8" w:space="0"/>
              <w:right w:val="single" w:color="000000" w:sz="8" w:space="0"/>
            </w:tcBorders>
            <w:shd w:val="clear" w:color="auto" w:fill="FFFFFF"/>
            <w:noWrap/>
            <w:vAlign w:val="center"/>
          </w:tcPr>
          <w:p w14:paraId="0F9FF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56" w:type="pct"/>
            <w:vMerge w:val="restart"/>
            <w:tcBorders>
              <w:top w:val="nil"/>
              <w:left w:val="nil"/>
              <w:bottom w:val="single" w:color="000000" w:sz="8" w:space="0"/>
              <w:right w:val="nil"/>
            </w:tcBorders>
            <w:shd w:val="clear" w:color="auto" w:fill="FFFFFF"/>
            <w:vAlign w:val="center"/>
          </w:tcPr>
          <w:p w14:paraId="292207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密码认证服务（收费窗口专用）</w:t>
            </w:r>
          </w:p>
        </w:tc>
        <w:tc>
          <w:tcPr>
            <w:tcW w:w="3573" w:type="pct"/>
            <w:tcBorders>
              <w:top w:val="nil"/>
              <w:left w:val="single" w:color="000000" w:sz="8" w:space="0"/>
              <w:bottom w:val="nil"/>
              <w:right w:val="single" w:color="000000" w:sz="8" w:space="0"/>
            </w:tcBorders>
            <w:shd w:val="clear" w:color="auto" w:fill="FFFFFF"/>
            <w:vAlign w:val="center"/>
          </w:tcPr>
          <w:p w14:paraId="478A4C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1.支持键盘数据加密功能。具有语音提示，便于人机交互；可以通过RS232接口或者USB接口实现与PC机或者读写终端的连接，串口波特率可以按需求设置，USB采用MASS STORAGE协议，支持大批量高速数据传输。</w:t>
            </w:r>
          </w:p>
        </w:tc>
        <w:tc>
          <w:tcPr>
            <w:tcW w:w="356" w:type="pct"/>
            <w:vMerge w:val="restart"/>
            <w:tcBorders>
              <w:top w:val="nil"/>
              <w:left w:val="nil"/>
              <w:bottom w:val="single" w:color="000000" w:sz="8" w:space="0"/>
              <w:right w:val="single" w:color="000000" w:sz="8" w:space="0"/>
            </w:tcBorders>
            <w:shd w:val="clear" w:color="auto" w:fill="FFFFFF"/>
            <w:noWrap/>
            <w:vAlign w:val="center"/>
          </w:tcPr>
          <w:p w14:paraId="21F5C7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vMerge w:val="restart"/>
            <w:tcBorders>
              <w:top w:val="nil"/>
              <w:left w:val="nil"/>
              <w:bottom w:val="single" w:color="000000" w:sz="8" w:space="0"/>
              <w:right w:val="single" w:color="000000" w:sz="8" w:space="0"/>
            </w:tcBorders>
            <w:shd w:val="clear" w:color="auto" w:fill="FFFFFF"/>
            <w:noWrap/>
            <w:vAlign w:val="center"/>
          </w:tcPr>
          <w:p w14:paraId="67125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F995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FFFFFF"/>
            <w:noWrap/>
            <w:vAlign w:val="center"/>
          </w:tcPr>
          <w:p w14:paraId="033C6A0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FFFFFF"/>
            <w:vAlign w:val="center"/>
          </w:tcPr>
          <w:p w14:paraId="3D6DA78A">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FFFFFF"/>
            <w:vAlign w:val="center"/>
          </w:tcPr>
          <w:p w14:paraId="49740F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2.密码键盘适用于配套读写器和POS终端使用，无需额外开发。</w:t>
            </w: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1F302664">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03E56581">
            <w:pPr>
              <w:jc w:val="center"/>
              <w:rPr>
                <w:rFonts w:hint="eastAsia" w:ascii="宋体" w:hAnsi="宋体" w:eastAsia="宋体" w:cs="宋体"/>
                <w:i w:val="0"/>
                <w:iCs w:val="0"/>
                <w:color w:val="000000"/>
                <w:sz w:val="22"/>
                <w:szCs w:val="22"/>
                <w:u w:val="none"/>
              </w:rPr>
            </w:pPr>
          </w:p>
        </w:tc>
      </w:tr>
      <w:tr w14:paraId="3A4C5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356" w:type="pct"/>
            <w:vMerge w:val="continue"/>
            <w:tcBorders>
              <w:top w:val="nil"/>
              <w:left w:val="single" w:color="000000" w:sz="8" w:space="0"/>
              <w:bottom w:val="single" w:color="000000" w:sz="8" w:space="0"/>
              <w:right w:val="single" w:color="000000" w:sz="8" w:space="0"/>
            </w:tcBorders>
            <w:shd w:val="clear" w:color="auto" w:fill="FFFFFF"/>
            <w:noWrap/>
            <w:vAlign w:val="center"/>
          </w:tcPr>
          <w:p w14:paraId="6DBE8941">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FFFFFF"/>
            <w:vAlign w:val="center"/>
          </w:tcPr>
          <w:p w14:paraId="17EDAAC4">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single" w:color="000000" w:sz="8" w:space="0"/>
              <w:right w:val="single" w:color="000000" w:sz="8" w:space="0"/>
            </w:tcBorders>
            <w:shd w:val="clear" w:color="auto" w:fill="FFFFFF"/>
            <w:vAlign w:val="center"/>
          </w:tcPr>
          <w:p w14:paraId="008644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提供随机提供测试DEMO及开发包；在用户输入密码期间，操作员可以再次按下相应功能键，这时密码键盘会被强制关闭。待用户输入密码完毕后在15秒内再次按下功能键，密码键盘红色指示灯亮并提示语音“请再输入一次”，密码键盘才允许输入。</w:t>
            </w: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69963294">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FFFFFF"/>
            <w:noWrap/>
            <w:vAlign w:val="center"/>
          </w:tcPr>
          <w:p w14:paraId="6A0A0986">
            <w:pPr>
              <w:jc w:val="center"/>
              <w:rPr>
                <w:rFonts w:hint="eastAsia" w:ascii="宋体" w:hAnsi="宋体" w:eastAsia="宋体" w:cs="宋体"/>
                <w:i w:val="0"/>
                <w:iCs w:val="0"/>
                <w:color w:val="000000"/>
                <w:sz w:val="22"/>
                <w:szCs w:val="22"/>
                <w:u w:val="none"/>
              </w:rPr>
            </w:pPr>
          </w:p>
        </w:tc>
      </w:tr>
      <w:tr w14:paraId="3B87E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1C5594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56" w:type="pct"/>
            <w:vMerge w:val="restart"/>
            <w:tcBorders>
              <w:top w:val="nil"/>
              <w:left w:val="nil"/>
              <w:bottom w:val="single" w:color="000000" w:sz="8" w:space="0"/>
              <w:right w:val="nil"/>
            </w:tcBorders>
            <w:shd w:val="clear" w:color="auto" w:fill="auto"/>
            <w:vAlign w:val="center"/>
          </w:tcPr>
          <w:p w14:paraId="798590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边界防护</w:t>
            </w:r>
          </w:p>
        </w:tc>
        <w:tc>
          <w:tcPr>
            <w:tcW w:w="3573" w:type="pct"/>
            <w:tcBorders>
              <w:top w:val="nil"/>
              <w:left w:val="single" w:color="000000" w:sz="8" w:space="0"/>
              <w:bottom w:val="nil"/>
              <w:right w:val="single" w:color="000000" w:sz="8" w:space="0"/>
            </w:tcBorders>
            <w:shd w:val="clear" w:color="auto" w:fill="auto"/>
            <w:vAlign w:val="center"/>
          </w:tcPr>
          <w:p w14:paraId="095BBA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1.国产品牌，机架式硬件设备，基于高性能硬件平台和专业安全操作系统，多核处理器硬件架构</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3EEBA0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27EAE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C129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0FAAC068">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26189150">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1E1870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2.配置≥4个千兆电口、≥4个光电混合Combo接口，USB3.0接口1个，CON口1个，MGT接口1个，标配单电源，可选双冗余电源。</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3CE2082D">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42F1B63A">
            <w:pPr>
              <w:jc w:val="center"/>
              <w:rPr>
                <w:rFonts w:hint="eastAsia" w:ascii="宋体" w:hAnsi="宋体" w:eastAsia="宋体" w:cs="宋体"/>
                <w:i w:val="0"/>
                <w:iCs w:val="0"/>
                <w:color w:val="000000"/>
                <w:sz w:val="22"/>
                <w:szCs w:val="22"/>
                <w:u w:val="none"/>
              </w:rPr>
            </w:pPr>
          </w:p>
        </w:tc>
      </w:tr>
      <w:tr w14:paraId="68493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0B7C0083">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6453012C">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single" w:color="000000" w:sz="8" w:space="0"/>
              <w:right w:val="single" w:color="000000" w:sz="8" w:space="0"/>
            </w:tcBorders>
            <w:shd w:val="clear" w:color="auto" w:fill="auto"/>
            <w:vAlign w:val="center"/>
          </w:tcPr>
          <w:p w14:paraId="5C965C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3.整机网络吞吐量≥2Gbps，IPsec VPN吞吐率≥900Mbps，防病毒吞吐量≥800Mbps，IPS吞吐量≥1.2Gbps，并发连接数≥200万，新建并发连接≥1.9万/s，IPSec VPN≥4000个，SSL VPN最大用户数≥1000，SSL VPN 配置授权用户数 ≥100个。</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6A3B801D">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19F4DB1B">
            <w:pPr>
              <w:jc w:val="center"/>
              <w:rPr>
                <w:rFonts w:hint="eastAsia" w:ascii="宋体" w:hAnsi="宋体" w:eastAsia="宋体" w:cs="宋体"/>
                <w:i w:val="0"/>
                <w:iCs w:val="0"/>
                <w:color w:val="000000"/>
                <w:sz w:val="22"/>
                <w:szCs w:val="22"/>
                <w:u w:val="none"/>
              </w:rPr>
            </w:pPr>
          </w:p>
        </w:tc>
      </w:tr>
      <w:tr w14:paraId="409A3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284416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56" w:type="pct"/>
            <w:vMerge w:val="restart"/>
            <w:tcBorders>
              <w:top w:val="nil"/>
              <w:left w:val="nil"/>
              <w:bottom w:val="single" w:color="000000" w:sz="8" w:space="0"/>
              <w:right w:val="nil"/>
            </w:tcBorders>
            <w:shd w:val="clear" w:color="auto" w:fill="auto"/>
            <w:vAlign w:val="center"/>
          </w:tcPr>
          <w:p w14:paraId="47DEFD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不间断供电控制服务</w:t>
            </w:r>
          </w:p>
        </w:tc>
        <w:tc>
          <w:tcPr>
            <w:tcW w:w="3573" w:type="pct"/>
            <w:tcBorders>
              <w:top w:val="nil"/>
              <w:left w:val="single" w:color="000000" w:sz="8" w:space="0"/>
              <w:bottom w:val="nil"/>
              <w:right w:val="single" w:color="000000" w:sz="8" w:space="0"/>
            </w:tcBorders>
            <w:shd w:val="clear" w:color="auto" w:fill="auto"/>
            <w:vAlign w:val="center"/>
          </w:tcPr>
          <w:p w14:paraId="33E9B9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1.≥6KVA≥5400W</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1AF19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749390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1AB8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4250E73D">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7D15B6EE">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51B547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3.UPS采用DSP数字控制技术，性能稳定，品质卓越。</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544828EB">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5A84FC26">
            <w:pPr>
              <w:jc w:val="center"/>
              <w:rPr>
                <w:rFonts w:hint="eastAsia" w:ascii="宋体" w:hAnsi="宋体" w:eastAsia="宋体" w:cs="宋体"/>
                <w:i w:val="0"/>
                <w:iCs w:val="0"/>
                <w:color w:val="000000"/>
                <w:sz w:val="22"/>
                <w:szCs w:val="22"/>
                <w:u w:val="none"/>
              </w:rPr>
            </w:pPr>
          </w:p>
        </w:tc>
      </w:tr>
      <w:tr w14:paraId="42C3F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7C3C2D09">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75AB9C47">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5D5F5F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3.市电逆变效率达96.5%，充电电流可调，最大12A。</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4B3B2402">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1851DF30">
            <w:pPr>
              <w:jc w:val="center"/>
              <w:rPr>
                <w:rFonts w:hint="eastAsia" w:ascii="宋体" w:hAnsi="宋体" w:eastAsia="宋体" w:cs="宋体"/>
                <w:i w:val="0"/>
                <w:iCs w:val="0"/>
                <w:color w:val="000000"/>
                <w:sz w:val="22"/>
                <w:szCs w:val="22"/>
                <w:u w:val="none"/>
              </w:rPr>
            </w:pPr>
          </w:p>
        </w:tc>
      </w:tr>
      <w:tr w14:paraId="1071B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794F7C33">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3087ADE0">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555E2D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4.功率因数1.0，带载强劲，适应复杂电力环境。</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6C851EEE">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73CFB61A">
            <w:pPr>
              <w:jc w:val="center"/>
              <w:rPr>
                <w:rFonts w:hint="eastAsia" w:ascii="宋体" w:hAnsi="宋体" w:eastAsia="宋体" w:cs="宋体"/>
                <w:i w:val="0"/>
                <w:iCs w:val="0"/>
                <w:color w:val="000000"/>
                <w:sz w:val="22"/>
                <w:szCs w:val="22"/>
                <w:u w:val="none"/>
              </w:rPr>
            </w:pPr>
          </w:p>
        </w:tc>
      </w:tr>
      <w:tr w14:paraId="26C5C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392A6C70">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15060F45">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12E898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5.有源PFC技术减少电网污染，智能LCD面板可自由设定电池节数。6.超宽输入电压范围，减少电池放电次数，延长使用寿命。支持多种输出电压，无需定制。</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4F0A4B66">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351CD05A">
            <w:pPr>
              <w:jc w:val="center"/>
              <w:rPr>
                <w:rFonts w:hint="eastAsia" w:ascii="宋体" w:hAnsi="宋体" w:eastAsia="宋体" w:cs="宋体"/>
                <w:i w:val="0"/>
                <w:iCs w:val="0"/>
                <w:color w:val="000000"/>
                <w:sz w:val="22"/>
                <w:szCs w:val="22"/>
                <w:u w:val="none"/>
              </w:rPr>
            </w:pPr>
          </w:p>
        </w:tc>
      </w:tr>
      <w:tr w14:paraId="37DD6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4CF90E67">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652DEDC6">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4E1381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7.ECO模式节能环保，切换时间零延迟，保障负载安全可靠。兼容发电机，提供纯净电力。</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53DA722E">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003FBCD1">
            <w:pPr>
              <w:jc w:val="center"/>
              <w:rPr>
                <w:rFonts w:hint="eastAsia" w:ascii="宋体" w:hAnsi="宋体" w:eastAsia="宋体" w:cs="宋体"/>
                <w:i w:val="0"/>
                <w:iCs w:val="0"/>
                <w:color w:val="000000"/>
                <w:sz w:val="22"/>
                <w:szCs w:val="22"/>
                <w:u w:val="none"/>
              </w:rPr>
            </w:pPr>
          </w:p>
        </w:tc>
      </w:tr>
      <w:tr w14:paraId="7BB7C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663EFDB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1A1C7553">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single" w:color="000000" w:sz="8" w:space="0"/>
              <w:right w:val="single" w:color="000000" w:sz="8" w:space="0"/>
            </w:tcBorders>
            <w:shd w:val="clear" w:color="auto" w:fill="auto"/>
            <w:vAlign w:val="center"/>
          </w:tcPr>
          <w:p w14:paraId="365DC0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8.防腐性能强，适应多种负载环境，智能化管理功能丰富，自动识别50Hz/60Hz电源系统，满足不同需求。</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42411CD7">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64BD89BF">
            <w:pPr>
              <w:jc w:val="center"/>
              <w:rPr>
                <w:rFonts w:hint="eastAsia" w:ascii="宋体" w:hAnsi="宋体" w:eastAsia="宋体" w:cs="宋体"/>
                <w:i w:val="0"/>
                <w:iCs w:val="0"/>
                <w:color w:val="000000"/>
                <w:sz w:val="22"/>
                <w:szCs w:val="22"/>
                <w:u w:val="none"/>
              </w:rPr>
            </w:pPr>
          </w:p>
        </w:tc>
      </w:tr>
      <w:tr w14:paraId="03BCC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6772B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56" w:type="pct"/>
            <w:vMerge w:val="restart"/>
            <w:tcBorders>
              <w:top w:val="nil"/>
              <w:left w:val="nil"/>
              <w:bottom w:val="single" w:color="000000" w:sz="8" w:space="0"/>
              <w:right w:val="nil"/>
            </w:tcBorders>
            <w:shd w:val="clear" w:color="auto" w:fill="auto"/>
            <w:vAlign w:val="center"/>
          </w:tcPr>
          <w:p w14:paraId="19D74B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不间断供电服务</w:t>
            </w:r>
          </w:p>
        </w:tc>
        <w:tc>
          <w:tcPr>
            <w:tcW w:w="3573" w:type="pct"/>
            <w:tcBorders>
              <w:top w:val="nil"/>
              <w:left w:val="single" w:color="000000" w:sz="8" w:space="0"/>
              <w:bottom w:val="nil"/>
              <w:right w:val="single" w:color="000000" w:sz="8" w:space="0"/>
            </w:tcBorders>
            <w:shd w:val="clear" w:color="auto" w:fill="auto"/>
            <w:vAlign w:val="center"/>
          </w:tcPr>
          <w:p w14:paraId="50833A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1.蓄电池采用12V-65AH、一组≥16节，</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26C292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56" w:type="pct"/>
            <w:vMerge w:val="restart"/>
            <w:tcBorders>
              <w:top w:val="nil"/>
              <w:left w:val="nil"/>
              <w:bottom w:val="single" w:color="000000" w:sz="8" w:space="0"/>
              <w:right w:val="single" w:color="000000" w:sz="8" w:space="0"/>
            </w:tcBorders>
            <w:shd w:val="clear" w:color="auto" w:fill="auto"/>
            <w:noWrap/>
            <w:vAlign w:val="center"/>
          </w:tcPr>
          <w:p w14:paraId="194FD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3A51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4B66BDBE">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3CC18196">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nil"/>
              <w:right w:val="single" w:color="000000" w:sz="8" w:space="0"/>
            </w:tcBorders>
            <w:shd w:val="clear" w:color="auto" w:fill="auto"/>
            <w:vAlign w:val="center"/>
          </w:tcPr>
          <w:p w14:paraId="64FF63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2.短路电流3000A；工作温度适用范围-15℃～+45℃ ，采用高锡低钙多元合金，板栅耐腐蚀性强，多层顶柱密封结构，密封性可靠 ，高可靠的专业阀    控密封式设计，确保电池不漏（渗）液、无酸雾、不腐蚀；</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59C5CAF6">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78D2C09C">
            <w:pPr>
              <w:jc w:val="center"/>
              <w:rPr>
                <w:rFonts w:hint="eastAsia" w:ascii="宋体" w:hAnsi="宋体" w:eastAsia="宋体" w:cs="宋体"/>
                <w:i w:val="0"/>
                <w:iCs w:val="0"/>
                <w:color w:val="000000"/>
                <w:sz w:val="22"/>
                <w:szCs w:val="22"/>
                <w:u w:val="none"/>
              </w:rPr>
            </w:pPr>
          </w:p>
        </w:tc>
      </w:tr>
      <w:tr w14:paraId="1D443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35879C5F">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vAlign w:val="center"/>
          </w:tcPr>
          <w:p w14:paraId="577B93F5">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single" w:color="000000" w:sz="8" w:space="0"/>
              <w:bottom w:val="single" w:color="000000" w:sz="8" w:space="0"/>
              <w:right w:val="single" w:color="000000" w:sz="8" w:space="0"/>
            </w:tcBorders>
            <w:shd w:val="clear" w:color="auto" w:fill="auto"/>
            <w:vAlign w:val="center"/>
          </w:tcPr>
          <w:p w14:paraId="26695F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3.超长的使用寿命，采用专利子母板栅结构及极板高温高湿固化工艺，设计寿命高达8-10年；  极小的自放电电流，用优质高纯度材料设计，自放电电流极小，自放电所造成的容量损失每月小于2％，减轻电池存储时的维护工作。</w:t>
            </w:r>
          </w:p>
        </w:tc>
        <w:tc>
          <w:tcPr>
            <w:tcW w:w="356" w:type="pct"/>
            <w:vMerge w:val="continue"/>
            <w:tcBorders>
              <w:top w:val="nil"/>
              <w:left w:val="nil"/>
              <w:bottom w:val="single" w:color="000000" w:sz="8" w:space="0"/>
              <w:right w:val="single" w:color="000000" w:sz="8" w:space="0"/>
            </w:tcBorders>
            <w:shd w:val="clear" w:color="auto" w:fill="auto"/>
            <w:noWrap/>
            <w:vAlign w:val="center"/>
          </w:tcPr>
          <w:p w14:paraId="6F7AD455">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noWrap/>
            <w:vAlign w:val="center"/>
          </w:tcPr>
          <w:p w14:paraId="65529227">
            <w:pPr>
              <w:jc w:val="center"/>
              <w:rPr>
                <w:rFonts w:hint="eastAsia" w:ascii="宋体" w:hAnsi="宋体" w:eastAsia="宋体" w:cs="宋体"/>
                <w:i w:val="0"/>
                <w:iCs w:val="0"/>
                <w:color w:val="000000"/>
                <w:sz w:val="22"/>
                <w:szCs w:val="22"/>
                <w:u w:val="none"/>
              </w:rPr>
            </w:pPr>
          </w:p>
        </w:tc>
      </w:tr>
      <w:tr w14:paraId="04A95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6" w:type="pct"/>
            <w:tcBorders>
              <w:top w:val="nil"/>
              <w:left w:val="single" w:color="000000" w:sz="8" w:space="0"/>
              <w:bottom w:val="single" w:color="000000" w:sz="8" w:space="0"/>
              <w:right w:val="single" w:color="000000" w:sz="8" w:space="0"/>
            </w:tcBorders>
            <w:shd w:val="clear" w:color="auto" w:fill="auto"/>
            <w:noWrap/>
            <w:vAlign w:val="center"/>
          </w:tcPr>
          <w:p w14:paraId="04176D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56" w:type="pct"/>
            <w:tcBorders>
              <w:top w:val="nil"/>
              <w:left w:val="nil"/>
              <w:bottom w:val="single" w:color="000000" w:sz="8" w:space="0"/>
              <w:right w:val="single" w:color="000000" w:sz="8" w:space="0"/>
            </w:tcBorders>
            <w:shd w:val="clear" w:color="auto" w:fill="auto"/>
            <w:vAlign w:val="center"/>
          </w:tcPr>
          <w:p w14:paraId="512895C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供电配套</w:t>
            </w:r>
          </w:p>
        </w:tc>
        <w:tc>
          <w:tcPr>
            <w:tcW w:w="3573" w:type="pct"/>
            <w:tcBorders>
              <w:top w:val="nil"/>
              <w:left w:val="nil"/>
              <w:bottom w:val="single" w:color="000000" w:sz="8" w:space="0"/>
              <w:right w:val="single" w:color="000000" w:sz="8" w:space="0"/>
            </w:tcBorders>
            <w:shd w:val="clear" w:color="auto" w:fill="auto"/>
            <w:vAlign w:val="center"/>
          </w:tcPr>
          <w:p w14:paraId="041458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1.单个柜子可装≥16节12V65AH蓄电池。</w:t>
            </w:r>
          </w:p>
        </w:tc>
        <w:tc>
          <w:tcPr>
            <w:tcW w:w="356" w:type="pct"/>
            <w:tcBorders>
              <w:top w:val="nil"/>
              <w:left w:val="nil"/>
              <w:bottom w:val="single" w:color="000000" w:sz="8" w:space="0"/>
              <w:right w:val="nil"/>
            </w:tcBorders>
            <w:shd w:val="clear" w:color="auto" w:fill="auto"/>
            <w:noWrap/>
            <w:vAlign w:val="center"/>
          </w:tcPr>
          <w:p w14:paraId="24F6E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tcBorders>
              <w:top w:val="nil"/>
              <w:left w:val="single" w:color="000000" w:sz="8" w:space="0"/>
              <w:bottom w:val="single" w:color="000000" w:sz="8" w:space="0"/>
              <w:right w:val="single" w:color="000000" w:sz="8" w:space="0"/>
            </w:tcBorders>
            <w:shd w:val="clear" w:color="auto" w:fill="auto"/>
            <w:noWrap/>
            <w:vAlign w:val="center"/>
          </w:tcPr>
          <w:p w14:paraId="026B15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521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6EC933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56" w:type="pct"/>
            <w:vMerge w:val="restart"/>
            <w:tcBorders>
              <w:top w:val="nil"/>
              <w:left w:val="nil"/>
              <w:bottom w:val="single" w:color="000000" w:sz="8" w:space="0"/>
              <w:right w:val="single" w:color="000000" w:sz="8" w:space="0"/>
            </w:tcBorders>
            <w:shd w:val="clear" w:color="auto" w:fill="auto"/>
            <w:vAlign w:val="center"/>
          </w:tcPr>
          <w:p w14:paraId="57A219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配套服务1</w:t>
            </w:r>
          </w:p>
        </w:tc>
        <w:tc>
          <w:tcPr>
            <w:tcW w:w="3573" w:type="pct"/>
            <w:vMerge w:val="restart"/>
            <w:tcBorders>
              <w:top w:val="nil"/>
              <w:left w:val="nil"/>
              <w:bottom w:val="single" w:color="000000" w:sz="8" w:space="0"/>
              <w:right w:val="single" w:color="000000" w:sz="8" w:space="0"/>
            </w:tcBorders>
            <w:shd w:val="clear" w:color="auto" w:fill="auto"/>
            <w:vAlign w:val="center"/>
          </w:tcPr>
          <w:p w14:paraId="1EFB91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静载800KG，1.2-2.0铝柱，4个风机，≥4个托板,PDU8位16A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规格:≥600*1200*2000</w:t>
            </w:r>
          </w:p>
        </w:tc>
        <w:tc>
          <w:tcPr>
            <w:tcW w:w="356" w:type="pct"/>
            <w:vMerge w:val="restart"/>
            <w:tcBorders>
              <w:top w:val="nil"/>
              <w:left w:val="nil"/>
              <w:bottom w:val="single" w:color="000000" w:sz="8" w:space="0"/>
              <w:right w:val="nil"/>
            </w:tcBorders>
            <w:shd w:val="clear" w:color="auto" w:fill="auto"/>
            <w:noWrap/>
            <w:vAlign w:val="center"/>
          </w:tcPr>
          <w:p w14:paraId="3686A3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1A29A2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A81F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7E81E6BF">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6956A13B">
            <w:pPr>
              <w:jc w:val="center"/>
              <w:rPr>
                <w:rFonts w:hint="eastAsia" w:ascii="微软雅黑" w:hAnsi="微软雅黑" w:eastAsia="微软雅黑" w:cs="微软雅黑"/>
                <w:i w:val="0"/>
                <w:iCs w:val="0"/>
                <w:color w:val="000000"/>
                <w:sz w:val="18"/>
                <w:szCs w:val="18"/>
                <w:u w:val="none"/>
              </w:rPr>
            </w:pPr>
          </w:p>
        </w:tc>
        <w:tc>
          <w:tcPr>
            <w:tcW w:w="3573" w:type="pct"/>
            <w:vMerge w:val="continue"/>
            <w:tcBorders>
              <w:top w:val="nil"/>
              <w:left w:val="nil"/>
              <w:bottom w:val="single" w:color="000000" w:sz="8" w:space="0"/>
              <w:right w:val="single" w:color="000000" w:sz="8" w:space="0"/>
            </w:tcBorders>
            <w:shd w:val="clear" w:color="auto" w:fill="auto"/>
            <w:vAlign w:val="center"/>
          </w:tcPr>
          <w:p w14:paraId="15A37BEB">
            <w:pPr>
              <w:jc w:val="left"/>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noWrap/>
            <w:vAlign w:val="center"/>
          </w:tcPr>
          <w:p w14:paraId="5A3650EF">
            <w:pPr>
              <w:jc w:val="center"/>
              <w:rPr>
                <w:rFonts w:hint="eastAsia" w:ascii="宋体" w:hAnsi="宋体" w:eastAsia="宋体" w:cs="宋体"/>
                <w:i w:val="0"/>
                <w:iCs w:val="0"/>
                <w:color w:val="000000"/>
                <w:sz w:val="22"/>
                <w:szCs w:val="22"/>
                <w:u w:val="none"/>
              </w:rPr>
            </w:pPr>
          </w:p>
        </w:tc>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63CE09FA">
            <w:pPr>
              <w:jc w:val="center"/>
              <w:rPr>
                <w:rFonts w:hint="eastAsia" w:ascii="宋体" w:hAnsi="宋体" w:eastAsia="宋体" w:cs="宋体"/>
                <w:i w:val="0"/>
                <w:iCs w:val="0"/>
                <w:color w:val="000000"/>
                <w:sz w:val="22"/>
                <w:szCs w:val="22"/>
                <w:u w:val="none"/>
              </w:rPr>
            </w:pPr>
          </w:p>
        </w:tc>
      </w:tr>
      <w:tr w14:paraId="067AA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1AB5B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56" w:type="pct"/>
            <w:vMerge w:val="restart"/>
            <w:tcBorders>
              <w:top w:val="nil"/>
              <w:left w:val="nil"/>
              <w:bottom w:val="single" w:color="000000" w:sz="8" w:space="0"/>
              <w:right w:val="single" w:color="000000" w:sz="8" w:space="0"/>
            </w:tcBorders>
            <w:shd w:val="clear" w:color="auto" w:fill="auto"/>
            <w:vAlign w:val="center"/>
          </w:tcPr>
          <w:p w14:paraId="578209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配套服务2</w:t>
            </w:r>
          </w:p>
        </w:tc>
        <w:tc>
          <w:tcPr>
            <w:tcW w:w="357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1BA7D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 质: SPCC硬质钢板 ，PVC防静电地板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2.填 充: 高强度发泡水泥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3.钢板厚度: 上0.5MM下0.4MM ，单片载荷: ≥200KG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4.覆盖面积：≥13.5㎡</w:t>
            </w:r>
          </w:p>
        </w:tc>
        <w:tc>
          <w:tcPr>
            <w:tcW w:w="356" w:type="pct"/>
            <w:vMerge w:val="restart"/>
            <w:tcBorders>
              <w:top w:val="nil"/>
              <w:left w:val="nil"/>
              <w:bottom w:val="single" w:color="000000" w:sz="8" w:space="0"/>
              <w:right w:val="nil"/>
            </w:tcBorders>
            <w:shd w:val="clear" w:color="auto" w:fill="auto"/>
            <w:noWrap/>
            <w:vAlign w:val="center"/>
          </w:tcPr>
          <w:p w14:paraId="53DDE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2274B2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7317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225A0E33">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79F32515">
            <w:pPr>
              <w:jc w:val="center"/>
              <w:rPr>
                <w:rFonts w:hint="eastAsia" w:ascii="微软雅黑" w:hAnsi="微软雅黑" w:eastAsia="微软雅黑" w:cs="微软雅黑"/>
                <w:i w:val="0"/>
                <w:iCs w:val="0"/>
                <w:color w:val="000000"/>
                <w:sz w:val="18"/>
                <w:szCs w:val="18"/>
                <w:u w:val="none"/>
              </w:rPr>
            </w:pPr>
          </w:p>
        </w:tc>
        <w:tc>
          <w:tcPr>
            <w:tcW w:w="3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2211765">
            <w:pPr>
              <w:jc w:val="left"/>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noWrap/>
            <w:vAlign w:val="center"/>
          </w:tcPr>
          <w:p w14:paraId="089A844E">
            <w:pPr>
              <w:jc w:val="center"/>
              <w:rPr>
                <w:rFonts w:hint="eastAsia" w:ascii="宋体" w:hAnsi="宋体" w:eastAsia="宋体" w:cs="宋体"/>
                <w:i w:val="0"/>
                <w:iCs w:val="0"/>
                <w:color w:val="000000"/>
                <w:sz w:val="22"/>
                <w:szCs w:val="22"/>
                <w:u w:val="none"/>
              </w:rPr>
            </w:pPr>
          </w:p>
        </w:tc>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51C41D75">
            <w:pPr>
              <w:jc w:val="center"/>
              <w:rPr>
                <w:rFonts w:hint="eastAsia" w:ascii="宋体" w:hAnsi="宋体" w:eastAsia="宋体" w:cs="宋体"/>
                <w:i w:val="0"/>
                <w:iCs w:val="0"/>
                <w:color w:val="000000"/>
                <w:sz w:val="22"/>
                <w:szCs w:val="22"/>
                <w:u w:val="none"/>
              </w:rPr>
            </w:pPr>
          </w:p>
        </w:tc>
      </w:tr>
      <w:tr w14:paraId="75B41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39544929">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5D0C3D1F">
            <w:pPr>
              <w:jc w:val="center"/>
              <w:rPr>
                <w:rFonts w:hint="eastAsia" w:ascii="微软雅黑" w:hAnsi="微软雅黑" w:eastAsia="微软雅黑" w:cs="微软雅黑"/>
                <w:i w:val="0"/>
                <w:iCs w:val="0"/>
                <w:color w:val="000000"/>
                <w:sz w:val="18"/>
                <w:szCs w:val="18"/>
                <w:u w:val="none"/>
              </w:rPr>
            </w:pPr>
          </w:p>
        </w:tc>
        <w:tc>
          <w:tcPr>
            <w:tcW w:w="3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35B0EE5">
            <w:pPr>
              <w:jc w:val="left"/>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noWrap/>
            <w:vAlign w:val="center"/>
          </w:tcPr>
          <w:p w14:paraId="3AC3C30D">
            <w:pPr>
              <w:jc w:val="center"/>
              <w:rPr>
                <w:rFonts w:hint="eastAsia" w:ascii="宋体" w:hAnsi="宋体" w:eastAsia="宋体" w:cs="宋体"/>
                <w:i w:val="0"/>
                <w:iCs w:val="0"/>
                <w:color w:val="000000"/>
                <w:sz w:val="22"/>
                <w:szCs w:val="22"/>
                <w:u w:val="none"/>
              </w:rPr>
            </w:pPr>
          </w:p>
        </w:tc>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08CD5595">
            <w:pPr>
              <w:jc w:val="center"/>
              <w:rPr>
                <w:rFonts w:hint="eastAsia" w:ascii="宋体" w:hAnsi="宋体" w:eastAsia="宋体" w:cs="宋体"/>
                <w:i w:val="0"/>
                <w:iCs w:val="0"/>
                <w:color w:val="000000"/>
                <w:sz w:val="22"/>
                <w:szCs w:val="22"/>
                <w:u w:val="none"/>
              </w:rPr>
            </w:pPr>
          </w:p>
        </w:tc>
      </w:tr>
      <w:tr w14:paraId="59D66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585FD61C">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03A142C6">
            <w:pPr>
              <w:jc w:val="center"/>
              <w:rPr>
                <w:rFonts w:hint="eastAsia" w:ascii="微软雅黑" w:hAnsi="微软雅黑" w:eastAsia="微软雅黑" w:cs="微软雅黑"/>
                <w:i w:val="0"/>
                <w:iCs w:val="0"/>
                <w:color w:val="000000"/>
                <w:sz w:val="18"/>
                <w:szCs w:val="18"/>
                <w:u w:val="none"/>
              </w:rPr>
            </w:pPr>
          </w:p>
        </w:tc>
        <w:tc>
          <w:tcPr>
            <w:tcW w:w="357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16488A6">
            <w:pPr>
              <w:jc w:val="left"/>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nil"/>
            </w:tcBorders>
            <w:shd w:val="clear" w:color="auto" w:fill="auto"/>
            <w:noWrap/>
            <w:vAlign w:val="center"/>
          </w:tcPr>
          <w:p w14:paraId="6231C3AA">
            <w:pPr>
              <w:jc w:val="center"/>
              <w:rPr>
                <w:rFonts w:hint="eastAsia" w:ascii="宋体" w:hAnsi="宋体" w:eastAsia="宋体" w:cs="宋体"/>
                <w:i w:val="0"/>
                <w:iCs w:val="0"/>
                <w:color w:val="000000"/>
                <w:sz w:val="22"/>
                <w:szCs w:val="22"/>
                <w:u w:val="none"/>
              </w:rPr>
            </w:pPr>
          </w:p>
        </w:tc>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00E8EEBF">
            <w:pPr>
              <w:jc w:val="center"/>
              <w:rPr>
                <w:rFonts w:hint="eastAsia" w:ascii="宋体" w:hAnsi="宋体" w:eastAsia="宋体" w:cs="宋体"/>
                <w:i w:val="0"/>
                <w:iCs w:val="0"/>
                <w:color w:val="000000"/>
                <w:sz w:val="22"/>
                <w:szCs w:val="22"/>
                <w:u w:val="none"/>
              </w:rPr>
            </w:pPr>
          </w:p>
        </w:tc>
      </w:tr>
      <w:tr w14:paraId="0F3B1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3AA36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56" w:type="pct"/>
            <w:vMerge w:val="restart"/>
            <w:tcBorders>
              <w:top w:val="nil"/>
              <w:left w:val="nil"/>
              <w:bottom w:val="single" w:color="000000" w:sz="8" w:space="0"/>
              <w:right w:val="single" w:color="000000" w:sz="8" w:space="0"/>
            </w:tcBorders>
            <w:shd w:val="clear" w:color="auto" w:fill="auto"/>
            <w:vAlign w:val="center"/>
          </w:tcPr>
          <w:p w14:paraId="1039C9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数据处理配套服务</w:t>
            </w:r>
          </w:p>
        </w:tc>
        <w:tc>
          <w:tcPr>
            <w:tcW w:w="3573" w:type="pct"/>
            <w:tcBorders>
              <w:top w:val="nil"/>
              <w:left w:val="nil"/>
              <w:bottom w:val="nil"/>
              <w:right w:val="single" w:color="000000" w:sz="8" w:space="0"/>
            </w:tcBorders>
            <w:shd w:val="clear" w:color="auto" w:fill="auto"/>
            <w:vAlign w:val="center"/>
          </w:tcPr>
          <w:p w14:paraId="6DE0DF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1.分辨率≥1280*1024；对比度：1000:1；可视面积(mm)：17英寸</w:t>
            </w:r>
          </w:p>
        </w:tc>
        <w:tc>
          <w:tcPr>
            <w:tcW w:w="356" w:type="pct"/>
            <w:vMerge w:val="restart"/>
            <w:tcBorders>
              <w:top w:val="nil"/>
              <w:left w:val="nil"/>
              <w:bottom w:val="single" w:color="000000" w:sz="8" w:space="0"/>
              <w:right w:val="nil"/>
            </w:tcBorders>
            <w:shd w:val="clear" w:color="auto" w:fill="auto"/>
            <w:noWrap/>
            <w:vAlign w:val="center"/>
          </w:tcPr>
          <w:p w14:paraId="0A1729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vMerge w:val="restart"/>
            <w:tcBorders>
              <w:top w:val="nil"/>
              <w:left w:val="single" w:color="000000" w:sz="8" w:space="0"/>
              <w:bottom w:val="single" w:color="000000" w:sz="8" w:space="0"/>
              <w:right w:val="single" w:color="000000" w:sz="8" w:space="0"/>
            </w:tcBorders>
            <w:shd w:val="clear" w:color="auto" w:fill="auto"/>
            <w:noWrap/>
            <w:vAlign w:val="center"/>
          </w:tcPr>
          <w:p w14:paraId="5E15E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B2C9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23D5D5F4">
            <w:pPr>
              <w:jc w:val="center"/>
              <w:rPr>
                <w:rFonts w:hint="eastAsia" w:ascii="宋体" w:hAnsi="宋体" w:eastAsia="宋体" w:cs="宋体"/>
                <w:i w:val="0"/>
                <w:iCs w:val="0"/>
                <w:color w:val="000000"/>
                <w:sz w:val="22"/>
                <w:szCs w:val="22"/>
                <w:u w:val="none"/>
              </w:rPr>
            </w:pPr>
          </w:p>
        </w:tc>
        <w:tc>
          <w:tcPr>
            <w:tcW w:w="356" w:type="pct"/>
            <w:vMerge w:val="continue"/>
            <w:tcBorders>
              <w:top w:val="nil"/>
              <w:left w:val="nil"/>
              <w:bottom w:val="single" w:color="000000" w:sz="8" w:space="0"/>
              <w:right w:val="single" w:color="000000" w:sz="8" w:space="0"/>
            </w:tcBorders>
            <w:shd w:val="clear" w:color="auto" w:fill="auto"/>
            <w:vAlign w:val="center"/>
          </w:tcPr>
          <w:p w14:paraId="2586A890">
            <w:pPr>
              <w:jc w:val="center"/>
              <w:rPr>
                <w:rFonts w:hint="eastAsia" w:ascii="微软雅黑" w:hAnsi="微软雅黑" w:eastAsia="微软雅黑" w:cs="微软雅黑"/>
                <w:i w:val="0"/>
                <w:iCs w:val="0"/>
                <w:color w:val="000000"/>
                <w:sz w:val="18"/>
                <w:szCs w:val="18"/>
                <w:u w:val="none"/>
              </w:rPr>
            </w:pPr>
          </w:p>
        </w:tc>
        <w:tc>
          <w:tcPr>
            <w:tcW w:w="3573" w:type="pct"/>
            <w:tcBorders>
              <w:top w:val="nil"/>
              <w:left w:val="nil"/>
              <w:bottom w:val="single" w:color="000000" w:sz="8" w:space="0"/>
              <w:right w:val="single" w:color="000000" w:sz="8" w:space="0"/>
            </w:tcBorders>
            <w:shd w:val="clear" w:color="auto" w:fill="auto"/>
            <w:vAlign w:val="center"/>
          </w:tcPr>
          <w:p w14:paraId="4BED5F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2.接口数不少于8口；视频接口：VGA</w:t>
            </w:r>
          </w:p>
        </w:tc>
        <w:tc>
          <w:tcPr>
            <w:tcW w:w="356" w:type="pct"/>
            <w:vMerge w:val="continue"/>
            <w:tcBorders>
              <w:top w:val="nil"/>
              <w:left w:val="nil"/>
              <w:bottom w:val="single" w:color="000000" w:sz="8" w:space="0"/>
              <w:right w:val="nil"/>
            </w:tcBorders>
            <w:shd w:val="clear" w:color="auto" w:fill="auto"/>
            <w:noWrap/>
            <w:vAlign w:val="center"/>
          </w:tcPr>
          <w:p w14:paraId="059FA781">
            <w:pPr>
              <w:jc w:val="center"/>
              <w:rPr>
                <w:rFonts w:hint="eastAsia" w:ascii="宋体" w:hAnsi="宋体" w:eastAsia="宋体" w:cs="宋体"/>
                <w:i w:val="0"/>
                <w:iCs w:val="0"/>
                <w:color w:val="000000"/>
                <w:sz w:val="22"/>
                <w:szCs w:val="22"/>
                <w:u w:val="none"/>
              </w:rPr>
            </w:pPr>
          </w:p>
        </w:tc>
        <w:tc>
          <w:tcPr>
            <w:tcW w:w="356" w:type="pct"/>
            <w:vMerge w:val="continue"/>
            <w:tcBorders>
              <w:top w:val="nil"/>
              <w:left w:val="single" w:color="000000" w:sz="8" w:space="0"/>
              <w:bottom w:val="single" w:color="000000" w:sz="8" w:space="0"/>
              <w:right w:val="single" w:color="000000" w:sz="8" w:space="0"/>
            </w:tcBorders>
            <w:shd w:val="clear" w:color="auto" w:fill="auto"/>
            <w:noWrap/>
            <w:vAlign w:val="center"/>
          </w:tcPr>
          <w:p w14:paraId="6FF43E16">
            <w:pPr>
              <w:jc w:val="center"/>
              <w:rPr>
                <w:rFonts w:hint="eastAsia" w:ascii="宋体" w:hAnsi="宋体" w:eastAsia="宋体" w:cs="宋体"/>
                <w:i w:val="0"/>
                <w:iCs w:val="0"/>
                <w:color w:val="000000"/>
                <w:sz w:val="22"/>
                <w:szCs w:val="22"/>
                <w:u w:val="none"/>
              </w:rPr>
            </w:pPr>
          </w:p>
        </w:tc>
      </w:tr>
      <w:tr w14:paraId="4F9D3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356" w:type="pct"/>
            <w:tcBorders>
              <w:top w:val="nil"/>
              <w:left w:val="single" w:color="000000" w:sz="8" w:space="0"/>
              <w:bottom w:val="single" w:color="000000" w:sz="8" w:space="0"/>
              <w:right w:val="single" w:color="000000" w:sz="8" w:space="0"/>
            </w:tcBorders>
            <w:shd w:val="clear" w:color="auto" w:fill="FFFFFF"/>
            <w:noWrap/>
            <w:vAlign w:val="center"/>
          </w:tcPr>
          <w:p w14:paraId="67397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56" w:type="pct"/>
            <w:tcBorders>
              <w:top w:val="nil"/>
              <w:left w:val="nil"/>
              <w:bottom w:val="single" w:color="000000" w:sz="8" w:space="0"/>
              <w:right w:val="single" w:color="000000" w:sz="8" w:space="0"/>
            </w:tcBorders>
            <w:shd w:val="clear" w:color="auto" w:fill="FFFFFF"/>
            <w:vAlign w:val="center"/>
          </w:tcPr>
          <w:p w14:paraId="678472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温控服务</w:t>
            </w:r>
          </w:p>
        </w:tc>
        <w:tc>
          <w:tcPr>
            <w:tcW w:w="3573" w:type="pct"/>
            <w:tcBorders>
              <w:top w:val="nil"/>
              <w:left w:val="nil"/>
              <w:bottom w:val="single" w:color="000000" w:sz="8" w:space="0"/>
              <w:right w:val="single" w:color="000000" w:sz="8" w:space="0"/>
            </w:tcBorders>
            <w:shd w:val="clear" w:color="auto" w:fill="FFFFFF"/>
            <w:vAlign w:val="center"/>
          </w:tcPr>
          <w:p w14:paraId="175221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1.制冷量：不小于3500W；制热功率:不小于1200W；循环风量:不小于700m³/h；制热量:不小于5000W；制冷功率:不小于800W</w:t>
            </w:r>
          </w:p>
        </w:tc>
        <w:tc>
          <w:tcPr>
            <w:tcW w:w="356" w:type="pct"/>
            <w:tcBorders>
              <w:top w:val="nil"/>
              <w:left w:val="nil"/>
              <w:bottom w:val="single" w:color="000000" w:sz="8" w:space="0"/>
              <w:right w:val="single" w:color="000000" w:sz="8" w:space="0"/>
            </w:tcBorders>
            <w:shd w:val="clear" w:color="auto" w:fill="FFFFFF"/>
            <w:noWrap/>
            <w:vAlign w:val="center"/>
          </w:tcPr>
          <w:p w14:paraId="6232DD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56" w:type="pct"/>
            <w:tcBorders>
              <w:top w:val="nil"/>
              <w:left w:val="nil"/>
              <w:bottom w:val="single" w:color="000000" w:sz="8" w:space="0"/>
              <w:right w:val="single" w:color="000000" w:sz="8" w:space="0"/>
            </w:tcBorders>
            <w:shd w:val="clear" w:color="auto" w:fill="FFFFFF"/>
            <w:noWrap/>
            <w:vAlign w:val="center"/>
          </w:tcPr>
          <w:p w14:paraId="59FE9B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74AF6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56" w:type="pct"/>
            <w:tcBorders>
              <w:top w:val="nil"/>
              <w:left w:val="single" w:color="000000" w:sz="8" w:space="0"/>
              <w:bottom w:val="single" w:color="000000" w:sz="8" w:space="0"/>
              <w:right w:val="single" w:color="000000" w:sz="8" w:space="0"/>
            </w:tcBorders>
            <w:shd w:val="clear" w:color="auto" w:fill="auto"/>
            <w:noWrap/>
            <w:vAlign w:val="center"/>
          </w:tcPr>
          <w:p w14:paraId="0E818D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56" w:type="pct"/>
            <w:tcBorders>
              <w:top w:val="nil"/>
              <w:left w:val="nil"/>
              <w:bottom w:val="single" w:color="000000" w:sz="8" w:space="0"/>
              <w:right w:val="single" w:color="000000" w:sz="8" w:space="0"/>
            </w:tcBorders>
            <w:shd w:val="clear" w:color="auto" w:fill="auto"/>
            <w:vAlign w:val="center"/>
          </w:tcPr>
          <w:p w14:paraId="7C4F12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数据应用服务</w:t>
            </w:r>
          </w:p>
        </w:tc>
        <w:tc>
          <w:tcPr>
            <w:tcW w:w="3573" w:type="pct"/>
            <w:tcBorders>
              <w:top w:val="nil"/>
              <w:left w:val="nil"/>
              <w:bottom w:val="single" w:color="000000" w:sz="8" w:space="0"/>
              <w:right w:val="single" w:color="000000" w:sz="8" w:space="0"/>
            </w:tcBorders>
            <w:shd w:val="clear" w:color="auto" w:fill="auto"/>
            <w:vAlign w:val="center"/>
          </w:tcPr>
          <w:p w14:paraId="7336F2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CPU:双核G5905  内存条：≥8G  硬盘：≥512G   显示器≥24寸</w:t>
            </w:r>
          </w:p>
        </w:tc>
        <w:tc>
          <w:tcPr>
            <w:tcW w:w="356" w:type="pct"/>
            <w:tcBorders>
              <w:top w:val="nil"/>
              <w:left w:val="nil"/>
              <w:bottom w:val="single" w:color="000000" w:sz="8" w:space="0"/>
              <w:right w:val="single" w:color="000000" w:sz="8" w:space="0"/>
            </w:tcBorders>
            <w:shd w:val="clear" w:color="auto" w:fill="auto"/>
            <w:noWrap/>
            <w:vAlign w:val="center"/>
          </w:tcPr>
          <w:p w14:paraId="639584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56" w:type="pct"/>
            <w:tcBorders>
              <w:top w:val="nil"/>
              <w:left w:val="nil"/>
              <w:bottom w:val="single" w:color="000000" w:sz="8" w:space="0"/>
              <w:right w:val="single" w:color="000000" w:sz="8" w:space="0"/>
            </w:tcBorders>
            <w:shd w:val="clear" w:color="auto" w:fill="auto"/>
            <w:noWrap/>
            <w:vAlign w:val="center"/>
          </w:tcPr>
          <w:p w14:paraId="4678B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bl>
    <w:p w14:paraId="3AD6DDAD">
      <w:pPr>
        <w:ind w:left="0" w:leftChars="0" w:firstLine="0" w:firstLineChars="0"/>
      </w:pPr>
    </w:p>
    <w:p w14:paraId="2E5C400C">
      <w:pPr>
        <w:pStyle w:val="18"/>
        <w:widowControl/>
        <w:spacing w:before="60" w:beforeAutospacing="0" w:after="60" w:afterAutospacing="0" w:line="360" w:lineRule="auto"/>
        <w:textAlignment w:val="baseline"/>
        <w:rPr>
          <w:rFonts w:hint="eastAsia" w:ascii="宋体" w:hAnsi="宋体" w:cs="宋体"/>
          <w:color w:val="333333"/>
          <w:shd w:val="clear" w:color="auto" w:fill="FFFFFF"/>
        </w:rPr>
      </w:pPr>
    </w:p>
    <w:p w14:paraId="5EA61E21">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14:paraId="33C206D2">
      <w:pPr>
        <w:rPr>
          <w:color w:val="000000" w:themeColor="text1"/>
          <w14:textFill>
            <w14:solidFill>
              <w14:schemeClr w14:val="tx1"/>
            </w14:solidFill>
          </w14:textFill>
        </w:rPr>
      </w:pPr>
    </w:p>
    <w:p w14:paraId="7DD5E57D">
      <w:pPr>
        <w:pStyle w:val="3"/>
        <w:rPr>
          <w:color w:val="000000" w:themeColor="text1"/>
          <w14:textFill>
            <w14:solidFill>
              <w14:schemeClr w14:val="tx1"/>
            </w14:solidFill>
          </w14:textFill>
        </w:rPr>
      </w:pPr>
      <w:bookmarkStart w:id="18" w:name="_Toc23916"/>
      <w:bookmarkStart w:id="19" w:name="_Toc25418"/>
      <w:bookmarkStart w:id="20" w:name="_Toc494096888"/>
      <w:r>
        <w:rPr>
          <w:rFonts w:hint="eastAsia"/>
          <w:color w:val="000000" w:themeColor="text1"/>
          <w14:textFill>
            <w14:solidFill>
              <w14:schemeClr w14:val="tx1"/>
            </w14:solidFill>
          </w14:textFill>
        </w:rPr>
        <w:t>第四部分  商务及合同草案条款</w:t>
      </w:r>
      <w:bookmarkEnd w:id="18"/>
      <w:bookmarkEnd w:id="19"/>
    </w:p>
    <w:p w14:paraId="075FA0EE">
      <w:pPr>
        <w:jc w:val="center"/>
        <w:rPr>
          <w:rFonts w:ascii="宋体" w:hAnsi="宋体" w:cs="宋体"/>
          <w:color w:val="000000" w:themeColor="text1"/>
          <w:sz w:val="28"/>
          <w:szCs w:val="28"/>
          <w14:textFill>
            <w14:solidFill>
              <w14:schemeClr w14:val="tx1"/>
            </w14:solidFill>
          </w14:textFill>
        </w:rPr>
      </w:pPr>
      <w:bookmarkStart w:id="21" w:name="_Toc1757"/>
      <w:bookmarkStart w:id="22" w:name="_Toc4134"/>
      <w:bookmarkStart w:id="23" w:name="_Toc19835"/>
      <w:bookmarkStart w:id="24" w:name="_Toc6233"/>
      <w:bookmarkStart w:id="25" w:name="_Toc8421"/>
      <w:bookmarkStart w:id="26" w:name="_Toc24939"/>
      <w:bookmarkStart w:id="27" w:name="_Toc26719"/>
      <w:r>
        <w:rPr>
          <w:rFonts w:hint="eastAsia" w:ascii="宋体" w:hAnsi="宋体" w:cs="宋体"/>
          <w:b/>
          <w:bCs/>
          <w:color w:val="000000" w:themeColor="text1"/>
          <w:sz w:val="28"/>
          <w:szCs w:val="28"/>
          <w14:textFill>
            <w14:solidFill>
              <w14:schemeClr w14:val="tx1"/>
            </w14:solidFill>
          </w14:textFill>
        </w:rPr>
        <w:t>商务条款</w:t>
      </w:r>
      <w:bookmarkEnd w:id="21"/>
      <w:bookmarkEnd w:id="22"/>
      <w:bookmarkEnd w:id="23"/>
      <w:bookmarkEnd w:id="24"/>
      <w:bookmarkEnd w:id="25"/>
      <w:bookmarkEnd w:id="26"/>
      <w:bookmarkEnd w:id="27"/>
    </w:p>
    <w:p w14:paraId="2DD79EF8">
      <w:pPr>
        <w:numPr>
          <w:ilvl w:val="0"/>
          <w:numId w:val="9"/>
        </w:num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服务地点：</w:t>
      </w:r>
      <w:r>
        <w:rPr>
          <w:rFonts w:hint="eastAsia" w:ascii="宋体" w:hAnsi="宋体" w:cs="宋体"/>
          <w:color w:val="000000" w:themeColor="text1"/>
          <w:sz w:val="24"/>
          <w14:textFill>
            <w14:solidFill>
              <w14:schemeClr w14:val="tx1"/>
            </w14:solidFill>
          </w14:textFill>
        </w:rPr>
        <w:t>采购人指定地点。</w:t>
      </w:r>
    </w:p>
    <w:p w14:paraId="49050C1C">
      <w:pPr>
        <w:autoSpaceDE w:val="0"/>
        <w:autoSpaceDN w:val="0"/>
        <w:adjustRightInd w:val="0"/>
        <w:snapToGrid w:val="0"/>
        <w:spacing w:line="360" w:lineRule="auto"/>
        <w:rPr>
          <w:rFonts w:hint="default" w:ascii="宋体" w:hAnsi="宋体" w:eastAsia="宋体" w:cs="宋体"/>
          <w:b/>
          <w:bCs/>
          <w:color w:val="000000" w:themeColor="text1"/>
          <w:sz w:val="24"/>
          <w:highlight w:val="none"/>
          <w:lang w:val="en-US"/>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二、</w:t>
      </w:r>
      <w:r>
        <w:rPr>
          <w:rFonts w:hint="eastAsia" w:ascii="宋体" w:hAnsi="宋体" w:eastAsia="宋体" w:cs="宋体"/>
          <w:b/>
          <w:bCs/>
          <w:color w:val="000000" w:themeColor="text1"/>
          <w:sz w:val="24"/>
          <w:highlight w:val="none"/>
          <w:lang w:val="en-US" w:eastAsia="zh-CN"/>
          <w14:textFill>
            <w14:solidFill>
              <w14:schemeClr w14:val="tx1"/>
            </w14:solidFill>
          </w14:textFill>
        </w:rPr>
        <w:t>交付期：</w:t>
      </w:r>
      <w:r>
        <w:rPr>
          <w:rFonts w:hint="eastAsia" w:ascii="宋体" w:hAnsi="宋体" w:cs="宋体"/>
          <w:b/>
          <w:bCs/>
          <w:color w:val="000000" w:themeColor="text1"/>
          <w:sz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highlight w:val="none"/>
          <w:lang w:val="en-US" w:eastAsia="zh-CN"/>
          <w14:textFill>
            <w14:solidFill>
              <w14:schemeClr w14:val="tx1"/>
            </w14:solidFill>
          </w14:textFill>
        </w:rPr>
        <w:t>0日历天</w:t>
      </w:r>
    </w:p>
    <w:p w14:paraId="0D1C8A8F">
      <w:pPr>
        <w:autoSpaceDE w:val="0"/>
        <w:autoSpaceDN w:val="0"/>
        <w:adjustRightInd w:val="0"/>
        <w:snapToGrid w:val="0"/>
        <w:spacing w:line="360" w:lineRule="auto"/>
        <w:ind w:firstLine="482" w:firstLineChars="200"/>
        <w:rPr>
          <w:rFonts w:hint="default"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服务期</w:t>
      </w:r>
      <w:r>
        <w:rPr>
          <w:rFonts w:hint="eastAsia" w:ascii="宋体" w:hAnsi="宋体" w:cs="宋体"/>
          <w:b/>
          <w:color w:val="000000" w:themeColor="text1"/>
          <w:sz w:val="24"/>
          <w:highlight w:val="none"/>
          <w:lang w:eastAsia="zh-CN"/>
          <w14:textFill>
            <w14:solidFill>
              <w14:schemeClr w14:val="tx1"/>
            </w14:solidFill>
          </w14:textFill>
        </w:rPr>
        <w:t>：</w:t>
      </w:r>
      <w:r>
        <w:rPr>
          <w:rFonts w:hint="eastAsia" w:ascii="宋体" w:hAnsi="宋体" w:cs="宋体"/>
          <w:b/>
          <w:color w:val="000000" w:themeColor="text1"/>
          <w:sz w:val="24"/>
          <w:highlight w:val="none"/>
          <w:lang w:val="en-US" w:eastAsia="zh-CN"/>
          <w14:textFill>
            <w14:solidFill>
              <w14:schemeClr w14:val="tx1"/>
            </w14:solidFill>
          </w14:textFill>
        </w:rPr>
        <w:t>1年</w:t>
      </w:r>
    </w:p>
    <w:p w14:paraId="4F3AB302">
      <w:pPr>
        <w:spacing w:line="360" w:lineRule="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三、合同价款及付款方式</w:t>
      </w:r>
    </w:p>
    <w:p w14:paraId="6E6C8660">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1、合同总价为：项目完成过程中的所有费用。包括人员、验收、培训、运行维护、质量保证、税金等。</w:t>
      </w:r>
    </w:p>
    <w:p w14:paraId="348EDB5E">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2、合同有效期内，合同总价一次包死，不受国家政策性调价或原材料价格变化及外汇汇率变化的影响。</w:t>
      </w:r>
    </w:p>
    <w:p w14:paraId="5B919A2B">
      <w:pPr>
        <w:spacing w:line="360" w:lineRule="auto"/>
        <w:ind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3、付款方式：</w:t>
      </w:r>
      <w:r>
        <w:rPr>
          <w:rFonts w:hint="eastAsia" w:ascii="宋体" w:hAnsi="宋体" w:cs="宋体"/>
          <w:color w:val="auto"/>
          <w:sz w:val="24"/>
          <w:highlight w:val="none"/>
          <w:lang w:eastAsia="zh-CN"/>
        </w:rPr>
        <w:t>合同签订后，首付合同总价款的</w:t>
      </w:r>
      <w:r>
        <w:rPr>
          <w:rFonts w:hint="eastAsia" w:ascii="宋体" w:hAnsi="宋体" w:cs="宋体"/>
          <w:color w:val="auto"/>
          <w:sz w:val="24"/>
          <w:highlight w:val="none"/>
          <w:lang w:val="en-US" w:eastAsia="zh-CN"/>
        </w:rPr>
        <w:t>50</w:t>
      </w:r>
      <w:r>
        <w:rPr>
          <w:rFonts w:hint="eastAsia" w:ascii="宋体" w:hAnsi="宋体" w:cs="宋体"/>
          <w:color w:val="auto"/>
          <w:sz w:val="24"/>
          <w:highlight w:val="none"/>
          <w:lang w:eastAsia="zh-CN"/>
        </w:rPr>
        <w:t>%，验收合格后支付总价款的</w:t>
      </w:r>
      <w:r>
        <w:rPr>
          <w:rFonts w:hint="eastAsia" w:ascii="宋体" w:hAnsi="宋体" w:cs="宋体"/>
          <w:color w:val="auto"/>
          <w:sz w:val="24"/>
          <w:highlight w:val="none"/>
          <w:lang w:val="en-US" w:eastAsia="zh-CN"/>
        </w:rPr>
        <w:t>45</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验收合格1年</w:t>
      </w:r>
      <w:r>
        <w:rPr>
          <w:rFonts w:hint="eastAsia" w:ascii="宋体" w:hAnsi="宋体" w:cs="宋体"/>
          <w:color w:val="auto"/>
          <w:sz w:val="24"/>
          <w:highlight w:val="none"/>
          <w:lang w:eastAsia="zh-CN"/>
        </w:rPr>
        <w:t>后支付合同总价款的</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w:t>
      </w:r>
    </w:p>
    <w:p w14:paraId="31AC43CB">
      <w:pPr>
        <w:spacing w:line="460" w:lineRule="exact"/>
        <w:ind w:firstLine="480" w:firstLineChars="200"/>
        <w:rPr>
          <w:rFonts w:ascii="宋体" w:hAnsi="宋体" w:cs="宋体"/>
          <w:color w:val="000000" w:themeColor="text1"/>
          <w:sz w:val="24"/>
          <w14:textFill>
            <w14:solidFill>
              <w14:schemeClr w14:val="tx1"/>
            </w14:solidFill>
          </w14:textFill>
        </w:rPr>
      </w:pPr>
    </w:p>
    <w:p w14:paraId="5D601F53">
      <w:pPr>
        <w:rPr>
          <w:rFonts w:ascii="宋体" w:hAnsi="宋体" w:cs="宋体"/>
          <w:color w:val="000000" w:themeColor="text1"/>
          <w:sz w:val="24"/>
          <w14:textFill>
            <w14:solidFill>
              <w14:schemeClr w14:val="tx1"/>
            </w14:solidFill>
          </w14:textFill>
        </w:rPr>
      </w:pPr>
    </w:p>
    <w:p w14:paraId="4782EDF8">
      <w:pPr>
        <w:pStyle w:val="2"/>
        <w:rPr>
          <w:rFonts w:ascii="宋体" w:hAnsi="宋体" w:cs="宋体"/>
          <w:color w:val="000000" w:themeColor="text1"/>
          <w14:textFill>
            <w14:solidFill>
              <w14:schemeClr w14:val="tx1"/>
            </w14:solidFill>
          </w14:textFill>
        </w:rPr>
      </w:pPr>
    </w:p>
    <w:p w14:paraId="4786A7F4">
      <w:pPr>
        <w:pStyle w:val="2"/>
        <w:rPr>
          <w:rFonts w:ascii="宋体" w:hAnsi="宋体" w:cs="宋体"/>
          <w:color w:val="000000" w:themeColor="text1"/>
          <w14:textFill>
            <w14:solidFill>
              <w14:schemeClr w14:val="tx1"/>
            </w14:solidFill>
          </w14:textFill>
        </w:rPr>
      </w:pPr>
    </w:p>
    <w:p w14:paraId="490567A4">
      <w:pPr>
        <w:rPr>
          <w:rFonts w:ascii="宋体" w:hAnsi="宋体" w:cs="宋体"/>
          <w:color w:val="000000" w:themeColor="text1"/>
          <w:sz w:val="24"/>
          <w14:textFill>
            <w14:solidFill>
              <w14:schemeClr w14:val="tx1"/>
            </w14:solidFill>
          </w14:textFill>
        </w:rPr>
      </w:pPr>
    </w:p>
    <w:p w14:paraId="21F9967A">
      <w:pPr>
        <w:pStyle w:val="2"/>
        <w:rPr>
          <w:rFonts w:ascii="宋体" w:hAnsi="宋体" w:cs="宋体"/>
          <w:color w:val="000000" w:themeColor="text1"/>
          <w14:textFill>
            <w14:solidFill>
              <w14:schemeClr w14:val="tx1"/>
            </w14:solidFill>
          </w14:textFill>
        </w:rPr>
      </w:pPr>
    </w:p>
    <w:p w14:paraId="6E504CBF">
      <w:pPr>
        <w:pStyle w:val="17"/>
        <w:rPr>
          <w:color w:val="000000" w:themeColor="text1"/>
          <w14:textFill>
            <w14:solidFill>
              <w14:schemeClr w14:val="tx1"/>
            </w14:solidFill>
          </w14:textFill>
        </w:rPr>
      </w:pPr>
    </w:p>
    <w:p w14:paraId="21217739">
      <w:pPr>
        <w:rPr>
          <w:rFonts w:ascii="宋体" w:hAnsi="宋体" w:cs="宋体"/>
          <w:color w:val="000000" w:themeColor="text1"/>
          <w:sz w:val="24"/>
          <w14:textFill>
            <w14:solidFill>
              <w14:schemeClr w14:val="tx1"/>
            </w14:solidFill>
          </w14:textFill>
        </w:rPr>
      </w:pPr>
    </w:p>
    <w:p w14:paraId="6ABA6B79">
      <w:pPr>
        <w:pStyle w:val="2"/>
        <w:rPr>
          <w:rFonts w:ascii="宋体" w:hAnsi="宋体" w:cs="宋体"/>
          <w:color w:val="000000" w:themeColor="text1"/>
          <w14:textFill>
            <w14:solidFill>
              <w14:schemeClr w14:val="tx1"/>
            </w14:solidFill>
          </w14:textFill>
        </w:rPr>
      </w:pPr>
    </w:p>
    <w:p w14:paraId="2A699963">
      <w:pPr>
        <w:rPr>
          <w:rFonts w:ascii="宋体" w:hAnsi="宋体" w:cs="宋体"/>
          <w:color w:val="000000" w:themeColor="text1"/>
          <w:sz w:val="24"/>
          <w14:textFill>
            <w14:solidFill>
              <w14:schemeClr w14:val="tx1"/>
            </w14:solidFill>
          </w14:textFill>
        </w:rPr>
      </w:pPr>
    </w:p>
    <w:p w14:paraId="6DB80210">
      <w:pPr>
        <w:pStyle w:val="2"/>
        <w:rPr>
          <w:rFonts w:ascii="宋体" w:hAnsi="宋体" w:cs="宋体"/>
          <w:color w:val="000000" w:themeColor="text1"/>
          <w14:textFill>
            <w14:solidFill>
              <w14:schemeClr w14:val="tx1"/>
            </w14:solidFill>
          </w14:textFill>
        </w:rPr>
      </w:pPr>
    </w:p>
    <w:p w14:paraId="74C8DC6A">
      <w:pPr>
        <w:pStyle w:val="11"/>
        <w:rPr>
          <w:rFonts w:ascii="宋体" w:hAnsi="宋体" w:cs="宋体"/>
          <w:color w:val="000000" w:themeColor="text1"/>
          <w:sz w:val="24"/>
          <w:szCs w:val="24"/>
          <w14:textFill>
            <w14:solidFill>
              <w14:schemeClr w14:val="tx1"/>
            </w14:solidFill>
          </w14:textFill>
        </w:rPr>
      </w:pPr>
    </w:p>
    <w:p w14:paraId="7E524BE6">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p>
    <w:p w14:paraId="7915245C">
      <w:pPr>
        <w:tabs>
          <w:tab w:val="left" w:pos="1427"/>
        </w:tabs>
        <w:ind w:firstLine="3640" w:firstLineChars="1300"/>
        <w:jc w:val="left"/>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w:t>
      </w:r>
      <w:r>
        <w:rPr>
          <w:rFonts w:hint="eastAsia" w:ascii="宋体" w:hAnsi="宋体" w:cs="宋体"/>
          <w:b/>
          <w:bCs/>
          <w:color w:val="000000" w:themeColor="text1"/>
          <w:sz w:val="32"/>
          <w:szCs w:val="32"/>
          <w14:textFill>
            <w14:solidFill>
              <w14:schemeClr w14:val="tx1"/>
            </w14:solidFill>
          </w14:textFill>
        </w:rPr>
        <w:t>合同草案条款</w:t>
      </w:r>
    </w:p>
    <w:p w14:paraId="47AB1BAC">
      <w:pPr>
        <w:autoSpaceDE w:val="0"/>
        <w:autoSpaceDN w:val="0"/>
        <w:adjustRightInd w:val="0"/>
        <w:spacing w:line="520" w:lineRule="exact"/>
        <w:jc w:val="center"/>
        <w:rPr>
          <w:rFonts w:hint="default" w:ascii="宋体" w:hAnsi="宋体" w:eastAsia="宋体" w:cs="宋体"/>
          <w:kern w:val="0"/>
          <w:sz w:val="32"/>
          <w:szCs w:val="32"/>
          <w:lang w:val="en-US" w:eastAsia="zh-CN"/>
        </w:rPr>
      </w:pPr>
      <w:bookmarkStart w:id="28" w:name="_Toc32660"/>
      <w:r>
        <w:rPr>
          <w:rFonts w:hint="eastAsia" w:ascii="宋体" w:hAnsi="宋体" w:eastAsia="宋体" w:cs="宋体"/>
          <w:kern w:val="0"/>
          <w:sz w:val="32"/>
          <w:szCs w:val="32"/>
          <w:lang w:val="en-US" w:eastAsia="zh-CN"/>
        </w:rPr>
        <w:t>合同格式</w:t>
      </w:r>
    </w:p>
    <w:p w14:paraId="497543D3">
      <w:pPr>
        <w:tabs>
          <w:tab w:val="left" w:pos="735"/>
        </w:tabs>
        <w:autoSpaceDE w:val="0"/>
        <w:autoSpaceDN w:val="0"/>
        <w:adjustRightInd w:val="0"/>
        <w:snapToGrid w:val="0"/>
        <w:spacing w:line="440" w:lineRule="exact"/>
        <w:rPr>
          <w:rFonts w:ascii="宋体" w:hAnsi="宋体" w:eastAsiaTheme="minorEastAsia"/>
          <w:b/>
          <w:bCs/>
          <w:color w:val="000000" w:themeColor="text1"/>
          <w:sz w:val="24"/>
          <w14:textFill>
            <w14:solidFill>
              <w14:schemeClr w14:val="tx1"/>
            </w14:solidFill>
          </w14:textFill>
        </w:rPr>
      </w:pPr>
      <w:r>
        <w:rPr>
          <w:rFonts w:hint="eastAsia" w:ascii="宋体" w:hAnsi="宋体"/>
          <w:b/>
          <w:bCs/>
          <w:color w:val="000000" w:themeColor="text1"/>
          <w:sz w:val="24"/>
          <w:lang w:val="zh-CN"/>
          <w14:textFill>
            <w14:solidFill>
              <w14:schemeClr w14:val="tx1"/>
            </w14:solidFill>
          </w14:textFill>
        </w:rPr>
        <w:t>采购人（以下简称甲方）：</w:t>
      </w:r>
      <w:r>
        <w:rPr>
          <w:rFonts w:hint="eastAsia" w:ascii="宋体" w:hAnsi="宋体"/>
          <w:b/>
          <w:bCs/>
          <w:color w:val="000000" w:themeColor="text1"/>
          <w:sz w:val="24"/>
          <w:u w:val="single"/>
          <w14:textFill>
            <w14:solidFill>
              <w14:schemeClr w14:val="tx1"/>
            </w14:solidFill>
          </w14:textFill>
        </w:rPr>
        <w:t xml:space="preserve">                         </w:t>
      </w:r>
    </w:p>
    <w:p w14:paraId="7432E1BE">
      <w:pPr>
        <w:tabs>
          <w:tab w:val="left" w:pos="735"/>
        </w:tabs>
        <w:autoSpaceDE w:val="0"/>
        <w:autoSpaceDN w:val="0"/>
        <w:adjustRightInd w:val="0"/>
        <w:snapToGrid w:val="0"/>
        <w:spacing w:line="440" w:lineRule="exact"/>
        <w:rPr>
          <w:rFonts w:ascii="宋体" w:hAnsi="宋体"/>
          <w:bCs/>
          <w:color w:val="000000" w:themeColor="text1"/>
          <w:sz w:val="24"/>
          <w:lang w:val="zh-CN"/>
          <w14:textFill>
            <w14:solidFill>
              <w14:schemeClr w14:val="tx1"/>
            </w14:solidFill>
          </w14:textFill>
        </w:rPr>
      </w:pPr>
      <w:r>
        <w:rPr>
          <w:rFonts w:hint="eastAsia" w:ascii="宋体" w:hAnsi="宋体"/>
          <w:b/>
          <w:bCs/>
          <w:color w:val="000000" w:themeColor="text1"/>
          <w:sz w:val="24"/>
          <w:lang w:val="zh-CN"/>
          <w14:textFill>
            <w14:solidFill>
              <w14:schemeClr w14:val="tx1"/>
            </w14:solidFill>
          </w14:textFill>
        </w:rPr>
        <w:t>供应商（以下简称乙方）：</w:t>
      </w:r>
      <w:r>
        <w:rPr>
          <w:rFonts w:hint="eastAsia" w:ascii="宋体" w:hAnsi="宋体"/>
          <w:b/>
          <w:bCs/>
          <w:color w:val="000000" w:themeColor="text1"/>
          <w:sz w:val="24"/>
          <w:u w:val="single"/>
          <w:lang w:val="zh-CN"/>
          <w14:textFill>
            <w14:solidFill>
              <w14:schemeClr w14:val="tx1"/>
            </w14:solidFill>
          </w14:textFill>
        </w:rPr>
        <w:t xml:space="preserve">                         </w:t>
      </w:r>
    </w:p>
    <w:p w14:paraId="188FD6C7">
      <w:pPr>
        <w:spacing w:line="360" w:lineRule="auto"/>
        <w:ind w:firstLine="480" w:firstLineChars="200"/>
        <w:rPr>
          <w:rFonts w:ascii="宋体" w:hAnsi="宋体" w:cs="宋体"/>
          <w:color w:val="000000" w:themeColor="text1"/>
          <w:sz w:val="24"/>
          <w14:textFill>
            <w14:solidFill>
              <w14:schemeClr w14:val="tx1"/>
            </w14:solidFill>
          </w14:textFill>
        </w:rPr>
      </w:pPr>
    </w:p>
    <w:p w14:paraId="2D1BA0BE">
      <w:pPr>
        <w:pStyle w:val="10"/>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color w:val="000000" w:themeColor="text1"/>
          <w:sz w:val="24"/>
          <w:szCs w:val="24"/>
          <w14:textFill>
            <w14:solidFill>
              <w14:schemeClr w14:val="tx1"/>
            </w14:solidFill>
          </w14:textFill>
        </w:rPr>
        <w:t>根据《中华人民共和国政府采购法》《中华人民共和国民法典》及相关法律法规，甲、乙双方就</w:t>
      </w:r>
      <w:r>
        <w:rPr>
          <w:rFonts w:hint="eastAsia" w:hAnsi="宋体" w:cs="宋体"/>
          <w:color w:val="000000" w:themeColor="text1"/>
          <w:sz w:val="24"/>
          <w:szCs w:val="24"/>
          <w:lang w:val="en-US" w:eastAsia="zh-CN"/>
          <w14:textFill>
            <w14:solidFill>
              <w14:schemeClr w14:val="tx1"/>
            </w14:solidFill>
          </w14:textFill>
        </w:rPr>
        <w:t>富平县精神病医院信息化系统升级服务采购项目</w:t>
      </w:r>
      <w:r>
        <w:rPr>
          <w:rFonts w:hint="eastAsia" w:ascii="宋体" w:hAnsi="宋体" w:cs="宋体"/>
          <w:color w:val="000000" w:themeColor="text1"/>
          <w:sz w:val="24"/>
          <w:szCs w:val="24"/>
          <w14:textFill>
            <w14:solidFill>
              <w14:schemeClr w14:val="tx1"/>
            </w14:solidFill>
          </w14:textFill>
        </w:rPr>
        <w:t>事宜，经协商一致，达成如下协议：</w:t>
      </w:r>
    </w:p>
    <w:p w14:paraId="0920A943">
      <w:pPr>
        <w:keepNext w:val="0"/>
        <w:keepLines w:val="0"/>
        <w:pageBreakBefore w:val="0"/>
        <w:kinsoku/>
        <w:wordWrap/>
        <w:overflowPunct/>
        <w:topLinePunct w:val="0"/>
        <w:bidi w:val="0"/>
        <w:spacing w:line="360" w:lineRule="auto"/>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一、合同内容</w:t>
      </w:r>
    </w:p>
    <w:p w14:paraId="3CBEAB0B">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对富平县精神病院医院信息化系统进行升级（HIS系统、电子病历系统EMR、LIS（检验）系统、PACS系统、服务器。虚拟化软件等）。</w:t>
      </w:r>
    </w:p>
    <w:p w14:paraId="126C85FF">
      <w:pPr>
        <w:keepNext w:val="0"/>
        <w:keepLines w:val="0"/>
        <w:pageBreakBefore w:val="0"/>
        <w:kinsoku/>
        <w:wordWrap/>
        <w:overflowPunct/>
        <w:topLinePunct w:val="0"/>
        <w:bidi w:val="0"/>
        <w:spacing w:line="360" w:lineRule="auto"/>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二、合同金额</w:t>
      </w:r>
    </w:p>
    <w:p w14:paraId="27BC43D7">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合同总价：本合同总价为：￥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元（大写：</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元人民币）</w:t>
      </w:r>
    </w:p>
    <w:p w14:paraId="0269EB1D">
      <w:pPr>
        <w:keepNext w:val="0"/>
        <w:keepLines w:val="0"/>
        <w:pageBreakBefore w:val="0"/>
        <w:kinsoku/>
        <w:wordWrap/>
        <w:overflowPunct/>
        <w:topLinePunct w:val="0"/>
        <w:bidi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合同总价</w:t>
      </w:r>
      <w:r>
        <w:rPr>
          <w:rFonts w:hint="eastAsia"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投标总报价为综合报价</w:t>
      </w:r>
      <w:r>
        <w:rPr>
          <w:rFonts w:hint="eastAsia"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是指项目完成过程中的所有费用。包括人员、验收、培训、运行维护、质量保证、税金等。</w:t>
      </w:r>
    </w:p>
    <w:p w14:paraId="03F4774E">
      <w:pPr>
        <w:pStyle w:val="10"/>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color w:val="000000" w:themeColor="text1"/>
          <w:sz w:val="24"/>
          <w:szCs w:val="24"/>
          <w14:textFill>
            <w14:solidFill>
              <w14:schemeClr w14:val="tx1"/>
            </w14:solidFill>
          </w14:textFill>
        </w:rPr>
        <w:t>3</w:t>
      </w:r>
      <w:r>
        <w:rPr>
          <w:rFonts w:hint="eastAsia"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合同有效期内，合同总价一次包死，不受国家政策性调价或原材料价格变化及外汇汇率变化的影响，并作为最终结算的唯一依据。</w:t>
      </w:r>
    </w:p>
    <w:p w14:paraId="1DD7926F">
      <w:pPr>
        <w:keepNext w:val="0"/>
        <w:keepLines w:val="0"/>
        <w:pageBreakBefore w:val="0"/>
        <w:kinsoku/>
        <w:wordWrap/>
        <w:overflowPunct/>
        <w:topLinePunct w:val="0"/>
        <w:bidi w:val="0"/>
        <w:spacing w:line="360" w:lineRule="auto"/>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三、交付期、地点、服务期、质保期</w:t>
      </w:r>
    </w:p>
    <w:p w14:paraId="113D4E7F">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交付期：</w:t>
      </w:r>
      <w:r>
        <w:rPr>
          <w:rFonts w:hint="eastAsia" w:ascii="宋体" w:hAnsi="宋体" w:cs="宋体"/>
          <w:color w:val="auto"/>
          <w:sz w:val="24"/>
          <w:szCs w:val="24"/>
          <w:highlight w:val="none"/>
          <w:lang w:val="en-US" w:eastAsia="zh-CN"/>
        </w:rPr>
        <w:t>自合同签订之日起90个日历天内交付使用</w:t>
      </w:r>
    </w:p>
    <w:p w14:paraId="0764DB37">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地点：甲方指定地点</w:t>
      </w:r>
    </w:p>
    <w:p w14:paraId="3F4C2587">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3.软件</w:t>
      </w:r>
      <w:r>
        <w:rPr>
          <w:rFonts w:hint="eastAsia" w:ascii="宋体" w:hAnsi="宋体" w:cs="宋体"/>
          <w:color w:val="auto"/>
          <w:sz w:val="24"/>
          <w:szCs w:val="24"/>
          <w:highlight w:val="none"/>
          <w:lang w:eastAsia="zh-CN"/>
        </w:rPr>
        <w:t>服务</w:t>
      </w:r>
      <w:r>
        <w:rPr>
          <w:rFonts w:hint="eastAsia" w:ascii="宋体" w:hAnsi="宋体" w:cs="宋体"/>
          <w:color w:val="auto"/>
          <w:sz w:val="24"/>
          <w:szCs w:val="24"/>
          <w:highlight w:val="none"/>
        </w:rPr>
        <w:t>期：</w:t>
      </w:r>
      <w:r>
        <w:rPr>
          <w:rFonts w:hint="eastAsia" w:ascii="宋体" w:hAnsi="宋体" w:cs="宋体"/>
          <w:color w:val="auto"/>
          <w:kern w:val="2"/>
          <w:sz w:val="24"/>
          <w:szCs w:val="24"/>
          <w:highlight w:val="none"/>
          <w:lang w:val="en-US" w:eastAsia="zh-CN" w:bidi="ar-SA"/>
        </w:rPr>
        <w:t>1年</w:t>
      </w:r>
    </w:p>
    <w:p w14:paraId="2C26AB3D">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4.设备质保期：自设备验收通过之日起12个月，质保期内因人为因素出现的故障不在免费保修范围内。超过质保期的设备，乙方维修时只收成本费。</w:t>
      </w:r>
    </w:p>
    <w:p w14:paraId="040D8012">
      <w:pPr>
        <w:keepNext w:val="0"/>
        <w:keepLines w:val="0"/>
        <w:pageBreakBefore w:val="0"/>
        <w:kinsoku/>
        <w:wordWrap/>
        <w:overflowPunct/>
        <w:topLinePunct w:val="0"/>
        <w:bidi w:val="0"/>
        <w:spacing w:line="360" w:lineRule="auto"/>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lang w:val="en-US" w:eastAsia="zh-CN" w:bidi="ar-SA"/>
        </w:rPr>
        <w:t>四、</w:t>
      </w:r>
      <w:r>
        <w:rPr>
          <w:rFonts w:hint="eastAsia" w:ascii="宋体" w:hAnsi="宋体" w:eastAsia="宋体" w:cs="宋体"/>
          <w:b/>
          <w:bCs/>
          <w:kern w:val="2"/>
          <w:sz w:val="24"/>
          <w:szCs w:val="24"/>
          <w:highlight w:val="none"/>
          <w:lang w:val="en-US" w:eastAsia="zh-CN" w:bidi="ar-SA"/>
        </w:rPr>
        <w:t>付款</w:t>
      </w:r>
    </w:p>
    <w:p w14:paraId="7BDCE350">
      <w:pPr>
        <w:pStyle w:val="10"/>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eastAsia="zh-CN"/>
        </w:rPr>
        <w:t>合同签订后，首付合同总价款的</w:t>
      </w:r>
      <w:r>
        <w:rPr>
          <w:rFonts w:hint="eastAsia" w:hAnsi="宋体" w:cs="宋体"/>
          <w:color w:val="auto"/>
          <w:sz w:val="24"/>
          <w:highlight w:val="none"/>
          <w:lang w:val="en-US" w:eastAsia="zh-CN"/>
        </w:rPr>
        <w:t>5</w:t>
      </w:r>
      <w:r>
        <w:rPr>
          <w:rFonts w:hint="eastAsia" w:ascii="宋体" w:hAnsi="宋体" w:cs="宋体"/>
          <w:color w:val="auto"/>
          <w:sz w:val="24"/>
          <w:highlight w:val="none"/>
          <w:lang w:val="en-US" w:eastAsia="zh-CN"/>
        </w:rPr>
        <w:t>0</w:t>
      </w:r>
      <w:r>
        <w:rPr>
          <w:rFonts w:hint="eastAsia" w:ascii="宋体" w:hAnsi="宋体" w:cs="宋体"/>
          <w:color w:val="auto"/>
          <w:sz w:val="24"/>
          <w:highlight w:val="none"/>
          <w:lang w:eastAsia="zh-CN"/>
        </w:rPr>
        <w:t>%，验收合格后支付总价款的</w:t>
      </w:r>
      <w:r>
        <w:rPr>
          <w:rFonts w:hint="eastAsia" w:hAnsi="宋体" w:cs="宋体"/>
          <w:color w:val="auto"/>
          <w:sz w:val="24"/>
          <w:highlight w:val="none"/>
          <w:lang w:val="en-US" w:eastAsia="zh-CN"/>
        </w:rPr>
        <w:t>45</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验收合格1年</w:t>
      </w:r>
      <w:r>
        <w:rPr>
          <w:rFonts w:hint="eastAsia" w:ascii="宋体" w:hAnsi="宋体" w:cs="宋体"/>
          <w:color w:val="auto"/>
          <w:sz w:val="24"/>
          <w:highlight w:val="none"/>
          <w:lang w:eastAsia="zh-CN"/>
        </w:rPr>
        <w:t>后支付合同总价款的</w:t>
      </w:r>
      <w:r>
        <w:rPr>
          <w:rFonts w:hint="eastAsia" w:hAnsi="宋体" w:cs="宋体"/>
          <w:color w:val="auto"/>
          <w:sz w:val="24"/>
          <w:highlight w:val="none"/>
          <w:lang w:val="en-US" w:eastAsia="zh-CN"/>
        </w:rPr>
        <w:t>5</w:t>
      </w:r>
      <w:r>
        <w:rPr>
          <w:rFonts w:hint="eastAsia" w:ascii="宋体" w:hAnsi="宋体" w:cs="宋体"/>
          <w:color w:val="auto"/>
          <w:sz w:val="24"/>
          <w:highlight w:val="none"/>
          <w:lang w:eastAsia="zh-CN"/>
        </w:rPr>
        <w:t>%</w:t>
      </w:r>
      <w:r>
        <w:rPr>
          <w:rFonts w:hint="eastAsia" w:hAnsi="宋体" w:eastAsia="宋体" w:cs="宋体"/>
          <w:color w:val="auto"/>
          <w:kern w:val="2"/>
          <w:sz w:val="24"/>
          <w:szCs w:val="24"/>
          <w:highlight w:val="none"/>
          <w:lang w:val="en-US" w:eastAsia="zh-CN" w:bidi="ar-SA"/>
        </w:rPr>
        <w:t>。</w:t>
      </w:r>
    </w:p>
    <w:p w14:paraId="1D2D0DF1">
      <w:pPr>
        <w:keepNext w:val="0"/>
        <w:keepLines w:val="0"/>
        <w:pageBreakBefore w:val="0"/>
        <w:kinsoku/>
        <w:wordWrap/>
        <w:overflowPunct/>
        <w:topLinePunct w:val="0"/>
        <w:bidi w:val="0"/>
        <w:spacing w:line="360" w:lineRule="auto"/>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五、验收</w:t>
      </w:r>
    </w:p>
    <w:p w14:paraId="70E5AFA8">
      <w:pPr>
        <w:keepNext w:val="0"/>
        <w:keepLines w:val="0"/>
        <w:pageBreakBefore w:val="0"/>
        <w:widowControl/>
        <w:tabs>
          <w:tab w:val="left" w:pos="426"/>
        </w:tabs>
        <w:kinsoku/>
        <w:wordWrap/>
        <w:overflowPunct/>
        <w:topLinePunct w:val="0"/>
        <w:bidi w:val="0"/>
        <w:adjustRightInd w:val="0"/>
        <w:snapToGrid w:val="0"/>
        <w:spacing w:line="360" w:lineRule="auto"/>
        <w:ind w:firstLine="480" w:firstLineChars="200"/>
        <w:jc w:val="left"/>
        <w:textAlignment w:val="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1.验收时间：项目完成后，由甲方内部组织验收，乙方进行配合验收。</w:t>
      </w:r>
    </w:p>
    <w:p w14:paraId="3C97CF6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FF0000"/>
          <w:sz w:val="24"/>
          <w:szCs w:val="24"/>
        </w:rPr>
      </w:pPr>
      <w:r>
        <w:rPr>
          <w:rFonts w:hint="eastAsia" w:ascii="宋体" w:hAnsi="宋体" w:cs="宋体"/>
          <w:color w:val="000000" w:themeColor="text1"/>
          <w:sz w:val="24"/>
          <w:szCs w:val="24"/>
          <w:lang w:val="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验收依据：本项目合同书、合同附件、招标文件（含澄清或者说明文件）、投标文件（含澄清或者说明文件）、中标通知书，并符合国家及行业有关标准和验收规范</w:t>
      </w:r>
      <w:r>
        <w:rPr>
          <w:rFonts w:hint="eastAsia" w:ascii="宋体" w:hAnsi="宋体" w:eastAsia="宋体" w:cs="宋体"/>
          <w:color w:val="auto"/>
          <w:sz w:val="24"/>
          <w:szCs w:val="24"/>
        </w:rPr>
        <w:t>。</w:t>
      </w:r>
    </w:p>
    <w:p w14:paraId="3DE99554">
      <w:pPr>
        <w:keepNext w:val="0"/>
        <w:keepLines w:val="0"/>
        <w:pageBreakBefore w:val="0"/>
        <w:kinsoku/>
        <w:wordWrap/>
        <w:overflowPunct/>
        <w:topLinePunct w:val="0"/>
        <w:bidi w:val="0"/>
        <w:spacing w:line="360" w:lineRule="auto"/>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六、违约责任</w:t>
      </w:r>
    </w:p>
    <w:p w14:paraId="63A6ACD4">
      <w:pPr>
        <w:keepNext w:val="0"/>
        <w:keepLines w:val="0"/>
        <w:pageBreakBefore w:val="0"/>
        <w:kinsoku/>
        <w:wordWrap/>
        <w:overflowPunct/>
        <w:topLinePunct w:val="0"/>
        <w:bidi w:val="0"/>
        <w:spacing w:line="360" w:lineRule="auto"/>
        <w:ind w:firstLine="480" w:firstLineChars="200"/>
        <w:textAlignment w:val="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甲乙双方应严格遵守本合同条款，如一方违约，以《中华人民共和国民法典》和其他有关法律、法规规定为准，无相关规定的，双方协商解决。</w:t>
      </w:r>
    </w:p>
    <w:p w14:paraId="6231E69A">
      <w:pPr>
        <w:keepNext w:val="0"/>
        <w:keepLines w:val="0"/>
        <w:pageBreakBefore w:val="0"/>
        <w:kinsoku/>
        <w:wordWrap/>
        <w:overflowPunct/>
        <w:topLinePunct w:val="0"/>
        <w:bidi w:val="0"/>
        <w:spacing w:line="360" w:lineRule="auto"/>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七、合同争议解决</w:t>
      </w:r>
    </w:p>
    <w:p w14:paraId="4FF11554">
      <w:pPr>
        <w:keepNext w:val="0"/>
        <w:keepLines w:val="0"/>
        <w:pageBreakBefore w:val="0"/>
        <w:kinsoku/>
        <w:wordWrap/>
        <w:overflowPunct/>
        <w:topLinePunct w:val="0"/>
        <w:bidi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本合同履行过程中发生的任何争议，双方当事人均可通过和解或者调解解决；不愿和解、调解或者和解、调解不成的，可以选择下列第</w:t>
      </w:r>
      <w:r>
        <w:rPr>
          <w:rFonts w:hint="eastAsia" w:ascii="宋体" w:hAnsi="宋体" w:cs="宋体"/>
          <w:color w:val="000000" w:themeColor="text1"/>
          <w:sz w:val="24"/>
          <w:szCs w:val="24"/>
          <w:u w:val="single"/>
          <w14:textFill>
            <w14:solidFill>
              <w14:schemeClr w14:val="tx1"/>
            </w14:solidFill>
          </w14:textFill>
        </w:rPr>
        <w:t>2款</w:t>
      </w:r>
      <w:r>
        <w:rPr>
          <w:rFonts w:hint="eastAsia" w:ascii="宋体" w:hAnsi="宋体" w:cs="宋体"/>
          <w:color w:val="000000" w:themeColor="text1"/>
          <w:sz w:val="24"/>
          <w:szCs w:val="24"/>
          <w14:textFill>
            <w14:solidFill>
              <w14:schemeClr w14:val="tx1"/>
            </w14:solidFill>
          </w14:textFill>
        </w:rPr>
        <w:t>方式解决：</w:t>
      </w:r>
    </w:p>
    <w:p w14:paraId="7C5C6244">
      <w:pPr>
        <w:keepNext w:val="0"/>
        <w:keepLines w:val="0"/>
        <w:pageBreakBefore w:val="0"/>
        <w:kinsoku/>
        <w:wordWrap/>
        <w:overflowPunct/>
        <w:topLinePunct w:val="0"/>
        <w:bidi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1.将争议提交</w:t>
      </w:r>
      <w:r>
        <w:rPr>
          <w:rFonts w:hint="eastAsia" w:ascii="宋体" w:hAnsi="宋体" w:cs="宋体"/>
          <w:color w:val="000000" w:themeColor="text1"/>
          <w:sz w:val="24"/>
          <w:szCs w:val="24"/>
          <w:u w:val="single"/>
          <w:lang w:val="en-US" w:eastAsia="zh-CN"/>
          <w14:textFill>
            <w14:solidFill>
              <w14:schemeClr w14:val="tx1"/>
            </w14:solidFill>
          </w14:textFill>
        </w:rPr>
        <w:t>富平县</w:t>
      </w:r>
      <w:r>
        <w:rPr>
          <w:rFonts w:hint="eastAsia" w:ascii="宋体" w:hAnsi="宋体" w:cs="宋体"/>
          <w:color w:val="000000" w:themeColor="text1"/>
          <w:sz w:val="24"/>
          <w:szCs w:val="24"/>
          <w14:textFill>
            <w14:solidFill>
              <w14:schemeClr w14:val="tx1"/>
            </w14:solidFill>
          </w14:textFill>
        </w:rPr>
        <w:t>仲裁委员会依申请仲裁时其现行有效的仲裁规则裁决；</w:t>
      </w:r>
    </w:p>
    <w:p w14:paraId="2385A22C">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color w:val="000000" w:themeColor="text1"/>
          <w:sz w:val="24"/>
          <w:szCs w:val="24"/>
          <w14:textFill>
            <w14:solidFill>
              <w14:schemeClr w14:val="tx1"/>
            </w14:solidFill>
          </w14:textFill>
        </w:rPr>
        <w:t>2.向</w:t>
      </w:r>
      <w:r>
        <w:rPr>
          <w:rFonts w:hint="eastAsia" w:ascii="宋体" w:hAnsi="宋体" w:cs="宋体"/>
          <w:color w:val="000000" w:themeColor="text1"/>
          <w:sz w:val="24"/>
          <w:szCs w:val="24"/>
          <w:u w:val="single"/>
          <w14:textFill>
            <w14:solidFill>
              <w14:schemeClr w14:val="tx1"/>
            </w14:solidFill>
          </w14:textFill>
        </w:rPr>
        <w:t xml:space="preserve">   甲方所在地   </w:t>
      </w:r>
      <w:r>
        <w:rPr>
          <w:rFonts w:hint="eastAsia" w:ascii="宋体" w:hAnsi="宋体" w:cs="宋体"/>
          <w:color w:val="000000" w:themeColor="text1"/>
          <w:sz w:val="24"/>
          <w:szCs w:val="24"/>
          <w14:textFill>
            <w14:solidFill>
              <w14:schemeClr w14:val="tx1"/>
            </w14:solidFill>
          </w14:textFill>
        </w:rPr>
        <w:t>人民法院起诉</w:t>
      </w:r>
      <w:r>
        <w:rPr>
          <w:rFonts w:hint="eastAsia" w:ascii="宋体" w:hAnsi="宋体" w:eastAsia="宋体" w:cs="宋体"/>
          <w:sz w:val="24"/>
          <w:szCs w:val="24"/>
        </w:rPr>
        <w:t xml:space="preserve">。 </w:t>
      </w:r>
    </w:p>
    <w:p w14:paraId="7B795026">
      <w:pPr>
        <w:keepNext w:val="0"/>
        <w:keepLines w:val="0"/>
        <w:pageBreakBefore w:val="0"/>
        <w:kinsoku/>
        <w:wordWrap/>
        <w:overflowPunct/>
        <w:topLinePunct w:val="0"/>
        <w:bidi w:val="0"/>
        <w:spacing w:line="360" w:lineRule="auto"/>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八、不可抗力</w:t>
      </w:r>
    </w:p>
    <w:p w14:paraId="3B0FE8C0">
      <w:pPr>
        <w:pStyle w:val="9"/>
        <w:keepNext w:val="0"/>
        <w:keepLines w:val="0"/>
        <w:pageBreakBefore w:val="0"/>
        <w:kinsoku/>
        <w:wordWrap/>
        <w:overflowPunct/>
        <w:topLinePunct w:val="0"/>
        <w:bidi w:val="0"/>
        <w:spacing w:line="360" w:lineRule="auto"/>
        <w:ind w:firstLine="480" w:firstLineChars="200"/>
        <w:textAlignment w:val="auto"/>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如果双方任何一方由于遭受诸如战争、严重火灾、洪水、台风、地震等重大自然灾害、以及双方同意的其他不可抗力的事故，致使影响合同履行，履行合同的期限应予以延长，延长的期限应相当于事故所影响的时间。不可抗力事故系指甲乙双方在缔结合同时所不能预见的，并且它的发生及其后果是无法避免和无法克服的事故。</w:t>
      </w:r>
    </w:p>
    <w:p w14:paraId="2C127AA0">
      <w:pPr>
        <w:keepNext w:val="0"/>
        <w:keepLines w:val="0"/>
        <w:pageBreakBefore w:val="0"/>
        <w:kinsoku/>
        <w:wordWrap/>
        <w:overflowPunct/>
        <w:topLinePunct w:val="0"/>
        <w:bidi w:val="0"/>
        <w:spacing w:line="360" w:lineRule="auto"/>
        <w:ind w:firstLine="480" w:firstLineChars="200"/>
        <w:textAlignment w:val="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2.遭受不可抗力一方应在不可抗力事故发生后尽快以书面形式通知另一方;并在事故发生后</w:t>
      </w:r>
      <w:r>
        <w:rPr>
          <w:rFonts w:hint="eastAsia" w:ascii="宋体" w:hAnsi="宋体" w:cs="宋体"/>
          <w:color w:val="000000" w:themeColor="text1"/>
          <w:sz w:val="24"/>
          <w:szCs w:val="24"/>
          <w:u w:val="single"/>
          <w14:textFill>
            <w14:solidFill>
              <w14:schemeClr w14:val="tx1"/>
            </w14:solidFill>
          </w14:textFill>
        </w:rPr>
        <w:t>十（10）</w:t>
      </w:r>
      <w:r>
        <w:rPr>
          <w:rFonts w:hint="eastAsia" w:ascii="宋体" w:hAnsi="宋体" w:cs="宋体"/>
          <w:color w:val="000000" w:themeColor="text1"/>
          <w:sz w:val="24"/>
          <w:szCs w:val="24"/>
          <w14:textFill>
            <w14:solidFill>
              <w14:schemeClr w14:val="tx1"/>
            </w14:solidFill>
          </w14:textFill>
        </w:rPr>
        <w:t>个日历日内，将有关部门出具的证明文件、详细情况报告以及不可抗力对合同影响程度的说明用特快专递或挂号信的形式寄给另一方。如果不可抗力影响时间延续</w:t>
      </w:r>
      <w:r>
        <w:rPr>
          <w:rFonts w:hint="eastAsia" w:ascii="宋体" w:hAnsi="宋体" w:cs="宋体"/>
          <w:color w:val="000000" w:themeColor="text1"/>
          <w:sz w:val="24"/>
          <w:szCs w:val="24"/>
          <w:u w:val="single"/>
          <w14:textFill>
            <w14:solidFill>
              <w14:schemeClr w14:val="tx1"/>
            </w14:solidFill>
          </w14:textFill>
        </w:rPr>
        <w:t>六十（ 60）</w:t>
      </w:r>
      <w:r>
        <w:rPr>
          <w:rFonts w:hint="eastAsia" w:ascii="宋体" w:hAnsi="宋体" w:cs="宋体"/>
          <w:color w:val="000000" w:themeColor="text1"/>
          <w:sz w:val="24"/>
          <w:szCs w:val="24"/>
          <w14:textFill>
            <w14:solidFill>
              <w14:schemeClr w14:val="tx1"/>
            </w14:solidFill>
          </w14:textFill>
        </w:rPr>
        <w:t>个日历日以上，双方应通过友好协商在合理的时间内达成进一步履行合同或终止合同的协议。</w:t>
      </w:r>
    </w:p>
    <w:p w14:paraId="6413684A">
      <w:pPr>
        <w:keepNext w:val="0"/>
        <w:keepLines w:val="0"/>
        <w:pageBreakBefore w:val="0"/>
        <w:kinsoku/>
        <w:wordWrap/>
        <w:overflowPunct/>
        <w:topLinePunct w:val="0"/>
        <w:bidi w:val="0"/>
        <w:spacing w:line="360" w:lineRule="auto"/>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九、其他事项</w:t>
      </w:r>
    </w:p>
    <w:p w14:paraId="041004A6">
      <w:pPr>
        <w:keepNext w:val="0"/>
        <w:keepLines w:val="0"/>
        <w:pageBreakBefore w:val="0"/>
        <w:kinsoku/>
        <w:wordWrap/>
        <w:overflowPunct/>
        <w:topLinePunct w:val="0"/>
        <w:bidi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1.本合同一式</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份，甲、乙双方各执</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份。本采购项目的磋商文件、成交供应商的磋商响应文件以及相关的澄清确认函（如果有的话）均为本合同不可分割的组成部分，与合同正文具备同等法律效力。</w:t>
      </w:r>
    </w:p>
    <w:p w14:paraId="3BD12D50">
      <w:pPr>
        <w:pStyle w:val="11"/>
        <w:keepNext w:val="0"/>
        <w:keepLines w:val="0"/>
        <w:pageBreakBefore w:val="0"/>
        <w:numPr>
          <w:ilvl w:val="0"/>
          <w:numId w:val="0"/>
        </w:numPr>
        <w:kinsoku/>
        <w:wordWrap/>
        <w:overflowPunct/>
        <w:topLinePunct w:val="0"/>
        <w:bidi w:val="0"/>
        <w:spacing w:line="360" w:lineRule="auto"/>
        <w:ind w:firstLine="480" w:firstLineChars="200"/>
        <w:textAlignment w:val="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本合同经双方法定代表人/主要负责人或授权代表人签字盖章后生效。合同执行期内，除合同约定的解除情况，甲乙双方均不得随意变更或解除合同。对本合同的任何修改和补充，应以书面形式做出并经法定代表人/主要负责人或双方授权代表人签字盖章后方为有效，并成为本合同不可分割的组成部分。</w:t>
      </w:r>
    </w:p>
    <w:p w14:paraId="2647A26D">
      <w:pPr>
        <w:keepNext w:val="0"/>
        <w:keepLines w:val="0"/>
        <w:pageBreakBefore w:val="0"/>
        <w:kinsoku/>
        <w:wordWrap/>
        <w:overflowPunct/>
        <w:topLinePunct w:val="0"/>
        <w:bidi w:val="0"/>
        <w:spacing w:line="360" w:lineRule="auto"/>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3.本合同未尽事宜，由双方签订书面协议加以补充，与主合同具有同等法律效力。</w:t>
      </w:r>
    </w:p>
    <w:p w14:paraId="75E12183">
      <w:pPr>
        <w:keepNext w:val="0"/>
        <w:keepLines w:val="0"/>
        <w:pageBreakBefore w:val="0"/>
        <w:kinsoku/>
        <w:wordWrap/>
        <w:overflowPunct/>
        <w:topLinePunct w:val="0"/>
        <w:bidi w:val="0"/>
        <w:spacing w:line="360" w:lineRule="auto"/>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十、组成本合同的文件包括</w:t>
      </w:r>
    </w:p>
    <w:p w14:paraId="42743EA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1、合同格式及条款；</w:t>
      </w:r>
    </w:p>
    <w:p w14:paraId="06E6E6C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磋商文件</w:t>
      </w:r>
      <w:r>
        <w:rPr>
          <w:rFonts w:hint="eastAsia" w:ascii="宋体" w:hAnsi="宋体" w:eastAsia="宋体" w:cs="宋体"/>
          <w:sz w:val="24"/>
          <w:szCs w:val="24"/>
        </w:rPr>
        <w:t>和乙方的</w:t>
      </w:r>
      <w:r>
        <w:rPr>
          <w:rFonts w:hint="eastAsia" w:ascii="宋体" w:hAnsi="宋体" w:eastAsia="宋体" w:cs="宋体"/>
          <w:sz w:val="24"/>
          <w:szCs w:val="24"/>
          <w:lang w:eastAsia="zh-CN"/>
        </w:rPr>
        <w:t>响应文件</w:t>
      </w:r>
      <w:r>
        <w:rPr>
          <w:rFonts w:hint="eastAsia" w:ascii="宋体" w:hAnsi="宋体" w:eastAsia="宋体" w:cs="宋体"/>
          <w:sz w:val="24"/>
          <w:szCs w:val="24"/>
        </w:rPr>
        <w:t xml:space="preserve">； </w:t>
      </w:r>
    </w:p>
    <w:p w14:paraId="3262AB2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成交</w:t>
      </w:r>
      <w:r>
        <w:rPr>
          <w:rFonts w:hint="eastAsia" w:ascii="宋体" w:hAnsi="宋体" w:eastAsia="宋体" w:cs="宋体"/>
          <w:sz w:val="24"/>
          <w:szCs w:val="24"/>
        </w:rPr>
        <w:t xml:space="preserve">通知书； </w:t>
      </w:r>
    </w:p>
    <w:p w14:paraId="24F56907">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4、甲乙双方商定的其他必要文件。 上述合同文件内容互为补充，如有不明确，由甲方负责解释。</w:t>
      </w:r>
    </w:p>
    <w:p w14:paraId="3814CBEC">
      <w:pPr>
        <w:pStyle w:val="11"/>
        <w:rPr>
          <w:rFonts w:hint="eastAsia" w:ascii="宋体" w:hAnsi="宋体" w:eastAsia="宋体" w:cs="宋体"/>
          <w:sz w:val="24"/>
          <w:szCs w:val="24"/>
        </w:rPr>
      </w:pPr>
    </w:p>
    <w:p w14:paraId="24C4C988">
      <w:pPr>
        <w:pStyle w:val="11"/>
        <w:rPr>
          <w:rFonts w:hint="eastAsia" w:ascii="宋体" w:hAnsi="宋体" w:eastAsia="宋体" w:cs="宋体"/>
          <w:sz w:val="24"/>
          <w:szCs w:val="24"/>
        </w:rPr>
      </w:pPr>
    </w:p>
    <w:p w14:paraId="6782AA02">
      <w:pPr>
        <w:pStyle w:val="11"/>
        <w:rPr>
          <w:rFonts w:hint="eastAsia" w:ascii="宋体" w:hAnsi="宋体" w:eastAsia="宋体" w:cs="宋体"/>
          <w:sz w:val="24"/>
          <w:szCs w:val="24"/>
        </w:rPr>
      </w:pPr>
    </w:p>
    <w:tbl>
      <w:tblPr>
        <w:tblStyle w:val="21"/>
        <w:tblW w:w="9286" w:type="dxa"/>
        <w:jc w:val="center"/>
        <w:tblLayout w:type="fixed"/>
        <w:tblCellMar>
          <w:top w:w="0" w:type="dxa"/>
          <w:left w:w="108" w:type="dxa"/>
          <w:bottom w:w="0" w:type="dxa"/>
          <w:right w:w="108" w:type="dxa"/>
        </w:tblCellMar>
      </w:tblPr>
      <w:tblGrid>
        <w:gridCol w:w="4643"/>
        <w:gridCol w:w="4643"/>
      </w:tblGrid>
      <w:tr w14:paraId="3C8F35F4">
        <w:tblPrEx>
          <w:tblCellMar>
            <w:top w:w="0" w:type="dxa"/>
            <w:left w:w="108" w:type="dxa"/>
            <w:bottom w:w="0" w:type="dxa"/>
            <w:right w:w="108" w:type="dxa"/>
          </w:tblCellMar>
        </w:tblPrEx>
        <w:trPr>
          <w:jc w:val="center"/>
        </w:trPr>
        <w:tc>
          <w:tcPr>
            <w:tcW w:w="4643" w:type="dxa"/>
          </w:tcPr>
          <w:p w14:paraId="0C4884A9">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甲方名称</w:t>
            </w:r>
            <w:r>
              <w:rPr>
                <w:rFonts w:hint="eastAsia" w:ascii="宋体" w:hAnsi="宋体"/>
                <w:color w:val="000000" w:themeColor="text1"/>
                <w:spacing w:val="-20"/>
                <w:kern w:val="0"/>
                <w:sz w:val="24"/>
                <w14:textFill>
                  <w14:solidFill>
                    <w14:schemeClr w14:val="tx1"/>
                  </w14:solidFill>
                </w14:textFill>
              </w:rPr>
              <w:t>（盖章）</w:t>
            </w:r>
            <w:r>
              <w:rPr>
                <w:rFonts w:hint="eastAsia" w:ascii="宋体" w:hAnsi="宋体"/>
                <w:color w:val="000000" w:themeColor="text1"/>
                <w:kern w:val="0"/>
                <w:sz w:val="24"/>
                <w14:textFill>
                  <w14:solidFill>
                    <w14:schemeClr w14:val="tx1"/>
                  </w14:solidFill>
                </w14:textFill>
              </w:rPr>
              <w:t>:</w:t>
            </w:r>
          </w:p>
          <w:p w14:paraId="7EF36342">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地址：</w:t>
            </w:r>
          </w:p>
          <w:p w14:paraId="40B0EB42">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代表人（签字）：</w:t>
            </w:r>
          </w:p>
          <w:p w14:paraId="732AA911">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电话：</w:t>
            </w:r>
          </w:p>
          <w:p w14:paraId="24C12700">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开户银行：</w:t>
            </w:r>
          </w:p>
          <w:p w14:paraId="3060D369">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帐号：</w:t>
            </w:r>
          </w:p>
        </w:tc>
        <w:tc>
          <w:tcPr>
            <w:tcW w:w="4643" w:type="dxa"/>
          </w:tcPr>
          <w:p w14:paraId="1FEB56B3">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乙方名称</w:t>
            </w:r>
            <w:r>
              <w:rPr>
                <w:rFonts w:hint="eastAsia" w:ascii="宋体" w:hAnsi="宋体"/>
                <w:color w:val="000000" w:themeColor="text1"/>
                <w:spacing w:val="-20"/>
                <w:kern w:val="0"/>
                <w:sz w:val="24"/>
                <w14:textFill>
                  <w14:solidFill>
                    <w14:schemeClr w14:val="tx1"/>
                  </w14:solidFill>
                </w14:textFill>
              </w:rPr>
              <w:t>（盖章）</w:t>
            </w:r>
            <w:r>
              <w:rPr>
                <w:rFonts w:hint="eastAsia" w:ascii="宋体" w:hAnsi="宋体"/>
                <w:color w:val="000000" w:themeColor="text1"/>
                <w:kern w:val="0"/>
                <w:sz w:val="24"/>
                <w14:textFill>
                  <w14:solidFill>
                    <w14:schemeClr w14:val="tx1"/>
                  </w14:solidFill>
                </w14:textFill>
              </w:rPr>
              <w:t>:</w:t>
            </w:r>
          </w:p>
          <w:p w14:paraId="768E84F0">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地址：</w:t>
            </w:r>
          </w:p>
          <w:p w14:paraId="1F16EDFF">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代表人（签字）：</w:t>
            </w:r>
          </w:p>
          <w:p w14:paraId="175A8165">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电话：</w:t>
            </w:r>
          </w:p>
          <w:p w14:paraId="468195C3">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开户银行：</w:t>
            </w:r>
          </w:p>
          <w:p w14:paraId="6595B008">
            <w:pPr>
              <w:widowControl/>
              <w:autoSpaceDE w:val="0"/>
              <w:autoSpaceDN w:val="0"/>
              <w:snapToGrid w:val="0"/>
              <w:spacing w:line="440" w:lineRule="exact"/>
              <w:ind w:right="-154"/>
              <w:textAlignment w:val="bottom"/>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帐号：</w:t>
            </w:r>
          </w:p>
        </w:tc>
      </w:tr>
    </w:tbl>
    <w:p w14:paraId="283AF9E9">
      <w:pPr>
        <w:numPr>
          <w:ilvl w:val="0"/>
          <w:numId w:val="0"/>
        </w:numPr>
      </w:pPr>
    </w:p>
    <w:p w14:paraId="566A45CA">
      <w:pPr>
        <w:numPr>
          <w:ilvl w:val="0"/>
          <w:numId w:val="0"/>
        </w:numPr>
      </w:pPr>
    </w:p>
    <w:p w14:paraId="3312D972">
      <w:pPr>
        <w:numPr>
          <w:ilvl w:val="0"/>
          <w:numId w:val="0"/>
        </w:numPr>
        <w:rPr>
          <w:rFonts w:hint="default"/>
          <w:lang w:val="en-US" w:eastAsia="zh-CN"/>
        </w:rPr>
      </w:pPr>
    </w:p>
    <w:p w14:paraId="7F56F945">
      <w:pPr>
        <w:pStyle w:val="3"/>
        <w:rPr>
          <w:rFonts w:hint="eastAsia"/>
          <w:color w:val="000000" w:themeColor="text1"/>
          <w14:textFill>
            <w14:solidFill>
              <w14:schemeClr w14:val="tx1"/>
            </w14:solidFill>
          </w14:textFill>
        </w:rPr>
        <w:sectPr>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p>
    <w:p w14:paraId="59261AB3">
      <w:pPr>
        <w:pStyle w:val="3"/>
        <w:rPr>
          <w:rFonts w:ascii="宋体" w:hAnsi="宋体" w:cs="宋体"/>
          <w:color w:val="000000" w:themeColor="text1"/>
          <w:sz w:val="24"/>
          <w14:textFill>
            <w14:solidFill>
              <w14:schemeClr w14:val="tx1"/>
            </w14:solidFill>
          </w14:textFill>
        </w:rPr>
      </w:pPr>
      <w:r>
        <w:rPr>
          <w:rFonts w:hint="eastAsia"/>
          <w:color w:val="000000" w:themeColor="text1"/>
          <w14:textFill>
            <w14:solidFill>
              <w14:schemeClr w14:val="tx1"/>
            </w14:solidFill>
          </w14:textFill>
        </w:rPr>
        <w:t>第五部分  竞争性磋商响应文件格式</w:t>
      </w:r>
      <w:bookmarkEnd w:id="20"/>
      <w:bookmarkEnd w:id="28"/>
    </w:p>
    <w:p w14:paraId="12335740">
      <w:pPr>
        <w:adjustRightInd w:val="0"/>
        <w:snapToGrid w:val="0"/>
        <w:spacing w:line="360" w:lineRule="auto"/>
        <w:ind w:right="600"/>
        <w:jc w:val="right"/>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 xml:space="preserve"> （正本或副本）</w:t>
      </w:r>
    </w:p>
    <w:p w14:paraId="3CB92C57">
      <w:pPr>
        <w:wordWrap w:val="0"/>
        <w:spacing w:line="480" w:lineRule="auto"/>
        <w:ind w:right="98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 xml:space="preserve">                </w:t>
      </w:r>
    </w:p>
    <w:p w14:paraId="7EE10FE6">
      <w:pPr>
        <w:spacing w:line="360" w:lineRule="auto"/>
        <w:rPr>
          <w:rFonts w:ascii="宋体" w:hAnsi="宋体" w:cs="宋体"/>
          <w:b/>
          <w:color w:val="000000" w:themeColor="text1"/>
          <w:sz w:val="24"/>
          <w14:textFill>
            <w14:solidFill>
              <w14:schemeClr w14:val="tx1"/>
            </w14:solidFill>
          </w14:textFill>
        </w:rPr>
      </w:pPr>
    </w:p>
    <w:p w14:paraId="72314402">
      <w:pPr>
        <w:adjustRightInd w:val="0"/>
        <w:snapToGrid w:val="0"/>
        <w:spacing w:line="360" w:lineRule="auto"/>
        <w:jc w:val="center"/>
        <w:rPr>
          <w:rFonts w:hint="eastAsia" w:ascii="宋体" w:hAnsi="宋体" w:eastAsia="宋体" w:cs="宋体"/>
          <w:b/>
          <w:color w:val="000000" w:themeColor="text1"/>
          <w:sz w:val="48"/>
          <w:szCs w:val="48"/>
          <w:lang w:val="en-US" w:eastAsia="zh-CN"/>
          <w14:textFill>
            <w14:solidFill>
              <w14:schemeClr w14:val="tx1"/>
            </w14:solidFill>
          </w14:textFill>
        </w:rPr>
      </w:pPr>
      <w:r>
        <w:rPr>
          <w:rFonts w:hint="eastAsia" w:ascii="宋体" w:hAnsi="宋体" w:cs="宋体"/>
          <w:b/>
          <w:color w:val="000000" w:themeColor="text1"/>
          <w:sz w:val="48"/>
          <w:szCs w:val="48"/>
          <w:lang w:val="en-US" w:eastAsia="zh-CN"/>
          <w14:textFill>
            <w14:solidFill>
              <w14:schemeClr w14:val="tx1"/>
            </w14:solidFill>
          </w14:textFill>
        </w:rPr>
        <w:t>富平县精神病医院信息化系统升级服务采购项目</w:t>
      </w:r>
    </w:p>
    <w:p w14:paraId="77731254">
      <w:pPr>
        <w:adjustRightInd w:val="0"/>
        <w:snapToGrid w:val="0"/>
        <w:spacing w:line="360" w:lineRule="auto"/>
        <w:jc w:val="center"/>
        <w:rPr>
          <w:rFonts w:hint="eastAsia" w:ascii="宋体" w:hAnsi="宋体" w:cs="宋体"/>
          <w:b/>
          <w:color w:val="000000" w:themeColor="text1"/>
          <w:sz w:val="48"/>
          <w:szCs w:val="48"/>
          <w14:textFill>
            <w14:solidFill>
              <w14:schemeClr w14:val="tx1"/>
            </w14:solidFill>
          </w14:textFill>
        </w:rPr>
      </w:pPr>
    </w:p>
    <w:p w14:paraId="162538A6">
      <w:pPr>
        <w:adjustRightInd w:val="0"/>
        <w:snapToGrid w:val="0"/>
        <w:spacing w:line="360" w:lineRule="auto"/>
        <w:jc w:val="center"/>
        <w:rPr>
          <w:rFonts w:ascii="宋体" w:hAnsi="宋体" w:cs="宋体"/>
          <w:b/>
          <w:color w:val="000000" w:themeColor="text1"/>
          <w:sz w:val="48"/>
          <w:szCs w:val="48"/>
          <w14:textFill>
            <w14:solidFill>
              <w14:schemeClr w14:val="tx1"/>
            </w14:solidFill>
          </w14:textFill>
        </w:rPr>
      </w:pPr>
      <w:r>
        <w:rPr>
          <w:rFonts w:hint="eastAsia" w:ascii="宋体" w:hAnsi="宋体" w:cs="宋体"/>
          <w:b/>
          <w:color w:val="000000" w:themeColor="text1"/>
          <w:sz w:val="48"/>
          <w:szCs w:val="48"/>
          <w14:textFill>
            <w14:solidFill>
              <w14:schemeClr w14:val="tx1"/>
            </w14:solidFill>
          </w14:textFill>
        </w:rPr>
        <w:t>竞争性磋商响应文件</w:t>
      </w:r>
    </w:p>
    <w:p w14:paraId="39779B6B">
      <w:pPr>
        <w:adjustRightInd w:val="0"/>
        <w:snapToGrid w:val="0"/>
        <w:spacing w:line="360" w:lineRule="auto"/>
        <w:jc w:val="center"/>
        <w:rPr>
          <w:rFonts w:ascii="宋体" w:hAnsi="宋体" w:cs="宋体"/>
          <w:b/>
          <w:color w:val="000000" w:themeColor="text1"/>
          <w:sz w:val="32"/>
          <w:szCs w:val="32"/>
          <w14:textFill>
            <w14:solidFill>
              <w14:schemeClr w14:val="tx1"/>
            </w14:solidFill>
          </w14:textFill>
        </w:rPr>
      </w:pPr>
    </w:p>
    <w:p w14:paraId="0363AB6E">
      <w:pPr>
        <w:adjustRightInd w:val="0"/>
        <w:snapToGrid w:val="0"/>
        <w:spacing w:line="360" w:lineRule="auto"/>
        <w:jc w:val="center"/>
        <w:rPr>
          <w:rFonts w:ascii="宋体" w:hAnsi="宋体" w:cs="宋体"/>
          <w:b/>
          <w:color w:val="000000" w:themeColor="text1"/>
          <w:sz w:val="4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（格式）</w:t>
      </w:r>
    </w:p>
    <w:p w14:paraId="1ED879A5">
      <w:pPr>
        <w:adjustRightInd w:val="0"/>
        <w:snapToGrid w:val="0"/>
        <w:spacing w:line="360" w:lineRule="auto"/>
        <w:jc w:val="center"/>
        <w:rPr>
          <w:rFonts w:ascii="宋体" w:hAnsi="宋体" w:cs="宋体"/>
          <w:b/>
          <w:color w:val="000000" w:themeColor="text1"/>
          <w:sz w:val="30"/>
          <w14:textFill>
            <w14:solidFill>
              <w14:schemeClr w14:val="tx1"/>
            </w14:solidFill>
          </w14:textFill>
        </w:rPr>
      </w:pPr>
    </w:p>
    <w:p w14:paraId="65EAE7FC">
      <w:pPr>
        <w:adjustRightInd w:val="0"/>
        <w:snapToGrid w:val="0"/>
        <w:spacing w:line="360" w:lineRule="auto"/>
        <w:jc w:val="center"/>
        <w:rPr>
          <w:rFonts w:ascii="宋体" w:hAnsi="宋体" w:cs="宋体"/>
          <w:b/>
          <w:color w:val="000000" w:themeColor="text1"/>
          <w:sz w:val="30"/>
          <w14:textFill>
            <w14:solidFill>
              <w14:schemeClr w14:val="tx1"/>
            </w14:solidFill>
          </w14:textFill>
        </w:rPr>
      </w:pPr>
    </w:p>
    <w:p w14:paraId="537A54B6">
      <w:pPr>
        <w:spacing w:line="800" w:lineRule="exact"/>
        <w:ind w:firstLine="482" w:firstLineChars="150"/>
        <w:rPr>
          <w:rFonts w:ascii="宋体" w:hAnsi="宋体"/>
          <w:b/>
          <w:color w:val="FFFFFF"/>
          <w:u w:val="single"/>
        </w:rPr>
      </w:pPr>
      <w:r>
        <w:rPr>
          <w:rFonts w:hint="eastAsia" w:ascii="宋体" w:hAnsi="宋体"/>
          <w:b/>
          <w:sz w:val="32"/>
          <w:szCs w:val="32"/>
        </w:rPr>
        <w:t>项  目 编 号：</w:t>
      </w:r>
      <w:r>
        <w:rPr>
          <w:rFonts w:hint="eastAsia" w:ascii="宋体" w:hAnsi="宋体"/>
          <w:b/>
          <w:u w:val="single"/>
        </w:rPr>
        <w:t xml:space="preserve">                                                </w:t>
      </w:r>
      <w:r>
        <w:rPr>
          <w:rFonts w:hint="eastAsia" w:ascii="宋体" w:hAnsi="宋体"/>
          <w:b/>
          <w:color w:val="FFFFFF"/>
          <w:u w:val="single"/>
        </w:rPr>
        <w:t>.</w:t>
      </w:r>
    </w:p>
    <w:p w14:paraId="23E29B7B">
      <w:pPr>
        <w:spacing w:line="800" w:lineRule="exact"/>
        <w:ind w:firstLine="316" w:firstLineChars="150"/>
        <w:rPr>
          <w:rFonts w:ascii="宋体" w:hAnsi="宋体"/>
          <w:b/>
          <w:u w:val="single"/>
        </w:rPr>
      </w:pPr>
      <w:r>
        <w:rPr>
          <w:rFonts w:hint="eastAsia" w:ascii="宋体" w:hAnsi="宋体"/>
          <w:b/>
          <w:u w:val="single"/>
        </w:rPr>
        <w:t xml:space="preserve">    </w:t>
      </w:r>
    </w:p>
    <w:p w14:paraId="69A8B70E">
      <w:pPr>
        <w:spacing w:line="800" w:lineRule="exact"/>
        <w:ind w:firstLine="482" w:firstLineChars="150"/>
        <w:rPr>
          <w:rFonts w:ascii="宋体" w:hAnsi="宋体"/>
          <w:b/>
          <w:u w:val="single"/>
        </w:rPr>
      </w:pPr>
      <w:r>
        <w:rPr>
          <w:rFonts w:hint="eastAsia" w:ascii="宋体" w:hAnsi="宋体"/>
          <w:b/>
          <w:sz w:val="32"/>
          <w:szCs w:val="32"/>
        </w:rPr>
        <w:t>供   应   商：</w:t>
      </w:r>
      <w:r>
        <w:rPr>
          <w:rFonts w:hint="eastAsia" w:ascii="宋体" w:hAnsi="宋体"/>
          <w:b/>
          <w:u w:val="single"/>
        </w:rPr>
        <w:t xml:space="preserve">                                    </w:t>
      </w:r>
      <w:r>
        <w:rPr>
          <w:rFonts w:hint="eastAsia" w:ascii="宋体" w:hAnsi="宋体"/>
          <w:b/>
          <w:sz w:val="32"/>
          <w:szCs w:val="32"/>
          <w:u w:val="single"/>
        </w:rPr>
        <w:t>（</w:t>
      </w:r>
      <w:r>
        <w:rPr>
          <w:rFonts w:hint="eastAsia" w:ascii="宋体" w:hAnsi="宋体"/>
          <w:b/>
          <w:u w:val="single"/>
        </w:rPr>
        <w:t xml:space="preserve"> </w:t>
      </w:r>
      <w:r>
        <w:rPr>
          <w:rFonts w:hint="eastAsia" w:ascii="宋体" w:hAnsi="宋体"/>
          <w:b/>
          <w:sz w:val="32"/>
          <w:szCs w:val="32"/>
          <w:u w:val="single"/>
        </w:rPr>
        <w:t>盖章）</w:t>
      </w:r>
      <w:r>
        <w:rPr>
          <w:rFonts w:hint="eastAsia" w:ascii="宋体" w:hAnsi="宋体"/>
          <w:b/>
          <w:color w:val="FFFFFF"/>
          <w:u w:val="single"/>
        </w:rPr>
        <w:t>.</w:t>
      </w:r>
      <w:r>
        <w:rPr>
          <w:rFonts w:hint="eastAsia" w:ascii="宋体" w:hAnsi="宋体"/>
          <w:b/>
          <w:u w:val="single"/>
        </w:rPr>
        <w:t xml:space="preserve">  </w:t>
      </w:r>
    </w:p>
    <w:p w14:paraId="79A22975">
      <w:pPr>
        <w:spacing w:line="800" w:lineRule="exact"/>
        <w:ind w:firstLine="316" w:firstLineChars="150"/>
        <w:rPr>
          <w:rFonts w:ascii="宋体" w:hAnsi="宋体"/>
          <w:b/>
          <w:u w:val="single"/>
        </w:rPr>
      </w:pPr>
      <w:r>
        <w:rPr>
          <w:rFonts w:hint="eastAsia" w:ascii="宋体" w:hAnsi="宋体"/>
          <w:b/>
          <w:u w:val="single"/>
        </w:rPr>
        <w:t xml:space="preserve">    </w:t>
      </w:r>
    </w:p>
    <w:p w14:paraId="48536169">
      <w:pPr>
        <w:spacing w:line="440" w:lineRule="exact"/>
        <w:ind w:firstLine="482" w:firstLineChars="150"/>
        <w:rPr>
          <w:rFonts w:ascii="宋体" w:hAnsi="宋体"/>
          <w:b/>
          <w:sz w:val="32"/>
          <w:szCs w:val="32"/>
        </w:rPr>
      </w:pPr>
      <w:r>
        <w:rPr>
          <w:rFonts w:hint="eastAsia" w:ascii="宋体" w:hAnsi="宋体"/>
          <w:b/>
          <w:sz w:val="32"/>
          <w:szCs w:val="32"/>
          <w:highlight w:val="none"/>
        </w:rPr>
        <w:t>法定代表人</w:t>
      </w:r>
      <w:r>
        <w:rPr>
          <w:rFonts w:hint="eastAsia" w:ascii="宋体" w:hAnsi="宋体"/>
          <w:b/>
          <w:sz w:val="32"/>
          <w:szCs w:val="32"/>
          <w:highlight w:val="none"/>
          <w:lang w:val="en-US" w:eastAsia="zh-CN"/>
        </w:rPr>
        <w:t>/负责人</w:t>
      </w:r>
      <w:r>
        <w:rPr>
          <w:rFonts w:hint="eastAsia" w:ascii="宋体" w:hAnsi="宋体"/>
          <w:b/>
          <w:sz w:val="32"/>
          <w:szCs w:val="32"/>
        </w:rPr>
        <w:t>或</w:t>
      </w:r>
    </w:p>
    <w:p w14:paraId="21D7C29D">
      <w:pPr>
        <w:spacing w:line="440" w:lineRule="exact"/>
        <w:ind w:firstLine="482" w:firstLineChars="150"/>
        <w:rPr>
          <w:rFonts w:ascii="宋体" w:hAnsi="宋体"/>
          <w:b/>
          <w:u w:val="single"/>
        </w:rPr>
      </w:pPr>
      <w:r>
        <w:rPr>
          <w:rFonts w:hint="eastAsia" w:ascii="宋体" w:hAnsi="宋体"/>
          <w:b/>
          <w:sz w:val="32"/>
          <w:szCs w:val="32"/>
        </w:rPr>
        <w:t xml:space="preserve">其委托代理人： </w:t>
      </w:r>
      <w:r>
        <w:rPr>
          <w:rFonts w:hint="eastAsia" w:ascii="宋体" w:hAnsi="宋体"/>
          <w:b/>
          <w:u w:val="single"/>
        </w:rPr>
        <w:t xml:space="preserve">                          </w:t>
      </w:r>
      <w:r>
        <w:rPr>
          <w:rFonts w:hint="eastAsia" w:ascii="宋体" w:hAnsi="宋体"/>
          <w:b/>
          <w:sz w:val="32"/>
          <w:szCs w:val="32"/>
          <w:u w:val="single"/>
        </w:rPr>
        <w:t>（签字或盖章）</w:t>
      </w:r>
      <w:r>
        <w:rPr>
          <w:rFonts w:hint="eastAsia" w:ascii="宋体" w:hAnsi="宋体"/>
          <w:b/>
          <w:u w:val="single"/>
        </w:rPr>
        <w:t xml:space="preserve">  </w:t>
      </w:r>
    </w:p>
    <w:p w14:paraId="0AF377B3">
      <w:pPr>
        <w:spacing w:line="440" w:lineRule="exact"/>
        <w:ind w:firstLine="316" w:firstLineChars="150"/>
        <w:rPr>
          <w:rFonts w:ascii="宋体" w:hAnsi="宋体"/>
          <w:b/>
          <w:u w:val="single"/>
        </w:rPr>
      </w:pPr>
      <w:r>
        <w:rPr>
          <w:rFonts w:hint="eastAsia" w:ascii="宋体" w:hAnsi="宋体"/>
          <w:b/>
          <w:u w:val="single"/>
        </w:rPr>
        <w:t xml:space="preserve"> </w:t>
      </w:r>
    </w:p>
    <w:p w14:paraId="0E3A891C">
      <w:pPr>
        <w:rPr>
          <w:rFonts w:ascii="宋体" w:hAnsi="宋体"/>
          <w:b/>
          <w:u w:val="single"/>
        </w:rPr>
      </w:pPr>
    </w:p>
    <w:p w14:paraId="7D24D0E3">
      <w:pPr>
        <w:ind w:firstLine="482" w:firstLineChars="150"/>
        <w:rPr>
          <w:rFonts w:ascii="宋体" w:hAnsi="宋体"/>
          <w:b/>
          <w:sz w:val="32"/>
          <w:szCs w:val="32"/>
        </w:rPr>
      </w:pPr>
      <w:r>
        <w:rPr>
          <w:rFonts w:hint="eastAsia" w:ascii="宋体" w:hAnsi="宋体"/>
          <w:b/>
          <w:sz w:val="32"/>
          <w:szCs w:val="32"/>
        </w:rPr>
        <w:t>日        期：</w:t>
      </w:r>
      <w:r>
        <w:rPr>
          <w:rFonts w:hint="eastAsia" w:ascii="宋体" w:hAnsi="宋体"/>
          <w:b/>
          <w:sz w:val="32"/>
          <w:szCs w:val="32"/>
          <w:u w:val="single"/>
        </w:rPr>
        <w:t xml:space="preserve">         </w:t>
      </w:r>
      <w:r>
        <w:rPr>
          <w:rFonts w:hint="eastAsia" w:ascii="宋体" w:hAnsi="宋体"/>
          <w:b/>
          <w:sz w:val="32"/>
          <w:szCs w:val="32"/>
        </w:rPr>
        <w:t>年</w:t>
      </w:r>
      <w:r>
        <w:rPr>
          <w:rFonts w:hint="eastAsia" w:ascii="宋体" w:hAnsi="宋体"/>
          <w:b/>
          <w:sz w:val="32"/>
          <w:szCs w:val="32"/>
          <w:u w:val="single"/>
        </w:rPr>
        <w:t xml:space="preserve">        </w:t>
      </w:r>
      <w:r>
        <w:rPr>
          <w:rFonts w:hint="eastAsia" w:ascii="宋体" w:hAnsi="宋体"/>
          <w:b/>
          <w:sz w:val="32"/>
          <w:szCs w:val="32"/>
        </w:rPr>
        <w:t>月</w:t>
      </w:r>
      <w:r>
        <w:rPr>
          <w:rFonts w:hint="eastAsia" w:ascii="宋体" w:hAnsi="宋体"/>
          <w:b/>
          <w:sz w:val="32"/>
          <w:szCs w:val="32"/>
          <w:u w:val="single"/>
        </w:rPr>
        <w:t xml:space="preserve">          </w:t>
      </w:r>
      <w:r>
        <w:rPr>
          <w:rFonts w:hint="eastAsia" w:ascii="宋体" w:hAnsi="宋体"/>
          <w:b/>
          <w:sz w:val="32"/>
          <w:szCs w:val="32"/>
        </w:rPr>
        <w:t>日</w:t>
      </w:r>
    </w:p>
    <w:p w14:paraId="032756BA">
      <w:pPr>
        <w:adjustRightInd w:val="0"/>
        <w:snapToGrid w:val="0"/>
        <w:spacing w:line="360" w:lineRule="auto"/>
        <w:rPr>
          <w:rFonts w:ascii="宋体" w:hAnsi="宋体" w:cs="宋体"/>
          <w:b/>
          <w:color w:val="000000" w:themeColor="text1"/>
          <w:sz w:val="19"/>
          <w14:textFill>
            <w14:solidFill>
              <w14:schemeClr w14:val="tx1"/>
            </w14:solidFill>
          </w14:textFill>
        </w:rPr>
      </w:pPr>
    </w:p>
    <w:p w14:paraId="6358F807">
      <w:pPr>
        <w:spacing w:line="360" w:lineRule="auto"/>
        <w:jc w:val="center"/>
        <w:rPr>
          <w:rFonts w:ascii="宋体" w:hAnsi="宋体" w:cs="宋体"/>
          <w:b/>
          <w:color w:val="000000" w:themeColor="text1"/>
          <w:sz w:val="32"/>
          <w:szCs w:val="32"/>
          <w14:textFill>
            <w14:solidFill>
              <w14:schemeClr w14:val="tx1"/>
            </w14:solidFill>
          </w14:textFill>
        </w:rPr>
      </w:pPr>
    </w:p>
    <w:p w14:paraId="5D1D5B35">
      <w:pPr>
        <w:spacing w:line="360" w:lineRule="auto"/>
        <w:jc w:val="center"/>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竞争性磋商响应文件编制说明</w:t>
      </w:r>
    </w:p>
    <w:p w14:paraId="46AFC0BD">
      <w:pPr>
        <w:spacing w:line="360" w:lineRule="auto"/>
        <w:rPr>
          <w:rFonts w:ascii="宋体" w:hAnsi="宋体" w:cs="宋体"/>
          <w:color w:val="000000" w:themeColor="text1"/>
          <w:sz w:val="24"/>
          <w14:textFill>
            <w14:solidFill>
              <w14:schemeClr w14:val="tx1"/>
            </w14:solidFill>
          </w14:textFill>
        </w:rPr>
      </w:pPr>
    </w:p>
    <w:p w14:paraId="18058A8F">
      <w:pPr>
        <w:spacing w:line="480" w:lineRule="auto"/>
        <w:ind w:left="105" w:leftChars="50"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1、泾清项目管理有限公司提供的竞争性磋商文件格式，起到样式作用，编制竞争性磋商响应文件前，请详细阅读竞争性磋商文件，理解文件中的每一项要求。</w:t>
      </w:r>
    </w:p>
    <w:p w14:paraId="782780B7">
      <w:pPr>
        <w:spacing w:line="480" w:lineRule="auto"/>
        <w:ind w:left="120" w:hanging="120" w:hangingChars="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2、竞争性磋商响应文件的编制应按照样本格式提供的内容，做出逐一明确的答复；供应商认为有必要，还可以做其它补充说明。</w:t>
      </w:r>
    </w:p>
    <w:p w14:paraId="3A08A234">
      <w:pPr>
        <w:spacing w:line="480" w:lineRule="auto"/>
        <w:ind w:firstLine="482" w:firstLineChars="20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3、全部编制完成，并加盖印章后，竞争性磋商响应文件正、副本应分别装订成册。</w:t>
      </w:r>
    </w:p>
    <w:p w14:paraId="6B13771F">
      <w:pPr>
        <w:spacing w:line="480" w:lineRule="auto"/>
        <w:ind w:left="105" w:hanging="105" w:hangingChars="50"/>
        <w:rPr>
          <w:rFonts w:ascii="宋体" w:hAnsi="宋体" w:cs="宋体"/>
          <w:color w:val="000000" w:themeColor="text1"/>
          <w14:textFill>
            <w14:solidFill>
              <w14:schemeClr w14:val="tx1"/>
            </w14:solidFill>
          </w14:textFill>
        </w:rPr>
      </w:pPr>
    </w:p>
    <w:p w14:paraId="1A8E1C24">
      <w:pPr>
        <w:spacing w:line="480" w:lineRule="auto"/>
        <w:ind w:left="120" w:hanging="120" w:hangingChars="50"/>
        <w:rPr>
          <w:rFonts w:ascii="宋体" w:hAnsi="宋体" w:cs="宋体"/>
          <w:color w:val="000000" w:themeColor="text1"/>
          <w:sz w:val="24"/>
          <w14:textFill>
            <w14:solidFill>
              <w14:schemeClr w14:val="tx1"/>
            </w14:solidFill>
          </w14:textFill>
        </w:rPr>
      </w:pPr>
    </w:p>
    <w:p w14:paraId="47B5BF71">
      <w:pPr>
        <w:spacing w:line="480" w:lineRule="auto"/>
        <w:ind w:left="120" w:hanging="120" w:hangingChars="5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14:paraId="2D2A1F65">
      <w:pPr>
        <w:spacing w:line="480" w:lineRule="auto"/>
        <w:ind w:left="220" w:hanging="220" w:hangingChars="50"/>
        <w:jc w:val="center"/>
        <w:rPr>
          <w:rFonts w:ascii="宋体" w:hAnsi="宋体" w:cs="宋体"/>
          <w:color w:val="000000" w:themeColor="text1"/>
          <w:sz w:val="44"/>
          <w:szCs w:val="44"/>
          <w14:textFill>
            <w14:solidFill>
              <w14:schemeClr w14:val="tx1"/>
            </w14:solidFill>
          </w14:textFill>
        </w:rPr>
      </w:pPr>
      <w:r>
        <w:rPr>
          <w:rFonts w:hint="eastAsia" w:ascii="宋体" w:hAnsi="宋体" w:cs="宋体"/>
          <w:color w:val="000000" w:themeColor="text1"/>
          <w:sz w:val="44"/>
          <w:szCs w:val="44"/>
          <w14:textFill>
            <w14:solidFill>
              <w14:schemeClr w14:val="tx1"/>
            </w14:solidFill>
          </w14:textFill>
        </w:rPr>
        <w:t>目      录</w:t>
      </w:r>
    </w:p>
    <w:p w14:paraId="51CCCD54">
      <w:pPr>
        <w:rPr>
          <w:rFonts w:ascii="宋体" w:hAnsi="宋体" w:cs="宋体"/>
          <w:color w:val="000000" w:themeColor="text1"/>
          <w:sz w:val="36"/>
          <w:szCs w:val="36"/>
          <w14:textFill>
            <w14:solidFill>
              <w14:schemeClr w14:val="tx1"/>
            </w14:solidFill>
          </w14:textFill>
        </w:rPr>
      </w:pPr>
    </w:p>
    <w:p w14:paraId="56CC421D">
      <w:pPr>
        <w:spacing w:line="600" w:lineRule="auto"/>
        <w:ind w:firstLine="2403" w:firstLineChars="801"/>
        <w:rPr>
          <w:rFonts w:ascii="宋体" w:hAnsi="宋体" w:cs="宋体"/>
          <w:bCs/>
          <w:color w:val="000000" w:themeColor="text1"/>
          <w:sz w:val="30"/>
          <w:szCs w:val="30"/>
          <w14:textFill>
            <w14:solidFill>
              <w14:schemeClr w14:val="tx1"/>
            </w14:solidFill>
          </w14:textFill>
        </w:rPr>
      </w:pPr>
      <w:r>
        <w:rPr>
          <w:rFonts w:hint="eastAsia" w:ascii="宋体" w:hAnsi="宋体" w:cs="宋体"/>
          <w:bCs/>
          <w:color w:val="000000" w:themeColor="text1"/>
          <w:sz w:val="30"/>
          <w:szCs w:val="30"/>
          <w14:textFill>
            <w14:solidFill>
              <w14:schemeClr w14:val="tx1"/>
            </w14:solidFill>
          </w14:textFill>
        </w:rPr>
        <w:t>一、磋商函</w:t>
      </w:r>
    </w:p>
    <w:p w14:paraId="127AD022">
      <w:pPr>
        <w:spacing w:line="600" w:lineRule="auto"/>
        <w:ind w:firstLine="2403" w:firstLineChars="801"/>
        <w:rPr>
          <w:rFonts w:ascii="宋体" w:hAnsi="宋体" w:cs="宋体"/>
          <w:bCs/>
          <w:color w:val="000000" w:themeColor="text1"/>
          <w:sz w:val="30"/>
          <w:szCs w:val="30"/>
          <w:highlight w:val="none"/>
          <w14:textFill>
            <w14:solidFill>
              <w14:schemeClr w14:val="tx1"/>
            </w14:solidFill>
          </w14:textFill>
        </w:rPr>
      </w:pPr>
      <w:r>
        <w:rPr>
          <w:rFonts w:hint="eastAsia" w:ascii="宋体" w:hAnsi="宋体" w:cs="宋体"/>
          <w:bCs/>
          <w:color w:val="000000" w:themeColor="text1"/>
          <w:sz w:val="30"/>
          <w:szCs w:val="30"/>
          <w:highlight w:val="none"/>
          <w14:textFill>
            <w14:solidFill>
              <w14:schemeClr w14:val="tx1"/>
            </w14:solidFill>
          </w14:textFill>
        </w:rPr>
        <w:t>二、法定代表人</w:t>
      </w:r>
      <w:r>
        <w:rPr>
          <w:rFonts w:hint="eastAsia" w:ascii="宋体" w:hAnsi="宋体" w:cs="宋体"/>
          <w:bCs/>
          <w:color w:val="000000" w:themeColor="text1"/>
          <w:sz w:val="30"/>
          <w:szCs w:val="30"/>
          <w:highlight w:val="none"/>
          <w:lang w:val="en-US" w:eastAsia="zh-CN"/>
          <w14:textFill>
            <w14:solidFill>
              <w14:schemeClr w14:val="tx1"/>
            </w14:solidFill>
          </w14:textFill>
        </w:rPr>
        <w:t>/负责人</w:t>
      </w:r>
      <w:r>
        <w:rPr>
          <w:rFonts w:hint="eastAsia" w:ascii="宋体" w:hAnsi="宋体" w:cs="宋体"/>
          <w:bCs/>
          <w:color w:val="000000" w:themeColor="text1"/>
          <w:sz w:val="30"/>
          <w:szCs w:val="30"/>
          <w:highlight w:val="none"/>
          <w14:textFill>
            <w14:solidFill>
              <w14:schemeClr w14:val="tx1"/>
            </w14:solidFill>
          </w14:textFill>
        </w:rPr>
        <w:t>证明书</w:t>
      </w:r>
    </w:p>
    <w:p w14:paraId="686C1CF2">
      <w:pPr>
        <w:spacing w:line="600" w:lineRule="auto"/>
        <w:ind w:firstLine="2403" w:firstLineChars="801"/>
        <w:rPr>
          <w:rFonts w:ascii="宋体" w:hAnsi="宋体" w:cs="宋体"/>
          <w:bCs/>
          <w:color w:val="000000" w:themeColor="text1"/>
          <w:sz w:val="30"/>
          <w:szCs w:val="30"/>
          <w:highlight w:val="none"/>
          <w14:textFill>
            <w14:solidFill>
              <w14:schemeClr w14:val="tx1"/>
            </w14:solidFill>
          </w14:textFill>
        </w:rPr>
      </w:pPr>
      <w:r>
        <w:rPr>
          <w:rFonts w:hint="eastAsia" w:ascii="宋体" w:hAnsi="宋体" w:cs="宋体"/>
          <w:bCs/>
          <w:color w:val="000000" w:themeColor="text1"/>
          <w:sz w:val="30"/>
          <w:szCs w:val="30"/>
          <w:highlight w:val="none"/>
          <w14:textFill>
            <w14:solidFill>
              <w14:schemeClr w14:val="tx1"/>
            </w14:solidFill>
          </w14:textFill>
        </w:rPr>
        <w:t>三、法定代表人</w:t>
      </w:r>
      <w:r>
        <w:rPr>
          <w:rFonts w:hint="eastAsia" w:ascii="宋体" w:hAnsi="宋体" w:cs="宋体"/>
          <w:bCs/>
          <w:color w:val="000000" w:themeColor="text1"/>
          <w:sz w:val="30"/>
          <w:szCs w:val="30"/>
          <w:highlight w:val="none"/>
          <w:lang w:val="en-US" w:eastAsia="zh-CN"/>
          <w14:textFill>
            <w14:solidFill>
              <w14:schemeClr w14:val="tx1"/>
            </w14:solidFill>
          </w14:textFill>
        </w:rPr>
        <w:t>/负责人</w:t>
      </w:r>
      <w:r>
        <w:rPr>
          <w:rFonts w:hint="eastAsia" w:ascii="宋体" w:hAnsi="宋体" w:cs="宋体"/>
          <w:bCs/>
          <w:color w:val="000000" w:themeColor="text1"/>
          <w:sz w:val="30"/>
          <w:szCs w:val="30"/>
          <w:highlight w:val="none"/>
          <w14:textFill>
            <w14:solidFill>
              <w14:schemeClr w14:val="tx1"/>
            </w14:solidFill>
          </w14:textFill>
        </w:rPr>
        <w:t>授权书</w:t>
      </w:r>
    </w:p>
    <w:p w14:paraId="26FCE387">
      <w:pPr>
        <w:spacing w:line="600" w:lineRule="auto"/>
        <w:ind w:firstLine="2403" w:firstLineChars="801"/>
        <w:rPr>
          <w:rFonts w:ascii="宋体" w:hAnsi="宋体" w:cs="宋体"/>
          <w:bCs/>
          <w:color w:val="000000" w:themeColor="text1"/>
          <w:sz w:val="30"/>
          <w:szCs w:val="30"/>
          <w14:textFill>
            <w14:solidFill>
              <w14:schemeClr w14:val="tx1"/>
            </w14:solidFill>
          </w14:textFill>
        </w:rPr>
      </w:pPr>
      <w:r>
        <w:rPr>
          <w:rFonts w:hint="eastAsia" w:ascii="宋体" w:hAnsi="宋体" w:cs="宋体"/>
          <w:bCs/>
          <w:color w:val="000000" w:themeColor="text1"/>
          <w:sz w:val="30"/>
          <w:szCs w:val="30"/>
          <w:highlight w:val="none"/>
          <w14:textFill>
            <w14:solidFill>
              <w14:schemeClr w14:val="tx1"/>
            </w14:solidFill>
          </w14:textFill>
        </w:rPr>
        <w:t>四、报价一</w:t>
      </w:r>
      <w:r>
        <w:rPr>
          <w:rFonts w:hint="eastAsia" w:ascii="宋体" w:hAnsi="宋体" w:cs="宋体"/>
          <w:bCs/>
          <w:color w:val="000000" w:themeColor="text1"/>
          <w:sz w:val="30"/>
          <w:szCs w:val="30"/>
          <w14:textFill>
            <w14:solidFill>
              <w14:schemeClr w14:val="tx1"/>
            </w14:solidFill>
          </w14:textFill>
        </w:rPr>
        <w:t>览表</w:t>
      </w:r>
    </w:p>
    <w:p w14:paraId="15BA7AA3">
      <w:pPr>
        <w:spacing w:line="600" w:lineRule="auto"/>
        <w:ind w:firstLine="2403" w:firstLineChars="801"/>
        <w:rPr>
          <w:rFonts w:ascii="宋体" w:hAnsi="宋体" w:cs="宋体"/>
          <w:bCs/>
          <w:color w:val="000000" w:themeColor="text1"/>
          <w:sz w:val="30"/>
          <w:szCs w:val="30"/>
          <w14:textFill>
            <w14:solidFill>
              <w14:schemeClr w14:val="tx1"/>
            </w14:solidFill>
          </w14:textFill>
        </w:rPr>
      </w:pPr>
      <w:r>
        <w:rPr>
          <w:rFonts w:hint="eastAsia" w:ascii="宋体" w:hAnsi="宋体" w:cs="宋体"/>
          <w:bCs/>
          <w:color w:val="000000" w:themeColor="text1"/>
          <w:sz w:val="30"/>
          <w:szCs w:val="30"/>
          <w14:textFill>
            <w14:solidFill>
              <w14:schemeClr w14:val="tx1"/>
            </w14:solidFill>
          </w14:textFill>
        </w:rPr>
        <w:t>五、商务偏离表</w:t>
      </w:r>
    </w:p>
    <w:p w14:paraId="5A9B0645">
      <w:pPr>
        <w:spacing w:line="600" w:lineRule="auto"/>
        <w:ind w:firstLine="2403" w:firstLineChars="801"/>
        <w:rPr>
          <w:rFonts w:ascii="宋体" w:hAnsi="宋体" w:cs="宋体"/>
          <w:bCs/>
          <w:color w:val="000000" w:themeColor="text1"/>
          <w:sz w:val="30"/>
          <w:szCs w:val="30"/>
          <w14:textFill>
            <w14:solidFill>
              <w14:schemeClr w14:val="tx1"/>
            </w14:solidFill>
          </w14:textFill>
        </w:rPr>
      </w:pPr>
      <w:r>
        <w:rPr>
          <w:rFonts w:hint="eastAsia" w:ascii="宋体" w:hAnsi="宋体" w:cs="宋体"/>
          <w:bCs/>
          <w:color w:val="000000" w:themeColor="text1"/>
          <w:sz w:val="30"/>
          <w:szCs w:val="30"/>
          <w:lang w:val="en-US" w:eastAsia="zh-CN"/>
          <w14:textFill>
            <w14:solidFill>
              <w14:schemeClr w14:val="tx1"/>
            </w14:solidFill>
          </w14:textFill>
        </w:rPr>
        <w:t>六</w:t>
      </w:r>
      <w:r>
        <w:rPr>
          <w:rFonts w:hint="eastAsia" w:ascii="宋体" w:hAnsi="宋体" w:cs="宋体"/>
          <w:bCs/>
          <w:color w:val="000000" w:themeColor="text1"/>
          <w:sz w:val="30"/>
          <w:szCs w:val="30"/>
          <w14:textFill>
            <w14:solidFill>
              <w14:schemeClr w14:val="tx1"/>
            </w14:solidFill>
          </w14:textFill>
        </w:rPr>
        <w:t>、相关证明材料</w:t>
      </w:r>
    </w:p>
    <w:p w14:paraId="24D31A9B">
      <w:pPr>
        <w:spacing w:line="600" w:lineRule="auto"/>
        <w:ind w:firstLine="2403" w:firstLineChars="801"/>
        <w:rPr>
          <w:rFonts w:ascii="宋体" w:hAnsi="宋体" w:cs="宋体"/>
          <w:bCs/>
          <w:color w:val="000000" w:themeColor="text1"/>
          <w:sz w:val="30"/>
          <w:szCs w:val="30"/>
          <w14:textFill>
            <w14:solidFill>
              <w14:schemeClr w14:val="tx1"/>
            </w14:solidFill>
          </w14:textFill>
        </w:rPr>
      </w:pPr>
      <w:r>
        <w:rPr>
          <w:rFonts w:hint="eastAsia" w:ascii="宋体" w:hAnsi="宋体" w:cs="宋体"/>
          <w:bCs/>
          <w:color w:val="000000" w:themeColor="text1"/>
          <w:sz w:val="30"/>
          <w:szCs w:val="30"/>
          <w:lang w:val="en-US" w:eastAsia="zh-CN"/>
          <w14:textFill>
            <w14:solidFill>
              <w14:schemeClr w14:val="tx1"/>
            </w14:solidFill>
          </w14:textFill>
        </w:rPr>
        <w:t>七</w:t>
      </w:r>
      <w:r>
        <w:rPr>
          <w:rFonts w:hint="eastAsia" w:ascii="宋体" w:hAnsi="宋体" w:cs="宋体"/>
          <w:bCs/>
          <w:color w:val="000000" w:themeColor="text1"/>
          <w:sz w:val="30"/>
          <w:szCs w:val="30"/>
          <w14:textFill>
            <w14:solidFill>
              <w14:schemeClr w14:val="tx1"/>
            </w14:solidFill>
          </w14:textFill>
        </w:rPr>
        <w:t>、企业完成的类似项目业绩</w:t>
      </w:r>
    </w:p>
    <w:p w14:paraId="5FE4B7D8">
      <w:pPr>
        <w:spacing w:line="600" w:lineRule="auto"/>
        <w:ind w:firstLine="2403" w:firstLineChars="801"/>
        <w:rPr>
          <w:rFonts w:hint="eastAsia" w:ascii="宋体" w:hAnsi="宋体" w:cs="宋体"/>
          <w:bCs/>
          <w:color w:val="000000" w:themeColor="text1"/>
          <w:sz w:val="30"/>
          <w:szCs w:val="30"/>
          <w14:textFill>
            <w14:solidFill>
              <w14:schemeClr w14:val="tx1"/>
            </w14:solidFill>
          </w14:textFill>
        </w:rPr>
      </w:pPr>
      <w:r>
        <w:rPr>
          <w:rFonts w:hint="eastAsia" w:ascii="宋体" w:hAnsi="宋体" w:cs="宋体"/>
          <w:bCs/>
          <w:color w:val="000000" w:themeColor="text1"/>
          <w:sz w:val="30"/>
          <w:szCs w:val="30"/>
          <w:lang w:val="en-US" w:eastAsia="zh-CN"/>
          <w14:textFill>
            <w14:solidFill>
              <w14:schemeClr w14:val="tx1"/>
            </w14:solidFill>
          </w14:textFill>
        </w:rPr>
        <w:t>八</w:t>
      </w:r>
      <w:r>
        <w:rPr>
          <w:rFonts w:hint="eastAsia" w:ascii="宋体" w:hAnsi="宋体" w:cs="宋体"/>
          <w:bCs/>
          <w:color w:val="000000" w:themeColor="text1"/>
          <w:sz w:val="30"/>
          <w:szCs w:val="30"/>
          <w14:textFill>
            <w14:solidFill>
              <w14:schemeClr w14:val="tx1"/>
            </w14:solidFill>
          </w14:textFill>
        </w:rPr>
        <w:t>、技术服务方案</w:t>
      </w:r>
    </w:p>
    <w:p w14:paraId="469F6EC9">
      <w:pPr>
        <w:spacing w:line="600" w:lineRule="auto"/>
        <w:ind w:left="2386" w:leftChars="1136" w:firstLine="0" w:firstLineChars="0"/>
        <w:rPr>
          <w:rFonts w:hint="eastAsia" w:ascii="宋体" w:hAnsi="宋体" w:cs="宋体"/>
          <w:bCs/>
          <w:color w:val="000000" w:themeColor="text1"/>
          <w:sz w:val="30"/>
          <w:szCs w:val="30"/>
          <w:lang w:val="en-US" w:eastAsia="zh-CN"/>
          <w14:textFill>
            <w14:solidFill>
              <w14:schemeClr w14:val="tx1"/>
            </w14:solidFill>
          </w14:textFill>
        </w:rPr>
      </w:pPr>
      <w:r>
        <w:rPr>
          <w:rFonts w:hint="eastAsia" w:ascii="宋体" w:hAnsi="宋体" w:cs="宋体"/>
          <w:bCs/>
          <w:color w:val="000000" w:themeColor="text1"/>
          <w:sz w:val="30"/>
          <w:szCs w:val="30"/>
          <w:lang w:val="en-US" w:eastAsia="zh-CN"/>
          <w14:textFill>
            <w14:solidFill>
              <w14:schemeClr w14:val="tx1"/>
            </w14:solidFill>
          </w14:textFill>
        </w:rPr>
        <w:t>九、陕西省政府采购供应商拒绝政府采购领域商业贿赂承诺书</w:t>
      </w:r>
    </w:p>
    <w:p w14:paraId="2233CF6D">
      <w:pPr>
        <w:spacing w:line="600" w:lineRule="auto"/>
        <w:ind w:firstLine="2403" w:firstLineChars="801"/>
        <w:rPr>
          <w:rFonts w:ascii="宋体" w:hAnsi="宋体" w:cs="宋体"/>
          <w:bCs/>
          <w:color w:val="000000" w:themeColor="text1"/>
          <w:sz w:val="30"/>
          <w:szCs w:val="30"/>
          <w14:textFill>
            <w14:solidFill>
              <w14:schemeClr w14:val="tx1"/>
            </w14:solidFill>
          </w14:textFill>
        </w:rPr>
      </w:pPr>
    </w:p>
    <w:p w14:paraId="3BEC3B32">
      <w:pPr>
        <w:spacing w:line="360" w:lineRule="auto"/>
        <w:ind w:firstLine="210"/>
        <w:jc w:val="center"/>
        <w:outlineLvl w:val="1"/>
        <w:rPr>
          <w:rFonts w:ascii="宋体" w:hAnsi="宋体" w:cs="宋体"/>
          <w:b/>
          <w:color w:val="000000" w:themeColor="text1"/>
          <w:sz w:val="18"/>
          <w:szCs w:val="18"/>
          <w14:textFill>
            <w14:solidFill>
              <w14:schemeClr w14:val="tx1"/>
            </w14:solidFill>
          </w14:textFill>
        </w:rPr>
      </w:pPr>
      <w:r>
        <w:rPr>
          <w:rFonts w:hint="eastAsia" w:ascii="宋体" w:hAnsi="宋体" w:cs="宋体"/>
          <w:bCs/>
          <w:color w:val="000000" w:themeColor="text1"/>
          <w:sz w:val="30"/>
          <w:szCs w:val="30"/>
          <w14:textFill>
            <w14:solidFill>
              <w14:schemeClr w14:val="tx1"/>
            </w14:solidFill>
          </w14:textFill>
        </w:rPr>
        <w:br w:type="page"/>
      </w:r>
      <w:bookmarkStart w:id="29" w:name="_Toc494096889"/>
      <w:r>
        <w:rPr>
          <w:rFonts w:hint="eastAsia" w:ascii="宋体" w:hAnsi="宋体" w:cs="宋体"/>
          <w:b/>
          <w:color w:val="000000" w:themeColor="text1"/>
          <w:sz w:val="32"/>
          <w:szCs w:val="32"/>
          <w14:textFill>
            <w14:solidFill>
              <w14:schemeClr w14:val="tx1"/>
            </w14:solidFill>
          </w14:textFill>
        </w:rPr>
        <w:t>一、磋商函</w:t>
      </w:r>
      <w:bookmarkEnd w:id="29"/>
    </w:p>
    <w:p w14:paraId="36A7B8F4">
      <w:pPr>
        <w:spacing w:line="500" w:lineRule="exac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泾清项目管理有限公司：</w:t>
      </w:r>
    </w:p>
    <w:p w14:paraId="38A5B097">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我单位收到贵单位项目</w:t>
      </w:r>
      <w:r>
        <w:rPr>
          <w:rFonts w:hint="eastAsia" w:ascii="宋体" w:hAnsi="宋体" w:cs="宋体"/>
          <w:color w:val="000000" w:themeColor="text1"/>
          <w:sz w:val="24"/>
          <w:u w:val="single"/>
          <w14:textFill>
            <w14:solidFill>
              <w14:schemeClr w14:val="tx1"/>
            </w14:solidFill>
          </w14:textFill>
        </w:rPr>
        <w:t>（项目名称）（</w:t>
      </w:r>
      <w:r>
        <w:rPr>
          <w:rFonts w:hint="eastAsia" w:ascii="宋体" w:hAnsi="宋体" w:cs="宋体"/>
          <w:color w:val="000000" w:themeColor="text1"/>
          <w:sz w:val="24"/>
          <w:u w:val="single"/>
          <w:lang w:eastAsia="zh-CN"/>
          <w14:textFill>
            <w14:solidFill>
              <w14:schemeClr w14:val="tx1"/>
            </w14:solidFill>
          </w14:textFill>
        </w:rPr>
        <w:t>JQ2025-ZFCG-01005</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竞争性磋商文件，我们决定参加该项目磋商活动，并参与磋商会议。为此，我方郑重声明以下诸点，并负法律责任。</w:t>
      </w:r>
    </w:p>
    <w:p w14:paraId="6CEC9ACF">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1、愿意按照竞争性磋商文件中的一切要求，总报价为：</w:t>
      </w:r>
    </w:p>
    <w:p w14:paraId="74A65A73">
      <w:pPr>
        <w:spacing w:line="500" w:lineRule="exact"/>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人民币（大写）：</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元；</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元。         </w:t>
      </w:r>
    </w:p>
    <w:p w14:paraId="04D0C566">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2、我方提交的竞争性磋商响应文件，正本</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份，副本</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份，电子文件</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份。</w:t>
      </w:r>
    </w:p>
    <w:p w14:paraId="2894E7B1">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3、如果我们竞争性磋商响应文件被接受，我们将履行竞争性磋商文件中规定的每一项要求，按期、按质、按量完成任务。</w:t>
      </w:r>
    </w:p>
    <w:p w14:paraId="228A180E">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4、我们理解，最低报价不是成交的唯一条件，你们有选择供应商的权力。</w:t>
      </w:r>
    </w:p>
    <w:p w14:paraId="267FEFEE">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5、我们愿按《中华人民共和国民法典》履行自己的全部责任。</w:t>
      </w:r>
    </w:p>
    <w:p w14:paraId="4AD8584B">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6、我们同意按竞争性磋商文件规定，遵守贵公司有关规定和收费标准。</w:t>
      </w:r>
    </w:p>
    <w:p w14:paraId="6DF713EA">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7、我方的磋商响应文件有效期为提交磋商响应文件的截止时间起</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日历日。</w:t>
      </w:r>
    </w:p>
    <w:p w14:paraId="6326B1A4">
      <w:pPr>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8、所有关于本竞争性磋商响应文件的函电，请按下列地址联系。</w:t>
      </w:r>
    </w:p>
    <w:p w14:paraId="42159D36">
      <w:pPr>
        <w:spacing w:line="360" w:lineRule="auto"/>
        <w:ind w:firstLine="21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14:paraId="4FE7A01D">
      <w:pPr>
        <w:spacing w:line="360" w:lineRule="auto"/>
        <w:ind w:firstLine="84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供应商全称（公章）：</w:t>
      </w:r>
      <w:r>
        <w:rPr>
          <w:rFonts w:hint="eastAsia" w:ascii="宋体" w:hAnsi="宋体" w:cs="宋体"/>
          <w:color w:val="000000" w:themeColor="text1"/>
          <w:sz w:val="24"/>
          <w:u w:val="single"/>
          <w14:textFill>
            <w14:solidFill>
              <w14:schemeClr w14:val="tx1"/>
            </w14:solidFill>
          </w14:textFill>
        </w:rPr>
        <w:t xml:space="preserve">                    </w:t>
      </w:r>
    </w:p>
    <w:p w14:paraId="52518514">
      <w:pPr>
        <w:spacing w:line="360" w:lineRule="auto"/>
        <w:ind w:firstLine="84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地    址：</w:t>
      </w:r>
      <w:r>
        <w:rPr>
          <w:rFonts w:hint="eastAsia" w:ascii="宋体" w:hAnsi="宋体" w:cs="宋体"/>
          <w:color w:val="000000" w:themeColor="text1"/>
          <w:sz w:val="24"/>
          <w:u w:val="single"/>
          <w14:textFill>
            <w14:solidFill>
              <w14:schemeClr w14:val="tx1"/>
            </w14:solidFill>
          </w14:textFill>
        </w:rPr>
        <w:t xml:space="preserve">                              </w:t>
      </w:r>
    </w:p>
    <w:p w14:paraId="4647E649">
      <w:pPr>
        <w:spacing w:line="360" w:lineRule="auto"/>
        <w:ind w:firstLine="84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开 户 行：</w:t>
      </w:r>
      <w:r>
        <w:rPr>
          <w:rFonts w:hint="eastAsia" w:ascii="宋体" w:hAnsi="宋体" w:cs="宋体"/>
          <w:color w:val="000000" w:themeColor="text1"/>
          <w:sz w:val="24"/>
          <w:u w:val="single"/>
          <w14:textFill>
            <w14:solidFill>
              <w14:schemeClr w14:val="tx1"/>
            </w14:solidFill>
          </w14:textFill>
        </w:rPr>
        <w:t xml:space="preserve">                              </w:t>
      </w:r>
    </w:p>
    <w:p w14:paraId="6F99C461">
      <w:pPr>
        <w:spacing w:line="360" w:lineRule="auto"/>
        <w:ind w:firstLine="84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帐    号：</w:t>
      </w:r>
      <w:r>
        <w:rPr>
          <w:rFonts w:hint="eastAsia" w:ascii="宋体" w:hAnsi="宋体" w:cs="宋体"/>
          <w:color w:val="000000" w:themeColor="text1"/>
          <w:sz w:val="24"/>
          <w:u w:val="single"/>
          <w14:textFill>
            <w14:solidFill>
              <w14:schemeClr w14:val="tx1"/>
            </w14:solidFill>
          </w14:textFill>
        </w:rPr>
        <w:t xml:space="preserve">                              </w:t>
      </w:r>
    </w:p>
    <w:p w14:paraId="07017E34">
      <w:pPr>
        <w:spacing w:line="360" w:lineRule="auto"/>
        <w:ind w:firstLine="84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电    话：</w:t>
      </w:r>
      <w:r>
        <w:rPr>
          <w:rFonts w:hint="eastAsia" w:ascii="宋体" w:hAnsi="宋体" w:cs="宋体"/>
          <w:color w:val="000000" w:themeColor="text1"/>
          <w:sz w:val="24"/>
          <w:u w:val="single"/>
          <w14:textFill>
            <w14:solidFill>
              <w14:schemeClr w14:val="tx1"/>
            </w14:solidFill>
          </w14:textFill>
        </w:rPr>
        <w:t xml:space="preserve">                              </w:t>
      </w:r>
    </w:p>
    <w:p w14:paraId="5E639726">
      <w:pPr>
        <w:spacing w:line="360" w:lineRule="auto"/>
        <w:ind w:firstLine="84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 系 人：</w:t>
      </w:r>
      <w:r>
        <w:rPr>
          <w:rFonts w:hint="eastAsia" w:ascii="宋体" w:hAnsi="宋体" w:cs="宋体"/>
          <w:color w:val="000000" w:themeColor="text1"/>
          <w:sz w:val="24"/>
          <w:u w:val="single"/>
          <w14:textFill>
            <w14:solidFill>
              <w14:schemeClr w14:val="tx1"/>
            </w14:solidFill>
          </w14:textFill>
        </w:rPr>
        <w:t xml:space="preserve">                              </w:t>
      </w:r>
    </w:p>
    <w:p w14:paraId="2A96674C">
      <w:pPr>
        <w:spacing w:line="360" w:lineRule="auto"/>
        <w:ind w:firstLine="84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传    真：</w:t>
      </w:r>
      <w:r>
        <w:rPr>
          <w:rFonts w:hint="eastAsia" w:ascii="宋体" w:hAnsi="宋体" w:cs="宋体"/>
          <w:color w:val="000000" w:themeColor="text1"/>
          <w:sz w:val="24"/>
          <w:u w:val="single"/>
          <w14:textFill>
            <w14:solidFill>
              <w14:schemeClr w14:val="tx1"/>
            </w14:solidFill>
          </w14:textFill>
        </w:rPr>
        <w:t xml:space="preserve">                              </w:t>
      </w:r>
    </w:p>
    <w:p w14:paraId="52EF8B62">
      <w:pPr>
        <w:spacing w:line="360" w:lineRule="auto"/>
        <w:ind w:firstLine="84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邮    编：</w:t>
      </w:r>
      <w:r>
        <w:rPr>
          <w:rFonts w:hint="eastAsia" w:ascii="宋体" w:hAnsi="宋体" w:cs="宋体"/>
          <w:color w:val="000000" w:themeColor="text1"/>
          <w:sz w:val="24"/>
          <w:u w:val="single"/>
          <w14:textFill>
            <w14:solidFill>
              <w14:schemeClr w14:val="tx1"/>
            </w14:solidFill>
          </w14:textFill>
        </w:rPr>
        <w:t xml:space="preserve">                              </w:t>
      </w:r>
    </w:p>
    <w:p w14:paraId="1A79F1F4">
      <w:pPr>
        <w:spacing w:line="360" w:lineRule="auto"/>
        <w:ind w:firstLine="84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w:t>
      </w:r>
      <w:r>
        <w:rPr>
          <w:rFonts w:hint="eastAsia" w:ascii="宋体" w:hAnsi="宋体" w:cs="宋体"/>
          <w:color w:val="000000" w:themeColor="text1"/>
          <w:kern w:val="0"/>
          <w:sz w:val="24"/>
          <w14:textFill>
            <w14:solidFill>
              <w14:schemeClr w14:val="tx1"/>
            </w14:solidFill>
          </w14:textFill>
        </w:rPr>
        <w:t>（负责人）</w:t>
      </w:r>
    </w:p>
    <w:p w14:paraId="4B3F1429">
      <w:pPr>
        <w:spacing w:line="360" w:lineRule="auto"/>
        <w:ind w:firstLine="84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或授权代表:（签字）</w:t>
      </w:r>
      <w:r>
        <w:rPr>
          <w:rFonts w:hint="eastAsia" w:ascii="宋体" w:hAnsi="宋体" w:cs="宋体"/>
          <w:color w:val="000000" w:themeColor="text1"/>
          <w:sz w:val="24"/>
          <w:u w:val="single"/>
          <w14:textFill>
            <w14:solidFill>
              <w14:schemeClr w14:val="tx1"/>
            </w14:solidFill>
          </w14:textFill>
        </w:rPr>
        <w:t xml:space="preserve">                              </w:t>
      </w:r>
    </w:p>
    <w:p w14:paraId="7FDFD2E6">
      <w:pPr>
        <w:spacing w:line="360" w:lineRule="auto"/>
        <w:rPr>
          <w:rFonts w:ascii="宋体" w:hAnsi="宋体" w:cs="宋体"/>
          <w:color w:val="000000" w:themeColor="text1"/>
          <w:sz w:val="24"/>
          <w14:textFill>
            <w14:solidFill>
              <w14:schemeClr w14:val="tx1"/>
            </w14:solidFill>
          </w14:textFill>
        </w:rPr>
      </w:pPr>
    </w:p>
    <w:p w14:paraId="604EFB44">
      <w:pPr>
        <w:spacing w:line="360" w:lineRule="auto"/>
        <w:ind w:firstLine="21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844F22D">
      <w:pPr>
        <w:pStyle w:val="2"/>
        <w:rPr>
          <w:color w:val="000000" w:themeColor="text1"/>
          <w14:textFill>
            <w14:solidFill>
              <w14:schemeClr w14:val="tx1"/>
            </w14:solidFill>
          </w14:textFill>
        </w:rPr>
      </w:pPr>
    </w:p>
    <w:p w14:paraId="44297F4D">
      <w:pPr>
        <w:spacing w:line="360" w:lineRule="auto"/>
        <w:jc w:val="center"/>
        <w:outlineLvl w:val="1"/>
        <w:rPr>
          <w:rFonts w:ascii="宋体" w:hAnsi="宋体" w:cs="宋体"/>
          <w:b/>
          <w:color w:val="000000" w:themeColor="text1"/>
          <w:sz w:val="32"/>
          <w:szCs w:val="32"/>
          <w14:textFill>
            <w14:solidFill>
              <w14:schemeClr w14:val="tx1"/>
            </w14:solidFill>
          </w14:textFill>
        </w:rPr>
      </w:pPr>
      <w:bookmarkStart w:id="30" w:name="_Toc494096890"/>
      <w:bookmarkStart w:id="31" w:name="_Toc491186067"/>
      <w:bookmarkStart w:id="32" w:name="_Toc488741081"/>
      <w:r>
        <w:rPr>
          <w:rFonts w:hint="eastAsia" w:ascii="宋体" w:hAnsi="宋体" w:cs="宋体"/>
          <w:b/>
          <w:color w:val="000000" w:themeColor="text1"/>
          <w:sz w:val="32"/>
          <w:szCs w:val="32"/>
          <w14:textFill>
            <w14:solidFill>
              <w14:schemeClr w14:val="tx1"/>
            </w14:solidFill>
          </w14:textFill>
        </w:rPr>
        <w:t>二、法定代表人（负责人）证明书</w:t>
      </w:r>
      <w:bookmarkEnd w:id="30"/>
      <w:bookmarkEnd w:id="31"/>
    </w:p>
    <w:p w14:paraId="213B339C">
      <w:pPr>
        <w:pStyle w:val="2"/>
        <w:rPr>
          <w:color w:val="000000" w:themeColor="text1"/>
          <w14:textFill>
            <w14:solidFill>
              <w14:schemeClr w14:val="tx1"/>
            </w14:solidFill>
          </w14:textFill>
        </w:rPr>
      </w:pPr>
    </w:p>
    <w:tbl>
      <w:tblPr>
        <w:tblStyle w:val="2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086"/>
        <w:gridCol w:w="2081"/>
        <w:gridCol w:w="177"/>
        <w:gridCol w:w="2082"/>
        <w:gridCol w:w="2085"/>
      </w:tblGrid>
      <w:tr w14:paraId="171A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380" w:type="dxa"/>
            <w:gridSpan w:val="6"/>
            <w:vAlign w:val="center"/>
          </w:tcPr>
          <w:p w14:paraId="690D2143">
            <w:pPr>
              <w:tabs>
                <w:tab w:val="left" w:pos="210"/>
              </w:tabs>
              <w:spacing w:line="320" w:lineRule="exac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致：泾清项目管理有限公司</w:t>
            </w:r>
          </w:p>
        </w:tc>
      </w:tr>
      <w:tr w14:paraId="1DEB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69" w:type="dxa"/>
            <w:vMerge w:val="restart"/>
            <w:vAlign w:val="center"/>
          </w:tcPr>
          <w:p w14:paraId="14CFB05B">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企</w:t>
            </w:r>
          </w:p>
          <w:p w14:paraId="5203D02F">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p w14:paraId="5E21BC6A">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业</w:t>
            </w:r>
          </w:p>
          <w:p w14:paraId="7F34312F">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p w14:paraId="6DD763F2">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w:t>
            </w:r>
          </w:p>
          <w:p w14:paraId="57B37771">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p w14:paraId="3C738FB6">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2086" w:type="dxa"/>
            <w:vAlign w:val="center"/>
          </w:tcPr>
          <w:p w14:paraId="7159ED12">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企业名称</w:t>
            </w:r>
          </w:p>
        </w:tc>
        <w:tc>
          <w:tcPr>
            <w:tcW w:w="6425" w:type="dxa"/>
            <w:gridSpan w:val="4"/>
            <w:vAlign w:val="center"/>
          </w:tcPr>
          <w:p w14:paraId="4FA686FF">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r>
      <w:tr w14:paraId="41D0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69" w:type="dxa"/>
            <w:vMerge w:val="continue"/>
            <w:vAlign w:val="center"/>
          </w:tcPr>
          <w:p w14:paraId="0FC946BC">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2086" w:type="dxa"/>
            <w:vAlign w:val="center"/>
          </w:tcPr>
          <w:p w14:paraId="42757DC1">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法定地址</w:t>
            </w:r>
          </w:p>
        </w:tc>
        <w:tc>
          <w:tcPr>
            <w:tcW w:w="6425" w:type="dxa"/>
            <w:gridSpan w:val="4"/>
            <w:vAlign w:val="center"/>
          </w:tcPr>
          <w:p w14:paraId="0C79BB2D">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r>
      <w:tr w14:paraId="50CC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69" w:type="dxa"/>
            <w:vMerge w:val="continue"/>
            <w:vAlign w:val="center"/>
          </w:tcPr>
          <w:p w14:paraId="242C6354">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2086" w:type="dxa"/>
            <w:vAlign w:val="center"/>
          </w:tcPr>
          <w:p w14:paraId="6870CA9B">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邮政编码</w:t>
            </w:r>
          </w:p>
        </w:tc>
        <w:tc>
          <w:tcPr>
            <w:tcW w:w="6425" w:type="dxa"/>
            <w:gridSpan w:val="4"/>
            <w:vAlign w:val="center"/>
          </w:tcPr>
          <w:p w14:paraId="5E7B6EAD">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r>
      <w:tr w14:paraId="6E96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69" w:type="dxa"/>
            <w:vMerge w:val="continue"/>
            <w:vAlign w:val="center"/>
          </w:tcPr>
          <w:p w14:paraId="7C9D124B">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2086" w:type="dxa"/>
            <w:vAlign w:val="center"/>
          </w:tcPr>
          <w:p w14:paraId="1BCA6FC5">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工商登记机关</w:t>
            </w:r>
          </w:p>
        </w:tc>
        <w:tc>
          <w:tcPr>
            <w:tcW w:w="6425" w:type="dxa"/>
            <w:gridSpan w:val="4"/>
            <w:vAlign w:val="center"/>
          </w:tcPr>
          <w:p w14:paraId="1DA4429F">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r>
      <w:tr w14:paraId="60D2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869" w:type="dxa"/>
            <w:vMerge w:val="continue"/>
            <w:vAlign w:val="center"/>
          </w:tcPr>
          <w:p w14:paraId="2A63D738">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2086" w:type="dxa"/>
            <w:vAlign w:val="center"/>
          </w:tcPr>
          <w:p w14:paraId="4D6604D3">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税务登记机关</w:t>
            </w:r>
          </w:p>
        </w:tc>
        <w:tc>
          <w:tcPr>
            <w:tcW w:w="6425" w:type="dxa"/>
            <w:gridSpan w:val="4"/>
            <w:vAlign w:val="center"/>
          </w:tcPr>
          <w:p w14:paraId="006CAAA4">
            <w:pPr>
              <w:tabs>
                <w:tab w:val="left" w:pos="210"/>
              </w:tabs>
              <w:spacing w:line="320" w:lineRule="exact"/>
              <w:rPr>
                <w:rFonts w:ascii="宋体" w:hAnsi="宋体" w:cs="宋体"/>
                <w:color w:val="000000" w:themeColor="text1"/>
                <w:kern w:val="0"/>
                <w:sz w:val="24"/>
                <w14:textFill>
                  <w14:solidFill>
                    <w14:schemeClr w14:val="tx1"/>
                  </w14:solidFill>
                </w14:textFill>
              </w:rPr>
            </w:pPr>
          </w:p>
        </w:tc>
      </w:tr>
      <w:tr w14:paraId="2FB6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69" w:type="dxa"/>
            <w:vMerge w:val="continue"/>
            <w:vAlign w:val="center"/>
          </w:tcPr>
          <w:p w14:paraId="23547F0E">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2086" w:type="dxa"/>
            <w:vAlign w:val="center"/>
          </w:tcPr>
          <w:p w14:paraId="6159D828">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机构代码证号</w:t>
            </w:r>
          </w:p>
        </w:tc>
        <w:tc>
          <w:tcPr>
            <w:tcW w:w="6425" w:type="dxa"/>
            <w:gridSpan w:val="4"/>
            <w:vAlign w:val="center"/>
          </w:tcPr>
          <w:p w14:paraId="4C61A499">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r>
      <w:tr w14:paraId="48B7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69" w:type="dxa"/>
            <w:vMerge w:val="restart"/>
            <w:vAlign w:val="center"/>
          </w:tcPr>
          <w:p w14:paraId="40D0E806">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法定代表人（负责人）</w:t>
            </w:r>
          </w:p>
        </w:tc>
        <w:tc>
          <w:tcPr>
            <w:tcW w:w="2086" w:type="dxa"/>
            <w:vAlign w:val="center"/>
          </w:tcPr>
          <w:p w14:paraId="26955AD2">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姓名</w:t>
            </w:r>
          </w:p>
        </w:tc>
        <w:tc>
          <w:tcPr>
            <w:tcW w:w="2258" w:type="dxa"/>
            <w:gridSpan w:val="2"/>
            <w:vAlign w:val="center"/>
          </w:tcPr>
          <w:p w14:paraId="67303BD6">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2082" w:type="dxa"/>
            <w:vAlign w:val="center"/>
          </w:tcPr>
          <w:p w14:paraId="07EC572C">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性别</w:t>
            </w:r>
          </w:p>
        </w:tc>
        <w:tc>
          <w:tcPr>
            <w:tcW w:w="2085" w:type="dxa"/>
            <w:vAlign w:val="center"/>
          </w:tcPr>
          <w:p w14:paraId="11BCD869">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r>
      <w:tr w14:paraId="5F1A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69" w:type="dxa"/>
            <w:vMerge w:val="continue"/>
            <w:vAlign w:val="center"/>
          </w:tcPr>
          <w:p w14:paraId="7FD4D0C4">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2086" w:type="dxa"/>
            <w:vAlign w:val="center"/>
          </w:tcPr>
          <w:p w14:paraId="4A0B95FF">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职务</w:t>
            </w:r>
          </w:p>
        </w:tc>
        <w:tc>
          <w:tcPr>
            <w:tcW w:w="2258" w:type="dxa"/>
            <w:gridSpan w:val="2"/>
            <w:vAlign w:val="center"/>
          </w:tcPr>
          <w:p w14:paraId="62280114">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2082" w:type="dxa"/>
            <w:vAlign w:val="center"/>
          </w:tcPr>
          <w:p w14:paraId="5565CC81">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联系电话</w:t>
            </w:r>
          </w:p>
        </w:tc>
        <w:tc>
          <w:tcPr>
            <w:tcW w:w="2085" w:type="dxa"/>
            <w:vAlign w:val="center"/>
          </w:tcPr>
          <w:p w14:paraId="60123E94">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r>
      <w:tr w14:paraId="7E29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69" w:type="dxa"/>
            <w:vMerge w:val="continue"/>
            <w:vAlign w:val="center"/>
          </w:tcPr>
          <w:p w14:paraId="679E0C61">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2086" w:type="dxa"/>
            <w:vAlign w:val="center"/>
          </w:tcPr>
          <w:p w14:paraId="0813E8E5">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传真</w:t>
            </w:r>
          </w:p>
        </w:tc>
        <w:tc>
          <w:tcPr>
            <w:tcW w:w="6425" w:type="dxa"/>
            <w:gridSpan w:val="4"/>
            <w:vAlign w:val="center"/>
          </w:tcPr>
          <w:p w14:paraId="009C755E">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r>
      <w:tr w14:paraId="2960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869" w:type="dxa"/>
            <w:vMerge w:val="restart"/>
            <w:vAlign w:val="center"/>
          </w:tcPr>
          <w:p w14:paraId="19C56D0C">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法定代表人（负责人）身份证复印件</w:t>
            </w:r>
          </w:p>
        </w:tc>
        <w:tc>
          <w:tcPr>
            <w:tcW w:w="4167" w:type="dxa"/>
            <w:gridSpan w:val="2"/>
            <w:vMerge w:val="restart"/>
            <w:vAlign w:val="center"/>
          </w:tcPr>
          <w:p w14:paraId="566BFDE0">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（粘贴处）</w:t>
            </w:r>
          </w:p>
        </w:tc>
        <w:tc>
          <w:tcPr>
            <w:tcW w:w="4344" w:type="dxa"/>
            <w:gridSpan w:val="3"/>
            <w:vAlign w:val="center"/>
          </w:tcPr>
          <w:p w14:paraId="08EC08DB">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法定代表人（负责人）（签字或盖章）</w:t>
            </w:r>
          </w:p>
        </w:tc>
      </w:tr>
      <w:tr w14:paraId="24AF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5" w:hRule="atLeast"/>
          <w:jc w:val="center"/>
        </w:trPr>
        <w:tc>
          <w:tcPr>
            <w:tcW w:w="869" w:type="dxa"/>
            <w:vMerge w:val="continue"/>
            <w:vAlign w:val="center"/>
          </w:tcPr>
          <w:p w14:paraId="75AD9CAC">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4167" w:type="dxa"/>
            <w:gridSpan w:val="2"/>
            <w:vMerge w:val="continue"/>
            <w:vAlign w:val="center"/>
          </w:tcPr>
          <w:p w14:paraId="5785FEAC">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tc>
        <w:tc>
          <w:tcPr>
            <w:tcW w:w="4344" w:type="dxa"/>
            <w:gridSpan w:val="3"/>
            <w:vAlign w:val="bottom"/>
          </w:tcPr>
          <w:p w14:paraId="0BD900A1">
            <w:pPr>
              <w:tabs>
                <w:tab w:val="left" w:pos="210"/>
              </w:tabs>
              <w:spacing w:line="32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（公章）</w:t>
            </w:r>
          </w:p>
          <w:p w14:paraId="5A211C42">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p w14:paraId="657AF8AF">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p w14:paraId="24A93F2F">
            <w:pPr>
              <w:tabs>
                <w:tab w:val="left" w:pos="210"/>
              </w:tabs>
              <w:spacing w:line="320" w:lineRule="exact"/>
              <w:jc w:val="center"/>
              <w:rPr>
                <w:rFonts w:ascii="宋体" w:hAnsi="宋体" w:cs="宋体"/>
                <w:color w:val="000000" w:themeColor="text1"/>
                <w:kern w:val="0"/>
                <w:sz w:val="24"/>
                <w14:textFill>
                  <w14:solidFill>
                    <w14:schemeClr w14:val="tx1"/>
                  </w14:solidFill>
                </w14:textFill>
              </w:rPr>
            </w:pPr>
          </w:p>
          <w:p w14:paraId="7DA4407D">
            <w:pPr>
              <w:tabs>
                <w:tab w:val="left" w:pos="210"/>
              </w:tabs>
              <w:spacing w:line="320" w:lineRule="exact"/>
              <w:jc w:val="righ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年  月  日 </w:t>
            </w:r>
          </w:p>
        </w:tc>
      </w:tr>
    </w:tbl>
    <w:p w14:paraId="09C0CE07">
      <w:pPr>
        <w:spacing w:line="360" w:lineRule="auto"/>
        <w:jc w:val="left"/>
        <w:rPr>
          <w:rFonts w:ascii="宋体" w:hAnsi="宋体" w:cs="宋体"/>
          <w:color w:val="000000" w:themeColor="text1"/>
          <w:sz w:val="24"/>
          <w14:textFill>
            <w14:solidFill>
              <w14:schemeClr w14:val="tx1"/>
            </w14:solidFill>
          </w14:textFill>
        </w:rPr>
      </w:pPr>
    </w:p>
    <w:p w14:paraId="6CE68F89">
      <w:pPr>
        <w:spacing w:line="360" w:lineRule="auto"/>
        <w:rPr>
          <w:rFonts w:ascii="宋体" w:hAnsi="宋体" w:cs="宋体"/>
          <w:color w:val="000000" w:themeColor="text1"/>
          <w:sz w:val="24"/>
          <w14:textFill>
            <w14:solidFill>
              <w14:schemeClr w14:val="tx1"/>
            </w14:solidFill>
          </w14:textFill>
        </w:rPr>
      </w:pPr>
    </w:p>
    <w:p w14:paraId="0CF78E25">
      <w:pPr>
        <w:rPr>
          <w:rFonts w:ascii="宋体" w:hAnsi="宋体" w:cs="宋体"/>
          <w:b/>
          <w:color w:val="000000" w:themeColor="text1"/>
          <w:sz w:val="32"/>
          <w:szCs w:val="32"/>
          <w14:textFill>
            <w14:solidFill>
              <w14:schemeClr w14:val="tx1"/>
            </w14:solidFill>
          </w14:textFill>
        </w:rPr>
      </w:pPr>
      <w:bookmarkStart w:id="33" w:name="_Toc491186068"/>
      <w:bookmarkStart w:id="34" w:name="_Toc494096891"/>
      <w:r>
        <w:rPr>
          <w:rFonts w:hint="eastAsia" w:ascii="宋体" w:hAnsi="宋体" w:cs="宋体"/>
          <w:b/>
          <w:color w:val="000000" w:themeColor="text1"/>
          <w:sz w:val="32"/>
          <w:szCs w:val="32"/>
          <w14:textFill>
            <w14:solidFill>
              <w14:schemeClr w14:val="tx1"/>
            </w14:solidFill>
          </w14:textFill>
        </w:rPr>
        <w:br w:type="page"/>
      </w:r>
    </w:p>
    <w:p w14:paraId="275150D6">
      <w:pPr>
        <w:spacing w:line="360" w:lineRule="auto"/>
        <w:jc w:val="center"/>
        <w:outlineLvl w:val="1"/>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三、法定代表人（负责人）授权书</w:t>
      </w:r>
      <w:bookmarkEnd w:id="33"/>
      <w:bookmarkEnd w:id="34"/>
    </w:p>
    <w:p w14:paraId="70DEACD8">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致：泾清项目管理有限公司：</w:t>
      </w:r>
    </w:p>
    <w:p w14:paraId="205EE71D">
      <w:pPr>
        <w:pStyle w:val="10"/>
        <w:spacing w:line="360" w:lineRule="auto"/>
        <w:ind w:firstLine="480" w:firstLineChars="200"/>
        <w:rPr>
          <w:rFonts w:hAnsi="宋体" w:cs="宋体"/>
          <w:color w:val="000000" w:themeColor="text1"/>
          <w:sz w:val="10"/>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本授权书声明：注册于（</w:t>
      </w:r>
      <w:r>
        <w:rPr>
          <w:rFonts w:hint="eastAsia" w:hAnsi="宋体" w:cs="宋体"/>
          <w:color w:val="000000" w:themeColor="text1"/>
          <w:sz w:val="24"/>
          <w:szCs w:val="24"/>
          <w:u w:val="single"/>
          <w14:textFill>
            <w14:solidFill>
              <w14:schemeClr w14:val="tx1"/>
            </w14:solidFill>
          </w14:textFill>
        </w:rPr>
        <w:t>工商行政管理局名称）之（委托单位全称）</w:t>
      </w:r>
      <w:r>
        <w:rPr>
          <w:rFonts w:hint="eastAsia" w:hAnsi="宋体" w:cs="宋体"/>
          <w:color w:val="000000" w:themeColor="text1"/>
          <w:sz w:val="24"/>
          <w:szCs w:val="24"/>
          <w14:textFill>
            <w14:solidFill>
              <w14:schemeClr w14:val="tx1"/>
            </w14:solidFill>
          </w14:textFill>
        </w:rPr>
        <w:t>的法定代表人</w:t>
      </w:r>
      <w:r>
        <w:rPr>
          <w:rFonts w:hint="eastAsia" w:hAnsi="宋体" w:cs="宋体"/>
          <w:color w:val="000000" w:themeColor="text1"/>
          <w:kern w:val="0"/>
          <w:sz w:val="24"/>
          <w14:textFill>
            <w14:solidFill>
              <w14:schemeClr w14:val="tx1"/>
            </w14:solidFill>
          </w14:textFill>
        </w:rPr>
        <w:t>（负责人）</w:t>
      </w:r>
      <w:r>
        <w:rPr>
          <w:rFonts w:hint="eastAsia" w:hAnsi="宋体" w:cs="宋体"/>
          <w:color w:val="000000" w:themeColor="text1"/>
          <w:sz w:val="24"/>
          <w:szCs w:val="24"/>
          <w:u w:val="single"/>
          <w14:textFill>
            <w14:solidFill>
              <w14:schemeClr w14:val="tx1"/>
            </w14:solidFill>
          </w14:textFill>
        </w:rPr>
        <w:t>（姓名、性别）</w:t>
      </w:r>
      <w:r>
        <w:rPr>
          <w:rFonts w:hint="eastAsia" w:hAnsi="宋体" w:cs="宋体"/>
          <w:color w:val="000000" w:themeColor="text1"/>
          <w:sz w:val="24"/>
          <w:szCs w:val="24"/>
          <w14:textFill>
            <w14:solidFill>
              <w14:schemeClr w14:val="tx1"/>
            </w14:solidFill>
          </w14:textFill>
        </w:rPr>
        <w:t>授权</w:t>
      </w:r>
      <w:r>
        <w:rPr>
          <w:rFonts w:hint="eastAsia" w:hAnsi="宋体" w:cs="宋体"/>
          <w:color w:val="000000" w:themeColor="text1"/>
          <w:sz w:val="24"/>
          <w:szCs w:val="24"/>
          <w:u w:val="single"/>
          <w14:textFill>
            <w14:solidFill>
              <w14:schemeClr w14:val="tx1"/>
            </w14:solidFill>
          </w14:textFill>
        </w:rPr>
        <w:t>（被授权人姓名、性别、职务）</w:t>
      </w:r>
      <w:r>
        <w:rPr>
          <w:rFonts w:hint="eastAsia" w:hAnsi="宋体" w:cs="宋体"/>
          <w:color w:val="000000" w:themeColor="text1"/>
          <w:sz w:val="24"/>
          <w:szCs w:val="24"/>
          <w14:textFill>
            <w14:solidFill>
              <w14:schemeClr w14:val="tx1"/>
            </w14:solidFill>
          </w14:textFill>
        </w:rPr>
        <w:t>为本公司合法代理人，就贵方组织的有关</w:t>
      </w:r>
      <w:r>
        <w:rPr>
          <w:rFonts w:hint="eastAsia" w:hAnsi="宋体" w:cs="宋体"/>
          <w:color w:val="000000" w:themeColor="text1"/>
          <w:sz w:val="24"/>
          <w:szCs w:val="24"/>
          <w:u w:val="single"/>
          <w14:textFill>
            <w14:solidFill>
              <w14:schemeClr w14:val="tx1"/>
            </w14:solidFill>
          </w14:textFill>
        </w:rPr>
        <w:t>（项目名称）</w:t>
      </w:r>
      <w:r>
        <w:rPr>
          <w:rFonts w:hint="eastAsia" w:hAnsi="宋体" w:cs="宋体"/>
          <w:color w:val="000000" w:themeColor="text1"/>
          <w:sz w:val="24"/>
          <w:szCs w:val="24"/>
          <w14:textFill>
            <w14:solidFill>
              <w14:schemeClr w14:val="tx1"/>
            </w14:solidFill>
          </w14:textFill>
        </w:rPr>
        <w:t>（项目编号：</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）的磋商、洽谈、执行等具体事务，签署全部有关文件、文书、协议、合同，本公司对被授权人在本项目中的签名承担全部法律责任。</w:t>
      </w:r>
    </w:p>
    <w:p w14:paraId="02D8CAD4">
      <w:pPr>
        <w:pStyle w:val="10"/>
        <w:spacing w:line="360" w:lineRule="auto"/>
        <w:ind w:firstLine="480" w:firstLineChars="200"/>
        <w:jc w:val="lef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供应商名称（公章）：</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 xml:space="preserve">   </w:t>
      </w:r>
    </w:p>
    <w:p w14:paraId="163B5476">
      <w:pPr>
        <w:pStyle w:val="10"/>
        <w:spacing w:line="360" w:lineRule="auto"/>
        <w:ind w:firstLine="240" w:firstLineChars="100"/>
        <w:jc w:val="left"/>
        <w:rPr>
          <w:rFonts w:hAnsi="宋体" w:cs="宋体"/>
          <w:color w:val="000000" w:themeColor="text1"/>
          <w:sz w:val="24"/>
          <w:szCs w:val="24"/>
          <w:u w:val="single"/>
          <w14:textFill>
            <w14:solidFill>
              <w14:schemeClr w14:val="tx1"/>
            </w14:solidFill>
          </w14:textFill>
        </w:rPr>
      </w:pPr>
      <w:r>
        <w:rPr>
          <w:rFonts w:hint="eastAsia" w:hAnsi="宋体" w:cs="宋体"/>
          <w:color w:val="000000" w:themeColor="text1"/>
          <w:sz w:val="24"/>
          <w:szCs w:val="24"/>
          <w14:textFill>
            <w14:solidFill>
              <w14:schemeClr w14:val="tx1"/>
            </w14:solidFill>
          </w14:textFill>
        </w:rPr>
        <w:t xml:space="preserve">  法定代表人</w:t>
      </w:r>
      <w:r>
        <w:rPr>
          <w:rFonts w:hint="eastAsia" w:hAnsi="宋体" w:cs="宋体"/>
          <w:color w:val="000000" w:themeColor="text1"/>
          <w:kern w:val="0"/>
          <w:sz w:val="24"/>
          <w14:textFill>
            <w14:solidFill>
              <w14:schemeClr w14:val="tx1"/>
            </w14:solidFill>
          </w14:textFill>
        </w:rPr>
        <w:t>（负责人）</w:t>
      </w:r>
      <w:r>
        <w:rPr>
          <w:rFonts w:hint="eastAsia" w:hAnsi="宋体" w:cs="宋体"/>
          <w:color w:val="000000" w:themeColor="text1"/>
          <w:sz w:val="24"/>
          <w:szCs w:val="24"/>
          <w14:textFill>
            <w14:solidFill>
              <w14:schemeClr w14:val="tx1"/>
            </w14:solidFill>
          </w14:textFill>
        </w:rPr>
        <w:t>（签字或盖章）：</w:t>
      </w:r>
      <w:r>
        <w:rPr>
          <w:rFonts w:hint="eastAsia" w:hAnsi="宋体" w:cs="宋体"/>
          <w:color w:val="000000" w:themeColor="text1"/>
          <w:sz w:val="24"/>
          <w:szCs w:val="24"/>
          <w:u w:val="single"/>
          <w14:textFill>
            <w14:solidFill>
              <w14:schemeClr w14:val="tx1"/>
            </w14:solidFill>
          </w14:textFill>
        </w:rPr>
        <w:t xml:space="preserve">                         </w:t>
      </w:r>
    </w:p>
    <w:p w14:paraId="3ECC3F1F">
      <w:pPr>
        <w:pStyle w:val="10"/>
        <w:spacing w:line="360" w:lineRule="auto"/>
        <w:ind w:firstLine="480" w:firstLineChars="200"/>
        <w:jc w:val="lef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授权期限：</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日历日。</w:t>
      </w:r>
    </w:p>
    <w:p w14:paraId="306A8C90">
      <w:pPr>
        <w:pStyle w:val="10"/>
        <w:spacing w:line="360" w:lineRule="auto"/>
        <w:ind w:firstLine="480" w:firstLineChars="200"/>
        <w:jc w:val="left"/>
        <w:rPr>
          <w:rFonts w:hAnsi="宋体" w:cs="宋体"/>
          <w:color w:val="000000" w:themeColor="text1"/>
          <w:sz w:val="24"/>
          <w:szCs w:val="24"/>
          <w:u w:val="single"/>
          <w14:textFill>
            <w14:solidFill>
              <w14:schemeClr w14:val="tx1"/>
            </w14:solidFill>
          </w14:textFill>
        </w:rPr>
      </w:pPr>
      <w:r>
        <w:rPr>
          <w:rFonts w:hint="eastAsia" w:hAnsi="宋体" w:cs="宋体"/>
          <w:color w:val="000000" w:themeColor="text1"/>
          <w:sz w:val="24"/>
          <w:szCs w:val="24"/>
          <w14:textFill>
            <w14:solidFill>
              <w14:schemeClr w14:val="tx1"/>
            </w14:solidFill>
          </w14:textFill>
        </w:rPr>
        <w:t>附：被授权人姓名（签字）：</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 xml:space="preserve"> 性别：</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 xml:space="preserve"> 职务：</w:t>
      </w:r>
      <w:r>
        <w:rPr>
          <w:rFonts w:hint="eastAsia" w:hAnsi="宋体" w:cs="宋体"/>
          <w:color w:val="000000" w:themeColor="text1"/>
          <w:sz w:val="24"/>
          <w:szCs w:val="24"/>
          <w:u w:val="single"/>
          <w14:textFill>
            <w14:solidFill>
              <w14:schemeClr w14:val="tx1"/>
            </w14:solidFill>
          </w14:textFill>
        </w:rPr>
        <w:t xml:space="preserve">           </w:t>
      </w:r>
    </w:p>
    <w:p w14:paraId="10FF4363">
      <w:pPr>
        <w:pStyle w:val="10"/>
        <w:spacing w:line="360" w:lineRule="auto"/>
        <w:ind w:firstLine="480" w:firstLineChars="200"/>
        <w:jc w:val="left"/>
        <w:rPr>
          <w:rFonts w:hAnsi="宋体" w:cs="宋体"/>
          <w:color w:val="000000" w:themeColor="text1"/>
          <w:sz w:val="24"/>
          <w:szCs w:val="24"/>
          <w:u w:val="single"/>
          <w14:textFill>
            <w14:solidFill>
              <w14:schemeClr w14:val="tx1"/>
            </w14:solidFill>
          </w14:textFill>
        </w:rPr>
      </w:pPr>
      <w:r>
        <w:rPr>
          <w:rFonts w:hint="eastAsia" w:hAnsi="宋体" w:cs="宋体"/>
          <w:color w:val="000000" w:themeColor="text1"/>
          <w:sz w:val="24"/>
          <w:szCs w:val="24"/>
          <w14:textFill>
            <w14:solidFill>
              <w14:schemeClr w14:val="tx1"/>
            </w14:solidFill>
          </w14:textFill>
        </w:rPr>
        <w:t>联系地址：</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 xml:space="preserve">  </w:t>
      </w:r>
    </w:p>
    <w:p w14:paraId="72992CB1">
      <w:pPr>
        <w:pStyle w:val="10"/>
        <w:spacing w:line="360" w:lineRule="auto"/>
        <w:ind w:firstLine="480" w:firstLineChars="200"/>
        <w:jc w:val="left"/>
        <w:rPr>
          <w:rFonts w:hAnsi="宋体" w:cs="宋体"/>
          <w:color w:val="000000" w:themeColor="text1"/>
          <w:sz w:val="24"/>
          <w:szCs w:val="24"/>
          <w:u w:val="single"/>
          <w14:textFill>
            <w14:solidFill>
              <w14:schemeClr w14:val="tx1"/>
            </w14:solidFill>
          </w14:textFill>
        </w:rPr>
      </w:pPr>
      <w:r>
        <w:rPr>
          <w:rFonts w:hint="eastAsia" w:hAnsi="宋体" w:cs="宋体"/>
          <w:color w:val="000000" w:themeColor="text1"/>
          <w:sz w:val="24"/>
          <w:szCs w:val="24"/>
          <w14:textFill>
            <w14:solidFill>
              <w14:schemeClr w14:val="tx1"/>
            </w14:solidFill>
          </w14:textFill>
        </w:rPr>
        <w:t>联系电话：</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 xml:space="preserve"> 传真：</w:t>
      </w:r>
      <w:r>
        <w:rPr>
          <w:rFonts w:hint="eastAsia" w:hAnsi="宋体" w:cs="宋体"/>
          <w:color w:val="000000" w:themeColor="text1"/>
          <w:sz w:val="24"/>
          <w:szCs w:val="24"/>
          <w:u w:val="single"/>
          <w14:textFill>
            <w14:solidFill>
              <w14:schemeClr w14:val="tx1"/>
            </w14:solidFill>
          </w14:textFill>
        </w:rPr>
        <w:t xml:space="preserve">                 </w:t>
      </w:r>
    </w:p>
    <w:p w14:paraId="31C8505F">
      <w:pPr>
        <w:pStyle w:val="10"/>
        <w:spacing w:line="360" w:lineRule="auto"/>
        <w:ind w:firstLine="480" w:firstLineChars="200"/>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法定代表人</w:t>
      </w:r>
      <w:r>
        <w:rPr>
          <w:rFonts w:hint="eastAsia" w:hAnsi="宋体" w:cs="宋体"/>
          <w:color w:val="000000" w:themeColor="text1"/>
          <w:sz w:val="24"/>
          <w:szCs w:val="24"/>
          <w:highlight w:val="none"/>
          <w:lang w:val="en-US" w:eastAsia="zh-CN"/>
          <w14:textFill>
            <w14:solidFill>
              <w14:schemeClr w14:val="tx1"/>
            </w14:solidFill>
          </w14:textFill>
        </w:rPr>
        <w:t>/负责人</w:t>
      </w:r>
      <w:r>
        <w:rPr>
          <w:rFonts w:hint="eastAsia" w:hAnsi="宋体" w:cs="宋体"/>
          <w:color w:val="000000" w:themeColor="text1"/>
          <w:sz w:val="24"/>
          <w:szCs w:val="24"/>
          <w:highlight w:val="none"/>
          <w14:textFill>
            <w14:solidFill>
              <w14:schemeClr w14:val="tx1"/>
            </w14:solidFill>
          </w14:textFill>
        </w:rPr>
        <w:t>、被授权人身份证复印件</w:t>
      </w:r>
    </w:p>
    <w:tbl>
      <w:tblPr>
        <w:tblStyle w:val="21"/>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2"/>
        <w:gridCol w:w="4388"/>
      </w:tblGrid>
      <w:tr w14:paraId="3CCA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9" w:hRule="atLeast"/>
          <w:jc w:val="center"/>
        </w:trPr>
        <w:tc>
          <w:tcPr>
            <w:tcW w:w="4652" w:type="dxa"/>
            <w:tcBorders>
              <w:top w:val="single" w:color="auto" w:sz="4" w:space="0"/>
              <w:left w:val="single" w:color="auto" w:sz="4" w:space="0"/>
              <w:right w:val="single" w:color="auto" w:sz="4" w:space="0"/>
            </w:tcBorders>
            <w:shd w:val="clear" w:color="auto" w:fill="D9D9D9"/>
            <w:vAlign w:val="center"/>
          </w:tcPr>
          <w:p w14:paraId="4EC5134A">
            <w:pPr>
              <w:pStyle w:val="10"/>
              <w:spacing w:line="500" w:lineRule="exact"/>
              <w:jc w:val="center"/>
              <w:rPr>
                <w:rFonts w:hAnsi="宋体" w:cs="宋体"/>
                <w:color w:val="000000" w:themeColor="text1"/>
                <w:sz w:val="24"/>
                <w:szCs w:val="24"/>
                <w:highlight w:val="none"/>
                <w:shd w:val="clear" w:color="FFFFFF" w:fill="D9D9D9"/>
                <w14:textFill>
                  <w14:solidFill>
                    <w14:schemeClr w14:val="tx1"/>
                  </w14:solidFill>
                </w14:textFill>
              </w:rPr>
            </w:pPr>
            <w:r>
              <w:rPr>
                <w:rFonts w:hint="eastAsia" w:hAnsi="宋体" w:cs="宋体"/>
                <w:color w:val="000000" w:themeColor="text1"/>
                <w:sz w:val="24"/>
                <w:szCs w:val="24"/>
                <w:highlight w:val="none"/>
                <w:shd w:val="clear" w:color="FFFFFF" w:fill="D9D9D9"/>
                <w14:textFill>
                  <w14:solidFill>
                    <w14:schemeClr w14:val="tx1"/>
                  </w14:solidFill>
                </w14:textFill>
              </w:rPr>
              <w:t>法定代表人</w:t>
            </w:r>
            <w:r>
              <w:rPr>
                <w:rFonts w:hint="eastAsia" w:hAnsi="宋体" w:cs="宋体"/>
                <w:color w:val="000000" w:themeColor="text1"/>
                <w:sz w:val="24"/>
                <w:szCs w:val="24"/>
                <w:highlight w:val="none"/>
                <w:shd w:val="clear" w:color="FFFFFF" w:fill="D9D9D9"/>
                <w:lang w:val="en-US" w:eastAsia="zh-CN"/>
                <w14:textFill>
                  <w14:solidFill>
                    <w14:schemeClr w14:val="tx1"/>
                  </w14:solidFill>
                </w14:textFill>
              </w:rPr>
              <w:t>/负责人</w:t>
            </w:r>
            <w:r>
              <w:rPr>
                <w:rFonts w:hint="eastAsia" w:hAnsi="宋体" w:cs="宋体"/>
                <w:color w:val="000000" w:themeColor="text1"/>
                <w:sz w:val="24"/>
                <w:szCs w:val="24"/>
                <w:highlight w:val="none"/>
                <w:shd w:val="clear" w:color="FFFFFF" w:fill="D9D9D9"/>
                <w14:textFill>
                  <w14:solidFill>
                    <w14:schemeClr w14:val="tx1"/>
                  </w14:solidFill>
                </w14:textFill>
              </w:rPr>
              <w:t>身份证复印件（正、反面）</w:t>
            </w:r>
          </w:p>
        </w:tc>
        <w:tc>
          <w:tcPr>
            <w:tcW w:w="4388" w:type="dxa"/>
            <w:tcBorders>
              <w:top w:val="single" w:color="auto" w:sz="4" w:space="0"/>
              <w:left w:val="single" w:color="auto" w:sz="4" w:space="0"/>
              <w:bottom w:val="single" w:color="auto" w:sz="4" w:space="0"/>
              <w:right w:val="single" w:color="auto" w:sz="4" w:space="0"/>
            </w:tcBorders>
            <w:shd w:val="clear" w:color="auto" w:fill="D9D9D9"/>
            <w:vAlign w:val="center"/>
          </w:tcPr>
          <w:p w14:paraId="2217D613">
            <w:pPr>
              <w:pStyle w:val="10"/>
              <w:spacing w:line="500" w:lineRule="exact"/>
              <w:jc w:val="center"/>
              <w:rPr>
                <w:rFonts w:hAnsi="宋体" w:cs="宋体"/>
                <w:color w:val="000000" w:themeColor="text1"/>
                <w:sz w:val="24"/>
                <w:szCs w:val="24"/>
                <w:highlight w:val="none"/>
                <w:shd w:val="clear" w:color="FFFFFF" w:fill="D9D9D9"/>
                <w14:textFill>
                  <w14:solidFill>
                    <w14:schemeClr w14:val="tx1"/>
                  </w14:solidFill>
                </w14:textFill>
              </w:rPr>
            </w:pPr>
            <w:r>
              <w:rPr>
                <w:rFonts w:hint="eastAsia" w:hAnsi="宋体" w:cs="宋体"/>
                <w:color w:val="000000" w:themeColor="text1"/>
                <w:sz w:val="24"/>
                <w:szCs w:val="24"/>
                <w:highlight w:val="none"/>
                <w:shd w:val="clear" w:color="FFFFFF" w:fill="D9D9D9"/>
                <w14:textFill>
                  <w14:solidFill>
                    <w14:schemeClr w14:val="tx1"/>
                  </w14:solidFill>
                </w14:textFill>
              </w:rPr>
              <w:t>被授权人身份证复印件（正、反面）</w:t>
            </w:r>
          </w:p>
        </w:tc>
      </w:tr>
    </w:tbl>
    <w:p w14:paraId="12065976">
      <w:pPr>
        <w:pStyle w:val="10"/>
        <w:spacing w:line="360" w:lineRule="auto"/>
        <w:jc w:val="lef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（注：身份证复印件加盖企业公章）</w:t>
      </w:r>
    </w:p>
    <w:p w14:paraId="0B2DBB7D">
      <w:pPr>
        <w:pStyle w:val="10"/>
        <w:spacing w:line="360" w:lineRule="auto"/>
        <w:ind w:firstLine="218" w:firstLineChars="91"/>
        <w:jc w:val="lef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说明：</w:t>
      </w:r>
    </w:p>
    <w:p w14:paraId="7B63B67A">
      <w:pPr>
        <w:pStyle w:val="10"/>
        <w:spacing w:line="360" w:lineRule="auto"/>
        <w:ind w:firstLine="240" w:firstLineChars="100"/>
        <w:jc w:val="lef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1.本授权书有效期自竞争性磋商响应文件递交截止之日起计算不得少于90日历日。</w:t>
      </w:r>
    </w:p>
    <w:p w14:paraId="213AEC00">
      <w:pPr>
        <w:pStyle w:val="10"/>
        <w:spacing w:line="360" w:lineRule="auto"/>
        <w:ind w:firstLine="240" w:firstLineChars="100"/>
        <w:jc w:val="left"/>
        <w:rPr>
          <w:rFonts w:hAnsi="宋体" w:cs="宋体"/>
          <w:color w:val="000000" w:themeColor="text1"/>
          <w:sz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2．授权书内容填写要明确，文字要工整清楚，涂改无效。</w:t>
      </w:r>
    </w:p>
    <w:p w14:paraId="43F5DF86">
      <w:pPr>
        <w:pStyle w:val="2"/>
        <w:rPr>
          <w:rFonts w:ascii="宋体" w:hAnsi="宋体" w:cs="宋体"/>
          <w:color w:val="000000" w:themeColor="text1"/>
          <w14:textFill>
            <w14:solidFill>
              <w14:schemeClr w14:val="tx1"/>
            </w14:solidFill>
          </w14:textFill>
        </w:rPr>
      </w:pPr>
    </w:p>
    <w:p w14:paraId="4EC940C5">
      <w:pPr>
        <w:rPr>
          <w:rFonts w:ascii="宋体" w:hAnsi="宋体" w:cs="宋体"/>
          <w:b/>
          <w:color w:val="000000" w:themeColor="text1"/>
          <w:sz w:val="32"/>
          <w:szCs w:val="32"/>
          <w14:textFill>
            <w14:solidFill>
              <w14:schemeClr w14:val="tx1"/>
            </w14:solidFill>
          </w14:textFill>
        </w:rPr>
      </w:pPr>
      <w:bookmarkStart w:id="35" w:name="_Toc491186069"/>
      <w:bookmarkStart w:id="36" w:name="_Toc494096892"/>
      <w:r>
        <w:rPr>
          <w:rFonts w:hint="eastAsia" w:ascii="宋体" w:hAnsi="宋体" w:cs="宋体"/>
          <w:b/>
          <w:color w:val="000000" w:themeColor="text1"/>
          <w:sz w:val="32"/>
          <w:szCs w:val="32"/>
          <w14:textFill>
            <w14:solidFill>
              <w14:schemeClr w14:val="tx1"/>
            </w14:solidFill>
          </w14:textFill>
        </w:rPr>
        <w:br w:type="page"/>
      </w:r>
    </w:p>
    <w:p w14:paraId="5881A4E3">
      <w:pPr>
        <w:spacing w:line="360" w:lineRule="auto"/>
        <w:jc w:val="center"/>
        <w:outlineLvl w:val="1"/>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四、报价一览表</w:t>
      </w:r>
      <w:bookmarkEnd w:id="35"/>
      <w:bookmarkEnd w:id="36"/>
    </w:p>
    <w:p w14:paraId="7B2AC95A">
      <w:pPr>
        <w:spacing w:line="360" w:lineRule="auto"/>
        <w:ind w:firstLine="211"/>
        <w:jc w:val="center"/>
        <w:rPr>
          <w:rFonts w:ascii="宋体" w:hAnsi="宋体" w:cs="宋体"/>
          <w:b/>
          <w:color w:val="000000" w:themeColor="text1"/>
          <w:sz w:val="24"/>
          <w14:textFill>
            <w14:solidFill>
              <w14:schemeClr w14:val="tx1"/>
            </w14:solidFill>
          </w14:textFill>
        </w:rPr>
      </w:pPr>
    </w:p>
    <w:p w14:paraId="2BD59211">
      <w:pPr>
        <w:spacing w:line="360" w:lineRule="auto"/>
        <w:ind w:firstLine="513" w:firstLineChars="214"/>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                                     项目编号：</w:t>
      </w:r>
    </w:p>
    <w:tbl>
      <w:tblPr>
        <w:tblStyle w:val="21"/>
        <w:tblW w:w="9063" w:type="dxa"/>
        <w:jc w:val="center"/>
        <w:tblLayout w:type="fixed"/>
        <w:tblCellMar>
          <w:top w:w="0" w:type="dxa"/>
          <w:left w:w="108" w:type="dxa"/>
          <w:bottom w:w="0" w:type="dxa"/>
          <w:right w:w="108" w:type="dxa"/>
        </w:tblCellMar>
      </w:tblPr>
      <w:tblGrid>
        <w:gridCol w:w="4565"/>
        <w:gridCol w:w="2754"/>
        <w:gridCol w:w="1744"/>
      </w:tblGrid>
      <w:tr w14:paraId="715B1DDE">
        <w:tblPrEx>
          <w:tblCellMar>
            <w:top w:w="0" w:type="dxa"/>
            <w:left w:w="108" w:type="dxa"/>
            <w:bottom w:w="0" w:type="dxa"/>
            <w:right w:w="108" w:type="dxa"/>
          </w:tblCellMar>
        </w:tblPrEx>
        <w:trPr>
          <w:trHeight w:val="1762" w:hRule="atLeast"/>
          <w:jc w:val="center"/>
        </w:trPr>
        <w:tc>
          <w:tcPr>
            <w:tcW w:w="4565" w:type="dxa"/>
            <w:tcBorders>
              <w:top w:val="single" w:color="000000" w:sz="4" w:space="0"/>
              <w:left w:val="single" w:color="000000" w:sz="4" w:space="0"/>
              <w:bottom w:val="single" w:color="000000" w:sz="4" w:space="0"/>
            </w:tcBorders>
            <w:vAlign w:val="center"/>
          </w:tcPr>
          <w:p w14:paraId="25E0E10F">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磋商总报价（元）</w:t>
            </w:r>
          </w:p>
        </w:tc>
        <w:tc>
          <w:tcPr>
            <w:tcW w:w="2754" w:type="dxa"/>
            <w:tcBorders>
              <w:top w:val="single" w:color="000000" w:sz="4" w:space="0"/>
              <w:left w:val="single" w:color="000000" w:sz="4" w:space="0"/>
              <w:bottom w:val="single" w:color="000000" w:sz="4" w:space="0"/>
              <w:right w:val="single" w:color="000000" w:sz="4" w:space="0"/>
            </w:tcBorders>
            <w:vAlign w:val="center"/>
          </w:tcPr>
          <w:p w14:paraId="6ECF8D61">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服务期</w:t>
            </w:r>
          </w:p>
        </w:tc>
        <w:tc>
          <w:tcPr>
            <w:tcW w:w="1744" w:type="dxa"/>
            <w:tcBorders>
              <w:top w:val="single" w:color="000000" w:sz="4" w:space="0"/>
              <w:left w:val="single" w:color="000000" w:sz="4" w:space="0"/>
              <w:bottom w:val="single" w:color="000000" w:sz="4" w:space="0"/>
              <w:right w:val="single" w:color="000000" w:sz="4" w:space="0"/>
            </w:tcBorders>
            <w:vAlign w:val="center"/>
          </w:tcPr>
          <w:p w14:paraId="1029730F">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tc>
      </w:tr>
      <w:tr w14:paraId="122A626D">
        <w:tblPrEx>
          <w:tblCellMar>
            <w:top w:w="0" w:type="dxa"/>
            <w:left w:w="108" w:type="dxa"/>
            <w:bottom w:w="0" w:type="dxa"/>
            <w:right w:w="108" w:type="dxa"/>
          </w:tblCellMar>
        </w:tblPrEx>
        <w:trPr>
          <w:trHeight w:val="1693" w:hRule="atLeast"/>
          <w:jc w:val="center"/>
        </w:trPr>
        <w:tc>
          <w:tcPr>
            <w:tcW w:w="4565" w:type="dxa"/>
            <w:tcBorders>
              <w:top w:val="single" w:color="000000" w:sz="4" w:space="0"/>
              <w:left w:val="single" w:color="000000" w:sz="4" w:space="0"/>
              <w:bottom w:val="single" w:color="000000" w:sz="4" w:space="0"/>
            </w:tcBorders>
            <w:vAlign w:val="center"/>
          </w:tcPr>
          <w:p w14:paraId="2735FCE3">
            <w:pPr>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大写：</w:t>
            </w:r>
            <w:r>
              <w:rPr>
                <w:rFonts w:hint="eastAsia" w:ascii="宋体" w:hAnsi="宋体" w:cs="宋体"/>
                <w:color w:val="000000" w:themeColor="text1"/>
                <w:sz w:val="24"/>
                <w:u w:val="single"/>
                <w14:textFill>
                  <w14:solidFill>
                    <w14:schemeClr w14:val="tx1"/>
                  </w14:solidFill>
                </w14:textFill>
              </w:rPr>
              <w:t xml:space="preserve">                      </w:t>
            </w:r>
          </w:p>
          <w:p w14:paraId="0FB64988">
            <w:pPr>
              <w:spacing w:line="360" w:lineRule="auto"/>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小写：</w:t>
            </w:r>
            <w:r>
              <w:rPr>
                <w:rFonts w:hint="eastAsia" w:ascii="宋体" w:hAnsi="宋体" w:cs="宋体"/>
                <w:color w:val="000000" w:themeColor="text1"/>
                <w:sz w:val="24"/>
                <w:u w:val="single"/>
                <w14:textFill>
                  <w14:solidFill>
                    <w14:schemeClr w14:val="tx1"/>
                  </w14:solidFill>
                </w14:textFill>
              </w:rPr>
              <w:t xml:space="preserve">                      </w:t>
            </w:r>
          </w:p>
        </w:tc>
        <w:tc>
          <w:tcPr>
            <w:tcW w:w="2754" w:type="dxa"/>
            <w:tcBorders>
              <w:top w:val="single" w:color="000000" w:sz="4" w:space="0"/>
              <w:left w:val="single" w:color="000000" w:sz="4" w:space="0"/>
              <w:bottom w:val="single" w:color="000000" w:sz="4" w:space="0"/>
              <w:right w:val="single" w:color="000000" w:sz="4" w:space="0"/>
            </w:tcBorders>
            <w:vAlign w:val="center"/>
          </w:tcPr>
          <w:p w14:paraId="7627EEFB">
            <w:pPr>
              <w:pStyle w:val="2"/>
              <w:rPr>
                <w:color w:val="000000" w:themeColor="text1"/>
                <w14:textFill>
                  <w14:solidFill>
                    <w14:schemeClr w14:val="tx1"/>
                  </w14:solidFill>
                </w14:textFill>
              </w:rPr>
            </w:pPr>
          </w:p>
        </w:tc>
        <w:tc>
          <w:tcPr>
            <w:tcW w:w="1744" w:type="dxa"/>
            <w:tcBorders>
              <w:top w:val="single" w:color="000000" w:sz="4" w:space="0"/>
              <w:left w:val="single" w:color="000000" w:sz="4" w:space="0"/>
              <w:bottom w:val="single" w:color="000000" w:sz="4" w:space="0"/>
              <w:right w:val="single" w:color="000000" w:sz="4" w:space="0"/>
            </w:tcBorders>
            <w:vAlign w:val="center"/>
          </w:tcPr>
          <w:p w14:paraId="66D46B24">
            <w:pPr>
              <w:spacing w:line="360" w:lineRule="auto"/>
              <w:jc w:val="center"/>
              <w:rPr>
                <w:rFonts w:ascii="宋体" w:hAnsi="宋体" w:cs="宋体"/>
                <w:color w:val="000000" w:themeColor="text1"/>
                <w:sz w:val="24"/>
                <w14:textFill>
                  <w14:solidFill>
                    <w14:schemeClr w14:val="tx1"/>
                  </w14:solidFill>
                </w14:textFill>
              </w:rPr>
            </w:pPr>
          </w:p>
        </w:tc>
      </w:tr>
    </w:tbl>
    <w:p w14:paraId="25569E5B">
      <w:pPr>
        <w:spacing w:line="360" w:lineRule="auto"/>
        <w:rPr>
          <w:rFonts w:ascii="宋体" w:hAnsi="宋体" w:cs="宋体"/>
          <w:color w:val="000000" w:themeColor="text1"/>
          <w:sz w:val="28"/>
          <w:szCs w:val="28"/>
          <w14:textFill>
            <w14:solidFill>
              <w14:schemeClr w14:val="tx1"/>
            </w14:solidFill>
          </w14:textFill>
        </w:rPr>
      </w:pPr>
    </w:p>
    <w:p w14:paraId="1898947B">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p w14:paraId="69F3C272">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1.本合同为固定总价合同，供应商为完成磋商项目所需的全部费用均应计入报价中（包括人员、验收、培训、运行维护、质量保证、税金等。）。</w:t>
      </w:r>
    </w:p>
    <w:p w14:paraId="4CA74B28">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2.供应商报价不得高于采购预算，否则其响应文件将无效。</w:t>
      </w:r>
    </w:p>
    <w:p w14:paraId="47A13706">
      <w:pPr>
        <w:rPr>
          <w:rFonts w:ascii="宋体" w:hAnsi="宋体" w:cs="宋体"/>
          <w:color w:val="000000" w:themeColor="text1"/>
          <w:sz w:val="24"/>
          <w14:textFill>
            <w14:solidFill>
              <w14:schemeClr w14:val="tx1"/>
            </w14:solidFill>
          </w14:textFill>
        </w:rPr>
      </w:pPr>
    </w:p>
    <w:p w14:paraId="59C114C6">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14:paraId="1F0A34F1">
      <w:pPr>
        <w:spacing w:after="480" w:afterLines="200" w:line="600" w:lineRule="exact"/>
        <w:ind w:firstLine="3828" w:firstLineChars="159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供应商名称：</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（公章）</w:t>
      </w:r>
    </w:p>
    <w:p w14:paraId="1E780F9E">
      <w:pPr>
        <w:ind w:firstLine="3828" w:firstLineChars="159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w:t>
      </w:r>
      <w:r>
        <w:rPr>
          <w:rFonts w:hint="eastAsia" w:ascii="宋体" w:hAnsi="宋体" w:cs="宋体"/>
          <w:color w:val="000000" w:themeColor="text1"/>
          <w:kern w:val="0"/>
          <w:sz w:val="24"/>
          <w14:textFill>
            <w14:solidFill>
              <w14:schemeClr w14:val="tx1"/>
            </w14:solidFill>
          </w14:textFill>
        </w:rPr>
        <w:t>（负责人）</w:t>
      </w:r>
      <w:r>
        <w:rPr>
          <w:rFonts w:hint="eastAsia" w:ascii="宋体" w:hAnsi="宋体" w:cs="宋体"/>
          <w:color w:val="000000" w:themeColor="text1"/>
          <w:sz w:val="24"/>
          <w14:textFill>
            <w14:solidFill>
              <w14:schemeClr w14:val="tx1"/>
            </w14:solidFill>
          </w14:textFill>
        </w:rPr>
        <w:t>或</w:t>
      </w:r>
    </w:p>
    <w:p w14:paraId="4A11C47D">
      <w:pPr>
        <w:ind w:firstLine="3828" w:firstLineChars="159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(签字或盖章)</w:t>
      </w:r>
    </w:p>
    <w:p w14:paraId="50117893">
      <w:pPr>
        <w:spacing w:before="480" w:beforeLines="200"/>
        <w:ind w:firstLine="3828" w:firstLineChars="159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bookmarkEnd w:id="32"/>
      <w:bookmarkStart w:id="37" w:name="_Toc494096893"/>
    </w:p>
    <w:p w14:paraId="41D3D682">
      <w:pPr>
        <w:pStyle w:val="2"/>
        <w:rPr>
          <w:rFonts w:ascii="宋体" w:hAnsi="宋体" w:cs="宋体"/>
          <w:b/>
          <w:bCs/>
          <w:color w:val="000000" w:themeColor="text1"/>
          <w:sz w:val="32"/>
          <w:szCs w:val="32"/>
          <w14:textFill>
            <w14:solidFill>
              <w14:schemeClr w14:val="tx1"/>
            </w14:solidFill>
          </w14:textFill>
        </w:rPr>
      </w:pPr>
    </w:p>
    <w:p w14:paraId="6F0FAF28">
      <w:pPr>
        <w:pStyle w:val="2"/>
        <w:rPr>
          <w:rFonts w:ascii="宋体" w:hAnsi="宋体" w:cs="宋体"/>
          <w:b/>
          <w:bCs/>
          <w:color w:val="000000" w:themeColor="text1"/>
          <w:sz w:val="32"/>
          <w:szCs w:val="32"/>
          <w14:textFill>
            <w14:solidFill>
              <w14:schemeClr w14:val="tx1"/>
            </w14:solidFill>
          </w14:textFill>
        </w:rPr>
      </w:pPr>
    </w:p>
    <w:p w14:paraId="651A88E0">
      <w:pPr>
        <w:pStyle w:val="2"/>
        <w:rPr>
          <w:rFonts w:ascii="宋体" w:hAnsi="宋体" w:cs="宋体"/>
          <w:b/>
          <w:bCs/>
          <w:color w:val="000000" w:themeColor="text1"/>
          <w:sz w:val="32"/>
          <w:szCs w:val="32"/>
          <w14:textFill>
            <w14:solidFill>
              <w14:schemeClr w14:val="tx1"/>
            </w14:solidFill>
          </w14:textFill>
        </w:rPr>
      </w:pPr>
    </w:p>
    <w:p w14:paraId="10FB5CFE">
      <w:pPr>
        <w:pStyle w:val="2"/>
        <w:rPr>
          <w:rFonts w:ascii="宋体" w:hAnsi="宋体" w:cs="宋体"/>
          <w:b/>
          <w:bCs/>
          <w:color w:val="000000" w:themeColor="text1"/>
          <w:sz w:val="32"/>
          <w:szCs w:val="32"/>
          <w14:textFill>
            <w14:solidFill>
              <w14:schemeClr w14:val="tx1"/>
            </w14:solidFill>
          </w14:textFill>
        </w:rPr>
      </w:pPr>
    </w:p>
    <w:p w14:paraId="3C71BDC9">
      <w:pPr>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br w:type="page"/>
      </w:r>
    </w:p>
    <w:p w14:paraId="69BF18AB">
      <w:pPr>
        <w:spacing w:line="360" w:lineRule="auto"/>
        <w:jc w:val="center"/>
        <w:outlineLvl w:val="1"/>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分项</w:t>
      </w:r>
      <w:r>
        <w:rPr>
          <w:rFonts w:hint="eastAsia" w:ascii="宋体" w:hAnsi="宋体" w:cs="宋体"/>
          <w:b/>
          <w:color w:val="000000" w:themeColor="text1"/>
          <w:sz w:val="32"/>
          <w:szCs w:val="32"/>
          <w:lang w:val="en-US" w:eastAsia="zh-CN"/>
          <w14:textFill>
            <w14:solidFill>
              <w14:schemeClr w14:val="tx1"/>
            </w14:solidFill>
          </w14:textFill>
        </w:rPr>
        <w:t>报价</w:t>
      </w:r>
      <w:r>
        <w:rPr>
          <w:rFonts w:hint="eastAsia" w:ascii="宋体" w:hAnsi="宋体" w:cs="宋体"/>
          <w:b/>
          <w:color w:val="000000" w:themeColor="text1"/>
          <w:sz w:val="32"/>
          <w:szCs w:val="32"/>
          <w14:textFill>
            <w14:solidFill>
              <w14:schemeClr w14:val="tx1"/>
            </w14:solidFill>
          </w14:textFill>
        </w:rPr>
        <w:t>表</w:t>
      </w:r>
    </w:p>
    <w:p w14:paraId="55C9C4DB">
      <w:pPr>
        <w:spacing w:after="480" w:afterLines="200" w:line="600" w:lineRule="exact"/>
        <w:ind w:firstLine="3828" w:firstLineChars="1595"/>
        <w:jc w:val="left"/>
        <w:rPr>
          <w:rFonts w:ascii="宋体" w:hAnsi="宋体" w:cs="宋体"/>
          <w:color w:val="000000" w:themeColor="text1"/>
          <w:sz w:val="24"/>
          <w14:textFill>
            <w14:solidFill>
              <w14:schemeClr w14:val="tx1"/>
            </w14:solidFill>
          </w14:textFill>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1647"/>
        <w:gridCol w:w="1052"/>
        <w:gridCol w:w="1052"/>
        <w:gridCol w:w="2241"/>
        <w:gridCol w:w="1647"/>
      </w:tblGrid>
      <w:tr w14:paraId="6D4E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47" w:type="dxa"/>
            <w:noWrap w:val="0"/>
            <w:vAlign w:val="center"/>
          </w:tcPr>
          <w:p w14:paraId="1444D1D5">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647" w:type="dxa"/>
            <w:noWrap w:val="0"/>
            <w:vAlign w:val="center"/>
          </w:tcPr>
          <w:p w14:paraId="4B001F18">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类别</w:t>
            </w:r>
          </w:p>
        </w:tc>
        <w:tc>
          <w:tcPr>
            <w:tcW w:w="1052" w:type="dxa"/>
            <w:noWrap w:val="0"/>
            <w:vAlign w:val="center"/>
          </w:tcPr>
          <w:p w14:paraId="539457F5">
            <w:pPr>
              <w:pageBreakBefore w:val="0"/>
              <w:kinsoku/>
              <w:overflowPunct/>
              <w:topLinePunct w:val="0"/>
              <w:bidi w:val="0"/>
              <w:spacing w:beforeAutospacing="0" w:afterAutospacing="0" w:line="440" w:lineRule="exact"/>
              <w:ind w:left="0" w:leftChars="0" w:right="0"/>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规格、参数</w:t>
            </w:r>
          </w:p>
        </w:tc>
        <w:tc>
          <w:tcPr>
            <w:tcW w:w="1052" w:type="dxa"/>
            <w:noWrap w:val="0"/>
            <w:vAlign w:val="center"/>
          </w:tcPr>
          <w:p w14:paraId="02D0BCB7">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数 量</w:t>
            </w:r>
          </w:p>
        </w:tc>
        <w:tc>
          <w:tcPr>
            <w:tcW w:w="2241" w:type="dxa"/>
            <w:noWrap w:val="0"/>
            <w:vAlign w:val="center"/>
          </w:tcPr>
          <w:p w14:paraId="60D99B98">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rPr>
              <w:t>单价（元）</w:t>
            </w:r>
          </w:p>
        </w:tc>
        <w:tc>
          <w:tcPr>
            <w:tcW w:w="1647" w:type="dxa"/>
            <w:noWrap w:val="0"/>
            <w:vAlign w:val="center"/>
          </w:tcPr>
          <w:p w14:paraId="64B0B006">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总价</w:t>
            </w:r>
            <w:r>
              <w:rPr>
                <w:rFonts w:hint="eastAsia" w:ascii="宋体" w:hAnsi="宋体" w:eastAsia="宋体" w:cs="宋体"/>
                <w:color w:val="auto"/>
                <w:highlight w:val="none"/>
              </w:rPr>
              <w:t>（元）</w:t>
            </w:r>
          </w:p>
        </w:tc>
      </w:tr>
      <w:tr w14:paraId="5734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647" w:type="dxa"/>
            <w:noWrap w:val="0"/>
            <w:vAlign w:val="top"/>
          </w:tcPr>
          <w:p w14:paraId="23C1400F">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1647" w:type="dxa"/>
            <w:noWrap w:val="0"/>
            <w:vAlign w:val="top"/>
          </w:tcPr>
          <w:p w14:paraId="2F7F8BA8">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052" w:type="dxa"/>
            <w:noWrap w:val="0"/>
            <w:vAlign w:val="top"/>
          </w:tcPr>
          <w:p w14:paraId="5DB926FB">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052" w:type="dxa"/>
            <w:noWrap w:val="0"/>
            <w:vAlign w:val="top"/>
          </w:tcPr>
          <w:p w14:paraId="6A544F3D">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2241" w:type="dxa"/>
            <w:noWrap w:val="0"/>
            <w:vAlign w:val="top"/>
          </w:tcPr>
          <w:p w14:paraId="5B2F151E">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647" w:type="dxa"/>
            <w:noWrap w:val="0"/>
            <w:vAlign w:val="top"/>
          </w:tcPr>
          <w:p w14:paraId="01C7C34E">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r>
      <w:tr w14:paraId="1427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647" w:type="dxa"/>
            <w:noWrap w:val="0"/>
            <w:vAlign w:val="top"/>
          </w:tcPr>
          <w:p w14:paraId="48FBDD06">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1647" w:type="dxa"/>
            <w:noWrap w:val="0"/>
            <w:vAlign w:val="top"/>
          </w:tcPr>
          <w:p w14:paraId="3FFBB19B">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052" w:type="dxa"/>
            <w:noWrap w:val="0"/>
            <w:vAlign w:val="top"/>
          </w:tcPr>
          <w:p w14:paraId="7E277183">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052" w:type="dxa"/>
            <w:noWrap w:val="0"/>
            <w:vAlign w:val="top"/>
          </w:tcPr>
          <w:p w14:paraId="75C9605B">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2241" w:type="dxa"/>
            <w:noWrap w:val="0"/>
            <w:vAlign w:val="top"/>
          </w:tcPr>
          <w:p w14:paraId="38D042A4">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647" w:type="dxa"/>
            <w:noWrap w:val="0"/>
            <w:vAlign w:val="top"/>
          </w:tcPr>
          <w:p w14:paraId="6CF9A629">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r>
      <w:tr w14:paraId="6362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647" w:type="dxa"/>
            <w:noWrap w:val="0"/>
            <w:vAlign w:val="top"/>
          </w:tcPr>
          <w:p w14:paraId="254C7255">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1647" w:type="dxa"/>
            <w:noWrap w:val="0"/>
            <w:vAlign w:val="top"/>
          </w:tcPr>
          <w:p w14:paraId="7AAEDBD5">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052" w:type="dxa"/>
            <w:noWrap w:val="0"/>
            <w:vAlign w:val="top"/>
          </w:tcPr>
          <w:p w14:paraId="7AF61567">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052" w:type="dxa"/>
            <w:noWrap w:val="0"/>
            <w:vAlign w:val="top"/>
          </w:tcPr>
          <w:p w14:paraId="0F0C9337">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2241" w:type="dxa"/>
            <w:noWrap w:val="0"/>
            <w:vAlign w:val="top"/>
          </w:tcPr>
          <w:p w14:paraId="730BCBBD">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647" w:type="dxa"/>
            <w:noWrap w:val="0"/>
            <w:vAlign w:val="top"/>
          </w:tcPr>
          <w:p w14:paraId="481E97DA">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r>
      <w:tr w14:paraId="78E4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647" w:type="dxa"/>
            <w:noWrap w:val="0"/>
            <w:vAlign w:val="top"/>
          </w:tcPr>
          <w:p w14:paraId="31CC760D">
            <w:pPr>
              <w:pageBreakBefore w:val="0"/>
              <w:kinsoku/>
              <w:overflowPunct/>
              <w:topLinePunct w:val="0"/>
              <w:bidi w:val="0"/>
              <w:spacing w:beforeAutospacing="0" w:afterAutospacing="0" w:line="440" w:lineRule="exact"/>
              <w:ind w:left="0" w:leftChars="0" w:right="0"/>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647" w:type="dxa"/>
            <w:noWrap w:val="0"/>
            <w:vAlign w:val="top"/>
          </w:tcPr>
          <w:p w14:paraId="5DFDF254">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052" w:type="dxa"/>
            <w:noWrap w:val="0"/>
            <w:vAlign w:val="top"/>
          </w:tcPr>
          <w:p w14:paraId="2865E30A">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052" w:type="dxa"/>
            <w:noWrap w:val="0"/>
            <w:vAlign w:val="top"/>
          </w:tcPr>
          <w:p w14:paraId="5DD18682">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2241" w:type="dxa"/>
            <w:noWrap w:val="0"/>
            <w:vAlign w:val="top"/>
          </w:tcPr>
          <w:p w14:paraId="293FE7E0">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c>
          <w:tcPr>
            <w:tcW w:w="1647" w:type="dxa"/>
            <w:noWrap w:val="0"/>
            <w:vAlign w:val="top"/>
          </w:tcPr>
          <w:p w14:paraId="687FAECB">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p>
        </w:tc>
      </w:tr>
      <w:tr w14:paraId="1E19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1647" w:type="dxa"/>
            <w:noWrap w:val="0"/>
            <w:vAlign w:val="top"/>
          </w:tcPr>
          <w:p w14:paraId="7D1BE321">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lang w:val="en-US" w:eastAsia="zh-CN"/>
              </w:rPr>
            </w:pPr>
          </w:p>
          <w:p w14:paraId="757B10B6">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lang w:val="en-US" w:eastAsia="zh-CN"/>
              </w:rPr>
            </w:pPr>
          </w:p>
          <w:p w14:paraId="7BF681D3">
            <w:pPr>
              <w:pageBreakBefore w:val="0"/>
              <w:kinsoku/>
              <w:overflowPunct/>
              <w:topLinePunct w:val="0"/>
              <w:bidi w:val="0"/>
              <w:spacing w:beforeAutospacing="0" w:afterAutospacing="0" w:line="440" w:lineRule="exact"/>
              <w:ind w:left="0" w:leftChars="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投标总价（元）</w:t>
            </w:r>
          </w:p>
        </w:tc>
        <w:tc>
          <w:tcPr>
            <w:tcW w:w="7639" w:type="dxa"/>
            <w:gridSpan w:val="5"/>
            <w:noWrap w:val="0"/>
            <w:vAlign w:val="top"/>
          </w:tcPr>
          <w:p w14:paraId="4401D9ED">
            <w:pPr>
              <w:pageBreakBefore w:val="0"/>
              <w:kinsoku/>
              <w:overflowPunct/>
              <w:topLinePunct w:val="0"/>
              <w:bidi w:val="0"/>
              <w:spacing w:beforeAutospacing="0" w:afterAutospacing="0" w:line="440" w:lineRule="exact"/>
              <w:ind w:left="0" w:leftChars="0" w:right="0"/>
              <w:jc w:val="left"/>
              <w:rPr>
                <w:rFonts w:hint="eastAsia" w:ascii="宋体" w:hAnsi="宋体" w:eastAsia="宋体" w:cs="宋体"/>
                <w:color w:val="auto"/>
                <w:highlight w:val="none"/>
              </w:rPr>
            </w:pPr>
          </w:p>
          <w:p w14:paraId="31F0A41D">
            <w:pPr>
              <w:pageBreakBefore w:val="0"/>
              <w:kinsoku/>
              <w:overflowPunct/>
              <w:topLinePunct w:val="0"/>
              <w:bidi w:val="0"/>
              <w:spacing w:beforeAutospacing="0" w:afterAutospacing="0" w:line="440" w:lineRule="exact"/>
              <w:ind w:left="0" w:leftChars="0" w:right="0"/>
              <w:jc w:val="left"/>
              <w:rPr>
                <w:rFonts w:hint="eastAsia" w:ascii="宋体" w:hAnsi="宋体" w:eastAsia="宋体" w:cs="宋体"/>
                <w:color w:val="auto"/>
                <w:highlight w:val="none"/>
              </w:rPr>
            </w:pPr>
            <w:r>
              <w:rPr>
                <w:rFonts w:hint="eastAsia" w:ascii="宋体" w:hAnsi="宋体" w:eastAsia="宋体" w:cs="宋体"/>
                <w:color w:val="auto"/>
                <w:highlight w:val="none"/>
              </w:rPr>
              <w:t>大写金额：</w:t>
            </w:r>
          </w:p>
          <w:p w14:paraId="0FCE8EA8">
            <w:pPr>
              <w:pageBreakBefore w:val="0"/>
              <w:kinsoku/>
              <w:overflowPunct/>
              <w:topLinePunct w:val="0"/>
              <w:bidi w:val="0"/>
              <w:spacing w:beforeAutospacing="0" w:afterAutospacing="0" w:line="440" w:lineRule="exact"/>
              <w:ind w:left="0" w:leftChars="0" w:right="0"/>
              <w:jc w:val="left"/>
              <w:rPr>
                <w:rFonts w:hint="eastAsia" w:ascii="宋体" w:hAnsi="宋体" w:eastAsia="宋体" w:cs="宋体"/>
                <w:color w:val="auto"/>
                <w:highlight w:val="none"/>
              </w:rPr>
            </w:pPr>
            <w:r>
              <w:rPr>
                <w:rFonts w:hint="eastAsia" w:ascii="宋体" w:hAnsi="宋体" w:eastAsia="宋体" w:cs="宋体"/>
                <w:color w:val="auto"/>
                <w:highlight w:val="none"/>
              </w:rPr>
              <w:t>小写金额：</w:t>
            </w:r>
          </w:p>
        </w:tc>
      </w:tr>
    </w:tbl>
    <w:p w14:paraId="6406A46D">
      <w:pPr>
        <w:pageBreakBefore w:val="0"/>
        <w:kinsoku/>
        <w:overflowPunct/>
        <w:topLinePunct w:val="0"/>
        <w:bidi w:val="0"/>
        <w:spacing w:beforeAutospacing="0" w:afterAutospacing="0" w:line="440" w:lineRule="exact"/>
        <w:ind w:left="0" w:leftChars="0" w:right="0"/>
        <w:rPr>
          <w:rFonts w:hint="eastAsia" w:ascii="宋体" w:hAnsi="宋体" w:eastAsia="宋体" w:cs="宋体"/>
          <w:b/>
          <w:bCs/>
          <w:color w:val="auto"/>
          <w:szCs w:val="21"/>
          <w:highlight w:val="none"/>
          <w:lang w:val="en-US" w:eastAsia="zh-CN"/>
        </w:rPr>
      </w:pPr>
    </w:p>
    <w:p w14:paraId="13ECD0E2">
      <w:pPr>
        <w:pageBreakBefore w:val="0"/>
        <w:kinsoku/>
        <w:overflowPunct/>
        <w:topLinePunct w:val="0"/>
        <w:bidi w:val="0"/>
        <w:spacing w:beforeAutospacing="0" w:afterAutospacing="0" w:line="440" w:lineRule="exact"/>
        <w:ind w:left="0" w:leftChars="0" w:right="0"/>
        <w:rPr>
          <w:rFonts w:hint="eastAsia" w:ascii="宋体" w:hAnsi="宋体" w:eastAsia="宋体" w:cs="宋体"/>
          <w:highlight w:val="none"/>
        </w:rPr>
      </w:pPr>
      <w:r>
        <w:rPr>
          <w:rFonts w:hint="eastAsia" w:ascii="宋体" w:hAnsi="宋体" w:eastAsia="宋体" w:cs="宋体"/>
          <w:b/>
          <w:bCs/>
          <w:color w:val="auto"/>
          <w:szCs w:val="21"/>
          <w:highlight w:val="none"/>
          <w:lang w:val="en-US" w:eastAsia="zh-CN"/>
        </w:rPr>
        <w:t>备</w:t>
      </w:r>
      <w:r>
        <w:rPr>
          <w:rFonts w:hint="eastAsia" w:ascii="宋体" w:hAnsi="宋体" w:eastAsia="宋体" w:cs="宋体"/>
          <w:b/>
          <w:bCs/>
          <w:color w:val="auto"/>
          <w:szCs w:val="21"/>
          <w:highlight w:val="none"/>
        </w:rPr>
        <w:t>注：</w:t>
      </w:r>
      <w:r>
        <w:rPr>
          <w:rFonts w:hint="eastAsia" w:ascii="宋体" w:hAnsi="宋体" w:eastAsia="宋体" w:cs="宋体"/>
          <w:highlight w:val="none"/>
        </w:rPr>
        <w:t>1、本表“投标报价”金额应与“开标一览表”中的“投标报价”一致；</w:t>
      </w:r>
    </w:p>
    <w:p w14:paraId="33D8F8F7">
      <w:pPr>
        <w:pStyle w:val="20"/>
        <w:pageBreakBefore w:val="0"/>
        <w:kinsoku/>
        <w:overflowPunct/>
        <w:topLinePunct w:val="0"/>
        <w:bidi w:val="0"/>
        <w:spacing w:beforeAutospacing="0" w:after="0" w:afterLines="0" w:afterAutospacing="0" w:line="440" w:lineRule="exact"/>
        <w:ind w:left="0" w:leftChars="0" w:right="0" w:firstLine="240" w:firstLineChars="100"/>
        <w:rPr>
          <w:rFonts w:hint="eastAsia" w:ascii="宋体" w:hAnsi="宋体" w:eastAsia="宋体" w:cs="宋体"/>
          <w:highlight w:val="none"/>
        </w:rPr>
      </w:pPr>
      <w:r>
        <w:rPr>
          <w:rFonts w:hint="eastAsia" w:ascii="宋体" w:hAnsi="宋体" w:eastAsia="宋体" w:cs="宋体"/>
          <w:highlight w:val="none"/>
        </w:rPr>
        <w:t>2、如果按单价计算的结果与总价不一致，以单价为准修正总价。</w:t>
      </w:r>
    </w:p>
    <w:p w14:paraId="30C36758">
      <w:pPr>
        <w:pStyle w:val="20"/>
        <w:pageBreakBefore w:val="0"/>
        <w:kinsoku/>
        <w:overflowPunct/>
        <w:topLinePunct w:val="0"/>
        <w:bidi w:val="0"/>
        <w:spacing w:beforeAutospacing="0" w:after="0" w:afterLines="0" w:afterAutospacing="0" w:line="440" w:lineRule="exact"/>
        <w:ind w:left="0" w:leftChars="0" w:right="0" w:firstLine="240" w:firstLineChars="100"/>
        <w:rPr>
          <w:rFonts w:hint="eastAsia" w:ascii="宋体" w:hAnsi="宋体" w:eastAsia="宋体" w:cs="宋体"/>
          <w:highlight w:val="none"/>
        </w:rPr>
      </w:pPr>
      <w:r>
        <w:rPr>
          <w:rFonts w:hint="eastAsia" w:ascii="宋体" w:hAnsi="宋体" w:eastAsia="宋体" w:cs="宋体"/>
          <w:highlight w:val="none"/>
        </w:rPr>
        <w:t>3、如果不提供详细分项报价将视为没有实质性响应招标文件。</w:t>
      </w:r>
    </w:p>
    <w:p w14:paraId="4C8B8F35">
      <w:pPr>
        <w:pStyle w:val="20"/>
        <w:pageBreakBefore w:val="0"/>
        <w:kinsoku/>
        <w:overflowPunct/>
        <w:topLinePunct w:val="0"/>
        <w:bidi w:val="0"/>
        <w:spacing w:beforeAutospacing="0" w:after="0" w:afterLines="0" w:afterAutospacing="0" w:line="440" w:lineRule="exact"/>
        <w:ind w:left="0" w:leftChars="0" w:right="0" w:firstLine="240" w:firstLineChars="100"/>
        <w:rPr>
          <w:rFonts w:hint="eastAsia" w:ascii="宋体" w:hAnsi="宋体" w:eastAsia="宋体" w:cs="宋体"/>
          <w:highlight w:val="none"/>
        </w:rPr>
      </w:pPr>
      <w:r>
        <w:rPr>
          <w:rFonts w:hint="eastAsia" w:ascii="宋体" w:hAnsi="宋体" w:eastAsia="宋体" w:cs="宋体"/>
          <w:highlight w:val="none"/>
        </w:rPr>
        <w:t>4、供应商可适当调整该表格式，但不得减少信息内容。</w:t>
      </w:r>
    </w:p>
    <w:p w14:paraId="7CC07419">
      <w:pPr>
        <w:pStyle w:val="11"/>
        <w:rPr>
          <w:rFonts w:ascii="宋体" w:hAnsi="宋体" w:cs="宋体"/>
          <w:color w:val="000000" w:themeColor="text1"/>
          <w:sz w:val="24"/>
          <w14:textFill>
            <w14:solidFill>
              <w14:schemeClr w14:val="tx1"/>
            </w14:solidFill>
          </w14:textFill>
        </w:rPr>
      </w:pPr>
    </w:p>
    <w:p w14:paraId="1F570447">
      <w:pPr>
        <w:pStyle w:val="11"/>
        <w:rPr>
          <w:rFonts w:ascii="宋体" w:hAnsi="宋体" w:cs="宋体"/>
          <w:color w:val="000000" w:themeColor="text1"/>
          <w:sz w:val="24"/>
          <w14:textFill>
            <w14:solidFill>
              <w14:schemeClr w14:val="tx1"/>
            </w14:solidFill>
          </w14:textFill>
        </w:rPr>
      </w:pPr>
    </w:p>
    <w:p w14:paraId="37A156B0">
      <w:pPr>
        <w:rPr>
          <w:color w:val="000000" w:themeColor="text1"/>
          <w14:textFill>
            <w14:solidFill>
              <w14:schemeClr w14:val="tx1"/>
            </w14:solidFill>
          </w14:textFill>
        </w:rPr>
      </w:pPr>
    </w:p>
    <w:p w14:paraId="0B34AAD0">
      <w:pPr>
        <w:rPr>
          <w:rFonts w:ascii="宋体" w:hAnsi="宋体" w:cs="宋体"/>
          <w:b/>
          <w:bCs/>
          <w:color w:val="000000" w:themeColor="text1"/>
          <w:sz w:val="32"/>
          <w:szCs w:val="32"/>
          <w14:textFill>
            <w14:solidFill>
              <w14:schemeClr w14:val="tx1"/>
            </w14:solidFill>
          </w14:textFill>
        </w:rPr>
      </w:pPr>
    </w:p>
    <w:p w14:paraId="46829174">
      <w:pPr>
        <w:rPr>
          <w:rFonts w:ascii="宋体" w:hAnsi="宋体" w:cs="宋体"/>
          <w:b/>
          <w:bCs/>
          <w:color w:val="000000" w:themeColor="text1"/>
          <w:sz w:val="32"/>
          <w:szCs w:val="32"/>
          <w14:textFill>
            <w14:solidFill>
              <w14:schemeClr w14:val="tx1"/>
            </w14:solidFill>
          </w14:textFill>
        </w:rPr>
      </w:pPr>
    </w:p>
    <w:p w14:paraId="40FE7F4A">
      <w:pPr>
        <w:rPr>
          <w:rFonts w:ascii="宋体" w:hAnsi="宋体" w:cs="宋体"/>
          <w:b/>
          <w:bCs/>
          <w:color w:val="000000" w:themeColor="text1"/>
          <w:sz w:val="32"/>
          <w:szCs w:val="32"/>
          <w14:textFill>
            <w14:solidFill>
              <w14:schemeClr w14:val="tx1"/>
            </w14:solidFill>
          </w14:textFill>
        </w:rPr>
      </w:pPr>
    </w:p>
    <w:p w14:paraId="1B3E5F70">
      <w:pPr>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br w:type="page"/>
      </w:r>
    </w:p>
    <w:p w14:paraId="645BD684">
      <w:pPr>
        <w:spacing w:line="480" w:lineRule="auto"/>
        <w:jc w:val="center"/>
        <w:outlineLvl w:val="1"/>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五、商务条款偏离表</w:t>
      </w:r>
    </w:p>
    <w:p w14:paraId="45C5ECDF">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                                               项目编号：</w:t>
      </w:r>
    </w:p>
    <w:tbl>
      <w:tblPr>
        <w:tblStyle w:val="21"/>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981"/>
        <w:gridCol w:w="2403"/>
        <w:gridCol w:w="2532"/>
        <w:gridCol w:w="864"/>
        <w:gridCol w:w="780"/>
      </w:tblGrid>
      <w:tr w14:paraId="2F20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878" w:type="dxa"/>
            <w:vAlign w:val="center"/>
          </w:tcPr>
          <w:p w14:paraId="7ADD96E1">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1981" w:type="dxa"/>
            <w:vAlign w:val="center"/>
          </w:tcPr>
          <w:p w14:paraId="169CCDC9">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磋商文件条目号</w:t>
            </w:r>
          </w:p>
        </w:tc>
        <w:tc>
          <w:tcPr>
            <w:tcW w:w="2403" w:type="dxa"/>
            <w:vAlign w:val="center"/>
          </w:tcPr>
          <w:p w14:paraId="722EC823">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磋商文件的商务条款</w:t>
            </w:r>
          </w:p>
        </w:tc>
        <w:tc>
          <w:tcPr>
            <w:tcW w:w="2532" w:type="dxa"/>
            <w:vAlign w:val="center"/>
          </w:tcPr>
          <w:p w14:paraId="60D084A9">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响应文件的商务条款</w:t>
            </w:r>
          </w:p>
        </w:tc>
        <w:tc>
          <w:tcPr>
            <w:tcW w:w="864" w:type="dxa"/>
            <w:vAlign w:val="center"/>
          </w:tcPr>
          <w:p w14:paraId="24131872">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偏离</w:t>
            </w:r>
          </w:p>
        </w:tc>
        <w:tc>
          <w:tcPr>
            <w:tcW w:w="780" w:type="dxa"/>
            <w:vAlign w:val="center"/>
          </w:tcPr>
          <w:p w14:paraId="3A38560F">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tc>
      </w:tr>
      <w:tr w14:paraId="558C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78" w:type="dxa"/>
            <w:vAlign w:val="center"/>
          </w:tcPr>
          <w:p w14:paraId="5DB2DB53">
            <w:pPr>
              <w:jc w:val="center"/>
              <w:rPr>
                <w:rFonts w:ascii="宋体" w:hAnsi="宋体" w:cs="宋体"/>
                <w:color w:val="000000" w:themeColor="text1"/>
                <w:sz w:val="24"/>
                <w14:textFill>
                  <w14:solidFill>
                    <w14:schemeClr w14:val="tx1"/>
                  </w14:solidFill>
                </w14:textFill>
              </w:rPr>
            </w:pPr>
          </w:p>
        </w:tc>
        <w:tc>
          <w:tcPr>
            <w:tcW w:w="1981" w:type="dxa"/>
            <w:vAlign w:val="center"/>
          </w:tcPr>
          <w:p w14:paraId="08CF1FB3">
            <w:pPr>
              <w:jc w:val="center"/>
              <w:rPr>
                <w:rFonts w:ascii="宋体" w:hAnsi="宋体" w:cs="宋体"/>
                <w:color w:val="000000" w:themeColor="text1"/>
                <w:sz w:val="24"/>
                <w14:textFill>
                  <w14:solidFill>
                    <w14:schemeClr w14:val="tx1"/>
                  </w14:solidFill>
                </w14:textFill>
              </w:rPr>
            </w:pPr>
          </w:p>
        </w:tc>
        <w:tc>
          <w:tcPr>
            <w:tcW w:w="2403" w:type="dxa"/>
            <w:vAlign w:val="center"/>
          </w:tcPr>
          <w:p w14:paraId="77B86B34">
            <w:pPr>
              <w:jc w:val="center"/>
              <w:rPr>
                <w:rFonts w:ascii="宋体" w:hAnsi="宋体" w:cs="宋体"/>
                <w:color w:val="000000" w:themeColor="text1"/>
                <w:sz w:val="24"/>
                <w14:textFill>
                  <w14:solidFill>
                    <w14:schemeClr w14:val="tx1"/>
                  </w14:solidFill>
                </w14:textFill>
              </w:rPr>
            </w:pPr>
          </w:p>
        </w:tc>
        <w:tc>
          <w:tcPr>
            <w:tcW w:w="2532" w:type="dxa"/>
            <w:vAlign w:val="center"/>
          </w:tcPr>
          <w:p w14:paraId="7372C6C9">
            <w:pPr>
              <w:jc w:val="center"/>
              <w:rPr>
                <w:rFonts w:ascii="宋体" w:hAnsi="宋体" w:cs="宋体"/>
                <w:color w:val="000000" w:themeColor="text1"/>
                <w:sz w:val="24"/>
                <w14:textFill>
                  <w14:solidFill>
                    <w14:schemeClr w14:val="tx1"/>
                  </w14:solidFill>
                </w14:textFill>
              </w:rPr>
            </w:pPr>
          </w:p>
        </w:tc>
        <w:tc>
          <w:tcPr>
            <w:tcW w:w="864" w:type="dxa"/>
            <w:vAlign w:val="center"/>
          </w:tcPr>
          <w:p w14:paraId="1410130C">
            <w:pPr>
              <w:jc w:val="center"/>
              <w:rPr>
                <w:rFonts w:ascii="宋体" w:hAnsi="宋体" w:cs="宋体"/>
                <w:color w:val="000000" w:themeColor="text1"/>
                <w:sz w:val="24"/>
                <w14:textFill>
                  <w14:solidFill>
                    <w14:schemeClr w14:val="tx1"/>
                  </w14:solidFill>
                </w14:textFill>
              </w:rPr>
            </w:pPr>
          </w:p>
        </w:tc>
        <w:tc>
          <w:tcPr>
            <w:tcW w:w="780" w:type="dxa"/>
            <w:vAlign w:val="center"/>
          </w:tcPr>
          <w:p w14:paraId="0639B30F">
            <w:pPr>
              <w:jc w:val="center"/>
              <w:rPr>
                <w:rFonts w:ascii="宋体" w:hAnsi="宋体" w:cs="宋体"/>
                <w:color w:val="000000" w:themeColor="text1"/>
                <w:sz w:val="24"/>
                <w14:textFill>
                  <w14:solidFill>
                    <w14:schemeClr w14:val="tx1"/>
                  </w14:solidFill>
                </w14:textFill>
              </w:rPr>
            </w:pPr>
          </w:p>
        </w:tc>
      </w:tr>
      <w:tr w14:paraId="522C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78" w:type="dxa"/>
            <w:vAlign w:val="center"/>
          </w:tcPr>
          <w:p w14:paraId="6046F15F">
            <w:pPr>
              <w:jc w:val="center"/>
              <w:rPr>
                <w:rFonts w:ascii="宋体" w:hAnsi="宋体" w:cs="宋体"/>
                <w:color w:val="000000" w:themeColor="text1"/>
                <w:sz w:val="24"/>
                <w14:textFill>
                  <w14:solidFill>
                    <w14:schemeClr w14:val="tx1"/>
                  </w14:solidFill>
                </w14:textFill>
              </w:rPr>
            </w:pPr>
          </w:p>
        </w:tc>
        <w:tc>
          <w:tcPr>
            <w:tcW w:w="1981" w:type="dxa"/>
            <w:vAlign w:val="center"/>
          </w:tcPr>
          <w:p w14:paraId="0A376B87">
            <w:pPr>
              <w:jc w:val="center"/>
              <w:rPr>
                <w:rFonts w:ascii="宋体" w:hAnsi="宋体" w:cs="宋体"/>
                <w:color w:val="000000" w:themeColor="text1"/>
                <w:sz w:val="24"/>
                <w14:textFill>
                  <w14:solidFill>
                    <w14:schemeClr w14:val="tx1"/>
                  </w14:solidFill>
                </w14:textFill>
              </w:rPr>
            </w:pPr>
          </w:p>
        </w:tc>
        <w:tc>
          <w:tcPr>
            <w:tcW w:w="2403" w:type="dxa"/>
            <w:vAlign w:val="center"/>
          </w:tcPr>
          <w:p w14:paraId="2A0598C7">
            <w:pPr>
              <w:jc w:val="center"/>
              <w:rPr>
                <w:rFonts w:ascii="宋体" w:hAnsi="宋体" w:cs="宋体"/>
                <w:color w:val="000000" w:themeColor="text1"/>
                <w:sz w:val="24"/>
                <w14:textFill>
                  <w14:solidFill>
                    <w14:schemeClr w14:val="tx1"/>
                  </w14:solidFill>
                </w14:textFill>
              </w:rPr>
            </w:pPr>
          </w:p>
        </w:tc>
        <w:tc>
          <w:tcPr>
            <w:tcW w:w="2532" w:type="dxa"/>
            <w:vAlign w:val="center"/>
          </w:tcPr>
          <w:p w14:paraId="3449D6E5">
            <w:pPr>
              <w:jc w:val="center"/>
              <w:rPr>
                <w:rFonts w:ascii="宋体" w:hAnsi="宋体" w:cs="宋体"/>
                <w:color w:val="000000" w:themeColor="text1"/>
                <w:sz w:val="24"/>
                <w14:textFill>
                  <w14:solidFill>
                    <w14:schemeClr w14:val="tx1"/>
                  </w14:solidFill>
                </w14:textFill>
              </w:rPr>
            </w:pPr>
          </w:p>
        </w:tc>
        <w:tc>
          <w:tcPr>
            <w:tcW w:w="864" w:type="dxa"/>
            <w:vAlign w:val="center"/>
          </w:tcPr>
          <w:p w14:paraId="7DF3F768">
            <w:pPr>
              <w:jc w:val="center"/>
              <w:rPr>
                <w:rFonts w:ascii="宋体" w:hAnsi="宋体" w:cs="宋体"/>
                <w:color w:val="000000" w:themeColor="text1"/>
                <w:sz w:val="24"/>
                <w14:textFill>
                  <w14:solidFill>
                    <w14:schemeClr w14:val="tx1"/>
                  </w14:solidFill>
                </w14:textFill>
              </w:rPr>
            </w:pPr>
          </w:p>
        </w:tc>
        <w:tc>
          <w:tcPr>
            <w:tcW w:w="780" w:type="dxa"/>
            <w:vAlign w:val="center"/>
          </w:tcPr>
          <w:p w14:paraId="48EA57BA">
            <w:pPr>
              <w:jc w:val="center"/>
              <w:rPr>
                <w:rFonts w:ascii="宋体" w:hAnsi="宋体" w:cs="宋体"/>
                <w:color w:val="000000" w:themeColor="text1"/>
                <w:sz w:val="24"/>
                <w14:textFill>
                  <w14:solidFill>
                    <w14:schemeClr w14:val="tx1"/>
                  </w14:solidFill>
                </w14:textFill>
              </w:rPr>
            </w:pPr>
          </w:p>
        </w:tc>
      </w:tr>
      <w:tr w14:paraId="0ECF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78" w:type="dxa"/>
            <w:vAlign w:val="center"/>
          </w:tcPr>
          <w:p w14:paraId="57B4B107">
            <w:pPr>
              <w:jc w:val="center"/>
              <w:rPr>
                <w:rFonts w:ascii="宋体" w:hAnsi="宋体" w:cs="宋体"/>
                <w:color w:val="000000" w:themeColor="text1"/>
                <w:sz w:val="24"/>
                <w14:textFill>
                  <w14:solidFill>
                    <w14:schemeClr w14:val="tx1"/>
                  </w14:solidFill>
                </w14:textFill>
              </w:rPr>
            </w:pPr>
          </w:p>
        </w:tc>
        <w:tc>
          <w:tcPr>
            <w:tcW w:w="1981" w:type="dxa"/>
            <w:vAlign w:val="center"/>
          </w:tcPr>
          <w:p w14:paraId="6A7B99A0">
            <w:pPr>
              <w:jc w:val="center"/>
              <w:rPr>
                <w:rFonts w:ascii="宋体" w:hAnsi="宋体" w:cs="宋体"/>
                <w:color w:val="000000" w:themeColor="text1"/>
                <w:sz w:val="24"/>
                <w14:textFill>
                  <w14:solidFill>
                    <w14:schemeClr w14:val="tx1"/>
                  </w14:solidFill>
                </w14:textFill>
              </w:rPr>
            </w:pPr>
          </w:p>
        </w:tc>
        <w:tc>
          <w:tcPr>
            <w:tcW w:w="2403" w:type="dxa"/>
            <w:vAlign w:val="center"/>
          </w:tcPr>
          <w:p w14:paraId="1586FD20">
            <w:pPr>
              <w:jc w:val="center"/>
              <w:rPr>
                <w:rFonts w:ascii="宋体" w:hAnsi="宋体" w:cs="宋体"/>
                <w:color w:val="000000" w:themeColor="text1"/>
                <w:sz w:val="24"/>
                <w14:textFill>
                  <w14:solidFill>
                    <w14:schemeClr w14:val="tx1"/>
                  </w14:solidFill>
                </w14:textFill>
              </w:rPr>
            </w:pPr>
          </w:p>
        </w:tc>
        <w:tc>
          <w:tcPr>
            <w:tcW w:w="2532" w:type="dxa"/>
            <w:vAlign w:val="center"/>
          </w:tcPr>
          <w:p w14:paraId="3E121007">
            <w:pPr>
              <w:jc w:val="center"/>
              <w:rPr>
                <w:rFonts w:ascii="宋体" w:hAnsi="宋体" w:cs="宋体"/>
                <w:color w:val="000000" w:themeColor="text1"/>
                <w:sz w:val="24"/>
                <w14:textFill>
                  <w14:solidFill>
                    <w14:schemeClr w14:val="tx1"/>
                  </w14:solidFill>
                </w14:textFill>
              </w:rPr>
            </w:pPr>
          </w:p>
        </w:tc>
        <w:tc>
          <w:tcPr>
            <w:tcW w:w="864" w:type="dxa"/>
            <w:vAlign w:val="center"/>
          </w:tcPr>
          <w:p w14:paraId="559CEA42">
            <w:pPr>
              <w:jc w:val="center"/>
              <w:rPr>
                <w:rFonts w:ascii="宋体" w:hAnsi="宋体" w:cs="宋体"/>
                <w:color w:val="000000" w:themeColor="text1"/>
                <w:sz w:val="24"/>
                <w14:textFill>
                  <w14:solidFill>
                    <w14:schemeClr w14:val="tx1"/>
                  </w14:solidFill>
                </w14:textFill>
              </w:rPr>
            </w:pPr>
          </w:p>
        </w:tc>
        <w:tc>
          <w:tcPr>
            <w:tcW w:w="780" w:type="dxa"/>
            <w:vAlign w:val="center"/>
          </w:tcPr>
          <w:p w14:paraId="0464A9D9">
            <w:pPr>
              <w:jc w:val="center"/>
              <w:rPr>
                <w:rFonts w:ascii="宋体" w:hAnsi="宋体" w:cs="宋体"/>
                <w:color w:val="000000" w:themeColor="text1"/>
                <w:sz w:val="24"/>
                <w14:textFill>
                  <w14:solidFill>
                    <w14:schemeClr w14:val="tx1"/>
                  </w14:solidFill>
                </w14:textFill>
              </w:rPr>
            </w:pPr>
          </w:p>
        </w:tc>
      </w:tr>
      <w:tr w14:paraId="4E73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78" w:type="dxa"/>
            <w:vAlign w:val="center"/>
          </w:tcPr>
          <w:p w14:paraId="32E17611">
            <w:pPr>
              <w:jc w:val="center"/>
              <w:rPr>
                <w:rFonts w:ascii="宋体" w:hAnsi="宋体" w:cs="宋体"/>
                <w:color w:val="000000" w:themeColor="text1"/>
                <w:sz w:val="24"/>
                <w14:textFill>
                  <w14:solidFill>
                    <w14:schemeClr w14:val="tx1"/>
                  </w14:solidFill>
                </w14:textFill>
              </w:rPr>
            </w:pPr>
          </w:p>
        </w:tc>
        <w:tc>
          <w:tcPr>
            <w:tcW w:w="1981" w:type="dxa"/>
            <w:vAlign w:val="center"/>
          </w:tcPr>
          <w:p w14:paraId="1B533A12">
            <w:pPr>
              <w:jc w:val="center"/>
              <w:rPr>
                <w:rFonts w:ascii="宋体" w:hAnsi="宋体" w:cs="宋体"/>
                <w:color w:val="000000" w:themeColor="text1"/>
                <w:sz w:val="24"/>
                <w14:textFill>
                  <w14:solidFill>
                    <w14:schemeClr w14:val="tx1"/>
                  </w14:solidFill>
                </w14:textFill>
              </w:rPr>
            </w:pPr>
          </w:p>
        </w:tc>
        <w:tc>
          <w:tcPr>
            <w:tcW w:w="2403" w:type="dxa"/>
            <w:vAlign w:val="center"/>
          </w:tcPr>
          <w:p w14:paraId="47AC4CB9">
            <w:pPr>
              <w:jc w:val="center"/>
              <w:rPr>
                <w:rFonts w:ascii="宋体" w:hAnsi="宋体" w:cs="宋体"/>
                <w:color w:val="000000" w:themeColor="text1"/>
                <w:sz w:val="24"/>
                <w14:textFill>
                  <w14:solidFill>
                    <w14:schemeClr w14:val="tx1"/>
                  </w14:solidFill>
                </w14:textFill>
              </w:rPr>
            </w:pPr>
          </w:p>
        </w:tc>
        <w:tc>
          <w:tcPr>
            <w:tcW w:w="2532" w:type="dxa"/>
            <w:vAlign w:val="center"/>
          </w:tcPr>
          <w:p w14:paraId="7B5041A7">
            <w:pPr>
              <w:jc w:val="center"/>
              <w:rPr>
                <w:rFonts w:ascii="宋体" w:hAnsi="宋体" w:cs="宋体"/>
                <w:color w:val="000000" w:themeColor="text1"/>
                <w:sz w:val="24"/>
                <w14:textFill>
                  <w14:solidFill>
                    <w14:schemeClr w14:val="tx1"/>
                  </w14:solidFill>
                </w14:textFill>
              </w:rPr>
            </w:pPr>
          </w:p>
        </w:tc>
        <w:tc>
          <w:tcPr>
            <w:tcW w:w="864" w:type="dxa"/>
            <w:vAlign w:val="center"/>
          </w:tcPr>
          <w:p w14:paraId="7098085A">
            <w:pPr>
              <w:jc w:val="center"/>
              <w:rPr>
                <w:rFonts w:ascii="宋体" w:hAnsi="宋体" w:cs="宋体"/>
                <w:color w:val="000000" w:themeColor="text1"/>
                <w:sz w:val="24"/>
                <w14:textFill>
                  <w14:solidFill>
                    <w14:schemeClr w14:val="tx1"/>
                  </w14:solidFill>
                </w14:textFill>
              </w:rPr>
            </w:pPr>
          </w:p>
        </w:tc>
        <w:tc>
          <w:tcPr>
            <w:tcW w:w="780" w:type="dxa"/>
            <w:vAlign w:val="center"/>
          </w:tcPr>
          <w:p w14:paraId="7ADB937A">
            <w:pPr>
              <w:jc w:val="center"/>
              <w:rPr>
                <w:rFonts w:ascii="宋体" w:hAnsi="宋体" w:cs="宋体"/>
                <w:color w:val="000000" w:themeColor="text1"/>
                <w:sz w:val="24"/>
                <w14:textFill>
                  <w14:solidFill>
                    <w14:schemeClr w14:val="tx1"/>
                  </w14:solidFill>
                </w14:textFill>
              </w:rPr>
            </w:pPr>
          </w:p>
        </w:tc>
      </w:tr>
      <w:tr w14:paraId="4EF0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78" w:type="dxa"/>
            <w:vAlign w:val="center"/>
          </w:tcPr>
          <w:p w14:paraId="0F15CAB9">
            <w:pPr>
              <w:jc w:val="center"/>
              <w:rPr>
                <w:rFonts w:ascii="宋体" w:hAnsi="宋体" w:cs="宋体"/>
                <w:color w:val="000000" w:themeColor="text1"/>
                <w:sz w:val="24"/>
                <w14:textFill>
                  <w14:solidFill>
                    <w14:schemeClr w14:val="tx1"/>
                  </w14:solidFill>
                </w14:textFill>
              </w:rPr>
            </w:pPr>
          </w:p>
        </w:tc>
        <w:tc>
          <w:tcPr>
            <w:tcW w:w="1981" w:type="dxa"/>
            <w:vAlign w:val="center"/>
          </w:tcPr>
          <w:p w14:paraId="2CCAF0DD">
            <w:pPr>
              <w:jc w:val="center"/>
              <w:rPr>
                <w:rFonts w:ascii="宋体" w:hAnsi="宋体" w:cs="宋体"/>
                <w:color w:val="000000" w:themeColor="text1"/>
                <w:sz w:val="24"/>
                <w14:textFill>
                  <w14:solidFill>
                    <w14:schemeClr w14:val="tx1"/>
                  </w14:solidFill>
                </w14:textFill>
              </w:rPr>
            </w:pPr>
          </w:p>
        </w:tc>
        <w:tc>
          <w:tcPr>
            <w:tcW w:w="2403" w:type="dxa"/>
            <w:vAlign w:val="center"/>
          </w:tcPr>
          <w:p w14:paraId="54D7F366">
            <w:pPr>
              <w:jc w:val="center"/>
              <w:rPr>
                <w:rFonts w:ascii="宋体" w:hAnsi="宋体" w:cs="宋体"/>
                <w:color w:val="000000" w:themeColor="text1"/>
                <w:sz w:val="24"/>
                <w14:textFill>
                  <w14:solidFill>
                    <w14:schemeClr w14:val="tx1"/>
                  </w14:solidFill>
                </w14:textFill>
              </w:rPr>
            </w:pPr>
          </w:p>
        </w:tc>
        <w:tc>
          <w:tcPr>
            <w:tcW w:w="2532" w:type="dxa"/>
            <w:vAlign w:val="center"/>
          </w:tcPr>
          <w:p w14:paraId="279BF0DB">
            <w:pPr>
              <w:jc w:val="center"/>
              <w:rPr>
                <w:rFonts w:ascii="宋体" w:hAnsi="宋体" w:cs="宋体"/>
                <w:color w:val="000000" w:themeColor="text1"/>
                <w:sz w:val="24"/>
                <w14:textFill>
                  <w14:solidFill>
                    <w14:schemeClr w14:val="tx1"/>
                  </w14:solidFill>
                </w14:textFill>
              </w:rPr>
            </w:pPr>
          </w:p>
        </w:tc>
        <w:tc>
          <w:tcPr>
            <w:tcW w:w="864" w:type="dxa"/>
            <w:vAlign w:val="center"/>
          </w:tcPr>
          <w:p w14:paraId="6E5FE9A4">
            <w:pPr>
              <w:jc w:val="center"/>
              <w:rPr>
                <w:rFonts w:ascii="宋体" w:hAnsi="宋体" w:cs="宋体"/>
                <w:color w:val="000000" w:themeColor="text1"/>
                <w:sz w:val="24"/>
                <w14:textFill>
                  <w14:solidFill>
                    <w14:schemeClr w14:val="tx1"/>
                  </w14:solidFill>
                </w14:textFill>
              </w:rPr>
            </w:pPr>
          </w:p>
        </w:tc>
        <w:tc>
          <w:tcPr>
            <w:tcW w:w="780" w:type="dxa"/>
            <w:vAlign w:val="center"/>
          </w:tcPr>
          <w:p w14:paraId="162E5013">
            <w:pPr>
              <w:jc w:val="center"/>
              <w:rPr>
                <w:rFonts w:ascii="宋体" w:hAnsi="宋体" w:cs="宋体"/>
                <w:color w:val="000000" w:themeColor="text1"/>
                <w:sz w:val="24"/>
                <w14:textFill>
                  <w14:solidFill>
                    <w14:schemeClr w14:val="tx1"/>
                  </w14:solidFill>
                </w14:textFill>
              </w:rPr>
            </w:pPr>
          </w:p>
        </w:tc>
      </w:tr>
      <w:tr w14:paraId="03D8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878" w:type="dxa"/>
            <w:vAlign w:val="center"/>
          </w:tcPr>
          <w:p w14:paraId="40A0F22E">
            <w:pPr>
              <w:jc w:val="center"/>
              <w:rPr>
                <w:rFonts w:ascii="宋体" w:hAnsi="宋体" w:cs="宋体"/>
                <w:color w:val="000000" w:themeColor="text1"/>
                <w:sz w:val="24"/>
                <w14:textFill>
                  <w14:solidFill>
                    <w14:schemeClr w14:val="tx1"/>
                  </w14:solidFill>
                </w14:textFill>
              </w:rPr>
            </w:pPr>
          </w:p>
        </w:tc>
        <w:tc>
          <w:tcPr>
            <w:tcW w:w="1981" w:type="dxa"/>
            <w:vAlign w:val="center"/>
          </w:tcPr>
          <w:p w14:paraId="6C699096">
            <w:pPr>
              <w:jc w:val="center"/>
              <w:rPr>
                <w:rFonts w:ascii="宋体" w:hAnsi="宋体" w:cs="宋体"/>
                <w:color w:val="000000" w:themeColor="text1"/>
                <w:sz w:val="24"/>
                <w14:textFill>
                  <w14:solidFill>
                    <w14:schemeClr w14:val="tx1"/>
                  </w14:solidFill>
                </w14:textFill>
              </w:rPr>
            </w:pPr>
          </w:p>
        </w:tc>
        <w:tc>
          <w:tcPr>
            <w:tcW w:w="2403" w:type="dxa"/>
            <w:vAlign w:val="center"/>
          </w:tcPr>
          <w:p w14:paraId="3031226E">
            <w:pPr>
              <w:jc w:val="center"/>
              <w:rPr>
                <w:rFonts w:ascii="宋体" w:hAnsi="宋体" w:cs="宋体"/>
                <w:color w:val="000000" w:themeColor="text1"/>
                <w:sz w:val="24"/>
                <w14:textFill>
                  <w14:solidFill>
                    <w14:schemeClr w14:val="tx1"/>
                  </w14:solidFill>
                </w14:textFill>
              </w:rPr>
            </w:pPr>
          </w:p>
        </w:tc>
        <w:tc>
          <w:tcPr>
            <w:tcW w:w="2532" w:type="dxa"/>
            <w:vAlign w:val="center"/>
          </w:tcPr>
          <w:p w14:paraId="0EAFA2D0">
            <w:pPr>
              <w:jc w:val="center"/>
              <w:rPr>
                <w:rFonts w:ascii="宋体" w:hAnsi="宋体" w:cs="宋体"/>
                <w:color w:val="000000" w:themeColor="text1"/>
                <w:sz w:val="24"/>
                <w14:textFill>
                  <w14:solidFill>
                    <w14:schemeClr w14:val="tx1"/>
                  </w14:solidFill>
                </w14:textFill>
              </w:rPr>
            </w:pPr>
          </w:p>
        </w:tc>
        <w:tc>
          <w:tcPr>
            <w:tcW w:w="864" w:type="dxa"/>
            <w:vAlign w:val="center"/>
          </w:tcPr>
          <w:p w14:paraId="29A308A3">
            <w:pPr>
              <w:jc w:val="center"/>
              <w:rPr>
                <w:rFonts w:ascii="宋体" w:hAnsi="宋体" w:cs="宋体"/>
                <w:color w:val="000000" w:themeColor="text1"/>
                <w:sz w:val="24"/>
                <w14:textFill>
                  <w14:solidFill>
                    <w14:schemeClr w14:val="tx1"/>
                  </w14:solidFill>
                </w14:textFill>
              </w:rPr>
            </w:pPr>
          </w:p>
        </w:tc>
        <w:tc>
          <w:tcPr>
            <w:tcW w:w="780" w:type="dxa"/>
            <w:vAlign w:val="center"/>
          </w:tcPr>
          <w:p w14:paraId="7C60944B">
            <w:pPr>
              <w:jc w:val="center"/>
              <w:rPr>
                <w:rFonts w:ascii="宋体" w:hAnsi="宋体" w:cs="宋体"/>
                <w:color w:val="000000" w:themeColor="text1"/>
                <w:sz w:val="24"/>
                <w14:textFill>
                  <w14:solidFill>
                    <w14:schemeClr w14:val="tx1"/>
                  </w14:solidFill>
                </w14:textFill>
              </w:rPr>
            </w:pPr>
          </w:p>
        </w:tc>
      </w:tr>
    </w:tbl>
    <w:p w14:paraId="7751EF02">
      <w:pPr>
        <w:jc w:val="center"/>
        <w:rPr>
          <w:rFonts w:ascii="宋体" w:hAnsi="宋体" w:cs="宋体"/>
          <w:color w:val="000000" w:themeColor="text1"/>
          <w:sz w:val="24"/>
          <w14:textFill>
            <w14:solidFill>
              <w14:schemeClr w14:val="tx1"/>
            </w14:solidFill>
          </w14:textFill>
        </w:rPr>
      </w:pPr>
    </w:p>
    <w:p w14:paraId="46748934">
      <w:pPr>
        <w:pStyle w:val="15"/>
        <w:spacing w:line="360" w:lineRule="auto"/>
        <w:ind w:left="-206" w:leftChars="-9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注：除本偏离表所列的偏离外，其他均完全响应招标文件中的要求。如无偏离，供应商不需要填表，但应声明：“本文件完全响应磋商文件所有条款的要求，无偏离。</w:t>
      </w:r>
    </w:p>
    <w:p w14:paraId="557F7B40">
      <w:pPr>
        <w:ind w:firstLine="1200" w:firstLineChars="500"/>
        <w:rPr>
          <w:rFonts w:ascii="宋体" w:hAnsi="宋体" w:cs="宋体"/>
          <w:color w:val="000000" w:themeColor="text1"/>
          <w:sz w:val="24"/>
          <w14:textFill>
            <w14:solidFill>
              <w14:schemeClr w14:val="tx1"/>
            </w14:solidFill>
          </w14:textFill>
        </w:rPr>
      </w:pPr>
    </w:p>
    <w:p w14:paraId="1E89EDDE">
      <w:pPr>
        <w:ind w:firstLine="1200" w:firstLineChars="500"/>
        <w:rPr>
          <w:rFonts w:ascii="宋体" w:hAnsi="宋体" w:cs="宋体"/>
          <w:color w:val="000000" w:themeColor="text1"/>
          <w:sz w:val="24"/>
          <w14:textFill>
            <w14:solidFill>
              <w14:schemeClr w14:val="tx1"/>
            </w14:solidFill>
          </w14:textFill>
        </w:rPr>
      </w:pPr>
    </w:p>
    <w:p w14:paraId="2987EAF8">
      <w:pPr>
        <w:spacing w:before="120" w:beforeLines="50" w:after="120" w:afterLines="50"/>
        <w:rPr>
          <w:rFonts w:ascii="宋体" w:hAnsi="宋体" w:cs="宋体"/>
          <w:color w:val="000000" w:themeColor="text1"/>
          <w:sz w:val="24"/>
          <w14:textFill>
            <w14:solidFill>
              <w14:schemeClr w14:val="tx1"/>
            </w14:solidFill>
          </w14:textFill>
        </w:rPr>
      </w:pPr>
    </w:p>
    <w:p w14:paraId="2115CD24">
      <w:pPr>
        <w:spacing w:after="480" w:line="200" w:lineRule="atLeast"/>
        <w:ind w:firstLine="3360" w:firstLineChars="14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供应商名称：</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（公章）</w:t>
      </w:r>
    </w:p>
    <w:p w14:paraId="689E1144">
      <w:pPr>
        <w:spacing w:after="480" w:line="200" w:lineRule="atLeast"/>
        <w:ind w:firstLine="3360" w:firstLineChars="14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法定代表人（负责人）</w:t>
      </w:r>
    </w:p>
    <w:p w14:paraId="756054EA">
      <w:pPr>
        <w:spacing w:after="480" w:line="200" w:lineRule="atLeast"/>
        <w:ind w:firstLine="3360" w:firstLineChars="14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或被授权人：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(签字或盖章)</w:t>
      </w:r>
    </w:p>
    <w:p w14:paraId="448DAEF6">
      <w:pPr>
        <w:spacing w:before="480" w:line="200" w:lineRule="atLeast"/>
        <w:ind w:firstLine="3360" w:firstLineChars="14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75D7FE6">
      <w:pPr>
        <w:rPr>
          <w:rFonts w:ascii="宋体" w:hAnsi="宋体" w:cs="宋体"/>
          <w:b/>
          <w:bCs/>
          <w:color w:val="000000" w:themeColor="text1"/>
          <w:sz w:val="32"/>
          <w:szCs w:val="32"/>
          <w14:textFill>
            <w14:solidFill>
              <w14:schemeClr w14:val="tx1"/>
            </w14:solidFill>
          </w14:textFill>
        </w:rPr>
      </w:pPr>
    </w:p>
    <w:p w14:paraId="09648B68">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5E1539DD">
      <w:pPr>
        <w:spacing w:line="480" w:lineRule="auto"/>
        <w:jc w:val="center"/>
        <w:outlineLvl w:val="1"/>
        <w:rPr>
          <w:rFonts w:ascii="宋体" w:hAnsi="宋体" w:cs="宋体"/>
          <w:b/>
          <w:color w:val="000000" w:themeColor="text1"/>
          <w:sz w:val="32"/>
          <w:szCs w:val="32"/>
          <w14:textFill>
            <w14:solidFill>
              <w14:schemeClr w14:val="tx1"/>
            </w14:solidFill>
          </w14:textFill>
        </w:rPr>
      </w:pPr>
      <w:r>
        <w:rPr>
          <w:rFonts w:hint="eastAsia" w:ascii="宋体" w:hAnsi="宋体" w:cs="宋体"/>
          <w:b/>
          <w:bCs/>
          <w:color w:val="000000" w:themeColor="text1"/>
          <w:sz w:val="32"/>
          <w:szCs w:val="32"/>
          <w:lang w:val="en-US" w:eastAsia="zh-CN"/>
          <w14:textFill>
            <w14:solidFill>
              <w14:schemeClr w14:val="tx1"/>
            </w14:solidFill>
          </w14:textFill>
        </w:rPr>
        <w:t>六</w:t>
      </w:r>
      <w:r>
        <w:rPr>
          <w:rFonts w:hint="eastAsia" w:ascii="宋体" w:hAnsi="宋体" w:cs="宋体"/>
          <w:b/>
          <w:bCs/>
          <w:color w:val="000000" w:themeColor="text1"/>
          <w:sz w:val="32"/>
          <w:szCs w:val="32"/>
          <w14:textFill>
            <w14:solidFill>
              <w14:schemeClr w14:val="tx1"/>
            </w14:solidFill>
          </w14:textFill>
        </w:rPr>
        <w:t>、</w:t>
      </w:r>
      <w:r>
        <w:rPr>
          <w:rFonts w:hint="eastAsia" w:ascii="宋体" w:hAnsi="宋体" w:cs="宋体"/>
          <w:b/>
          <w:color w:val="000000" w:themeColor="text1"/>
          <w:sz w:val="32"/>
          <w:szCs w:val="32"/>
          <w14:textFill>
            <w14:solidFill>
              <w14:schemeClr w14:val="tx1"/>
            </w14:solidFill>
          </w14:textFill>
        </w:rPr>
        <w:t>相关证明</w:t>
      </w:r>
      <w:bookmarkEnd w:id="37"/>
      <w:r>
        <w:rPr>
          <w:rFonts w:hint="eastAsia" w:ascii="宋体" w:hAnsi="宋体" w:cs="宋体"/>
          <w:b/>
          <w:color w:val="000000" w:themeColor="text1"/>
          <w:sz w:val="32"/>
          <w:szCs w:val="32"/>
          <w14:textFill>
            <w14:solidFill>
              <w14:schemeClr w14:val="tx1"/>
            </w14:solidFill>
          </w14:textFill>
        </w:rPr>
        <w:t>材料</w:t>
      </w:r>
    </w:p>
    <w:p w14:paraId="68CEC13E">
      <w:pPr>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供应商基本情况表</w:t>
      </w:r>
    </w:p>
    <w:tbl>
      <w:tblPr>
        <w:tblStyle w:val="21"/>
        <w:tblW w:w="96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644"/>
        <w:gridCol w:w="1057"/>
        <w:gridCol w:w="1134"/>
        <w:gridCol w:w="283"/>
        <w:gridCol w:w="986"/>
        <w:gridCol w:w="999"/>
        <w:gridCol w:w="926"/>
        <w:gridCol w:w="1925"/>
      </w:tblGrid>
      <w:tr w14:paraId="034D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312" w:type="dxa"/>
            <w:gridSpan w:val="3"/>
            <w:vAlign w:val="center"/>
          </w:tcPr>
          <w:p w14:paraId="17820420">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供应商名称</w:t>
            </w:r>
          </w:p>
        </w:tc>
        <w:tc>
          <w:tcPr>
            <w:tcW w:w="3460" w:type="dxa"/>
            <w:gridSpan w:val="4"/>
            <w:vAlign w:val="center"/>
          </w:tcPr>
          <w:p w14:paraId="489AB753">
            <w:pPr>
              <w:jc w:val="center"/>
              <w:rPr>
                <w:rFonts w:ascii="宋体" w:hAnsi="宋体" w:cs="宋体"/>
                <w:color w:val="000000" w:themeColor="text1"/>
                <w:sz w:val="24"/>
                <w14:textFill>
                  <w14:solidFill>
                    <w14:schemeClr w14:val="tx1"/>
                  </w14:solidFill>
                </w14:textFill>
              </w:rPr>
            </w:pPr>
          </w:p>
        </w:tc>
        <w:tc>
          <w:tcPr>
            <w:tcW w:w="1925" w:type="dxa"/>
            <w:gridSpan w:val="2"/>
            <w:vAlign w:val="center"/>
          </w:tcPr>
          <w:p w14:paraId="2A583408">
            <w:pPr>
              <w:spacing w:after="480" w:line="200" w:lineRule="atLeast"/>
              <w:ind w:firstLine="3360" w:firstLineChars="14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w:t>
            </w:r>
            <w:r>
              <w:rPr>
                <w:rFonts w:hint="eastAsia" w:ascii="宋体" w:hAnsi="宋体" w:cs="宋体"/>
                <w:color w:val="000000" w:themeColor="text1"/>
                <w:sz w:val="24"/>
                <w:lang w:val="en-US" w:eastAsia="zh-CN"/>
                <w14:textFill>
                  <w14:solidFill>
                    <w14:schemeClr w14:val="tx1"/>
                  </w14:solidFill>
                </w14:textFill>
              </w:rPr>
              <w:t>法</w:t>
            </w:r>
            <w:r>
              <w:rPr>
                <w:rFonts w:hint="eastAsia" w:ascii="宋体" w:hAnsi="宋体" w:cs="宋体"/>
                <w:color w:val="000000" w:themeColor="text1"/>
                <w:sz w:val="24"/>
                <w14:textFill>
                  <w14:solidFill>
                    <w14:schemeClr w14:val="tx1"/>
                  </w14:solidFill>
                </w14:textFill>
              </w:rPr>
              <w:t>定代表人（负责人）</w:t>
            </w:r>
          </w:p>
        </w:tc>
        <w:tc>
          <w:tcPr>
            <w:tcW w:w="1925" w:type="dxa"/>
            <w:vAlign w:val="center"/>
          </w:tcPr>
          <w:p w14:paraId="669149A8">
            <w:pPr>
              <w:jc w:val="center"/>
              <w:rPr>
                <w:rFonts w:ascii="宋体" w:hAnsi="宋体" w:cs="宋体"/>
                <w:color w:val="000000" w:themeColor="text1"/>
                <w:sz w:val="24"/>
                <w14:textFill>
                  <w14:solidFill>
                    <w14:schemeClr w14:val="tx1"/>
                  </w14:solidFill>
                </w14:textFill>
              </w:rPr>
            </w:pPr>
          </w:p>
        </w:tc>
      </w:tr>
      <w:tr w14:paraId="7E83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312" w:type="dxa"/>
            <w:gridSpan w:val="3"/>
            <w:vAlign w:val="center"/>
          </w:tcPr>
          <w:p w14:paraId="74AE8BF0">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w:t>
            </w:r>
          </w:p>
        </w:tc>
        <w:tc>
          <w:tcPr>
            <w:tcW w:w="3460" w:type="dxa"/>
            <w:gridSpan w:val="4"/>
            <w:vAlign w:val="center"/>
          </w:tcPr>
          <w:p w14:paraId="24EB545D">
            <w:pPr>
              <w:jc w:val="center"/>
              <w:rPr>
                <w:rFonts w:ascii="宋体" w:hAnsi="宋体" w:cs="宋体"/>
                <w:color w:val="000000" w:themeColor="text1"/>
                <w:sz w:val="24"/>
                <w14:textFill>
                  <w14:solidFill>
                    <w14:schemeClr w14:val="tx1"/>
                  </w14:solidFill>
                </w14:textFill>
              </w:rPr>
            </w:pPr>
          </w:p>
        </w:tc>
        <w:tc>
          <w:tcPr>
            <w:tcW w:w="1925" w:type="dxa"/>
            <w:gridSpan w:val="2"/>
            <w:vAlign w:val="center"/>
          </w:tcPr>
          <w:p w14:paraId="494C0280">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邮政编码</w:t>
            </w:r>
          </w:p>
        </w:tc>
        <w:tc>
          <w:tcPr>
            <w:tcW w:w="1925" w:type="dxa"/>
            <w:vAlign w:val="center"/>
          </w:tcPr>
          <w:p w14:paraId="6E428D05">
            <w:pPr>
              <w:jc w:val="center"/>
              <w:rPr>
                <w:rFonts w:ascii="宋体" w:hAnsi="宋体" w:cs="宋体"/>
                <w:color w:val="000000" w:themeColor="text1"/>
                <w:sz w:val="24"/>
                <w14:textFill>
                  <w14:solidFill>
                    <w14:schemeClr w14:val="tx1"/>
                  </w14:solidFill>
                </w14:textFill>
              </w:rPr>
            </w:pPr>
          </w:p>
        </w:tc>
      </w:tr>
      <w:tr w14:paraId="656D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312" w:type="dxa"/>
            <w:gridSpan w:val="3"/>
            <w:vAlign w:val="center"/>
          </w:tcPr>
          <w:p w14:paraId="12F64208">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组织机构代码</w:t>
            </w:r>
          </w:p>
        </w:tc>
        <w:tc>
          <w:tcPr>
            <w:tcW w:w="3460" w:type="dxa"/>
            <w:gridSpan w:val="4"/>
            <w:vAlign w:val="center"/>
          </w:tcPr>
          <w:p w14:paraId="76987DD6">
            <w:pPr>
              <w:jc w:val="center"/>
              <w:rPr>
                <w:rFonts w:ascii="宋体" w:hAnsi="宋体" w:cs="宋体"/>
                <w:color w:val="000000" w:themeColor="text1"/>
                <w:sz w:val="24"/>
                <w14:textFill>
                  <w14:solidFill>
                    <w14:schemeClr w14:val="tx1"/>
                  </w14:solidFill>
                </w14:textFill>
              </w:rPr>
            </w:pPr>
          </w:p>
        </w:tc>
        <w:tc>
          <w:tcPr>
            <w:tcW w:w="1925" w:type="dxa"/>
            <w:gridSpan w:val="2"/>
            <w:vAlign w:val="center"/>
          </w:tcPr>
          <w:p w14:paraId="05504B7F">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电子邮箱</w:t>
            </w:r>
          </w:p>
        </w:tc>
        <w:tc>
          <w:tcPr>
            <w:tcW w:w="1925" w:type="dxa"/>
            <w:vAlign w:val="center"/>
          </w:tcPr>
          <w:p w14:paraId="03D858F1">
            <w:pPr>
              <w:jc w:val="center"/>
              <w:rPr>
                <w:rFonts w:ascii="宋体" w:hAnsi="宋体" w:cs="宋体"/>
                <w:color w:val="000000" w:themeColor="text1"/>
                <w:sz w:val="24"/>
                <w14:textFill>
                  <w14:solidFill>
                    <w14:schemeClr w14:val="tx1"/>
                  </w14:solidFill>
                </w14:textFill>
              </w:rPr>
            </w:pPr>
          </w:p>
        </w:tc>
      </w:tr>
      <w:tr w14:paraId="2762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312" w:type="dxa"/>
            <w:gridSpan w:val="3"/>
            <w:vAlign w:val="center"/>
          </w:tcPr>
          <w:p w14:paraId="1E6A9544">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上年营业收入</w:t>
            </w:r>
          </w:p>
        </w:tc>
        <w:tc>
          <w:tcPr>
            <w:tcW w:w="3460" w:type="dxa"/>
            <w:gridSpan w:val="4"/>
            <w:vAlign w:val="center"/>
          </w:tcPr>
          <w:p w14:paraId="3235764B">
            <w:pPr>
              <w:jc w:val="center"/>
              <w:rPr>
                <w:rFonts w:ascii="宋体" w:hAnsi="宋体" w:cs="宋体"/>
                <w:color w:val="000000" w:themeColor="text1"/>
                <w:sz w:val="24"/>
                <w14:textFill>
                  <w14:solidFill>
                    <w14:schemeClr w14:val="tx1"/>
                  </w14:solidFill>
                </w14:textFill>
              </w:rPr>
            </w:pPr>
          </w:p>
        </w:tc>
        <w:tc>
          <w:tcPr>
            <w:tcW w:w="1925" w:type="dxa"/>
            <w:gridSpan w:val="2"/>
            <w:vAlign w:val="center"/>
          </w:tcPr>
          <w:p w14:paraId="2A7E6DD3">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员工总人数</w:t>
            </w:r>
          </w:p>
        </w:tc>
        <w:tc>
          <w:tcPr>
            <w:tcW w:w="1925" w:type="dxa"/>
            <w:vAlign w:val="center"/>
          </w:tcPr>
          <w:p w14:paraId="4A619E73">
            <w:pPr>
              <w:jc w:val="center"/>
              <w:rPr>
                <w:rFonts w:ascii="宋体" w:hAnsi="宋体" w:cs="宋体"/>
                <w:color w:val="000000" w:themeColor="text1"/>
                <w:sz w:val="24"/>
                <w14:textFill>
                  <w14:solidFill>
                    <w14:schemeClr w14:val="tx1"/>
                  </w14:solidFill>
                </w14:textFill>
              </w:rPr>
            </w:pPr>
          </w:p>
        </w:tc>
      </w:tr>
      <w:tr w14:paraId="25BF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75" w:type="dxa"/>
            <w:vMerge w:val="restart"/>
            <w:vAlign w:val="center"/>
          </w:tcPr>
          <w:p w14:paraId="377AEF73">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w:t>
            </w:r>
          </w:p>
        </w:tc>
        <w:tc>
          <w:tcPr>
            <w:tcW w:w="1637" w:type="dxa"/>
            <w:gridSpan w:val="2"/>
            <w:vAlign w:val="center"/>
          </w:tcPr>
          <w:p w14:paraId="0190F229">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信用代码号</w:t>
            </w:r>
          </w:p>
        </w:tc>
        <w:tc>
          <w:tcPr>
            <w:tcW w:w="2191" w:type="dxa"/>
            <w:gridSpan w:val="2"/>
            <w:vAlign w:val="center"/>
          </w:tcPr>
          <w:p w14:paraId="7B361DBA">
            <w:pPr>
              <w:jc w:val="center"/>
              <w:rPr>
                <w:rFonts w:ascii="宋体" w:hAnsi="宋体" w:cs="宋体"/>
                <w:color w:val="000000" w:themeColor="text1"/>
                <w:sz w:val="24"/>
                <w14:textFill>
                  <w14:solidFill>
                    <w14:schemeClr w14:val="tx1"/>
                  </w14:solidFill>
                </w14:textFill>
              </w:rPr>
            </w:pPr>
          </w:p>
        </w:tc>
        <w:tc>
          <w:tcPr>
            <w:tcW w:w="1269" w:type="dxa"/>
            <w:gridSpan w:val="2"/>
            <w:vAlign w:val="center"/>
          </w:tcPr>
          <w:p w14:paraId="4667D400">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注册地址</w:t>
            </w:r>
          </w:p>
        </w:tc>
        <w:tc>
          <w:tcPr>
            <w:tcW w:w="3850" w:type="dxa"/>
            <w:gridSpan w:val="3"/>
            <w:vAlign w:val="center"/>
          </w:tcPr>
          <w:p w14:paraId="27655E54">
            <w:pPr>
              <w:jc w:val="center"/>
              <w:rPr>
                <w:rFonts w:ascii="宋体" w:hAnsi="宋体" w:cs="宋体"/>
                <w:color w:val="000000" w:themeColor="text1"/>
                <w:sz w:val="24"/>
                <w14:textFill>
                  <w14:solidFill>
                    <w14:schemeClr w14:val="tx1"/>
                  </w14:solidFill>
                </w14:textFill>
              </w:rPr>
            </w:pPr>
          </w:p>
        </w:tc>
      </w:tr>
      <w:tr w14:paraId="6478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75" w:type="dxa"/>
            <w:vMerge w:val="continue"/>
            <w:vAlign w:val="center"/>
          </w:tcPr>
          <w:p w14:paraId="555703A8">
            <w:pPr>
              <w:jc w:val="center"/>
              <w:rPr>
                <w:rFonts w:ascii="宋体" w:hAnsi="宋体" w:cs="宋体"/>
                <w:color w:val="000000" w:themeColor="text1"/>
                <w:sz w:val="24"/>
                <w14:textFill>
                  <w14:solidFill>
                    <w14:schemeClr w14:val="tx1"/>
                  </w14:solidFill>
                </w14:textFill>
              </w:rPr>
            </w:pPr>
          </w:p>
        </w:tc>
        <w:tc>
          <w:tcPr>
            <w:tcW w:w="1637" w:type="dxa"/>
            <w:gridSpan w:val="2"/>
            <w:vAlign w:val="center"/>
          </w:tcPr>
          <w:p w14:paraId="15622864">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发证机关</w:t>
            </w:r>
          </w:p>
        </w:tc>
        <w:tc>
          <w:tcPr>
            <w:tcW w:w="2191" w:type="dxa"/>
            <w:gridSpan w:val="2"/>
            <w:vAlign w:val="center"/>
          </w:tcPr>
          <w:p w14:paraId="372FAC02">
            <w:pPr>
              <w:jc w:val="center"/>
              <w:rPr>
                <w:rFonts w:ascii="宋体" w:hAnsi="宋体" w:cs="宋体"/>
                <w:color w:val="000000" w:themeColor="text1"/>
                <w:sz w:val="24"/>
                <w14:textFill>
                  <w14:solidFill>
                    <w14:schemeClr w14:val="tx1"/>
                  </w14:solidFill>
                </w14:textFill>
              </w:rPr>
            </w:pPr>
          </w:p>
        </w:tc>
        <w:tc>
          <w:tcPr>
            <w:tcW w:w="1269" w:type="dxa"/>
            <w:gridSpan w:val="2"/>
            <w:vAlign w:val="center"/>
          </w:tcPr>
          <w:p w14:paraId="6F638F25">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发证日期</w:t>
            </w:r>
          </w:p>
        </w:tc>
        <w:tc>
          <w:tcPr>
            <w:tcW w:w="3850" w:type="dxa"/>
            <w:gridSpan w:val="3"/>
            <w:vAlign w:val="center"/>
          </w:tcPr>
          <w:p w14:paraId="147770BA">
            <w:pPr>
              <w:jc w:val="center"/>
              <w:rPr>
                <w:rFonts w:ascii="宋体" w:hAnsi="宋体" w:cs="宋体"/>
                <w:color w:val="000000" w:themeColor="text1"/>
                <w:sz w:val="24"/>
                <w14:textFill>
                  <w14:solidFill>
                    <w14:schemeClr w14:val="tx1"/>
                  </w14:solidFill>
                </w14:textFill>
              </w:rPr>
            </w:pPr>
          </w:p>
        </w:tc>
      </w:tr>
      <w:tr w14:paraId="694A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75" w:type="dxa"/>
            <w:vMerge w:val="continue"/>
            <w:vAlign w:val="center"/>
          </w:tcPr>
          <w:p w14:paraId="5D87793E">
            <w:pPr>
              <w:jc w:val="center"/>
              <w:rPr>
                <w:rFonts w:ascii="宋体" w:hAnsi="宋体" w:cs="宋体"/>
                <w:color w:val="000000" w:themeColor="text1"/>
                <w:sz w:val="24"/>
                <w14:textFill>
                  <w14:solidFill>
                    <w14:schemeClr w14:val="tx1"/>
                  </w14:solidFill>
                </w14:textFill>
              </w:rPr>
            </w:pPr>
          </w:p>
        </w:tc>
        <w:tc>
          <w:tcPr>
            <w:tcW w:w="1637" w:type="dxa"/>
            <w:gridSpan w:val="2"/>
            <w:vAlign w:val="center"/>
          </w:tcPr>
          <w:p w14:paraId="10E2026F">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营业范围</w:t>
            </w:r>
          </w:p>
        </w:tc>
        <w:tc>
          <w:tcPr>
            <w:tcW w:w="7310" w:type="dxa"/>
            <w:gridSpan w:val="7"/>
            <w:vAlign w:val="center"/>
          </w:tcPr>
          <w:p w14:paraId="5B53A2D9">
            <w:pPr>
              <w:jc w:val="center"/>
              <w:rPr>
                <w:rFonts w:ascii="宋体" w:hAnsi="宋体" w:cs="宋体"/>
                <w:color w:val="000000" w:themeColor="text1"/>
                <w:sz w:val="24"/>
                <w14:textFill>
                  <w14:solidFill>
                    <w14:schemeClr w14:val="tx1"/>
                  </w14:solidFill>
                </w14:textFill>
              </w:rPr>
            </w:pPr>
          </w:p>
        </w:tc>
      </w:tr>
      <w:tr w14:paraId="1094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312" w:type="dxa"/>
            <w:gridSpan w:val="3"/>
            <w:vAlign w:val="center"/>
          </w:tcPr>
          <w:p w14:paraId="26E2C9C3">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基本开户行</w:t>
            </w:r>
          </w:p>
        </w:tc>
        <w:tc>
          <w:tcPr>
            <w:tcW w:w="2191" w:type="dxa"/>
            <w:gridSpan w:val="2"/>
            <w:vAlign w:val="center"/>
          </w:tcPr>
          <w:p w14:paraId="579DFE5B">
            <w:pPr>
              <w:jc w:val="center"/>
              <w:rPr>
                <w:rFonts w:ascii="宋体" w:hAnsi="宋体" w:cs="宋体"/>
                <w:color w:val="000000" w:themeColor="text1"/>
                <w:sz w:val="24"/>
                <w14:textFill>
                  <w14:solidFill>
                    <w14:schemeClr w14:val="tx1"/>
                  </w14:solidFill>
                </w14:textFill>
              </w:rPr>
            </w:pPr>
          </w:p>
        </w:tc>
        <w:tc>
          <w:tcPr>
            <w:tcW w:w="1269" w:type="dxa"/>
            <w:gridSpan w:val="2"/>
            <w:vAlign w:val="center"/>
          </w:tcPr>
          <w:p w14:paraId="6167DCAE">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账号</w:t>
            </w:r>
          </w:p>
        </w:tc>
        <w:tc>
          <w:tcPr>
            <w:tcW w:w="3850" w:type="dxa"/>
            <w:gridSpan w:val="3"/>
            <w:vAlign w:val="center"/>
          </w:tcPr>
          <w:p w14:paraId="43C54EA3">
            <w:pPr>
              <w:jc w:val="center"/>
              <w:rPr>
                <w:rFonts w:ascii="宋体" w:hAnsi="宋体" w:cs="宋体"/>
                <w:color w:val="000000" w:themeColor="text1"/>
                <w:sz w:val="24"/>
                <w14:textFill>
                  <w14:solidFill>
                    <w14:schemeClr w14:val="tx1"/>
                  </w14:solidFill>
                </w14:textFill>
              </w:rPr>
            </w:pPr>
          </w:p>
        </w:tc>
      </w:tr>
      <w:tr w14:paraId="7885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312" w:type="dxa"/>
            <w:gridSpan w:val="3"/>
            <w:vAlign w:val="center"/>
          </w:tcPr>
          <w:p w14:paraId="542083BC">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税务登记机关</w:t>
            </w:r>
          </w:p>
        </w:tc>
        <w:tc>
          <w:tcPr>
            <w:tcW w:w="7310" w:type="dxa"/>
            <w:gridSpan w:val="7"/>
            <w:vAlign w:val="center"/>
          </w:tcPr>
          <w:p w14:paraId="0BDADA7B">
            <w:pPr>
              <w:jc w:val="center"/>
              <w:rPr>
                <w:rFonts w:ascii="宋体" w:hAnsi="宋体" w:cs="宋体"/>
                <w:color w:val="000000" w:themeColor="text1"/>
                <w:sz w:val="24"/>
                <w14:textFill>
                  <w14:solidFill>
                    <w14:schemeClr w14:val="tx1"/>
                  </w14:solidFill>
                </w14:textFill>
              </w:rPr>
            </w:pPr>
          </w:p>
        </w:tc>
      </w:tr>
      <w:tr w14:paraId="46F8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369" w:type="dxa"/>
            <w:gridSpan w:val="4"/>
            <w:vAlign w:val="center"/>
          </w:tcPr>
          <w:p w14:paraId="2DC08C6E">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资质名称</w:t>
            </w:r>
          </w:p>
        </w:tc>
        <w:tc>
          <w:tcPr>
            <w:tcW w:w="1417" w:type="dxa"/>
            <w:gridSpan w:val="2"/>
            <w:vAlign w:val="center"/>
          </w:tcPr>
          <w:p w14:paraId="40254E66">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等级</w:t>
            </w:r>
          </w:p>
        </w:tc>
        <w:tc>
          <w:tcPr>
            <w:tcW w:w="1985" w:type="dxa"/>
            <w:gridSpan w:val="2"/>
            <w:vAlign w:val="center"/>
          </w:tcPr>
          <w:p w14:paraId="76132080">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发证机关</w:t>
            </w:r>
          </w:p>
        </w:tc>
        <w:tc>
          <w:tcPr>
            <w:tcW w:w="2851" w:type="dxa"/>
            <w:gridSpan w:val="2"/>
            <w:vAlign w:val="center"/>
          </w:tcPr>
          <w:p w14:paraId="36320A65">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有效期</w:t>
            </w:r>
          </w:p>
        </w:tc>
      </w:tr>
      <w:tr w14:paraId="4436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369" w:type="dxa"/>
            <w:gridSpan w:val="4"/>
            <w:vAlign w:val="center"/>
          </w:tcPr>
          <w:p w14:paraId="2E09907E">
            <w:pPr>
              <w:jc w:val="center"/>
              <w:rPr>
                <w:rFonts w:ascii="宋体" w:hAnsi="宋体" w:cs="宋体"/>
                <w:color w:val="000000" w:themeColor="text1"/>
                <w:sz w:val="24"/>
                <w14:textFill>
                  <w14:solidFill>
                    <w14:schemeClr w14:val="tx1"/>
                  </w14:solidFill>
                </w14:textFill>
              </w:rPr>
            </w:pPr>
          </w:p>
        </w:tc>
        <w:tc>
          <w:tcPr>
            <w:tcW w:w="1417" w:type="dxa"/>
            <w:gridSpan w:val="2"/>
            <w:vAlign w:val="center"/>
          </w:tcPr>
          <w:p w14:paraId="1662D697">
            <w:pPr>
              <w:jc w:val="center"/>
              <w:rPr>
                <w:rFonts w:ascii="宋体" w:hAnsi="宋体" w:cs="宋体"/>
                <w:color w:val="000000" w:themeColor="text1"/>
                <w:sz w:val="24"/>
                <w14:textFill>
                  <w14:solidFill>
                    <w14:schemeClr w14:val="tx1"/>
                  </w14:solidFill>
                </w14:textFill>
              </w:rPr>
            </w:pPr>
          </w:p>
        </w:tc>
        <w:tc>
          <w:tcPr>
            <w:tcW w:w="1985" w:type="dxa"/>
            <w:gridSpan w:val="2"/>
            <w:vAlign w:val="center"/>
          </w:tcPr>
          <w:p w14:paraId="6BD21FB5">
            <w:pPr>
              <w:jc w:val="center"/>
              <w:rPr>
                <w:rFonts w:ascii="宋体" w:hAnsi="宋体" w:cs="宋体"/>
                <w:color w:val="000000" w:themeColor="text1"/>
                <w:sz w:val="24"/>
                <w14:textFill>
                  <w14:solidFill>
                    <w14:schemeClr w14:val="tx1"/>
                  </w14:solidFill>
                </w14:textFill>
              </w:rPr>
            </w:pPr>
          </w:p>
        </w:tc>
        <w:tc>
          <w:tcPr>
            <w:tcW w:w="2851" w:type="dxa"/>
            <w:gridSpan w:val="2"/>
            <w:vAlign w:val="center"/>
          </w:tcPr>
          <w:p w14:paraId="5C069679">
            <w:pPr>
              <w:jc w:val="center"/>
              <w:rPr>
                <w:rFonts w:ascii="宋体" w:hAnsi="宋体" w:cs="宋体"/>
                <w:color w:val="000000" w:themeColor="text1"/>
                <w:sz w:val="24"/>
                <w14:textFill>
                  <w14:solidFill>
                    <w14:schemeClr w14:val="tx1"/>
                  </w14:solidFill>
                </w14:textFill>
              </w:rPr>
            </w:pPr>
          </w:p>
        </w:tc>
      </w:tr>
      <w:tr w14:paraId="0E9B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369" w:type="dxa"/>
            <w:gridSpan w:val="4"/>
            <w:vAlign w:val="center"/>
          </w:tcPr>
          <w:p w14:paraId="39C9D005">
            <w:pPr>
              <w:jc w:val="center"/>
              <w:rPr>
                <w:rFonts w:ascii="宋体" w:hAnsi="宋体" w:cs="宋体"/>
                <w:color w:val="000000" w:themeColor="text1"/>
                <w:sz w:val="24"/>
                <w14:textFill>
                  <w14:solidFill>
                    <w14:schemeClr w14:val="tx1"/>
                  </w14:solidFill>
                </w14:textFill>
              </w:rPr>
            </w:pPr>
          </w:p>
        </w:tc>
        <w:tc>
          <w:tcPr>
            <w:tcW w:w="1417" w:type="dxa"/>
            <w:gridSpan w:val="2"/>
            <w:vAlign w:val="center"/>
          </w:tcPr>
          <w:p w14:paraId="6FE3117C">
            <w:pPr>
              <w:jc w:val="center"/>
              <w:rPr>
                <w:rFonts w:ascii="宋体" w:hAnsi="宋体" w:cs="宋体"/>
                <w:color w:val="000000" w:themeColor="text1"/>
                <w:sz w:val="24"/>
                <w14:textFill>
                  <w14:solidFill>
                    <w14:schemeClr w14:val="tx1"/>
                  </w14:solidFill>
                </w14:textFill>
              </w:rPr>
            </w:pPr>
          </w:p>
        </w:tc>
        <w:tc>
          <w:tcPr>
            <w:tcW w:w="1985" w:type="dxa"/>
            <w:gridSpan w:val="2"/>
            <w:vAlign w:val="center"/>
          </w:tcPr>
          <w:p w14:paraId="666B8A4D">
            <w:pPr>
              <w:jc w:val="center"/>
              <w:rPr>
                <w:rFonts w:ascii="宋体" w:hAnsi="宋体" w:cs="宋体"/>
                <w:color w:val="000000" w:themeColor="text1"/>
                <w:sz w:val="24"/>
                <w14:textFill>
                  <w14:solidFill>
                    <w14:schemeClr w14:val="tx1"/>
                  </w14:solidFill>
                </w14:textFill>
              </w:rPr>
            </w:pPr>
          </w:p>
        </w:tc>
        <w:tc>
          <w:tcPr>
            <w:tcW w:w="2851" w:type="dxa"/>
            <w:gridSpan w:val="2"/>
            <w:vAlign w:val="center"/>
          </w:tcPr>
          <w:p w14:paraId="6B3BD1B5">
            <w:pPr>
              <w:jc w:val="center"/>
              <w:rPr>
                <w:rFonts w:ascii="宋体" w:hAnsi="宋体" w:cs="宋体"/>
                <w:color w:val="000000" w:themeColor="text1"/>
                <w:sz w:val="24"/>
                <w14:textFill>
                  <w14:solidFill>
                    <w14:schemeClr w14:val="tx1"/>
                  </w14:solidFill>
                </w14:textFill>
              </w:rPr>
            </w:pPr>
          </w:p>
        </w:tc>
      </w:tr>
      <w:tr w14:paraId="4BA4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369" w:type="dxa"/>
            <w:gridSpan w:val="4"/>
            <w:vAlign w:val="center"/>
          </w:tcPr>
          <w:p w14:paraId="05C1B79B">
            <w:pPr>
              <w:jc w:val="center"/>
              <w:rPr>
                <w:rFonts w:ascii="宋体" w:hAnsi="宋体" w:cs="宋体"/>
                <w:color w:val="000000" w:themeColor="text1"/>
                <w:sz w:val="24"/>
                <w14:textFill>
                  <w14:solidFill>
                    <w14:schemeClr w14:val="tx1"/>
                  </w14:solidFill>
                </w14:textFill>
              </w:rPr>
            </w:pPr>
          </w:p>
        </w:tc>
        <w:tc>
          <w:tcPr>
            <w:tcW w:w="1417" w:type="dxa"/>
            <w:gridSpan w:val="2"/>
            <w:vAlign w:val="center"/>
          </w:tcPr>
          <w:p w14:paraId="3DAFB226">
            <w:pPr>
              <w:jc w:val="center"/>
              <w:rPr>
                <w:rFonts w:ascii="宋体" w:hAnsi="宋体" w:cs="宋体"/>
                <w:color w:val="000000" w:themeColor="text1"/>
                <w:sz w:val="24"/>
                <w14:textFill>
                  <w14:solidFill>
                    <w14:schemeClr w14:val="tx1"/>
                  </w14:solidFill>
                </w14:textFill>
              </w:rPr>
            </w:pPr>
          </w:p>
        </w:tc>
        <w:tc>
          <w:tcPr>
            <w:tcW w:w="1985" w:type="dxa"/>
            <w:gridSpan w:val="2"/>
            <w:vAlign w:val="center"/>
          </w:tcPr>
          <w:p w14:paraId="0E2C6F6C">
            <w:pPr>
              <w:jc w:val="center"/>
              <w:rPr>
                <w:rFonts w:ascii="宋体" w:hAnsi="宋体" w:cs="宋体"/>
                <w:color w:val="000000" w:themeColor="text1"/>
                <w:sz w:val="24"/>
                <w14:textFill>
                  <w14:solidFill>
                    <w14:schemeClr w14:val="tx1"/>
                  </w14:solidFill>
                </w14:textFill>
              </w:rPr>
            </w:pPr>
          </w:p>
        </w:tc>
        <w:tc>
          <w:tcPr>
            <w:tcW w:w="2851" w:type="dxa"/>
            <w:gridSpan w:val="2"/>
            <w:vAlign w:val="center"/>
          </w:tcPr>
          <w:p w14:paraId="4533B5DD">
            <w:pPr>
              <w:jc w:val="center"/>
              <w:rPr>
                <w:rFonts w:ascii="宋体" w:hAnsi="宋体" w:cs="宋体"/>
                <w:color w:val="000000" w:themeColor="text1"/>
                <w:sz w:val="24"/>
                <w14:textFill>
                  <w14:solidFill>
                    <w14:schemeClr w14:val="tx1"/>
                  </w14:solidFill>
                </w14:textFill>
              </w:rPr>
            </w:pPr>
          </w:p>
        </w:tc>
      </w:tr>
      <w:tr w14:paraId="743D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369" w:type="dxa"/>
            <w:gridSpan w:val="4"/>
            <w:vAlign w:val="center"/>
          </w:tcPr>
          <w:p w14:paraId="206C2464">
            <w:pPr>
              <w:jc w:val="center"/>
              <w:rPr>
                <w:rFonts w:ascii="宋体" w:hAnsi="宋体" w:cs="宋体"/>
                <w:color w:val="000000" w:themeColor="text1"/>
                <w:sz w:val="24"/>
                <w14:textFill>
                  <w14:solidFill>
                    <w14:schemeClr w14:val="tx1"/>
                  </w14:solidFill>
                </w14:textFill>
              </w:rPr>
            </w:pPr>
          </w:p>
        </w:tc>
        <w:tc>
          <w:tcPr>
            <w:tcW w:w="1417" w:type="dxa"/>
            <w:gridSpan w:val="2"/>
            <w:vAlign w:val="center"/>
          </w:tcPr>
          <w:p w14:paraId="091DC8D7">
            <w:pPr>
              <w:jc w:val="center"/>
              <w:rPr>
                <w:rFonts w:ascii="宋体" w:hAnsi="宋体" w:cs="宋体"/>
                <w:color w:val="000000" w:themeColor="text1"/>
                <w:sz w:val="24"/>
                <w14:textFill>
                  <w14:solidFill>
                    <w14:schemeClr w14:val="tx1"/>
                  </w14:solidFill>
                </w14:textFill>
              </w:rPr>
            </w:pPr>
          </w:p>
        </w:tc>
        <w:tc>
          <w:tcPr>
            <w:tcW w:w="1985" w:type="dxa"/>
            <w:gridSpan w:val="2"/>
            <w:vAlign w:val="center"/>
          </w:tcPr>
          <w:p w14:paraId="26858A08">
            <w:pPr>
              <w:jc w:val="center"/>
              <w:rPr>
                <w:rFonts w:ascii="宋体" w:hAnsi="宋体" w:cs="宋体"/>
                <w:color w:val="000000" w:themeColor="text1"/>
                <w:sz w:val="24"/>
                <w14:textFill>
                  <w14:solidFill>
                    <w14:schemeClr w14:val="tx1"/>
                  </w14:solidFill>
                </w14:textFill>
              </w:rPr>
            </w:pPr>
          </w:p>
        </w:tc>
        <w:tc>
          <w:tcPr>
            <w:tcW w:w="2851" w:type="dxa"/>
            <w:gridSpan w:val="2"/>
            <w:vAlign w:val="center"/>
          </w:tcPr>
          <w:p w14:paraId="51194542">
            <w:pPr>
              <w:jc w:val="center"/>
              <w:rPr>
                <w:rFonts w:ascii="宋体" w:hAnsi="宋体" w:cs="宋体"/>
                <w:color w:val="000000" w:themeColor="text1"/>
                <w:sz w:val="24"/>
                <w14:textFill>
                  <w14:solidFill>
                    <w14:schemeClr w14:val="tx1"/>
                  </w14:solidFill>
                </w14:textFill>
              </w:rPr>
            </w:pPr>
          </w:p>
        </w:tc>
      </w:tr>
      <w:tr w14:paraId="105F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369" w:type="dxa"/>
            <w:gridSpan w:val="4"/>
            <w:vAlign w:val="center"/>
          </w:tcPr>
          <w:p w14:paraId="5056C521">
            <w:pPr>
              <w:jc w:val="center"/>
              <w:rPr>
                <w:rFonts w:ascii="宋体" w:hAnsi="宋体" w:cs="宋体"/>
                <w:color w:val="000000" w:themeColor="text1"/>
                <w:sz w:val="24"/>
                <w14:textFill>
                  <w14:solidFill>
                    <w14:schemeClr w14:val="tx1"/>
                  </w14:solidFill>
                </w14:textFill>
              </w:rPr>
            </w:pPr>
          </w:p>
        </w:tc>
        <w:tc>
          <w:tcPr>
            <w:tcW w:w="1417" w:type="dxa"/>
            <w:gridSpan w:val="2"/>
            <w:vAlign w:val="center"/>
          </w:tcPr>
          <w:p w14:paraId="4E57A5A4">
            <w:pPr>
              <w:jc w:val="center"/>
              <w:rPr>
                <w:rFonts w:ascii="宋体" w:hAnsi="宋体" w:cs="宋体"/>
                <w:color w:val="000000" w:themeColor="text1"/>
                <w:sz w:val="24"/>
                <w14:textFill>
                  <w14:solidFill>
                    <w14:schemeClr w14:val="tx1"/>
                  </w14:solidFill>
                </w14:textFill>
              </w:rPr>
            </w:pPr>
          </w:p>
        </w:tc>
        <w:tc>
          <w:tcPr>
            <w:tcW w:w="1985" w:type="dxa"/>
            <w:gridSpan w:val="2"/>
            <w:vAlign w:val="center"/>
          </w:tcPr>
          <w:p w14:paraId="0974A5CC">
            <w:pPr>
              <w:jc w:val="center"/>
              <w:rPr>
                <w:rFonts w:ascii="宋体" w:hAnsi="宋体" w:cs="宋体"/>
                <w:color w:val="000000" w:themeColor="text1"/>
                <w:sz w:val="24"/>
                <w14:textFill>
                  <w14:solidFill>
                    <w14:schemeClr w14:val="tx1"/>
                  </w14:solidFill>
                </w14:textFill>
              </w:rPr>
            </w:pPr>
          </w:p>
        </w:tc>
        <w:tc>
          <w:tcPr>
            <w:tcW w:w="2851" w:type="dxa"/>
            <w:gridSpan w:val="2"/>
            <w:vAlign w:val="center"/>
          </w:tcPr>
          <w:p w14:paraId="063B7D3D">
            <w:pPr>
              <w:jc w:val="center"/>
              <w:rPr>
                <w:rFonts w:ascii="宋体" w:hAnsi="宋体" w:cs="宋体"/>
                <w:color w:val="000000" w:themeColor="text1"/>
                <w:sz w:val="24"/>
                <w14:textFill>
                  <w14:solidFill>
                    <w14:schemeClr w14:val="tx1"/>
                  </w14:solidFill>
                </w14:textFill>
              </w:rPr>
            </w:pPr>
          </w:p>
        </w:tc>
      </w:tr>
      <w:tr w14:paraId="413A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8" w:hRule="atLeast"/>
        </w:trPr>
        <w:tc>
          <w:tcPr>
            <w:tcW w:w="3369" w:type="dxa"/>
            <w:gridSpan w:val="4"/>
            <w:vAlign w:val="center"/>
          </w:tcPr>
          <w:p w14:paraId="4D040A90">
            <w:pPr>
              <w:jc w:val="center"/>
              <w:rPr>
                <w:rFonts w:ascii="宋体" w:hAnsi="宋体" w:cs="宋体"/>
                <w:color w:val="000000" w:themeColor="text1"/>
                <w:sz w:val="24"/>
                <w14:textFill>
                  <w14:solidFill>
                    <w14:schemeClr w14:val="tx1"/>
                  </w14:solidFill>
                </w14:textFill>
              </w:rPr>
            </w:pPr>
          </w:p>
        </w:tc>
        <w:tc>
          <w:tcPr>
            <w:tcW w:w="1417" w:type="dxa"/>
            <w:gridSpan w:val="2"/>
            <w:vAlign w:val="center"/>
          </w:tcPr>
          <w:p w14:paraId="40728F53">
            <w:pPr>
              <w:jc w:val="center"/>
              <w:rPr>
                <w:rFonts w:ascii="宋体" w:hAnsi="宋体" w:cs="宋体"/>
                <w:color w:val="000000" w:themeColor="text1"/>
                <w:sz w:val="24"/>
                <w14:textFill>
                  <w14:solidFill>
                    <w14:schemeClr w14:val="tx1"/>
                  </w14:solidFill>
                </w14:textFill>
              </w:rPr>
            </w:pPr>
          </w:p>
        </w:tc>
        <w:tc>
          <w:tcPr>
            <w:tcW w:w="1985" w:type="dxa"/>
            <w:gridSpan w:val="2"/>
            <w:vAlign w:val="center"/>
          </w:tcPr>
          <w:p w14:paraId="738FEBCE">
            <w:pPr>
              <w:jc w:val="center"/>
              <w:rPr>
                <w:rFonts w:ascii="宋体" w:hAnsi="宋体" w:cs="宋体"/>
                <w:color w:val="000000" w:themeColor="text1"/>
                <w:sz w:val="24"/>
                <w14:textFill>
                  <w14:solidFill>
                    <w14:schemeClr w14:val="tx1"/>
                  </w14:solidFill>
                </w14:textFill>
              </w:rPr>
            </w:pPr>
          </w:p>
        </w:tc>
        <w:tc>
          <w:tcPr>
            <w:tcW w:w="2851" w:type="dxa"/>
            <w:gridSpan w:val="2"/>
            <w:vAlign w:val="center"/>
          </w:tcPr>
          <w:p w14:paraId="521B7D4B">
            <w:pPr>
              <w:jc w:val="center"/>
              <w:rPr>
                <w:rFonts w:ascii="宋体" w:hAnsi="宋体" w:cs="宋体"/>
                <w:color w:val="000000" w:themeColor="text1"/>
                <w:sz w:val="24"/>
                <w14:textFill>
                  <w14:solidFill>
                    <w14:schemeClr w14:val="tx1"/>
                  </w14:solidFill>
                </w14:textFill>
              </w:rPr>
            </w:pPr>
          </w:p>
        </w:tc>
      </w:tr>
      <w:tr w14:paraId="05C4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8" w:hRule="atLeast"/>
        </w:trPr>
        <w:tc>
          <w:tcPr>
            <w:tcW w:w="1668" w:type="dxa"/>
            <w:gridSpan w:val="2"/>
            <w:vAlign w:val="center"/>
          </w:tcPr>
          <w:p w14:paraId="472B9F1F">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tc>
        <w:tc>
          <w:tcPr>
            <w:tcW w:w="7954" w:type="dxa"/>
            <w:gridSpan w:val="8"/>
            <w:vAlign w:val="center"/>
          </w:tcPr>
          <w:p w14:paraId="4D6F092E">
            <w:pPr>
              <w:jc w:val="center"/>
              <w:rPr>
                <w:rFonts w:ascii="宋体" w:hAnsi="宋体" w:cs="宋体"/>
                <w:color w:val="000000" w:themeColor="text1"/>
                <w:sz w:val="24"/>
                <w14:textFill>
                  <w14:solidFill>
                    <w14:schemeClr w14:val="tx1"/>
                  </w14:solidFill>
                </w14:textFill>
              </w:rPr>
            </w:pPr>
          </w:p>
        </w:tc>
      </w:tr>
    </w:tbl>
    <w:p w14:paraId="587AB0A3">
      <w:pPr>
        <w:spacing w:line="480" w:lineRule="auto"/>
        <w:rPr>
          <w:rFonts w:ascii="宋体" w:hAnsi="宋体" w:cs="宋体"/>
          <w:b/>
          <w:color w:val="000000" w:themeColor="text1"/>
          <w:sz w:val="24"/>
          <w14:textFill>
            <w14:solidFill>
              <w14:schemeClr w14:val="tx1"/>
            </w14:solidFill>
          </w14:textFill>
        </w:rPr>
      </w:pPr>
    </w:p>
    <w:p w14:paraId="49830243">
      <w:pPr>
        <w:spacing w:line="48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以下相关资料需提供加盖公章的复印件：</w:t>
      </w:r>
    </w:p>
    <w:p w14:paraId="6894D05B">
      <w:pPr>
        <w:widowControl/>
        <w:spacing w:line="480" w:lineRule="auto"/>
        <w:ind w:firstLine="480" w:firstLineChars="200"/>
        <w:contextualSpacing/>
        <w:jc w:val="left"/>
        <w:rPr>
          <w:rFonts w:hint="eastAsia" w:ascii="宋体" w:hAnsi="宋体" w:cs="宋体"/>
          <w:kern w:val="0"/>
          <w:sz w:val="24"/>
        </w:rPr>
      </w:pPr>
      <w:bookmarkStart w:id="38" w:name="_Toc494096894"/>
      <w:r>
        <w:rPr>
          <w:rFonts w:hint="eastAsia" w:ascii="宋体" w:hAnsi="宋体" w:cs="宋体"/>
          <w:kern w:val="0"/>
          <w:sz w:val="24"/>
        </w:rPr>
        <w:t>1、投标人提供具有统一社会信用代码证的营业执照（或事业法人证），投标人为自然人的提供身份证；</w:t>
      </w:r>
    </w:p>
    <w:p w14:paraId="45338D0F">
      <w:pPr>
        <w:widowControl/>
        <w:spacing w:line="480" w:lineRule="auto"/>
        <w:ind w:firstLine="480" w:firstLineChars="200"/>
        <w:contextualSpacing/>
        <w:jc w:val="left"/>
        <w:rPr>
          <w:rFonts w:hint="eastAsia"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kern w:val="0"/>
          <w:sz w:val="24"/>
          <w:highlight w:val="none"/>
          <w:lang w:eastAsia="zh-CN"/>
        </w:rPr>
        <w:t>供应商应授权合法的人员参加投标全过程，其中法定代表人直接参加投标的，须出具法人代表身份证，并与营业执照上信息一致。法定代表人授权代表参加投标的，须出具法定代表人授权书及授权代表身份证</w:t>
      </w:r>
      <w:r>
        <w:rPr>
          <w:rFonts w:hint="eastAsia" w:ascii="宋体" w:hAnsi="宋体" w:cs="宋体"/>
          <w:kern w:val="0"/>
          <w:sz w:val="24"/>
          <w:highlight w:val="none"/>
        </w:rPr>
        <w:t>；</w:t>
      </w:r>
    </w:p>
    <w:p w14:paraId="1B8A2CF2">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3、须提供依法缴纳税收资金的良好记录（提供投标截止时间前六个月内任意一个月份的缴纳凭据复印件并加盖单位公章，依法免税或开标前一年内零申报的供应商应提供相关证明文件））</w:t>
      </w:r>
    </w:p>
    <w:p w14:paraId="09029737">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4、须提供依法缴纳社会保障资金（养老保险）的良好记录（提供投标截止时间前六个月内任意一个月份的缴纳凭据复印件并加盖单位公章或其他相关证明资料）；</w:t>
      </w:r>
    </w:p>
    <w:p w14:paraId="6DAEEABA">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5、供应商应在投标截止日前未被列入失信被执行人、重大税收违法案件当事人名单、政府采购严重违法失信行为记录名单（处罚期限届满的除外（以“信用中国”网站（www.creditchina.gov.cn）查询结果为准）；中国政府采购网（www.ccgp.gov.cn）提供政府采购严重违法失信行为记录名单（处罚期限届满的除外）网站截图并加盖单位公章。</w:t>
      </w:r>
    </w:p>
    <w:p w14:paraId="57D8F842">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6、满足《中华人民共和国政府采购法实施条例》第十八条规定。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2EC5447E">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7、须提供2023年或2024年经审计的财务报告（成立时间至提交响应文件截止时间不足一年的可提供成立后任意时段的财务报表）或基本存款账户开户银行出具的资信证明；</w:t>
      </w:r>
    </w:p>
    <w:p w14:paraId="62252961">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8、提供近3年内在经营活动中没有重大违法记录的书面声明；</w:t>
      </w:r>
    </w:p>
    <w:p w14:paraId="51275407">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9、提供投标保证金转账凭证复印件并加盖单位公章。</w:t>
      </w:r>
    </w:p>
    <w:p w14:paraId="6F102CD2">
      <w:pPr>
        <w:widowControl/>
        <w:spacing w:line="480" w:lineRule="auto"/>
        <w:ind w:firstLine="480" w:firstLineChars="200"/>
        <w:contextualSpacing/>
        <w:jc w:val="left"/>
        <w:rPr>
          <w:rFonts w:hint="eastAsia" w:ascii="宋体" w:hAnsi="宋体" w:cs="宋体"/>
          <w:kern w:val="0"/>
          <w:sz w:val="24"/>
        </w:rPr>
      </w:pPr>
      <w:r>
        <w:rPr>
          <w:rFonts w:hint="eastAsia" w:ascii="宋体" w:hAnsi="宋体" w:cs="宋体"/>
          <w:kern w:val="0"/>
          <w:sz w:val="24"/>
        </w:rPr>
        <w:t>10、提供具有履行本合同所必需的专业技术能力的说明及承诺。</w:t>
      </w:r>
    </w:p>
    <w:p w14:paraId="707BFE14">
      <w:pPr>
        <w:spacing w:line="460" w:lineRule="exact"/>
        <w:ind w:firstLine="241" w:firstLineChars="100"/>
        <w:rPr>
          <w:rFonts w:ascii="宋体" w:hAnsi="宋体" w:cs="宋体"/>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注：上述资格证明文件的复印件须附在每份磋商响应文件（正、副本）中，并加盖磋商单位公章。</w:t>
      </w:r>
    </w:p>
    <w:p w14:paraId="527C385A">
      <w:pPr>
        <w:widowControl/>
        <w:tabs>
          <w:tab w:val="left" w:pos="1620"/>
        </w:tabs>
        <w:spacing w:line="400" w:lineRule="exact"/>
        <w:ind w:right="-197" w:rightChars="-94" w:firstLine="240" w:firstLineChars="100"/>
        <w:jc w:val="left"/>
        <w:rPr>
          <w:rFonts w:ascii="宋体" w:hAnsi="宋体" w:cs="宋体"/>
          <w:color w:val="000000" w:themeColor="text1"/>
          <w:sz w:val="24"/>
          <w14:textFill>
            <w14:solidFill>
              <w14:schemeClr w14:val="tx1"/>
            </w14:solidFill>
          </w14:textFill>
        </w:rPr>
      </w:pPr>
    </w:p>
    <w:p w14:paraId="3E1D78C6">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787F60A6">
      <w:pPr>
        <w:spacing w:line="480" w:lineRule="auto"/>
        <w:jc w:val="center"/>
        <w:outlineLvl w:val="1"/>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lang w:val="en-US" w:eastAsia="zh-CN"/>
          <w14:textFill>
            <w14:solidFill>
              <w14:schemeClr w14:val="tx1"/>
            </w14:solidFill>
          </w14:textFill>
        </w:rPr>
        <w:t>七</w:t>
      </w:r>
      <w:r>
        <w:rPr>
          <w:rFonts w:hint="eastAsia" w:ascii="宋体" w:hAnsi="宋体" w:cs="宋体"/>
          <w:b/>
          <w:bCs/>
          <w:color w:val="000000" w:themeColor="text1"/>
          <w:sz w:val="32"/>
          <w:szCs w:val="32"/>
          <w14:textFill>
            <w14:solidFill>
              <w14:schemeClr w14:val="tx1"/>
            </w14:solidFill>
          </w14:textFill>
        </w:rPr>
        <w:t>、类似项目业绩一览表</w:t>
      </w:r>
    </w:p>
    <w:p w14:paraId="6A08EAB8">
      <w:pPr>
        <w:rPr>
          <w:color w:val="000000" w:themeColor="text1"/>
          <w14:textFill>
            <w14:solidFill>
              <w14:schemeClr w14:val="tx1"/>
            </w14:solidFill>
          </w14:textFill>
        </w:rPr>
      </w:pPr>
    </w:p>
    <w:p w14:paraId="3D0F4E7A">
      <w:pPr>
        <w:spacing w:line="360" w:lineRule="auto"/>
        <w:ind w:firstLine="480" w:firstLineChars="2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供应商名称：</w:t>
      </w:r>
      <w:r>
        <w:rPr>
          <w:rFonts w:hint="eastAsia" w:ascii="宋体" w:hAnsi="宋体" w:cs="宋体"/>
          <w:color w:val="000000" w:themeColor="text1"/>
          <w:sz w:val="24"/>
          <w:u w:val="single"/>
          <w14:textFill>
            <w14:solidFill>
              <w14:schemeClr w14:val="tx1"/>
            </w14:solidFill>
          </w14:textFill>
        </w:rPr>
        <w:t xml:space="preserve">                             </w:t>
      </w:r>
    </w:p>
    <w:p w14:paraId="03E77CFF">
      <w:pPr>
        <w:spacing w:line="360" w:lineRule="auto"/>
        <w:ind w:firstLine="480" w:firstLineChars="2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w:t>
      </w:r>
      <w:r>
        <w:rPr>
          <w:rFonts w:hint="eastAsia" w:ascii="宋体" w:hAnsi="宋体" w:cs="宋体"/>
          <w:color w:val="000000" w:themeColor="text1"/>
          <w:sz w:val="24"/>
          <w:u w:val="single"/>
          <w14:textFill>
            <w14:solidFill>
              <w14:schemeClr w14:val="tx1"/>
            </w14:solidFill>
          </w14:textFill>
        </w:rPr>
        <w:t xml:space="preserve">                            </w:t>
      </w:r>
    </w:p>
    <w:tbl>
      <w:tblPr>
        <w:tblStyle w:val="21"/>
        <w:tblW w:w="9780" w:type="dxa"/>
        <w:tblInd w:w="113" w:type="dxa"/>
        <w:tblLayout w:type="fixed"/>
        <w:tblCellMar>
          <w:top w:w="0" w:type="dxa"/>
          <w:left w:w="0" w:type="dxa"/>
          <w:bottom w:w="0" w:type="dxa"/>
          <w:right w:w="0" w:type="dxa"/>
        </w:tblCellMar>
      </w:tblPr>
      <w:tblGrid>
        <w:gridCol w:w="655"/>
        <w:gridCol w:w="1866"/>
        <w:gridCol w:w="1519"/>
        <w:gridCol w:w="1741"/>
        <w:gridCol w:w="1257"/>
        <w:gridCol w:w="2742"/>
      </w:tblGrid>
      <w:tr w14:paraId="68438D37">
        <w:tblPrEx>
          <w:tblCellMar>
            <w:top w:w="0" w:type="dxa"/>
            <w:left w:w="0" w:type="dxa"/>
            <w:bottom w:w="0" w:type="dxa"/>
            <w:right w:w="0" w:type="dxa"/>
          </w:tblCellMar>
        </w:tblPrEx>
        <w:trPr>
          <w:trHeight w:val="780" w:hRule="exact"/>
        </w:trPr>
        <w:tc>
          <w:tcPr>
            <w:tcW w:w="655" w:type="dxa"/>
            <w:tcBorders>
              <w:top w:val="single" w:color="000000" w:sz="6" w:space="0"/>
              <w:left w:val="single" w:color="000000" w:sz="6" w:space="0"/>
              <w:bottom w:val="single" w:color="000000" w:sz="6" w:space="0"/>
              <w:right w:val="single" w:color="000000" w:sz="6" w:space="0"/>
            </w:tcBorders>
          </w:tcPr>
          <w:p w14:paraId="7C224A5C">
            <w:pPr>
              <w:pStyle w:val="33"/>
              <w:spacing w:before="188"/>
              <w:ind w:left="78"/>
              <w:rPr>
                <w:rFonts w:ascii="宋体" w:hAnsi="宋体" w:cs="宋体"/>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序号</w:t>
            </w:r>
          </w:p>
        </w:tc>
        <w:tc>
          <w:tcPr>
            <w:tcW w:w="1866" w:type="dxa"/>
            <w:tcBorders>
              <w:top w:val="single" w:color="000000" w:sz="6" w:space="0"/>
              <w:left w:val="single" w:color="000000" w:sz="6" w:space="0"/>
              <w:bottom w:val="single" w:color="000000" w:sz="6" w:space="0"/>
              <w:right w:val="single" w:color="000000" w:sz="6" w:space="0"/>
            </w:tcBorders>
          </w:tcPr>
          <w:p w14:paraId="5505C00E">
            <w:pPr>
              <w:pStyle w:val="33"/>
              <w:spacing w:before="188"/>
              <w:ind w:left="206"/>
              <w:rPr>
                <w:rFonts w:ascii="宋体" w:hAnsi="宋体" w:cs="宋体"/>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项目名称</w:t>
            </w:r>
          </w:p>
        </w:tc>
        <w:tc>
          <w:tcPr>
            <w:tcW w:w="1519" w:type="dxa"/>
            <w:tcBorders>
              <w:top w:val="single" w:color="000000" w:sz="6" w:space="0"/>
              <w:left w:val="single" w:color="000000" w:sz="6" w:space="0"/>
              <w:bottom w:val="single" w:color="000000" w:sz="6" w:space="0"/>
              <w:right w:val="single" w:color="000000" w:sz="6" w:space="0"/>
            </w:tcBorders>
          </w:tcPr>
          <w:p w14:paraId="00BE2100">
            <w:pPr>
              <w:pStyle w:val="33"/>
              <w:spacing w:before="188"/>
              <w:ind w:left="272"/>
              <w:rPr>
                <w:rFonts w:ascii="宋体" w:hAnsi="宋体" w:cs="宋体"/>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项目内容</w:t>
            </w:r>
          </w:p>
        </w:tc>
        <w:tc>
          <w:tcPr>
            <w:tcW w:w="1741" w:type="dxa"/>
            <w:tcBorders>
              <w:top w:val="single" w:color="000000" w:sz="6" w:space="0"/>
              <w:left w:val="single" w:color="000000" w:sz="6" w:space="0"/>
              <w:bottom w:val="single" w:color="000000" w:sz="6" w:space="0"/>
              <w:right w:val="single" w:color="000000" w:sz="6" w:space="0"/>
            </w:tcBorders>
          </w:tcPr>
          <w:p w14:paraId="234636AC">
            <w:pPr>
              <w:pStyle w:val="33"/>
              <w:spacing w:before="32" w:line="313" w:lineRule="exact"/>
              <w:ind w:left="382"/>
              <w:rPr>
                <w:rFonts w:ascii="宋体" w:hAnsi="宋体" w:cs="宋体"/>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合同金额</w:t>
            </w:r>
          </w:p>
          <w:p w14:paraId="41AE6B3D">
            <w:pPr>
              <w:pStyle w:val="33"/>
              <w:spacing w:line="313" w:lineRule="exact"/>
              <w:ind w:left="382"/>
              <w:rPr>
                <w:rFonts w:ascii="宋体" w:hAnsi="宋体" w:cs="宋体"/>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（万元）</w:t>
            </w:r>
          </w:p>
        </w:tc>
        <w:tc>
          <w:tcPr>
            <w:tcW w:w="1257" w:type="dxa"/>
            <w:tcBorders>
              <w:top w:val="single" w:color="000000" w:sz="6" w:space="0"/>
              <w:left w:val="single" w:color="000000" w:sz="6" w:space="0"/>
              <w:bottom w:val="single" w:color="000000" w:sz="6" w:space="0"/>
              <w:right w:val="single" w:color="000000" w:sz="6" w:space="0"/>
            </w:tcBorders>
          </w:tcPr>
          <w:p w14:paraId="6FEE4BBC">
            <w:pPr>
              <w:pStyle w:val="33"/>
              <w:spacing w:before="188"/>
              <w:ind w:left="139"/>
              <w:rPr>
                <w:rFonts w:ascii="宋体" w:hAnsi="宋体" w:cs="宋体"/>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完成日期</w:t>
            </w:r>
          </w:p>
        </w:tc>
        <w:tc>
          <w:tcPr>
            <w:tcW w:w="2742" w:type="dxa"/>
            <w:tcBorders>
              <w:top w:val="single" w:color="000000" w:sz="6" w:space="0"/>
              <w:left w:val="single" w:color="000000" w:sz="6" w:space="0"/>
              <w:bottom w:val="single" w:color="000000" w:sz="6" w:space="0"/>
              <w:right w:val="single" w:color="000000" w:sz="6" w:space="0"/>
            </w:tcBorders>
          </w:tcPr>
          <w:p w14:paraId="3A01172B">
            <w:pPr>
              <w:pStyle w:val="33"/>
              <w:spacing w:before="188"/>
              <w:jc w:val="center"/>
              <w:rPr>
                <w:rFonts w:ascii="宋体" w:hAnsi="宋体" w:cs="宋体"/>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备注</w:t>
            </w:r>
          </w:p>
        </w:tc>
      </w:tr>
      <w:tr w14:paraId="70A65DC3">
        <w:tblPrEx>
          <w:tblCellMar>
            <w:top w:w="0" w:type="dxa"/>
            <w:left w:w="0" w:type="dxa"/>
            <w:bottom w:w="0" w:type="dxa"/>
            <w:right w:w="0" w:type="dxa"/>
          </w:tblCellMar>
        </w:tblPrEx>
        <w:trPr>
          <w:trHeight w:val="780" w:hRule="exact"/>
        </w:trPr>
        <w:tc>
          <w:tcPr>
            <w:tcW w:w="655" w:type="dxa"/>
            <w:tcBorders>
              <w:top w:val="single" w:color="000000" w:sz="6" w:space="0"/>
              <w:left w:val="single" w:color="000000" w:sz="6" w:space="0"/>
              <w:bottom w:val="single" w:color="000000" w:sz="6" w:space="0"/>
              <w:right w:val="single" w:color="000000" w:sz="6" w:space="0"/>
            </w:tcBorders>
          </w:tcPr>
          <w:p w14:paraId="30110DE5">
            <w:pPr>
              <w:pStyle w:val="33"/>
              <w:spacing w:before="188"/>
              <w:ind w:left="318"/>
              <w:rPr>
                <w:rFonts w:ascii="宋体" w:hAnsi="宋体" w:cs="宋体"/>
                <w:color w:val="000000" w:themeColor="text1"/>
                <w:sz w:val="24"/>
                <w14:textFill>
                  <w14:solidFill>
                    <w14:schemeClr w14:val="tx1"/>
                  </w14:solidFill>
                </w14:textFill>
              </w:rPr>
            </w:pPr>
            <w:r>
              <w:rPr>
                <w:rFonts w:ascii="宋体"/>
                <w:b/>
                <w:color w:val="000000" w:themeColor="text1"/>
                <w:w w:val="99"/>
                <w:sz w:val="24"/>
                <w14:textFill>
                  <w14:solidFill>
                    <w14:schemeClr w14:val="tx1"/>
                  </w14:solidFill>
                </w14:textFill>
              </w:rPr>
              <w:t>1</w:t>
            </w:r>
          </w:p>
        </w:tc>
        <w:tc>
          <w:tcPr>
            <w:tcW w:w="1866" w:type="dxa"/>
            <w:tcBorders>
              <w:top w:val="single" w:color="000000" w:sz="6" w:space="0"/>
              <w:left w:val="single" w:color="000000" w:sz="6" w:space="0"/>
              <w:bottom w:val="single" w:color="000000" w:sz="6" w:space="0"/>
              <w:right w:val="single" w:color="000000" w:sz="6" w:space="0"/>
            </w:tcBorders>
          </w:tcPr>
          <w:p w14:paraId="65B6308B">
            <w:pPr>
              <w:rPr>
                <w:color w:val="000000" w:themeColor="text1"/>
                <w14:textFill>
                  <w14:solidFill>
                    <w14:schemeClr w14:val="tx1"/>
                  </w14:solidFill>
                </w14:textFill>
              </w:rPr>
            </w:pPr>
          </w:p>
        </w:tc>
        <w:tc>
          <w:tcPr>
            <w:tcW w:w="1519" w:type="dxa"/>
            <w:tcBorders>
              <w:top w:val="single" w:color="000000" w:sz="6" w:space="0"/>
              <w:left w:val="single" w:color="000000" w:sz="6" w:space="0"/>
              <w:bottom w:val="single" w:color="000000" w:sz="6" w:space="0"/>
              <w:right w:val="single" w:color="000000" w:sz="6" w:space="0"/>
            </w:tcBorders>
          </w:tcPr>
          <w:p w14:paraId="232A2E7D">
            <w:pPr>
              <w:rPr>
                <w:color w:val="000000" w:themeColor="text1"/>
                <w14:textFill>
                  <w14:solidFill>
                    <w14:schemeClr w14:val="tx1"/>
                  </w14:solidFill>
                </w14:textFill>
              </w:rPr>
            </w:pPr>
          </w:p>
        </w:tc>
        <w:tc>
          <w:tcPr>
            <w:tcW w:w="1741" w:type="dxa"/>
            <w:tcBorders>
              <w:top w:val="single" w:color="000000" w:sz="6" w:space="0"/>
              <w:left w:val="single" w:color="000000" w:sz="6" w:space="0"/>
              <w:bottom w:val="single" w:color="000000" w:sz="6" w:space="0"/>
              <w:right w:val="single" w:color="000000" w:sz="6" w:space="0"/>
            </w:tcBorders>
          </w:tcPr>
          <w:p w14:paraId="6CE88317">
            <w:pPr>
              <w:rPr>
                <w:color w:val="000000" w:themeColor="text1"/>
                <w14:textFill>
                  <w14:solidFill>
                    <w14:schemeClr w14:val="tx1"/>
                  </w14:solidFill>
                </w14:textFill>
              </w:rPr>
            </w:pPr>
          </w:p>
        </w:tc>
        <w:tc>
          <w:tcPr>
            <w:tcW w:w="1257" w:type="dxa"/>
            <w:tcBorders>
              <w:top w:val="single" w:color="000000" w:sz="6" w:space="0"/>
              <w:left w:val="single" w:color="000000" w:sz="6" w:space="0"/>
              <w:bottom w:val="single" w:color="000000" w:sz="6" w:space="0"/>
              <w:right w:val="single" w:color="000000" w:sz="6" w:space="0"/>
            </w:tcBorders>
          </w:tcPr>
          <w:p w14:paraId="3DE55DE5">
            <w:pPr>
              <w:rPr>
                <w:color w:val="000000" w:themeColor="text1"/>
                <w14:textFill>
                  <w14:solidFill>
                    <w14:schemeClr w14:val="tx1"/>
                  </w14:solidFill>
                </w14:textFill>
              </w:rPr>
            </w:pPr>
          </w:p>
        </w:tc>
        <w:tc>
          <w:tcPr>
            <w:tcW w:w="2742" w:type="dxa"/>
            <w:tcBorders>
              <w:top w:val="single" w:color="000000" w:sz="6" w:space="0"/>
              <w:left w:val="single" w:color="000000" w:sz="6" w:space="0"/>
              <w:bottom w:val="single" w:color="000000" w:sz="6" w:space="0"/>
              <w:right w:val="single" w:color="000000" w:sz="6" w:space="0"/>
            </w:tcBorders>
          </w:tcPr>
          <w:p w14:paraId="78A5D98B">
            <w:pPr>
              <w:rPr>
                <w:color w:val="000000" w:themeColor="text1"/>
                <w14:textFill>
                  <w14:solidFill>
                    <w14:schemeClr w14:val="tx1"/>
                  </w14:solidFill>
                </w14:textFill>
              </w:rPr>
            </w:pPr>
          </w:p>
        </w:tc>
      </w:tr>
      <w:tr w14:paraId="1380C9E2">
        <w:tblPrEx>
          <w:tblCellMar>
            <w:top w:w="0" w:type="dxa"/>
            <w:left w:w="0" w:type="dxa"/>
            <w:bottom w:w="0" w:type="dxa"/>
            <w:right w:w="0" w:type="dxa"/>
          </w:tblCellMar>
        </w:tblPrEx>
        <w:trPr>
          <w:trHeight w:val="780" w:hRule="exact"/>
        </w:trPr>
        <w:tc>
          <w:tcPr>
            <w:tcW w:w="655" w:type="dxa"/>
            <w:tcBorders>
              <w:top w:val="single" w:color="000000" w:sz="6" w:space="0"/>
              <w:left w:val="single" w:color="000000" w:sz="6" w:space="0"/>
              <w:bottom w:val="single" w:color="000000" w:sz="6" w:space="0"/>
              <w:right w:val="single" w:color="000000" w:sz="6" w:space="0"/>
            </w:tcBorders>
          </w:tcPr>
          <w:p w14:paraId="550F0B44">
            <w:pPr>
              <w:pStyle w:val="33"/>
              <w:spacing w:before="188"/>
              <w:ind w:left="318"/>
              <w:rPr>
                <w:rFonts w:ascii="宋体" w:hAnsi="宋体" w:cs="宋体"/>
                <w:color w:val="000000" w:themeColor="text1"/>
                <w:sz w:val="24"/>
                <w14:textFill>
                  <w14:solidFill>
                    <w14:schemeClr w14:val="tx1"/>
                  </w14:solidFill>
                </w14:textFill>
              </w:rPr>
            </w:pPr>
            <w:r>
              <w:rPr>
                <w:rFonts w:ascii="宋体"/>
                <w:b/>
                <w:color w:val="000000" w:themeColor="text1"/>
                <w:w w:val="99"/>
                <w:sz w:val="24"/>
                <w14:textFill>
                  <w14:solidFill>
                    <w14:schemeClr w14:val="tx1"/>
                  </w14:solidFill>
                </w14:textFill>
              </w:rPr>
              <w:t>2</w:t>
            </w:r>
          </w:p>
        </w:tc>
        <w:tc>
          <w:tcPr>
            <w:tcW w:w="1866" w:type="dxa"/>
            <w:tcBorders>
              <w:top w:val="single" w:color="000000" w:sz="6" w:space="0"/>
              <w:left w:val="single" w:color="000000" w:sz="6" w:space="0"/>
              <w:bottom w:val="single" w:color="000000" w:sz="6" w:space="0"/>
              <w:right w:val="single" w:color="000000" w:sz="6" w:space="0"/>
            </w:tcBorders>
          </w:tcPr>
          <w:p w14:paraId="46ACBFD4">
            <w:pPr>
              <w:rPr>
                <w:color w:val="000000" w:themeColor="text1"/>
                <w14:textFill>
                  <w14:solidFill>
                    <w14:schemeClr w14:val="tx1"/>
                  </w14:solidFill>
                </w14:textFill>
              </w:rPr>
            </w:pPr>
          </w:p>
        </w:tc>
        <w:tc>
          <w:tcPr>
            <w:tcW w:w="1519" w:type="dxa"/>
            <w:tcBorders>
              <w:top w:val="single" w:color="000000" w:sz="6" w:space="0"/>
              <w:left w:val="single" w:color="000000" w:sz="6" w:space="0"/>
              <w:bottom w:val="single" w:color="000000" w:sz="6" w:space="0"/>
              <w:right w:val="single" w:color="000000" w:sz="6" w:space="0"/>
            </w:tcBorders>
          </w:tcPr>
          <w:p w14:paraId="63056EB5">
            <w:pPr>
              <w:rPr>
                <w:color w:val="000000" w:themeColor="text1"/>
                <w14:textFill>
                  <w14:solidFill>
                    <w14:schemeClr w14:val="tx1"/>
                  </w14:solidFill>
                </w14:textFill>
              </w:rPr>
            </w:pPr>
          </w:p>
        </w:tc>
        <w:tc>
          <w:tcPr>
            <w:tcW w:w="1741" w:type="dxa"/>
            <w:tcBorders>
              <w:top w:val="single" w:color="000000" w:sz="6" w:space="0"/>
              <w:left w:val="single" w:color="000000" w:sz="6" w:space="0"/>
              <w:bottom w:val="single" w:color="000000" w:sz="6" w:space="0"/>
              <w:right w:val="single" w:color="000000" w:sz="6" w:space="0"/>
            </w:tcBorders>
          </w:tcPr>
          <w:p w14:paraId="150C3E5C">
            <w:pPr>
              <w:rPr>
                <w:color w:val="000000" w:themeColor="text1"/>
                <w14:textFill>
                  <w14:solidFill>
                    <w14:schemeClr w14:val="tx1"/>
                  </w14:solidFill>
                </w14:textFill>
              </w:rPr>
            </w:pPr>
          </w:p>
        </w:tc>
        <w:tc>
          <w:tcPr>
            <w:tcW w:w="1257" w:type="dxa"/>
            <w:tcBorders>
              <w:top w:val="single" w:color="000000" w:sz="6" w:space="0"/>
              <w:left w:val="single" w:color="000000" w:sz="6" w:space="0"/>
              <w:bottom w:val="single" w:color="000000" w:sz="6" w:space="0"/>
              <w:right w:val="single" w:color="000000" w:sz="6" w:space="0"/>
            </w:tcBorders>
          </w:tcPr>
          <w:p w14:paraId="40B47EEB">
            <w:pPr>
              <w:rPr>
                <w:color w:val="000000" w:themeColor="text1"/>
                <w14:textFill>
                  <w14:solidFill>
                    <w14:schemeClr w14:val="tx1"/>
                  </w14:solidFill>
                </w14:textFill>
              </w:rPr>
            </w:pPr>
          </w:p>
        </w:tc>
        <w:tc>
          <w:tcPr>
            <w:tcW w:w="2742" w:type="dxa"/>
            <w:tcBorders>
              <w:top w:val="single" w:color="000000" w:sz="6" w:space="0"/>
              <w:left w:val="single" w:color="000000" w:sz="6" w:space="0"/>
              <w:bottom w:val="single" w:color="000000" w:sz="6" w:space="0"/>
              <w:right w:val="single" w:color="000000" w:sz="6" w:space="0"/>
            </w:tcBorders>
          </w:tcPr>
          <w:p w14:paraId="5D177800">
            <w:pPr>
              <w:rPr>
                <w:color w:val="000000" w:themeColor="text1"/>
                <w14:textFill>
                  <w14:solidFill>
                    <w14:schemeClr w14:val="tx1"/>
                  </w14:solidFill>
                </w14:textFill>
              </w:rPr>
            </w:pPr>
          </w:p>
        </w:tc>
      </w:tr>
      <w:tr w14:paraId="33364D70">
        <w:tblPrEx>
          <w:tblCellMar>
            <w:top w:w="0" w:type="dxa"/>
            <w:left w:w="0" w:type="dxa"/>
            <w:bottom w:w="0" w:type="dxa"/>
            <w:right w:w="0" w:type="dxa"/>
          </w:tblCellMar>
        </w:tblPrEx>
        <w:trPr>
          <w:trHeight w:val="780" w:hRule="exact"/>
        </w:trPr>
        <w:tc>
          <w:tcPr>
            <w:tcW w:w="655" w:type="dxa"/>
            <w:tcBorders>
              <w:top w:val="single" w:color="000000" w:sz="6" w:space="0"/>
              <w:left w:val="single" w:color="000000" w:sz="6" w:space="0"/>
              <w:bottom w:val="single" w:color="000000" w:sz="6" w:space="0"/>
              <w:right w:val="single" w:color="000000" w:sz="6" w:space="0"/>
            </w:tcBorders>
          </w:tcPr>
          <w:p w14:paraId="401450ED">
            <w:pPr>
              <w:pStyle w:val="33"/>
              <w:spacing w:before="188"/>
              <w:ind w:left="318"/>
              <w:rPr>
                <w:rFonts w:ascii="宋体" w:hAnsi="宋体" w:cs="宋体"/>
                <w:color w:val="000000" w:themeColor="text1"/>
                <w:sz w:val="24"/>
                <w14:textFill>
                  <w14:solidFill>
                    <w14:schemeClr w14:val="tx1"/>
                  </w14:solidFill>
                </w14:textFill>
              </w:rPr>
            </w:pPr>
            <w:r>
              <w:rPr>
                <w:rFonts w:ascii="宋体"/>
                <w:b/>
                <w:color w:val="000000" w:themeColor="text1"/>
                <w:w w:val="99"/>
                <w:sz w:val="24"/>
                <w14:textFill>
                  <w14:solidFill>
                    <w14:schemeClr w14:val="tx1"/>
                  </w14:solidFill>
                </w14:textFill>
              </w:rPr>
              <w:t>3</w:t>
            </w:r>
          </w:p>
        </w:tc>
        <w:tc>
          <w:tcPr>
            <w:tcW w:w="1866" w:type="dxa"/>
            <w:tcBorders>
              <w:top w:val="single" w:color="000000" w:sz="6" w:space="0"/>
              <w:left w:val="single" w:color="000000" w:sz="6" w:space="0"/>
              <w:bottom w:val="single" w:color="000000" w:sz="6" w:space="0"/>
              <w:right w:val="single" w:color="000000" w:sz="6" w:space="0"/>
            </w:tcBorders>
          </w:tcPr>
          <w:p w14:paraId="2CFB8906">
            <w:pPr>
              <w:rPr>
                <w:color w:val="000000" w:themeColor="text1"/>
                <w14:textFill>
                  <w14:solidFill>
                    <w14:schemeClr w14:val="tx1"/>
                  </w14:solidFill>
                </w14:textFill>
              </w:rPr>
            </w:pPr>
          </w:p>
        </w:tc>
        <w:tc>
          <w:tcPr>
            <w:tcW w:w="1519" w:type="dxa"/>
            <w:tcBorders>
              <w:top w:val="single" w:color="000000" w:sz="6" w:space="0"/>
              <w:left w:val="single" w:color="000000" w:sz="6" w:space="0"/>
              <w:bottom w:val="single" w:color="000000" w:sz="6" w:space="0"/>
              <w:right w:val="single" w:color="000000" w:sz="6" w:space="0"/>
            </w:tcBorders>
          </w:tcPr>
          <w:p w14:paraId="17E0357B">
            <w:pPr>
              <w:rPr>
                <w:color w:val="000000" w:themeColor="text1"/>
                <w14:textFill>
                  <w14:solidFill>
                    <w14:schemeClr w14:val="tx1"/>
                  </w14:solidFill>
                </w14:textFill>
              </w:rPr>
            </w:pPr>
          </w:p>
        </w:tc>
        <w:tc>
          <w:tcPr>
            <w:tcW w:w="1741" w:type="dxa"/>
            <w:tcBorders>
              <w:top w:val="single" w:color="000000" w:sz="6" w:space="0"/>
              <w:left w:val="single" w:color="000000" w:sz="6" w:space="0"/>
              <w:bottom w:val="single" w:color="000000" w:sz="6" w:space="0"/>
              <w:right w:val="single" w:color="000000" w:sz="6" w:space="0"/>
            </w:tcBorders>
          </w:tcPr>
          <w:p w14:paraId="346FAD47">
            <w:pPr>
              <w:rPr>
                <w:color w:val="000000" w:themeColor="text1"/>
                <w14:textFill>
                  <w14:solidFill>
                    <w14:schemeClr w14:val="tx1"/>
                  </w14:solidFill>
                </w14:textFill>
              </w:rPr>
            </w:pPr>
          </w:p>
        </w:tc>
        <w:tc>
          <w:tcPr>
            <w:tcW w:w="1257" w:type="dxa"/>
            <w:tcBorders>
              <w:top w:val="single" w:color="000000" w:sz="6" w:space="0"/>
              <w:left w:val="single" w:color="000000" w:sz="6" w:space="0"/>
              <w:bottom w:val="single" w:color="000000" w:sz="6" w:space="0"/>
              <w:right w:val="single" w:color="000000" w:sz="6" w:space="0"/>
            </w:tcBorders>
          </w:tcPr>
          <w:p w14:paraId="36EC7FF1">
            <w:pPr>
              <w:rPr>
                <w:color w:val="000000" w:themeColor="text1"/>
                <w14:textFill>
                  <w14:solidFill>
                    <w14:schemeClr w14:val="tx1"/>
                  </w14:solidFill>
                </w14:textFill>
              </w:rPr>
            </w:pPr>
          </w:p>
        </w:tc>
        <w:tc>
          <w:tcPr>
            <w:tcW w:w="2742" w:type="dxa"/>
            <w:tcBorders>
              <w:top w:val="single" w:color="000000" w:sz="6" w:space="0"/>
              <w:left w:val="single" w:color="000000" w:sz="6" w:space="0"/>
              <w:bottom w:val="single" w:color="000000" w:sz="6" w:space="0"/>
              <w:right w:val="single" w:color="000000" w:sz="6" w:space="0"/>
            </w:tcBorders>
          </w:tcPr>
          <w:p w14:paraId="76F5ACD5">
            <w:pPr>
              <w:rPr>
                <w:color w:val="000000" w:themeColor="text1"/>
                <w14:textFill>
                  <w14:solidFill>
                    <w14:schemeClr w14:val="tx1"/>
                  </w14:solidFill>
                </w14:textFill>
              </w:rPr>
            </w:pPr>
          </w:p>
        </w:tc>
      </w:tr>
      <w:tr w14:paraId="4921E0B0">
        <w:tblPrEx>
          <w:tblCellMar>
            <w:top w:w="0" w:type="dxa"/>
            <w:left w:w="0" w:type="dxa"/>
            <w:bottom w:w="0" w:type="dxa"/>
            <w:right w:w="0" w:type="dxa"/>
          </w:tblCellMar>
        </w:tblPrEx>
        <w:trPr>
          <w:trHeight w:val="780" w:hRule="exact"/>
        </w:trPr>
        <w:tc>
          <w:tcPr>
            <w:tcW w:w="655" w:type="dxa"/>
            <w:tcBorders>
              <w:top w:val="single" w:color="000000" w:sz="6" w:space="0"/>
              <w:left w:val="single" w:color="000000" w:sz="6" w:space="0"/>
              <w:bottom w:val="single" w:color="000000" w:sz="6" w:space="0"/>
              <w:right w:val="single" w:color="000000" w:sz="6" w:space="0"/>
            </w:tcBorders>
          </w:tcPr>
          <w:p w14:paraId="18DD4539">
            <w:pPr>
              <w:pStyle w:val="33"/>
              <w:spacing w:before="188"/>
              <w:ind w:left="318"/>
              <w:rPr>
                <w:rFonts w:ascii="宋体" w:hAnsi="宋体" w:cs="宋体"/>
                <w:color w:val="000000" w:themeColor="text1"/>
                <w:sz w:val="24"/>
                <w14:textFill>
                  <w14:solidFill>
                    <w14:schemeClr w14:val="tx1"/>
                  </w14:solidFill>
                </w14:textFill>
              </w:rPr>
            </w:pPr>
            <w:r>
              <w:rPr>
                <w:rFonts w:ascii="宋体"/>
                <w:b/>
                <w:color w:val="000000" w:themeColor="text1"/>
                <w:w w:val="99"/>
                <w:sz w:val="24"/>
                <w14:textFill>
                  <w14:solidFill>
                    <w14:schemeClr w14:val="tx1"/>
                  </w14:solidFill>
                </w14:textFill>
              </w:rPr>
              <w:t>4</w:t>
            </w:r>
          </w:p>
        </w:tc>
        <w:tc>
          <w:tcPr>
            <w:tcW w:w="1866" w:type="dxa"/>
            <w:tcBorders>
              <w:top w:val="single" w:color="000000" w:sz="6" w:space="0"/>
              <w:left w:val="single" w:color="000000" w:sz="6" w:space="0"/>
              <w:bottom w:val="single" w:color="000000" w:sz="6" w:space="0"/>
              <w:right w:val="single" w:color="000000" w:sz="6" w:space="0"/>
            </w:tcBorders>
          </w:tcPr>
          <w:p w14:paraId="2C4B8C93">
            <w:pPr>
              <w:rPr>
                <w:color w:val="000000" w:themeColor="text1"/>
                <w14:textFill>
                  <w14:solidFill>
                    <w14:schemeClr w14:val="tx1"/>
                  </w14:solidFill>
                </w14:textFill>
              </w:rPr>
            </w:pPr>
          </w:p>
        </w:tc>
        <w:tc>
          <w:tcPr>
            <w:tcW w:w="1519" w:type="dxa"/>
            <w:tcBorders>
              <w:top w:val="single" w:color="000000" w:sz="6" w:space="0"/>
              <w:left w:val="single" w:color="000000" w:sz="6" w:space="0"/>
              <w:bottom w:val="single" w:color="000000" w:sz="6" w:space="0"/>
              <w:right w:val="single" w:color="000000" w:sz="6" w:space="0"/>
            </w:tcBorders>
          </w:tcPr>
          <w:p w14:paraId="0E4D262C">
            <w:pPr>
              <w:rPr>
                <w:color w:val="000000" w:themeColor="text1"/>
                <w14:textFill>
                  <w14:solidFill>
                    <w14:schemeClr w14:val="tx1"/>
                  </w14:solidFill>
                </w14:textFill>
              </w:rPr>
            </w:pPr>
          </w:p>
        </w:tc>
        <w:tc>
          <w:tcPr>
            <w:tcW w:w="1741" w:type="dxa"/>
            <w:tcBorders>
              <w:top w:val="single" w:color="000000" w:sz="6" w:space="0"/>
              <w:left w:val="single" w:color="000000" w:sz="6" w:space="0"/>
              <w:bottom w:val="single" w:color="000000" w:sz="6" w:space="0"/>
              <w:right w:val="single" w:color="000000" w:sz="6" w:space="0"/>
            </w:tcBorders>
          </w:tcPr>
          <w:p w14:paraId="4EE96AFF">
            <w:pPr>
              <w:rPr>
                <w:color w:val="000000" w:themeColor="text1"/>
                <w14:textFill>
                  <w14:solidFill>
                    <w14:schemeClr w14:val="tx1"/>
                  </w14:solidFill>
                </w14:textFill>
              </w:rPr>
            </w:pPr>
          </w:p>
        </w:tc>
        <w:tc>
          <w:tcPr>
            <w:tcW w:w="1257" w:type="dxa"/>
            <w:tcBorders>
              <w:top w:val="single" w:color="000000" w:sz="6" w:space="0"/>
              <w:left w:val="single" w:color="000000" w:sz="6" w:space="0"/>
              <w:bottom w:val="single" w:color="000000" w:sz="6" w:space="0"/>
              <w:right w:val="single" w:color="000000" w:sz="6" w:space="0"/>
            </w:tcBorders>
          </w:tcPr>
          <w:p w14:paraId="1B20FFE7">
            <w:pPr>
              <w:rPr>
                <w:color w:val="000000" w:themeColor="text1"/>
                <w14:textFill>
                  <w14:solidFill>
                    <w14:schemeClr w14:val="tx1"/>
                  </w14:solidFill>
                </w14:textFill>
              </w:rPr>
            </w:pPr>
          </w:p>
        </w:tc>
        <w:tc>
          <w:tcPr>
            <w:tcW w:w="2742" w:type="dxa"/>
            <w:tcBorders>
              <w:top w:val="single" w:color="000000" w:sz="6" w:space="0"/>
              <w:left w:val="single" w:color="000000" w:sz="6" w:space="0"/>
              <w:bottom w:val="single" w:color="000000" w:sz="6" w:space="0"/>
              <w:right w:val="single" w:color="000000" w:sz="6" w:space="0"/>
            </w:tcBorders>
          </w:tcPr>
          <w:p w14:paraId="46F82B3B">
            <w:pPr>
              <w:rPr>
                <w:color w:val="000000" w:themeColor="text1"/>
                <w14:textFill>
                  <w14:solidFill>
                    <w14:schemeClr w14:val="tx1"/>
                  </w14:solidFill>
                </w14:textFill>
              </w:rPr>
            </w:pPr>
          </w:p>
        </w:tc>
      </w:tr>
      <w:tr w14:paraId="3103C1E3">
        <w:tblPrEx>
          <w:tblCellMar>
            <w:top w:w="0" w:type="dxa"/>
            <w:left w:w="0" w:type="dxa"/>
            <w:bottom w:w="0" w:type="dxa"/>
            <w:right w:w="0" w:type="dxa"/>
          </w:tblCellMar>
        </w:tblPrEx>
        <w:trPr>
          <w:trHeight w:val="780" w:hRule="exact"/>
        </w:trPr>
        <w:tc>
          <w:tcPr>
            <w:tcW w:w="655" w:type="dxa"/>
            <w:tcBorders>
              <w:top w:val="single" w:color="000000" w:sz="6" w:space="0"/>
              <w:left w:val="single" w:color="000000" w:sz="6" w:space="0"/>
              <w:bottom w:val="single" w:color="000000" w:sz="6" w:space="0"/>
              <w:right w:val="single" w:color="000000" w:sz="6" w:space="0"/>
            </w:tcBorders>
          </w:tcPr>
          <w:p w14:paraId="444A1FA0">
            <w:pPr>
              <w:pStyle w:val="33"/>
              <w:spacing w:before="188"/>
              <w:ind w:left="318"/>
              <w:rPr>
                <w:rFonts w:ascii="宋体" w:hAnsi="宋体" w:cs="宋体"/>
                <w:color w:val="000000" w:themeColor="text1"/>
                <w:sz w:val="24"/>
                <w14:textFill>
                  <w14:solidFill>
                    <w14:schemeClr w14:val="tx1"/>
                  </w14:solidFill>
                </w14:textFill>
              </w:rPr>
            </w:pPr>
            <w:r>
              <w:rPr>
                <w:rFonts w:ascii="宋体"/>
                <w:b/>
                <w:color w:val="000000" w:themeColor="text1"/>
                <w:w w:val="99"/>
                <w:sz w:val="24"/>
                <w14:textFill>
                  <w14:solidFill>
                    <w14:schemeClr w14:val="tx1"/>
                  </w14:solidFill>
                </w14:textFill>
              </w:rPr>
              <w:t>5</w:t>
            </w:r>
          </w:p>
        </w:tc>
        <w:tc>
          <w:tcPr>
            <w:tcW w:w="1866" w:type="dxa"/>
            <w:tcBorders>
              <w:top w:val="single" w:color="000000" w:sz="6" w:space="0"/>
              <w:left w:val="single" w:color="000000" w:sz="6" w:space="0"/>
              <w:bottom w:val="single" w:color="000000" w:sz="6" w:space="0"/>
              <w:right w:val="single" w:color="000000" w:sz="6" w:space="0"/>
            </w:tcBorders>
          </w:tcPr>
          <w:p w14:paraId="42C00E99">
            <w:pPr>
              <w:rPr>
                <w:color w:val="000000" w:themeColor="text1"/>
                <w14:textFill>
                  <w14:solidFill>
                    <w14:schemeClr w14:val="tx1"/>
                  </w14:solidFill>
                </w14:textFill>
              </w:rPr>
            </w:pPr>
          </w:p>
        </w:tc>
        <w:tc>
          <w:tcPr>
            <w:tcW w:w="1519" w:type="dxa"/>
            <w:tcBorders>
              <w:top w:val="single" w:color="000000" w:sz="6" w:space="0"/>
              <w:left w:val="single" w:color="000000" w:sz="6" w:space="0"/>
              <w:bottom w:val="single" w:color="000000" w:sz="6" w:space="0"/>
              <w:right w:val="single" w:color="000000" w:sz="6" w:space="0"/>
            </w:tcBorders>
          </w:tcPr>
          <w:p w14:paraId="3D927C12">
            <w:pPr>
              <w:rPr>
                <w:color w:val="000000" w:themeColor="text1"/>
                <w14:textFill>
                  <w14:solidFill>
                    <w14:schemeClr w14:val="tx1"/>
                  </w14:solidFill>
                </w14:textFill>
              </w:rPr>
            </w:pPr>
          </w:p>
        </w:tc>
        <w:tc>
          <w:tcPr>
            <w:tcW w:w="1741" w:type="dxa"/>
            <w:tcBorders>
              <w:top w:val="single" w:color="000000" w:sz="6" w:space="0"/>
              <w:left w:val="single" w:color="000000" w:sz="6" w:space="0"/>
              <w:bottom w:val="single" w:color="000000" w:sz="6" w:space="0"/>
              <w:right w:val="single" w:color="000000" w:sz="6" w:space="0"/>
            </w:tcBorders>
          </w:tcPr>
          <w:p w14:paraId="1D31E195">
            <w:pPr>
              <w:rPr>
                <w:color w:val="000000" w:themeColor="text1"/>
                <w14:textFill>
                  <w14:solidFill>
                    <w14:schemeClr w14:val="tx1"/>
                  </w14:solidFill>
                </w14:textFill>
              </w:rPr>
            </w:pPr>
          </w:p>
        </w:tc>
        <w:tc>
          <w:tcPr>
            <w:tcW w:w="1257" w:type="dxa"/>
            <w:tcBorders>
              <w:top w:val="single" w:color="000000" w:sz="6" w:space="0"/>
              <w:left w:val="single" w:color="000000" w:sz="6" w:space="0"/>
              <w:bottom w:val="single" w:color="000000" w:sz="6" w:space="0"/>
              <w:right w:val="single" w:color="000000" w:sz="6" w:space="0"/>
            </w:tcBorders>
          </w:tcPr>
          <w:p w14:paraId="79C4D74F">
            <w:pPr>
              <w:rPr>
                <w:color w:val="000000" w:themeColor="text1"/>
                <w14:textFill>
                  <w14:solidFill>
                    <w14:schemeClr w14:val="tx1"/>
                  </w14:solidFill>
                </w14:textFill>
              </w:rPr>
            </w:pPr>
          </w:p>
        </w:tc>
        <w:tc>
          <w:tcPr>
            <w:tcW w:w="2742" w:type="dxa"/>
            <w:tcBorders>
              <w:top w:val="single" w:color="000000" w:sz="6" w:space="0"/>
              <w:left w:val="single" w:color="000000" w:sz="6" w:space="0"/>
              <w:bottom w:val="single" w:color="000000" w:sz="6" w:space="0"/>
              <w:right w:val="single" w:color="000000" w:sz="6" w:space="0"/>
            </w:tcBorders>
          </w:tcPr>
          <w:p w14:paraId="1DD2C441">
            <w:pPr>
              <w:rPr>
                <w:color w:val="000000" w:themeColor="text1"/>
                <w14:textFill>
                  <w14:solidFill>
                    <w14:schemeClr w14:val="tx1"/>
                  </w14:solidFill>
                </w14:textFill>
              </w:rPr>
            </w:pPr>
          </w:p>
        </w:tc>
      </w:tr>
      <w:tr w14:paraId="09CDDF86">
        <w:tblPrEx>
          <w:tblCellMar>
            <w:top w:w="0" w:type="dxa"/>
            <w:left w:w="0" w:type="dxa"/>
            <w:bottom w:w="0" w:type="dxa"/>
            <w:right w:w="0" w:type="dxa"/>
          </w:tblCellMar>
        </w:tblPrEx>
        <w:trPr>
          <w:trHeight w:val="780" w:hRule="exact"/>
        </w:trPr>
        <w:tc>
          <w:tcPr>
            <w:tcW w:w="655" w:type="dxa"/>
            <w:tcBorders>
              <w:top w:val="single" w:color="000000" w:sz="6" w:space="0"/>
              <w:left w:val="single" w:color="000000" w:sz="6" w:space="0"/>
              <w:bottom w:val="single" w:color="000000" w:sz="6" w:space="0"/>
              <w:right w:val="single" w:color="000000" w:sz="6" w:space="0"/>
            </w:tcBorders>
          </w:tcPr>
          <w:p w14:paraId="5FF0D36E">
            <w:pPr>
              <w:pStyle w:val="33"/>
              <w:spacing w:before="188"/>
              <w:ind w:left="198"/>
              <w:rPr>
                <w:rFonts w:ascii="宋体" w:hAnsi="宋体" w:cs="宋体"/>
                <w:color w:val="000000" w:themeColor="text1"/>
                <w:sz w:val="24"/>
                <w14:textFill>
                  <w14:solidFill>
                    <w14:schemeClr w14:val="tx1"/>
                  </w14:solidFill>
                </w14:textFill>
              </w:rPr>
            </w:pPr>
            <w:r>
              <w:rPr>
                <w:rFonts w:ascii="宋体" w:hAnsi="宋体" w:cs="宋体"/>
                <w:b/>
                <w:bCs/>
                <w:color w:val="000000" w:themeColor="text1"/>
                <w:w w:val="99"/>
                <w:sz w:val="24"/>
                <w14:textFill>
                  <w14:solidFill>
                    <w14:schemeClr w14:val="tx1"/>
                  </w14:solidFill>
                </w14:textFill>
              </w:rPr>
              <w:t>…</w:t>
            </w:r>
          </w:p>
        </w:tc>
        <w:tc>
          <w:tcPr>
            <w:tcW w:w="1866" w:type="dxa"/>
            <w:tcBorders>
              <w:top w:val="single" w:color="000000" w:sz="6" w:space="0"/>
              <w:left w:val="single" w:color="000000" w:sz="6" w:space="0"/>
              <w:bottom w:val="single" w:color="000000" w:sz="6" w:space="0"/>
              <w:right w:val="single" w:color="000000" w:sz="6" w:space="0"/>
            </w:tcBorders>
          </w:tcPr>
          <w:p w14:paraId="6A385182">
            <w:pPr>
              <w:rPr>
                <w:color w:val="000000" w:themeColor="text1"/>
                <w14:textFill>
                  <w14:solidFill>
                    <w14:schemeClr w14:val="tx1"/>
                  </w14:solidFill>
                </w14:textFill>
              </w:rPr>
            </w:pPr>
          </w:p>
        </w:tc>
        <w:tc>
          <w:tcPr>
            <w:tcW w:w="1519" w:type="dxa"/>
            <w:tcBorders>
              <w:top w:val="single" w:color="000000" w:sz="6" w:space="0"/>
              <w:left w:val="single" w:color="000000" w:sz="6" w:space="0"/>
              <w:bottom w:val="single" w:color="000000" w:sz="6" w:space="0"/>
              <w:right w:val="single" w:color="000000" w:sz="6" w:space="0"/>
            </w:tcBorders>
          </w:tcPr>
          <w:p w14:paraId="33005E5B">
            <w:pPr>
              <w:rPr>
                <w:color w:val="000000" w:themeColor="text1"/>
                <w14:textFill>
                  <w14:solidFill>
                    <w14:schemeClr w14:val="tx1"/>
                  </w14:solidFill>
                </w14:textFill>
              </w:rPr>
            </w:pPr>
          </w:p>
        </w:tc>
        <w:tc>
          <w:tcPr>
            <w:tcW w:w="1741" w:type="dxa"/>
            <w:tcBorders>
              <w:top w:val="single" w:color="000000" w:sz="6" w:space="0"/>
              <w:left w:val="single" w:color="000000" w:sz="6" w:space="0"/>
              <w:bottom w:val="single" w:color="000000" w:sz="6" w:space="0"/>
              <w:right w:val="single" w:color="000000" w:sz="6" w:space="0"/>
            </w:tcBorders>
          </w:tcPr>
          <w:p w14:paraId="6634F0DE">
            <w:pPr>
              <w:rPr>
                <w:color w:val="000000" w:themeColor="text1"/>
                <w14:textFill>
                  <w14:solidFill>
                    <w14:schemeClr w14:val="tx1"/>
                  </w14:solidFill>
                </w14:textFill>
              </w:rPr>
            </w:pPr>
          </w:p>
        </w:tc>
        <w:tc>
          <w:tcPr>
            <w:tcW w:w="1257" w:type="dxa"/>
            <w:tcBorders>
              <w:top w:val="single" w:color="000000" w:sz="6" w:space="0"/>
              <w:left w:val="single" w:color="000000" w:sz="6" w:space="0"/>
              <w:bottom w:val="single" w:color="000000" w:sz="6" w:space="0"/>
              <w:right w:val="single" w:color="000000" w:sz="6" w:space="0"/>
            </w:tcBorders>
          </w:tcPr>
          <w:p w14:paraId="0AD95C87">
            <w:pPr>
              <w:rPr>
                <w:color w:val="000000" w:themeColor="text1"/>
                <w14:textFill>
                  <w14:solidFill>
                    <w14:schemeClr w14:val="tx1"/>
                  </w14:solidFill>
                </w14:textFill>
              </w:rPr>
            </w:pPr>
          </w:p>
        </w:tc>
        <w:tc>
          <w:tcPr>
            <w:tcW w:w="2742" w:type="dxa"/>
            <w:tcBorders>
              <w:top w:val="single" w:color="000000" w:sz="6" w:space="0"/>
              <w:left w:val="single" w:color="000000" w:sz="6" w:space="0"/>
              <w:bottom w:val="single" w:color="000000" w:sz="6" w:space="0"/>
              <w:right w:val="single" w:color="000000" w:sz="6" w:space="0"/>
            </w:tcBorders>
          </w:tcPr>
          <w:p w14:paraId="09B824B4">
            <w:pPr>
              <w:rPr>
                <w:color w:val="000000" w:themeColor="text1"/>
                <w14:textFill>
                  <w14:solidFill>
                    <w14:schemeClr w14:val="tx1"/>
                  </w14:solidFill>
                </w14:textFill>
              </w:rPr>
            </w:pPr>
          </w:p>
        </w:tc>
      </w:tr>
      <w:tr w14:paraId="5A5A7ACE">
        <w:tblPrEx>
          <w:tblCellMar>
            <w:top w:w="0" w:type="dxa"/>
            <w:left w:w="0" w:type="dxa"/>
            <w:bottom w:w="0" w:type="dxa"/>
            <w:right w:w="0" w:type="dxa"/>
          </w:tblCellMar>
        </w:tblPrEx>
        <w:trPr>
          <w:trHeight w:val="780" w:hRule="exact"/>
        </w:trPr>
        <w:tc>
          <w:tcPr>
            <w:tcW w:w="655" w:type="dxa"/>
            <w:tcBorders>
              <w:top w:val="single" w:color="000000" w:sz="6" w:space="0"/>
              <w:left w:val="single" w:color="000000" w:sz="6" w:space="0"/>
              <w:bottom w:val="single" w:color="000000" w:sz="6" w:space="0"/>
              <w:right w:val="single" w:color="000000" w:sz="6" w:space="0"/>
            </w:tcBorders>
          </w:tcPr>
          <w:p w14:paraId="09B4AF55">
            <w:pPr>
              <w:rPr>
                <w:color w:val="000000" w:themeColor="text1"/>
                <w14:textFill>
                  <w14:solidFill>
                    <w14:schemeClr w14:val="tx1"/>
                  </w14:solidFill>
                </w14:textFill>
              </w:rPr>
            </w:pPr>
          </w:p>
        </w:tc>
        <w:tc>
          <w:tcPr>
            <w:tcW w:w="1866" w:type="dxa"/>
            <w:tcBorders>
              <w:top w:val="single" w:color="000000" w:sz="6" w:space="0"/>
              <w:left w:val="single" w:color="000000" w:sz="6" w:space="0"/>
              <w:bottom w:val="single" w:color="000000" w:sz="6" w:space="0"/>
              <w:right w:val="single" w:color="000000" w:sz="6" w:space="0"/>
            </w:tcBorders>
          </w:tcPr>
          <w:p w14:paraId="4E059E3A">
            <w:pPr>
              <w:rPr>
                <w:color w:val="000000" w:themeColor="text1"/>
                <w14:textFill>
                  <w14:solidFill>
                    <w14:schemeClr w14:val="tx1"/>
                  </w14:solidFill>
                </w14:textFill>
              </w:rPr>
            </w:pPr>
          </w:p>
        </w:tc>
        <w:tc>
          <w:tcPr>
            <w:tcW w:w="1519" w:type="dxa"/>
            <w:tcBorders>
              <w:top w:val="single" w:color="000000" w:sz="6" w:space="0"/>
              <w:left w:val="single" w:color="000000" w:sz="6" w:space="0"/>
              <w:bottom w:val="single" w:color="000000" w:sz="6" w:space="0"/>
              <w:right w:val="single" w:color="000000" w:sz="6" w:space="0"/>
            </w:tcBorders>
          </w:tcPr>
          <w:p w14:paraId="49598529">
            <w:pPr>
              <w:rPr>
                <w:color w:val="000000" w:themeColor="text1"/>
                <w14:textFill>
                  <w14:solidFill>
                    <w14:schemeClr w14:val="tx1"/>
                  </w14:solidFill>
                </w14:textFill>
              </w:rPr>
            </w:pPr>
          </w:p>
        </w:tc>
        <w:tc>
          <w:tcPr>
            <w:tcW w:w="1741" w:type="dxa"/>
            <w:tcBorders>
              <w:top w:val="single" w:color="000000" w:sz="6" w:space="0"/>
              <w:left w:val="single" w:color="000000" w:sz="6" w:space="0"/>
              <w:bottom w:val="single" w:color="000000" w:sz="6" w:space="0"/>
              <w:right w:val="single" w:color="000000" w:sz="6" w:space="0"/>
            </w:tcBorders>
          </w:tcPr>
          <w:p w14:paraId="378FFDE8">
            <w:pPr>
              <w:rPr>
                <w:color w:val="000000" w:themeColor="text1"/>
                <w14:textFill>
                  <w14:solidFill>
                    <w14:schemeClr w14:val="tx1"/>
                  </w14:solidFill>
                </w14:textFill>
              </w:rPr>
            </w:pPr>
          </w:p>
        </w:tc>
        <w:tc>
          <w:tcPr>
            <w:tcW w:w="1257" w:type="dxa"/>
            <w:tcBorders>
              <w:top w:val="single" w:color="000000" w:sz="6" w:space="0"/>
              <w:left w:val="single" w:color="000000" w:sz="6" w:space="0"/>
              <w:bottom w:val="single" w:color="000000" w:sz="6" w:space="0"/>
              <w:right w:val="single" w:color="000000" w:sz="6" w:space="0"/>
            </w:tcBorders>
          </w:tcPr>
          <w:p w14:paraId="3C9E0A47">
            <w:pPr>
              <w:rPr>
                <w:color w:val="000000" w:themeColor="text1"/>
                <w14:textFill>
                  <w14:solidFill>
                    <w14:schemeClr w14:val="tx1"/>
                  </w14:solidFill>
                </w14:textFill>
              </w:rPr>
            </w:pPr>
          </w:p>
        </w:tc>
        <w:tc>
          <w:tcPr>
            <w:tcW w:w="2742" w:type="dxa"/>
            <w:tcBorders>
              <w:top w:val="single" w:color="000000" w:sz="6" w:space="0"/>
              <w:left w:val="single" w:color="000000" w:sz="6" w:space="0"/>
              <w:bottom w:val="single" w:color="000000" w:sz="6" w:space="0"/>
              <w:right w:val="single" w:color="000000" w:sz="6" w:space="0"/>
            </w:tcBorders>
          </w:tcPr>
          <w:p w14:paraId="4C9640D6">
            <w:pPr>
              <w:rPr>
                <w:color w:val="000000" w:themeColor="text1"/>
                <w14:textFill>
                  <w14:solidFill>
                    <w14:schemeClr w14:val="tx1"/>
                  </w14:solidFill>
                </w14:textFill>
              </w:rPr>
            </w:pPr>
          </w:p>
        </w:tc>
      </w:tr>
      <w:tr w14:paraId="19DFB366">
        <w:tblPrEx>
          <w:tblCellMar>
            <w:top w:w="0" w:type="dxa"/>
            <w:left w:w="0" w:type="dxa"/>
            <w:bottom w:w="0" w:type="dxa"/>
            <w:right w:w="0" w:type="dxa"/>
          </w:tblCellMar>
        </w:tblPrEx>
        <w:trPr>
          <w:trHeight w:val="795" w:hRule="exact"/>
        </w:trPr>
        <w:tc>
          <w:tcPr>
            <w:tcW w:w="655" w:type="dxa"/>
            <w:tcBorders>
              <w:top w:val="single" w:color="000000" w:sz="6" w:space="0"/>
              <w:left w:val="single" w:color="000000" w:sz="6" w:space="0"/>
              <w:bottom w:val="single" w:color="000000" w:sz="6" w:space="0"/>
              <w:right w:val="single" w:color="000000" w:sz="6" w:space="0"/>
            </w:tcBorders>
          </w:tcPr>
          <w:p w14:paraId="6FB8CD50">
            <w:pPr>
              <w:rPr>
                <w:color w:val="000000" w:themeColor="text1"/>
                <w14:textFill>
                  <w14:solidFill>
                    <w14:schemeClr w14:val="tx1"/>
                  </w14:solidFill>
                </w14:textFill>
              </w:rPr>
            </w:pPr>
          </w:p>
        </w:tc>
        <w:tc>
          <w:tcPr>
            <w:tcW w:w="1866" w:type="dxa"/>
            <w:tcBorders>
              <w:top w:val="single" w:color="000000" w:sz="6" w:space="0"/>
              <w:left w:val="single" w:color="000000" w:sz="6" w:space="0"/>
              <w:bottom w:val="single" w:color="000000" w:sz="6" w:space="0"/>
              <w:right w:val="single" w:color="000000" w:sz="6" w:space="0"/>
            </w:tcBorders>
          </w:tcPr>
          <w:p w14:paraId="306DB790">
            <w:pPr>
              <w:rPr>
                <w:color w:val="000000" w:themeColor="text1"/>
                <w14:textFill>
                  <w14:solidFill>
                    <w14:schemeClr w14:val="tx1"/>
                  </w14:solidFill>
                </w14:textFill>
              </w:rPr>
            </w:pPr>
          </w:p>
        </w:tc>
        <w:tc>
          <w:tcPr>
            <w:tcW w:w="1519" w:type="dxa"/>
            <w:tcBorders>
              <w:top w:val="single" w:color="000000" w:sz="6" w:space="0"/>
              <w:left w:val="single" w:color="000000" w:sz="6" w:space="0"/>
              <w:bottom w:val="single" w:color="000000" w:sz="6" w:space="0"/>
              <w:right w:val="single" w:color="000000" w:sz="6" w:space="0"/>
            </w:tcBorders>
          </w:tcPr>
          <w:p w14:paraId="27B4D192">
            <w:pPr>
              <w:rPr>
                <w:color w:val="000000" w:themeColor="text1"/>
                <w14:textFill>
                  <w14:solidFill>
                    <w14:schemeClr w14:val="tx1"/>
                  </w14:solidFill>
                </w14:textFill>
              </w:rPr>
            </w:pPr>
          </w:p>
        </w:tc>
        <w:tc>
          <w:tcPr>
            <w:tcW w:w="1741" w:type="dxa"/>
            <w:tcBorders>
              <w:top w:val="single" w:color="000000" w:sz="6" w:space="0"/>
              <w:left w:val="single" w:color="000000" w:sz="6" w:space="0"/>
              <w:bottom w:val="single" w:color="000000" w:sz="6" w:space="0"/>
              <w:right w:val="single" w:color="000000" w:sz="6" w:space="0"/>
            </w:tcBorders>
          </w:tcPr>
          <w:p w14:paraId="7C1D6E2E">
            <w:pPr>
              <w:rPr>
                <w:color w:val="000000" w:themeColor="text1"/>
                <w14:textFill>
                  <w14:solidFill>
                    <w14:schemeClr w14:val="tx1"/>
                  </w14:solidFill>
                </w14:textFill>
              </w:rPr>
            </w:pPr>
          </w:p>
        </w:tc>
        <w:tc>
          <w:tcPr>
            <w:tcW w:w="1257" w:type="dxa"/>
            <w:tcBorders>
              <w:top w:val="single" w:color="000000" w:sz="6" w:space="0"/>
              <w:left w:val="single" w:color="000000" w:sz="6" w:space="0"/>
              <w:bottom w:val="single" w:color="000000" w:sz="6" w:space="0"/>
              <w:right w:val="single" w:color="000000" w:sz="6" w:space="0"/>
            </w:tcBorders>
          </w:tcPr>
          <w:p w14:paraId="6F2034E3">
            <w:pPr>
              <w:rPr>
                <w:color w:val="000000" w:themeColor="text1"/>
                <w14:textFill>
                  <w14:solidFill>
                    <w14:schemeClr w14:val="tx1"/>
                  </w14:solidFill>
                </w14:textFill>
              </w:rPr>
            </w:pPr>
          </w:p>
        </w:tc>
        <w:tc>
          <w:tcPr>
            <w:tcW w:w="2742" w:type="dxa"/>
            <w:tcBorders>
              <w:top w:val="single" w:color="000000" w:sz="6" w:space="0"/>
              <w:left w:val="single" w:color="000000" w:sz="6" w:space="0"/>
              <w:bottom w:val="single" w:color="000000" w:sz="6" w:space="0"/>
              <w:right w:val="single" w:color="000000" w:sz="6" w:space="0"/>
            </w:tcBorders>
          </w:tcPr>
          <w:p w14:paraId="1CE411C9">
            <w:pPr>
              <w:rPr>
                <w:color w:val="000000" w:themeColor="text1"/>
                <w14:textFill>
                  <w14:solidFill>
                    <w14:schemeClr w14:val="tx1"/>
                  </w14:solidFill>
                </w14:textFill>
              </w:rPr>
            </w:pPr>
          </w:p>
        </w:tc>
      </w:tr>
    </w:tbl>
    <w:p w14:paraId="2AC62D02">
      <w:pPr>
        <w:pStyle w:val="2"/>
        <w:spacing w:line="460" w:lineRule="exact"/>
        <w:ind w:left="629" w:hanging="482"/>
        <w:rPr>
          <w:color w:val="000000" w:themeColor="text1"/>
          <w14:textFill>
            <w14:solidFill>
              <w14:schemeClr w14:val="tx1"/>
            </w14:solidFill>
          </w14:textFill>
        </w:rPr>
      </w:pPr>
      <w:r>
        <w:rPr>
          <w:color w:val="000000" w:themeColor="text1"/>
          <w14:textFill>
            <w14:solidFill>
              <w14:schemeClr w14:val="tx1"/>
            </w14:solidFill>
          </w14:textFill>
        </w:rPr>
        <w:t>注：</w:t>
      </w:r>
    </w:p>
    <w:p w14:paraId="1A4E1427">
      <w:pPr>
        <w:pStyle w:val="2"/>
        <w:spacing w:before="26" w:line="307" w:lineRule="auto"/>
        <w:ind w:right="117" w:firstLine="480"/>
        <w:rPr>
          <w:color w:val="000000" w:themeColor="text1"/>
          <w:spacing w:val="-3"/>
          <w14:textFill>
            <w14:solidFill>
              <w14:schemeClr w14:val="tx1"/>
            </w14:solidFill>
          </w14:textFill>
        </w:rPr>
      </w:pPr>
      <w:r>
        <w:rPr>
          <w:color w:val="000000" w:themeColor="text1"/>
          <w:spacing w:val="-3"/>
          <w14:textFill>
            <w14:solidFill>
              <w14:schemeClr w14:val="tx1"/>
            </w14:solidFill>
          </w14:textFill>
        </w:rPr>
        <w:t>1、</w:t>
      </w:r>
      <w:r>
        <w:rPr>
          <w:rFonts w:hint="eastAsia"/>
          <w:color w:val="000000" w:themeColor="text1"/>
          <w:spacing w:val="-3"/>
          <w14:textFill>
            <w14:solidFill>
              <w14:schemeClr w14:val="tx1"/>
            </w14:solidFill>
          </w14:textFill>
        </w:rPr>
        <w:t>供应商</w:t>
      </w:r>
      <w:r>
        <w:rPr>
          <w:color w:val="000000" w:themeColor="text1"/>
          <w:spacing w:val="-3"/>
          <w14:textFill>
            <w14:solidFill>
              <w14:schemeClr w14:val="tx1"/>
            </w14:solidFill>
          </w14:textFill>
        </w:rPr>
        <w:t xml:space="preserve">应如实列出以上情况，如有隐瞒，一经查实将导致其报价申请被拒绝。 </w:t>
      </w:r>
    </w:p>
    <w:p w14:paraId="14B40AC5">
      <w:pPr>
        <w:pStyle w:val="2"/>
        <w:spacing w:before="26" w:line="307" w:lineRule="auto"/>
        <w:ind w:right="117" w:firstLine="480"/>
        <w:rPr>
          <w:rFonts w:ascii="宋体" w:hAnsi="宋体" w:cs="宋体"/>
          <w:color w:val="000000" w:themeColor="text1"/>
          <w14:textFill>
            <w14:solidFill>
              <w14:schemeClr w14:val="tx1"/>
            </w14:solidFill>
          </w14:textFill>
        </w:rPr>
      </w:pPr>
      <w:r>
        <w:rPr>
          <w:color w:val="000000" w:themeColor="text1"/>
          <w:spacing w:val="-3"/>
          <w14:textFill>
            <w14:solidFill>
              <w14:schemeClr w14:val="tx1"/>
            </w14:solidFill>
          </w14:textFill>
        </w:rPr>
        <w:t>2、</w:t>
      </w:r>
      <w:r>
        <w:rPr>
          <w:rFonts w:hint="eastAsia"/>
          <w:color w:val="000000" w:themeColor="text1"/>
          <w:spacing w:val="-3"/>
          <w14:textFill>
            <w14:solidFill>
              <w14:schemeClr w14:val="tx1"/>
            </w14:solidFill>
          </w14:textFill>
        </w:rPr>
        <w:t>供应商</w:t>
      </w:r>
      <w:r>
        <w:rPr>
          <w:rFonts w:hint="eastAsia" w:ascii="宋体" w:hAnsi="宋体" w:cs="宋体"/>
          <w:color w:val="000000" w:themeColor="text1"/>
          <w14:textFill>
            <w14:solidFill>
              <w14:schemeClr w14:val="tx1"/>
            </w14:solidFill>
          </w14:textFill>
        </w:rPr>
        <w:t>提供20</w:t>
      </w:r>
      <w:r>
        <w:rPr>
          <w:rFonts w:hint="eastAsia" w:ascii="宋体" w:hAnsi="宋体" w:cs="宋体"/>
          <w:color w:val="000000" w:themeColor="text1"/>
          <w:lang w:val="en-US" w:eastAsia="zh-CN"/>
          <w14:textFill>
            <w14:solidFill>
              <w14:schemeClr w14:val="tx1"/>
            </w14:solidFill>
          </w14:textFill>
        </w:rPr>
        <w:t>21</w:t>
      </w:r>
      <w:r>
        <w:rPr>
          <w:rFonts w:hint="eastAsia" w:ascii="宋体" w:hAnsi="宋体" w:cs="宋体"/>
          <w:color w:val="000000" w:themeColor="text1"/>
          <w14:textFill>
            <w14:solidFill>
              <w14:schemeClr w14:val="tx1"/>
            </w14:solidFill>
          </w14:textFill>
        </w:rPr>
        <w:t>年</w:t>
      </w:r>
      <w:r>
        <w:rPr>
          <w:rFonts w:hint="eastAsia" w:ascii="宋体" w:hAnsi="宋体" w:cs="宋体"/>
          <w:color w:val="000000" w:themeColor="text1"/>
          <w:lang w:val="en-US" w:eastAsia="zh-CN"/>
          <w14:textFill>
            <w14:solidFill>
              <w14:schemeClr w14:val="tx1"/>
            </w14:solidFill>
          </w14:textFill>
        </w:rPr>
        <w:t>10</w:t>
      </w:r>
      <w:r>
        <w:rPr>
          <w:rFonts w:hint="eastAsia" w:ascii="宋体" w:hAnsi="宋体" w:cs="宋体"/>
          <w:color w:val="000000" w:themeColor="text1"/>
          <w14:textFill>
            <w14:solidFill>
              <w14:schemeClr w14:val="tx1"/>
            </w14:solidFill>
          </w14:textFill>
        </w:rPr>
        <w:t>月至今类似业绩合同（以合同签订时间为准</w:t>
      </w:r>
      <w:r>
        <w:rPr>
          <w:rFonts w:hint="eastAsia" w:cs="宋体"/>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zh-CN"/>
          <w14:textFill>
            <w14:solidFill>
              <w14:schemeClr w14:val="tx1"/>
            </w14:solidFill>
          </w14:textFill>
        </w:rPr>
        <w:t>提供合同复印件并加盖</w:t>
      </w:r>
      <w:r>
        <w:rPr>
          <w:rFonts w:hint="eastAsia"/>
          <w:color w:val="000000" w:themeColor="text1"/>
          <w:spacing w:val="-3"/>
          <w14:textFill>
            <w14:solidFill>
              <w14:schemeClr w14:val="tx1"/>
            </w14:solidFill>
          </w14:textFill>
        </w:rPr>
        <w:t>供应商</w:t>
      </w:r>
      <w:r>
        <w:rPr>
          <w:rFonts w:hint="eastAsia" w:ascii="宋体" w:hAnsi="宋体" w:cs="宋体"/>
          <w:color w:val="000000" w:themeColor="text1"/>
          <w:lang w:val="zh-CN"/>
          <w14:textFill>
            <w14:solidFill>
              <w14:schemeClr w14:val="tx1"/>
            </w14:solidFill>
          </w14:textFill>
        </w:rPr>
        <w:t>公章</w:t>
      </w:r>
    </w:p>
    <w:p w14:paraId="736F3D36">
      <w:pPr>
        <w:spacing w:before="12"/>
        <w:rPr>
          <w:rFonts w:ascii="宋体" w:hAnsi="宋体" w:cs="宋体"/>
          <w:color w:val="000000" w:themeColor="text1"/>
          <w:sz w:val="28"/>
          <w:szCs w:val="28"/>
          <w14:textFill>
            <w14:solidFill>
              <w14:schemeClr w14:val="tx1"/>
            </w14:solidFill>
          </w14:textFill>
        </w:rPr>
      </w:pPr>
    </w:p>
    <w:p w14:paraId="71BE4FB6">
      <w:pPr>
        <w:spacing w:line="480" w:lineRule="auto"/>
        <w:ind w:firstLine="3840" w:firstLineChars="16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供应商名称（公章）：</w:t>
      </w:r>
      <w:r>
        <w:rPr>
          <w:rFonts w:hint="eastAsia" w:ascii="宋体" w:hAnsi="宋体" w:cs="宋体"/>
          <w:color w:val="000000" w:themeColor="text1"/>
          <w:sz w:val="24"/>
          <w:u w:val="single"/>
          <w14:textFill>
            <w14:solidFill>
              <w14:schemeClr w14:val="tx1"/>
            </w14:solidFill>
          </w14:textFill>
        </w:rPr>
        <w:t xml:space="preserve">                              </w:t>
      </w:r>
    </w:p>
    <w:p w14:paraId="7E1F3E9E">
      <w:pPr>
        <w:spacing w:after="480" w:line="200" w:lineRule="atLeast"/>
        <w:ind w:firstLine="3840" w:firstLineChars="16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法定代表人（负责人）</w:t>
      </w:r>
    </w:p>
    <w:p w14:paraId="13E0AB04">
      <w:pPr>
        <w:spacing w:line="480" w:lineRule="auto"/>
        <w:ind w:firstLine="3840" w:firstLineChars="16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或被授权人（签字）：</w:t>
      </w:r>
      <w:r>
        <w:rPr>
          <w:rFonts w:hint="eastAsia" w:ascii="宋体" w:hAnsi="宋体" w:cs="宋体"/>
          <w:color w:val="000000" w:themeColor="text1"/>
          <w:sz w:val="24"/>
          <w:u w:val="single"/>
          <w14:textFill>
            <w14:solidFill>
              <w14:schemeClr w14:val="tx1"/>
            </w14:solidFill>
          </w14:textFill>
        </w:rPr>
        <w:t xml:space="preserve">                    </w:t>
      </w:r>
    </w:p>
    <w:p w14:paraId="4508E216">
      <w:pPr>
        <w:spacing w:line="480" w:lineRule="auto"/>
        <w:ind w:firstLine="3840" w:firstLineChars="1600"/>
        <w:rPr>
          <w:rFonts w:ascii="宋体" w:hAnsi="宋体" w:cs="宋体"/>
          <w:color w:val="000000" w:themeColor="text1"/>
          <w:u w:val="single" w:color="000000"/>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r>
        <w:rPr>
          <w:rFonts w:hint="eastAsia" w:ascii="宋体" w:hAnsi="宋体" w:cs="宋体"/>
          <w:color w:val="000000" w:themeColor="text1"/>
          <w:sz w:val="24"/>
          <w:u w:val="single"/>
          <w14:textFill>
            <w14:solidFill>
              <w14:schemeClr w14:val="tx1"/>
            </w14:solidFill>
          </w14:textFill>
        </w:rPr>
        <w:t xml:space="preserve">                              </w:t>
      </w:r>
    </w:p>
    <w:p w14:paraId="44CEF1AA">
      <w:pPr>
        <w:spacing w:line="348" w:lineRule="auto"/>
        <w:jc w:val="center"/>
        <w:outlineLvl w:val="1"/>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lang w:val="en-US" w:eastAsia="zh-CN"/>
          <w14:textFill>
            <w14:solidFill>
              <w14:schemeClr w14:val="tx1"/>
            </w14:solidFill>
          </w14:textFill>
        </w:rPr>
        <w:t>八</w:t>
      </w:r>
      <w:r>
        <w:rPr>
          <w:rFonts w:hint="eastAsia" w:ascii="宋体" w:hAnsi="宋体" w:cs="宋体"/>
          <w:b/>
          <w:bCs/>
          <w:color w:val="000000" w:themeColor="text1"/>
          <w:sz w:val="32"/>
          <w:szCs w:val="32"/>
          <w14:textFill>
            <w14:solidFill>
              <w14:schemeClr w14:val="tx1"/>
            </w14:solidFill>
          </w14:textFill>
        </w:rPr>
        <w:t>、技术</w:t>
      </w:r>
      <w:bookmarkEnd w:id="38"/>
      <w:r>
        <w:rPr>
          <w:rFonts w:hint="eastAsia" w:ascii="宋体" w:hAnsi="宋体" w:cs="宋体"/>
          <w:b/>
          <w:bCs/>
          <w:color w:val="000000" w:themeColor="text1"/>
          <w:sz w:val="32"/>
          <w:szCs w:val="32"/>
          <w14:textFill>
            <w14:solidFill>
              <w14:schemeClr w14:val="tx1"/>
            </w14:solidFill>
          </w14:textFill>
        </w:rPr>
        <w:t>服务方案</w:t>
      </w:r>
    </w:p>
    <w:p w14:paraId="0B43F276">
      <w:pPr>
        <w:spacing w:line="480" w:lineRule="auto"/>
        <w:ind w:firstLine="482" w:firstLineChars="200"/>
        <w:rPr>
          <w:rFonts w:ascii="宋体" w:hAnsi="宋体"/>
          <w:b/>
          <w:color w:val="000000" w:themeColor="text1"/>
          <w:sz w:val="24"/>
          <w:szCs w:val="22"/>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供应商应按照磋商文件要求，根据磋商文件第二部分中《评审方法及内容》和第三部分分各条款作出全面</w:t>
      </w:r>
      <w:r>
        <w:rPr>
          <w:rFonts w:hint="eastAsia" w:ascii="宋体" w:hAnsi="宋体"/>
          <w:b/>
          <w:color w:val="000000" w:themeColor="text1"/>
          <w:sz w:val="24"/>
          <w:szCs w:val="22"/>
          <w14:textFill>
            <w14:solidFill>
              <w14:schemeClr w14:val="tx1"/>
            </w14:solidFill>
          </w14:textFill>
        </w:rPr>
        <w:t>响应。</w:t>
      </w:r>
    </w:p>
    <w:p w14:paraId="4E4F198D">
      <w:pPr>
        <w:spacing w:line="360" w:lineRule="auto"/>
        <w:jc w:val="center"/>
        <w:rPr>
          <w:rFonts w:ascii="宋体" w:hAnsi="宋体" w:cs="宋体"/>
          <w:b/>
          <w:color w:val="000000" w:themeColor="text1"/>
          <w:sz w:val="32"/>
          <w:szCs w:val="32"/>
          <w14:textFill>
            <w14:solidFill>
              <w14:schemeClr w14:val="tx1"/>
            </w14:solidFill>
          </w14:textFill>
        </w:rPr>
      </w:pPr>
    </w:p>
    <w:p w14:paraId="0BF11374">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10C8411C">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1C1C7B56">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0CBEE5DB">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401363D4">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47C72667">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2B26A72B">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52E8BF69">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3F6DB870">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5724C877">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12463D0B">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17C26771">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44215965">
      <w:pPr>
        <w:tabs>
          <w:tab w:val="left" w:pos="754"/>
        </w:tabs>
        <w:spacing w:line="360" w:lineRule="auto"/>
        <w:ind w:firstLine="211"/>
        <w:jc w:val="left"/>
        <w:rPr>
          <w:rFonts w:ascii="宋体" w:hAnsi="宋体" w:cs="宋体"/>
          <w:bCs/>
          <w:color w:val="000000" w:themeColor="text1"/>
          <w:sz w:val="28"/>
          <w:szCs w:val="28"/>
          <w14:textFill>
            <w14:solidFill>
              <w14:schemeClr w14:val="tx1"/>
            </w14:solidFill>
          </w14:textFill>
        </w:rPr>
      </w:pPr>
    </w:p>
    <w:p w14:paraId="58E8FB96">
      <w:pPr>
        <w:rPr>
          <w:rFonts w:ascii="宋体" w:hAnsi="宋体" w:cs="宋体"/>
          <w:color w:val="000000" w:themeColor="text1"/>
          <w14:textFill>
            <w14:solidFill>
              <w14:schemeClr w14:val="tx1"/>
            </w14:solidFill>
          </w14:textFill>
        </w:rPr>
      </w:pPr>
    </w:p>
    <w:p w14:paraId="5D481F91">
      <w:pPr>
        <w:rPr>
          <w:color w:val="000000" w:themeColor="text1"/>
          <w14:textFill>
            <w14:solidFill>
              <w14:schemeClr w14:val="tx1"/>
            </w14:solidFill>
          </w14:textFill>
        </w:rPr>
      </w:pPr>
    </w:p>
    <w:p w14:paraId="55FA28F4">
      <w:pPr>
        <w:pStyle w:val="2"/>
        <w:rPr>
          <w:rFonts w:ascii="宋体" w:hAnsi="宋体" w:cs="宋体"/>
          <w:b/>
          <w:bCs/>
          <w:color w:val="000000" w:themeColor="text1"/>
          <w:sz w:val="32"/>
          <w:szCs w:val="32"/>
          <w14:textFill>
            <w14:solidFill>
              <w14:schemeClr w14:val="tx1"/>
            </w14:solidFill>
          </w14:textFill>
        </w:rPr>
      </w:pPr>
    </w:p>
    <w:p w14:paraId="24419350">
      <w:pPr>
        <w:rPr>
          <w:rFonts w:ascii="宋体" w:hAnsi="宋体" w:cs="宋体"/>
          <w:b/>
          <w:bCs/>
          <w:color w:val="000000" w:themeColor="text1"/>
          <w:sz w:val="32"/>
          <w:szCs w:val="32"/>
          <w14:textFill>
            <w14:solidFill>
              <w14:schemeClr w14:val="tx1"/>
            </w14:solidFill>
          </w14:textFill>
        </w:rPr>
      </w:pPr>
    </w:p>
    <w:p w14:paraId="6CEC2C37">
      <w:pPr>
        <w:pStyle w:val="2"/>
        <w:rPr>
          <w:rFonts w:ascii="宋体" w:hAnsi="宋体" w:cs="宋体"/>
          <w:b/>
          <w:bCs/>
          <w:color w:val="000000" w:themeColor="text1"/>
          <w:sz w:val="32"/>
          <w:szCs w:val="32"/>
          <w14:textFill>
            <w14:solidFill>
              <w14:schemeClr w14:val="tx1"/>
            </w14:solidFill>
          </w14:textFill>
        </w:rPr>
      </w:pPr>
    </w:p>
    <w:p w14:paraId="2565F998">
      <w:pPr>
        <w:rPr>
          <w:rFonts w:ascii="宋体" w:hAnsi="宋体" w:cs="宋体"/>
          <w:b/>
          <w:bCs/>
          <w:color w:val="000000" w:themeColor="text1"/>
          <w:sz w:val="32"/>
          <w:szCs w:val="32"/>
          <w14:textFill>
            <w14:solidFill>
              <w14:schemeClr w14:val="tx1"/>
            </w14:solidFill>
          </w14:textFill>
        </w:rPr>
      </w:pPr>
    </w:p>
    <w:p w14:paraId="37462107">
      <w:pPr>
        <w:pStyle w:val="2"/>
        <w:rPr>
          <w:color w:val="000000" w:themeColor="text1"/>
          <w14:textFill>
            <w14:solidFill>
              <w14:schemeClr w14:val="tx1"/>
            </w14:solidFill>
          </w14:textFill>
        </w:rPr>
      </w:pPr>
    </w:p>
    <w:p w14:paraId="5AE1995A">
      <w:pPr>
        <w:pStyle w:val="2"/>
        <w:rPr>
          <w:rFonts w:ascii="宋体" w:hAnsi="宋体" w:cs="宋体"/>
          <w:b/>
          <w:bCs/>
          <w:color w:val="000000" w:themeColor="text1"/>
          <w:sz w:val="32"/>
          <w:szCs w:val="32"/>
          <w14:textFill>
            <w14:solidFill>
              <w14:schemeClr w14:val="tx1"/>
            </w14:solidFill>
          </w14:textFill>
        </w:rPr>
      </w:pPr>
    </w:p>
    <w:p w14:paraId="21ADAF14">
      <w:pPr>
        <w:pStyle w:val="10"/>
        <w:spacing w:line="460" w:lineRule="exact"/>
        <w:ind w:firstLine="482" w:firstLineChars="200"/>
        <w:jc w:val="center"/>
        <w:rPr>
          <w:rFonts w:hAnsi="宋体" w:cs="宋体"/>
          <w:b/>
          <w:bCs/>
          <w:color w:val="000000" w:themeColor="text1"/>
          <w:sz w:val="24"/>
          <w:szCs w:val="24"/>
          <w14:textFill>
            <w14:solidFill>
              <w14:schemeClr w14:val="tx1"/>
            </w14:solidFill>
          </w14:textFill>
        </w:rPr>
        <w:sectPr>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p>
    <w:p w14:paraId="46C8E2C7">
      <w:pPr>
        <w:pStyle w:val="10"/>
        <w:spacing w:line="460" w:lineRule="exact"/>
        <w:ind w:firstLine="482" w:firstLineChars="200"/>
        <w:jc w:val="center"/>
        <w:rPr>
          <w:rFonts w:hAnsi="宋体" w:cs="宋体"/>
          <w:color w:val="000000" w:themeColor="text1"/>
          <w:sz w:val="24"/>
          <w:szCs w:val="24"/>
          <w14:textFill>
            <w14:solidFill>
              <w14:schemeClr w14:val="tx1"/>
            </w14:solidFill>
          </w14:textFill>
        </w:rPr>
      </w:pPr>
      <w:r>
        <w:rPr>
          <w:rFonts w:hint="eastAsia" w:hAnsi="宋体" w:cs="宋体"/>
          <w:b/>
          <w:bCs/>
          <w:color w:val="000000" w:themeColor="text1"/>
          <w:sz w:val="24"/>
          <w:szCs w:val="24"/>
          <w14:textFill>
            <w14:solidFill>
              <w14:schemeClr w14:val="tx1"/>
            </w14:solidFill>
          </w14:textFill>
        </w:rPr>
        <w:t>用于本项目人员简历表</w:t>
      </w:r>
    </w:p>
    <w:tbl>
      <w:tblPr>
        <w:tblStyle w:val="21"/>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1898"/>
        <w:gridCol w:w="2140"/>
        <w:gridCol w:w="2621"/>
      </w:tblGrid>
      <w:tr w14:paraId="6EC5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6CCE10EE">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姓名</w:t>
            </w:r>
          </w:p>
        </w:tc>
        <w:tc>
          <w:tcPr>
            <w:tcW w:w="1898" w:type="dxa"/>
            <w:vAlign w:val="center"/>
          </w:tcPr>
          <w:p w14:paraId="1B84B7D4">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5B86FF7C">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性别</w:t>
            </w:r>
          </w:p>
        </w:tc>
        <w:tc>
          <w:tcPr>
            <w:tcW w:w="2621" w:type="dxa"/>
            <w:vAlign w:val="center"/>
          </w:tcPr>
          <w:p w14:paraId="500D9E63">
            <w:pPr>
              <w:pStyle w:val="10"/>
              <w:spacing w:line="460" w:lineRule="exact"/>
              <w:jc w:val="center"/>
              <w:rPr>
                <w:rFonts w:hAnsi="宋体" w:cs="宋体"/>
                <w:color w:val="000000" w:themeColor="text1"/>
                <w:sz w:val="24"/>
                <w:szCs w:val="24"/>
                <w14:textFill>
                  <w14:solidFill>
                    <w14:schemeClr w14:val="tx1"/>
                  </w14:solidFill>
                </w14:textFill>
              </w:rPr>
            </w:pPr>
          </w:p>
        </w:tc>
      </w:tr>
      <w:tr w14:paraId="5E6B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17750A18">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职务</w:t>
            </w:r>
          </w:p>
        </w:tc>
        <w:tc>
          <w:tcPr>
            <w:tcW w:w="1898" w:type="dxa"/>
            <w:vAlign w:val="center"/>
          </w:tcPr>
          <w:p w14:paraId="51775A83">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0458BAB6">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职称</w:t>
            </w:r>
          </w:p>
        </w:tc>
        <w:tc>
          <w:tcPr>
            <w:tcW w:w="2621" w:type="dxa"/>
            <w:vAlign w:val="center"/>
          </w:tcPr>
          <w:p w14:paraId="076B27F4">
            <w:pPr>
              <w:pStyle w:val="10"/>
              <w:spacing w:line="460" w:lineRule="exact"/>
              <w:jc w:val="center"/>
              <w:rPr>
                <w:rFonts w:hAnsi="宋体" w:cs="宋体"/>
                <w:color w:val="000000" w:themeColor="text1"/>
                <w:sz w:val="24"/>
                <w:szCs w:val="24"/>
                <w14:textFill>
                  <w14:solidFill>
                    <w14:schemeClr w14:val="tx1"/>
                  </w14:solidFill>
                </w14:textFill>
              </w:rPr>
            </w:pPr>
          </w:p>
        </w:tc>
      </w:tr>
      <w:tr w14:paraId="1276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026FEE48">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毕业学校、专业</w:t>
            </w:r>
          </w:p>
        </w:tc>
        <w:tc>
          <w:tcPr>
            <w:tcW w:w="6659" w:type="dxa"/>
            <w:gridSpan w:val="3"/>
            <w:vAlign w:val="center"/>
          </w:tcPr>
          <w:p w14:paraId="2152B2C9">
            <w:pPr>
              <w:pStyle w:val="10"/>
              <w:spacing w:line="460" w:lineRule="exact"/>
              <w:jc w:val="center"/>
              <w:rPr>
                <w:rFonts w:hAnsi="宋体" w:cs="宋体"/>
                <w:color w:val="000000" w:themeColor="text1"/>
                <w:sz w:val="24"/>
                <w:szCs w:val="24"/>
                <w14:textFill>
                  <w14:solidFill>
                    <w14:schemeClr w14:val="tx1"/>
                  </w14:solidFill>
                </w14:textFill>
              </w:rPr>
            </w:pPr>
          </w:p>
        </w:tc>
      </w:tr>
      <w:tr w14:paraId="1035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861" w:type="dxa"/>
            <w:vAlign w:val="center"/>
          </w:tcPr>
          <w:p w14:paraId="4B3CBEAD">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身份证号</w:t>
            </w:r>
          </w:p>
        </w:tc>
        <w:tc>
          <w:tcPr>
            <w:tcW w:w="1898" w:type="dxa"/>
            <w:vAlign w:val="center"/>
          </w:tcPr>
          <w:p w14:paraId="2A36721A">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63B752D4">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拟在本项目任职</w:t>
            </w:r>
          </w:p>
        </w:tc>
        <w:tc>
          <w:tcPr>
            <w:tcW w:w="2621" w:type="dxa"/>
            <w:vAlign w:val="center"/>
          </w:tcPr>
          <w:p w14:paraId="1B5BD445">
            <w:pPr>
              <w:pStyle w:val="10"/>
              <w:spacing w:line="460" w:lineRule="exact"/>
              <w:jc w:val="center"/>
              <w:rPr>
                <w:rFonts w:hAnsi="宋体" w:cs="宋体"/>
                <w:color w:val="000000" w:themeColor="text1"/>
                <w:sz w:val="24"/>
                <w:szCs w:val="24"/>
                <w14:textFill>
                  <w14:solidFill>
                    <w14:schemeClr w14:val="tx1"/>
                  </w14:solidFill>
                </w14:textFill>
              </w:rPr>
            </w:pPr>
          </w:p>
        </w:tc>
      </w:tr>
      <w:tr w14:paraId="1172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861" w:type="dxa"/>
            <w:vAlign w:val="center"/>
          </w:tcPr>
          <w:p w14:paraId="7890AD7C">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执业资格证</w:t>
            </w:r>
          </w:p>
        </w:tc>
        <w:tc>
          <w:tcPr>
            <w:tcW w:w="1898" w:type="dxa"/>
            <w:vAlign w:val="center"/>
          </w:tcPr>
          <w:p w14:paraId="304C2F28">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13806E01">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执业资格证书号</w:t>
            </w:r>
          </w:p>
        </w:tc>
        <w:tc>
          <w:tcPr>
            <w:tcW w:w="2621" w:type="dxa"/>
            <w:vAlign w:val="center"/>
          </w:tcPr>
          <w:p w14:paraId="7B3DFA59">
            <w:pPr>
              <w:pStyle w:val="10"/>
              <w:spacing w:line="460" w:lineRule="exact"/>
              <w:jc w:val="center"/>
              <w:rPr>
                <w:rFonts w:hAnsi="宋体" w:cs="宋体"/>
                <w:color w:val="000000" w:themeColor="text1"/>
                <w:sz w:val="24"/>
                <w:szCs w:val="24"/>
                <w14:textFill>
                  <w14:solidFill>
                    <w14:schemeClr w14:val="tx1"/>
                  </w14:solidFill>
                </w14:textFill>
              </w:rPr>
            </w:pPr>
          </w:p>
        </w:tc>
      </w:tr>
      <w:tr w14:paraId="79AA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520" w:type="dxa"/>
            <w:gridSpan w:val="4"/>
            <w:vAlign w:val="center"/>
          </w:tcPr>
          <w:p w14:paraId="6C204DF3">
            <w:pPr>
              <w:pStyle w:val="10"/>
              <w:spacing w:line="460" w:lineRule="exact"/>
              <w:jc w:val="lef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近____年承担项目情况</w:t>
            </w:r>
          </w:p>
        </w:tc>
      </w:tr>
      <w:tr w14:paraId="62F3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861" w:type="dxa"/>
            <w:vAlign w:val="center"/>
          </w:tcPr>
          <w:p w14:paraId="5D3E27C2">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时间</w:t>
            </w:r>
          </w:p>
        </w:tc>
        <w:tc>
          <w:tcPr>
            <w:tcW w:w="1898" w:type="dxa"/>
            <w:vAlign w:val="center"/>
          </w:tcPr>
          <w:p w14:paraId="1A354F91">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类似项目名称</w:t>
            </w:r>
          </w:p>
        </w:tc>
        <w:tc>
          <w:tcPr>
            <w:tcW w:w="2140" w:type="dxa"/>
            <w:vAlign w:val="center"/>
          </w:tcPr>
          <w:p w14:paraId="4C55C40B">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担任职务</w:t>
            </w:r>
          </w:p>
        </w:tc>
        <w:tc>
          <w:tcPr>
            <w:tcW w:w="2621" w:type="dxa"/>
            <w:vAlign w:val="center"/>
          </w:tcPr>
          <w:p w14:paraId="4AB795D1">
            <w:pPr>
              <w:pStyle w:val="10"/>
              <w:spacing w:line="460" w:lineRule="exact"/>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项目单位名称及电话</w:t>
            </w:r>
          </w:p>
        </w:tc>
      </w:tr>
      <w:tr w14:paraId="46EB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59623FC2">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4C997CB0">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32EB029B">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7F597A2C">
            <w:pPr>
              <w:pStyle w:val="10"/>
              <w:spacing w:line="460" w:lineRule="exact"/>
              <w:jc w:val="center"/>
              <w:rPr>
                <w:rFonts w:hAnsi="宋体" w:cs="宋体"/>
                <w:color w:val="000000" w:themeColor="text1"/>
                <w:sz w:val="24"/>
                <w:szCs w:val="24"/>
                <w14:textFill>
                  <w14:solidFill>
                    <w14:schemeClr w14:val="tx1"/>
                  </w14:solidFill>
                </w14:textFill>
              </w:rPr>
            </w:pPr>
          </w:p>
        </w:tc>
      </w:tr>
      <w:tr w14:paraId="46CC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724CBCFC">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7DEB5EE3">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7BDB483C">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311B5058">
            <w:pPr>
              <w:pStyle w:val="10"/>
              <w:spacing w:line="460" w:lineRule="exact"/>
              <w:jc w:val="center"/>
              <w:rPr>
                <w:rFonts w:hAnsi="宋体" w:cs="宋体"/>
                <w:color w:val="000000" w:themeColor="text1"/>
                <w:sz w:val="24"/>
                <w:szCs w:val="24"/>
                <w14:textFill>
                  <w14:solidFill>
                    <w14:schemeClr w14:val="tx1"/>
                  </w14:solidFill>
                </w14:textFill>
              </w:rPr>
            </w:pPr>
          </w:p>
        </w:tc>
      </w:tr>
      <w:tr w14:paraId="0D4B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10120F30">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0947A8AE">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202378E8">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2BC40A1D">
            <w:pPr>
              <w:pStyle w:val="10"/>
              <w:spacing w:line="460" w:lineRule="exact"/>
              <w:jc w:val="center"/>
              <w:rPr>
                <w:rFonts w:hAnsi="宋体" w:cs="宋体"/>
                <w:color w:val="000000" w:themeColor="text1"/>
                <w:sz w:val="24"/>
                <w:szCs w:val="24"/>
                <w14:textFill>
                  <w14:solidFill>
                    <w14:schemeClr w14:val="tx1"/>
                  </w14:solidFill>
                </w14:textFill>
              </w:rPr>
            </w:pPr>
          </w:p>
        </w:tc>
      </w:tr>
      <w:tr w14:paraId="33ED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52E3E71D">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21649CEC">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7201FAAA">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44796F5B">
            <w:pPr>
              <w:pStyle w:val="10"/>
              <w:spacing w:line="460" w:lineRule="exact"/>
              <w:jc w:val="center"/>
              <w:rPr>
                <w:rFonts w:hAnsi="宋体" w:cs="宋体"/>
                <w:color w:val="000000" w:themeColor="text1"/>
                <w:sz w:val="24"/>
                <w:szCs w:val="24"/>
                <w14:textFill>
                  <w14:solidFill>
                    <w14:schemeClr w14:val="tx1"/>
                  </w14:solidFill>
                </w14:textFill>
              </w:rPr>
            </w:pPr>
          </w:p>
        </w:tc>
      </w:tr>
      <w:tr w14:paraId="3DA1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2D97F43B">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17E9EBF2">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2C3C3706">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36533CC9">
            <w:pPr>
              <w:pStyle w:val="10"/>
              <w:spacing w:line="460" w:lineRule="exact"/>
              <w:jc w:val="center"/>
              <w:rPr>
                <w:rFonts w:hAnsi="宋体" w:cs="宋体"/>
                <w:color w:val="000000" w:themeColor="text1"/>
                <w:sz w:val="24"/>
                <w:szCs w:val="24"/>
                <w14:textFill>
                  <w14:solidFill>
                    <w14:schemeClr w14:val="tx1"/>
                  </w14:solidFill>
                </w14:textFill>
              </w:rPr>
            </w:pPr>
          </w:p>
        </w:tc>
      </w:tr>
      <w:tr w14:paraId="63A1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5F0A75CF">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08CEDAE2">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4D98A7A4">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0713D1B7">
            <w:pPr>
              <w:pStyle w:val="10"/>
              <w:spacing w:line="460" w:lineRule="exact"/>
              <w:jc w:val="center"/>
              <w:rPr>
                <w:rFonts w:hAnsi="宋体" w:cs="宋体"/>
                <w:color w:val="000000" w:themeColor="text1"/>
                <w:sz w:val="24"/>
                <w:szCs w:val="24"/>
                <w14:textFill>
                  <w14:solidFill>
                    <w14:schemeClr w14:val="tx1"/>
                  </w14:solidFill>
                </w14:textFill>
              </w:rPr>
            </w:pPr>
          </w:p>
        </w:tc>
      </w:tr>
      <w:tr w14:paraId="0D61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087AF9AD">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7F5A9E57">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33F0850F">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4299B98A">
            <w:pPr>
              <w:pStyle w:val="10"/>
              <w:spacing w:line="460" w:lineRule="exact"/>
              <w:jc w:val="center"/>
              <w:rPr>
                <w:rFonts w:hAnsi="宋体" w:cs="宋体"/>
                <w:color w:val="000000" w:themeColor="text1"/>
                <w:sz w:val="24"/>
                <w:szCs w:val="24"/>
                <w14:textFill>
                  <w14:solidFill>
                    <w14:schemeClr w14:val="tx1"/>
                  </w14:solidFill>
                </w14:textFill>
              </w:rPr>
            </w:pPr>
          </w:p>
        </w:tc>
      </w:tr>
      <w:tr w14:paraId="4A02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46680E93">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6732EB38">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2AFB2504">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5EB34505">
            <w:pPr>
              <w:pStyle w:val="10"/>
              <w:spacing w:line="460" w:lineRule="exact"/>
              <w:jc w:val="center"/>
              <w:rPr>
                <w:rFonts w:hAnsi="宋体" w:cs="宋体"/>
                <w:color w:val="000000" w:themeColor="text1"/>
                <w:sz w:val="24"/>
                <w:szCs w:val="24"/>
                <w14:textFill>
                  <w14:solidFill>
                    <w14:schemeClr w14:val="tx1"/>
                  </w14:solidFill>
                </w14:textFill>
              </w:rPr>
            </w:pPr>
          </w:p>
        </w:tc>
      </w:tr>
      <w:tr w14:paraId="5B5F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47CAAEE5">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1C1C642D">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47563D04">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7DA4BCB7">
            <w:pPr>
              <w:pStyle w:val="10"/>
              <w:spacing w:line="460" w:lineRule="exact"/>
              <w:jc w:val="center"/>
              <w:rPr>
                <w:rFonts w:hAnsi="宋体" w:cs="宋体"/>
                <w:color w:val="000000" w:themeColor="text1"/>
                <w:sz w:val="24"/>
                <w:szCs w:val="24"/>
                <w14:textFill>
                  <w14:solidFill>
                    <w14:schemeClr w14:val="tx1"/>
                  </w14:solidFill>
                </w14:textFill>
              </w:rPr>
            </w:pPr>
          </w:p>
        </w:tc>
      </w:tr>
      <w:tr w14:paraId="198A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61" w:type="dxa"/>
            <w:vAlign w:val="center"/>
          </w:tcPr>
          <w:p w14:paraId="63B98907">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03C93A7A">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7DAC7B7E">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1AE7019A">
            <w:pPr>
              <w:pStyle w:val="10"/>
              <w:spacing w:line="460" w:lineRule="exact"/>
              <w:jc w:val="center"/>
              <w:rPr>
                <w:rFonts w:hAnsi="宋体" w:cs="宋体"/>
                <w:color w:val="000000" w:themeColor="text1"/>
                <w:sz w:val="24"/>
                <w:szCs w:val="24"/>
                <w14:textFill>
                  <w14:solidFill>
                    <w14:schemeClr w14:val="tx1"/>
                  </w14:solidFill>
                </w14:textFill>
              </w:rPr>
            </w:pPr>
          </w:p>
        </w:tc>
      </w:tr>
      <w:tr w14:paraId="7547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861" w:type="dxa"/>
            <w:vAlign w:val="center"/>
          </w:tcPr>
          <w:p w14:paraId="0675415E">
            <w:pPr>
              <w:pStyle w:val="10"/>
              <w:spacing w:line="460" w:lineRule="exact"/>
              <w:jc w:val="center"/>
              <w:rPr>
                <w:rFonts w:hAnsi="宋体" w:cs="宋体"/>
                <w:color w:val="000000" w:themeColor="text1"/>
                <w:sz w:val="24"/>
                <w:szCs w:val="24"/>
                <w14:textFill>
                  <w14:solidFill>
                    <w14:schemeClr w14:val="tx1"/>
                  </w14:solidFill>
                </w14:textFill>
              </w:rPr>
            </w:pPr>
          </w:p>
        </w:tc>
        <w:tc>
          <w:tcPr>
            <w:tcW w:w="1898" w:type="dxa"/>
            <w:vAlign w:val="center"/>
          </w:tcPr>
          <w:p w14:paraId="1BECA360">
            <w:pPr>
              <w:pStyle w:val="10"/>
              <w:spacing w:line="460" w:lineRule="exact"/>
              <w:jc w:val="center"/>
              <w:rPr>
                <w:rFonts w:hAnsi="宋体" w:cs="宋体"/>
                <w:color w:val="000000" w:themeColor="text1"/>
                <w:sz w:val="24"/>
                <w:szCs w:val="24"/>
                <w14:textFill>
                  <w14:solidFill>
                    <w14:schemeClr w14:val="tx1"/>
                  </w14:solidFill>
                </w14:textFill>
              </w:rPr>
            </w:pPr>
          </w:p>
        </w:tc>
        <w:tc>
          <w:tcPr>
            <w:tcW w:w="2140" w:type="dxa"/>
            <w:vAlign w:val="center"/>
          </w:tcPr>
          <w:p w14:paraId="26EC042D">
            <w:pPr>
              <w:pStyle w:val="10"/>
              <w:spacing w:line="460" w:lineRule="exact"/>
              <w:jc w:val="center"/>
              <w:rPr>
                <w:rFonts w:hAnsi="宋体" w:cs="宋体"/>
                <w:color w:val="000000" w:themeColor="text1"/>
                <w:sz w:val="24"/>
                <w:szCs w:val="24"/>
                <w14:textFill>
                  <w14:solidFill>
                    <w14:schemeClr w14:val="tx1"/>
                  </w14:solidFill>
                </w14:textFill>
              </w:rPr>
            </w:pPr>
          </w:p>
        </w:tc>
        <w:tc>
          <w:tcPr>
            <w:tcW w:w="2621" w:type="dxa"/>
            <w:vAlign w:val="center"/>
          </w:tcPr>
          <w:p w14:paraId="634A0F69">
            <w:pPr>
              <w:pStyle w:val="10"/>
              <w:spacing w:line="460" w:lineRule="exact"/>
              <w:jc w:val="center"/>
              <w:rPr>
                <w:rFonts w:hAnsi="宋体" w:cs="宋体"/>
                <w:color w:val="000000" w:themeColor="text1"/>
                <w:sz w:val="24"/>
                <w:szCs w:val="24"/>
                <w14:textFill>
                  <w14:solidFill>
                    <w14:schemeClr w14:val="tx1"/>
                  </w14:solidFill>
                </w14:textFill>
              </w:rPr>
            </w:pPr>
          </w:p>
        </w:tc>
      </w:tr>
    </w:tbl>
    <w:p w14:paraId="3AFAB6CA">
      <w:pPr>
        <w:pStyle w:val="10"/>
        <w:spacing w:line="460" w:lineRule="exact"/>
        <w:ind w:firstLine="480" w:firstLineChars="200"/>
        <w:rPr>
          <w:rFonts w:hAnsi="宋体" w:cs="宋体"/>
          <w:color w:val="000000" w:themeColor="text1"/>
          <w:sz w:val="24"/>
          <w:szCs w:val="24"/>
          <w14:textFill>
            <w14:solidFill>
              <w14:schemeClr w14:val="tx1"/>
            </w14:solidFill>
          </w14:textFill>
        </w:rPr>
      </w:pPr>
    </w:p>
    <w:p w14:paraId="70E2A711">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供应商名称(公章)：____________</w:t>
      </w:r>
    </w:p>
    <w:p w14:paraId="7DA64DBF">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法定代表人（负责人）或授权代表(签字或盖章)：____________</w:t>
      </w:r>
    </w:p>
    <w:p w14:paraId="7581D201">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日期：______年____月____日</w:t>
      </w:r>
    </w:p>
    <w:p w14:paraId="3071941E">
      <w:pPr>
        <w:pStyle w:val="10"/>
        <w:spacing w:line="460" w:lineRule="exact"/>
        <w:ind w:firstLine="480" w:firstLineChars="200"/>
        <w:rPr>
          <w:rFonts w:hAnsi="宋体" w:cs="宋体"/>
          <w:color w:val="000000" w:themeColor="text1"/>
          <w:sz w:val="24"/>
          <w:szCs w:val="24"/>
          <w14:textFill>
            <w14:solidFill>
              <w14:schemeClr w14:val="tx1"/>
            </w14:solidFill>
          </w14:textFill>
        </w:rPr>
      </w:pPr>
    </w:p>
    <w:p w14:paraId="2DB451F8">
      <w:pPr>
        <w:snapToGrid w:val="0"/>
        <w:spacing w:line="440" w:lineRule="exact"/>
        <w:jc w:val="center"/>
        <w:rPr>
          <w:rFonts w:ascii="宋体" w:hAnsi="宋体" w:cs="宋体"/>
          <w:b/>
          <w:color w:val="000000" w:themeColor="text1"/>
          <w:sz w:val="28"/>
          <w:szCs w:val="28"/>
          <w14:textFill>
            <w14:solidFill>
              <w14:schemeClr w14:val="tx1"/>
            </w14:solidFill>
          </w14:textFill>
        </w:rPr>
      </w:pPr>
    </w:p>
    <w:p w14:paraId="5D31D291">
      <w:pPr>
        <w:snapToGrid w:val="0"/>
        <w:spacing w:line="440" w:lineRule="exact"/>
        <w:rPr>
          <w:rFonts w:ascii="宋体" w:hAnsi="宋体" w:cs="宋体"/>
          <w:b/>
          <w:color w:val="000000" w:themeColor="text1"/>
          <w:sz w:val="28"/>
          <w:szCs w:val="28"/>
          <w14:textFill>
            <w14:solidFill>
              <w14:schemeClr w14:val="tx1"/>
            </w14:solidFill>
          </w14:textFill>
        </w:rPr>
      </w:pPr>
    </w:p>
    <w:p w14:paraId="4C72991F">
      <w:pPr>
        <w:pStyle w:val="2"/>
        <w:rPr>
          <w:rFonts w:ascii="宋体" w:hAnsi="宋体" w:cs="宋体"/>
          <w:b/>
          <w:color w:val="000000" w:themeColor="text1"/>
          <w:sz w:val="28"/>
          <w:szCs w:val="28"/>
          <w14:textFill>
            <w14:solidFill>
              <w14:schemeClr w14:val="tx1"/>
            </w14:solidFill>
          </w14:textFill>
        </w:rPr>
      </w:pPr>
    </w:p>
    <w:p w14:paraId="40C79896">
      <w:pPr>
        <w:snapToGrid w:val="0"/>
        <w:spacing w:line="440" w:lineRule="exact"/>
        <w:ind w:firstLine="1405" w:firstLineChars="500"/>
        <w:rPr>
          <w:rFonts w:ascii="宋体" w:hAnsi="宋体" w:cs="宋体"/>
          <w:b/>
          <w:color w:val="000000" w:themeColor="text1"/>
          <w:sz w:val="28"/>
          <w:szCs w:val="28"/>
          <w14:textFill>
            <w14:solidFill>
              <w14:schemeClr w14:val="tx1"/>
            </w14:solidFill>
          </w14:textFill>
        </w:rPr>
        <w:sectPr>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p>
    <w:p w14:paraId="6CC12F7F">
      <w:pPr>
        <w:spacing w:line="360" w:lineRule="auto"/>
        <w:jc w:val="center"/>
        <w:rPr>
          <w:rFonts w:ascii="宋体" w:hAnsi="宋体" w:cs="仿宋"/>
          <w:b/>
          <w:sz w:val="30"/>
          <w:szCs w:val="30"/>
        </w:rPr>
      </w:pPr>
      <w:bookmarkStart w:id="39" w:name="_Toc491186072"/>
      <w:r>
        <w:rPr>
          <w:rFonts w:hint="eastAsia" w:ascii="宋体" w:hAnsi="宋体" w:cs="仿宋"/>
          <w:b/>
          <w:sz w:val="30"/>
          <w:szCs w:val="30"/>
          <w:lang w:val="en-US" w:eastAsia="zh-CN"/>
        </w:rPr>
        <w:t>九、</w:t>
      </w:r>
      <w:r>
        <w:rPr>
          <w:rFonts w:ascii="宋体" w:hAnsi="宋体" w:cs="仿宋"/>
          <w:b/>
          <w:sz w:val="30"/>
          <w:szCs w:val="30"/>
        </w:rPr>
        <w:t>陕</w:t>
      </w:r>
      <w:r>
        <w:rPr>
          <w:rFonts w:hint="eastAsia" w:ascii="宋体" w:hAnsi="宋体" w:cs="仿宋"/>
          <w:b/>
          <w:sz w:val="30"/>
          <w:szCs w:val="30"/>
        </w:rPr>
        <w:t>西省政府采购供应商拒绝政府采购领域商业贿赂承诺书</w:t>
      </w:r>
    </w:p>
    <w:p w14:paraId="573EA882">
      <w:pPr>
        <w:widowControl/>
        <w:spacing w:line="360" w:lineRule="auto"/>
        <w:ind w:left="239" w:leftChars="114" w:firstLine="470" w:firstLineChars="196"/>
        <w:jc w:val="left"/>
        <w:rPr>
          <w:rFonts w:ascii="宋体" w:hAnsi="宋体" w:cs="宋体"/>
          <w:kern w:val="0"/>
          <w:sz w:val="24"/>
        </w:rPr>
      </w:pPr>
    </w:p>
    <w:p w14:paraId="16F9CFF3">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为响应党中央、国务院关于治理政府采购领域商业贿赂行为的号召，我公司在此庄严承诺：</w:t>
      </w:r>
    </w:p>
    <w:p w14:paraId="42568842">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1、在参与政府采购活动中遵纪守法、诚信经营、公平竞标。</w:t>
      </w:r>
    </w:p>
    <w:p w14:paraId="1AE3777C">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2、不向政府采购人、采购代理机构和政府采购评审专家进行任何形式的商业贿赂以谋取交易机会。</w:t>
      </w:r>
    </w:p>
    <w:p w14:paraId="1D061827">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3、不向政府采购代理机构和采购人提供虚假资质文件或采用虚假</w:t>
      </w:r>
      <w:r>
        <w:rPr>
          <w:rFonts w:hint="eastAsia" w:ascii="宋体" w:hAnsi="宋体" w:cs="宋体"/>
          <w:kern w:val="0"/>
          <w:sz w:val="24"/>
        </w:rPr>
        <w:t>磋商</w:t>
      </w:r>
      <w:r>
        <w:rPr>
          <w:rFonts w:ascii="宋体" w:hAnsi="宋体" w:cs="宋体"/>
          <w:kern w:val="0"/>
          <w:sz w:val="24"/>
        </w:rPr>
        <w:t>方式参与政府采购市场竞争并谋取成交。</w:t>
      </w:r>
    </w:p>
    <w:p w14:paraId="243E9210">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4、不采取“围、</w:t>
      </w:r>
      <w:r>
        <w:rPr>
          <w:rFonts w:hint="eastAsia" w:ascii="宋体" w:hAnsi="宋体" w:cs="宋体"/>
          <w:kern w:val="0"/>
          <w:sz w:val="24"/>
        </w:rPr>
        <w:t>陪</w:t>
      </w:r>
      <w:r>
        <w:rPr>
          <w:rFonts w:ascii="宋体" w:hAnsi="宋体" w:cs="宋体"/>
          <w:kern w:val="0"/>
          <w:sz w:val="24"/>
        </w:rPr>
        <w:t>”等商业欺诈手段获得政府采购定单。</w:t>
      </w:r>
    </w:p>
    <w:p w14:paraId="69FC14F8">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5、不采取不正当手段诋毁、排挤其他供应商。</w:t>
      </w:r>
    </w:p>
    <w:p w14:paraId="2A799DDE">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6、不在提供商品和服务时“偷梁换柱、以次充好”损害采购人的合法权益。</w:t>
      </w:r>
    </w:p>
    <w:p w14:paraId="18D32DC3">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7、不与采购人、采购代理机构政府采购评审专家或其它供应商恶意串通，进行质疑和投诉，维护政府采购市场秩序。</w:t>
      </w:r>
    </w:p>
    <w:p w14:paraId="5829C7D7">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8、尊重和接受政府采购监督管理部门的监督和政府采购代理机构采购要求，承担因违约行为给采购人造成的损失。</w:t>
      </w:r>
    </w:p>
    <w:p w14:paraId="47F3177F">
      <w:pPr>
        <w:widowControl/>
        <w:spacing w:line="360" w:lineRule="auto"/>
        <w:ind w:left="239" w:leftChars="114" w:firstLine="470" w:firstLineChars="196"/>
        <w:jc w:val="left"/>
        <w:rPr>
          <w:rFonts w:ascii="宋体" w:hAnsi="宋体" w:cs="宋体"/>
          <w:kern w:val="0"/>
          <w:sz w:val="24"/>
        </w:rPr>
      </w:pPr>
      <w:r>
        <w:rPr>
          <w:rFonts w:ascii="宋体" w:hAnsi="宋体" w:cs="宋体"/>
          <w:kern w:val="0"/>
          <w:sz w:val="24"/>
        </w:rPr>
        <w:t>9、不发生其他有悖于政府采购公开、公平、公正和诚信原则的行为。</w:t>
      </w:r>
    </w:p>
    <w:p w14:paraId="72915BB9">
      <w:pPr>
        <w:pStyle w:val="2"/>
      </w:pPr>
    </w:p>
    <w:p w14:paraId="76DDBF6F">
      <w:pPr>
        <w:spacing w:line="480" w:lineRule="auto"/>
        <w:ind w:right="-161"/>
        <w:rPr>
          <w:rFonts w:ascii="宋体" w:hAnsi="宋体" w:cs="仿宋"/>
          <w:sz w:val="24"/>
        </w:rPr>
      </w:pPr>
      <w:r>
        <w:rPr>
          <w:rFonts w:hint="eastAsia" w:ascii="宋体" w:hAnsi="宋体" w:cs="仿宋"/>
          <w:sz w:val="24"/>
        </w:rPr>
        <w:t xml:space="preserve">              供应商名称：</w:t>
      </w:r>
      <w:r>
        <w:rPr>
          <w:rFonts w:hint="eastAsia" w:ascii="宋体" w:hAnsi="宋体" w:cs="仿宋"/>
          <w:sz w:val="24"/>
          <w:u w:val="single"/>
        </w:rPr>
        <w:t xml:space="preserve">                                   </w:t>
      </w:r>
      <w:r>
        <w:rPr>
          <w:rFonts w:hint="eastAsia" w:ascii="宋体" w:hAnsi="宋体" w:cs="仿宋"/>
          <w:sz w:val="24"/>
        </w:rPr>
        <w:t>（盖章）</w:t>
      </w:r>
    </w:p>
    <w:p w14:paraId="7EF3008E">
      <w:pPr>
        <w:spacing w:line="480" w:lineRule="auto"/>
        <w:rPr>
          <w:rFonts w:ascii="宋体" w:hAnsi="宋体" w:cs="仿宋"/>
          <w:sz w:val="24"/>
        </w:rPr>
      </w:pPr>
      <w:r>
        <w:rPr>
          <w:rFonts w:hint="eastAsia" w:ascii="宋体" w:hAnsi="宋体" w:cs="仿宋"/>
          <w:sz w:val="24"/>
        </w:rPr>
        <w:t xml:space="preserve">              法定代表人</w:t>
      </w:r>
      <w:r>
        <w:rPr>
          <w:rFonts w:hint="eastAsia" w:ascii="宋体" w:hAnsi="宋体" w:cs="仿宋"/>
          <w:sz w:val="24"/>
          <w:lang w:val="en-US" w:eastAsia="zh-CN"/>
        </w:rPr>
        <w:t>/负责人</w:t>
      </w:r>
      <w:r>
        <w:rPr>
          <w:rFonts w:hint="eastAsia" w:ascii="宋体" w:hAnsi="宋体" w:cs="仿宋"/>
          <w:sz w:val="24"/>
        </w:rPr>
        <w:t>或被授权代表：</w:t>
      </w:r>
      <w:r>
        <w:rPr>
          <w:rFonts w:hint="eastAsia" w:ascii="宋体" w:hAnsi="宋体" w:cs="仿宋"/>
          <w:sz w:val="24"/>
          <w:u w:val="single"/>
        </w:rPr>
        <w:t xml:space="preserve">                  </w:t>
      </w:r>
      <w:r>
        <w:rPr>
          <w:rFonts w:hint="eastAsia" w:ascii="宋体" w:hAnsi="宋体" w:cs="仿宋"/>
          <w:sz w:val="24"/>
        </w:rPr>
        <w:t>（签字或盖章）</w:t>
      </w:r>
    </w:p>
    <w:p w14:paraId="7394332A">
      <w:pPr>
        <w:spacing w:line="480" w:lineRule="auto"/>
        <w:ind w:firstLine="1680" w:firstLineChars="700"/>
        <w:rPr>
          <w:rFonts w:ascii="宋体" w:hAnsi="宋体" w:cs="仿宋"/>
          <w:sz w:val="24"/>
        </w:rPr>
      </w:pPr>
      <w:r>
        <w:rPr>
          <w:rFonts w:hint="eastAsia" w:ascii="宋体" w:hAnsi="宋体" w:cs="仿宋"/>
          <w:sz w:val="24"/>
        </w:rPr>
        <w:t xml:space="preserve">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3D0C802D">
      <w:pPr>
        <w:spacing w:line="360" w:lineRule="auto"/>
        <w:ind w:left="4070" w:leftChars="1938"/>
        <w:rPr>
          <w:rFonts w:ascii="宋体" w:hAnsi="宋体" w:cs="宋体"/>
          <w:kern w:val="0"/>
          <w:sz w:val="24"/>
          <w:u w:val="single"/>
        </w:rPr>
      </w:pPr>
      <w:r>
        <w:rPr>
          <w:rFonts w:hint="eastAsia" w:ascii="宋体" w:hAnsi="宋体" w:cs="宋体"/>
          <w:color w:val="FFFFFF"/>
          <w:kern w:val="0"/>
          <w:sz w:val="24"/>
        </w:rPr>
        <w:t>、</w:t>
      </w:r>
    </w:p>
    <w:p w14:paraId="1B62FBAF">
      <w:pPr>
        <w:rPr>
          <w:rFonts w:ascii="宋体" w:hAnsi="宋体"/>
        </w:rPr>
      </w:pPr>
    </w:p>
    <w:p w14:paraId="0E59DD50">
      <w:pPr>
        <w:rPr>
          <w:rFonts w:ascii="宋体" w:hAnsi="宋体"/>
        </w:rPr>
      </w:pPr>
    </w:p>
    <w:p w14:paraId="0B8D02B9">
      <w:pPr>
        <w:rPr>
          <w:rFonts w:ascii="宋体" w:hAnsi="宋体"/>
        </w:rPr>
      </w:pPr>
    </w:p>
    <w:p w14:paraId="13030CE0">
      <w:pPr>
        <w:rPr>
          <w:rFonts w:hAnsi="宋体"/>
          <w:bCs/>
        </w:rPr>
      </w:pPr>
    </w:p>
    <w:p w14:paraId="6BA0AA00"/>
    <w:p w14:paraId="2D2011B0">
      <w:pPr>
        <w:pStyle w:val="11"/>
        <w:rPr>
          <w:rFonts w:ascii="宋体" w:hAnsi="宋体"/>
          <w:sz w:val="24"/>
        </w:rPr>
      </w:pPr>
    </w:p>
    <w:p w14:paraId="666F07DC">
      <w:pPr>
        <w:spacing w:line="360" w:lineRule="auto"/>
        <w:jc w:val="center"/>
        <w:rPr>
          <w:rFonts w:ascii="宋体" w:hAnsi="宋体" w:cs="宋体"/>
          <w:b/>
          <w:color w:val="000000" w:themeColor="text1"/>
          <w:kern w:val="0"/>
          <w:sz w:val="28"/>
          <w:szCs w:val="28"/>
          <w14:textFill>
            <w14:solidFill>
              <w14:schemeClr w14:val="tx1"/>
            </w14:solidFill>
          </w14:textFill>
        </w:rPr>
      </w:pPr>
      <w:r>
        <w:rPr>
          <w:rFonts w:hint="eastAsia" w:ascii="宋体" w:hAnsi="宋体" w:cs="宋体"/>
          <w:b/>
          <w:color w:val="000000" w:themeColor="text1"/>
          <w:kern w:val="0"/>
          <w:sz w:val="28"/>
          <w:szCs w:val="28"/>
          <w14:textFill>
            <w14:solidFill>
              <w14:schemeClr w14:val="tx1"/>
            </w14:solidFill>
          </w14:textFill>
        </w:rPr>
        <w:t xml:space="preserve"> </w:t>
      </w:r>
    </w:p>
    <w:p w14:paraId="5F23450E">
      <w:pPr>
        <w:spacing w:line="360" w:lineRule="auto"/>
        <w:jc w:val="center"/>
        <w:rPr>
          <w:rFonts w:ascii="宋体" w:hAnsi="宋体" w:cs="宋体"/>
          <w:b/>
          <w:color w:val="000000" w:themeColor="text1"/>
          <w:kern w:val="0"/>
          <w:sz w:val="28"/>
          <w:szCs w:val="28"/>
          <w14:textFill>
            <w14:solidFill>
              <w14:schemeClr w14:val="tx1"/>
            </w14:solidFill>
          </w14:textFill>
        </w:rPr>
        <w:sectPr>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p>
    <w:p w14:paraId="106C6074">
      <w:pPr>
        <w:spacing w:line="360" w:lineRule="auto"/>
        <w:rPr>
          <w:rFonts w:ascii="宋体" w:hAnsi="宋体"/>
          <w:sz w:val="32"/>
          <w:szCs w:val="32"/>
        </w:rPr>
      </w:pPr>
      <w:r>
        <w:rPr>
          <w:rFonts w:hint="eastAsia" w:ascii="宋体" w:hAnsi="宋体"/>
          <w:sz w:val="32"/>
          <w:szCs w:val="32"/>
        </w:rPr>
        <w:t>参考格式1：</w:t>
      </w:r>
    </w:p>
    <w:p w14:paraId="16D22AD7">
      <w:pPr>
        <w:spacing w:line="360" w:lineRule="auto"/>
        <w:jc w:val="center"/>
        <w:rPr>
          <w:rFonts w:ascii="宋体" w:hAnsi="宋体"/>
          <w:b/>
          <w:bCs/>
          <w:sz w:val="32"/>
          <w:szCs w:val="32"/>
        </w:rPr>
      </w:pPr>
      <w:r>
        <w:rPr>
          <w:rFonts w:hint="eastAsia" w:ascii="宋体" w:hAnsi="宋体"/>
          <w:b/>
          <w:bCs/>
          <w:sz w:val="32"/>
          <w:szCs w:val="32"/>
        </w:rPr>
        <w:t>近三年无重大违法记录书面声明</w:t>
      </w:r>
    </w:p>
    <w:p w14:paraId="76E65737"/>
    <w:p w14:paraId="69382DE2">
      <w:pPr>
        <w:spacing w:line="360" w:lineRule="auto"/>
        <w:rPr>
          <w:rFonts w:ascii="宋体" w:hAnsi="宋体"/>
          <w:sz w:val="24"/>
        </w:rPr>
      </w:pPr>
      <w:r>
        <w:rPr>
          <w:rFonts w:hint="eastAsia" w:ascii="宋体" w:hAnsi="宋体"/>
          <w:sz w:val="24"/>
          <w:u w:val="single"/>
        </w:rPr>
        <w:t xml:space="preserve">             </w:t>
      </w:r>
      <w:r>
        <w:rPr>
          <w:rFonts w:hint="eastAsia" w:ascii="宋体" w:hAnsi="宋体"/>
          <w:sz w:val="24"/>
        </w:rPr>
        <w:t>（采购人名称）：</w:t>
      </w:r>
    </w:p>
    <w:p w14:paraId="4FC370BC">
      <w:pPr>
        <w:widowControl/>
        <w:spacing w:line="700" w:lineRule="exact"/>
        <w:ind w:firstLine="480"/>
        <w:jc w:val="left"/>
        <w:rPr>
          <w:rFonts w:ascii="宋体" w:hAnsi="宋体"/>
          <w:sz w:val="24"/>
        </w:rPr>
      </w:pPr>
      <w:r>
        <w:rPr>
          <w:rFonts w:hint="eastAsia" w:ascii="宋体" w:hAnsi="宋体"/>
          <w:sz w:val="24"/>
        </w:rPr>
        <w:t>我方参加贵单位“</w:t>
      </w:r>
      <w:r>
        <w:rPr>
          <w:rFonts w:hint="eastAsia" w:ascii="宋体" w:hAnsi="宋体"/>
          <w:sz w:val="24"/>
          <w:u w:val="single"/>
        </w:rPr>
        <w:t xml:space="preserve">             </w:t>
      </w:r>
      <w:r>
        <w:rPr>
          <w:rFonts w:hint="eastAsia" w:ascii="宋体" w:hAnsi="宋体"/>
          <w:sz w:val="24"/>
        </w:rPr>
        <w:t>”（项目名称）投标的申请，现我方向你方慎重承诺：</w:t>
      </w:r>
    </w:p>
    <w:p w14:paraId="637FDB33">
      <w:pPr>
        <w:widowControl/>
        <w:spacing w:line="700" w:lineRule="exact"/>
        <w:ind w:firstLine="480"/>
        <w:jc w:val="left"/>
        <w:rPr>
          <w:rFonts w:ascii="宋体" w:hAnsi="宋体"/>
          <w:sz w:val="24"/>
        </w:rPr>
      </w:pPr>
      <w:r>
        <w:rPr>
          <w:rFonts w:hint="eastAsia" w:ascii="宋体" w:hAnsi="宋体"/>
          <w:sz w:val="24"/>
        </w:rPr>
        <w:t>近三年公司企业财务和经营状况良好，具备履行合同能力，无不良经营行为，无重大违法记录，未处于被责令停业、投标资格被取消或者财产被接管、冻结和破产状态，无因投标申请人违约或不恰当履约引起的合同争议纠纷及仲裁和诉讼记录。如果我方经本工程评标委员会评定为第一中标候选人，在公示期间被他人举报并经招标投标监管机构核实，确认存在上述不良记录，你方即可取消我方第一中标候选人资格，并同意投标保证金不予退还。</w:t>
      </w:r>
    </w:p>
    <w:p w14:paraId="029D6FDC">
      <w:pPr>
        <w:spacing w:line="360" w:lineRule="auto"/>
        <w:ind w:firstLine="480"/>
        <w:rPr>
          <w:rFonts w:ascii="宋体" w:hAnsi="宋体"/>
          <w:sz w:val="24"/>
        </w:rPr>
      </w:pPr>
    </w:p>
    <w:p w14:paraId="735E2353">
      <w:pPr>
        <w:spacing w:line="360" w:lineRule="auto"/>
        <w:ind w:firstLine="480"/>
        <w:rPr>
          <w:rFonts w:ascii="宋体" w:hAnsi="宋体"/>
          <w:sz w:val="24"/>
        </w:rPr>
      </w:pPr>
    </w:p>
    <w:p w14:paraId="5DC57C11">
      <w:pPr>
        <w:spacing w:line="360" w:lineRule="auto"/>
        <w:ind w:firstLine="480"/>
        <w:rPr>
          <w:rFonts w:ascii="宋体" w:hAnsi="宋体"/>
          <w:sz w:val="24"/>
        </w:rPr>
      </w:pPr>
    </w:p>
    <w:p w14:paraId="1A208671">
      <w:pPr>
        <w:spacing w:line="480" w:lineRule="auto"/>
        <w:ind w:right="-161"/>
        <w:rPr>
          <w:rFonts w:ascii="宋体" w:hAnsi="宋体" w:cs="仿宋"/>
          <w:sz w:val="24"/>
        </w:rPr>
      </w:pPr>
      <w:r>
        <w:rPr>
          <w:rFonts w:hint="eastAsia" w:ascii="宋体" w:hAnsi="宋体"/>
          <w:sz w:val="24"/>
        </w:rPr>
        <w:t xml:space="preserve">              </w:t>
      </w:r>
      <w:r>
        <w:rPr>
          <w:rFonts w:hint="eastAsia" w:ascii="宋体" w:hAnsi="宋体" w:cs="仿宋"/>
          <w:sz w:val="24"/>
        </w:rPr>
        <w:t>供应商名称：</w:t>
      </w:r>
      <w:r>
        <w:rPr>
          <w:rFonts w:hint="eastAsia" w:ascii="宋体" w:hAnsi="宋体" w:cs="仿宋"/>
          <w:sz w:val="24"/>
          <w:u w:val="single"/>
        </w:rPr>
        <w:t xml:space="preserve">                                   </w:t>
      </w:r>
      <w:r>
        <w:rPr>
          <w:rFonts w:hint="eastAsia" w:ascii="宋体" w:hAnsi="宋体" w:cs="仿宋"/>
          <w:sz w:val="24"/>
        </w:rPr>
        <w:t>（盖章）</w:t>
      </w:r>
    </w:p>
    <w:p w14:paraId="441A5BAB">
      <w:pPr>
        <w:spacing w:line="480" w:lineRule="auto"/>
        <w:rPr>
          <w:rFonts w:ascii="宋体" w:hAnsi="宋体" w:cs="仿宋"/>
          <w:sz w:val="24"/>
        </w:rPr>
      </w:pPr>
      <w:r>
        <w:rPr>
          <w:rFonts w:hint="eastAsia" w:ascii="宋体" w:hAnsi="宋体" w:cs="仿宋"/>
          <w:sz w:val="24"/>
        </w:rPr>
        <w:t xml:space="preserve">              法定代表人</w:t>
      </w:r>
      <w:r>
        <w:rPr>
          <w:rFonts w:hint="eastAsia" w:ascii="宋体" w:hAnsi="宋体" w:cs="仿宋"/>
          <w:sz w:val="24"/>
          <w:lang w:val="en-US" w:eastAsia="zh-CN"/>
        </w:rPr>
        <w:t>/负责人</w:t>
      </w:r>
      <w:r>
        <w:rPr>
          <w:rFonts w:hint="eastAsia" w:ascii="宋体" w:hAnsi="宋体" w:cs="仿宋"/>
          <w:sz w:val="24"/>
        </w:rPr>
        <w:t>或被授权代表：</w:t>
      </w:r>
      <w:r>
        <w:rPr>
          <w:rFonts w:hint="eastAsia" w:ascii="宋体" w:hAnsi="宋体" w:cs="仿宋"/>
          <w:sz w:val="24"/>
          <w:u w:val="single"/>
        </w:rPr>
        <w:t xml:space="preserve">                  </w:t>
      </w:r>
      <w:r>
        <w:rPr>
          <w:rFonts w:hint="eastAsia" w:ascii="宋体" w:hAnsi="宋体" w:cs="仿宋"/>
          <w:sz w:val="24"/>
        </w:rPr>
        <w:t>（签字或盖章）</w:t>
      </w:r>
    </w:p>
    <w:p w14:paraId="16A7AE42">
      <w:pPr>
        <w:spacing w:line="480" w:lineRule="auto"/>
        <w:ind w:firstLine="1680" w:firstLineChars="700"/>
        <w:rPr>
          <w:rFonts w:ascii="宋体" w:hAnsi="宋体" w:cs="仿宋"/>
          <w:sz w:val="24"/>
        </w:rPr>
      </w:pPr>
      <w:r>
        <w:rPr>
          <w:rFonts w:hint="eastAsia" w:ascii="宋体" w:hAnsi="宋体" w:cs="仿宋"/>
          <w:sz w:val="24"/>
        </w:rPr>
        <w:t xml:space="preserve">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4CCFC745">
      <w:pPr>
        <w:adjustRightInd w:val="0"/>
        <w:snapToGrid w:val="0"/>
        <w:spacing w:line="360" w:lineRule="auto"/>
        <w:jc w:val="center"/>
        <w:rPr>
          <w:rFonts w:ascii="宋体" w:hAnsi="宋体"/>
          <w:b/>
          <w:color w:val="000000" w:themeColor="text1"/>
          <w:sz w:val="36"/>
          <w:szCs w:val="36"/>
          <w14:textFill>
            <w14:solidFill>
              <w14:schemeClr w14:val="tx1"/>
            </w14:solidFill>
          </w14:textFill>
        </w:rPr>
      </w:pPr>
    </w:p>
    <w:p w14:paraId="4BECA63E">
      <w:pPr>
        <w:pStyle w:val="9"/>
        <w:rPr>
          <w:color w:val="000000" w:themeColor="text1"/>
          <w14:textFill>
            <w14:solidFill>
              <w14:schemeClr w14:val="tx1"/>
            </w14:solidFill>
          </w14:textFill>
        </w:rPr>
      </w:pPr>
    </w:p>
    <w:p w14:paraId="45D564B0">
      <w:pPr>
        <w:pStyle w:val="27"/>
        <w:rPr>
          <w:rFonts w:ascii="宋体" w:hAnsi="宋体" w:cs="宋体"/>
          <w:b/>
          <w:color w:val="000000" w:themeColor="text1"/>
          <w:sz w:val="28"/>
          <w:szCs w:val="28"/>
          <w14:textFill>
            <w14:solidFill>
              <w14:schemeClr w14:val="tx1"/>
            </w14:solidFill>
          </w14:textFill>
        </w:rPr>
      </w:pPr>
    </w:p>
    <w:p w14:paraId="0FCE1A41">
      <w:pPr>
        <w:pStyle w:val="27"/>
        <w:rPr>
          <w:rFonts w:ascii="宋体" w:hAnsi="宋体" w:cs="宋体"/>
          <w:b/>
          <w:color w:val="000000" w:themeColor="text1"/>
          <w:sz w:val="28"/>
          <w:szCs w:val="28"/>
          <w14:textFill>
            <w14:solidFill>
              <w14:schemeClr w14:val="tx1"/>
            </w14:solidFill>
          </w14:textFill>
        </w:rPr>
      </w:pPr>
    </w:p>
    <w:p w14:paraId="5B6FBD8C">
      <w:pPr>
        <w:spacing w:line="360" w:lineRule="auto"/>
        <w:jc w:val="center"/>
        <w:rPr>
          <w:rFonts w:ascii="宋体" w:hAnsi="宋体" w:cs="宋体"/>
          <w:b/>
          <w:color w:val="000000" w:themeColor="text1"/>
          <w:sz w:val="28"/>
          <w:szCs w:val="28"/>
          <w14:textFill>
            <w14:solidFill>
              <w14:schemeClr w14:val="tx1"/>
            </w14:solidFill>
          </w14:textFill>
        </w:rPr>
        <w:sectPr>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p>
    <w:p w14:paraId="7535CB0F">
      <w:pPr>
        <w:spacing w:line="360" w:lineRule="auto"/>
        <w:rPr>
          <w:rFonts w:ascii="宋体" w:hAnsi="宋体"/>
          <w:sz w:val="32"/>
          <w:szCs w:val="32"/>
        </w:rPr>
      </w:pPr>
      <w:r>
        <w:rPr>
          <w:rFonts w:hint="eastAsia" w:ascii="宋体" w:hAnsi="宋体"/>
          <w:sz w:val="32"/>
          <w:szCs w:val="32"/>
        </w:rPr>
        <w:t>参考格式2：</w:t>
      </w:r>
    </w:p>
    <w:p w14:paraId="7FD53D80">
      <w:pPr>
        <w:spacing w:line="360" w:lineRule="auto"/>
        <w:jc w:val="center"/>
        <w:rPr>
          <w:rFonts w:ascii="宋体" w:hAnsi="宋体" w:cs="宋体"/>
          <w:b/>
          <w:color w:val="000000" w:themeColor="text1"/>
          <w:sz w:val="28"/>
          <w:szCs w:val="28"/>
          <w14:textFill>
            <w14:solidFill>
              <w14:schemeClr w14:val="tx1"/>
            </w14:solidFill>
          </w14:textFill>
        </w:rPr>
      </w:pPr>
    </w:p>
    <w:p w14:paraId="6F4B2638">
      <w:pPr>
        <w:spacing w:line="360" w:lineRule="auto"/>
        <w:jc w:val="center"/>
        <w:rPr>
          <w:rFonts w:ascii="宋体" w:hAnsi="宋体" w:cs="宋体"/>
          <w:b/>
          <w:color w:val="000000" w:themeColor="text1"/>
          <w:sz w:val="28"/>
          <w:szCs w:val="28"/>
          <w14:textFill>
            <w14:solidFill>
              <w14:schemeClr w14:val="tx1"/>
            </w14:solidFill>
          </w14:textFill>
        </w:rPr>
      </w:pPr>
    </w:p>
    <w:p w14:paraId="1CBE70ED">
      <w:pPr>
        <w:spacing w:line="360" w:lineRule="auto"/>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履行合同所必需的设备和专业技术能力的书面声明</w:t>
      </w:r>
    </w:p>
    <w:p w14:paraId="0B818C3E">
      <w:pPr>
        <w:pStyle w:val="10"/>
        <w:adjustRightInd w:val="0"/>
        <w:snapToGrid w:val="0"/>
        <w:spacing w:line="360" w:lineRule="auto"/>
        <w:jc w:val="center"/>
        <w:rPr>
          <w:b/>
          <w:color w:val="000000" w:themeColor="text1"/>
          <w:sz w:val="44"/>
          <w:szCs w:val="44"/>
          <w14:textFill>
            <w14:solidFill>
              <w14:schemeClr w14:val="tx1"/>
            </w14:solidFill>
          </w14:textFill>
        </w:rPr>
      </w:pPr>
    </w:p>
    <w:p w14:paraId="387B4E6A">
      <w:pPr>
        <w:widowControl/>
        <w:spacing w:line="480" w:lineRule="auto"/>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u w:val="single"/>
          <w14:textFill>
            <w14:solidFill>
              <w14:schemeClr w14:val="tx1"/>
            </w14:solidFill>
          </w14:textFill>
        </w:rPr>
        <w:t xml:space="preserve">    （采购人名称）    </w:t>
      </w:r>
      <w:r>
        <w:rPr>
          <w:rFonts w:hint="eastAsia" w:ascii="宋体" w:hAnsi="宋体" w:cs="宋体"/>
          <w:color w:val="000000" w:themeColor="text1"/>
          <w:kern w:val="0"/>
          <w:sz w:val="24"/>
          <w14:textFill>
            <w14:solidFill>
              <w14:schemeClr w14:val="tx1"/>
            </w14:solidFill>
          </w14:textFill>
        </w:rPr>
        <w:t>：</w:t>
      </w:r>
    </w:p>
    <w:p w14:paraId="74EB52D1">
      <w:pPr>
        <w:widowControl/>
        <w:spacing w:line="480" w:lineRule="auto"/>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u w:val="single"/>
          <w14:textFill>
            <w14:solidFill>
              <w14:schemeClr w14:val="tx1"/>
            </w14:solidFill>
          </w14:textFill>
        </w:rPr>
        <w:t xml:space="preserve">         （供应商名称）     </w:t>
      </w:r>
      <w:r>
        <w:rPr>
          <w:rFonts w:hint="eastAsia" w:ascii="宋体" w:hAnsi="宋体" w:cs="宋体"/>
          <w:color w:val="000000" w:themeColor="text1"/>
          <w:kern w:val="0"/>
          <w:sz w:val="24"/>
          <w14:textFill>
            <w14:solidFill>
              <w14:schemeClr w14:val="tx1"/>
            </w14:solidFill>
          </w14:textFill>
        </w:rPr>
        <w:t>于</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月</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日在中华人民共和国境内</w:t>
      </w:r>
      <w:r>
        <w:rPr>
          <w:rFonts w:hint="eastAsia" w:ascii="宋体" w:hAnsi="宋体" w:cs="宋体"/>
          <w:color w:val="000000" w:themeColor="text1"/>
          <w:kern w:val="0"/>
          <w:sz w:val="24"/>
          <w:u w:val="single"/>
          <w14:textFill>
            <w14:solidFill>
              <w14:schemeClr w14:val="tx1"/>
            </w14:solidFill>
          </w14:textFill>
        </w:rPr>
        <w:t xml:space="preserve">               （详细注册地址）     </w:t>
      </w:r>
      <w:r>
        <w:rPr>
          <w:rFonts w:hint="eastAsia" w:ascii="宋体" w:hAnsi="宋体" w:cs="宋体"/>
          <w:color w:val="000000" w:themeColor="text1"/>
          <w:kern w:val="0"/>
          <w:sz w:val="24"/>
          <w14:textFill>
            <w14:solidFill>
              <w14:schemeClr w14:val="tx1"/>
            </w14:solidFill>
          </w14:textFill>
        </w:rPr>
        <w:t>合法注册并经营，公司主营业务为</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，营业（生产经营）面积为</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，现有员工数量为</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，其中与履行本合同相关的专业技术人员有（</w:t>
      </w:r>
      <w:r>
        <w:rPr>
          <w:rFonts w:hint="eastAsia" w:ascii="宋体" w:hAnsi="宋体" w:cs="宋体"/>
          <w:color w:val="000000" w:themeColor="text1"/>
          <w:kern w:val="0"/>
          <w:sz w:val="24"/>
          <w:u w:val="single"/>
          <w14:textFill>
            <w14:solidFill>
              <w14:schemeClr w14:val="tx1"/>
            </w14:solidFill>
          </w14:textFill>
        </w:rPr>
        <w:t xml:space="preserve">             专业能力、数量        </w:t>
      </w:r>
      <w:r>
        <w:rPr>
          <w:rFonts w:hint="eastAsia" w:ascii="宋体" w:hAnsi="宋体" w:cs="宋体"/>
          <w:color w:val="000000" w:themeColor="text1"/>
          <w:kern w:val="0"/>
          <w:sz w:val="24"/>
          <w14:textFill>
            <w14:solidFill>
              <w14:schemeClr w14:val="tx1"/>
            </w14:solidFill>
          </w14:textFill>
        </w:rPr>
        <w:t>），本公司郑重承诺，具有履行本合同所必需的设备和专业技术能力。</w:t>
      </w:r>
    </w:p>
    <w:p w14:paraId="70285185">
      <w:pPr>
        <w:widowControl/>
        <w:spacing w:line="480" w:lineRule="auto"/>
        <w:jc w:val="left"/>
        <w:rPr>
          <w:rFonts w:ascii="宋体" w:hAnsi="宋体" w:cs="宋体"/>
          <w:color w:val="000000" w:themeColor="text1"/>
          <w:kern w:val="0"/>
          <w:sz w:val="24"/>
          <w14:textFill>
            <w14:solidFill>
              <w14:schemeClr w14:val="tx1"/>
            </w14:solidFill>
          </w14:textFill>
        </w:rPr>
      </w:pPr>
    </w:p>
    <w:p w14:paraId="17D6CA08">
      <w:pPr>
        <w:widowControl/>
        <w:spacing w:line="480" w:lineRule="auto"/>
        <w:jc w:val="left"/>
        <w:rPr>
          <w:rFonts w:ascii="宋体" w:hAnsi="宋体" w:cs="宋体"/>
          <w:color w:val="000000" w:themeColor="text1"/>
          <w:kern w:val="0"/>
          <w:sz w:val="24"/>
          <w14:textFill>
            <w14:solidFill>
              <w14:schemeClr w14:val="tx1"/>
            </w14:solidFill>
          </w14:textFill>
        </w:rPr>
      </w:pPr>
    </w:p>
    <w:p w14:paraId="2D272C4F">
      <w:pPr>
        <w:widowControl/>
        <w:spacing w:line="480" w:lineRule="auto"/>
        <w:jc w:val="left"/>
        <w:rPr>
          <w:rFonts w:ascii="宋体" w:hAnsi="宋体" w:cs="宋体"/>
          <w:color w:val="000000" w:themeColor="text1"/>
          <w:kern w:val="0"/>
          <w:sz w:val="24"/>
          <w14:textFill>
            <w14:solidFill>
              <w14:schemeClr w14:val="tx1"/>
            </w14:solidFill>
          </w14:textFill>
        </w:rPr>
      </w:pPr>
    </w:p>
    <w:p w14:paraId="2373AA4F">
      <w:pPr>
        <w:widowControl/>
        <w:spacing w:line="480" w:lineRule="auto"/>
        <w:ind w:firstLine="2880" w:firstLineChars="1200"/>
        <w:jc w:val="left"/>
        <w:rPr>
          <w:rFonts w:ascii="宋体" w:hAnsi="宋体" w:cs="宋体"/>
          <w:color w:val="000000" w:themeColor="text1"/>
          <w:kern w:val="0"/>
          <w:sz w:val="24"/>
          <w14:textFill>
            <w14:solidFill>
              <w14:schemeClr w14:val="tx1"/>
            </w14:solidFill>
          </w14:textFill>
        </w:rPr>
      </w:pPr>
    </w:p>
    <w:p w14:paraId="0DB8CD40">
      <w:pPr>
        <w:widowControl/>
        <w:spacing w:line="480" w:lineRule="auto"/>
        <w:ind w:firstLine="4080" w:firstLineChars="1700"/>
        <w:jc w:val="left"/>
        <w:rPr>
          <w:rFonts w:ascii="宋体" w:hAns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供应商（公章）： </w:t>
      </w:r>
      <w:r>
        <w:rPr>
          <w:rFonts w:hint="eastAsia" w:ascii="宋体" w:hAnsi="宋体" w:cs="宋体"/>
          <w:color w:val="000000" w:themeColor="text1"/>
          <w:kern w:val="0"/>
          <w:sz w:val="24"/>
          <w:u w:val="single"/>
          <w14:textFill>
            <w14:solidFill>
              <w14:schemeClr w14:val="tx1"/>
            </w14:solidFill>
          </w14:textFill>
        </w:rPr>
        <w:t xml:space="preserve">                      </w:t>
      </w:r>
    </w:p>
    <w:p w14:paraId="179E2296">
      <w:pPr>
        <w:widowControl/>
        <w:spacing w:line="48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                                  法定代表人（负责人）</w:t>
      </w:r>
    </w:p>
    <w:p w14:paraId="28111F65">
      <w:pPr>
        <w:widowControl/>
        <w:spacing w:line="480" w:lineRule="auto"/>
        <w:ind w:firstLine="4080" w:firstLineChars="17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或授权代表</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(签字或盖章)</w:t>
      </w:r>
    </w:p>
    <w:p w14:paraId="179F1BA7">
      <w:pPr>
        <w:widowControl/>
        <w:spacing w:line="480" w:lineRule="auto"/>
        <w:ind w:firstLine="4080" w:firstLineChars="17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日    期： </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 xml:space="preserve">  </w:t>
      </w:r>
    </w:p>
    <w:p w14:paraId="087CBC04">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bookmarkEnd w:id="39"/>
      <w:r>
        <w:rPr>
          <w:rFonts w:hint="eastAsia" w:ascii="宋体" w:hAnsi="宋体" w:cs="宋体"/>
          <w:b/>
          <w:color w:val="000000" w:themeColor="text1"/>
          <w:sz w:val="32"/>
          <w:szCs w:val="32"/>
          <w14:textFill>
            <w14:solidFill>
              <w14:schemeClr w14:val="tx1"/>
            </w14:solidFill>
          </w14:textFill>
        </w:rPr>
        <w:t>附件一</w:t>
      </w:r>
    </w:p>
    <w:p w14:paraId="707F2913">
      <w:pPr>
        <w:spacing w:line="360" w:lineRule="auto"/>
        <w:ind w:firstLine="211"/>
        <w:jc w:val="center"/>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中小企业声明函</w:t>
      </w:r>
    </w:p>
    <w:p w14:paraId="736B4EED">
      <w:pPr>
        <w:spacing w:line="360" w:lineRule="auto"/>
        <w:ind w:firstLine="211"/>
        <w:jc w:val="center"/>
        <w:rPr>
          <w:rFonts w:ascii="宋体" w:hAnsi="宋体" w:cs="宋体"/>
          <w:b/>
          <w:color w:val="000000" w:themeColor="text1"/>
          <w:sz w:val="32"/>
          <w:szCs w:val="32"/>
          <w14:textFill>
            <w14:solidFill>
              <w14:schemeClr w14:val="tx1"/>
            </w14:solidFill>
          </w14:textFill>
        </w:rPr>
      </w:pPr>
    </w:p>
    <w:p w14:paraId="13A8694F">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本公司（联合体）郑重声明，根据《政府采购促进中小企业发展管理办法》（财库﹝2020﹞46 号）的规定，本公司（联合体）参加</w:t>
      </w:r>
      <w:r>
        <w:rPr>
          <w:rFonts w:hint="eastAsia" w:ascii="宋体" w:hAnsi="宋体" w:cs="宋体"/>
          <w:color w:val="000000" w:themeColor="text1"/>
          <w:sz w:val="24"/>
          <w:u w:val="single"/>
          <w14:textFill>
            <w14:solidFill>
              <w14:schemeClr w14:val="tx1"/>
            </w14:solidFill>
          </w14:textFill>
        </w:rPr>
        <w:t>（单位名称）的（项目名称）</w:t>
      </w:r>
      <w:r>
        <w:rPr>
          <w:rFonts w:hint="eastAsia" w:ascii="宋体" w:hAnsi="宋体" w:cs="宋体"/>
          <w:color w:val="000000" w:themeColor="text1"/>
          <w:sz w:val="24"/>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161CDC7C">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u w:val="single"/>
          <w14:textFill>
            <w14:solidFill>
              <w14:schemeClr w14:val="tx1"/>
            </w14:solidFill>
          </w14:textFill>
        </w:rPr>
        <w:t>（标的名称）</w:t>
      </w:r>
      <w:r>
        <w:rPr>
          <w:rFonts w:hint="eastAsia" w:ascii="宋体" w:hAnsi="宋体" w:cs="宋体"/>
          <w:color w:val="000000" w:themeColor="text1"/>
          <w:sz w:val="24"/>
          <w14:textFill>
            <w14:solidFill>
              <w14:schemeClr w14:val="tx1"/>
            </w14:solidFill>
          </w14:textFill>
        </w:rPr>
        <w:t>，属于</w:t>
      </w:r>
      <w:r>
        <w:rPr>
          <w:rFonts w:hint="eastAsia" w:ascii="宋体" w:hAnsi="宋体" w:cs="宋体"/>
          <w:color w:val="000000" w:themeColor="text1"/>
          <w:sz w:val="24"/>
          <w:u w:val="single"/>
          <w14:textFill>
            <w14:solidFill>
              <w14:schemeClr w14:val="tx1"/>
            </w14:solidFill>
          </w14:textFill>
        </w:rPr>
        <w:t>（软件和信息技术服务业）</w:t>
      </w:r>
      <w:r>
        <w:rPr>
          <w:rFonts w:hint="eastAsia" w:ascii="宋体" w:hAnsi="宋体" w:cs="宋体"/>
          <w:color w:val="000000" w:themeColor="text1"/>
          <w:sz w:val="24"/>
          <w14:textFill>
            <w14:solidFill>
              <w14:schemeClr w14:val="tx1"/>
            </w14:solidFill>
          </w14:textFill>
        </w:rPr>
        <w:t>；承建（承接）企业为</w:t>
      </w:r>
      <w:r>
        <w:rPr>
          <w:rFonts w:hint="eastAsia" w:ascii="宋体" w:hAnsi="宋体" w:cs="宋体"/>
          <w:color w:val="000000" w:themeColor="text1"/>
          <w:sz w:val="24"/>
          <w:u w:val="single"/>
          <w14:textFill>
            <w14:solidFill>
              <w14:schemeClr w14:val="tx1"/>
            </w14:solidFill>
          </w14:textFill>
        </w:rPr>
        <w:t>（企业名称）</w:t>
      </w:r>
      <w:r>
        <w:rPr>
          <w:rFonts w:hint="eastAsia" w:ascii="宋体" w:hAnsi="宋体" w:cs="宋体"/>
          <w:color w:val="000000" w:themeColor="text1"/>
          <w:sz w:val="24"/>
          <w14:textFill>
            <w14:solidFill>
              <w14:schemeClr w14:val="tx1"/>
            </w14:solidFill>
          </w14:textFill>
        </w:rPr>
        <w:t>，从业人员</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人，营业收入为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万元，资产总额为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万元</w:t>
      </w:r>
      <w:r>
        <w:fldChar w:fldCharType="begin"/>
      </w:r>
      <w:r>
        <w:instrText xml:space="preserve"> HYPERLINK \l "_bookmark1" </w:instrText>
      </w:r>
      <w:r>
        <w:fldChar w:fldCharType="separate"/>
      </w:r>
      <w:r>
        <w:rPr>
          <w:rFonts w:hint="eastAsia" w:ascii="宋体" w:hAnsi="宋体" w:cs="宋体"/>
          <w:color w:val="000000" w:themeColor="text1"/>
          <w:sz w:val="24"/>
          <w:vertAlign w:val="superscript"/>
          <w14:textFill>
            <w14:solidFill>
              <w14:schemeClr w14:val="tx1"/>
            </w14:solidFill>
          </w14:textFill>
        </w:rPr>
        <w:t>1</w:t>
      </w:r>
      <w:r>
        <w:rPr>
          <w:rFonts w:hint="eastAsia" w:ascii="宋体" w:hAnsi="宋体" w:cs="宋体"/>
          <w:color w:val="000000" w:themeColor="text1"/>
          <w:sz w:val="24"/>
          <w:vertAlign w:val="superscript"/>
          <w14:textFill>
            <w14:solidFill>
              <w14:schemeClr w14:val="tx1"/>
            </w14:solidFill>
          </w14:textFill>
        </w:rPr>
        <w:fldChar w:fldCharType="end"/>
      </w:r>
      <w:r>
        <w:rPr>
          <w:rFonts w:hint="eastAsia" w:ascii="宋体" w:hAnsi="宋体" w:cs="宋体"/>
          <w:color w:val="000000" w:themeColor="text1"/>
          <w:sz w:val="24"/>
          <w14:textFill>
            <w14:solidFill>
              <w14:schemeClr w14:val="tx1"/>
            </w14:solidFill>
          </w14:textFill>
        </w:rPr>
        <w:t>，属于</w:t>
      </w:r>
      <w:r>
        <w:rPr>
          <w:rFonts w:hint="eastAsia" w:ascii="宋体" w:hAnsi="宋体" w:cs="宋体"/>
          <w:color w:val="000000" w:themeColor="text1"/>
          <w:sz w:val="24"/>
          <w:u w:val="single"/>
          <w14:textFill>
            <w14:solidFill>
              <w14:schemeClr w14:val="tx1"/>
            </w14:solidFill>
          </w14:textFill>
        </w:rPr>
        <w:t>（中型企业、小型企业、微型企业）</w:t>
      </w:r>
      <w:r>
        <w:rPr>
          <w:rFonts w:hint="eastAsia" w:ascii="宋体" w:hAnsi="宋体" w:cs="宋体"/>
          <w:color w:val="000000" w:themeColor="text1"/>
          <w:sz w:val="24"/>
          <w14:textFill>
            <w14:solidFill>
              <w14:schemeClr w14:val="tx1"/>
            </w14:solidFill>
          </w14:textFill>
        </w:rPr>
        <w:t>；</w:t>
      </w:r>
    </w:p>
    <w:p w14:paraId="29B63AC0">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u w:val="single"/>
          <w14:textFill>
            <w14:solidFill>
              <w14:schemeClr w14:val="tx1"/>
            </w14:solidFill>
          </w14:textFill>
        </w:rPr>
        <w:t>（标的名称）</w:t>
      </w:r>
      <w:r>
        <w:rPr>
          <w:rFonts w:hint="eastAsia" w:ascii="宋体" w:hAnsi="宋体" w:cs="宋体"/>
          <w:color w:val="000000" w:themeColor="text1"/>
          <w:sz w:val="24"/>
          <w14:textFill>
            <w14:solidFill>
              <w14:schemeClr w14:val="tx1"/>
            </w14:solidFill>
          </w14:textFill>
        </w:rPr>
        <w:t>，属于</w:t>
      </w:r>
      <w:r>
        <w:rPr>
          <w:rFonts w:hint="eastAsia" w:ascii="宋体" w:hAnsi="宋体" w:cs="宋体"/>
          <w:color w:val="000000" w:themeColor="text1"/>
          <w:sz w:val="24"/>
          <w:u w:val="single"/>
          <w14:textFill>
            <w14:solidFill>
              <w14:schemeClr w14:val="tx1"/>
            </w14:solidFill>
          </w14:textFill>
        </w:rPr>
        <w:t>（软件和信息技术服务业）</w:t>
      </w:r>
      <w:r>
        <w:rPr>
          <w:rFonts w:hint="eastAsia" w:ascii="宋体" w:hAnsi="宋体" w:cs="宋体"/>
          <w:color w:val="000000" w:themeColor="text1"/>
          <w:sz w:val="24"/>
          <w14:textFill>
            <w14:solidFill>
              <w14:schemeClr w14:val="tx1"/>
            </w14:solidFill>
          </w14:textFill>
        </w:rPr>
        <w:t>；承建（承接）企业为</w:t>
      </w:r>
      <w:r>
        <w:rPr>
          <w:rFonts w:hint="eastAsia" w:ascii="宋体" w:hAnsi="宋体" w:cs="宋体"/>
          <w:color w:val="000000" w:themeColor="text1"/>
          <w:sz w:val="24"/>
          <w:u w:val="single"/>
          <w14:textFill>
            <w14:solidFill>
              <w14:schemeClr w14:val="tx1"/>
            </w14:solidFill>
          </w14:textFill>
        </w:rPr>
        <w:t>（企业名称）</w:t>
      </w:r>
      <w:r>
        <w:rPr>
          <w:rFonts w:hint="eastAsia" w:ascii="宋体" w:hAnsi="宋体" w:cs="宋体"/>
          <w:color w:val="000000" w:themeColor="text1"/>
          <w:sz w:val="24"/>
          <w14:textFill>
            <w14:solidFill>
              <w14:schemeClr w14:val="tx1"/>
            </w14:solidFill>
          </w14:textFill>
        </w:rPr>
        <w:t>，从业人员</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人，营业收入为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万元，资产总额为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万元，属于</w:t>
      </w:r>
      <w:r>
        <w:rPr>
          <w:rFonts w:hint="eastAsia" w:ascii="宋体" w:hAnsi="宋体" w:cs="宋体"/>
          <w:color w:val="000000" w:themeColor="text1"/>
          <w:sz w:val="24"/>
          <w:u w:val="single"/>
          <w14:textFill>
            <w14:solidFill>
              <w14:schemeClr w14:val="tx1"/>
            </w14:solidFill>
          </w14:textFill>
        </w:rPr>
        <w:t>（中型企业、小型企业、微型企业）</w:t>
      </w:r>
      <w:r>
        <w:rPr>
          <w:rFonts w:hint="eastAsia" w:ascii="宋体" w:hAnsi="宋体" w:cs="宋体"/>
          <w:color w:val="000000" w:themeColor="text1"/>
          <w:sz w:val="24"/>
          <w14:textFill>
            <w14:solidFill>
              <w14:schemeClr w14:val="tx1"/>
            </w14:solidFill>
          </w14:textFill>
        </w:rPr>
        <w:t>；</w:t>
      </w:r>
    </w:p>
    <w:p w14:paraId="03C24430">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p w14:paraId="547728CF">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3DB03912">
      <w:pPr>
        <w:spacing w:line="72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本企业对上述声明内容的真实性负责。如有虚假，将依法承担相应责任。</w:t>
      </w:r>
    </w:p>
    <w:p w14:paraId="14D7A824">
      <w:pPr>
        <w:spacing w:line="720" w:lineRule="auto"/>
        <w:ind w:firstLine="4080" w:firstLineChars="17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企业名称（盖章）：</w:t>
      </w:r>
    </w:p>
    <w:p w14:paraId="4895D283">
      <w:pPr>
        <w:spacing w:line="720" w:lineRule="auto"/>
        <w:ind w:firstLine="5520" w:firstLineChars="2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w:t>
      </w:r>
    </w:p>
    <w:p w14:paraId="3719E3F9">
      <w:pPr>
        <w:snapToGrid w:val="0"/>
        <w:spacing w:line="480" w:lineRule="auto"/>
        <w:rPr>
          <w:rFonts w:ascii="宋体" w:hAnsi="宋体" w:cs="宋体"/>
          <w:color w:val="000000" w:themeColor="text1"/>
          <w:sz w:val="24"/>
          <w14:textFill>
            <w14:solidFill>
              <w14:schemeClr w14:val="tx1"/>
            </w14:solidFill>
          </w14:textFill>
        </w:rPr>
      </w:pPr>
    </w:p>
    <w:p w14:paraId="51A3E128">
      <w:pPr>
        <w:snapToGrid w:val="0"/>
        <w:spacing w:line="480" w:lineRule="auto"/>
        <w:rPr>
          <w:rFonts w:ascii="宋体" w:hAnsi="宋体" w:cs="宋体"/>
          <w:color w:val="000000" w:themeColor="text1"/>
          <w14:textFill>
            <w14:solidFill>
              <w14:schemeClr w14:val="tx1"/>
            </w14:solidFill>
          </w14:textFill>
        </w:rPr>
      </w:pP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从业人员、营业收入、资产总额填报上一年度数据，无上一年度数据的新成立企业可不填报。</w:t>
      </w:r>
    </w:p>
    <w:p w14:paraId="135AE992">
      <w:pPr>
        <w:spacing w:line="360" w:lineRule="auto"/>
        <w:rPr>
          <w:rFonts w:ascii="宋体" w:hAnsi="宋体" w:cs="宋体"/>
          <w:b/>
          <w:color w:val="000000" w:themeColor="text1"/>
          <w:sz w:val="32"/>
          <w:szCs w:val="32"/>
          <w14:textFill>
            <w14:solidFill>
              <w14:schemeClr w14:val="tx1"/>
            </w14:solidFill>
          </w14:textFill>
        </w:rPr>
        <w:sectPr>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p>
    <w:p w14:paraId="18FAE7DD">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附件二</w:t>
      </w:r>
    </w:p>
    <w:p w14:paraId="1E235C8F">
      <w:pPr>
        <w:widowControl/>
        <w:spacing w:after="240"/>
        <w:jc w:val="center"/>
        <w:rPr>
          <w:rFonts w:ascii="宋体" w:hAnsi="宋体" w:cs="宋体"/>
          <w:b/>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监狱企业证明文件</w:t>
      </w:r>
    </w:p>
    <w:p w14:paraId="672DDBCE">
      <w:pPr>
        <w:widowControl/>
        <w:spacing w:before="100" w:beforeAutospacing="1" w:after="100" w:afterAutospacing="1"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43AF5AAA">
      <w:pPr>
        <w:spacing w:line="360" w:lineRule="auto"/>
        <w:rPr>
          <w:rFonts w:ascii="宋体" w:hAnsi="宋体" w:cs="宋体"/>
          <w:b/>
          <w:bCs/>
          <w:color w:val="000000" w:themeColor="text1"/>
          <w:sz w:val="32"/>
          <w:szCs w:val="32"/>
          <w14:textFill>
            <w14:solidFill>
              <w14:schemeClr w14:val="tx1"/>
            </w14:solidFill>
          </w14:textFill>
        </w:rPr>
      </w:pPr>
      <w:bookmarkStart w:id="40" w:name="_Toc14457"/>
      <w:bookmarkStart w:id="41" w:name="_Toc12305"/>
      <w:r>
        <w:rPr>
          <w:rFonts w:hint="eastAsia"/>
          <w:b/>
          <w:bCs/>
          <w:color w:val="000000" w:themeColor="text1"/>
          <w:sz w:val="24"/>
          <w14:textFill>
            <w14:solidFill>
              <w14:schemeClr w14:val="tx1"/>
            </w14:solidFill>
          </w14:textFill>
        </w:rPr>
        <w:t>注：如供应商不符合要求无需提供此表。</w:t>
      </w:r>
      <w:bookmarkEnd w:id="40"/>
      <w:bookmarkEnd w:id="41"/>
    </w:p>
    <w:p w14:paraId="3C775B99">
      <w:pPr>
        <w:snapToGrid w:val="0"/>
        <w:spacing w:line="480" w:lineRule="auto"/>
        <w:rPr>
          <w:rFonts w:ascii="宋体" w:hAnsi="宋体" w:cs="宋体"/>
          <w:color w:val="000000" w:themeColor="text1"/>
          <w:sz w:val="32"/>
          <w:szCs w:val="32"/>
          <w14:textFill>
            <w14:solidFill>
              <w14:schemeClr w14:val="tx1"/>
            </w14:solidFill>
          </w14:textFill>
        </w:rPr>
      </w:pPr>
    </w:p>
    <w:p w14:paraId="564AB939">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附件三</w:t>
      </w:r>
    </w:p>
    <w:p w14:paraId="6436375F">
      <w:pPr>
        <w:widowControl/>
        <w:spacing w:after="240"/>
        <w:jc w:val="center"/>
        <w:rPr>
          <w:rFonts w:ascii="宋体" w:hAnsi="宋体" w:cs="宋体"/>
          <w:b/>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福利企业证明文件</w:t>
      </w:r>
    </w:p>
    <w:p w14:paraId="7388E911">
      <w:pPr>
        <w:widowControl/>
        <w:spacing w:before="100" w:beforeAutospacing="1" w:after="100" w:afterAutospacing="1" w:line="360" w:lineRule="auto"/>
        <w:jc w:val="left"/>
        <w:rPr>
          <w:rFonts w:hint="eastAsia" w:ascii="宋体" w:hAnsi="宋体" w:eastAsia="宋体" w:cs="宋体"/>
          <w:color w:val="000000" w:themeColor="text1"/>
          <w:kern w:val="0"/>
          <w:sz w:val="24"/>
          <w:lang w:eastAsia="zh-CN"/>
          <w14:textFill>
            <w14:solidFill>
              <w14:schemeClr w14:val="tx1"/>
            </w14:solidFill>
          </w14:textFill>
        </w:rPr>
      </w:pPr>
    </w:p>
    <w:p w14:paraId="149CDA7F">
      <w:pPr>
        <w:widowControl/>
        <w:spacing w:before="100" w:beforeAutospacing="1" w:after="100" w:afterAutospacing="1" w:line="360" w:lineRule="auto"/>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    说明：根据《关于政府采购优先购买福利性企业系统和服务的意见》(陕民发【2015】1号)，福利企业参加政府采购活动时，应提供省级残疾人集中就业企业和民政福利企业证明文件，包括以民政、财政、残联部门联合发文的形式正式予以公布的福利性企业名单和系统目录等。</w:t>
      </w:r>
    </w:p>
    <w:p w14:paraId="7F224189">
      <w:pPr>
        <w:pStyle w:val="18"/>
        <w:spacing w:line="360" w:lineRule="auto"/>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注：非残疾人福利性单位不填写此声明函。</w:t>
      </w:r>
    </w:p>
    <w:p w14:paraId="394452B9">
      <w:pPr>
        <w:pStyle w:val="11"/>
        <w:rPr>
          <w:color w:val="000000" w:themeColor="text1"/>
          <w14:textFill>
            <w14:solidFill>
              <w14:schemeClr w14:val="tx1"/>
            </w14:solidFill>
          </w14:textFill>
        </w:rPr>
        <w:sectPr>
          <w:pgSz w:w="11906" w:h="16838"/>
          <w:pgMar w:top="1134" w:right="1417" w:bottom="1134" w:left="1417" w:header="851" w:footer="624" w:gutter="0"/>
          <w:pgBorders>
            <w:top w:val="none" w:sz="0" w:space="0"/>
            <w:left w:val="none" w:sz="0" w:space="0"/>
            <w:bottom w:val="none" w:sz="0" w:space="0"/>
            <w:right w:val="none" w:sz="0" w:space="0"/>
          </w:pgBorders>
          <w:pgNumType w:start="1"/>
          <w:cols w:space="720" w:num="1"/>
          <w:titlePg/>
          <w:docGrid w:linePitch="312" w:charSpace="0"/>
        </w:sectPr>
      </w:pPr>
    </w:p>
    <w:p w14:paraId="4E97EB0F">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附件四</w:t>
      </w:r>
    </w:p>
    <w:p w14:paraId="4AA15B47">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二次（最终）报价表</w:t>
      </w:r>
    </w:p>
    <w:p w14:paraId="14CB7AC1">
      <w:pPr>
        <w:spacing w:line="360" w:lineRule="auto"/>
        <w:ind w:firstLine="211"/>
        <w:jc w:val="center"/>
        <w:rPr>
          <w:rFonts w:ascii="宋体" w:hAnsi="宋体" w:cs="宋体"/>
          <w:b/>
          <w:color w:val="000000" w:themeColor="text1"/>
          <w:sz w:val="24"/>
          <w14:textFill>
            <w14:solidFill>
              <w14:schemeClr w14:val="tx1"/>
            </w14:solidFill>
          </w14:textFill>
        </w:rPr>
      </w:pPr>
    </w:p>
    <w:p w14:paraId="7DDAFC5D">
      <w:pPr>
        <w:spacing w:line="360" w:lineRule="auto"/>
        <w:ind w:firstLine="513" w:firstLineChars="214"/>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                                     项目编号：</w:t>
      </w:r>
    </w:p>
    <w:tbl>
      <w:tblPr>
        <w:tblStyle w:val="21"/>
        <w:tblW w:w="8565" w:type="dxa"/>
        <w:jc w:val="center"/>
        <w:tblLayout w:type="fixed"/>
        <w:tblCellMar>
          <w:top w:w="0" w:type="dxa"/>
          <w:left w:w="108" w:type="dxa"/>
          <w:bottom w:w="0" w:type="dxa"/>
          <w:right w:w="108" w:type="dxa"/>
        </w:tblCellMar>
      </w:tblPr>
      <w:tblGrid>
        <w:gridCol w:w="3150"/>
        <w:gridCol w:w="3650"/>
        <w:gridCol w:w="1765"/>
      </w:tblGrid>
      <w:tr w14:paraId="3C3626F2">
        <w:tblPrEx>
          <w:tblCellMar>
            <w:top w:w="0" w:type="dxa"/>
            <w:left w:w="108" w:type="dxa"/>
            <w:bottom w:w="0" w:type="dxa"/>
            <w:right w:w="108" w:type="dxa"/>
          </w:tblCellMar>
        </w:tblPrEx>
        <w:trPr>
          <w:trHeight w:val="1762" w:hRule="atLeast"/>
          <w:jc w:val="center"/>
        </w:trPr>
        <w:tc>
          <w:tcPr>
            <w:tcW w:w="3150" w:type="dxa"/>
            <w:tcBorders>
              <w:top w:val="single" w:color="000000" w:sz="4" w:space="0"/>
              <w:left w:val="single" w:color="000000" w:sz="4" w:space="0"/>
              <w:bottom w:val="single" w:color="000000" w:sz="4" w:space="0"/>
            </w:tcBorders>
            <w:vAlign w:val="center"/>
          </w:tcPr>
          <w:p w14:paraId="626CB79E">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磋商总报价（元）</w:t>
            </w:r>
          </w:p>
        </w:tc>
        <w:tc>
          <w:tcPr>
            <w:tcW w:w="3650" w:type="dxa"/>
            <w:tcBorders>
              <w:top w:val="single" w:color="000000" w:sz="4" w:space="0"/>
              <w:left w:val="single" w:color="000000" w:sz="4" w:space="0"/>
              <w:bottom w:val="single" w:color="000000" w:sz="4" w:space="0"/>
              <w:right w:val="single" w:color="000000" w:sz="4" w:space="0"/>
            </w:tcBorders>
            <w:vAlign w:val="center"/>
          </w:tcPr>
          <w:p w14:paraId="63A02AC8">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服务期</w:t>
            </w:r>
          </w:p>
        </w:tc>
        <w:tc>
          <w:tcPr>
            <w:tcW w:w="1765" w:type="dxa"/>
            <w:tcBorders>
              <w:top w:val="single" w:color="000000" w:sz="4" w:space="0"/>
              <w:left w:val="single" w:color="000000" w:sz="4" w:space="0"/>
              <w:bottom w:val="single" w:color="000000" w:sz="4" w:space="0"/>
              <w:right w:val="single" w:color="000000" w:sz="4" w:space="0"/>
            </w:tcBorders>
            <w:vAlign w:val="center"/>
          </w:tcPr>
          <w:p w14:paraId="6B18E0D4">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tc>
      </w:tr>
      <w:tr w14:paraId="409F2B23">
        <w:tblPrEx>
          <w:tblCellMar>
            <w:top w:w="0" w:type="dxa"/>
            <w:left w:w="108" w:type="dxa"/>
            <w:bottom w:w="0" w:type="dxa"/>
            <w:right w:w="108" w:type="dxa"/>
          </w:tblCellMar>
        </w:tblPrEx>
        <w:trPr>
          <w:trHeight w:val="2340" w:hRule="atLeast"/>
          <w:jc w:val="center"/>
        </w:trPr>
        <w:tc>
          <w:tcPr>
            <w:tcW w:w="3150" w:type="dxa"/>
            <w:tcBorders>
              <w:top w:val="single" w:color="000000" w:sz="4" w:space="0"/>
              <w:left w:val="single" w:color="000000" w:sz="4" w:space="0"/>
              <w:bottom w:val="single" w:color="000000" w:sz="4" w:space="0"/>
            </w:tcBorders>
            <w:vAlign w:val="center"/>
          </w:tcPr>
          <w:p w14:paraId="4BF15013">
            <w:pPr>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w:t>
            </w:r>
            <w:r>
              <w:rPr>
                <w:rFonts w:hint="eastAsia" w:ascii="宋体" w:hAnsi="宋体" w:cs="宋体"/>
                <w:color w:val="000000" w:themeColor="text1"/>
                <w:sz w:val="24"/>
                <w:u w:val="single"/>
                <w14:textFill>
                  <w14:solidFill>
                    <w14:schemeClr w14:val="tx1"/>
                  </w14:solidFill>
                </w14:textFill>
              </w:rPr>
              <w:t xml:space="preserve">                      </w:t>
            </w:r>
          </w:p>
          <w:p w14:paraId="660C9536">
            <w:pPr>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14:paraId="196DE1ED">
            <w:pPr>
              <w:spacing w:line="360" w:lineRule="auto"/>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小写：</w:t>
            </w:r>
            <w:r>
              <w:rPr>
                <w:rFonts w:hint="eastAsia" w:ascii="宋体" w:hAnsi="宋体" w:cs="宋体"/>
                <w:color w:val="000000" w:themeColor="text1"/>
                <w:sz w:val="24"/>
                <w:u w:val="single"/>
                <w14:textFill>
                  <w14:solidFill>
                    <w14:schemeClr w14:val="tx1"/>
                  </w14:solidFill>
                </w14:textFill>
              </w:rPr>
              <w:t xml:space="preserve">                      </w:t>
            </w:r>
          </w:p>
        </w:tc>
        <w:tc>
          <w:tcPr>
            <w:tcW w:w="3650" w:type="dxa"/>
            <w:tcBorders>
              <w:top w:val="single" w:color="000000" w:sz="4" w:space="0"/>
              <w:left w:val="single" w:color="000000" w:sz="4" w:space="0"/>
              <w:bottom w:val="single" w:color="000000" w:sz="4" w:space="0"/>
              <w:right w:val="single" w:color="000000" w:sz="4" w:space="0"/>
            </w:tcBorders>
            <w:vAlign w:val="center"/>
          </w:tcPr>
          <w:p w14:paraId="1EA51C9C">
            <w:pPr>
              <w:pStyle w:val="2"/>
              <w:rPr>
                <w:color w:val="000000" w:themeColor="text1"/>
                <w14:textFill>
                  <w14:solidFill>
                    <w14:schemeClr w14:val="tx1"/>
                  </w14:solidFill>
                </w14:textFill>
              </w:rPr>
            </w:pPr>
          </w:p>
        </w:tc>
        <w:tc>
          <w:tcPr>
            <w:tcW w:w="1765" w:type="dxa"/>
            <w:tcBorders>
              <w:top w:val="single" w:color="000000" w:sz="4" w:space="0"/>
              <w:left w:val="single" w:color="000000" w:sz="4" w:space="0"/>
              <w:bottom w:val="single" w:color="000000" w:sz="4" w:space="0"/>
              <w:right w:val="single" w:color="000000" w:sz="4" w:space="0"/>
            </w:tcBorders>
            <w:vAlign w:val="center"/>
          </w:tcPr>
          <w:p w14:paraId="27952DFA">
            <w:pPr>
              <w:spacing w:line="360" w:lineRule="auto"/>
              <w:jc w:val="center"/>
              <w:rPr>
                <w:rFonts w:ascii="宋体" w:hAnsi="宋体" w:cs="宋体"/>
                <w:color w:val="000000" w:themeColor="text1"/>
                <w:sz w:val="24"/>
                <w14:textFill>
                  <w14:solidFill>
                    <w14:schemeClr w14:val="tx1"/>
                  </w14:solidFill>
                </w14:textFill>
              </w:rPr>
            </w:pPr>
          </w:p>
        </w:tc>
      </w:tr>
    </w:tbl>
    <w:p w14:paraId="6F8A955F">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p w14:paraId="61EBD83B">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1.本合同为固定总价合同，供应商为完成磋商项目所需的全部费用（包括人员、验收、培训、运行维护、质量保证、税金等。）均应计入报价中。</w:t>
      </w:r>
    </w:p>
    <w:p w14:paraId="48C0BAB9">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2.本表不装在响应文件中，磋商时需要二次（最终）报价时现场填写。</w:t>
      </w:r>
    </w:p>
    <w:p w14:paraId="6F823E64">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考虑磋商报价的方便，供应商在填写最终报价后，(第一次报价－最终报价)除以第一次报价后得出的优惠率视同为需求表中全部分项设备或服务的优惠浮动值(特定分项优惠除外)。此优惠率调整原则适用于合同内价格的计算及项目增减、变更时价格的计算。</w:t>
      </w:r>
    </w:p>
    <w:p w14:paraId="7CAC644E">
      <w:pPr>
        <w:spacing w:line="360" w:lineRule="auto"/>
        <w:ind w:firstLine="3998" w:firstLineChars="1666"/>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供应商名称：</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p>
    <w:p w14:paraId="1210AF4C">
      <w:pPr>
        <w:spacing w:line="360" w:lineRule="auto"/>
        <w:ind w:firstLine="3998" w:firstLineChars="1666"/>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法定代表人</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/负责人</w:t>
      </w:r>
      <w:r>
        <w:rPr>
          <w:rFonts w:hint="eastAsia" w:asciiTheme="minorEastAsia" w:hAnsiTheme="minorEastAsia" w:eastAsiaTheme="minorEastAsia" w:cstheme="minorEastAsia"/>
          <w:color w:val="000000" w:themeColor="text1"/>
          <w:sz w:val="24"/>
          <w14:textFill>
            <w14:solidFill>
              <w14:schemeClr w14:val="tx1"/>
            </w14:solidFill>
          </w14:textFill>
        </w:rPr>
        <w:t>或</w:t>
      </w:r>
    </w:p>
    <w:p w14:paraId="1EEEEAE3">
      <w:pPr>
        <w:spacing w:line="360" w:lineRule="auto"/>
        <w:ind w:firstLine="3998" w:firstLineChars="1666"/>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委托代理人：</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 xml:space="preserve"> (签字)</w:t>
      </w:r>
    </w:p>
    <w:p w14:paraId="744AA223">
      <w:pPr>
        <w:spacing w:line="360" w:lineRule="auto"/>
        <w:ind w:firstLine="3998" w:firstLineChars="1666"/>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日      期：</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年</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月</w:t>
      </w:r>
      <w:r>
        <w:rPr>
          <w:rFonts w:hint="eastAsia" w:asciiTheme="minorEastAsia" w:hAnsiTheme="minorEastAsia" w:eastAsiaTheme="minorEastAsia" w:cs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日</w:t>
      </w:r>
    </w:p>
    <w:p w14:paraId="2EBDEA71">
      <w:pPr>
        <w:spacing w:line="500" w:lineRule="exact"/>
        <w:rPr>
          <w:rFonts w:ascii="宋体" w:hAnsi="宋体" w:cs="宋体"/>
          <w:b/>
          <w:bCs/>
          <w:color w:val="000000" w:themeColor="text1"/>
          <w:sz w:val="32"/>
          <w14:textFill>
            <w14:solidFill>
              <w14:schemeClr w14:val="tx1"/>
            </w14:solidFill>
          </w14:textFill>
        </w:rPr>
      </w:pPr>
    </w:p>
    <w:p w14:paraId="6B3AA657">
      <w:pPr>
        <w:pStyle w:val="11"/>
        <w:rPr>
          <w:color w:val="000000" w:themeColor="text1"/>
          <w14:textFill>
            <w14:solidFill>
              <w14:schemeClr w14:val="tx1"/>
            </w14:solidFill>
          </w14:textFill>
        </w:rPr>
      </w:pPr>
    </w:p>
    <w:p w14:paraId="6A7102D3">
      <w:pPr>
        <w:spacing w:line="360" w:lineRule="auto"/>
        <w:rPr>
          <w:rFonts w:ascii="宋体" w:hAnsi="宋体" w:cs="宋体"/>
          <w:b/>
          <w:color w:val="000000" w:themeColor="text1"/>
          <w:sz w:val="32"/>
          <w:szCs w:val="32"/>
          <w14:textFill>
            <w14:solidFill>
              <w14:schemeClr w14:val="tx1"/>
            </w14:solidFill>
          </w14:textFill>
        </w:rPr>
      </w:pPr>
    </w:p>
    <w:p w14:paraId="32602569">
      <w:pPr>
        <w:spacing w:line="360" w:lineRule="auto"/>
        <w:rPr>
          <w:rFonts w:ascii="宋体" w:hAnsi="宋体" w:cs="宋体"/>
          <w:b/>
          <w:color w:val="000000" w:themeColor="text1"/>
          <w:sz w:val="32"/>
          <w:szCs w:val="32"/>
          <w14:textFill>
            <w14:solidFill>
              <w14:schemeClr w14:val="tx1"/>
            </w14:solidFill>
          </w14:textFill>
        </w:rPr>
        <w:sectPr>
          <w:headerReference r:id="rId13" w:type="first"/>
          <w:footerReference r:id="rId15" w:type="first"/>
          <w:headerReference r:id="rId12" w:type="default"/>
          <w:footerReference r:id="rId14" w:type="default"/>
          <w:pgSz w:w="11906" w:h="16838"/>
          <w:pgMar w:top="1134" w:right="1417" w:bottom="1134" w:left="1417" w:header="851" w:footer="510" w:gutter="0"/>
          <w:pgBorders>
            <w:top w:val="none" w:sz="0" w:space="0"/>
            <w:left w:val="none" w:sz="0" w:space="0"/>
            <w:bottom w:val="none" w:sz="0" w:space="0"/>
            <w:right w:val="none" w:sz="0" w:space="0"/>
          </w:pgBorders>
          <w:cols w:space="720" w:num="1"/>
          <w:titlePg/>
          <w:docGrid w:linePitch="312" w:charSpace="0"/>
        </w:sectPr>
      </w:pPr>
    </w:p>
    <w:p w14:paraId="6F8ADCD7">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附件五</w:t>
      </w:r>
    </w:p>
    <w:p w14:paraId="397B0EEA">
      <w:pPr>
        <w:pStyle w:val="10"/>
        <w:jc w:val="center"/>
        <w:rPr>
          <w:rFonts w:hAnsi="宋体" w:cs="宋体"/>
          <w:color w:val="000000" w:themeColor="text1"/>
          <w:sz w:val="24"/>
          <w:szCs w:val="24"/>
          <w14:textFill>
            <w14:solidFill>
              <w14:schemeClr w14:val="tx1"/>
            </w14:solidFill>
          </w14:textFill>
        </w:rPr>
      </w:pPr>
      <w:r>
        <w:rPr>
          <w:rFonts w:hint="eastAsia" w:hAnsi="宋体" w:cs="宋体"/>
          <w:b/>
          <w:bCs/>
          <w:color w:val="000000" w:themeColor="text1"/>
          <w:sz w:val="32"/>
          <w:szCs w:val="32"/>
          <w14:textFill>
            <w14:solidFill>
              <w14:schemeClr w14:val="tx1"/>
            </w14:solidFill>
          </w14:textFill>
        </w:rPr>
        <w:t>磋商保证金</w:t>
      </w:r>
    </w:p>
    <w:p w14:paraId="73191A34">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说明：可提供付款凭证或金融机构、担保机构出具的保函原件。</w:t>
      </w:r>
    </w:p>
    <w:p w14:paraId="574D230D">
      <w:pPr>
        <w:pStyle w:val="10"/>
        <w:spacing w:line="460" w:lineRule="exact"/>
        <w:ind w:firstLine="480" w:firstLineChars="200"/>
        <w:rPr>
          <w:rFonts w:hAnsi="宋体" w:cs="宋体"/>
          <w:color w:val="000000" w:themeColor="text1"/>
          <w:sz w:val="24"/>
          <w:szCs w:val="24"/>
          <w14:textFill>
            <w14:solidFill>
              <w14:schemeClr w14:val="tx1"/>
            </w14:solidFill>
          </w14:textFill>
        </w:rPr>
      </w:pPr>
    </w:p>
    <w:p w14:paraId="33B75D28">
      <w:pPr>
        <w:pStyle w:val="10"/>
        <w:spacing w:line="460" w:lineRule="exact"/>
        <w:jc w:val="center"/>
        <w:rPr>
          <w:rFonts w:hAnsi="宋体" w:cs="宋体"/>
          <w:b/>
          <w:bCs/>
          <w:color w:val="000000" w:themeColor="text1"/>
          <w:sz w:val="24"/>
          <w:szCs w:val="24"/>
          <w14:textFill>
            <w14:solidFill>
              <w14:schemeClr w14:val="tx1"/>
            </w14:solidFill>
          </w14:textFill>
        </w:rPr>
      </w:pPr>
      <w:r>
        <w:rPr>
          <w:rFonts w:hint="eastAsia" w:hAnsi="宋体" w:cs="宋体"/>
          <w:b/>
          <w:bCs/>
          <w:color w:val="000000" w:themeColor="text1"/>
          <w:sz w:val="24"/>
          <w:szCs w:val="24"/>
          <w14:textFill>
            <w14:solidFill>
              <w14:schemeClr w14:val="tx1"/>
            </w14:solidFill>
          </w14:textFill>
        </w:rPr>
        <w:t>保证金汇款声明函(适用银行转账)</w:t>
      </w:r>
    </w:p>
    <w:p w14:paraId="78B5689D">
      <w:pPr>
        <w:pStyle w:val="10"/>
        <w:spacing w:line="460" w:lineRule="exact"/>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致：____________(采购人或采购代理机构)</w:t>
      </w:r>
    </w:p>
    <w:p w14:paraId="57338EAA">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我方为</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(项目名称)(项目编号：</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)递交保证金人民币</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元(大写(人民币</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元)已于______年____月____日以银行主动划账方式划入你方账户。</w:t>
      </w:r>
    </w:p>
    <w:p w14:paraId="04EAC18A">
      <w:pPr>
        <w:pStyle w:val="10"/>
        <w:spacing w:line="460" w:lineRule="exact"/>
        <w:ind w:firstLine="480" w:firstLineChars="200"/>
        <w:rPr>
          <w:rFonts w:hAnsi="宋体" w:cs="宋体"/>
          <w:color w:val="000000" w:themeColor="text1"/>
          <w:sz w:val="24"/>
          <w:szCs w:val="24"/>
          <w14:textFill>
            <w14:solidFill>
              <w14:schemeClr w14:val="tx1"/>
            </w14:solidFill>
          </w14:textFill>
        </w:rPr>
      </w:pPr>
    </w:p>
    <w:p w14:paraId="0807C4ED">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详见附件：银行出具的汇款单或转账凭证复印件。</w:t>
      </w:r>
    </w:p>
    <w:p w14:paraId="337FCD9E">
      <w:pPr>
        <w:pStyle w:val="10"/>
        <w:spacing w:line="460" w:lineRule="exact"/>
        <w:ind w:firstLine="482" w:firstLineChars="200"/>
        <w:rPr>
          <w:rFonts w:hAnsi="宋体" w:cs="宋体"/>
          <w:b/>
          <w:bCs/>
          <w:color w:val="000000" w:themeColor="text1"/>
          <w:sz w:val="24"/>
          <w:szCs w:val="24"/>
          <w14:textFill>
            <w14:solidFill>
              <w14:schemeClr w14:val="tx1"/>
            </w14:solidFill>
          </w14:textFill>
        </w:rPr>
      </w:pPr>
      <w:r>
        <w:rPr>
          <w:rFonts w:hint="eastAsia" w:hAnsi="宋体" w:cs="宋体"/>
          <w:b/>
          <w:bCs/>
          <w:color w:val="000000" w:themeColor="text1"/>
          <w:sz w:val="24"/>
          <w:szCs w:val="24"/>
          <w14:textFill>
            <w14:solidFill>
              <w14:schemeClr w14:val="tx1"/>
            </w14:solidFill>
          </w14:textFill>
        </w:rPr>
        <w:t>退还保证金时请按以下内容划入我方账户。若因内容不全、错误、字迹潦草模糊导致该项目保证金未能及时退还或退还过程中发生错误，我方将承担全部责任和损失。</w:t>
      </w:r>
    </w:p>
    <w:p w14:paraId="0FDB77B1">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单位全称：</w:t>
      </w:r>
    </w:p>
    <w:p w14:paraId="353D8820">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开户银行：</w:t>
      </w:r>
    </w:p>
    <w:p w14:paraId="6D52FE20">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开户账号：</w:t>
      </w:r>
    </w:p>
    <w:p w14:paraId="6B4CDF93">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供应商(公章)：　</w:t>
      </w:r>
    </w:p>
    <w:p w14:paraId="320C13FE">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地址：　</w:t>
      </w:r>
    </w:p>
    <w:p w14:paraId="5725078C">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项目联系人：　　</w:t>
      </w:r>
    </w:p>
    <w:p w14:paraId="0C032573">
      <w:pPr>
        <w:pStyle w:val="10"/>
        <w:spacing w:line="460" w:lineRule="exact"/>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电话(手机)：　</w:t>
      </w:r>
    </w:p>
    <w:tbl>
      <w:tblPr>
        <w:tblStyle w:val="21"/>
        <w:tblW w:w="79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20"/>
      </w:tblGrid>
      <w:tr w14:paraId="3A07C4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1" w:hRule="atLeast"/>
          <w:jc w:val="center"/>
        </w:trPr>
        <w:tc>
          <w:tcPr>
            <w:tcW w:w="7920" w:type="dxa"/>
            <w:tcBorders>
              <w:top w:val="single" w:color="auto" w:sz="4" w:space="0"/>
              <w:bottom w:val="single" w:color="auto" w:sz="4" w:space="0"/>
            </w:tcBorders>
            <w:vAlign w:val="center"/>
          </w:tcPr>
          <w:p w14:paraId="30D6249D">
            <w:pPr>
              <w:pStyle w:val="10"/>
              <w:jc w:val="center"/>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汇款单或转账凭证复印件</w:t>
            </w:r>
          </w:p>
        </w:tc>
      </w:tr>
    </w:tbl>
    <w:p w14:paraId="651BCD23">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63EBB186">
      <w:pPr>
        <w:pStyle w:val="3"/>
        <w:rPr>
          <w:rFonts w:ascii="宋体" w:hAnsi="宋体" w:cs="宋体"/>
          <w:color w:val="000000" w:themeColor="text1"/>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第六部分  封袋正面标识式样</w:t>
      </w:r>
    </w:p>
    <w:p w14:paraId="544095FE">
      <w:pPr>
        <w:spacing w:line="46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格式A：磋商响应文件封袋正面标识式样</w:t>
      </w:r>
    </w:p>
    <w:p w14:paraId="79AEA804">
      <w:pPr>
        <w:spacing w:line="46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153035</wp:posOffset>
                </wp:positionV>
                <wp:extent cx="5715000" cy="6562725"/>
                <wp:effectExtent l="4445" t="5080" r="14605" b="4445"/>
                <wp:wrapNone/>
                <wp:docPr id="1" name="文本框 1"/>
                <wp:cNvGraphicFramePr/>
                <a:graphic xmlns:a="http://schemas.openxmlformats.org/drawingml/2006/main">
                  <a:graphicData uri="http://schemas.microsoft.com/office/word/2010/wordprocessingShape">
                    <wps:wsp>
                      <wps:cNvSpPr txBox="1"/>
                      <wps:spPr>
                        <a:xfrm>
                          <a:off x="0" y="0"/>
                          <a:ext cx="5715000" cy="6562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4DD72E">
                            <w:pPr>
                              <w:rPr>
                                <w:sz w:val="28"/>
                                <w:szCs w:val="28"/>
                              </w:rPr>
                            </w:pPr>
                            <w:r>
                              <w:rPr>
                                <w:rFonts w:hint="eastAsia"/>
                                <w:sz w:val="28"/>
                                <w:szCs w:val="28"/>
                              </w:rPr>
                              <w:t>致：泾清项目管理有限公司</w:t>
                            </w:r>
                          </w:p>
                          <w:p w14:paraId="6A1B9B59">
                            <w:pPr>
                              <w:rPr>
                                <w:color w:val="FF0000"/>
                                <w:sz w:val="28"/>
                                <w:szCs w:val="28"/>
                              </w:rPr>
                            </w:pPr>
                            <w:r>
                              <w:rPr>
                                <w:rFonts w:hint="eastAsia"/>
                                <w:sz w:val="28"/>
                                <w:szCs w:val="28"/>
                              </w:rPr>
                              <w:t xml:space="preserve">项目编号：                                       </w:t>
                            </w:r>
                            <w:r>
                              <w:rPr>
                                <w:rFonts w:hint="eastAsia"/>
                                <w:color w:val="FF0000"/>
                                <w:sz w:val="28"/>
                                <w:szCs w:val="28"/>
                              </w:rPr>
                              <w:t xml:space="preserve">  </w:t>
                            </w:r>
                          </w:p>
                          <w:p w14:paraId="36C7D1AC">
                            <w:pPr>
                              <w:rPr>
                                <w:sz w:val="28"/>
                                <w:szCs w:val="28"/>
                              </w:rPr>
                            </w:pPr>
                            <w:r>
                              <w:rPr>
                                <w:rFonts w:hint="eastAsia"/>
                                <w:sz w:val="28"/>
                                <w:szCs w:val="28"/>
                              </w:rPr>
                              <w:t>项目名称：</w:t>
                            </w:r>
                          </w:p>
                          <w:p w14:paraId="5137797E">
                            <w:pPr>
                              <w:rPr>
                                <w:color w:val="FF0000"/>
                                <w:sz w:val="28"/>
                                <w:szCs w:val="28"/>
                              </w:rPr>
                            </w:pPr>
                            <w:r>
                              <w:rPr>
                                <w:rFonts w:hint="eastAsia"/>
                                <w:sz w:val="28"/>
                                <w:szCs w:val="28"/>
                              </w:rPr>
                              <w:t xml:space="preserve">                           </w:t>
                            </w:r>
                          </w:p>
                          <w:p w14:paraId="5A1BE69E">
                            <w:pPr>
                              <w:jc w:val="center"/>
                              <w:rPr>
                                <w:b/>
                                <w:sz w:val="44"/>
                                <w:szCs w:val="44"/>
                              </w:rPr>
                            </w:pPr>
                          </w:p>
                          <w:p w14:paraId="5B911778">
                            <w:pPr>
                              <w:jc w:val="center"/>
                              <w:rPr>
                                <w:b/>
                                <w:sz w:val="44"/>
                                <w:szCs w:val="44"/>
                              </w:rPr>
                            </w:pPr>
                          </w:p>
                          <w:p w14:paraId="6E6270D4">
                            <w:pPr>
                              <w:jc w:val="center"/>
                              <w:rPr>
                                <w:b/>
                                <w:sz w:val="44"/>
                                <w:szCs w:val="44"/>
                              </w:rPr>
                            </w:pPr>
                          </w:p>
                          <w:p w14:paraId="47A68C93">
                            <w:pPr>
                              <w:jc w:val="center"/>
                              <w:rPr>
                                <w:b/>
                                <w:sz w:val="44"/>
                                <w:szCs w:val="44"/>
                              </w:rPr>
                            </w:pPr>
                            <w:r>
                              <w:rPr>
                                <w:rFonts w:hint="eastAsia"/>
                                <w:b/>
                                <w:sz w:val="44"/>
                                <w:szCs w:val="44"/>
                              </w:rPr>
                              <w:t>磋商响应文件正本（副本）</w:t>
                            </w:r>
                          </w:p>
                          <w:p w14:paraId="379041D8">
                            <w:pPr>
                              <w:ind w:firstLine="280" w:firstLineChars="100"/>
                              <w:rPr>
                                <w:sz w:val="28"/>
                                <w:szCs w:val="28"/>
                              </w:rPr>
                            </w:pPr>
                            <w:r>
                              <w:rPr>
                                <w:rFonts w:hint="eastAsia" w:ascii="宋体" w:hAnsi="宋体" w:cs="宋体"/>
                                <w:sz w:val="28"/>
                                <w:szCs w:val="28"/>
                              </w:rPr>
                              <w:t>（磋商响应文件在2023年  月    日       时前不得开启）</w:t>
                            </w:r>
                          </w:p>
                          <w:p w14:paraId="2C6C03B7">
                            <w:pPr>
                              <w:ind w:firstLine="280" w:firstLineChars="100"/>
                              <w:rPr>
                                <w:sz w:val="28"/>
                                <w:szCs w:val="28"/>
                              </w:rPr>
                            </w:pPr>
                          </w:p>
                          <w:p w14:paraId="2736E3B0">
                            <w:pPr>
                              <w:ind w:firstLine="280" w:firstLineChars="100"/>
                              <w:rPr>
                                <w:sz w:val="28"/>
                                <w:szCs w:val="28"/>
                              </w:rPr>
                            </w:pPr>
                          </w:p>
                          <w:p w14:paraId="2CE3C7C3">
                            <w:pPr>
                              <w:ind w:firstLine="280" w:firstLineChars="100"/>
                              <w:rPr>
                                <w:sz w:val="28"/>
                                <w:szCs w:val="28"/>
                              </w:rPr>
                            </w:pPr>
                          </w:p>
                          <w:p w14:paraId="74223B4E">
                            <w:pPr>
                              <w:ind w:firstLine="280" w:firstLineChars="100"/>
                              <w:rPr>
                                <w:sz w:val="28"/>
                                <w:szCs w:val="28"/>
                              </w:rPr>
                            </w:pPr>
                          </w:p>
                          <w:p w14:paraId="1866CE97">
                            <w:pPr>
                              <w:ind w:firstLine="280" w:firstLineChars="100"/>
                              <w:rPr>
                                <w:sz w:val="28"/>
                                <w:szCs w:val="28"/>
                              </w:rPr>
                            </w:pPr>
                          </w:p>
                          <w:p w14:paraId="26120E78">
                            <w:pPr>
                              <w:ind w:firstLine="280" w:firstLineChars="100"/>
                              <w:rPr>
                                <w:sz w:val="28"/>
                                <w:szCs w:val="28"/>
                              </w:rPr>
                            </w:pPr>
                          </w:p>
                          <w:p w14:paraId="13359F39">
                            <w:pPr>
                              <w:ind w:firstLine="280" w:firstLineChars="100"/>
                              <w:rPr>
                                <w:sz w:val="28"/>
                                <w:szCs w:val="28"/>
                              </w:rPr>
                            </w:pPr>
                          </w:p>
                          <w:p w14:paraId="36EC89E6">
                            <w:pPr>
                              <w:ind w:firstLine="280" w:firstLineChars="100"/>
                              <w:rPr>
                                <w:sz w:val="28"/>
                                <w:szCs w:val="28"/>
                              </w:rPr>
                            </w:pPr>
                          </w:p>
                          <w:p w14:paraId="2F826461">
                            <w:pPr>
                              <w:ind w:firstLine="280" w:firstLineChars="100"/>
                              <w:rPr>
                                <w:sz w:val="28"/>
                                <w:szCs w:val="28"/>
                              </w:rPr>
                            </w:pPr>
                            <w:r>
                              <w:rPr>
                                <w:rFonts w:hint="eastAsia"/>
                                <w:sz w:val="28"/>
                                <w:szCs w:val="28"/>
                              </w:rPr>
                              <w:t>供应商名称：            （公章）</w:t>
                            </w:r>
                          </w:p>
                          <w:p w14:paraId="0DDDD9F4">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12.05pt;height:516.75pt;width:450pt;z-index:251661312;mso-width-relative:page;mso-height-relative:page;" fillcolor="#FFFFFF" filled="t" stroked="t" coordsize="21600,21600" o:gfxdata="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svkv9cAAAAIAQAADwAAAAAAAAAB&#10;ACAAAAAiAAAAZHJzL2Rvd25yZXYueG1sUEsBAhQAFAAAAAgAh07iQLBRfdYRAgAARQQAAA4AAAAA&#10;AAAAAQAgAAAAJgEAAGRycy9lMm9Eb2MueG1sUEsFBgAAAAAGAAYAWQEAAKkFAAAAAA==&#10;">
                <v:fill on="t" focussize="0,0"/>
                <v:stroke color="#000000" joinstyle="miter"/>
                <v:imagedata o:title=""/>
                <o:lock v:ext="edit" aspectratio="f"/>
                <v:textbox>
                  <w:txbxContent>
                    <w:p w14:paraId="7C4DD72E">
                      <w:pPr>
                        <w:rPr>
                          <w:sz w:val="28"/>
                          <w:szCs w:val="28"/>
                        </w:rPr>
                      </w:pPr>
                      <w:r>
                        <w:rPr>
                          <w:rFonts w:hint="eastAsia"/>
                          <w:sz w:val="28"/>
                          <w:szCs w:val="28"/>
                        </w:rPr>
                        <w:t>致：泾清项目管理有限公司</w:t>
                      </w:r>
                    </w:p>
                    <w:p w14:paraId="6A1B9B59">
                      <w:pPr>
                        <w:rPr>
                          <w:color w:val="FF0000"/>
                          <w:sz w:val="28"/>
                          <w:szCs w:val="28"/>
                        </w:rPr>
                      </w:pPr>
                      <w:r>
                        <w:rPr>
                          <w:rFonts w:hint="eastAsia"/>
                          <w:sz w:val="28"/>
                          <w:szCs w:val="28"/>
                        </w:rPr>
                        <w:t xml:space="preserve">项目编号：                                       </w:t>
                      </w:r>
                      <w:r>
                        <w:rPr>
                          <w:rFonts w:hint="eastAsia"/>
                          <w:color w:val="FF0000"/>
                          <w:sz w:val="28"/>
                          <w:szCs w:val="28"/>
                        </w:rPr>
                        <w:t xml:space="preserve">  </w:t>
                      </w:r>
                    </w:p>
                    <w:p w14:paraId="36C7D1AC">
                      <w:pPr>
                        <w:rPr>
                          <w:sz w:val="28"/>
                          <w:szCs w:val="28"/>
                        </w:rPr>
                      </w:pPr>
                      <w:r>
                        <w:rPr>
                          <w:rFonts w:hint="eastAsia"/>
                          <w:sz w:val="28"/>
                          <w:szCs w:val="28"/>
                        </w:rPr>
                        <w:t>项目名称：</w:t>
                      </w:r>
                    </w:p>
                    <w:p w14:paraId="5137797E">
                      <w:pPr>
                        <w:rPr>
                          <w:color w:val="FF0000"/>
                          <w:sz w:val="28"/>
                          <w:szCs w:val="28"/>
                        </w:rPr>
                      </w:pPr>
                      <w:r>
                        <w:rPr>
                          <w:rFonts w:hint="eastAsia"/>
                          <w:sz w:val="28"/>
                          <w:szCs w:val="28"/>
                        </w:rPr>
                        <w:t xml:space="preserve">                           </w:t>
                      </w:r>
                    </w:p>
                    <w:p w14:paraId="5A1BE69E">
                      <w:pPr>
                        <w:jc w:val="center"/>
                        <w:rPr>
                          <w:b/>
                          <w:sz w:val="44"/>
                          <w:szCs w:val="44"/>
                        </w:rPr>
                      </w:pPr>
                    </w:p>
                    <w:p w14:paraId="5B911778">
                      <w:pPr>
                        <w:jc w:val="center"/>
                        <w:rPr>
                          <w:b/>
                          <w:sz w:val="44"/>
                          <w:szCs w:val="44"/>
                        </w:rPr>
                      </w:pPr>
                    </w:p>
                    <w:p w14:paraId="6E6270D4">
                      <w:pPr>
                        <w:jc w:val="center"/>
                        <w:rPr>
                          <w:b/>
                          <w:sz w:val="44"/>
                          <w:szCs w:val="44"/>
                        </w:rPr>
                      </w:pPr>
                    </w:p>
                    <w:p w14:paraId="47A68C93">
                      <w:pPr>
                        <w:jc w:val="center"/>
                        <w:rPr>
                          <w:b/>
                          <w:sz w:val="44"/>
                          <w:szCs w:val="44"/>
                        </w:rPr>
                      </w:pPr>
                      <w:r>
                        <w:rPr>
                          <w:rFonts w:hint="eastAsia"/>
                          <w:b/>
                          <w:sz w:val="44"/>
                          <w:szCs w:val="44"/>
                        </w:rPr>
                        <w:t>磋商响应文件正本（副本）</w:t>
                      </w:r>
                    </w:p>
                    <w:p w14:paraId="379041D8">
                      <w:pPr>
                        <w:ind w:firstLine="280" w:firstLineChars="100"/>
                        <w:rPr>
                          <w:sz w:val="28"/>
                          <w:szCs w:val="28"/>
                        </w:rPr>
                      </w:pPr>
                      <w:r>
                        <w:rPr>
                          <w:rFonts w:hint="eastAsia" w:ascii="宋体" w:hAnsi="宋体" w:cs="宋体"/>
                          <w:sz w:val="28"/>
                          <w:szCs w:val="28"/>
                        </w:rPr>
                        <w:t>（磋商响应文件在2023年  月    日       时前不得开启）</w:t>
                      </w:r>
                    </w:p>
                    <w:p w14:paraId="2C6C03B7">
                      <w:pPr>
                        <w:ind w:firstLine="280" w:firstLineChars="100"/>
                        <w:rPr>
                          <w:sz w:val="28"/>
                          <w:szCs w:val="28"/>
                        </w:rPr>
                      </w:pPr>
                    </w:p>
                    <w:p w14:paraId="2736E3B0">
                      <w:pPr>
                        <w:ind w:firstLine="280" w:firstLineChars="100"/>
                        <w:rPr>
                          <w:sz w:val="28"/>
                          <w:szCs w:val="28"/>
                        </w:rPr>
                      </w:pPr>
                    </w:p>
                    <w:p w14:paraId="2CE3C7C3">
                      <w:pPr>
                        <w:ind w:firstLine="280" w:firstLineChars="100"/>
                        <w:rPr>
                          <w:sz w:val="28"/>
                          <w:szCs w:val="28"/>
                        </w:rPr>
                      </w:pPr>
                    </w:p>
                    <w:p w14:paraId="74223B4E">
                      <w:pPr>
                        <w:ind w:firstLine="280" w:firstLineChars="100"/>
                        <w:rPr>
                          <w:sz w:val="28"/>
                          <w:szCs w:val="28"/>
                        </w:rPr>
                      </w:pPr>
                    </w:p>
                    <w:p w14:paraId="1866CE97">
                      <w:pPr>
                        <w:ind w:firstLine="280" w:firstLineChars="100"/>
                        <w:rPr>
                          <w:sz w:val="28"/>
                          <w:szCs w:val="28"/>
                        </w:rPr>
                      </w:pPr>
                    </w:p>
                    <w:p w14:paraId="26120E78">
                      <w:pPr>
                        <w:ind w:firstLine="280" w:firstLineChars="100"/>
                        <w:rPr>
                          <w:sz w:val="28"/>
                          <w:szCs w:val="28"/>
                        </w:rPr>
                      </w:pPr>
                    </w:p>
                    <w:p w14:paraId="13359F39">
                      <w:pPr>
                        <w:ind w:firstLine="280" w:firstLineChars="100"/>
                        <w:rPr>
                          <w:sz w:val="28"/>
                          <w:szCs w:val="28"/>
                        </w:rPr>
                      </w:pPr>
                    </w:p>
                    <w:p w14:paraId="36EC89E6">
                      <w:pPr>
                        <w:ind w:firstLine="280" w:firstLineChars="100"/>
                        <w:rPr>
                          <w:sz w:val="28"/>
                          <w:szCs w:val="28"/>
                        </w:rPr>
                      </w:pPr>
                    </w:p>
                    <w:p w14:paraId="2F826461">
                      <w:pPr>
                        <w:ind w:firstLine="280" w:firstLineChars="100"/>
                        <w:rPr>
                          <w:sz w:val="28"/>
                          <w:szCs w:val="28"/>
                        </w:rPr>
                      </w:pPr>
                      <w:r>
                        <w:rPr>
                          <w:rFonts w:hint="eastAsia"/>
                          <w:sz w:val="28"/>
                          <w:szCs w:val="28"/>
                        </w:rPr>
                        <w:t>供应商名称：            （公章）</w:t>
                      </w:r>
                    </w:p>
                    <w:p w14:paraId="0DDDD9F4">
                      <w:pPr>
                        <w:rPr>
                          <w:sz w:val="28"/>
                          <w:szCs w:val="28"/>
                        </w:rPr>
                      </w:pPr>
                      <w:r>
                        <w:rPr>
                          <w:rFonts w:hint="eastAsia"/>
                          <w:sz w:val="28"/>
                          <w:szCs w:val="28"/>
                        </w:rPr>
                        <w:t xml:space="preserve">                                </w:t>
                      </w:r>
                    </w:p>
                  </w:txbxContent>
                </v:textbox>
              </v:shape>
            </w:pict>
          </mc:Fallback>
        </mc:AlternateContent>
      </w:r>
    </w:p>
    <w:p w14:paraId="0E6C7EC3">
      <w:pPr>
        <w:spacing w:line="460" w:lineRule="exact"/>
        <w:ind w:firstLine="482" w:firstLineChars="200"/>
        <w:rPr>
          <w:rFonts w:ascii="宋体" w:hAnsi="宋体" w:cs="宋体"/>
          <w:b/>
          <w:color w:val="000000" w:themeColor="text1"/>
          <w:sz w:val="24"/>
          <w14:textFill>
            <w14:solidFill>
              <w14:schemeClr w14:val="tx1"/>
            </w14:solidFill>
          </w14:textFill>
        </w:rPr>
      </w:pPr>
    </w:p>
    <w:p w14:paraId="68318BEE">
      <w:pPr>
        <w:spacing w:line="460" w:lineRule="exact"/>
        <w:ind w:firstLine="482" w:firstLineChars="200"/>
        <w:rPr>
          <w:rFonts w:ascii="宋体" w:hAnsi="宋体" w:cs="宋体"/>
          <w:b/>
          <w:color w:val="000000" w:themeColor="text1"/>
          <w:sz w:val="24"/>
          <w14:textFill>
            <w14:solidFill>
              <w14:schemeClr w14:val="tx1"/>
            </w14:solidFill>
          </w14:textFill>
        </w:rPr>
      </w:pPr>
    </w:p>
    <w:p w14:paraId="008428D1">
      <w:pPr>
        <w:spacing w:line="360" w:lineRule="atLeast"/>
        <w:ind w:firstLine="2108" w:firstLineChars="500"/>
        <w:rPr>
          <w:rFonts w:ascii="宋体" w:hAnsi="宋体" w:cs="宋体"/>
          <w:b/>
          <w:color w:val="000000" w:themeColor="text1"/>
          <w:sz w:val="42"/>
          <w:szCs w:val="42"/>
          <w14:textFill>
            <w14:solidFill>
              <w14:schemeClr w14:val="tx1"/>
            </w14:solidFill>
          </w14:textFill>
        </w:rPr>
      </w:pPr>
    </w:p>
    <w:p w14:paraId="2039CA0E">
      <w:pPr>
        <w:spacing w:line="360" w:lineRule="atLeast"/>
        <w:ind w:firstLine="2108" w:firstLineChars="500"/>
        <w:rPr>
          <w:rFonts w:ascii="宋体" w:hAnsi="宋体" w:cs="宋体"/>
          <w:b/>
          <w:color w:val="000000" w:themeColor="text1"/>
          <w:sz w:val="42"/>
          <w:szCs w:val="42"/>
          <w14:textFill>
            <w14:solidFill>
              <w14:schemeClr w14:val="tx1"/>
            </w14:solidFill>
          </w14:textFill>
        </w:rPr>
      </w:pPr>
    </w:p>
    <w:p w14:paraId="24A4DB22">
      <w:pPr>
        <w:spacing w:line="360" w:lineRule="atLeast"/>
        <w:ind w:firstLine="2108" w:firstLineChars="500"/>
        <w:rPr>
          <w:rFonts w:ascii="宋体" w:hAnsi="宋体" w:cs="宋体"/>
          <w:b/>
          <w:color w:val="000000" w:themeColor="text1"/>
          <w:sz w:val="42"/>
          <w:szCs w:val="42"/>
          <w14:textFill>
            <w14:solidFill>
              <w14:schemeClr w14:val="tx1"/>
            </w14:solidFill>
          </w14:textFill>
        </w:rPr>
      </w:pPr>
    </w:p>
    <w:p w14:paraId="325D7BCA">
      <w:pPr>
        <w:spacing w:line="360" w:lineRule="atLeast"/>
        <w:ind w:firstLine="2108" w:firstLineChars="500"/>
        <w:rPr>
          <w:rFonts w:ascii="宋体" w:hAnsi="宋体" w:cs="宋体"/>
          <w:b/>
          <w:color w:val="000000" w:themeColor="text1"/>
          <w:sz w:val="42"/>
          <w:szCs w:val="42"/>
          <w14:textFill>
            <w14:solidFill>
              <w14:schemeClr w14:val="tx1"/>
            </w14:solidFill>
          </w14:textFill>
        </w:rPr>
      </w:pPr>
    </w:p>
    <w:p w14:paraId="38D719E5">
      <w:pPr>
        <w:spacing w:line="360" w:lineRule="atLeast"/>
        <w:ind w:firstLine="2108" w:firstLineChars="500"/>
        <w:rPr>
          <w:rFonts w:ascii="宋体" w:hAnsi="宋体" w:cs="宋体"/>
          <w:b/>
          <w:color w:val="000000" w:themeColor="text1"/>
          <w:sz w:val="42"/>
          <w:szCs w:val="42"/>
          <w14:textFill>
            <w14:solidFill>
              <w14:schemeClr w14:val="tx1"/>
            </w14:solidFill>
          </w14:textFill>
        </w:rPr>
      </w:pPr>
    </w:p>
    <w:p w14:paraId="2139613F">
      <w:pPr>
        <w:spacing w:line="360" w:lineRule="atLeast"/>
        <w:ind w:firstLine="2108" w:firstLineChars="500"/>
        <w:rPr>
          <w:rFonts w:ascii="宋体" w:hAnsi="宋体" w:cs="宋体"/>
          <w:b/>
          <w:color w:val="000000" w:themeColor="text1"/>
          <w:sz w:val="42"/>
          <w:szCs w:val="42"/>
          <w14:textFill>
            <w14:solidFill>
              <w14:schemeClr w14:val="tx1"/>
            </w14:solidFill>
          </w14:textFill>
        </w:rPr>
      </w:pPr>
    </w:p>
    <w:p w14:paraId="5BA76BAB">
      <w:pPr>
        <w:spacing w:line="360" w:lineRule="atLeast"/>
        <w:ind w:firstLine="2108" w:firstLineChars="500"/>
        <w:rPr>
          <w:rFonts w:ascii="宋体" w:hAnsi="宋体" w:cs="宋体"/>
          <w:b/>
          <w:color w:val="000000" w:themeColor="text1"/>
          <w:sz w:val="42"/>
          <w:szCs w:val="42"/>
          <w14:textFill>
            <w14:solidFill>
              <w14:schemeClr w14:val="tx1"/>
            </w14:solidFill>
          </w14:textFill>
        </w:rPr>
      </w:pPr>
    </w:p>
    <w:p w14:paraId="69EBDAFF">
      <w:pPr>
        <w:spacing w:line="360" w:lineRule="atLeast"/>
        <w:rPr>
          <w:rFonts w:ascii="宋体" w:hAnsi="宋体" w:cs="宋体"/>
          <w:b/>
          <w:color w:val="000000" w:themeColor="text1"/>
          <w:sz w:val="24"/>
          <w14:textFill>
            <w14:solidFill>
              <w14:schemeClr w14:val="tx1"/>
            </w14:solidFill>
          </w14:textFill>
        </w:rPr>
      </w:pPr>
    </w:p>
    <w:p w14:paraId="0AF92F0D">
      <w:pPr>
        <w:spacing w:line="360" w:lineRule="auto"/>
        <w:rPr>
          <w:rFonts w:ascii="宋体" w:hAnsi="宋体" w:cs="宋体"/>
          <w:b/>
          <w:color w:val="000000" w:themeColor="text1"/>
          <w:sz w:val="32"/>
          <w:szCs w:val="32"/>
          <w14:textFill>
            <w14:solidFill>
              <w14:schemeClr w14:val="tx1"/>
            </w14:solidFill>
          </w14:textFill>
        </w:rPr>
      </w:pPr>
    </w:p>
    <w:p w14:paraId="0AF25A3E">
      <w:pPr>
        <w:spacing w:line="360" w:lineRule="auto"/>
        <w:rPr>
          <w:rFonts w:ascii="宋体" w:hAnsi="宋体" w:cs="宋体"/>
          <w:b/>
          <w:color w:val="000000" w:themeColor="text1"/>
          <w:sz w:val="32"/>
          <w:szCs w:val="32"/>
          <w14:textFill>
            <w14:solidFill>
              <w14:schemeClr w14:val="tx1"/>
            </w14:solidFill>
          </w14:textFill>
        </w:rPr>
      </w:pPr>
    </w:p>
    <w:p w14:paraId="4245F8B6">
      <w:pPr>
        <w:spacing w:line="360" w:lineRule="auto"/>
        <w:rPr>
          <w:rFonts w:ascii="宋体" w:hAnsi="宋体" w:cs="宋体"/>
          <w:b/>
          <w:color w:val="000000" w:themeColor="text1"/>
          <w:sz w:val="32"/>
          <w:szCs w:val="32"/>
          <w14:textFill>
            <w14:solidFill>
              <w14:schemeClr w14:val="tx1"/>
            </w14:solidFill>
          </w14:textFill>
        </w:rPr>
      </w:pPr>
    </w:p>
    <w:p w14:paraId="5C5FA11C">
      <w:pPr>
        <w:spacing w:line="360" w:lineRule="auto"/>
        <w:rPr>
          <w:rFonts w:ascii="宋体" w:hAnsi="宋体" w:cs="宋体"/>
          <w:b/>
          <w:color w:val="000000" w:themeColor="text1"/>
          <w:sz w:val="32"/>
          <w:szCs w:val="32"/>
          <w14:textFill>
            <w14:solidFill>
              <w14:schemeClr w14:val="tx1"/>
            </w14:solidFill>
          </w14:textFill>
        </w:rPr>
      </w:pPr>
    </w:p>
    <w:p w14:paraId="34F31E33">
      <w:pPr>
        <w:spacing w:line="360" w:lineRule="auto"/>
        <w:rPr>
          <w:rFonts w:ascii="宋体" w:hAnsi="宋体" w:cs="宋体"/>
          <w:b/>
          <w:color w:val="000000" w:themeColor="text1"/>
          <w:sz w:val="32"/>
          <w:szCs w:val="32"/>
          <w14:textFill>
            <w14:solidFill>
              <w14:schemeClr w14:val="tx1"/>
            </w14:solidFill>
          </w14:textFill>
        </w:rPr>
      </w:pPr>
    </w:p>
    <w:p w14:paraId="20EA173F">
      <w:pPr>
        <w:spacing w:line="360" w:lineRule="auto"/>
        <w:rPr>
          <w:rFonts w:ascii="宋体" w:hAnsi="宋体" w:cs="宋体"/>
          <w:b/>
          <w:color w:val="000000" w:themeColor="text1"/>
          <w:sz w:val="32"/>
          <w:szCs w:val="32"/>
          <w14:textFill>
            <w14:solidFill>
              <w14:schemeClr w14:val="tx1"/>
            </w14:solidFill>
          </w14:textFill>
        </w:rPr>
      </w:pPr>
    </w:p>
    <w:p w14:paraId="2495CC89">
      <w:pPr>
        <w:spacing w:line="360" w:lineRule="auto"/>
        <w:rPr>
          <w:rFonts w:ascii="宋体" w:hAnsi="宋体" w:cs="宋体"/>
          <w:b/>
          <w:color w:val="000000" w:themeColor="text1"/>
          <w:sz w:val="32"/>
          <w:szCs w:val="32"/>
          <w14:textFill>
            <w14:solidFill>
              <w14:schemeClr w14:val="tx1"/>
            </w14:solidFill>
          </w14:textFill>
        </w:rPr>
      </w:pPr>
    </w:p>
    <w:p w14:paraId="055D3644">
      <w:pPr>
        <w:spacing w:line="360" w:lineRule="auto"/>
        <w:rPr>
          <w:rFonts w:ascii="宋体" w:hAnsi="宋体" w:cs="宋体"/>
          <w:b/>
          <w:color w:val="000000" w:themeColor="text1"/>
          <w:sz w:val="32"/>
          <w:szCs w:val="32"/>
          <w14:textFill>
            <w14:solidFill>
              <w14:schemeClr w14:val="tx1"/>
            </w14:solidFill>
          </w14:textFill>
        </w:rPr>
      </w:pPr>
    </w:p>
    <w:p w14:paraId="206E2A6A">
      <w:pPr>
        <w:spacing w:line="360" w:lineRule="auto"/>
        <w:rPr>
          <w:rFonts w:ascii="宋体" w:hAnsi="宋体" w:cs="宋体"/>
          <w:b/>
          <w:color w:val="000000" w:themeColor="text1"/>
          <w:sz w:val="32"/>
          <w:szCs w:val="32"/>
          <w14:textFill>
            <w14:solidFill>
              <w14:schemeClr w14:val="tx1"/>
            </w14:solidFill>
          </w14:textFill>
        </w:rPr>
      </w:pPr>
    </w:p>
    <w:p w14:paraId="1E4ECB5A">
      <w:pPr>
        <w:pStyle w:val="11"/>
      </w:pPr>
    </w:p>
    <w:sectPr>
      <w:pgSz w:w="11906" w:h="16838"/>
      <w:pgMar w:top="1134" w:right="1417" w:bottom="1134" w:left="1417" w:header="851" w:footer="510" w:gutter="0"/>
      <w:pgBorders>
        <w:top w:val="none" w:sz="0" w:space="0"/>
        <w:left w:val="none" w:sz="0" w:space="0"/>
        <w:bottom w:val="none" w:sz="0" w:space="0"/>
        <w:right w:val="none" w:sz="0" w:space="0"/>
      </w:pgBorders>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宋体;SimSun">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35DD7">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11233">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8D1B8">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A6C97">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D0E0">
    <w:pPr>
      <w:pStyle w:val="11"/>
      <w:rPr>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24" w:lineRule="auto"/>
      </w:pPr>
      <w:r>
        <w:separator/>
      </w:r>
    </w:p>
  </w:footnote>
  <w:footnote w:type="continuationSeparator" w:id="1">
    <w:p>
      <w:pPr>
        <w:spacing w:line="32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456E">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DA09B">
    <w:pPr>
      <w:pStyle w:val="12"/>
      <w:pBdr>
        <w:bottom w:val="none" w:color="auto" w:sz="0" w:space="1"/>
      </w:pBdr>
      <w:spacing w:before="100" w:beforeAutospacing="1" w:after="100" w:afterAutospacing="1"/>
      <w:jc w:val="both"/>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4A490">
    <w:pPr>
      <w:pStyle w:val="12"/>
      <w:pBdr>
        <w:bottom w:val="none" w:color="auto" w:sz="0" w:space="1"/>
      </w:pBdr>
      <w:spacing w:before="100" w:beforeAutospacing="1" w:after="100" w:afterAutospacing="1"/>
      <w:jc w:val="both"/>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889">
    <w:pPr>
      <w:pStyle w:val="12"/>
      <w:pBdr>
        <w:bottom w:val="none" w:color="auto" w:sz="0" w:space="1"/>
      </w:pBdr>
      <w:spacing w:before="100" w:beforeAutospacing="1" w:after="100" w:afterAutospacing="1"/>
      <w:jc w:val="both"/>
      <w:rPr>
        <w:sz w:val="24"/>
        <w:szCs w:val="24"/>
      </w:rPr>
    </w:pPr>
    <w:r>
      <w:rPr>
        <w:rFonts w:hint="eastAsia"/>
        <w:sz w:val="24"/>
        <w:szCs w:val="24"/>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D79D4">
    <w:pPr>
      <w:pStyle w:val="12"/>
      <w:pBdr>
        <w:bottom w:val="none" w:color="auto" w:sz="0" w:space="1"/>
      </w:pBdr>
      <w:spacing w:before="100" w:beforeAutospacing="1" w:after="100" w:afterAutospacing="1"/>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EAFF7">
    <w:pPr>
      <w:pStyle w:val="12"/>
      <w:pBdr>
        <w:bottom w:val="none" w:color="auto" w:sz="0" w:space="1"/>
      </w:pBdr>
      <w:spacing w:before="100" w:beforeAutospacing="1" w:after="100" w:afterAutospacing="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4CD4E"/>
    <w:multiLevelType w:val="singleLevel"/>
    <w:tmpl w:val="99E4CD4E"/>
    <w:lvl w:ilvl="0" w:tentative="0">
      <w:start w:val="2"/>
      <w:numFmt w:val="decimal"/>
      <w:suff w:val="space"/>
      <w:lvlText w:val="%1、"/>
      <w:lvlJc w:val="left"/>
    </w:lvl>
  </w:abstractNum>
  <w:abstractNum w:abstractNumId="1">
    <w:nsid w:val="A444FB84"/>
    <w:multiLevelType w:val="singleLevel"/>
    <w:tmpl w:val="A444FB84"/>
    <w:lvl w:ilvl="0" w:tentative="0">
      <w:start w:val="1"/>
      <w:numFmt w:val="chineseCounting"/>
      <w:suff w:val="nothing"/>
      <w:lvlText w:val="%1、"/>
      <w:lvlJc w:val="left"/>
      <w:rPr>
        <w:rFonts w:hint="eastAsia"/>
      </w:rPr>
    </w:lvl>
  </w:abstractNum>
  <w:abstractNum w:abstractNumId="2">
    <w:nsid w:val="C8B26E03"/>
    <w:multiLevelType w:val="singleLevel"/>
    <w:tmpl w:val="C8B26E03"/>
    <w:lvl w:ilvl="0" w:tentative="0">
      <w:start w:val="1"/>
      <w:numFmt w:val="decimal"/>
      <w:lvlText w:val="%1)"/>
      <w:lvlJc w:val="left"/>
      <w:pPr>
        <w:tabs>
          <w:tab w:val="left" w:pos="312"/>
        </w:tabs>
      </w:pPr>
    </w:lvl>
  </w:abstractNum>
  <w:abstractNum w:abstractNumId="3">
    <w:nsid w:val="DAB27C9A"/>
    <w:multiLevelType w:val="singleLevel"/>
    <w:tmpl w:val="DAB27C9A"/>
    <w:lvl w:ilvl="0" w:tentative="0">
      <w:start w:val="1"/>
      <w:numFmt w:val="decimal"/>
      <w:lvlText w:val="%1)"/>
      <w:lvlJc w:val="left"/>
      <w:pPr>
        <w:tabs>
          <w:tab w:val="left" w:pos="312"/>
        </w:tabs>
      </w:pPr>
    </w:lvl>
  </w:abstractNum>
  <w:abstractNum w:abstractNumId="4">
    <w:nsid w:val="EEFF050E"/>
    <w:multiLevelType w:val="singleLevel"/>
    <w:tmpl w:val="EEFF050E"/>
    <w:lvl w:ilvl="0" w:tentative="0">
      <w:start w:val="1"/>
      <w:numFmt w:val="decimal"/>
      <w:suff w:val="space"/>
      <w:lvlText w:val="%1、"/>
      <w:lvlJc w:val="left"/>
    </w:lvl>
  </w:abstractNum>
  <w:abstractNum w:abstractNumId="5">
    <w:nsid w:val="0B4467AD"/>
    <w:multiLevelType w:val="multilevel"/>
    <w:tmpl w:val="0B4467AD"/>
    <w:lvl w:ilvl="0" w:tentative="0">
      <w:start w:val="1"/>
      <w:numFmt w:val="decimal"/>
      <w:lvlText w:val="第%1章"/>
      <w:lvlJc w:val="left"/>
      <w:pPr>
        <w:ind w:left="432" w:hanging="432"/>
      </w:pPr>
      <w:rPr>
        <w:rFonts w:hint="eastAsia"/>
      </w:rPr>
    </w:lvl>
    <w:lvl w:ilvl="1" w:tentative="0">
      <w:start w:val="1"/>
      <w:numFmt w:val="decimal"/>
      <w:pStyle w:val="4"/>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
    <w:nsid w:val="353C7F08"/>
    <w:multiLevelType w:val="multilevel"/>
    <w:tmpl w:val="353C7F08"/>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
    <w:nsid w:val="359CB8E8"/>
    <w:multiLevelType w:val="singleLevel"/>
    <w:tmpl w:val="359CB8E8"/>
    <w:lvl w:ilvl="0" w:tentative="0">
      <w:start w:val="1"/>
      <w:numFmt w:val="chineseCounting"/>
      <w:suff w:val="nothing"/>
      <w:lvlText w:val="%1、"/>
      <w:lvlJc w:val="left"/>
      <w:rPr>
        <w:rFonts w:hint="eastAsia"/>
      </w:rPr>
    </w:lvl>
  </w:abstractNum>
  <w:abstractNum w:abstractNumId="8">
    <w:nsid w:val="6D622BC1"/>
    <w:multiLevelType w:val="multilevel"/>
    <w:tmpl w:val="6D622BC1"/>
    <w:lvl w:ilvl="0" w:tentative="0">
      <w:start w:val="1"/>
      <w:numFmt w:val="chineseCounting"/>
      <w:suff w:val="nothing"/>
      <w:lvlText w:val="第%1部分 "/>
      <w:lvlJc w:val="left"/>
      <w:pPr>
        <w:tabs>
          <w:tab w:val="left" w:pos="0"/>
        </w:tabs>
        <w:ind w:left="0" w:firstLine="0"/>
      </w:pPr>
      <w:rPr>
        <w:rFonts w:hint="eastAsia" w:ascii="宋体" w:hAnsi="宋体" w:eastAsia="黑体" w:cs="宋体"/>
      </w:rPr>
    </w:lvl>
    <w:lvl w:ilvl="1" w:tentative="0">
      <w:start w:val="1"/>
      <w:numFmt w:val="chineseCounting"/>
      <w:suff w:val="nothing"/>
      <w:lvlText w:val="%2 "/>
      <w:lvlJc w:val="left"/>
      <w:pPr>
        <w:tabs>
          <w:tab w:val="left" w:pos="0"/>
        </w:tabs>
        <w:ind w:left="0" w:firstLine="0"/>
      </w:pPr>
      <w:rPr>
        <w:rFonts w:hint="eastAsia" w:ascii="宋体" w:hAnsi="宋体" w:eastAsia="黑体" w:cs="宋体"/>
      </w:rPr>
    </w:lvl>
    <w:lvl w:ilvl="2" w:tentative="0">
      <w:start w:val="1"/>
      <w:numFmt w:val="chineseCounting"/>
      <w:suff w:val="nothing"/>
      <w:lvlText w:val="（%3） "/>
      <w:lvlJc w:val="left"/>
      <w:pPr>
        <w:tabs>
          <w:tab w:val="left" w:pos="0"/>
        </w:tabs>
        <w:ind w:left="0" w:firstLine="0"/>
      </w:pPr>
      <w:rPr>
        <w:rFonts w:hint="eastAsia" w:ascii="宋体" w:hAnsi="宋体" w:eastAsia="黑体" w:cs="宋体"/>
      </w:rPr>
    </w:lvl>
    <w:lvl w:ilvl="3" w:tentative="0">
      <w:start w:val="1"/>
      <w:numFmt w:val="decimal"/>
      <w:pStyle w:val="6"/>
      <w:suff w:val="nothing"/>
      <w:lvlText w:val="%4 "/>
      <w:lvlJc w:val="left"/>
      <w:pPr>
        <w:ind w:left="0" w:firstLine="0"/>
      </w:pPr>
      <w:rPr>
        <w:rFonts w:hint="eastAsia" w:ascii="宋体" w:hAnsi="宋体" w:eastAsia="黑体" w:cs="宋体"/>
      </w:rPr>
    </w:lvl>
    <w:lvl w:ilvl="4" w:tentative="0">
      <w:start w:val="1"/>
      <w:numFmt w:val="decimal"/>
      <w:suff w:val="nothing"/>
      <w:lvlText w:val="%4.%5 "/>
      <w:lvlJc w:val="left"/>
      <w:pPr>
        <w:ind w:left="0" w:firstLine="0"/>
      </w:pPr>
      <w:rPr>
        <w:rFonts w:hint="eastAsia" w:ascii="宋体" w:hAnsi="宋体" w:eastAsia="黑体" w:cs="宋体"/>
      </w:rPr>
    </w:lvl>
    <w:lvl w:ilvl="5" w:tentative="0">
      <w:start w:val="1"/>
      <w:numFmt w:val="decimal"/>
      <w:suff w:val="nothing"/>
      <w:lvlText w:val="%4.%5.%6 "/>
      <w:lvlJc w:val="left"/>
      <w:pPr>
        <w:tabs>
          <w:tab w:val="left" w:pos="0"/>
        </w:tabs>
        <w:ind w:left="0" w:firstLine="0"/>
      </w:pPr>
      <w:rPr>
        <w:rFonts w:hint="eastAsia" w:ascii="宋体" w:hAnsi="宋体" w:eastAsia="黑体" w:cs="宋体"/>
      </w:rPr>
    </w:lvl>
    <w:lvl w:ilvl="6" w:tentative="0">
      <w:start w:val="1"/>
      <w:numFmt w:val="decimal"/>
      <w:lvlText w:val="%4.%5.%6.%7."/>
      <w:lvlJc w:val="left"/>
      <w:pPr>
        <w:tabs>
          <w:tab w:val="left" w:pos="420"/>
        </w:tabs>
        <w:ind w:left="1296" w:hanging="1296"/>
      </w:pPr>
      <w:rPr>
        <w:rFonts w:hint="eastAsia" w:ascii="宋体" w:hAnsi="宋体" w:eastAsia="黑体" w:cs="宋体"/>
      </w:rPr>
    </w:lvl>
    <w:lvl w:ilvl="7" w:tentative="0">
      <w:start w:val="1"/>
      <w:numFmt w:val="decimal"/>
      <w:lvlText w:val="%1.%2.%3.%4.%5.%6.%7.%8."/>
      <w:lvlJc w:val="left"/>
      <w:pPr>
        <w:ind w:left="1440" w:hanging="1440"/>
      </w:pPr>
      <w:rPr>
        <w:rFonts w:hint="eastAsia" w:ascii="宋体" w:hAnsi="宋体" w:eastAsia="宋体" w:cs="宋体"/>
      </w:rPr>
    </w:lvl>
    <w:lvl w:ilvl="8" w:tentative="0">
      <w:start w:val="1"/>
      <w:numFmt w:val="decimal"/>
      <w:lvlText w:val="%1.%2.%3.%4.%5.%6.%7.%8.%9."/>
      <w:lvlJc w:val="left"/>
      <w:pPr>
        <w:ind w:left="1583" w:hanging="1583"/>
      </w:pPr>
      <w:rPr>
        <w:rFonts w:hint="eastAsia"/>
      </w:rPr>
    </w:lvl>
  </w:abstractNum>
  <w:num w:numId="1">
    <w:abstractNumId w:val="5"/>
  </w:num>
  <w:num w:numId="2">
    <w:abstractNumId w:val="8"/>
  </w:num>
  <w:num w:numId="3">
    <w:abstractNumId w:val="4"/>
  </w:num>
  <w:num w:numId="4">
    <w:abstractNumId w:val="0"/>
  </w:num>
  <w:num w:numId="5">
    <w:abstractNumId w:val="6"/>
  </w:num>
  <w:num w:numId="6">
    <w:abstractNumId w:val="7"/>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U5NjUzNjkzZTgzMDMxZjgwYTAxNTQyNDViNDhkNzgifQ=="/>
  </w:docVars>
  <w:rsids>
    <w:rsidRoot w:val="00172A27"/>
    <w:rsid w:val="000122BD"/>
    <w:rsid w:val="00172A27"/>
    <w:rsid w:val="002911AD"/>
    <w:rsid w:val="003009FF"/>
    <w:rsid w:val="00427C25"/>
    <w:rsid w:val="0064544E"/>
    <w:rsid w:val="006822E9"/>
    <w:rsid w:val="00757C2B"/>
    <w:rsid w:val="007A311C"/>
    <w:rsid w:val="00820980"/>
    <w:rsid w:val="008C4920"/>
    <w:rsid w:val="00AB3FC6"/>
    <w:rsid w:val="00B764C1"/>
    <w:rsid w:val="00C45491"/>
    <w:rsid w:val="00CD26E1"/>
    <w:rsid w:val="00E60BD9"/>
    <w:rsid w:val="00EE324E"/>
    <w:rsid w:val="00F94314"/>
    <w:rsid w:val="01373C7A"/>
    <w:rsid w:val="01697383"/>
    <w:rsid w:val="01C0290C"/>
    <w:rsid w:val="01C60E70"/>
    <w:rsid w:val="01DB2623"/>
    <w:rsid w:val="01E62A93"/>
    <w:rsid w:val="01FC1D03"/>
    <w:rsid w:val="02103EDF"/>
    <w:rsid w:val="021E4E1A"/>
    <w:rsid w:val="021F4C30"/>
    <w:rsid w:val="023C6FB2"/>
    <w:rsid w:val="02433C26"/>
    <w:rsid w:val="026548F2"/>
    <w:rsid w:val="02946CE6"/>
    <w:rsid w:val="02955A7B"/>
    <w:rsid w:val="0299623E"/>
    <w:rsid w:val="02A6147B"/>
    <w:rsid w:val="02C5530E"/>
    <w:rsid w:val="02D12BAE"/>
    <w:rsid w:val="03250913"/>
    <w:rsid w:val="03277DD7"/>
    <w:rsid w:val="032F299D"/>
    <w:rsid w:val="036875DD"/>
    <w:rsid w:val="03862C5B"/>
    <w:rsid w:val="038E4A3F"/>
    <w:rsid w:val="03C9750E"/>
    <w:rsid w:val="03EC00E9"/>
    <w:rsid w:val="03F33F79"/>
    <w:rsid w:val="04255EDB"/>
    <w:rsid w:val="04900E7B"/>
    <w:rsid w:val="04B67A6C"/>
    <w:rsid w:val="04D06A5A"/>
    <w:rsid w:val="04D76579"/>
    <w:rsid w:val="04DA233B"/>
    <w:rsid w:val="04F61DB0"/>
    <w:rsid w:val="04F7491E"/>
    <w:rsid w:val="04FC6060"/>
    <w:rsid w:val="05024A89"/>
    <w:rsid w:val="051445E6"/>
    <w:rsid w:val="05150E28"/>
    <w:rsid w:val="051977DC"/>
    <w:rsid w:val="05333E78"/>
    <w:rsid w:val="053568F5"/>
    <w:rsid w:val="0541315D"/>
    <w:rsid w:val="0559751E"/>
    <w:rsid w:val="058416CF"/>
    <w:rsid w:val="0586528E"/>
    <w:rsid w:val="05A7148F"/>
    <w:rsid w:val="05AA76EF"/>
    <w:rsid w:val="05E2314E"/>
    <w:rsid w:val="05EB4E35"/>
    <w:rsid w:val="05F45067"/>
    <w:rsid w:val="060728D6"/>
    <w:rsid w:val="061F3510"/>
    <w:rsid w:val="0658220A"/>
    <w:rsid w:val="066666E8"/>
    <w:rsid w:val="06795FDA"/>
    <w:rsid w:val="069563C9"/>
    <w:rsid w:val="06995418"/>
    <w:rsid w:val="069E3343"/>
    <w:rsid w:val="06B47B3C"/>
    <w:rsid w:val="06C76A02"/>
    <w:rsid w:val="06D15CC4"/>
    <w:rsid w:val="06D22051"/>
    <w:rsid w:val="06E22789"/>
    <w:rsid w:val="06FE381B"/>
    <w:rsid w:val="072A5613"/>
    <w:rsid w:val="0747709C"/>
    <w:rsid w:val="07610AE5"/>
    <w:rsid w:val="078F4D25"/>
    <w:rsid w:val="0793776B"/>
    <w:rsid w:val="07D55EAD"/>
    <w:rsid w:val="080B460F"/>
    <w:rsid w:val="084B6E59"/>
    <w:rsid w:val="086A4E72"/>
    <w:rsid w:val="0877315A"/>
    <w:rsid w:val="087976B6"/>
    <w:rsid w:val="08DA3946"/>
    <w:rsid w:val="08F5355B"/>
    <w:rsid w:val="093C64B7"/>
    <w:rsid w:val="09950A5D"/>
    <w:rsid w:val="099E12E4"/>
    <w:rsid w:val="09BC3F9C"/>
    <w:rsid w:val="09BF0697"/>
    <w:rsid w:val="09C76B70"/>
    <w:rsid w:val="0A2A06F1"/>
    <w:rsid w:val="0A7F45D0"/>
    <w:rsid w:val="0A9A59B2"/>
    <w:rsid w:val="0A9C67E8"/>
    <w:rsid w:val="0AAC50F3"/>
    <w:rsid w:val="0AB862A8"/>
    <w:rsid w:val="0AD15B27"/>
    <w:rsid w:val="0AF27B10"/>
    <w:rsid w:val="0AF74CD2"/>
    <w:rsid w:val="0AFF6D67"/>
    <w:rsid w:val="0B163429"/>
    <w:rsid w:val="0B2E52A8"/>
    <w:rsid w:val="0B4758DC"/>
    <w:rsid w:val="0B5953C2"/>
    <w:rsid w:val="0B9F03F6"/>
    <w:rsid w:val="0BBE1F95"/>
    <w:rsid w:val="0BE07F57"/>
    <w:rsid w:val="0C11364F"/>
    <w:rsid w:val="0C461BD6"/>
    <w:rsid w:val="0C5422EA"/>
    <w:rsid w:val="0C5D057E"/>
    <w:rsid w:val="0C613EF2"/>
    <w:rsid w:val="0C7450A3"/>
    <w:rsid w:val="0C780B6E"/>
    <w:rsid w:val="0C7F3120"/>
    <w:rsid w:val="0C812F90"/>
    <w:rsid w:val="0CD37C3B"/>
    <w:rsid w:val="0CD86D81"/>
    <w:rsid w:val="0CDC6EBD"/>
    <w:rsid w:val="0CDE692B"/>
    <w:rsid w:val="0CE734E9"/>
    <w:rsid w:val="0CEC1B6F"/>
    <w:rsid w:val="0D59153C"/>
    <w:rsid w:val="0D7B79BF"/>
    <w:rsid w:val="0D7E0E55"/>
    <w:rsid w:val="0DAC1CB6"/>
    <w:rsid w:val="0DEF37E2"/>
    <w:rsid w:val="0E1A2124"/>
    <w:rsid w:val="0E402EDD"/>
    <w:rsid w:val="0E4F7AB6"/>
    <w:rsid w:val="0E637FB3"/>
    <w:rsid w:val="0E763174"/>
    <w:rsid w:val="0E8E25B1"/>
    <w:rsid w:val="0EAE77E4"/>
    <w:rsid w:val="0EC37D2E"/>
    <w:rsid w:val="0EC81956"/>
    <w:rsid w:val="0ECF2B6F"/>
    <w:rsid w:val="0EDD34DE"/>
    <w:rsid w:val="0EE1310F"/>
    <w:rsid w:val="0EED2DE7"/>
    <w:rsid w:val="0EFD48F2"/>
    <w:rsid w:val="0F2172A0"/>
    <w:rsid w:val="0F2E3835"/>
    <w:rsid w:val="0F2F588D"/>
    <w:rsid w:val="0F74669E"/>
    <w:rsid w:val="0F800158"/>
    <w:rsid w:val="0F875A32"/>
    <w:rsid w:val="0FE02BC4"/>
    <w:rsid w:val="0FE45015"/>
    <w:rsid w:val="10170F4A"/>
    <w:rsid w:val="10173A4E"/>
    <w:rsid w:val="102C708A"/>
    <w:rsid w:val="10344C96"/>
    <w:rsid w:val="10601A12"/>
    <w:rsid w:val="107B62AB"/>
    <w:rsid w:val="107C137E"/>
    <w:rsid w:val="107C1F5F"/>
    <w:rsid w:val="1095562F"/>
    <w:rsid w:val="10B62D3D"/>
    <w:rsid w:val="10C66595"/>
    <w:rsid w:val="10D90B46"/>
    <w:rsid w:val="10F31094"/>
    <w:rsid w:val="110B1B3C"/>
    <w:rsid w:val="11D72A0A"/>
    <w:rsid w:val="11DB2A70"/>
    <w:rsid w:val="120C3A58"/>
    <w:rsid w:val="12244715"/>
    <w:rsid w:val="122A6242"/>
    <w:rsid w:val="123219FC"/>
    <w:rsid w:val="12821B0C"/>
    <w:rsid w:val="12832955"/>
    <w:rsid w:val="128C1C92"/>
    <w:rsid w:val="12A75BB9"/>
    <w:rsid w:val="12BC2662"/>
    <w:rsid w:val="12C82DDC"/>
    <w:rsid w:val="12CF3752"/>
    <w:rsid w:val="12E1708A"/>
    <w:rsid w:val="1312543B"/>
    <w:rsid w:val="13325BA2"/>
    <w:rsid w:val="134D58F6"/>
    <w:rsid w:val="13734B4C"/>
    <w:rsid w:val="13A6624F"/>
    <w:rsid w:val="13A91139"/>
    <w:rsid w:val="13AB1038"/>
    <w:rsid w:val="13C61981"/>
    <w:rsid w:val="14546244"/>
    <w:rsid w:val="146C5982"/>
    <w:rsid w:val="14A906B2"/>
    <w:rsid w:val="14B261FB"/>
    <w:rsid w:val="14C06208"/>
    <w:rsid w:val="14D3719B"/>
    <w:rsid w:val="14DE6D62"/>
    <w:rsid w:val="14E34E5B"/>
    <w:rsid w:val="15082FDF"/>
    <w:rsid w:val="153B6E50"/>
    <w:rsid w:val="15777D04"/>
    <w:rsid w:val="15866559"/>
    <w:rsid w:val="159D1FB6"/>
    <w:rsid w:val="15B243D9"/>
    <w:rsid w:val="15C75227"/>
    <w:rsid w:val="15CE0F46"/>
    <w:rsid w:val="15FE60A6"/>
    <w:rsid w:val="160E6B94"/>
    <w:rsid w:val="16107A9A"/>
    <w:rsid w:val="165929C5"/>
    <w:rsid w:val="166E570D"/>
    <w:rsid w:val="16AC166B"/>
    <w:rsid w:val="16B8770A"/>
    <w:rsid w:val="16F45B85"/>
    <w:rsid w:val="172E0416"/>
    <w:rsid w:val="174021D8"/>
    <w:rsid w:val="1756721D"/>
    <w:rsid w:val="17637FF4"/>
    <w:rsid w:val="177D3ED4"/>
    <w:rsid w:val="17923BD9"/>
    <w:rsid w:val="17AA0E34"/>
    <w:rsid w:val="17B61343"/>
    <w:rsid w:val="17BA5E28"/>
    <w:rsid w:val="17C46336"/>
    <w:rsid w:val="17D91AFB"/>
    <w:rsid w:val="17F77BD6"/>
    <w:rsid w:val="18073128"/>
    <w:rsid w:val="180B31D6"/>
    <w:rsid w:val="182364A1"/>
    <w:rsid w:val="183C3D33"/>
    <w:rsid w:val="184F7FAC"/>
    <w:rsid w:val="191C2434"/>
    <w:rsid w:val="193131C2"/>
    <w:rsid w:val="193B2D17"/>
    <w:rsid w:val="194D279E"/>
    <w:rsid w:val="19904E34"/>
    <w:rsid w:val="19944EAB"/>
    <w:rsid w:val="19A50808"/>
    <w:rsid w:val="19C057BD"/>
    <w:rsid w:val="19D63F84"/>
    <w:rsid w:val="19DB5151"/>
    <w:rsid w:val="19F27459"/>
    <w:rsid w:val="1A181101"/>
    <w:rsid w:val="1A875C5C"/>
    <w:rsid w:val="1AA33A21"/>
    <w:rsid w:val="1AE6590D"/>
    <w:rsid w:val="1B1709C3"/>
    <w:rsid w:val="1B433F58"/>
    <w:rsid w:val="1B465C0B"/>
    <w:rsid w:val="1B584D1F"/>
    <w:rsid w:val="1B6B609A"/>
    <w:rsid w:val="1B8C730D"/>
    <w:rsid w:val="1BC12113"/>
    <w:rsid w:val="1BCA645B"/>
    <w:rsid w:val="1BCE2D3C"/>
    <w:rsid w:val="1BCE69B8"/>
    <w:rsid w:val="1BD250D0"/>
    <w:rsid w:val="1C1B11DE"/>
    <w:rsid w:val="1C3F4C43"/>
    <w:rsid w:val="1C4C56B8"/>
    <w:rsid w:val="1C9D0020"/>
    <w:rsid w:val="1CF91695"/>
    <w:rsid w:val="1D015A47"/>
    <w:rsid w:val="1D1125CB"/>
    <w:rsid w:val="1D1519A8"/>
    <w:rsid w:val="1D432CB1"/>
    <w:rsid w:val="1D490B6F"/>
    <w:rsid w:val="1D8C6A47"/>
    <w:rsid w:val="1D95020A"/>
    <w:rsid w:val="1DB92AE5"/>
    <w:rsid w:val="1DC06C38"/>
    <w:rsid w:val="1DE9573A"/>
    <w:rsid w:val="1E146B74"/>
    <w:rsid w:val="1E316AFD"/>
    <w:rsid w:val="1E9E142B"/>
    <w:rsid w:val="1EAA4ACC"/>
    <w:rsid w:val="1EB26293"/>
    <w:rsid w:val="1EBE7AFE"/>
    <w:rsid w:val="1EF3201E"/>
    <w:rsid w:val="1F03702B"/>
    <w:rsid w:val="1F3B566D"/>
    <w:rsid w:val="1F467F93"/>
    <w:rsid w:val="1F5E0302"/>
    <w:rsid w:val="1F721F25"/>
    <w:rsid w:val="1F8147EF"/>
    <w:rsid w:val="1FBA7CAB"/>
    <w:rsid w:val="1FC76B93"/>
    <w:rsid w:val="1FDA462D"/>
    <w:rsid w:val="1FE51343"/>
    <w:rsid w:val="1FE83E24"/>
    <w:rsid w:val="1FF91514"/>
    <w:rsid w:val="20085EF1"/>
    <w:rsid w:val="200971AE"/>
    <w:rsid w:val="201A6037"/>
    <w:rsid w:val="202A5D3C"/>
    <w:rsid w:val="20400152"/>
    <w:rsid w:val="2075737D"/>
    <w:rsid w:val="20A4469A"/>
    <w:rsid w:val="20AC2FAD"/>
    <w:rsid w:val="20D607E2"/>
    <w:rsid w:val="213C6A19"/>
    <w:rsid w:val="214B76A6"/>
    <w:rsid w:val="218230FB"/>
    <w:rsid w:val="21AE1C12"/>
    <w:rsid w:val="21DB4080"/>
    <w:rsid w:val="22074CDF"/>
    <w:rsid w:val="22160A30"/>
    <w:rsid w:val="226C73D8"/>
    <w:rsid w:val="227125BD"/>
    <w:rsid w:val="22796EBD"/>
    <w:rsid w:val="22BE7687"/>
    <w:rsid w:val="22CE558B"/>
    <w:rsid w:val="22F554D8"/>
    <w:rsid w:val="22FF574F"/>
    <w:rsid w:val="230D6A92"/>
    <w:rsid w:val="234A69A5"/>
    <w:rsid w:val="23837523"/>
    <w:rsid w:val="23C37671"/>
    <w:rsid w:val="23E25A19"/>
    <w:rsid w:val="240B6A72"/>
    <w:rsid w:val="24287ADA"/>
    <w:rsid w:val="24484F3D"/>
    <w:rsid w:val="245B79FE"/>
    <w:rsid w:val="2461168B"/>
    <w:rsid w:val="24650660"/>
    <w:rsid w:val="246A1ABB"/>
    <w:rsid w:val="24714A26"/>
    <w:rsid w:val="24770A4F"/>
    <w:rsid w:val="24781560"/>
    <w:rsid w:val="24885826"/>
    <w:rsid w:val="24B2758B"/>
    <w:rsid w:val="24C65DDB"/>
    <w:rsid w:val="24FC446C"/>
    <w:rsid w:val="251B10EE"/>
    <w:rsid w:val="2527423D"/>
    <w:rsid w:val="252A79EE"/>
    <w:rsid w:val="254C61D5"/>
    <w:rsid w:val="258C0A3A"/>
    <w:rsid w:val="259729AA"/>
    <w:rsid w:val="25B90354"/>
    <w:rsid w:val="25CC357A"/>
    <w:rsid w:val="26270FDF"/>
    <w:rsid w:val="262A39D3"/>
    <w:rsid w:val="26320878"/>
    <w:rsid w:val="265B47EA"/>
    <w:rsid w:val="265D664F"/>
    <w:rsid w:val="26924486"/>
    <w:rsid w:val="269373C3"/>
    <w:rsid w:val="269817D3"/>
    <w:rsid w:val="26B42662"/>
    <w:rsid w:val="26C873BA"/>
    <w:rsid w:val="26E45849"/>
    <w:rsid w:val="26E50A8C"/>
    <w:rsid w:val="26EE3476"/>
    <w:rsid w:val="26F95E52"/>
    <w:rsid w:val="27011AF4"/>
    <w:rsid w:val="2713326B"/>
    <w:rsid w:val="273B293B"/>
    <w:rsid w:val="2740407B"/>
    <w:rsid w:val="274E788F"/>
    <w:rsid w:val="276810D4"/>
    <w:rsid w:val="27865029"/>
    <w:rsid w:val="27873C0D"/>
    <w:rsid w:val="27906587"/>
    <w:rsid w:val="279C264E"/>
    <w:rsid w:val="27E21910"/>
    <w:rsid w:val="27EC5762"/>
    <w:rsid w:val="27F410A7"/>
    <w:rsid w:val="27F70287"/>
    <w:rsid w:val="27FA2652"/>
    <w:rsid w:val="27FA5EF3"/>
    <w:rsid w:val="27FB235B"/>
    <w:rsid w:val="2813173E"/>
    <w:rsid w:val="2893580E"/>
    <w:rsid w:val="289E367D"/>
    <w:rsid w:val="28A518A0"/>
    <w:rsid w:val="28AC0D73"/>
    <w:rsid w:val="28C63250"/>
    <w:rsid w:val="28D94723"/>
    <w:rsid w:val="28DC7EE1"/>
    <w:rsid w:val="28E70392"/>
    <w:rsid w:val="291167C1"/>
    <w:rsid w:val="29163AA8"/>
    <w:rsid w:val="291C4BB5"/>
    <w:rsid w:val="29291071"/>
    <w:rsid w:val="29321C9F"/>
    <w:rsid w:val="29397324"/>
    <w:rsid w:val="2968745A"/>
    <w:rsid w:val="29AB5EA1"/>
    <w:rsid w:val="29BE5BD5"/>
    <w:rsid w:val="29C57B17"/>
    <w:rsid w:val="29DA4BF1"/>
    <w:rsid w:val="2A1B3098"/>
    <w:rsid w:val="2A3627D7"/>
    <w:rsid w:val="2A3F08E2"/>
    <w:rsid w:val="2A510C72"/>
    <w:rsid w:val="2A684377"/>
    <w:rsid w:val="2A692144"/>
    <w:rsid w:val="2A6B4AC4"/>
    <w:rsid w:val="2AED63FF"/>
    <w:rsid w:val="2AFD097C"/>
    <w:rsid w:val="2B2E4B5F"/>
    <w:rsid w:val="2B524298"/>
    <w:rsid w:val="2B5541F9"/>
    <w:rsid w:val="2B617A24"/>
    <w:rsid w:val="2B727B18"/>
    <w:rsid w:val="2B7A1E5A"/>
    <w:rsid w:val="2B9255BB"/>
    <w:rsid w:val="2BD45091"/>
    <w:rsid w:val="2BE1486E"/>
    <w:rsid w:val="2BE62657"/>
    <w:rsid w:val="2BE80FBF"/>
    <w:rsid w:val="2C0A7787"/>
    <w:rsid w:val="2C5D47F4"/>
    <w:rsid w:val="2C5F0006"/>
    <w:rsid w:val="2C675C54"/>
    <w:rsid w:val="2C8F3E27"/>
    <w:rsid w:val="2CC23AFD"/>
    <w:rsid w:val="2CF1043C"/>
    <w:rsid w:val="2D0C35C2"/>
    <w:rsid w:val="2D461454"/>
    <w:rsid w:val="2D7131D1"/>
    <w:rsid w:val="2D7D7C3F"/>
    <w:rsid w:val="2DB82763"/>
    <w:rsid w:val="2DBE5647"/>
    <w:rsid w:val="2DD51697"/>
    <w:rsid w:val="2DDF06F7"/>
    <w:rsid w:val="2E020C66"/>
    <w:rsid w:val="2E195E2F"/>
    <w:rsid w:val="2E824EA3"/>
    <w:rsid w:val="2E9F130B"/>
    <w:rsid w:val="2EC9747A"/>
    <w:rsid w:val="2EDF4FE5"/>
    <w:rsid w:val="2EF72100"/>
    <w:rsid w:val="2F1140F9"/>
    <w:rsid w:val="2F1410FF"/>
    <w:rsid w:val="2F26710B"/>
    <w:rsid w:val="2F5E3A56"/>
    <w:rsid w:val="2F827E6F"/>
    <w:rsid w:val="2FAA0DF8"/>
    <w:rsid w:val="2FAB2A78"/>
    <w:rsid w:val="2FD2036E"/>
    <w:rsid w:val="2FD93441"/>
    <w:rsid w:val="2FE77226"/>
    <w:rsid w:val="30162609"/>
    <w:rsid w:val="301B66F1"/>
    <w:rsid w:val="30330E9D"/>
    <w:rsid w:val="30515746"/>
    <w:rsid w:val="30772C64"/>
    <w:rsid w:val="30844CFF"/>
    <w:rsid w:val="30897828"/>
    <w:rsid w:val="30B924BE"/>
    <w:rsid w:val="30F411A2"/>
    <w:rsid w:val="31090DEF"/>
    <w:rsid w:val="311B6D36"/>
    <w:rsid w:val="3121258F"/>
    <w:rsid w:val="3140742F"/>
    <w:rsid w:val="316635F6"/>
    <w:rsid w:val="318F32E1"/>
    <w:rsid w:val="319C3A9E"/>
    <w:rsid w:val="31E62371"/>
    <w:rsid w:val="31FC56B8"/>
    <w:rsid w:val="3219019C"/>
    <w:rsid w:val="32677992"/>
    <w:rsid w:val="32823ADE"/>
    <w:rsid w:val="32857B0B"/>
    <w:rsid w:val="32A22F73"/>
    <w:rsid w:val="32B949CA"/>
    <w:rsid w:val="33493322"/>
    <w:rsid w:val="336624F8"/>
    <w:rsid w:val="337C1A75"/>
    <w:rsid w:val="33865EE6"/>
    <w:rsid w:val="3390330A"/>
    <w:rsid w:val="33BC6AB9"/>
    <w:rsid w:val="33BE4F0D"/>
    <w:rsid w:val="34187DAB"/>
    <w:rsid w:val="34286E2C"/>
    <w:rsid w:val="34671F85"/>
    <w:rsid w:val="34780B0C"/>
    <w:rsid w:val="34781601"/>
    <w:rsid w:val="34B46D57"/>
    <w:rsid w:val="34BF2625"/>
    <w:rsid w:val="34E619F3"/>
    <w:rsid w:val="34F42EF3"/>
    <w:rsid w:val="35532B2A"/>
    <w:rsid w:val="355E6A58"/>
    <w:rsid w:val="35764BC8"/>
    <w:rsid w:val="3597323C"/>
    <w:rsid w:val="35AE6EE3"/>
    <w:rsid w:val="35B019FF"/>
    <w:rsid w:val="36357021"/>
    <w:rsid w:val="36635017"/>
    <w:rsid w:val="369031BE"/>
    <w:rsid w:val="369C72E5"/>
    <w:rsid w:val="36F709A3"/>
    <w:rsid w:val="37005171"/>
    <w:rsid w:val="372358FE"/>
    <w:rsid w:val="375D7BAF"/>
    <w:rsid w:val="37620B7E"/>
    <w:rsid w:val="3762339A"/>
    <w:rsid w:val="37627968"/>
    <w:rsid w:val="37653551"/>
    <w:rsid w:val="376A2A8A"/>
    <w:rsid w:val="37745EC5"/>
    <w:rsid w:val="37825EBC"/>
    <w:rsid w:val="37832542"/>
    <w:rsid w:val="37D526F5"/>
    <w:rsid w:val="37DA4F11"/>
    <w:rsid w:val="37DA58C5"/>
    <w:rsid w:val="37ED654A"/>
    <w:rsid w:val="37FA228A"/>
    <w:rsid w:val="38006237"/>
    <w:rsid w:val="3803345B"/>
    <w:rsid w:val="382126F4"/>
    <w:rsid w:val="383827BE"/>
    <w:rsid w:val="383B044E"/>
    <w:rsid w:val="385E4CBC"/>
    <w:rsid w:val="388E6E5C"/>
    <w:rsid w:val="38AB4A82"/>
    <w:rsid w:val="38C318F9"/>
    <w:rsid w:val="38D87D53"/>
    <w:rsid w:val="38FB1060"/>
    <w:rsid w:val="395D1743"/>
    <w:rsid w:val="39B730AE"/>
    <w:rsid w:val="39E65DAA"/>
    <w:rsid w:val="3A0E3F8B"/>
    <w:rsid w:val="3A1B2877"/>
    <w:rsid w:val="3A2A3677"/>
    <w:rsid w:val="3A3A4530"/>
    <w:rsid w:val="3A411B38"/>
    <w:rsid w:val="3A4A01C1"/>
    <w:rsid w:val="3A573F97"/>
    <w:rsid w:val="3A642355"/>
    <w:rsid w:val="3A6C5C5B"/>
    <w:rsid w:val="3A70759E"/>
    <w:rsid w:val="3A874F00"/>
    <w:rsid w:val="3AD66F09"/>
    <w:rsid w:val="3ADA7342"/>
    <w:rsid w:val="3AFE49DE"/>
    <w:rsid w:val="3B07205A"/>
    <w:rsid w:val="3B155C9B"/>
    <w:rsid w:val="3B1A1C60"/>
    <w:rsid w:val="3B217E5E"/>
    <w:rsid w:val="3B5340FC"/>
    <w:rsid w:val="3B8272CE"/>
    <w:rsid w:val="3BBD11B2"/>
    <w:rsid w:val="3BC462BF"/>
    <w:rsid w:val="3C237D3A"/>
    <w:rsid w:val="3C2F2FBB"/>
    <w:rsid w:val="3C34216F"/>
    <w:rsid w:val="3C70253A"/>
    <w:rsid w:val="3C72450C"/>
    <w:rsid w:val="3CC52228"/>
    <w:rsid w:val="3CC61FB5"/>
    <w:rsid w:val="3CC64FDC"/>
    <w:rsid w:val="3CCD7E3F"/>
    <w:rsid w:val="3CD54618"/>
    <w:rsid w:val="3CFB0695"/>
    <w:rsid w:val="3D08452F"/>
    <w:rsid w:val="3D0D3753"/>
    <w:rsid w:val="3D1243F9"/>
    <w:rsid w:val="3D140CC4"/>
    <w:rsid w:val="3D326EDE"/>
    <w:rsid w:val="3D375ECF"/>
    <w:rsid w:val="3D782BA8"/>
    <w:rsid w:val="3D853B2C"/>
    <w:rsid w:val="3D876A09"/>
    <w:rsid w:val="3DB55EE8"/>
    <w:rsid w:val="3DCC42FC"/>
    <w:rsid w:val="3DD65CB6"/>
    <w:rsid w:val="3DDA52B1"/>
    <w:rsid w:val="3DDB3A4B"/>
    <w:rsid w:val="3DFB32A1"/>
    <w:rsid w:val="3E1133A8"/>
    <w:rsid w:val="3E175FE7"/>
    <w:rsid w:val="3E25453E"/>
    <w:rsid w:val="3E426ADF"/>
    <w:rsid w:val="3E512CF7"/>
    <w:rsid w:val="3E65175D"/>
    <w:rsid w:val="3E946F73"/>
    <w:rsid w:val="3ECA1097"/>
    <w:rsid w:val="3ED119D3"/>
    <w:rsid w:val="3ED21B63"/>
    <w:rsid w:val="3ED60866"/>
    <w:rsid w:val="3EDF4EC6"/>
    <w:rsid w:val="3EE00A1B"/>
    <w:rsid w:val="3F30252A"/>
    <w:rsid w:val="3F315616"/>
    <w:rsid w:val="3F383ADB"/>
    <w:rsid w:val="3F6858A9"/>
    <w:rsid w:val="3F8A4C0E"/>
    <w:rsid w:val="3FB10C0A"/>
    <w:rsid w:val="3FC05D9E"/>
    <w:rsid w:val="3FCE3D13"/>
    <w:rsid w:val="3FD30B5D"/>
    <w:rsid w:val="3FEF17FE"/>
    <w:rsid w:val="400D633D"/>
    <w:rsid w:val="40230BFF"/>
    <w:rsid w:val="4040341C"/>
    <w:rsid w:val="408B63F5"/>
    <w:rsid w:val="409530E0"/>
    <w:rsid w:val="40A13892"/>
    <w:rsid w:val="40B12514"/>
    <w:rsid w:val="40C36176"/>
    <w:rsid w:val="40DF0929"/>
    <w:rsid w:val="40E55183"/>
    <w:rsid w:val="40FB45DF"/>
    <w:rsid w:val="40FC7EFF"/>
    <w:rsid w:val="410D3AC6"/>
    <w:rsid w:val="41AC1583"/>
    <w:rsid w:val="41E461BE"/>
    <w:rsid w:val="42403883"/>
    <w:rsid w:val="427F30FF"/>
    <w:rsid w:val="429A03B5"/>
    <w:rsid w:val="42DD179D"/>
    <w:rsid w:val="42E32D8E"/>
    <w:rsid w:val="43001CA2"/>
    <w:rsid w:val="430329D0"/>
    <w:rsid w:val="432819F9"/>
    <w:rsid w:val="43455141"/>
    <w:rsid w:val="438A29A5"/>
    <w:rsid w:val="43C12083"/>
    <w:rsid w:val="43CD187D"/>
    <w:rsid w:val="43CF4C7A"/>
    <w:rsid w:val="43F043BA"/>
    <w:rsid w:val="44122F2B"/>
    <w:rsid w:val="4434627F"/>
    <w:rsid w:val="444C6731"/>
    <w:rsid w:val="44557254"/>
    <w:rsid w:val="44586AAA"/>
    <w:rsid w:val="446A7C6C"/>
    <w:rsid w:val="44B9766B"/>
    <w:rsid w:val="44C90C46"/>
    <w:rsid w:val="44D5605A"/>
    <w:rsid w:val="44DF594C"/>
    <w:rsid w:val="44E977E0"/>
    <w:rsid w:val="44F716B6"/>
    <w:rsid w:val="45092BDC"/>
    <w:rsid w:val="451E1274"/>
    <w:rsid w:val="45873AE2"/>
    <w:rsid w:val="45880F0D"/>
    <w:rsid w:val="458B2788"/>
    <w:rsid w:val="45921F73"/>
    <w:rsid w:val="45A26F02"/>
    <w:rsid w:val="45D60A84"/>
    <w:rsid w:val="463D3C12"/>
    <w:rsid w:val="46516B24"/>
    <w:rsid w:val="46585B76"/>
    <w:rsid w:val="465D49DB"/>
    <w:rsid w:val="465F20B6"/>
    <w:rsid w:val="46607442"/>
    <w:rsid w:val="46681E68"/>
    <w:rsid w:val="46D7456C"/>
    <w:rsid w:val="46DC2827"/>
    <w:rsid w:val="46F9275D"/>
    <w:rsid w:val="46FA0FB1"/>
    <w:rsid w:val="472A5179"/>
    <w:rsid w:val="476E5E63"/>
    <w:rsid w:val="478622BB"/>
    <w:rsid w:val="478F26EA"/>
    <w:rsid w:val="479B7A91"/>
    <w:rsid w:val="47E92BD3"/>
    <w:rsid w:val="481C3F50"/>
    <w:rsid w:val="481D2897"/>
    <w:rsid w:val="483C6A33"/>
    <w:rsid w:val="484A47B5"/>
    <w:rsid w:val="48682253"/>
    <w:rsid w:val="48762671"/>
    <w:rsid w:val="487C51CE"/>
    <w:rsid w:val="48ED51FA"/>
    <w:rsid w:val="4908491C"/>
    <w:rsid w:val="491A2290"/>
    <w:rsid w:val="49423AA5"/>
    <w:rsid w:val="49585D27"/>
    <w:rsid w:val="497D0826"/>
    <w:rsid w:val="49846A31"/>
    <w:rsid w:val="498736D0"/>
    <w:rsid w:val="498A679C"/>
    <w:rsid w:val="49982D19"/>
    <w:rsid w:val="49A168A6"/>
    <w:rsid w:val="49D623DC"/>
    <w:rsid w:val="4A072CF1"/>
    <w:rsid w:val="4A213D9A"/>
    <w:rsid w:val="4A2B41C3"/>
    <w:rsid w:val="4A2B43F6"/>
    <w:rsid w:val="4A500626"/>
    <w:rsid w:val="4A504290"/>
    <w:rsid w:val="4A5904F7"/>
    <w:rsid w:val="4A590F65"/>
    <w:rsid w:val="4A603F5D"/>
    <w:rsid w:val="4A7019D0"/>
    <w:rsid w:val="4A837CBC"/>
    <w:rsid w:val="4A99261C"/>
    <w:rsid w:val="4AA54069"/>
    <w:rsid w:val="4AB94E98"/>
    <w:rsid w:val="4ACA50C0"/>
    <w:rsid w:val="4ACB0ADE"/>
    <w:rsid w:val="4AFE0EB9"/>
    <w:rsid w:val="4B1643F1"/>
    <w:rsid w:val="4B560F32"/>
    <w:rsid w:val="4B6E6D3D"/>
    <w:rsid w:val="4B7C4922"/>
    <w:rsid w:val="4B8F4D2A"/>
    <w:rsid w:val="4B991B7C"/>
    <w:rsid w:val="4BD63562"/>
    <w:rsid w:val="4C0817BC"/>
    <w:rsid w:val="4C1D3D3A"/>
    <w:rsid w:val="4C28056E"/>
    <w:rsid w:val="4C336C1B"/>
    <w:rsid w:val="4C48536B"/>
    <w:rsid w:val="4C55113F"/>
    <w:rsid w:val="4C580C9F"/>
    <w:rsid w:val="4CA321EF"/>
    <w:rsid w:val="4CBF3618"/>
    <w:rsid w:val="4CC83571"/>
    <w:rsid w:val="4CCD01A0"/>
    <w:rsid w:val="4CD2104B"/>
    <w:rsid w:val="4CEC2563"/>
    <w:rsid w:val="4CF73F51"/>
    <w:rsid w:val="4D082981"/>
    <w:rsid w:val="4D142C16"/>
    <w:rsid w:val="4D26254A"/>
    <w:rsid w:val="4D2B2FD8"/>
    <w:rsid w:val="4D837B9E"/>
    <w:rsid w:val="4DAA1BB9"/>
    <w:rsid w:val="4DE076D7"/>
    <w:rsid w:val="4E021AB1"/>
    <w:rsid w:val="4E045D1B"/>
    <w:rsid w:val="4E3D1CF3"/>
    <w:rsid w:val="4E4F3E29"/>
    <w:rsid w:val="4E7306B1"/>
    <w:rsid w:val="4ECA2F7B"/>
    <w:rsid w:val="4EF223F7"/>
    <w:rsid w:val="4F002F02"/>
    <w:rsid w:val="4F0A1E31"/>
    <w:rsid w:val="4F16659F"/>
    <w:rsid w:val="4F252D43"/>
    <w:rsid w:val="4F3734E7"/>
    <w:rsid w:val="4F3A5EDE"/>
    <w:rsid w:val="4F5138F8"/>
    <w:rsid w:val="4FE509B4"/>
    <w:rsid w:val="50320D2B"/>
    <w:rsid w:val="50393C28"/>
    <w:rsid w:val="503C7063"/>
    <w:rsid w:val="503E0275"/>
    <w:rsid w:val="5053160B"/>
    <w:rsid w:val="50685558"/>
    <w:rsid w:val="507E201E"/>
    <w:rsid w:val="50887CFF"/>
    <w:rsid w:val="509422C2"/>
    <w:rsid w:val="50AA7FC3"/>
    <w:rsid w:val="50C9209B"/>
    <w:rsid w:val="50F365EB"/>
    <w:rsid w:val="50FB0FF1"/>
    <w:rsid w:val="51145C4E"/>
    <w:rsid w:val="511E2E0F"/>
    <w:rsid w:val="514866F2"/>
    <w:rsid w:val="514D30F8"/>
    <w:rsid w:val="51670E4B"/>
    <w:rsid w:val="517C15C6"/>
    <w:rsid w:val="51941966"/>
    <w:rsid w:val="51AB2A84"/>
    <w:rsid w:val="51B75004"/>
    <w:rsid w:val="51CE17BD"/>
    <w:rsid w:val="51E0593D"/>
    <w:rsid w:val="523D2B01"/>
    <w:rsid w:val="526249B7"/>
    <w:rsid w:val="52865A11"/>
    <w:rsid w:val="529F63ED"/>
    <w:rsid w:val="52A664A3"/>
    <w:rsid w:val="52B735D5"/>
    <w:rsid w:val="52D77C26"/>
    <w:rsid w:val="53012568"/>
    <w:rsid w:val="53141FD1"/>
    <w:rsid w:val="53252F9F"/>
    <w:rsid w:val="53341ECA"/>
    <w:rsid w:val="534D5A83"/>
    <w:rsid w:val="534E622D"/>
    <w:rsid w:val="535C6D15"/>
    <w:rsid w:val="53796FD2"/>
    <w:rsid w:val="538C6F92"/>
    <w:rsid w:val="539D0814"/>
    <w:rsid w:val="539D2749"/>
    <w:rsid w:val="53B369C1"/>
    <w:rsid w:val="540B19B4"/>
    <w:rsid w:val="545D40A9"/>
    <w:rsid w:val="54975FC2"/>
    <w:rsid w:val="54B609EC"/>
    <w:rsid w:val="54C23804"/>
    <w:rsid w:val="54CB72BF"/>
    <w:rsid w:val="54CC47FF"/>
    <w:rsid w:val="54E91177"/>
    <w:rsid w:val="55052457"/>
    <w:rsid w:val="55294064"/>
    <w:rsid w:val="55473F0F"/>
    <w:rsid w:val="55544100"/>
    <w:rsid w:val="55611EE4"/>
    <w:rsid w:val="558C214E"/>
    <w:rsid w:val="55AE2AAB"/>
    <w:rsid w:val="55C30006"/>
    <w:rsid w:val="55C8614B"/>
    <w:rsid w:val="55CE78EC"/>
    <w:rsid w:val="56020BAA"/>
    <w:rsid w:val="560F3DEF"/>
    <w:rsid w:val="562D16E9"/>
    <w:rsid w:val="56765214"/>
    <w:rsid w:val="568663A7"/>
    <w:rsid w:val="56B829AD"/>
    <w:rsid w:val="56CC26E7"/>
    <w:rsid w:val="56D45F08"/>
    <w:rsid w:val="571A08CE"/>
    <w:rsid w:val="57395273"/>
    <w:rsid w:val="578F0DB6"/>
    <w:rsid w:val="57A920A4"/>
    <w:rsid w:val="57C40E67"/>
    <w:rsid w:val="57DB6556"/>
    <w:rsid w:val="5816545D"/>
    <w:rsid w:val="58640A90"/>
    <w:rsid w:val="58FB73D6"/>
    <w:rsid w:val="590475EF"/>
    <w:rsid w:val="59231B5C"/>
    <w:rsid w:val="59314B6A"/>
    <w:rsid w:val="59363720"/>
    <w:rsid w:val="593A4598"/>
    <w:rsid w:val="59452B03"/>
    <w:rsid w:val="59714831"/>
    <w:rsid w:val="599D0BBE"/>
    <w:rsid w:val="599E23F8"/>
    <w:rsid w:val="59B25856"/>
    <w:rsid w:val="59DE4A41"/>
    <w:rsid w:val="59DF04B9"/>
    <w:rsid w:val="5A312B0B"/>
    <w:rsid w:val="5A3410A5"/>
    <w:rsid w:val="5A371983"/>
    <w:rsid w:val="5A4134F4"/>
    <w:rsid w:val="5A8C43D2"/>
    <w:rsid w:val="5AA93710"/>
    <w:rsid w:val="5ABE5CA7"/>
    <w:rsid w:val="5AFC7CE1"/>
    <w:rsid w:val="5B440992"/>
    <w:rsid w:val="5B5539A3"/>
    <w:rsid w:val="5B5D09B3"/>
    <w:rsid w:val="5B650F94"/>
    <w:rsid w:val="5B794EE9"/>
    <w:rsid w:val="5BA87B28"/>
    <w:rsid w:val="5BB335D6"/>
    <w:rsid w:val="5BC0059B"/>
    <w:rsid w:val="5BCC5B28"/>
    <w:rsid w:val="5BDE5E27"/>
    <w:rsid w:val="5BED56A7"/>
    <w:rsid w:val="5C0772E7"/>
    <w:rsid w:val="5C197467"/>
    <w:rsid w:val="5C2B2102"/>
    <w:rsid w:val="5C5217C9"/>
    <w:rsid w:val="5C5E3E8F"/>
    <w:rsid w:val="5C7626D3"/>
    <w:rsid w:val="5C7A3AFF"/>
    <w:rsid w:val="5CA47E6E"/>
    <w:rsid w:val="5CDD7979"/>
    <w:rsid w:val="5CE03246"/>
    <w:rsid w:val="5CE54B31"/>
    <w:rsid w:val="5CED0F2F"/>
    <w:rsid w:val="5CFA6AC6"/>
    <w:rsid w:val="5D277D0E"/>
    <w:rsid w:val="5D2C7027"/>
    <w:rsid w:val="5D36475F"/>
    <w:rsid w:val="5D5C118A"/>
    <w:rsid w:val="5D62338F"/>
    <w:rsid w:val="5D67196A"/>
    <w:rsid w:val="5D6B5451"/>
    <w:rsid w:val="5D72705A"/>
    <w:rsid w:val="5D8B4CEC"/>
    <w:rsid w:val="5D8C2657"/>
    <w:rsid w:val="5D8D6764"/>
    <w:rsid w:val="5DBB323F"/>
    <w:rsid w:val="5DC73389"/>
    <w:rsid w:val="5DF818E0"/>
    <w:rsid w:val="5E452638"/>
    <w:rsid w:val="5E6B3CF6"/>
    <w:rsid w:val="5E7C3143"/>
    <w:rsid w:val="5EA96378"/>
    <w:rsid w:val="5ECF121B"/>
    <w:rsid w:val="5EF53D70"/>
    <w:rsid w:val="5EFC62D0"/>
    <w:rsid w:val="5EFF5F98"/>
    <w:rsid w:val="5F3E378C"/>
    <w:rsid w:val="5F9C5DAC"/>
    <w:rsid w:val="5FBA1926"/>
    <w:rsid w:val="5FC53828"/>
    <w:rsid w:val="5FDA7D49"/>
    <w:rsid w:val="60324726"/>
    <w:rsid w:val="60542179"/>
    <w:rsid w:val="6055207F"/>
    <w:rsid w:val="60DA431A"/>
    <w:rsid w:val="611549C3"/>
    <w:rsid w:val="6143039D"/>
    <w:rsid w:val="616D4577"/>
    <w:rsid w:val="617F02DB"/>
    <w:rsid w:val="61825855"/>
    <w:rsid w:val="61850165"/>
    <w:rsid w:val="618B6342"/>
    <w:rsid w:val="61A36707"/>
    <w:rsid w:val="61CA4E55"/>
    <w:rsid w:val="62314DA2"/>
    <w:rsid w:val="623F3E78"/>
    <w:rsid w:val="62536FEF"/>
    <w:rsid w:val="62537C15"/>
    <w:rsid w:val="627F4B59"/>
    <w:rsid w:val="628874E1"/>
    <w:rsid w:val="62A2442F"/>
    <w:rsid w:val="62E91B0A"/>
    <w:rsid w:val="62EB0CA2"/>
    <w:rsid w:val="62F85AA5"/>
    <w:rsid w:val="63191BE9"/>
    <w:rsid w:val="631C79F4"/>
    <w:rsid w:val="633322B1"/>
    <w:rsid w:val="633F10FA"/>
    <w:rsid w:val="63843282"/>
    <w:rsid w:val="63BD3E10"/>
    <w:rsid w:val="63EC58A8"/>
    <w:rsid w:val="63ED2FB8"/>
    <w:rsid w:val="64165CB2"/>
    <w:rsid w:val="64680287"/>
    <w:rsid w:val="646A7D83"/>
    <w:rsid w:val="64A92145"/>
    <w:rsid w:val="64B969E8"/>
    <w:rsid w:val="64D5718E"/>
    <w:rsid w:val="64E245A3"/>
    <w:rsid w:val="64E55A89"/>
    <w:rsid w:val="64EB3A4D"/>
    <w:rsid w:val="653D668F"/>
    <w:rsid w:val="654F00C2"/>
    <w:rsid w:val="658B37D4"/>
    <w:rsid w:val="65A0052E"/>
    <w:rsid w:val="65BF6B8C"/>
    <w:rsid w:val="65CC79E6"/>
    <w:rsid w:val="66017D14"/>
    <w:rsid w:val="66254902"/>
    <w:rsid w:val="66397067"/>
    <w:rsid w:val="663C2440"/>
    <w:rsid w:val="664D74B7"/>
    <w:rsid w:val="66863745"/>
    <w:rsid w:val="66B26C59"/>
    <w:rsid w:val="66BC1B59"/>
    <w:rsid w:val="66F226A8"/>
    <w:rsid w:val="66F67445"/>
    <w:rsid w:val="66F756FF"/>
    <w:rsid w:val="670A5353"/>
    <w:rsid w:val="67127B49"/>
    <w:rsid w:val="672E439C"/>
    <w:rsid w:val="675412F8"/>
    <w:rsid w:val="676B3677"/>
    <w:rsid w:val="677519A0"/>
    <w:rsid w:val="677A2066"/>
    <w:rsid w:val="677A4FC6"/>
    <w:rsid w:val="67927E95"/>
    <w:rsid w:val="67AF724B"/>
    <w:rsid w:val="67B42B51"/>
    <w:rsid w:val="67BC3489"/>
    <w:rsid w:val="67CD4A97"/>
    <w:rsid w:val="67E2382A"/>
    <w:rsid w:val="6836649E"/>
    <w:rsid w:val="68374C19"/>
    <w:rsid w:val="68445A05"/>
    <w:rsid w:val="68490279"/>
    <w:rsid w:val="68521B89"/>
    <w:rsid w:val="6855678B"/>
    <w:rsid w:val="686056D3"/>
    <w:rsid w:val="686E1BC0"/>
    <w:rsid w:val="688531B7"/>
    <w:rsid w:val="688933C3"/>
    <w:rsid w:val="68E25ED5"/>
    <w:rsid w:val="68F67307"/>
    <w:rsid w:val="68F67569"/>
    <w:rsid w:val="691938DD"/>
    <w:rsid w:val="69252E36"/>
    <w:rsid w:val="69361EA6"/>
    <w:rsid w:val="694133C0"/>
    <w:rsid w:val="695D0A86"/>
    <w:rsid w:val="695E5367"/>
    <w:rsid w:val="6967413D"/>
    <w:rsid w:val="699E70CA"/>
    <w:rsid w:val="69B37B95"/>
    <w:rsid w:val="69C77B60"/>
    <w:rsid w:val="69CB17A4"/>
    <w:rsid w:val="69D13CE1"/>
    <w:rsid w:val="6A01228B"/>
    <w:rsid w:val="6A0B7B11"/>
    <w:rsid w:val="6A5A3138"/>
    <w:rsid w:val="6A6B450F"/>
    <w:rsid w:val="6A7D3973"/>
    <w:rsid w:val="6A8544DA"/>
    <w:rsid w:val="6AAC15E6"/>
    <w:rsid w:val="6AB33017"/>
    <w:rsid w:val="6ABD06F5"/>
    <w:rsid w:val="6AC208AD"/>
    <w:rsid w:val="6AE21668"/>
    <w:rsid w:val="6AF83406"/>
    <w:rsid w:val="6B466309"/>
    <w:rsid w:val="6B493271"/>
    <w:rsid w:val="6B564138"/>
    <w:rsid w:val="6B8E70F4"/>
    <w:rsid w:val="6B9F5E6F"/>
    <w:rsid w:val="6BBB370E"/>
    <w:rsid w:val="6BBD7F17"/>
    <w:rsid w:val="6C0A4254"/>
    <w:rsid w:val="6C3D1F01"/>
    <w:rsid w:val="6C507852"/>
    <w:rsid w:val="6D190E73"/>
    <w:rsid w:val="6D203861"/>
    <w:rsid w:val="6D4A54BE"/>
    <w:rsid w:val="6D5D13E0"/>
    <w:rsid w:val="6DA03AE5"/>
    <w:rsid w:val="6DCE2E2F"/>
    <w:rsid w:val="6DF40E20"/>
    <w:rsid w:val="6DF6232B"/>
    <w:rsid w:val="6E072DAE"/>
    <w:rsid w:val="6E3506BB"/>
    <w:rsid w:val="6E4213F6"/>
    <w:rsid w:val="6E484F58"/>
    <w:rsid w:val="6E504CA7"/>
    <w:rsid w:val="6E641C32"/>
    <w:rsid w:val="6EA24CEF"/>
    <w:rsid w:val="6EB716DD"/>
    <w:rsid w:val="6ED22746"/>
    <w:rsid w:val="6F25219D"/>
    <w:rsid w:val="6F356C9F"/>
    <w:rsid w:val="6F637D39"/>
    <w:rsid w:val="6F8A08E8"/>
    <w:rsid w:val="6F943933"/>
    <w:rsid w:val="6F9A410B"/>
    <w:rsid w:val="6F9B74F9"/>
    <w:rsid w:val="6FB5040E"/>
    <w:rsid w:val="6FF62DC7"/>
    <w:rsid w:val="702C2AF2"/>
    <w:rsid w:val="703A70A5"/>
    <w:rsid w:val="70506D47"/>
    <w:rsid w:val="705B6A95"/>
    <w:rsid w:val="705D33E3"/>
    <w:rsid w:val="70755FE5"/>
    <w:rsid w:val="709E578E"/>
    <w:rsid w:val="70F114D8"/>
    <w:rsid w:val="70FC0FF3"/>
    <w:rsid w:val="71044198"/>
    <w:rsid w:val="71647383"/>
    <w:rsid w:val="717F5729"/>
    <w:rsid w:val="71812B00"/>
    <w:rsid w:val="71957BAA"/>
    <w:rsid w:val="71BB7DCA"/>
    <w:rsid w:val="72353B81"/>
    <w:rsid w:val="725522D0"/>
    <w:rsid w:val="727B7557"/>
    <w:rsid w:val="728E7B6A"/>
    <w:rsid w:val="7291414E"/>
    <w:rsid w:val="72AE18C7"/>
    <w:rsid w:val="72D80025"/>
    <w:rsid w:val="72F1461A"/>
    <w:rsid w:val="731153B7"/>
    <w:rsid w:val="73912FE7"/>
    <w:rsid w:val="73A42FE3"/>
    <w:rsid w:val="73AA3251"/>
    <w:rsid w:val="73F23F4A"/>
    <w:rsid w:val="73F77BA0"/>
    <w:rsid w:val="74056A7A"/>
    <w:rsid w:val="74244253"/>
    <w:rsid w:val="7428115A"/>
    <w:rsid w:val="743C1D27"/>
    <w:rsid w:val="74450E36"/>
    <w:rsid w:val="746E6050"/>
    <w:rsid w:val="74807A62"/>
    <w:rsid w:val="74D62AC0"/>
    <w:rsid w:val="74F64DDB"/>
    <w:rsid w:val="751B1E06"/>
    <w:rsid w:val="7527243F"/>
    <w:rsid w:val="75313DC8"/>
    <w:rsid w:val="753611C4"/>
    <w:rsid w:val="75557F90"/>
    <w:rsid w:val="758A6118"/>
    <w:rsid w:val="75B20B56"/>
    <w:rsid w:val="75C952D3"/>
    <w:rsid w:val="75CB02EF"/>
    <w:rsid w:val="75E5032B"/>
    <w:rsid w:val="76077C00"/>
    <w:rsid w:val="765324E6"/>
    <w:rsid w:val="76621CD9"/>
    <w:rsid w:val="76762DAE"/>
    <w:rsid w:val="76AC79B4"/>
    <w:rsid w:val="76B61C65"/>
    <w:rsid w:val="76D330D4"/>
    <w:rsid w:val="76D57A40"/>
    <w:rsid w:val="76E3401E"/>
    <w:rsid w:val="77257795"/>
    <w:rsid w:val="772B106E"/>
    <w:rsid w:val="776D3703"/>
    <w:rsid w:val="779560F0"/>
    <w:rsid w:val="77A536E2"/>
    <w:rsid w:val="77E2381A"/>
    <w:rsid w:val="77F511E4"/>
    <w:rsid w:val="780343F1"/>
    <w:rsid w:val="784348A0"/>
    <w:rsid w:val="78476300"/>
    <w:rsid w:val="78486087"/>
    <w:rsid w:val="78584D3D"/>
    <w:rsid w:val="788C0BD3"/>
    <w:rsid w:val="78A067BA"/>
    <w:rsid w:val="78AD7BFA"/>
    <w:rsid w:val="78B72344"/>
    <w:rsid w:val="78BB0074"/>
    <w:rsid w:val="78D01773"/>
    <w:rsid w:val="78DA1D7B"/>
    <w:rsid w:val="793E239D"/>
    <w:rsid w:val="796046DE"/>
    <w:rsid w:val="79701BB9"/>
    <w:rsid w:val="799A57C0"/>
    <w:rsid w:val="79B40F10"/>
    <w:rsid w:val="79BD050F"/>
    <w:rsid w:val="79E473EB"/>
    <w:rsid w:val="79F16188"/>
    <w:rsid w:val="79F34742"/>
    <w:rsid w:val="7A143249"/>
    <w:rsid w:val="7A277C2E"/>
    <w:rsid w:val="7A5224C2"/>
    <w:rsid w:val="7A8E271A"/>
    <w:rsid w:val="7AB10D78"/>
    <w:rsid w:val="7ACF7679"/>
    <w:rsid w:val="7B0679E6"/>
    <w:rsid w:val="7B0A6F05"/>
    <w:rsid w:val="7B0C351E"/>
    <w:rsid w:val="7B194EAE"/>
    <w:rsid w:val="7B294FB4"/>
    <w:rsid w:val="7B614EF2"/>
    <w:rsid w:val="7B6C7526"/>
    <w:rsid w:val="7B8D6502"/>
    <w:rsid w:val="7BB22021"/>
    <w:rsid w:val="7C121D88"/>
    <w:rsid w:val="7C2D0BB6"/>
    <w:rsid w:val="7C5C02C2"/>
    <w:rsid w:val="7C660F07"/>
    <w:rsid w:val="7CC3541A"/>
    <w:rsid w:val="7CF03648"/>
    <w:rsid w:val="7CF217DD"/>
    <w:rsid w:val="7CF625CC"/>
    <w:rsid w:val="7D0E006E"/>
    <w:rsid w:val="7D1A6357"/>
    <w:rsid w:val="7D3960D8"/>
    <w:rsid w:val="7D3E038C"/>
    <w:rsid w:val="7D653C5A"/>
    <w:rsid w:val="7D742C73"/>
    <w:rsid w:val="7D7668EE"/>
    <w:rsid w:val="7D776FD9"/>
    <w:rsid w:val="7D7C351D"/>
    <w:rsid w:val="7D7F68D2"/>
    <w:rsid w:val="7DDE52D3"/>
    <w:rsid w:val="7DDF202D"/>
    <w:rsid w:val="7E39441D"/>
    <w:rsid w:val="7E666B62"/>
    <w:rsid w:val="7E73782B"/>
    <w:rsid w:val="7E7E2BFF"/>
    <w:rsid w:val="7EDA30CB"/>
    <w:rsid w:val="7EE66910"/>
    <w:rsid w:val="7EF60C6D"/>
    <w:rsid w:val="7F023367"/>
    <w:rsid w:val="7F496071"/>
    <w:rsid w:val="7F9247E5"/>
    <w:rsid w:val="7FB311DE"/>
    <w:rsid w:val="7FE07CD0"/>
    <w:rsid w:val="7FE800B2"/>
    <w:rsid w:val="7FF85D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24"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120" w:after="120" w:line="360" w:lineRule="auto"/>
      <w:jc w:val="center"/>
      <w:outlineLvl w:val="0"/>
    </w:pPr>
    <w:rPr>
      <w:b/>
      <w:bCs/>
      <w:kern w:val="44"/>
      <w:sz w:val="30"/>
      <w:szCs w:val="44"/>
    </w:rPr>
  </w:style>
  <w:style w:type="paragraph" w:styleId="4">
    <w:name w:val="heading 2"/>
    <w:basedOn w:val="1"/>
    <w:next w:val="1"/>
    <w:autoRedefine/>
    <w:unhideWhenUsed/>
    <w:qFormat/>
    <w:uiPriority w:val="9"/>
    <w:pPr>
      <w:keepNext/>
      <w:keepLines/>
      <w:widowControl/>
      <w:numPr>
        <w:ilvl w:val="1"/>
        <w:numId w:val="1"/>
      </w:numPr>
      <w:spacing w:line="360" w:lineRule="auto"/>
      <w:jc w:val="left"/>
      <w:outlineLvl w:val="1"/>
    </w:pPr>
    <w:rPr>
      <w:rFonts w:asciiTheme="majorHAnsi" w:hAnsiTheme="majorHAnsi" w:eastAsiaTheme="majorEastAsia" w:cstheme="majorBidi"/>
      <w:b/>
      <w:bCs/>
      <w:kern w:val="0"/>
      <w:sz w:val="32"/>
      <w:szCs w:val="32"/>
    </w:rPr>
  </w:style>
  <w:style w:type="paragraph" w:styleId="5">
    <w:name w:val="heading 3"/>
    <w:basedOn w:val="1"/>
    <w:next w:val="1"/>
    <w:qFormat/>
    <w:uiPriority w:val="9"/>
    <w:pPr>
      <w:keepNext/>
      <w:tabs>
        <w:tab w:val="left" w:pos="1275"/>
      </w:tabs>
      <w:spacing w:line="216" w:lineRule="auto"/>
      <w:ind w:left="1275" w:hanging="720"/>
      <w:outlineLvl w:val="2"/>
    </w:pPr>
    <w:rPr>
      <w:rFonts w:ascii="宋体"/>
      <w:b/>
      <w:sz w:val="28"/>
    </w:rPr>
  </w:style>
  <w:style w:type="paragraph" w:styleId="6">
    <w:name w:val="heading 4"/>
    <w:basedOn w:val="1"/>
    <w:next w:val="1"/>
    <w:autoRedefine/>
    <w:qFormat/>
    <w:uiPriority w:val="9"/>
    <w:pPr>
      <w:keepNext/>
      <w:keepLines/>
      <w:numPr>
        <w:ilvl w:val="3"/>
        <w:numId w:val="2"/>
      </w:numPr>
      <w:spacing w:before="280" w:after="290" w:line="372" w:lineRule="auto"/>
      <w:outlineLvl w:val="3"/>
    </w:pPr>
    <w:rPr>
      <w:rFonts w:ascii="Arial" w:hAnsi="Arial" w:eastAsia="黑体"/>
      <w:b/>
      <w:sz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rPr>
      <w:color w:val="993300"/>
      <w:sz w:val="24"/>
    </w:rPr>
  </w:style>
  <w:style w:type="paragraph" w:styleId="7">
    <w:name w:val="Normal Indent"/>
    <w:basedOn w:val="1"/>
    <w:autoRedefine/>
    <w:qFormat/>
    <w:uiPriority w:val="99"/>
    <w:pPr>
      <w:ind w:firstLine="420" w:firstLineChars="200"/>
    </w:pPr>
  </w:style>
  <w:style w:type="paragraph" w:styleId="8">
    <w:name w:val="annotation text"/>
    <w:basedOn w:val="1"/>
    <w:autoRedefine/>
    <w:qFormat/>
    <w:uiPriority w:val="0"/>
    <w:pPr>
      <w:jc w:val="left"/>
    </w:pPr>
  </w:style>
  <w:style w:type="paragraph" w:styleId="9">
    <w:name w:val="Body Text Indent"/>
    <w:basedOn w:val="1"/>
    <w:next w:val="1"/>
    <w:autoRedefine/>
    <w:unhideWhenUsed/>
    <w:qFormat/>
    <w:uiPriority w:val="99"/>
    <w:pPr>
      <w:spacing w:line="640" w:lineRule="exact"/>
      <w:ind w:firstLine="585"/>
    </w:pPr>
    <w:rPr>
      <w:rFonts w:ascii="楷体_GB2312" w:eastAsia="楷体_GB2312"/>
      <w:sz w:val="32"/>
    </w:rPr>
  </w:style>
  <w:style w:type="paragraph" w:styleId="10">
    <w:name w:val="Plain Text"/>
    <w:basedOn w:val="1"/>
    <w:autoRedefine/>
    <w:qFormat/>
    <w:uiPriority w:val="0"/>
    <w:rPr>
      <w:rFonts w:ascii="宋体" w:hAnsi="Courier New" w:cs="Courier New"/>
      <w:szCs w:val="21"/>
    </w:rPr>
  </w:style>
  <w:style w:type="paragraph" w:styleId="11">
    <w:name w:val="footer"/>
    <w:basedOn w:val="1"/>
    <w:autoRedefine/>
    <w:qFormat/>
    <w:uiPriority w:val="99"/>
    <w:pPr>
      <w:tabs>
        <w:tab w:val="center" w:pos="4153"/>
        <w:tab w:val="right" w:pos="8306"/>
      </w:tabs>
      <w:snapToGrid w:val="0"/>
      <w:jc w:val="left"/>
    </w:pPr>
    <w:rPr>
      <w:sz w:val="18"/>
      <w:szCs w:val="18"/>
    </w:rPr>
  </w:style>
  <w:style w:type="paragraph" w:styleId="12">
    <w:name w:val="header"/>
    <w:basedOn w:val="1"/>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autoRedefine/>
    <w:qFormat/>
    <w:uiPriority w:val="39"/>
    <w:pPr>
      <w:tabs>
        <w:tab w:val="right" w:leader="middleDot" w:pos="8760"/>
      </w:tabs>
      <w:spacing w:line="700" w:lineRule="exact"/>
    </w:pPr>
  </w:style>
  <w:style w:type="paragraph" w:styleId="14">
    <w:name w:val="Subtitle"/>
    <w:basedOn w:val="1"/>
    <w:next w:val="1"/>
    <w:autoRedefine/>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5">
    <w:name w:val="Body Text Indent 3"/>
    <w:basedOn w:val="1"/>
    <w:autoRedefine/>
    <w:qFormat/>
    <w:uiPriority w:val="0"/>
    <w:pPr>
      <w:spacing w:after="120"/>
      <w:ind w:left="420" w:leftChars="200"/>
    </w:pPr>
    <w:rPr>
      <w:sz w:val="16"/>
      <w:szCs w:val="16"/>
    </w:rPr>
  </w:style>
  <w:style w:type="paragraph" w:styleId="16">
    <w:name w:val="toc 2"/>
    <w:basedOn w:val="1"/>
    <w:next w:val="1"/>
    <w:autoRedefine/>
    <w:qFormat/>
    <w:uiPriority w:val="0"/>
    <w:pPr>
      <w:spacing w:before="312" w:beforeLines="100" w:beforeAutospacing="0" w:line="360" w:lineRule="auto"/>
      <w:ind w:left="240" w:firstLine="480" w:firstLineChars="200"/>
      <w:jc w:val="left"/>
    </w:pPr>
    <w:rPr>
      <w:smallCaps/>
      <w:sz w:val="24"/>
    </w:rPr>
  </w:style>
  <w:style w:type="paragraph" w:styleId="17">
    <w:name w:val="toc 9"/>
    <w:basedOn w:val="1"/>
    <w:next w:val="1"/>
    <w:autoRedefine/>
    <w:qFormat/>
    <w:uiPriority w:val="0"/>
    <w:pPr>
      <w:wordWrap w:val="0"/>
      <w:ind w:left="2975"/>
    </w:pPr>
  </w:style>
  <w:style w:type="paragraph" w:styleId="18">
    <w:name w:val="Normal (Web)"/>
    <w:basedOn w:val="1"/>
    <w:autoRedefine/>
    <w:qFormat/>
    <w:uiPriority w:val="0"/>
    <w:pPr>
      <w:widowControl/>
      <w:spacing w:before="100" w:beforeAutospacing="1" w:after="100" w:afterAutospacing="1" w:line="240" w:lineRule="auto"/>
      <w:jc w:val="left"/>
    </w:pPr>
    <w:rPr>
      <w:rFonts w:ascii="宋体" w:hAnsi="宋体" w:cs="宋体"/>
      <w:kern w:val="0"/>
      <w:sz w:val="24"/>
    </w:rPr>
  </w:style>
  <w:style w:type="paragraph" w:styleId="19">
    <w:name w:val="Body Text First Indent"/>
    <w:basedOn w:val="2"/>
    <w:autoRedefine/>
    <w:unhideWhenUsed/>
    <w:qFormat/>
    <w:uiPriority w:val="99"/>
    <w:pPr>
      <w:ind w:firstLine="420" w:firstLineChars="100"/>
    </w:pPr>
  </w:style>
  <w:style w:type="paragraph" w:styleId="20">
    <w:name w:val="Body Text First Indent 2"/>
    <w:basedOn w:val="9"/>
    <w:next w:val="16"/>
    <w:autoRedefine/>
    <w:unhideWhenUsed/>
    <w:qFormat/>
    <w:uiPriority w:val="99"/>
    <w:pPr>
      <w:spacing w:after="0" w:line="360" w:lineRule="auto"/>
      <w:ind w:left="424" w:leftChars="202" w:firstLine="420" w:firstLineChars="200"/>
    </w:pPr>
    <w:rPr>
      <w:sz w:val="24"/>
    </w:rPr>
  </w:style>
  <w:style w:type="table" w:styleId="22">
    <w:name w:val="Table Grid"/>
    <w:basedOn w:val="21"/>
    <w:autoRedefine/>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page number"/>
    <w:basedOn w:val="23"/>
    <w:autoRedefine/>
    <w:qFormat/>
    <w:uiPriority w:val="99"/>
  </w:style>
  <w:style w:type="paragraph" w:customStyle="1" w:styleId="26">
    <w:name w:val="p15"/>
    <w:basedOn w:val="1"/>
    <w:autoRedefine/>
    <w:qFormat/>
    <w:uiPriority w:val="0"/>
    <w:pPr>
      <w:widowControl/>
      <w:spacing w:line="360" w:lineRule="auto"/>
      <w:jc w:val="left"/>
    </w:pPr>
    <w:rPr>
      <w:kern w:val="0"/>
      <w:sz w:val="24"/>
    </w:rPr>
  </w:style>
  <w:style w:type="paragraph" w:customStyle="1" w:styleId="27">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09正文_wh"/>
    <w:autoRedefine/>
    <w:qFormat/>
    <w:uiPriority w:val="0"/>
    <w:pPr>
      <w:spacing w:line="300" w:lineRule="auto"/>
      <w:ind w:firstLine="200" w:firstLineChars="200"/>
      <w:jc w:val="both"/>
    </w:pPr>
    <w:rPr>
      <w:rFonts w:ascii="Times New Roman" w:hAnsi="Times New Roman" w:eastAsia="宋体" w:cs="Times New Roman"/>
      <w:sz w:val="28"/>
      <w:lang w:val="en-US" w:eastAsia="zh-CN" w:bidi="ar-SA"/>
    </w:rPr>
  </w:style>
  <w:style w:type="paragraph" w:customStyle="1" w:styleId="29">
    <w:name w:val="首行缩进"/>
    <w:basedOn w:val="1"/>
    <w:autoRedefine/>
    <w:qFormat/>
    <w:uiPriority w:val="0"/>
    <w:pPr>
      <w:ind w:firstLine="480" w:firstLineChars="200"/>
    </w:pPr>
    <w:rPr>
      <w:szCs w:val="20"/>
      <w:lang w:val="zh-CN"/>
    </w:rPr>
  </w:style>
  <w:style w:type="paragraph" w:customStyle="1" w:styleId="30">
    <w:name w:val="SW正文"/>
    <w:basedOn w:val="1"/>
    <w:autoRedefine/>
    <w:qFormat/>
    <w:uiPriority w:val="0"/>
    <w:pPr>
      <w:spacing w:before="120" w:after="120" w:line="360" w:lineRule="auto"/>
      <w:ind w:firstLine="480" w:firstLineChars="200"/>
    </w:pPr>
    <w:rPr>
      <w:rFonts w:ascii="Calibri" w:hAnsi="Calibri"/>
      <w:sz w:val="24"/>
    </w:rPr>
  </w:style>
  <w:style w:type="paragraph" w:customStyle="1" w:styleId="31">
    <w:name w:val="样式 正文缩进 + 首行缩进:  2 字符"/>
    <w:basedOn w:val="7"/>
    <w:autoRedefine/>
    <w:qFormat/>
    <w:uiPriority w:val="0"/>
    <w:pPr>
      <w:ind w:firstLine="200"/>
    </w:pPr>
    <w:rPr>
      <w:rFonts w:cs="宋体"/>
      <w:szCs w:val="20"/>
    </w:rPr>
  </w:style>
  <w:style w:type="paragraph" w:customStyle="1" w:styleId="32">
    <w:name w:val="列表段落1"/>
    <w:basedOn w:val="1"/>
    <w:autoRedefine/>
    <w:qFormat/>
    <w:uiPriority w:val="0"/>
    <w:pPr>
      <w:widowControl/>
      <w:spacing w:line="240" w:lineRule="auto"/>
      <w:ind w:left="720"/>
      <w:contextualSpacing/>
      <w:jc w:val="left"/>
    </w:pPr>
    <w:rPr>
      <w:rFonts w:ascii="Calibri" w:hAnsi="Calibri"/>
      <w:kern w:val="0"/>
      <w:sz w:val="24"/>
      <w:lang w:eastAsia="en-US" w:bidi="en-US"/>
    </w:rPr>
  </w:style>
  <w:style w:type="paragraph" w:customStyle="1" w:styleId="33">
    <w:name w:val="Table Paragraph"/>
    <w:basedOn w:val="1"/>
    <w:autoRedefine/>
    <w:qFormat/>
    <w:uiPriority w:val="1"/>
  </w:style>
  <w:style w:type="paragraph" w:customStyle="1" w:styleId="34">
    <w:name w:val="列出段落1"/>
    <w:basedOn w:val="1"/>
    <w:autoRedefine/>
    <w:qFormat/>
    <w:uiPriority w:val="0"/>
    <w:pPr>
      <w:ind w:firstLine="420" w:firstLineChars="200"/>
    </w:pPr>
    <w:rPr>
      <w:rFonts w:ascii="Calibri" w:hAnsi="Calibri"/>
    </w:rPr>
  </w:style>
  <w:style w:type="paragraph" w:customStyle="1" w:styleId="35">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36">
    <w:name w:val="title1"/>
    <w:basedOn w:val="1"/>
    <w:autoRedefine/>
    <w:qFormat/>
    <w:uiPriority w:val="0"/>
    <w:pPr>
      <w:spacing w:before="150" w:line="450" w:lineRule="atLeast"/>
      <w:jc w:val="left"/>
    </w:pPr>
    <w:rPr>
      <w:b/>
      <w:kern w:val="0"/>
      <w:sz w:val="24"/>
    </w:rPr>
  </w:style>
  <w:style w:type="paragraph" w:customStyle="1" w:styleId="37">
    <w:name w:val="正文（缩进）"/>
    <w:basedOn w:val="1"/>
    <w:autoRedefine/>
    <w:qFormat/>
    <w:uiPriority w:val="0"/>
    <w:pPr>
      <w:spacing w:before="156" w:after="156" w:line="360" w:lineRule="auto"/>
      <w:ind w:firstLine="480" w:firstLineChars="200"/>
    </w:pPr>
    <w:rPr>
      <w:rFonts w:ascii="Calibri" w:hAnsi="Calibri"/>
      <w:szCs w:val="21"/>
    </w:rPr>
  </w:style>
  <w:style w:type="paragraph" w:customStyle="1" w:styleId="38">
    <w:name w:val="0段落文字"/>
    <w:basedOn w:val="1"/>
    <w:autoRedefine/>
    <w:qFormat/>
    <w:uiPriority w:val="0"/>
    <w:pPr>
      <w:spacing w:line="360" w:lineRule="auto"/>
      <w:ind w:firstLine="200" w:firstLineChars="200"/>
    </w:pPr>
    <w:rPr>
      <w:sz w:val="24"/>
    </w:rPr>
  </w:style>
  <w:style w:type="paragraph" w:customStyle="1" w:styleId="39">
    <w:name w:val="p0"/>
    <w:basedOn w:val="1"/>
    <w:autoRedefine/>
    <w:qFormat/>
    <w:uiPriority w:val="0"/>
    <w:pPr>
      <w:widowControl/>
      <w:spacing w:line="240" w:lineRule="auto"/>
    </w:pPr>
    <w:rPr>
      <w:kern w:val="0"/>
      <w:szCs w:val="21"/>
    </w:rPr>
  </w:style>
  <w:style w:type="paragraph" w:customStyle="1" w:styleId="40">
    <w:name w:val="文档正文"/>
    <w:basedOn w:val="1"/>
    <w:autoRedefine/>
    <w:qFormat/>
    <w:uiPriority w:val="11"/>
    <w:pPr>
      <w:ind w:firstLine="482"/>
    </w:pPr>
    <w:rPr>
      <w:rFonts w:ascii="微软雅黑" w:hAnsi="微软雅黑" w:eastAsia="微软雅黑"/>
      <w:sz w:val="24"/>
    </w:rPr>
  </w:style>
  <w:style w:type="paragraph" w:styleId="41">
    <w:name w:val="List Paragraph"/>
    <w:basedOn w:val="1"/>
    <w:autoRedefine/>
    <w:qFormat/>
    <w:uiPriority w:val="1"/>
    <w:pPr>
      <w:ind w:firstLine="420" w:firstLineChars="200"/>
    </w:pPr>
  </w:style>
  <w:style w:type="paragraph" w:customStyle="1" w:styleId="42">
    <w:name w:val="xl31"/>
    <w:basedOn w:val="1"/>
    <w:autoRedefine/>
    <w:qFormat/>
    <w:uiPriority w:val="0"/>
    <w:pPr>
      <w:widowControl/>
      <w:spacing w:before="100" w:beforeAutospacing="1" w:after="100" w:afterAutospacing="1"/>
      <w:jc w:val="center"/>
    </w:pPr>
    <w:rPr>
      <w:rFonts w:ascii="宋体" w:hAnsi="宋体" w:eastAsia="仿宋_GB2312"/>
      <w:b/>
      <w:bCs/>
      <w:kern w:val="0"/>
      <w:sz w:val="28"/>
      <w:szCs w:val="28"/>
    </w:rPr>
  </w:style>
  <w:style w:type="paragraph" w:customStyle="1" w:styleId="43">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44">
    <w:name w:val="正文文本缩进_0_0"/>
    <w:basedOn w:val="1"/>
    <w:autoRedefine/>
    <w:qFormat/>
    <w:uiPriority w:val="0"/>
    <w:pPr>
      <w:widowControl w:val="0"/>
      <w:suppressAutoHyphens/>
      <w:spacing w:line="500" w:lineRule="exact"/>
      <w:ind w:left="1588" w:firstLine="433"/>
      <w:jc w:val="both"/>
    </w:pPr>
    <w:rPr>
      <w:rFonts w:ascii="Calibri" w:hAnsi="Calibri" w:eastAsia="宋体;SimSun" w:cs="Calibri"/>
      <w:sz w:val="24"/>
    </w:rPr>
  </w:style>
  <w:style w:type="paragraph" w:customStyle="1" w:styleId="45">
    <w:name w:val="标书正文"/>
    <w:basedOn w:val="1"/>
    <w:autoRedefine/>
    <w:qFormat/>
    <w:uiPriority w:val="0"/>
    <w:pPr>
      <w:widowControl w:val="0"/>
      <w:suppressAutoHyphens/>
      <w:spacing w:line="560" w:lineRule="exact"/>
      <w:ind w:firstLine="723"/>
      <w:jc w:val="center"/>
    </w:pPr>
    <w:rPr>
      <w:rFonts w:ascii="仿宋_GB2312" w:hAnsi="仿宋_GB2312" w:eastAsia="仿宋_GB2312" w:cs="仿宋_GB2312"/>
      <w:b/>
      <w:bCs/>
      <w:sz w:val="36"/>
      <w:szCs w:val="36"/>
    </w:rPr>
  </w:style>
  <w:style w:type="paragraph" w:customStyle="1" w:styleId="46">
    <w:name w:val="正"/>
    <w:basedOn w:val="1"/>
    <w:autoRedefine/>
    <w:qFormat/>
    <w:uiPriority w:val="0"/>
    <w:pPr>
      <w:widowControl w:val="0"/>
      <w:tabs>
        <w:tab w:val="left" w:pos="-120"/>
      </w:tabs>
      <w:suppressAutoHyphens/>
      <w:spacing w:line="560" w:lineRule="exact"/>
      <w:ind w:firstLine="600"/>
      <w:jc w:val="both"/>
      <w:textAlignment w:val="baseline"/>
    </w:pPr>
    <w:rPr>
      <w:rFonts w:ascii="仿宋_GB2312" w:hAnsi="仿宋_GB2312" w:eastAsia="仿宋_GB2312" w:cs="仿宋_GB2312"/>
      <w:color w:val="000000"/>
      <w:spacing w:val="20"/>
      <w:kern w:val="0"/>
      <w:szCs w:val="21"/>
    </w:rPr>
  </w:style>
  <w:style w:type="character" w:customStyle="1" w:styleId="47">
    <w:name w:val="font31"/>
    <w:basedOn w:val="23"/>
    <w:autoRedefine/>
    <w:qFormat/>
    <w:uiPriority w:val="0"/>
    <w:rPr>
      <w:rFonts w:hint="eastAsia" w:ascii="微软雅黑" w:hAnsi="微软雅黑" w:eastAsia="微软雅黑" w:cs="微软雅黑"/>
      <w:b/>
      <w:bCs/>
      <w:color w:val="000000"/>
      <w:sz w:val="20"/>
      <w:szCs w:val="20"/>
      <w:u w:val="none"/>
    </w:rPr>
  </w:style>
  <w:style w:type="character" w:customStyle="1" w:styleId="48">
    <w:name w:val="font21"/>
    <w:basedOn w:val="23"/>
    <w:autoRedefine/>
    <w:qFormat/>
    <w:uiPriority w:val="0"/>
    <w:rPr>
      <w:rFonts w:hint="eastAsia" w:ascii="微软雅黑" w:hAnsi="微软雅黑" w:eastAsia="微软雅黑" w:cs="微软雅黑"/>
      <w:color w:val="000000"/>
      <w:sz w:val="20"/>
      <w:szCs w:val="20"/>
      <w:u w:val="none"/>
    </w:rPr>
  </w:style>
  <w:style w:type="character" w:customStyle="1" w:styleId="49">
    <w:name w:val="font51"/>
    <w:basedOn w:val="23"/>
    <w:autoRedefine/>
    <w:qFormat/>
    <w:uiPriority w:val="0"/>
    <w:rPr>
      <w:rFonts w:hint="eastAsia" w:ascii="微软雅黑" w:hAnsi="微软雅黑" w:eastAsia="微软雅黑" w:cs="微软雅黑"/>
      <w:b/>
      <w:bCs/>
      <w:color w:val="000000"/>
      <w:sz w:val="20"/>
      <w:szCs w:val="20"/>
      <w:u w:val="none"/>
    </w:rPr>
  </w:style>
  <w:style w:type="character" w:customStyle="1" w:styleId="50">
    <w:name w:val="font41"/>
    <w:basedOn w:val="23"/>
    <w:autoRedefine/>
    <w:qFormat/>
    <w:uiPriority w:val="0"/>
    <w:rPr>
      <w:rFonts w:hint="eastAsia" w:ascii="微软雅黑" w:hAnsi="微软雅黑" w:eastAsia="微软雅黑" w:cs="微软雅黑"/>
      <w:color w:val="000000"/>
      <w:sz w:val="20"/>
      <w:szCs w:val="20"/>
      <w:u w:val="none"/>
    </w:rPr>
  </w:style>
  <w:style w:type="paragraph" w:customStyle="1" w:styleId="51">
    <w:name w:val="正本加黑"/>
    <w:basedOn w:val="1"/>
    <w:next w:val="1"/>
    <w:autoRedefine/>
    <w:qFormat/>
    <w:uiPriority w:val="0"/>
    <w:pPr>
      <w:spacing w:line="360" w:lineRule="auto"/>
      <w:ind w:firstLine="881" w:firstLineChars="200"/>
      <w:jc w:val="left"/>
    </w:pPr>
    <w:rPr>
      <w:rFonts w:ascii="宋体" w:hAnsi="宋体" w:cstheme="minorBidi"/>
      <w:b/>
      <w:bCs/>
      <w:sz w:val="24"/>
    </w:rPr>
  </w:style>
  <w:style w:type="character" w:customStyle="1" w:styleId="52">
    <w:name w:val="font11"/>
    <w:basedOn w:val="23"/>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14244</Words>
  <Characters>15027</Characters>
  <Lines>257</Lines>
  <Paragraphs>72</Paragraphs>
  <TotalTime>15</TotalTime>
  <ScaleCrop>false</ScaleCrop>
  <LinksUpToDate>false</LinksUpToDate>
  <CharactersWithSpaces>15321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2023-05-22T10:16:00Z</dcterms:created>
  <dc:creator>Administrator</dc:creator>
  <cp:lastModifiedBy>十 。</cp:lastModifiedBy>
  <cp:lastPrinted>2021-06-06T11:56:00Z</cp:lastPrinted>
  <dcterms:modified xsi:type="dcterms:W3CDTF">2025-03-11T03:30:03Z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4412C2702A2542658410BBC0AE52A02A_13</vt:lpwstr>
  </property>
  <property fmtid="{D5CDD505-2E9C-101B-9397-08002B2CF9AE}" pid="4" name="KSOTemplateDocerSaveRecord">
    <vt:lpwstr>eyJoZGlkIjoiMDlmZGUxODZhOTE0ZDA0MzY0YTJkMjc2OWZjNjkxNzAiLCJ1c2VySWQiOiI3NTQ0NjE3ODUifQ==</vt:lpwstr>
  </property>
</Properties>
</file>