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大荔县2024年麦田化学除草项目采购需求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1、项目名称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大荔县2024年麦田化学除草项目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2、采购预算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29.7万元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3、最高限价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29.7万元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采购需求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按照每亩18元(包括阔叶杂草防治药剂+禾本科杂草防治药剂+作业费)的标准，实施麦田化学除草统防统治1.65万亩。</w:t>
      </w:r>
      <w:bookmarkStart w:id="0" w:name="_GoBack"/>
      <w:bookmarkEnd w:id="0"/>
      <w:r>
        <w:rPr>
          <w:rFonts w:hint="eastAsia"/>
          <w:sz w:val="24"/>
          <w:szCs w:val="24"/>
        </w:rPr>
        <w:t>除草剂需提供农药登记证、农药生产许可证或农药生产批准文件、农药产品标准。施药器为自走式喷杆喷雾机或无人机。</w:t>
      </w:r>
    </w:p>
    <w:p>
      <w:pPr>
        <w:pStyle w:val="2"/>
        <w:numPr>
          <w:numId w:val="0"/>
        </w:numPr>
        <w:spacing w:line="360" w:lineRule="auto"/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t>合同履行期限：30天</w:t>
      </w:r>
    </w:p>
    <w:p>
      <w:pPr>
        <w:pStyle w:val="2"/>
        <w:numPr>
          <w:numId w:val="0"/>
        </w:numPr>
        <w:spacing w:line="360" w:lineRule="auto"/>
        <w:rPr>
          <w:rFonts w:hint="default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6、质量标准：合格</w:t>
      </w:r>
    </w:p>
    <w:p>
      <w:pPr>
        <w:pStyle w:val="2"/>
        <w:numPr>
          <w:numId w:val="0"/>
        </w:numPr>
        <w:spacing w:line="360" w:lineRule="auto"/>
        <w:rPr>
          <w:rFonts w:hint="default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7、验收标准：项目实施区，阔叶杂草防控处置率达到95%以上，禾本科杂草防控处置率达到90%以上。带动全县统防统治比率65%以上，综合防治效果90%以上，危害损失率控制在5%以内。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34F43"/>
    <w:rsid w:val="333629E0"/>
    <w:rsid w:val="52B47809"/>
    <w:rsid w:val="5F63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2025-03-04T10:32:00Z</dcterms:created>
  <dc:creator>兄弟洋服</dc:creator>
  <cp:lastModifiedBy>兄弟洋服</cp:lastModifiedBy>
  <dcterms:modified xsi:type="dcterms:W3CDTF">2025-03-04T10:37:07Z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