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9E719">
      <w:pPr>
        <w:jc w:val="center"/>
        <w:rPr>
          <w:rFonts w:ascii="微软雅黑" w:hAnsi="微软雅黑" w:eastAsia="微软雅黑" w:cs="微软雅黑"/>
          <w:b/>
          <w:bCs/>
          <w:i w:val="0"/>
          <w:iCs w:val="0"/>
          <w:caps w:val="0"/>
          <w:color w:val="auto"/>
          <w:spacing w:val="0"/>
          <w:sz w:val="36"/>
          <w:szCs w:val="36"/>
          <w:shd w:val="clear" w:fill="FFFFFF"/>
        </w:rPr>
      </w:pPr>
      <w:r>
        <w:rPr>
          <w:rFonts w:ascii="微软雅黑" w:hAnsi="微软雅黑" w:eastAsia="微软雅黑" w:cs="微软雅黑"/>
          <w:b/>
          <w:bCs/>
          <w:i w:val="0"/>
          <w:iCs w:val="0"/>
          <w:caps w:val="0"/>
          <w:color w:val="auto"/>
          <w:spacing w:val="0"/>
          <w:sz w:val="36"/>
          <w:szCs w:val="36"/>
          <w:shd w:val="clear" w:fill="FFFFFF"/>
        </w:rPr>
        <w:t>西安市蓝田县前卫镇人民政府（本级）前卫镇推动城乡要素双向流动基础设施建设项目招标公告</w:t>
      </w:r>
    </w:p>
    <w:p w14:paraId="13F70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D22B7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前卫镇推动城乡要素双向流动基础设施建设项目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招标项目的潜在投标人应在全国公共资源交易平台（陕西省·西安市）【首页〉电子交易平台〉陕西政府采购交易系统〉企业端】获取招标文件，并于 2025年03月13日 09时30分 （北京时间）前递交投标文件。</w:t>
      </w:r>
    </w:p>
    <w:p w14:paraId="5E1DC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1E3E4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项目编号：TZZB-2025051C</w:t>
      </w:r>
    </w:p>
    <w:p w14:paraId="1ED8B5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项目名称：前卫镇推动城乡要素双向流动基础设施建设项目</w:t>
      </w:r>
    </w:p>
    <w:p w14:paraId="60A05B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606AE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预算金额：9,944,983.93元</w:t>
      </w:r>
    </w:p>
    <w:p w14:paraId="578877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6B3B1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合同包1(前卫镇推动城乡要素双向流动基础设施建设项目（一标段）):</w:t>
      </w:r>
    </w:p>
    <w:p w14:paraId="7EE6D8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合同包预算金额：2,166,084.05元</w:t>
      </w:r>
    </w:p>
    <w:p w14:paraId="3667B9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合同包最高限价：2,166,084.05元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3"/>
        <w:gridCol w:w="4139"/>
        <w:gridCol w:w="5250"/>
        <w:gridCol w:w="1425"/>
        <w:gridCol w:w="2791"/>
        <w:gridCol w:w="1773"/>
        <w:gridCol w:w="1774"/>
      </w:tblGrid>
      <w:tr w14:paraId="5402ED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9FB10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19D0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702D2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9FCC3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448F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B5BC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7D4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60E9B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5E64D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A5636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76075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前卫镇推动城乡要素双向流动基础设施建设项目（一标段）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4C5A6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73EA1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2D935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2,166,084.05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DCC6F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2,166,084.05</w:t>
            </w:r>
          </w:p>
        </w:tc>
      </w:tr>
    </w:tbl>
    <w:p w14:paraId="665915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4F0EE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合同履行期限：合同签订后30日历天</w:t>
      </w:r>
    </w:p>
    <w:p w14:paraId="4D6839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合同包2(前卫镇推动城乡要素双向流动基础设施建设项目（二标段）):</w:t>
      </w:r>
    </w:p>
    <w:p w14:paraId="5EF5A6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合同包预算金额：3,909,991.71元</w:t>
      </w:r>
    </w:p>
    <w:p w14:paraId="57F051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合同包最高限价：3,909,991.71元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3"/>
        <w:gridCol w:w="4139"/>
        <w:gridCol w:w="5250"/>
        <w:gridCol w:w="1425"/>
        <w:gridCol w:w="2791"/>
        <w:gridCol w:w="1773"/>
        <w:gridCol w:w="1774"/>
      </w:tblGrid>
      <w:tr w14:paraId="233A5B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C69AA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35D65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6533A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A149C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73E2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88B54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F4E49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2B80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9F346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D239C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3F43A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前卫镇推动城乡要素双向流动基础设施建设项目（二标段）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94CE7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2528A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EE32C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3,909,991.71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550D6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3,909,991.71</w:t>
            </w:r>
          </w:p>
        </w:tc>
      </w:tr>
    </w:tbl>
    <w:p w14:paraId="6D5369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BEE4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合同履行期限：合同签订后30日历天</w:t>
      </w:r>
    </w:p>
    <w:p w14:paraId="6B1E3E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合同包3(前卫镇推动城乡要素双向流动基础设施建设项目（三标段）):</w:t>
      </w:r>
    </w:p>
    <w:p w14:paraId="44FA4B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合同包预算金额：1,010,877.85元</w:t>
      </w:r>
    </w:p>
    <w:p w14:paraId="283588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合同包最高限价：1,010,877.85元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3"/>
        <w:gridCol w:w="4139"/>
        <w:gridCol w:w="5250"/>
        <w:gridCol w:w="1425"/>
        <w:gridCol w:w="2791"/>
        <w:gridCol w:w="1773"/>
        <w:gridCol w:w="1774"/>
      </w:tblGrid>
      <w:tr w14:paraId="2C164B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BAC3D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F773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8E5D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80027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4FEEF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D57BE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141B0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89A0E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9C81E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8B8BF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EF783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前卫镇推动城乡要素双向流动基础设施建设项目（三标段）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64C4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A7A0E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957BE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1,010,877.85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EB24D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1,010,877.85</w:t>
            </w:r>
          </w:p>
        </w:tc>
      </w:tr>
    </w:tbl>
    <w:p w14:paraId="2CC85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D1887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合同履行期限：合同签订后40日历天</w:t>
      </w:r>
    </w:p>
    <w:p w14:paraId="36FA35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合同包4(前卫镇推动城乡要素双向流动基础设施建设项目（四标段）):</w:t>
      </w:r>
    </w:p>
    <w:p w14:paraId="38363C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合同包预算金额：2,858,030.32元</w:t>
      </w:r>
    </w:p>
    <w:p w14:paraId="14277C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合同包最高限价：2,858,030.32元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3"/>
        <w:gridCol w:w="4139"/>
        <w:gridCol w:w="5250"/>
        <w:gridCol w:w="1425"/>
        <w:gridCol w:w="2791"/>
        <w:gridCol w:w="1773"/>
        <w:gridCol w:w="1774"/>
      </w:tblGrid>
      <w:tr w14:paraId="4EDFD4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49792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D5C3E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973D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8FFC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65139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87602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8D6A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346B4E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856BF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67407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375E2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前卫镇推动城乡要素双向流动基础设施建设项目（四标段）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80BE5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AA50A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CB5EE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2,858,030.32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C72A9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2,858,030.32</w:t>
            </w:r>
          </w:p>
        </w:tc>
      </w:tr>
    </w:tbl>
    <w:p w14:paraId="44B2E7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B402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合同履行期限：合同签订后30日历天</w:t>
      </w:r>
    </w:p>
    <w:p w14:paraId="5528E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62FD81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9790E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26CED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合同包1(前卫镇推动城乡要素双向流动基础设施建设项目（一标段）)落实政府采购政策需满足的资格要求如下:</w:t>
      </w:r>
    </w:p>
    <w:p w14:paraId="0113BE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p>
    <w:p w14:paraId="78DF25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合同包2(前卫镇推动城乡要素双向流动基础设施建设项目（二标段）)落实政府采购政策需满足的资格要求如下:</w:t>
      </w:r>
    </w:p>
    <w:p w14:paraId="703124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p>
    <w:p w14:paraId="33323A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合同包3(前卫镇推动城乡要素双向流动基础设施建设项目（三标段）)落实政府采购政策需满足的资格要求如下:</w:t>
      </w:r>
    </w:p>
    <w:p w14:paraId="3BD19F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p>
    <w:p w14:paraId="79E26F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合同包4(前卫镇推动城乡要素双向流动基础设施建设项目（四标段）)落实政府采购政策需满足的资格要求如下:</w:t>
      </w:r>
    </w:p>
    <w:p w14:paraId="115FB2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（13）其他需要落实的政府采购政策（如有最新颁布的政府采购政策，按最新的文件执行）；</w:t>
      </w:r>
    </w:p>
    <w:p w14:paraId="686492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33FF5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合同包1(前卫镇推动城乡要素双向流动基础设施建设项目（一标段）)特定资格要求如下:</w:t>
      </w:r>
    </w:p>
    <w:p w14:paraId="5E8EAA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（2）财务状况报告：提供2023年经审计的财务报告或开标前三个月内开户银行开具的资信证明；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（3）税收缴纳证明：提供2024年7月至今已缴纳的至少一个月的纳税证明或完税证明（任意税种），依法免税的单位应提供相关证明材料；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（4）社会保障资金缴纳证明：提供2024年7月至今已缴存的至少一个月的社会保障资金缴存单据或社保机构开具的社会保险参保缴费情况证明，依法不需要缴纳社会保障资金的单位应提供相关证明材料；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（5）投标单位须具备建设行政主管部门颁发的市政公用工程施工总承包三级及以上资质，并具有合法有效的安全生产许可证；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（6）拟派项目经理须具备市政公用工程专业二级及以上注册建造师资格，并持有效的安全生产考核合格证书（B证），在本单位注册，且未担任其他在建工程项目的项目经理；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（10）投标单位负责人不得为同一人或者存在控股、管理关系；</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（11）本项目为专门面向中小企业项目：投标人须为中型企业或者小型、微型企业或监狱企业或残疾人福利性单位。</w:t>
      </w:r>
    </w:p>
    <w:p w14:paraId="2CAC0F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合同包2(前卫镇推动城乡要素双向流动基础设施建设项目（二标段）)特定资格要求如下:</w:t>
      </w:r>
    </w:p>
    <w:p w14:paraId="731D35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（2）财务状况报告：提供2023年经审计的财务报告或开标前三个月内开户银行开具的资信证明；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（3）税收缴纳证明：提供2024年7月至今已缴纳的至少一个月的纳税证明或完税证明（任意税种），依法免税的单位应提供相关证明材料；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（4）社会保障资金缴纳证明：提供2024年7月至今已缴存的至少一个月的社会保障资金缴存单据或社保机构开具的社会保险参保缴费情况证明，依法不需要缴纳社会保障资金的单位应提供相关证明材料；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（5）投标单位须具备建设行政主管部门颁发的市政公用工程施工总承包三级及以上资质，并具有合法有效的安全生产许可证；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（6）拟派项目经理须具备市政公用工程专业二级及以上注册建造师资格，并持有效的安全生产考核合格证书（B证），在本单位注册，且未担任其他在建工程项目的项目经理；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（10）投标单位负责人不得为同一人或者存在控股、管理关系；</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（11）本项目为专门面向中小企业项目：投标人须为中型企业或者小型、微型企业或监狱企业或残疾人福利性单位。</w:t>
      </w:r>
    </w:p>
    <w:p w14:paraId="58AE98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合同包3(前卫镇推动城乡要素双向流动基础设施建设项目（三标段）)特定资格要求如下:</w:t>
      </w:r>
    </w:p>
    <w:p w14:paraId="6F4726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（2）财务状况报告：提供2023年经审计的财务报告或开标前三个月内开户银行开具的资信证明；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（3）税收缴纳证明：提供2024年7月至今已缴纳的至少一个月的纳税证明或完税证明（任意税种），依法免税的单位应提供相关证明材料；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（4）社会保障资金缴纳证明：提供2024年7月至今已缴存的至少一个月的社会保障资金缴存单据或社保机构开具的社会保险参保缴费情况证明，依法不需要缴纳社会保障资金的单位应提供相关证明材料；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（5）投标单位须具备建设行政主管部门颁发的市政公用工程施工总承包三级及以上资质，并具有合法有效的安全生产许可证；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（6）拟派项目经理须具备市政公用工程专业二级及以上注册建造师资格，并持有效的安全生产考核合格证书（B证），在本单位注册，且未担任其他在建工程项目的项目经理；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（10）投标单位负责人不得为同一人或者存在控股、管理关系；</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（11）本项目为专门面向中小企业项目：投标人须为中型企业或者小型、微型企业或监狱企业或残疾人福利性单位。</w:t>
      </w:r>
    </w:p>
    <w:p w14:paraId="64F27C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合同包4(前卫镇推动城乡要素双向流动基础设施建设项目（四标段）)特定资格要求如下:</w:t>
      </w:r>
    </w:p>
    <w:p w14:paraId="673904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（2）财务状况报告：提供2023年经审计的财务报告或开标前三个月内开户银行开具的资信证明；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（3）税收缴纳证明：提供2024年7月至今已缴纳的至少一个月的纳税证明或完税证明（任意税种），依法免税的单位应提供相关证明材料；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（4）社会保障资金缴纳证明：提供2024年7月至今已缴存的至少一个月的社会保障资金缴存单据或社保机构开具的社会保险参保缴费情况证明，依法不需要缴纳社会保障资金的单位应提供相关证明材料；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（5）投标单位须具备建设行政主管部门颁发的市政公用工程施工总承包三级及以上资质，并具有合法有效的安全生产许可证；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（6）拟派项目经理须具备市政公用工程专业二级及以上注册建造师资格，并持有效的安全生产考核合格证书（B证），在本单位注册，且未担任其他在建工程项目的项目经理；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（10）投标单位负责人不得为同一人或者存在控股、管理关系；</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（11）本项目为专门面向中小企业项目：投标人须为中型企业或者小型、微型企业或监狱企业或残疾人福利性单位。</w:t>
      </w:r>
    </w:p>
    <w:p w14:paraId="34B03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02A65F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2025年02月19日 至 2025年02月25日 ，每天上午 00:00:00 至 12:00:00 ，下午 12:00:00 至 23:59:59 （北京时间）</w:t>
      </w:r>
    </w:p>
    <w:p w14:paraId="08DA98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途径：全国公共资源交易平台（陕西省·西安市）【首页〉电子交易平台〉陕西政府采购交易系统〉企业端】</w:t>
      </w:r>
    </w:p>
    <w:p w14:paraId="0A2BBB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41DB95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EFE3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0A485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2025年03月13日 09时30分00秒 （北京时间）</w:t>
      </w:r>
    </w:p>
    <w:p w14:paraId="5AA43D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提交投标文件地点：全国公共资源交易平台（陕西省·西安市）【首页〉电子交易平台〉陕西政府采购交易系统〉企业端】电子上传文件提交</w:t>
      </w:r>
    </w:p>
    <w:p w14:paraId="60E60B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开标地点：全国公共资源交易平台（陕西省/西安市）【首页〉不见面开标】不见面开标大厅</w:t>
      </w:r>
    </w:p>
    <w:p w14:paraId="1CF23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00CEA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66049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749ED3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1.投标人初次使用电子交易平台时，请先阅读 【全国公共资源交易平台（陕西省·西安市）】（http：//sxggzyjy.xa.gov.cn/）网站〖首页〉服务指南〉下载专区〗中的《西安市市级单位电子化政府采购项目投标指南》，并按要求完成诚信入库登记、CA认证及企业信息绑定。</w:t>
      </w:r>
    </w:p>
    <w:p w14:paraId="2CAC5E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9E5DE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3.请投标人务必及时下载项目招标文件并做好备份，否则会影响投标文件编制及后续投标活动。</w:t>
      </w:r>
    </w:p>
    <w:p w14:paraId="1C368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BE428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4FA7EE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14:paraId="14BABB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076B17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8.按照陕西省财政厅《关于政府采购投标人注册登记有关事项的通知》中的要求，投标人应通过陕西省政府采购网（http：//www.ccgp-shaanxi.gov.cn/）注册登记，加入陕西省政府采购投标人库。</w:t>
      </w:r>
    </w:p>
    <w:p w14:paraId="00D3B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9.其他事项见本项目招标文件。</w:t>
      </w:r>
    </w:p>
    <w:p w14:paraId="3B706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6A17EF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04C0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名称：西安市蓝田县前卫镇人民政府（本级）</w:t>
      </w:r>
    </w:p>
    <w:p w14:paraId="4D931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地址：陕西省西安市蓝田县前卫镇前卫街</w:t>
      </w:r>
    </w:p>
    <w:p w14:paraId="47F87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联系方式：18189237264</w:t>
      </w:r>
    </w:p>
    <w:p w14:paraId="05790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67C3D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名称：同正项目管理有限公司</w:t>
      </w:r>
    </w:p>
    <w:p w14:paraId="1C2362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地址：陕西省西安市经开区凤城八路180号长和国际F座22层</w:t>
      </w:r>
    </w:p>
    <w:p w14:paraId="4CE413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联系方式：029-86522030转612</w:t>
      </w:r>
    </w:p>
    <w:p w14:paraId="214A9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12406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项目联系人：程方园、倪莹、王燕</w:t>
      </w:r>
    </w:p>
    <w:p w14:paraId="1F50DB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电话：029-86522030转612</w:t>
      </w:r>
    </w:p>
    <w:p w14:paraId="014876B9">
      <w:pPr>
        <w:rPr>
          <w:rFonts w:hint="eastAsia" w:ascii="微软雅黑" w:hAnsi="微软雅黑" w:eastAsia="微软雅黑" w:cs="微软雅黑"/>
          <w:b/>
          <w:bCs/>
          <w:i w:val="0"/>
          <w:iCs w:val="0"/>
          <w:caps w:val="0"/>
          <w:color w:val="auto"/>
          <w:spacing w:val="0"/>
          <w:sz w:val="36"/>
          <w:szCs w:val="36"/>
          <w:shd w:val="clear" w:fill="FFFFFF"/>
          <w:lang w:val="en-US" w:eastAsia="zh-CN"/>
        </w:rPr>
      </w:pPr>
      <w:bookmarkStart w:id="0" w:name="_GoBack"/>
      <w:bookmarkEnd w:id="0"/>
    </w:p>
    <w:p w14:paraId="442BB951">
      <w:pPr>
        <w:rPr>
          <w:rFonts w:hint="eastAsia" w:ascii="微软雅黑" w:hAnsi="微软雅黑" w:eastAsia="微软雅黑" w:cs="微软雅黑"/>
          <w:b/>
          <w:bCs/>
          <w:i w:val="0"/>
          <w:iCs w:val="0"/>
          <w:caps w:val="0"/>
          <w:color w:val="auto"/>
          <w:spacing w:val="0"/>
          <w:sz w:val="36"/>
          <w:szCs w:val="3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221DC"/>
    <w:rsid w:val="37F2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14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2025-02-18T08:32:00Z</dcterms:created>
  <dc:creator>熊掌孙</dc:creator>
  <cp:lastModifiedBy>熊掌孙</cp:lastModifiedBy>
  <dcterms:modified xsi:type="dcterms:W3CDTF">2025-02-18T08:34:06Z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296AB27CADDA414B8B9A00700FB931F6_11</vt:lpwstr>
  </property>
  <property fmtid="{D5CDD505-2E9C-101B-9397-08002B2CF9AE}" pid="4" name="KSOTemplateDocerSaveRecord">
    <vt:lpwstr>eyJoZGlkIjoiZGI0ZGIzYmI2OWViZTMxZTU3NzUxZjAzNDk3YTI1NDQiLCJ1c2VySWQiOiIzMTA4NTYyNDIifQ==</vt:lpwstr>
  </property>
</Properties>
</file>