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48" w:lineRule="auto"/>
        <w:ind w:firstLine="964" w:firstLineChars="3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采购内容及要求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工程名称：</w:t>
      </w:r>
      <w:r>
        <w:rPr>
          <w:rFonts w:hint="eastAsia" w:ascii="宋体" w:hAnsi="宋体" w:cs="宋体"/>
          <w:sz w:val="24"/>
          <w:szCs w:val="24"/>
          <w:lang w:eastAsia="zh-CN"/>
        </w:rPr>
        <w:t>乾县城区道路绿化提升改造项目（靖庄南路）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、工期要求：自合同签订之日起90天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、工程质量等级：合格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验收标准：国家标准、行业标准、企业标准。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、现场要求：项目现场材料堆放整齐，安全可靠。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、工程量：本项目按给定工程量，并结合现场情况，进行实施。措施费、人工费各供应商自行考虑，计入报价。  </w:t>
      </w:r>
      <w:bookmarkStart w:id="0" w:name="_GoBack"/>
      <w:bookmarkEnd w:id="0"/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二、施工要求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1、工程实行包工包料，不得转包、分包。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2、供应商在本工程中的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，要求技术水平高、组织能力强、有丰富的工程业绩和实践经验，懂管理、善于协调。施工人员中质检员、特殊工程人员要求有上岗证。施工队伍稳定，保证整个工程顺利完工。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、施工过程中，严格遵守建设单位的各种管理规定及规章制度，做到文明施工。发生工伤及意外事故由供应商负责。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、严格按照国家和省上有关规定施工，如有更改须事先征得有关方面的同意，并在采购人落实后实施，并出具书面说明。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三、施工具备的条件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1、现场具备实施条件。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2、材料、设备全部由成交供应商自行采购。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3、水电设施齐全。</w:t>
      </w:r>
    </w:p>
    <w:p>
      <w:pPr>
        <w:spacing w:line="348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质量保证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1、施工方必须依据磋商要求，按照有关规范施工，确保工程优良，一次性验收交接。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选用的主材、设备、辅材必须是合格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3、施工方必须向采购人及时提供合格证及材料检验单。在征得有关方面认可后，方可进行施工，并做好相应的检验环节。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4、施工方未经采购人同意，不得擅自更换本工程在磋商响应文件中指定的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项目经理</w:t>
      </w:r>
      <w:r>
        <w:rPr>
          <w:rFonts w:hint="eastAsia" w:ascii="宋体" w:hAnsi="宋体" w:eastAsia="宋体" w:cs="宋体"/>
          <w:sz w:val="24"/>
          <w:szCs w:val="24"/>
        </w:rPr>
        <w:t>及施工队伍。不得分包、转包。确需分包、转包时须征得采购人同意。否则将终止合同并按政府采购有关规定进行处理。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5、施工方的售后服务要完善、可靠、及时，并派遣相关技术人员配合采购人检查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，质保期内发生任何质量问题施工方需要及时维护修理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4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6、将严格按照工艺流程和现行国家安全规范施工，严格执行施工要点，保证处理处置等级达到国家标准。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TZhZGIwMTJkMWEzYTVlOGNmMjRlYmNiYWNhOWMifQ=="/>
  </w:docVars>
  <w:rsids>
    <w:rsidRoot w:val="00000000"/>
    <w:rsid w:val="051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2025-02-02T05:06:09Z</dcterms:created>
  <dc:creator>86177</dc:creator>
  <cp:lastModifiedBy>璐包子～</cp:lastModifiedBy>
  <dcterms:modified xsi:type="dcterms:W3CDTF">2025-02-02T05:07:10Z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170BAB48C15941E69E4F575C97158B8C_12</vt:lpwstr>
  </property>
</Properties>
</file>