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ACBA1">
      <w:pPr>
        <w:spacing w:line="360" w:lineRule="auto"/>
        <w:ind w:firstLine="556" w:firstLineChars="200"/>
        <w:jc w:val="center"/>
        <w:outlineLvl w:val="0"/>
        <w:rPr>
          <w:rFonts w:hint="eastAsia" w:ascii="宋体" w:hAnsi="宋体" w:eastAsia="宋体" w:cs="宋体"/>
          <w:color w:val="auto"/>
          <w:sz w:val="28"/>
          <w:szCs w:val="28"/>
        </w:rPr>
      </w:pPr>
      <w:bookmarkStart w:id="86" w:name="_GoBack"/>
      <w:r>
        <w:rPr>
          <w:rFonts w:hint="eastAsia" w:ascii="宋体" w:hAnsi="宋体" w:eastAsia="宋体" w:cs="宋体"/>
          <w:color w:val="auto"/>
          <w:spacing w:val="-1"/>
          <w:sz w:val="28"/>
          <w:szCs w:val="28"/>
          <w14:textOutline w14:w="4572" w14:cap="flat" w14:cmpd="sng" w14:algn="ctr">
            <w14:solidFill>
              <w14:srgbClr w14:val="000000"/>
            </w14:solidFill>
            <w14:prstDash w14:val="solid"/>
            <w14:miter w14:val="0"/>
          </w14:textOutline>
        </w:rPr>
        <w:t>采购内容和要求</w:t>
      </w:r>
    </w:p>
    <w:bookmarkEnd w:id="86"/>
    <w:p w14:paraId="73D2B37B">
      <w:pPr>
        <w:spacing w:line="360" w:lineRule="auto"/>
        <w:ind w:firstLine="480" w:firstLineChars="200"/>
        <w:outlineLvl w:val="1"/>
        <w:rPr>
          <w:rFonts w:hint="eastAsia" w:ascii="宋体" w:hAnsi="宋体" w:eastAsia="宋体" w:cs="宋体"/>
          <w:bCs/>
          <w:color w:val="auto"/>
          <w:sz w:val="24"/>
          <w:szCs w:val="24"/>
        </w:rPr>
      </w:pPr>
      <w:bookmarkStart w:id="0" w:name="_Toc15160"/>
      <w:bookmarkStart w:id="1" w:name="_Toc9236"/>
      <w:r>
        <w:rPr>
          <w:rFonts w:hint="eastAsia" w:ascii="宋体" w:hAnsi="宋体" w:eastAsia="宋体" w:cs="宋体"/>
          <w:bCs/>
          <w:color w:val="auto"/>
          <w:sz w:val="24"/>
          <w:szCs w:val="24"/>
        </w:rPr>
        <w:t>为了提高校园安全管理水平，根据西安市教育局《关于进一步加强全市中小学幼儿园门禁管理的通知》（市教发〔2019〕57号）文件中保安配备标准，结合2025年我县学校实际情况，我局决定对202</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年2月1日-202</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年1月31日的校（园）安保项目进行公开招标。</w:t>
      </w:r>
      <w:bookmarkEnd w:id="0"/>
    </w:p>
    <w:p w14:paraId="753C6746">
      <w:pPr>
        <w:spacing w:line="360" w:lineRule="auto"/>
        <w:ind w:firstLine="482" w:firstLineChars="200"/>
        <w:outlineLvl w:val="1"/>
        <w:rPr>
          <w:rFonts w:hint="eastAsia" w:ascii="宋体" w:hAnsi="宋体" w:eastAsia="宋体" w:cs="宋体"/>
          <w:b/>
          <w:color w:val="auto"/>
          <w:sz w:val="24"/>
          <w:szCs w:val="24"/>
        </w:rPr>
      </w:pPr>
      <w:bookmarkStart w:id="2" w:name="_Toc27058"/>
      <w:r>
        <w:rPr>
          <w:rFonts w:hint="eastAsia" w:ascii="宋体" w:hAnsi="宋体" w:eastAsia="宋体" w:cs="宋体"/>
          <w:b/>
          <w:color w:val="auto"/>
          <w:sz w:val="24"/>
          <w:szCs w:val="24"/>
        </w:rPr>
        <w:t>一、项目概况</w:t>
      </w:r>
      <w:bookmarkEnd w:id="1"/>
      <w:bookmarkEnd w:id="2"/>
    </w:p>
    <w:p w14:paraId="2952D05B">
      <w:pPr>
        <w:spacing w:line="360" w:lineRule="auto"/>
        <w:ind w:firstLine="475" w:firstLineChars="198"/>
        <w:rPr>
          <w:rFonts w:hint="eastAsia" w:ascii="宋体" w:hAnsi="宋体" w:eastAsia="宋体" w:cs="宋体"/>
          <w:color w:val="auto"/>
          <w:sz w:val="24"/>
          <w:szCs w:val="24"/>
          <w:lang w:eastAsia="zh-CN"/>
        </w:rPr>
      </w:pPr>
      <w:bookmarkStart w:id="3" w:name="_Toc15766_WPSOffice_Level2"/>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bookmarkEnd w:id="3"/>
      <w:r>
        <w:rPr>
          <w:rFonts w:hint="eastAsia" w:ascii="宋体" w:hAnsi="宋体" w:eastAsia="宋体" w:cs="宋体"/>
          <w:color w:val="auto"/>
          <w:sz w:val="24"/>
          <w:szCs w:val="24"/>
          <w:lang w:eastAsia="zh-CN"/>
        </w:rPr>
        <w:t>周至县教育局2025年公办中小学幼儿园安保服务项目</w:t>
      </w:r>
    </w:p>
    <w:p w14:paraId="69100A7F">
      <w:pPr>
        <w:spacing w:line="360" w:lineRule="auto"/>
        <w:ind w:firstLine="475" w:firstLineChars="198"/>
        <w:rPr>
          <w:rFonts w:hint="eastAsia" w:ascii="宋体" w:hAnsi="宋体" w:eastAsia="宋体" w:cs="宋体"/>
          <w:color w:val="auto"/>
          <w:sz w:val="24"/>
          <w:szCs w:val="24"/>
          <w:lang w:eastAsia="zh-CN"/>
        </w:rPr>
      </w:pPr>
      <w:bookmarkStart w:id="4" w:name="_Toc9801_WPSOffice_Level2"/>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项目地点：</w:t>
      </w:r>
      <w:bookmarkEnd w:id="4"/>
      <w:r>
        <w:rPr>
          <w:rFonts w:hint="eastAsia" w:ascii="宋体" w:hAnsi="宋体" w:eastAsia="宋体" w:cs="宋体"/>
          <w:color w:val="auto"/>
          <w:sz w:val="24"/>
          <w:szCs w:val="24"/>
          <w:lang w:eastAsia="zh-CN"/>
        </w:rPr>
        <w:t>周至县教育局指定地点</w:t>
      </w:r>
    </w:p>
    <w:p w14:paraId="276FA95E">
      <w:pPr>
        <w:spacing w:line="360" w:lineRule="auto"/>
        <w:ind w:firstLine="480" w:firstLineChars="200"/>
        <w:outlineLvl w:val="1"/>
        <w:rPr>
          <w:rFonts w:hint="eastAsia" w:ascii="宋体" w:hAnsi="宋体" w:eastAsia="宋体" w:cs="宋体"/>
          <w:color w:val="auto"/>
          <w:sz w:val="24"/>
          <w:szCs w:val="24"/>
        </w:rPr>
      </w:pPr>
      <w:bookmarkStart w:id="5" w:name="_Toc14696_WPSOffice_Level2"/>
      <w:bookmarkStart w:id="6" w:name="_Toc7161"/>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项目内容：</w:t>
      </w:r>
      <w:bookmarkEnd w:id="5"/>
      <w:bookmarkStart w:id="7" w:name="_Toc28586"/>
      <w:r>
        <w:rPr>
          <w:rFonts w:hint="eastAsia" w:ascii="宋体" w:hAnsi="宋体" w:eastAsia="宋体" w:cs="宋体"/>
          <w:color w:val="auto"/>
          <w:sz w:val="24"/>
          <w:szCs w:val="24"/>
        </w:rPr>
        <w:t>项目分两个标段，一标段配备270名保安，二标段配备299名保安</w:t>
      </w:r>
      <w:bookmarkEnd w:id="6"/>
      <w:r>
        <w:rPr>
          <w:rFonts w:hint="eastAsia" w:ascii="宋体" w:hAnsi="宋体" w:eastAsia="宋体" w:cs="宋体"/>
          <w:color w:val="auto"/>
          <w:sz w:val="24"/>
          <w:szCs w:val="24"/>
        </w:rPr>
        <w:t xml:space="preserve">  </w:t>
      </w:r>
    </w:p>
    <w:p w14:paraId="01C13EF6">
      <w:pPr>
        <w:spacing w:line="360" w:lineRule="auto"/>
        <w:ind w:firstLine="482" w:firstLineChars="200"/>
        <w:outlineLvl w:val="1"/>
        <w:rPr>
          <w:rFonts w:hint="eastAsia" w:ascii="宋体" w:hAnsi="宋体" w:eastAsia="宋体" w:cs="宋体"/>
          <w:b/>
          <w:color w:val="auto"/>
          <w:sz w:val="24"/>
          <w:szCs w:val="24"/>
        </w:rPr>
      </w:pPr>
      <w:bookmarkStart w:id="8" w:name="_Toc17906"/>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、项目标的</w:t>
      </w:r>
      <w:bookmarkEnd w:id="7"/>
      <w:bookmarkEnd w:id="8"/>
    </w:p>
    <w:p w14:paraId="6D99259A">
      <w:pPr>
        <w:spacing w:line="360" w:lineRule="auto"/>
        <w:ind w:firstLine="475" w:firstLineChars="198"/>
        <w:rPr>
          <w:rFonts w:hint="default" w:ascii="宋体" w:hAnsi="宋体" w:eastAsia="宋体" w:cs="宋体"/>
          <w:color w:val="auto"/>
          <w:sz w:val="24"/>
          <w:szCs w:val="24"/>
          <w:lang w:val="en-US" w:eastAsia="zh-CN"/>
        </w:rPr>
      </w:pPr>
      <w:bookmarkStart w:id="9" w:name="_Toc10147"/>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一标金额：</w:t>
      </w:r>
      <w:r>
        <w:rPr>
          <w:rFonts w:hint="eastAsia" w:ascii="宋体" w:hAnsi="宋体" w:eastAsia="宋体" w:cs="宋体"/>
          <w:color w:val="auto"/>
          <w:sz w:val="24"/>
          <w:szCs w:val="24"/>
          <w:lang w:val="en-US" w:eastAsia="zh-CN"/>
        </w:rPr>
        <w:t>人民币</w:t>
      </w:r>
      <w:r>
        <w:rPr>
          <w:rFonts w:hint="eastAsia" w:ascii="宋体" w:hAnsi="宋体" w:eastAsia="宋体" w:cs="宋体"/>
          <w:color w:val="auto"/>
          <w:sz w:val="24"/>
          <w:szCs w:val="24"/>
          <w:lang w:eastAsia="zh-CN"/>
        </w:rPr>
        <w:t>（大写）玖佰柒拾贰万元整（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9720000</w:t>
      </w:r>
      <w:r>
        <w:rPr>
          <w:rFonts w:hint="eastAsia" w:ascii="宋体" w:hAnsi="宋体" w:eastAsia="宋体" w:cs="宋体"/>
          <w:color w:val="auto"/>
          <w:sz w:val="24"/>
          <w:szCs w:val="24"/>
          <w:lang w:val="en-US" w:eastAsia="zh-CN"/>
        </w:rPr>
        <w:t>.00元</w:t>
      </w:r>
      <w:r>
        <w:rPr>
          <w:rFonts w:hint="eastAsia" w:ascii="宋体" w:hAnsi="宋体" w:eastAsia="宋体" w:cs="宋体"/>
          <w:color w:val="auto"/>
          <w:sz w:val="24"/>
          <w:szCs w:val="24"/>
          <w:lang w:eastAsia="zh-CN"/>
        </w:rPr>
        <w:t>）</w:t>
      </w:r>
    </w:p>
    <w:p w14:paraId="274474AB">
      <w:pPr>
        <w:spacing w:line="360" w:lineRule="auto"/>
        <w:ind w:firstLine="475" w:firstLineChars="19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二标金额：</w:t>
      </w:r>
      <w:r>
        <w:rPr>
          <w:rFonts w:hint="eastAsia" w:ascii="宋体" w:hAnsi="宋体" w:eastAsia="宋体" w:cs="宋体"/>
          <w:color w:val="auto"/>
          <w:sz w:val="24"/>
          <w:szCs w:val="24"/>
          <w:lang w:val="en-US" w:eastAsia="zh-CN"/>
        </w:rPr>
        <w:t>人民币</w:t>
      </w:r>
      <w:r>
        <w:rPr>
          <w:rFonts w:hint="eastAsia" w:ascii="宋体" w:hAnsi="宋体" w:eastAsia="宋体" w:cs="宋体"/>
          <w:color w:val="auto"/>
          <w:sz w:val="24"/>
          <w:szCs w:val="24"/>
          <w:lang w:eastAsia="zh-CN"/>
        </w:rPr>
        <w:t>（大写）壹仟零柒拾陆万肆仟元整（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10764000</w:t>
      </w:r>
      <w:r>
        <w:rPr>
          <w:rFonts w:hint="eastAsia" w:ascii="宋体" w:hAnsi="宋体" w:eastAsia="宋体" w:cs="宋体"/>
          <w:color w:val="auto"/>
          <w:sz w:val="24"/>
          <w:szCs w:val="24"/>
          <w:lang w:val="en-US" w:eastAsia="zh-CN"/>
        </w:rPr>
        <w:t>.00元）</w:t>
      </w:r>
      <w:r>
        <w:rPr>
          <w:rFonts w:hint="eastAsia" w:ascii="宋体" w:hAnsi="宋体" w:eastAsia="宋体" w:cs="宋体"/>
          <w:color w:val="auto"/>
          <w:sz w:val="24"/>
          <w:szCs w:val="24"/>
          <w:lang w:eastAsia="zh-CN"/>
        </w:rPr>
        <w:t xml:space="preserve"> </w:t>
      </w:r>
    </w:p>
    <w:p w14:paraId="083C87EF">
      <w:pPr>
        <w:spacing w:line="360" w:lineRule="auto"/>
        <w:ind w:firstLine="475" w:firstLineChars="19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说明：此费用包含此项目所支付的一切费用，实际支付按照中标价格予以支付。（含保安的医疗、工伤保险等其它相关的一切费用）。</w:t>
      </w:r>
    </w:p>
    <w:p w14:paraId="15379E10">
      <w:pPr>
        <w:spacing w:line="360" w:lineRule="auto"/>
        <w:ind w:firstLine="482" w:firstLineChars="200"/>
        <w:outlineLvl w:val="1"/>
        <w:rPr>
          <w:rFonts w:hint="eastAsia" w:ascii="宋体" w:hAnsi="宋体" w:eastAsia="宋体" w:cs="宋体"/>
          <w:b/>
          <w:color w:val="auto"/>
          <w:sz w:val="24"/>
          <w:szCs w:val="24"/>
        </w:rPr>
      </w:pPr>
      <w:bookmarkStart w:id="10" w:name="_Toc22476"/>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、服务期限、项目实施地点</w:t>
      </w:r>
      <w:bookmarkEnd w:id="9"/>
      <w:bookmarkEnd w:id="10"/>
    </w:p>
    <w:p w14:paraId="11B795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服务期限：</w:t>
      </w:r>
    </w:p>
    <w:p w14:paraId="4AE265CB">
      <w:pPr>
        <w:spacing w:line="360" w:lineRule="auto"/>
        <w:ind w:firstLine="480" w:firstLineChars="200"/>
        <w:outlineLvl w:val="2"/>
        <w:rPr>
          <w:rFonts w:hint="eastAsia" w:ascii="宋体" w:hAnsi="宋体" w:eastAsia="宋体" w:cs="宋体"/>
          <w:color w:val="auto"/>
          <w:sz w:val="24"/>
          <w:szCs w:val="24"/>
        </w:rPr>
      </w:pPr>
      <w:bookmarkStart w:id="11" w:name="_Toc15459"/>
      <w:bookmarkStart w:id="12" w:name="_Toc11386"/>
      <w:r>
        <w:rPr>
          <w:rFonts w:hint="eastAsia" w:ascii="宋体" w:hAnsi="宋体" w:eastAsia="宋体" w:cs="宋体"/>
          <w:color w:val="auto"/>
          <w:sz w:val="24"/>
          <w:szCs w:val="24"/>
        </w:rPr>
        <w:t>一标：2025年2月1日至2026年1月31日。</w:t>
      </w:r>
      <w:bookmarkEnd w:id="11"/>
    </w:p>
    <w:p w14:paraId="6A67E80C">
      <w:pPr>
        <w:spacing w:line="360" w:lineRule="auto"/>
        <w:ind w:firstLine="480" w:firstLineChars="200"/>
        <w:outlineLvl w:val="2"/>
        <w:rPr>
          <w:rFonts w:hint="eastAsia" w:ascii="宋体" w:hAnsi="宋体" w:eastAsia="宋体" w:cs="宋体"/>
          <w:color w:val="auto"/>
          <w:sz w:val="24"/>
          <w:szCs w:val="24"/>
        </w:rPr>
      </w:pPr>
      <w:bookmarkStart w:id="13" w:name="_Toc9182"/>
      <w:r>
        <w:rPr>
          <w:rFonts w:hint="eastAsia" w:ascii="宋体" w:hAnsi="宋体" w:eastAsia="宋体" w:cs="宋体"/>
          <w:color w:val="auto"/>
          <w:sz w:val="24"/>
          <w:szCs w:val="24"/>
        </w:rPr>
        <w:t>二标：2025年2月1日至2026年1月31日。</w:t>
      </w:r>
      <w:bookmarkEnd w:id="13"/>
    </w:p>
    <w:p w14:paraId="2F3E0341">
      <w:pPr>
        <w:spacing w:line="360" w:lineRule="auto"/>
        <w:ind w:firstLine="480" w:firstLineChars="200"/>
        <w:outlineLvl w:val="2"/>
        <w:rPr>
          <w:rFonts w:hint="eastAsia" w:ascii="宋体" w:hAnsi="宋体" w:eastAsia="宋体" w:cs="宋体"/>
          <w:color w:val="auto"/>
          <w:sz w:val="24"/>
          <w:szCs w:val="24"/>
        </w:rPr>
      </w:pPr>
      <w:bookmarkStart w:id="14" w:name="_Toc17050"/>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项目实施地点：采购方指定地点</w:t>
      </w:r>
      <w:bookmarkEnd w:id="12"/>
      <w:bookmarkEnd w:id="14"/>
    </w:p>
    <w:p w14:paraId="790FA7DB">
      <w:pPr>
        <w:spacing w:line="360" w:lineRule="auto"/>
        <w:ind w:firstLine="482" w:firstLineChars="200"/>
        <w:outlineLvl w:val="1"/>
        <w:rPr>
          <w:rFonts w:hint="eastAsia" w:ascii="宋体" w:hAnsi="宋体" w:eastAsia="宋体" w:cs="宋体"/>
          <w:b/>
          <w:color w:val="auto"/>
          <w:sz w:val="24"/>
          <w:szCs w:val="24"/>
        </w:rPr>
      </w:pPr>
      <w:bookmarkStart w:id="15" w:name="_Toc24801"/>
      <w:bookmarkStart w:id="16" w:name="_Toc26634"/>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、付款方式</w:t>
      </w:r>
      <w:bookmarkEnd w:id="15"/>
      <w:bookmarkEnd w:id="16"/>
    </w:p>
    <w:p w14:paraId="68A77531">
      <w:pPr>
        <w:spacing w:line="360" w:lineRule="auto"/>
        <w:ind w:firstLine="475" w:firstLineChars="198"/>
        <w:rPr>
          <w:rFonts w:hint="eastAsia" w:ascii="宋体" w:hAnsi="宋体" w:eastAsia="宋体" w:cs="宋体"/>
          <w:color w:val="auto"/>
          <w:sz w:val="24"/>
          <w:szCs w:val="24"/>
          <w:highlight w:val="none"/>
          <w:lang w:eastAsia="zh-CN"/>
        </w:rPr>
      </w:pPr>
      <w:bookmarkStart w:id="17" w:name="_Toc24401"/>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合同总</w:t>
      </w:r>
      <w:r>
        <w:rPr>
          <w:rFonts w:hint="eastAsia" w:ascii="宋体" w:hAnsi="宋体" w:eastAsia="宋体" w:cs="宋体"/>
          <w:color w:val="auto"/>
          <w:sz w:val="24"/>
          <w:szCs w:val="24"/>
          <w:highlight w:val="none"/>
          <w:lang w:eastAsia="zh-CN"/>
        </w:rPr>
        <w:t>价：包括保安薪酬（含国家法定的医疗、工伤、社保缴纳等其他相关费用）、管理费</w:t>
      </w:r>
      <w:r>
        <w:rPr>
          <w:rFonts w:hint="eastAsia" w:ascii="宋体" w:hAnsi="宋体" w:eastAsia="宋体" w:cs="宋体"/>
          <w:color w:val="auto"/>
          <w:sz w:val="24"/>
          <w:szCs w:val="24"/>
          <w:highlight w:val="none"/>
          <w:lang w:val="en-US" w:eastAsia="zh-CN"/>
        </w:rPr>
        <w:t>用</w:t>
      </w:r>
      <w:r>
        <w:rPr>
          <w:rFonts w:hint="eastAsia" w:ascii="宋体" w:hAnsi="宋体" w:eastAsia="宋体" w:cs="宋体"/>
          <w:color w:val="auto"/>
          <w:sz w:val="24"/>
          <w:szCs w:val="24"/>
          <w:highlight w:val="none"/>
          <w:lang w:eastAsia="zh-CN"/>
        </w:rPr>
        <w:t>、制服</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器具</w:t>
      </w:r>
      <w:r>
        <w:rPr>
          <w:rFonts w:hint="eastAsia" w:ascii="宋体" w:hAnsi="宋体" w:eastAsia="宋体" w:cs="宋体"/>
          <w:color w:val="auto"/>
          <w:sz w:val="24"/>
          <w:szCs w:val="24"/>
          <w:highlight w:val="none"/>
          <w:lang w:eastAsia="zh-CN"/>
        </w:rPr>
        <w:t>用品</w:t>
      </w:r>
      <w:r>
        <w:rPr>
          <w:rFonts w:hint="eastAsia" w:ascii="宋体" w:hAnsi="宋体" w:eastAsia="宋体" w:cs="宋体"/>
          <w:color w:val="auto"/>
          <w:sz w:val="24"/>
          <w:szCs w:val="24"/>
          <w:highlight w:val="none"/>
          <w:lang w:val="en-US" w:eastAsia="zh-CN"/>
        </w:rPr>
        <w:t>费等为完成本项目所需的全部费用</w:t>
      </w:r>
      <w:r>
        <w:rPr>
          <w:rFonts w:hint="eastAsia" w:ascii="宋体" w:hAnsi="宋体" w:eastAsia="宋体" w:cs="宋体"/>
          <w:color w:val="auto"/>
          <w:sz w:val="24"/>
          <w:szCs w:val="24"/>
          <w:highlight w:val="none"/>
          <w:lang w:eastAsia="zh-CN"/>
        </w:rPr>
        <w:t>。合同总价系固定不变价格，不受市场价格变化因素的影响；合同履行期间，甲方不再为此增加任何费用。</w:t>
      </w:r>
    </w:p>
    <w:p w14:paraId="08B4D134">
      <w:pPr>
        <w:spacing w:line="360" w:lineRule="auto"/>
        <w:ind w:firstLine="475" w:firstLineChars="19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支付进度：甲方根据考核情况按月据实结算。</w:t>
      </w:r>
    </w:p>
    <w:p w14:paraId="0B2C71C4">
      <w:pPr>
        <w:spacing w:line="360" w:lineRule="auto"/>
        <w:ind w:firstLine="475" w:firstLineChars="19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支付方式：银行转账。</w:t>
      </w:r>
    </w:p>
    <w:p w14:paraId="431532DC">
      <w:pPr>
        <w:spacing w:line="360" w:lineRule="auto"/>
        <w:ind w:firstLine="475" w:firstLineChars="19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结算方式：验收合格后由甲方填写《政府采购项目验收单》，乙方持中标通知书、服务合同、正式发票（按合同金额直开甲方）、政府采购项目验收单，与甲方进行结算。</w:t>
      </w:r>
    </w:p>
    <w:p w14:paraId="1F4D06C7">
      <w:pPr>
        <w:spacing w:line="360" w:lineRule="auto"/>
        <w:ind w:firstLine="482" w:firstLineChars="200"/>
        <w:outlineLvl w:val="1"/>
        <w:rPr>
          <w:rFonts w:hint="eastAsia" w:ascii="宋体" w:hAnsi="宋体" w:eastAsia="宋体" w:cs="宋体"/>
          <w:b/>
          <w:color w:val="auto"/>
          <w:sz w:val="24"/>
          <w:szCs w:val="24"/>
        </w:rPr>
      </w:pPr>
      <w:bookmarkStart w:id="18" w:name="_Toc12093"/>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、服务要求</w:t>
      </w:r>
      <w:bookmarkEnd w:id="17"/>
      <w:bookmarkEnd w:id="18"/>
    </w:p>
    <w:p w14:paraId="6909C680">
      <w:pPr>
        <w:spacing w:line="360" w:lineRule="auto"/>
        <w:ind w:firstLine="480" w:firstLineChars="200"/>
        <w:outlineLvl w:val="1"/>
        <w:rPr>
          <w:rFonts w:hint="eastAsia" w:ascii="宋体" w:hAnsi="宋体" w:eastAsia="宋体" w:cs="宋体"/>
          <w:color w:val="auto"/>
          <w:sz w:val="24"/>
          <w:szCs w:val="24"/>
          <w:lang w:eastAsia="zh-CN"/>
        </w:rPr>
      </w:pPr>
      <w:bookmarkStart w:id="19" w:name="_Toc15822"/>
      <w:bookmarkStart w:id="20" w:name="_Toc1500_WPSOffice_Level2"/>
      <w:bookmarkStart w:id="21" w:name="_Toc31545"/>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一标配备保安人员共270人，二标配备保安299人。</w:t>
      </w:r>
      <w:bookmarkEnd w:id="19"/>
    </w:p>
    <w:p w14:paraId="3710FDE8">
      <w:pPr>
        <w:spacing w:line="360" w:lineRule="auto"/>
        <w:ind w:firstLine="480" w:firstLineChars="200"/>
        <w:outlineLvl w:val="1"/>
        <w:rPr>
          <w:rFonts w:hint="eastAsia" w:ascii="宋体" w:hAnsi="宋体" w:eastAsia="宋体" w:cs="宋体"/>
          <w:color w:val="auto"/>
          <w:sz w:val="24"/>
          <w:szCs w:val="24"/>
          <w:highlight w:val="none"/>
          <w:lang w:eastAsia="zh-CN"/>
        </w:rPr>
      </w:pPr>
      <w:bookmarkStart w:id="22" w:name="_Toc1429"/>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人员要</w:t>
      </w:r>
      <w:r>
        <w:rPr>
          <w:rFonts w:hint="eastAsia" w:ascii="宋体" w:hAnsi="宋体" w:eastAsia="宋体" w:cs="宋体"/>
          <w:color w:val="auto"/>
          <w:sz w:val="24"/>
          <w:szCs w:val="24"/>
          <w:highlight w:val="none"/>
          <w:lang w:eastAsia="zh-CN"/>
        </w:rPr>
        <w:t>求：男性，原则上年龄不超过</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周岁</w:t>
      </w:r>
      <w:r>
        <w:rPr>
          <w:rFonts w:hint="eastAsia" w:ascii="宋体" w:hAnsi="宋体" w:eastAsia="宋体" w:cs="宋体"/>
          <w:color w:val="auto"/>
          <w:sz w:val="24"/>
          <w:szCs w:val="24"/>
          <w:highlight w:val="none"/>
          <w:lang w:eastAsia="zh-CN"/>
        </w:rPr>
        <w:t>，身体条件特别好的可适当放宽至</w:t>
      </w:r>
      <w:r>
        <w:rPr>
          <w:rFonts w:hint="eastAsia" w:ascii="宋体" w:hAnsi="宋体" w:eastAsia="宋体" w:cs="宋体"/>
          <w:color w:val="auto"/>
          <w:sz w:val="24"/>
          <w:szCs w:val="24"/>
          <w:highlight w:val="none"/>
          <w:lang w:val="en-US" w:eastAsia="zh-CN"/>
        </w:rPr>
        <w:t>58</w:t>
      </w:r>
      <w:r>
        <w:rPr>
          <w:rFonts w:hint="eastAsia" w:ascii="宋体" w:hAnsi="宋体" w:eastAsia="宋体" w:cs="宋体"/>
          <w:color w:val="auto"/>
          <w:sz w:val="24"/>
          <w:szCs w:val="24"/>
          <w:highlight w:val="none"/>
          <w:lang w:eastAsia="zh-CN"/>
        </w:rPr>
        <w:t>周岁</w:t>
      </w:r>
      <w:r>
        <w:rPr>
          <w:rFonts w:hint="eastAsia" w:ascii="宋体" w:hAnsi="宋体" w:eastAsia="宋体" w:cs="宋体"/>
          <w:color w:val="auto"/>
          <w:sz w:val="24"/>
          <w:szCs w:val="24"/>
          <w:highlight w:val="none"/>
          <w:lang w:eastAsia="zh-CN"/>
        </w:rPr>
        <w:t>，但50周岁以上人数不能超过总保安人数的30%，政审合格，形体无明显缺陷，外貌端正,无不良记录，具有保安上岗证。每月保安休假不超过4天。</w:t>
      </w:r>
      <w:bookmarkEnd w:id="22"/>
    </w:p>
    <w:p w14:paraId="5F8B9CF7">
      <w:pPr>
        <w:spacing w:line="360" w:lineRule="auto"/>
        <w:ind w:firstLine="480" w:firstLineChars="200"/>
        <w:outlineLvl w:val="2"/>
        <w:rPr>
          <w:rFonts w:hint="eastAsia" w:ascii="宋体" w:hAnsi="宋体" w:eastAsia="宋体" w:cs="宋体"/>
          <w:color w:val="auto"/>
          <w:sz w:val="24"/>
          <w:szCs w:val="24"/>
          <w:lang w:eastAsia="zh-CN"/>
        </w:rPr>
      </w:pPr>
      <w:bookmarkStart w:id="23" w:name="_Toc13313"/>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一标：2</w:t>
      </w:r>
      <w:r>
        <w:rPr>
          <w:rFonts w:hint="eastAsia" w:ascii="宋体" w:hAnsi="宋体" w:eastAsia="宋体" w:cs="宋体"/>
          <w:color w:val="auto"/>
          <w:sz w:val="24"/>
          <w:szCs w:val="24"/>
        </w:rPr>
        <w:t>025年2月1日至2026年1月31日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二标：2025年2月1日至2026年1月31日</w:t>
      </w:r>
      <w:r>
        <w:rPr>
          <w:rFonts w:hint="eastAsia" w:ascii="宋体" w:hAnsi="宋体" w:eastAsia="宋体" w:cs="宋体"/>
          <w:color w:val="auto"/>
          <w:sz w:val="24"/>
          <w:szCs w:val="24"/>
          <w:lang w:eastAsia="zh-CN"/>
        </w:rPr>
        <w:t>。</w:t>
      </w:r>
      <w:bookmarkEnd w:id="23"/>
    </w:p>
    <w:p w14:paraId="17B4F924">
      <w:pPr>
        <w:spacing w:line="360" w:lineRule="auto"/>
        <w:ind w:firstLine="482" w:firstLineChars="200"/>
        <w:outlineLvl w:val="1"/>
        <w:rPr>
          <w:rFonts w:hint="eastAsia" w:ascii="宋体" w:hAnsi="宋体" w:eastAsia="宋体" w:cs="宋体"/>
          <w:color w:val="auto"/>
          <w:sz w:val="24"/>
          <w:szCs w:val="24"/>
        </w:rPr>
      </w:pPr>
      <w:bookmarkStart w:id="24" w:name="_Toc14056"/>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、服务具体内容</w:t>
      </w:r>
      <w:bookmarkEnd w:id="20"/>
      <w:r>
        <w:rPr>
          <w:rFonts w:hint="eastAsia" w:ascii="宋体" w:hAnsi="宋体" w:eastAsia="宋体" w:cs="宋体"/>
          <w:b/>
          <w:color w:val="auto"/>
          <w:sz w:val="24"/>
          <w:szCs w:val="24"/>
        </w:rPr>
        <w:t>及质量标准</w:t>
      </w:r>
      <w:bookmarkEnd w:id="21"/>
      <w:bookmarkEnd w:id="24"/>
    </w:p>
    <w:p w14:paraId="14C6A7C8">
      <w:pPr>
        <w:spacing w:line="360" w:lineRule="auto"/>
        <w:ind w:firstLine="482" w:firstLineChars="200"/>
        <w:outlineLvl w:val="2"/>
        <w:rPr>
          <w:rFonts w:hint="eastAsia" w:ascii="宋体" w:hAnsi="宋体" w:eastAsia="宋体" w:cs="宋体"/>
          <w:b/>
          <w:color w:val="auto"/>
          <w:sz w:val="24"/>
          <w:szCs w:val="24"/>
        </w:rPr>
      </w:pPr>
      <w:bookmarkStart w:id="25" w:name="_Toc25948"/>
      <w:bookmarkStart w:id="26" w:name="_Toc17361"/>
      <w:r>
        <w:rPr>
          <w:rFonts w:hint="eastAsia" w:ascii="宋体" w:hAnsi="宋体" w:eastAsia="宋体" w:cs="宋体"/>
          <w:b/>
          <w:color w:val="auto"/>
          <w:sz w:val="24"/>
          <w:szCs w:val="24"/>
        </w:rPr>
        <w:t>（一）门卫服务</w:t>
      </w:r>
      <w:bookmarkEnd w:id="25"/>
      <w:bookmarkEnd w:id="26"/>
    </w:p>
    <w:p w14:paraId="241F64FF">
      <w:pPr>
        <w:spacing w:line="360" w:lineRule="auto"/>
        <w:ind w:firstLine="480" w:firstLineChars="200"/>
        <w:outlineLvl w:val="2"/>
        <w:rPr>
          <w:rFonts w:hint="eastAsia" w:ascii="宋体" w:hAnsi="宋体" w:eastAsia="宋体" w:cs="宋体"/>
          <w:bCs/>
          <w:color w:val="auto"/>
          <w:sz w:val="24"/>
          <w:szCs w:val="24"/>
        </w:rPr>
      </w:pPr>
      <w:bookmarkStart w:id="27" w:name="_Toc20339"/>
      <w:bookmarkStart w:id="28" w:name="_Toc15599"/>
      <w:r>
        <w:rPr>
          <w:rFonts w:hint="eastAsia" w:ascii="宋体" w:hAnsi="宋体" w:eastAsia="宋体" w:cs="宋体"/>
          <w:bCs/>
          <w:color w:val="auto"/>
          <w:sz w:val="24"/>
          <w:szCs w:val="24"/>
        </w:rPr>
        <w:t>1、保安人员上岗执勤，必须身着统一的保安服装，佩戴统一的标志符号。保安服装、标志符号和证件的设计、制作和供应，按规定执行。在学生上学、放学期间要站门岗，密切注意校园内外的动向，及时处理突发事件。</w:t>
      </w:r>
      <w:bookmarkEnd w:id="27"/>
    </w:p>
    <w:p w14:paraId="63724D19">
      <w:pPr>
        <w:spacing w:line="360" w:lineRule="auto"/>
        <w:ind w:firstLine="480" w:firstLineChars="200"/>
        <w:outlineLvl w:val="2"/>
        <w:rPr>
          <w:rFonts w:hint="eastAsia" w:ascii="宋体" w:hAnsi="宋体" w:eastAsia="宋体" w:cs="宋体"/>
          <w:bCs/>
          <w:color w:val="auto"/>
          <w:sz w:val="24"/>
          <w:szCs w:val="24"/>
        </w:rPr>
      </w:pPr>
      <w:bookmarkStart w:id="29" w:name="_Toc8200"/>
      <w:r>
        <w:rPr>
          <w:rFonts w:hint="eastAsia" w:ascii="宋体" w:hAnsi="宋体" w:eastAsia="宋体" w:cs="宋体"/>
          <w:bCs/>
          <w:color w:val="auto"/>
          <w:sz w:val="24"/>
          <w:szCs w:val="24"/>
        </w:rPr>
        <w:t>2、准时交接班，做到不迟到、不早退，有病有事必须先请假，待学校批准后才示作请假，否则作旷工处理。</w:t>
      </w:r>
      <w:bookmarkEnd w:id="29"/>
    </w:p>
    <w:p w14:paraId="33049658">
      <w:pPr>
        <w:spacing w:line="360" w:lineRule="auto"/>
        <w:ind w:firstLine="480" w:firstLineChars="200"/>
        <w:outlineLvl w:val="2"/>
        <w:rPr>
          <w:rFonts w:hint="eastAsia" w:ascii="宋体" w:hAnsi="宋体" w:eastAsia="宋体" w:cs="宋体"/>
          <w:bCs/>
          <w:color w:val="auto"/>
          <w:sz w:val="24"/>
          <w:szCs w:val="24"/>
        </w:rPr>
      </w:pPr>
      <w:bookmarkStart w:id="30" w:name="_Toc29739"/>
      <w:r>
        <w:rPr>
          <w:rFonts w:hint="eastAsia" w:ascii="宋体" w:hAnsi="宋体" w:eastAsia="宋体" w:cs="宋体"/>
          <w:bCs/>
          <w:color w:val="auto"/>
          <w:sz w:val="24"/>
          <w:szCs w:val="24"/>
        </w:rPr>
        <w:t>3、按学校规定查验学生进出校门手续。学生在上课或中午因特殊情况外出，必须验收班主任签发的有效出门证明，或通过内部电话与班主任核实且做好登记工作，学生在上学、放学时间进出校门，必须验看是否本校学生。</w:t>
      </w:r>
      <w:bookmarkEnd w:id="30"/>
    </w:p>
    <w:p w14:paraId="520874C6">
      <w:pPr>
        <w:spacing w:line="360" w:lineRule="auto"/>
        <w:ind w:firstLine="480" w:firstLineChars="200"/>
        <w:outlineLvl w:val="2"/>
        <w:rPr>
          <w:rFonts w:hint="eastAsia" w:ascii="宋体" w:hAnsi="宋体" w:eastAsia="宋体" w:cs="宋体"/>
          <w:bCs/>
          <w:color w:val="auto"/>
          <w:sz w:val="24"/>
          <w:szCs w:val="24"/>
        </w:rPr>
      </w:pPr>
      <w:bookmarkStart w:id="31" w:name="_Toc3788"/>
      <w:r>
        <w:rPr>
          <w:rFonts w:hint="eastAsia" w:ascii="宋体" w:hAnsi="宋体" w:eastAsia="宋体" w:cs="宋体"/>
          <w:bCs/>
          <w:color w:val="auto"/>
          <w:sz w:val="24"/>
          <w:szCs w:val="24"/>
        </w:rPr>
        <w:t>4、要经常巡视校园，发现严重问题，应及时向学校领导报告，必要时报警。</w:t>
      </w:r>
      <w:bookmarkEnd w:id="31"/>
    </w:p>
    <w:p w14:paraId="2974C2B9">
      <w:pPr>
        <w:spacing w:line="360" w:lineRule="auto"/>
        <w:ind w:firstLine="480" w:firstLineChars="200"/>
        <w:outlineLvl w:val="2"/>
        <w:rPr>
          <w:rFonts w:hint="eastAsia" w:ascii="宋体" w:hAnsi="宋体" w:eastAsia="宋体" w:cs="宋体"/>
          <w:bCs/>
          <w:color w:val="auto"/>
          <w:sz w:val="24"/>
          <w:szCs w:val="24"/>
        </w:rPr>
      </w:pPr>
      <w:bookmarkStart w:id="32" w:name="_Toc32701"/>
      <w:r>
        <w:rPr>
          <w:rFonts w:hint="eastAsia" w:ascii="宋体" w:hAnsi="宋体" w:eastAsia="宋体" w:cs="宋体"/>
          <w:bCs/>
          <w:color w:val="auto"/>
          <w:sz w:val="24"/>
          <w:szCs w:val="24"/>
        </w:rPr>
        <w:t>5、保安员值班不得擅自离岗，不得擅自睡觉，要每小时巡逻一次。</w:t>
      </w:r>
      <w:bookmarkEnd w:id="32"/>
    </w:p>
    <w:p w14:paraId="7F5EF12B">
      <w:pPr>
        <w:spacing w:line="360" w:lineRule="auto"/>
        <w:ind w:firstLine="480" w:firstLineChars="200"/>
        <w:outlineLvl w:val="2"/>
        <w:rPr>
          <w:rFonts w:hint="eastAsia" w:ascii="宋体" w:hAnsi="宋体" w:eastAsia="宋体" w:cs="宋体"/>
          <w:bCs/>
          <w:color w:val="auto"/>
          <w:sz w:val="24"/>
          <w:szCs w:val="24"/>
        </w:rPr>
      </w:pPr>
      <w:bookmarkStart w:id="33" w:name="_Toc6298"/>
      <w:r>
        <w:rPr>
          <w:rFonts w:hint="eastAsia" w:ascii="宋体" w:hAnsi="宋体" w:eastAsia="宋体" w:cs="宋体"/>
          <w:bCs/>
          <w:color w:val="auto"/>
          <w:sz w:val="24"/>
          <w:szCs w:val="24"/>
        </w:rPr>
        <w:t>6、切实落实外来人员登记制度，进出货物必须认真检查，凡没有财物出校证明（或学校领导批准）的一律禁止其携带出校。</w:t>
      </w:r>
      <w:bookmarkEnd w:id="33"/>
    </w:p>
    <w:p w14:paraId="78570723">
      <w:pPr>
        <w:spacing w:line="360" w:lineRule="auto"/>
        <w:ind w:firstLine="480" w:firstLineChars="200"/>
        <w:outlineLvl w:val="2"/>
        <w:rPr>
          <w:rFonts w:hint="eastAsia" w:ascii="宋体" w:hAnsi="宋体" w:eastAsia="宋体" w:cs="宋体"/>
          <w:bCs/>
          <w:color w:val="auto"/>
          <w:sz w:val="24"/>
          <w:szCs w:val="24"/>
        </w:rPr>
      </w:pPr>
      <w:bookmarkStart w:id="34" w:name="_Toc16487"/>
      <w:r>
        <w:rPr>
          <w:rFonts w:hint="eastAsia" w:ascii="宋体" w:hAnsi="宋体" w:eastAsia="宋体" w:cs="宋体"/>
          <w:bCs/>
          <w:color w:val="auto"/>
          <w:sz w:val="24"/>
          <w:szCs w:val="24"/>
        </w:rPr>
        <w:t>7、遵守学校的相关管理制度及交办的其他相关工作。</w:t>
      </w:r>
      <w:bookmarkEnd w:id="34"/>
    </w:p>
    <w:p w14:paraId="3DB9C81F">
      <w:pPr>
        <w:spacing w:line="360" w:lineRule="auto"/>
        <w:ind w:firstLine="480" w:firstLineChars="200"/>
        <w:outlineLvl w:val="2"/>
        <w:rPr>
          <w:rFonts w:hint="eastAsia" w:ascii="宋体" w:hAnsi="宋体" w:eastAsia="宋体" w:cs="宋体"/>
          <w:bCs/>
          <w:color w:val="auto"/>
          <w:sz w:val="24"/>
          <w:szCs w:val="24"/>
        </w:rPr>
      </w:pPr>
      <w:bookmarkStart w:id="35" w:name="_Toc4484"/>
      <w:r>
        <w:rPr>
          <w:rFonts w:hint="eastAsia" w:ascii="宋体" w:hAnsi="宋体" w:eastAsia="宋体" w:cs="宋体"/>
          <w:bCs/>
          <w:color w:val="auto"/>
          <w:sz w:val="24"/>
          <w:szCs w:val="24"/>
        </w:rPr>
        <w:t>8、负责岗位及校园的防火、防盗、防破坏、防治安灾害事故的报告、报警及相应处理工作；</w:t>
      </w:r>
      <w:bookmarkEnd w:id="35"/>
    </w:p>
    <w:p w14:paraId="1B3F1139">
      <w:pPr>
        <w:spacing w:line="360" w:lineRule="auto"/>
        <w:ind w:firstLine="480" w:firstLineChars="200"/>
        <w:outlineLvl w:val="2"/>
        <w:rPr>
          <w:rFonts w:hint="eastAsia" w:ascii="宋体" w:hAnsi="宋体" w:eastAsia="宋体" w:cs="宋体"/>
          <w:bCs/>
          <w:color w:val="auto"/>
          <w:sz w:val="24"/>
          <w:szCs w:val="24"/>
        </w:rPr>
      </w:pPr>
      <w:bookmarkStart w:id="36" w:name="_Toc9619"/>
      <w:r>
        <w:rPr>
          <w:rFonts w:hint="eastAsia" w:ascii="宋体" w:hAnsi="宋体" w:eastAsia="宋体" w:cs="宋体"/>
          <w:bCs/>
          <w:color w:val="auto"/>
          <w:sz w:val="24"/>
          <w:szCs w:val="24"/>
        </w:rPr>
        <w:t>9、负责外来车辆的管理工作，不经允许外来车辆一律不允许进入学校；</w:t>
      </w:r>
      <w:bookmarkEnd w:id="36"/>
    </w:p>
    <w:p w14:paraId="5D8487E1">
      <w:pPr>
        <w:spacing w:line="360" w:lineRule="auto"/>
        <w:ind w:firstLine="480" w:firstLineChars="200"/>
        <w:outlineLvl w:val="2"/>
        <w:rPr>
          <w:rFonts w:hint="eastAsia" w:ascii="宋体" w:hAnsi="宋体" w:eastAsia="宋体" w:cs="宋体"/>
          <w:bCs/>
          <w:color w:val="auto"/>
          <w:sz w:val="24"/>
          <w:szCs w:val="24"/>
        </w:rPr>
      </w:pPr>
      <w:bookmarkStart w:id="37" w:name="_Toc28772"/>
      <w:r>
        <w:rPr>
          <w:rFonts w:hint="eastAsia" w:ascii="宋体" w:hAnsi="宋体" w:eastAsia="宋体" w:cs="宋体"/>
          <w:bCs/>
          <w:color w:val="auto"/>
          <w:sz w:val="24"/>
          <w:szCs w:val="24"/>
        </w:rPr>
        <w:t>10、负责管理学校校门口的各种设施，保证正常运行。负责校门口周边卫生管理，和学校一起及时清理校门口周围（学校范围内）的小摊点和违停车辆，随时保证校门口的畅通。</w:t>
      </w:r>
      <w:bookmarkEnd w:id="37"/>
    </w:p>
    <w:p w14:paraId="405DAA37">
      <w:pPr>
        <w:spacing w:line="360" w:lineRule="auto"/>
        <w:ind w:firstLine="480" w:firstLineChars="200"/>
        <w:outlineLvl w:val="2"/>
        <w:rPr>
          <w:rFonts w:hint="eastAsia" w:ascii="宋体" w:hAnsi="宋体" w:eastAsia="宋体" w:cs="宋体"/>
          <w:bCs/>
          <w:color w:val="auto"/>
          <w:sz w:val="24"/>
          <w:szCs w:val="24"/>
        </w:rPr>
      </w:pPr>
      <w:bookmarkStart w:id="38" w:name="_Toc25444"/>
      <w:r>
        <w:rPr>
          <w:rFonts w:hint="eastAsia" w:ascii="宋体" w:hAnsi="宋体" w:eastAsia="宋体" w:cs="宋体"/>
          <w:bCs/>
          <w:color w:val="auto"/>
          <w:sz w:val="24"/>
          <w:szCs w:val="24"/>
        </w:rPr>
        <w:t>11、完成与服务单位约定的其他相关任务；</w:t>
      </w:r>
      <w:bookmarkEnd w:id="38"/>
    </w:p>
    <w:p w14:paraId="6457D3E6">
      <w:pPr>
        <w:spacing w:line="360" w:lineRule="auto"/>
        <w:ind w:firstLine="482" w:firstLineChars="200"/>
        <w:outlineLvl w:val="2"/>
        <w:rPr>
          <w:rFonts w:hint="eastAsia" w:ascii="宋体" w:hAnsi="宋体" w:eastAsia="宋体" w:cs="宋体"/>
          <w:b/>
          <w:color w:val="auto"/>
          <w:sz w:val="24"/>
          <w:szCs w:val="24"/>
        </w:rPr>
      </w:pPr>
      <w:bookmarkStart w:id="39" w:name="_Toc5821"/>
      <w:r>
        <w:rPr>
          <w:rFonts w:hint="eastAsia" w:ascii="宋体" w:hAnsi="宋体" w:eastAsia="宋体" w:cs="宋体"/>
          <w:b/>
          <w:color w:val="auto"/>
          <w:sz w:val="24"/>
          <w:szCs w:val="24"/>
        </w:rPr>
        <w:t>（二）巡逻服务</w:t>
      </w:r>
      <w:bookmarkEnd w:id="28"/>
      <w:bookmarkEnd w:id="39"/>
    </w:p>
    <w:p w14:paraId="1869092E">
      <w:pPr>
        <w:spacing w:line="360" w:lineRule="auto"/>
        <w:ind w:firstLine="480" w:firstLineChars="200"/>
        <w:outlineLvl w:val="2"/>
        <w:rPr>
          <w:rFonts w:hint="eastAsia" w:ascii="宋体" w:hAnsi="宋体" w:eastAsia="宋体" w:cs="宋体"/>
          <w:bCs/>
          <w:color w:val="auto"/>
          <w:sz w:val="24"/>
          <w:szCs w:val="24"/>
        </w:rPr>
      </w:pPr>
      <w:bookmarkStart w:id="40" w:name="_Toc916"/>
      <w:bookmarkStart w:id="41" w:name="_Toc23511"/>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按规定路线、时间进行巡查；</w:t>
      </w:r>
      <w:bookmarkEnd w:id="40"/>
    </w:p>
    <w:p w14:paraId="1091EF66">
      <w:pPr>
        <w:spacing w:line="360" w:lineRule="auto"/>
        <w:ind w:firstLine="480" w:firstLineChars="200"/>
        <w:outlineLvl w:val="2"/>
        <w:rPr>
          <w:rFonts w:hint="eastAsia" w:ascii="宋体" w:hAnsi="宋体" w:eastAsia="宋体" w:cs="宋体"/>
          <w:bCs/>
          <w:color w:val="auto"/>
          <w:sz w:val="24"/>
          <w:szCs w:val="24"/>
        </w:rPr>
      </w:pPr>
      <w:bookmarkStart w:id="42" w:name="_Toc25755"/>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维护治安、通行秩序；</w:t>
      </w:r>
      <w:bookmarkEnd w:id="42"/>
    </w:p>
    <w:p w14:paraId="4999CCAF">
      <w:pPr>
        <w:spacing w:line="360" w:lineRule="auto"/>
        <w:ind w:firstLine="480" w:firstLineChars="200"/>
        <w:outlineLvl w:val="2"/>
        <w:rPr>
          <w:rFonts w:hint="eastAsia" w:ascii="宋体" w:hAnsi="宋体" w:eastAsia="宋体" w:cs="宋体"/>
          <w:bCs/>
          <w:color w:val="auto"/>
          <w:sz w:val="24"/>
          <w:szCs w:val="24"/>
        </w:rPr>
      </w:pPr>
      <w:bookmarkStart w:id="43" w:name="_Toc22096"/>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在巡查过程中注意防火、防盗、防破坏、防治安灾害事故；</w:t>
      </w:r>
      <w:bookmarkEnd w:id="43"/>
    </w:p>
    <w:p w14:paraId="2C4E2AFE">
      <w:pPr>
        <w:spacing w:line="360" w:lineRule="auto"/>
        <w:ind w:firstLine="480" w:firstLineChars="200"/>
        <w:outlineLvl w:val="2"/>
        <w:rPr>
          <w:rFonts w:hint="eastAsia" w:ascii="宋体" w:hAnsi="宋体" w:eastAsia="宋体" w:cs="宋体"/>
          <w:bCs/>
          <w:color w:val="auto"/>
          <w:sz w:val="24"/>
          <w:szCs w:val="24"/>
        </w:rPr>
      </w:pPr>
      <w:bookmarkStart w:id="44" w:name="_Toc24702"/>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在巡查过程中发现可疑物品，听到异常响声，闻到异常气味要立即观察，正确处理；</w:t>
      </w:r>
      <w:bookmarkEnd w:id="44"/>
    </w:p>
    <w:p w14:paraId="4DD42ECF">
      <w:pPr>
        <w:spacing w:line="360" w:lineRule="auto"/>
        <w:ind w:firstLine="480" w:firstLineChars="200"/>
        <w:outlineLvl w:val="2"/>
        <w:rPr>
          <w:rFonts w:hint="eastAsia" w:ascii="宋体" w:hAnsi="宋体" w:eastAsia="宋体" w:cs="宋体"/>
          <w:bCs/>
          <w:color w:val="auto"/>
          <w:sz w:val="24"/>
          <w:szCs w:val="24"/>
        </w:rPr>
      </w:pPr>
      <w:bookmarkStart w:id="45" w:name="_Toc2814"/>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发现损坏公共设施设备或扰乱教学秩序或他人正常工作生活的不良行为须立即制止；</w:t>
      </w:r>
      <w:bookmarkEnd w:id="45"/>
    </w:p>
    <w:p w14:paraId="6014A18D">
      <w:pPr>
        <w:spacing w:line="360" w:lineRule="auto"/>
        <w:ind w:firstLine="480" w:firstLineChars="200"/>
        <w:outlineLvl w:val="2"/>
        <w:rPr>
          <w:rFonts w:hint="eastAsia" w:ascii="宋体" w:hAnsi="宋体" w:eastAsia="宋体" w:cs="宋体"/>
          <w:bCs/>
          <w:color w:val="auto"/>
          <w:sz w:val="24"/>
          <w:szCs w:val="24"/>
        </w:rPr>
      </w:pPr>
      <w:bookmarkStart w:id="46" w:name="_Toc15251"/>
      <w:r>
        <w:rPr>
          <w:rFonts w:hint="eastAsia" w:ascii="宋体" w:hAnsi="宋体" w:eastAsia="宋体" w:cs="宋体"/>
          <w:bCs/>
          <w:color w:val="auto"/>
          <w:sz w:val="24"/>
          <w:szCs w:val="24"/>
        </w:rPr>
        <w:t>6</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发现已损坏的公共设施设备须及时报告相关部门进行修复，重大安全隐患及时报告上级领导并须设立警示标识；</w:t>
      </w:r>
      <w:bookmarkEnd w:id="46"/>
    </w:p>
    <w:p w14:paraId="12867CB6">
      <w:pPr>
        <w:spacing w:line="360" w:lineRule="auto"/>
        <w:ind w:firstLine="480" w:firstLineChars="200"/>
        <w:outlineLvl w:val="2"/>
        <w:rPr>
          <w:rFonts w:hint="eastAsia" w:ascii="宋体" w:hAnsi="宋体" w:eastAsia="宋体" w:cs="宋体"/>
          <w:bCs/>
          <w:color w:val="auto"/>
          <w:sz w:val="24"/>
          <w:szCs w:val="24"/>
        </w:rPr>
      </w:pPr>
      <w:bookmarkStart w:id="47" w:name="_Toc14341"/>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发现违法犯罪行为要立即制止并报上级领导和公安机关，在确保安全的前提下将嫌疑人扭送公安机关。</w:t>
      </w:r>
      <w:bookmarkEnd w:id="47"/>
    </w:p>
    <w:p w14:paraId="4C6B0777">
      <w:pPr>
        <w:spacing w:line="360" w:lineRule="auto"/>
        <w:ind w:firstLine="482" w:firstLineChars="200"/>
        <w:outlineLvl w:val="2"/>
        <w:rPr>
          <w:rFonts w:hint="eastAsia" w:ascii="宋体" w:hAnsi="宋体" w:eastAsia="宋体" w:cs="宋体"/>
          <w:b/>
          <w:color w:val="auto"/>
          <w:sz w:val="24"/>
          <w:szCs w:val="24"/>
        </w:rPr>
      </w:pPr>
      <w:bookmarkStart w:id="48" w:name="_Toc31947"/>
      <w:r>
        <w:rPr>
          <w:rFonts w:hint="eastAsia" w:ascii="宋体" w:hAnsi="宋体" w:eastAsia="宋体" w:cs="宋体"/>
          <w:b/>
          <w:color w:val="auto"/>
          <w:sz w:val="24"/>
          <w:szCs w:val="24"/>
        </w:rPr>
        <w:t>（三）大型活动服务</w:t>
      </w:r>
      <w:bookmarkEnd w:id="41"/>
      <w:bookmarkEnd w:id="48"/>
    </w:p>
    <w:p w14:paraId="410A46A8">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lang w:eastAsia="zh-CN"/>
        </w:rPr>
      </w:pPr>
      <w:bookmarkStart w:id="49" w:name="_Toc4630"/>
      <w:bookmarkStart w:id="50" w:name="_Toc6020"/>
      <w:bookmarkStart w:id="51" w:name="_Toc12876"/>
      <w:r>
        <w:rPr>
          <w:rFonts w:hint="eastAsia" w:ascii="宋体" w:hAnsi="宋体" w:eastAsia="宋体" w:cs="宋体"/>
          <w:color w:val="auto"/>
          <w:sz w:val="24"/>
          <w:szCs w:val="24"/>
          <w:lang w:eastAsia="zh-CN"/>
        </w:rPr>
        <w:t>教育系统和学校在举办各类大型活动时，根据安全需要可以从其他学校抽调保安员进行现场秩序维护，教育局和学校不承担相关费用。</w:t>
      </w:r>
      <w:bookmarkEnd w:id="49"/>
    </w:p>
    <w:p w14:paraId="4245807C">
      <w:pPr>
        <w:shd w:val="clear" w:color="auto" w:fill="FFFFFF"/>
        <w:tabs>
          <w:tab w:val="left" w:pos="1276"/>
        </w:tabs>
        <w:spacing w:line="360" w:lineRule="auto"/>
        <w:ind w:firstLine="482" w:firstLineChars="200"/>
        <w:outlineLvl w:val="1"/>
        <w:rPr>
          <w:rFonts w:hint="eastAsia" w:ascii="宋体" w:hAnsi="宋体" w:eastAsia="宋体" w:cs="宋体"/>
          <w:b/>
          <w:bCs/>
          <w:color w:val="auto"/>
          <w:sz w:val="24"/>
          <w:szCs w:val="24"/>
        </w:rPr>
      </w:pPr>
      <w:bookmarkStart w:id="52" w:name="_Toc12686"/>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、甲方权利责任及义务</w:t>
      </w:r>
      <w:bookmarkEnd w:id="50"/>
      <w:bookmarkEnd w:id="52"/>
    </w:p>
    <w:p w14:paraId="7F5EECA2">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53" w:name="_Toc22155"/>
      <w:bookmarkStart w:id="54" w:name="_Toc22507"/>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eastAsia="zh-CN"/>
        </w:rPr>
        <w:t>为保安人员提供必要的工作条件（包括设置好执勤岗位、防护装备及办公用品等）、生活条件（包括就餐、住宿等生活必须用品）。</w:t>
      </w:r>
      <w:bookmarkEnd w:id="53"/>
    </w:p>
    <w:p w14:paraId="77A91003">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55" w:name="_Toc14618"/>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eastAsia="zh-CN"/>
        </w:rPr>
        <w:t>负责对保安员进行学校各项规章制度、安全知识的教育和培训，并将相关制度规定悬挂或存留于保安员值班室。完善保安值班室设施，制作学生及教职工出入证、车辆通行证等相关证件。</w:t>
      </w:r>
      <w:bookmarkEnd w:id="55"/>
    </w:p>
    <w:p w14:paraId="2BD84B63">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56" w:name="_Toc18891"/>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eastAsia="zh-CN"/>
        </w:rPr>
        <w:t>对乙方保安人员提出安保方面的合理化意见建议应予以重视，及时采纳，并积极配合乙方做好约定区域内的安全保卫工作。</w:t>
      </w:r>
      <w:bookmarkEnd w:id="56"/>
    </w:p>
    <w:p w14:paraId="23D0D807">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57" w:name="_Toc10194"/>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lang w:eastAsia="zh-CN"/>
        </w:rPr>
        <w:t>对乙方保安员有监督管理权，并通过专人对保安员进行现场指挥，但不得指使保安员从事本合同约定工作职责之外的活动，若超出合同约定而造成乙方保安员人身伤害或财物损失的由甲方承担全部责任。</w:t>
      </w:r>
      <w:bookmarkEnd w:id="57"/>
    </w:p>
    <w:p w14:paraId="1DFC4DD3">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58" w:name="_Toc29150"/>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lang w:eastAsia="zh-CN"/>
        </w:rPr>
        <w:t>乙方保安员在值勤期间出现突发疾病时，甲方应第一时间采取积极救治措施，防止病情扩大，并及时通知乙方，救治费用由乙方承担；经甲方采取积极救治措施，保安员仍死亡的，甲方不承担责任。</w:t>
      </w:r>
      <w:bookmarkEnd w:id="58"/>
    </w:p>
    <w:p w14:paraId="734263DA">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59" w:name="_Toc27142"/>
      <w:r>
        <w:rPr>
          <w:rFonts w:hint="eastAsia" w:ascii="宋体" w:hAnsi="宋体" w:eastAsia="宋体" w:cs="宋体"/>
          <w:color w:val="auto"/>
          <w:sz w:val="24"/>
          <w:szCs w:val="24"/>
          <w:shd w:val="clear" w:color="auto" w:fill="FFFFFF"/>
          <w:lang w:val="en-US" w:eastAsia="zh-CN"/>
        </w:rPr>
        <w:t>6、</w:t>
      </w:r>
      <w:r>
        <w:rPr>
          <w:rFonts w:hint="eastAsia" w:ascii="宋体" w:hAnsi="宋体" w:eastAsia="宋体" w:cs="宋体"/>
          <w:color w:val="auto"/>
          <w:sz w:val="24"/>
          <w:szCs w:val="24"/>
          <w:shd w:val="clear" w:color="auto" w:fill="FFFFFF"/>
          <w:lang w:eastAsia="zh-CN"/>
        </w:rPr>
        <w:t>保安员因事（病）假缺勤时由保安公司派人替岗。</w:t>
      </w:r>
      <w:bookmarkEnd w:id="59"/>
    </w:p>
    <w:p w14:paraId="54FD97FB">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60" w:name="_Toc13974"/>
      <w:r>
        <w:rPr>
          <w:rFonts w:hint="eastAsia" w:ascii="宋体" w:hAnsi="宋体" w:eastAsia="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lang w:eastAsia="zh-CN"/>
        </w:rPr>
        <w:t>本合同期内不得私自招聘保安员，否则发生安全问题乙方概不承担任何责任。</w:t>
      </w:r>
      <w:bookmarkEnd w:id="60"/>
    </w:p>
    <w:p w14:paraId="1FBC66B5">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61" w:name="_Toc18942"/>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lang w:eastAsia="zh-CN"/>
        </w:rPr>
        <w:t>保安人员和校方之间无任何劳动合同，保安人员因劳动关系产生纠纷，应当由乙方保安公司承担责任，校方不承担任何责任。</w:t>
      </w:r>
      <w:bookmarkEnd w:id="61"/>
    </w:p>
    <w:p w14:paraId="19BCDE29">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62" w:name="_Toc7153"/>
      <w:r>
        <w:rPr>
          <w:rFonts w:hint="eastAsia" w:ascii="宋体" w:hAnsi="宋体" w:eastAsia="宋体" w:cs="宋体"/>
          <w:color w:val="auto"/>
          <w:sz w:val="24"/>
          <w:szCs w:val="24"/>
          <w:shd w:val="clear" w:color="auto" w:fill="FFFFFF"/>
          <w:lang w:val="en-US" w:eastAsia="zh-CN"/>
        </w:rPr>
        <w:t>9、</w:t>
      </w:r>
      <w:r>
        <w:rPr>
          <w:rFonts w:hint="eastAsia" w:ascii="宋体" w:hAnsi="宋体" w:eastAsia="宋体" w:cs="宋体"/>
          <w:color w:val="auto"/>
          <w:sz w:val="24"/>
          <w:szCs w:val="24"/>
          <w:shd w:val="clear" w:color="auto" w:fill="FFFFFF"/>
          <w:lang w:eastAsia="zh-CN"/>
        </w:rPr>
        <w:t>在履行合同期间，保安员接受由教科局、学校、保安公司三方管理，教科局主要对保安公司工作、保安资格进行监管，并每月对保安工作情况进行考评，学校主要负责保安的业务管理，并做好保安的培训和考勤，每月报教科局。</w:t>
      </w:r>
      <w:bookmarkEnd w:id="62"/>
    </w:p>
    <w:p w14:paraId="7DA38B68">
      <w:pPr>
        <w:shd w:val="clear" w:color="auto" w:fill="FFFFFF"/>
        <w:tabs>
          <w:tab w:val="left" w:pos="1276"/>
        </w:tabs>
        <w:spacing w:line="360" w:lineRule="auto"/>
        <w:ind w:firstLine="480" w:firstLineChars="200"/>
        <w:outlineLvl w:val="1"/>
        <w:rPr>
          <w:rFonts w:hint="eastAsia" w:ascii="宋体" w:hAnsi="宋体" w:eastAsia="宋体" w:cs="宋体"/>
          <w:color w:val="auto"/>
          <w:sz w:val="24"/>
          <w:szCs w:val="24"/>
          <w:shd w:val="clear" w:color="auto" w:fill="FFFFFF"/>
          <w:lang w:eastAsia="zh-CN"/>
        </w:rPr>
      </w:pPr>
      <w:bookmarkStart w:id="63" w:name="_Toc23367"/>
      <w:r>
        <w:rPr>
          <w:rFonts w:hint="eastAsia" w:ascii="宋体" w:hAnsi="宋体" w:eastAsia="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lang w:eastAsia="zh-CN"/>
        </w:rPr>
        <w:t>应按合同约定的人数、标准，及时足额支付乙方安保服务费，无理由拖延或拒付。</w:t>
      </w:r>
      <w:bookmarkEnd w:id="63"/>
    </w:p>
    <w:p w14:paraId="0627FDAF">
      <w:pPr>
        <w:shd w:val="clear" w:color="auto" w:fill="FFFFFF"/>
        <w:tabs>
          <w:tab w:val="left" w:pos="1276"/>
        </w:tabs>
        <w:spacing w:line="360" w:lineRule="auto"/>
        <w:ind w:firstLine="482" w:firstLineChars="200"/>
        <w:outlineLvl w:val="1"/>
        <w:rPr>
          <w:rFonts w:hint="eastAsia" w:ascii="宋体" w:hAnsi="宋体" w:eastAsia="宋体" w:cs="宋体"/>
          <w:b/>
          <w:bCs/>
          <w:color w:val="auto"/>
          <w:sz w:val="24"/>
          <w:szCs w:val="24"/>
        </w:rPr>
      </w:pPr>
      <w:bookmarkStart w:id="64" w:name="_Toc12452"/>
      <w:r>
        <w:rPr>
          <w:rFonts w:hint="eastAsia" w:ascii="宋体" w:hAnsi="宋体" w:eastAsia="宋体" w:cs="宋体"/>
          <w:b/>
          <w:bCs/>
          <w:color w:val="auto"/>
          <w:sz w:val="24"/>
          <w:szCs w:val="24"/>
          <w:shd w:val="clear" w:color="auto" w:fill="FFFFFF"/>
          <w:lang w:eastAsia="zh-CN"/>
        </w:rPr>
        <w:t>八</w:t>
      </w: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rPr>
        <w:t>乙方权利责任及义务</w:t>
      </w:r>
      <w:bookmarkEnd w:id="54"/>
      <w:bookmarkEnd w:id="64"/>
    </w:p>
    <w:p w14:paraId="473BE170">
      <w:pPr>
        <w:spacing w:line="360" w:lineRule="auto"/>
        <w:ind w:firstLine="480" w:firstLineChars="200"/>
        <w:outlineLvl w:val="1"/>
        <w:rPr>
          <w:rFonts w:hint="eastAsia" w:ascii="宋体" w:hAnsi="宋体" w:eastAsia="宋体" w:cs="宋体"/>
          <w:color w:val="auto"/>
          <w:sz w:val="24"/>
          <w:szCs w:val="24"/>
          <w:lang w:eastAsia="zh-CN"/>
        </w:rPr>
      </w:pPr>
      <w:bookmarkStart w:id="65" w:name="_Toc7581"/>
      <w:bookmarkStart w:id="66" w:name="_Toc11845_WPSOffice_Level2"/>
      <w:bookmarkStart w:id="67" w:name="_Toc18088"/>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负责向甲方推荐身体健康、责任心强，适应校园安保工作的保安员上岗，保安员着统一制式服装，服装由乙方提供。</w:t>
      </w:r>
      <w:bookmarkEnd w:id="65"/>
    </w:p>
    <w:p w14:paraId="5F446EBC">
      <w:pPr>
        <w:spacing w:line="360" w:lineRule="auto"/>
        <w:ind w:firstLine="480" w:firstLineChars="200"/>
        <w:outlineLvl w:val="1"/>
        <w:rPr>
          <w:rFonts w:hint="eastAsia" w:ascii="宋体" w:hAnsi="宋体" w:eastAsia="宋体" w:cs="宋体"/>
          <w:color w:val="auto"/>
          <w:sz w:val="24"/>
          <w:szCs w:val="24"/>
          <w:lang w:eastAsia="zh-CN"/>
        </w:rPr>
      </w:pPr>
      <w:bookmarkStart w:id="68" w:name="_Toc23026"/>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在向学校派出保安前，向教科局报送保安员花名册、保安在公安机关的无犯罪、保安体检合格证明，经过教科局审核后进入学校。</w:t>
      </w:r>
      <w:bookmarkEnd w:id="68"/>
    </w:p>
    <w:p w14:paraId="5F591576">
      <w:pPr>
        <w:spacing w:line="360" w:lineRule="auto"/>
        <w:ind w:firstLine="480" w:firstLineChars="200"/>
        <w:outlineLvl w:val="1"/>
        <w:rPr>
          <w:rFonts w:hint="eastAsia" w:ascii="宋体" w:hAnsi="宋体" w:eastAsia="宋体" w:cs="宋体"/>
          <w:color w:val="auto"/>
          <w:sz w:val="24"/>
          <w:szCs w:val="24"/>
          <w:lang w:eastAsia="zh-CN"/>
        </w:rPr>
      </w:pPr>
      <w:bookmarkStart w:id="69" w:name="_Toc31714"/>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成立管理机构，有完善的保安管理制度，有专人负责保安管理，做到不培训不上岗，定期对保安人员进行培训，每季度集中培训一次。建立人员档案，做到一人一</w:t>
      </w:r>
      <w:r>
        <w:rPr>
          <w:rFonts w:hint="eastAsia" w:ascii="宋体" w:hAnsi="宋体" w:eastAsia="宋体" w:cs="宋体"/>
          <w:color w:val="auto"/>
          <w:sz w:val="24"/>
          <w:szCs w:val="24"/>
          <w:lang w:val="en-US" w:eastAsia="zh-CN"/>
        </w:rPr>
        <w:t>档</w:t>
      </w:r>
      <w:r>
        <w:rPr>
          <w:rFonts w:hint="eastAsia" w:ascii="宋体" w:hAnsi="宋体" w:eastAsia="宋体" w:cs="宋体"/>
          <w:color w:val="auto"/>
          <w:sz w:val="24"/>
          <w:szCs w:val="24"/>
          <w:lang w:eastAsia="zh-CN"/>
        </w:rPr>
        <w:t>。</w:t>
      </w:r>
      <w:bookmarkEnd w:id="69"/>
    </w:p>
    <w:p w14:paraId="779930AC">
      <w:pPr>
        <w:spacing w:line="360" w:lineRule="auto"/>
        <w:ind w:firstLine="480" w:firstLineChars="200"/>
        <w:outlineLvl w:val="1"/>
        <w:rPr>
          <w:rFonts w:hint="eastAsia" w:ascii="宋体" w:hAnsi="宋体" w:eastAsia="宋体" w:cs="宋体"/>
          <w:color w:val="auto"/>
          <w:sz w:val="24"/>
          <w:szCs w:val="24"/>
          <w:lang w:eastAsia="zh-CN"/>
        </w:rPr>
      </w:pPr>
      <w:bookmarkStart w:id="70" w:name="_Toc12087"/>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保安员提前十分钟到岗，严格与校方进行负责区域内的交接工作，积极做好双方约定的各项工作。</w:t>
      </w:r>
      <w:bookmarkEnd w:id="70"/>
    </w:p>
    <w:p w14:paraId="4AED2A66">
      <w:pPr>
        <w:spacing w:line="360" w:lineRule="auto"/>
        <w:ind w:firstLine="480" w:firstLineChars="200"/>
        <w:outlineLvl w:val="1"/>
        <w:rPr>
          <w:rFonts w:hint="eastAsia" w:ascii="宋体" w:hAnsi="宋体" w:eastAsia="宋体" w:cs="宋体"/>
          <w:color w:val="auto"/>
          <w:sz w:val="24"/>
          <w:szCs w:val="24"/>
          <w:lang w:eastAsia="zh-CN"/>
        </w:rPr>
      </w:pPr>
      <w:bookmarkStart w:id="71" w:name="_Toc12284"/>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保安员提出合理意见建议后甲方未及时处置，乙方及保安员不承担因此造成的损失。</w:t>
      </w:r>
      <w:bookmarkEnd w:id="71"/>
    </w:p>
    <w:p w14:paraId="078064E6">
      <w:pPr>
        <w:spacing w:line="360" w:lineRule="auto"/>
        <w:ind w:firstLine="480" w:firstLineChars="200"/>
        <w:outlineLvl w:val="1"/>
        <w:rPr>
          <w:rFonts w:hint="eastAsia" w:ascii="宋体" w:hAnsi="宋体" w:eastAsia="宋体" w:cs="宋体"/>
          <w:color w:val="auto"/>
          <w:sz w:val="24"/>
          <w:szCs w:val="24"/>
          <w:lang w:eastAsia="zh-CN"/>
        </w:rPr>
      </w:pPr>
      <w:bookmarkStart w:id="72" w:name="_Toc27344"/>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如因乙方保安人员工作失职、疏漏、擅离职守、不作为、乱作为等原因造成的甲方人身和财产损失，首先由侵权人承担责任，乙方有过错的，依法由乙方承担相应责任。</w:t>
      </w:r>
      <w:bookmarkEnd w:id="72"/>
    </w:p>
    <w:p w14:paraId="63AB76DD">
      <w:pPr>
        <w:spacing w:line="360" w:lineRule="auto"/>
        <w:ind w:firstLine="480" w:firstLineChars="200"/>
        <w:outlineLvl w:val="1"/>
        <w:rPr>
          <w:rFonts w:hint="eastAsia" w:ascii="宋体" w:hAnsi="宋体" w:eastAsia="宋体" w:cs="宋体"/>
          <w:color w:val="auto"/>
          <w:sz w:val="24"/>
          <w:szCs w:val="24"/>
          <w:lang w:eastAsia="zh-CN"/>
        </w:rPr>
      </w:pPr>
      <w:bookmarkStart w:id="73" w:name="_Toc6813"/>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乙方为保安员购买用工意外伤害保险，甲方不承担任何法律和经济上的责任。</w:t>
      </w:r>
      <w:bookmarkEnd w:id="73"/>
    </w:p>
    <w:p w14:paraId="43FBD5AD">
      <w:pPr>
        <w:spacing w:line="360" w:lineRule="auto"/>
        <w:ind w:firstLine="480" w:firstLineChars="200"/>
        <w:outlineLvl w:val="1"/>
        <w:rPr>
          <w:rFonts w:hint="eastAsia" w:ascii="宋体" w:hAnsi="宋体" w:eastAsia="宋体" w:cs="宋体"/>
          <w:color w:val="auto"/>
          <w:sz w:val="24"/>
          <w:szCs w:val="24"/>
          <w:lang w:eastAsia="zh-CN"/>
        </w:rPr>
      </w:pPr>
      <w:bookmarkStart w:id="74" w:name="_Toc25418"/>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保安人员在工作期间发生疾病或死亡，甲方不承担任何责任，善后事务处理由乙方保安公司协调解决。</w:t>
      </w:r>
      <w:bookmarkEnd w:id="74"/>
    </w:p>
    <w:p w14:paraId="2F411C13">
      <w:pPr>
        <w:spacing w:line="360" w:lineRule="auto"/>
        <w:ind w:firstLine="480" w:firstLineChars="200"/>
        <w:outlineLvl w:val="1"/>
        <w:rPr>
          <w:rFonts w:hint="eastAsia" w:ascii="宋体" w:hAnsi="宋体" w:eastAsia="宋体" w:cs="宋体"/>
          <w:color w:val="auto"/>
          <w:sz w:val="24"/>
          <w:szCs w:val="24"/>
          <w:lang w:eastAsia="zh-CN"/>
        </w:rPr>
      </w:pPr>
      <w:bookmarkStart w:id="75" w:name="_Toc22073"/>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保安人员为了学校学生人身安全、学校财物安全，被不法分子侵害，造成保安员人身伤亡，由乙方依法向不法分子索赔，甲方负责提供相关证据材料。</w:t>
      </w:r>
      <w:bookmarkEnd w:id="75"/>
    </w:p>
    <w:p w14:paraId="6FDED0A7">
      <w:pPr>
        <w:spacing w:line="360" w:lineRule="auto"/>
        <w:ind w:firstLine="480" w:firstLineChars="200"/>
        <w:outlineLvl w:val="1"/>
        <w:rPr>
          <w:rFonts w:hint="eastAsia" w:ascii="宋体" w:hAnsi="宋体" w:eastAsia="宋体" w:cs="宋体"/>
          <w:color w:val="auto"/>
          <w:sz w:val="24"/>
          <w:szCs w:val="24"/>
          <w:lang w:eastAsia="zh-CN"/>
        </w:rPr>
      </w:pPr>
      <w:bookmarkStart w:id="76" w:name="_Toc22267"/>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按约定向甲方提供相应的安保服务费用票据。</w:t>
      </w:r>
      <w:bookmarkEnd w:id="76"/>
    </w:p>
    <w:p w14:paraId="51F78902">
      <w:pPr>
        <w:spacing w:line="360" w:lineRule="auto"/>
        <w:ind w:firstLine="482" w:firstLineChars="200"/>
        <w:outlineLvl w:val="1"/>
        <w:rPr>
          <w:rFonts w:hint="eastAsia" w:ascii="宋体" w:hAnsi="宋体" w:eastAsia="宋体" w:cs="宋体"/>
          <w:b/>
          <w:bCs/>
          <w:color w:val="auto"/>
          <w:sz w:val="24"/>
          <w:szCs w:val="24"/>
        </w:rPr>
      </w:pPr>
      <w:bookmarkStart w:id="77" w:name="_Toc18102"/>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、其它事项</w:t>
      </w:r>
      <w:bookmarkEnd w:id="66"/>
      <w:bookmarkEnd w:id="67"/>
      <w:bookmarkEnd w:id="77"/>
    </w:p>
    <w:bookmarkEnd w:id="51"/>
    <w:p w14:paraId="204FF2C3">
      <w:pPr>
        <w:spacing w:line="360" w:lineRule="auto"/>
        <w:ind w:firstLine="480" w:firstLineChars="200"/>
        <w:outlineLvl w:val="1"/>
        <w:rPr>
          <w:rFonts w:hint="eastAsia" w:ascii="宋体" w:hAnsi="宋体" w:eastAsia="宋体" w:cs="宋体"/>
          <w:bCs/>
          <w:color w:val="auto"/>
          <w:sz w:val="24"/>
          <w:szCs w:val="24"/>
          <w:lang w:eastAsia="zh-CN"/>
        </w:rPr>
      </w:pPr>
      <w:bookmarkStart w:id="78" w:name="_Toc25972"/>
      <w:bookmarkStart w:id="79" w:name="_Toc17399"/>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乙方除遵守合同约定的内容，要依照下发的《加强保安队伍建设的暂行办法》加强保安队伍管理；</w:t>
      </w:r>
      <w:bookmarkEnd w:id="78"/>
    </w:p>
    <w:p w14:paraId="3620DEEF">
      <w:pPr>
        <w:spacing w:line="360" w:lineRule="auto"/>
        <w:ind w:firstLine="480" w:firstLineChars="200"/>
        <w:outlineLvl w:val="1"/>
        <w:rPr>
          <w:rFonts w:hint="eastAsia" w:ascii="宋体" w:hAnsi="宋体" w:eastAsia="宋体" w:cs="宋体"/>
          <w:bCs/>
          <w:color w:val="auto"/>
          <w:sz w:val="24"/>
          <w:szCs w:val="24"/>
          <w:lang w:eastAsia="zh-CN"/>
        </w:rPr>
      </w:pPr>
      <w:bookmarkStart w:id="80" w:name="_Toc13213"/>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成交方派驻的保安人员应服从采购方及下属学校对工作人员的安排。因事、因病或其它原因缺勤的，采购方不再承担此费用；</w:t>
      </w:r>
      <w:bookmarkEnd w:id="80"/>
    </w:p>
    <w:p w14:paraId="2615443A">
      <w:pPr>
        <w:spacing w:line="360" w:lineRule="auto"/>
        <w:ind w:firstLine="480" w:firstLineChars="200"/>
        <w:outlineLvl w:val="1"/>
        <w:rPr>
          <w:rFonts w:hint="eastAsia" w:ascii="宋体" w:hAnsi="宋体" w:eastAsia="宋体" w:cs="宋体"/>
          <w:bCs/>
          <w:color w:val="auto"/>
          <w:sz w:val="24"/>
          <w:szCs w:val="24"/>
          <w:lang w:eastAsia="zh-CN"/>
        </w:rPr>
      </w:pPr>
      <w:bookmarkStart w:id="81" w:name="_Toc11627"/>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采购方负责提供保安人员警卫室，以便利日常规范管理来访、交接工作；</w:t>
      </w:r>
      <w:bookmarkEnd w:id="81"/>
    </w:p>
    <w:p w14:paraId="18E730E7">
      <w:pPr>
        <w:spacing w:line="360" w:lineRule="auto"/>
        <w:ind w:firstLine="480" w:firstLineChars="200"/>
        <w:outlineLvl w:val="1"/>
        <w:rPr>
          <w:rFonts w:hint="eastAsia" w:ascii="宋体" w:hAnsi="宋体" w:eastAsia="宋体" w:cs="宋体"/>
          <w:bCs/>
          <w:color w:val="auto"/>
          <w:sz w:val="24"/>
          <w:szCs w:val="24"/>
          <w:lang w:eastAsia="zh-CN"/>
        </w:rPr>
      </w:pPr>
      <w:bookmarkStart w:id="82" w:name="_Toc10452"/>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lang w:eastAsia="zh-CN"/>
        </w:rPr>
        <w:t>采购方不承担节假日加班费。</w:t>
      </w:r>
      <w:bookmarkEnd w:id="82"/>
    </w:p>
    <w:p w14:paraId="784BBA7F">
      <w:pPr>
        <w:spacing w:line="360" w:lineRule="auto"/>
        <w:ind w:firstLine="480" w:firstLineChars="200"/>
        <w:outlineLvl w:val="1"/>
        <w:rPr>
          <w:rFonts w:hint="eastAsia" w:ascii="宋体" w:hAnsi="宋体" w:eastAsia="宋体" w:cs="宋体"/>
          <w:bCs/>
          <w:color w:val="auto"/>
          <w:sz w:val="24"/>
          <w:szCs w:val="24"/>
          <w:lang w:eastAsia="zh-CN"/>
        </w:rPr>
      </w:pPr>
      <w:bookmarkStart w:id="83" w:name="_Toc31502"/>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lang w:eastAsia="zh-CN"/>
        </w:rPr>
        <w:t>教育局每月根据学校对保安的考勤、管理情况进行考评，预留合同总金额的10%作为考核奖励资金。</w:t>
      </w:r>
      <w:bookmarkEnd w:id="83"/>
    </w:p>
    <w:p w14:paraId="532F091A">
      <w:pPr>
        <w:spacing w:line="360" w:lineRule="auto"/>
        <w:ind w:firstLine="480" w:firstLineChars="200"/>
        <w:outlineLvl w:val="1"/>
        <w:rPr>
          <w:rFonts w:hint="eastAsia" w:ascii="宋体" w:hAnsi="宋体" w:eastAsia="宋体" w:cs="宋体"/>
          <w:bCs/>
          <w:color w:val="auto"/>
          <w:sz w:val="24"/>
          <w:szCs w:val="24"/>
          <w:highlight w:val="none"/>
          <w:lang w:eastAsia="zh-CN"/>
        </w:rPr>
      </w:pPr>
      <w:bookmarkStart w:id="84" w:name="_Toc31275"/>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lang w:eastAsia="zh-CN"/>
        </w:rPr>
        <w:t>乙方在履行合同期间，若所提供的服务不符合约定，如减少双方约定的服务范围，保安人员的素质水平、工作态度等，则甲方有权要求乙方在指定时</w:t>
      </w:r>
      <w:r>
        <w:rPr>
          <w:rFonts w:hint="eastAsia" w:ascii="宋体" w:hAnsi="宋体" w:eastAsia="宋体" w:cs="宋体"/>
          <w:bCs/>
          <w:color w:val="auto"/>
          <w:sz w:val="24"/>
          <w:szCs w:val="24"/>
          <w:highlight w:val="none"/>
          <w:lang w:eastAsia="zh-CN"/>
        </w:rPr>
        <w:t>间内更换管理及服务人员。</w:t>
      </w:r>
      <w:bookmarkEnd w:id="84"/>
    </w:p>
    <w:p w14:paraId="0C3E9D44">
      <w:pPr>
        <w:spacing w:line="360" w:lineRule="auto"/>
        <w:ind w:firstLine="482" w:firstLineChars="200"/>
        <w:outlineLvl w:val="1"/>
        <w:rPr>
          <w:rFonts w:hint="eastAsia" w:ascii="宋体" w:hAnsi="宋体" w:eastAsia="宋体" w:cs="宋体"/>
          <w:b/>
          <w:color w:val="auto"/>
          <w:sz w:val="24"/>
          <w:szCs w:val="24"/>
          <w:highlight w:val="none"/>
        </w:rPr>
      </w:pPr>
      <w:bookmarkStart w:id="85" w:name="_Toc4579"/>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、考核验收</w:t>
      </w:r>
      <w:bookmarkEnd w:id="79"/>
      <w:bookmarkEnd w:id="85"/>
    </w:p>
    <w:p w14:paraId="5923E862">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服务期满后，甲方组织相关人员进行考核验收，验收合格后，填写政府采购项目验收单（一式伍份）作为对安保服务的最终认可。</w:t>
      </w:r>
    </w:p>
    <w:p w14:paraId="5196D7A9">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乙方向甲方提供服务过程中的所有资料,以便甲方日后管理和维护。</w:t>
      </w:r>
    </w:p>
    <w:p w14:paraId="22DC42FE">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验收依据：①招标文件、投标文件、澄清表（函）；②本合同及附件文本；③国家相应的标准、规范。</w:t>
      </w:r>
    </w:p>
    <w:p w14:paraId="49CDC45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8C02">
    <w:pPr>
      <w:pStyle w:val="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01894">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14D01894">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4597C"/>
    <w:rsid w:val="2E94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2025-01-02T09:41:00Z</dcterms:created>
  <dc:creator>ʚ莹莹ɞ</dc:creator>
  <cp:lastModifiedBy>ʚ莹莹ɞ</cp:lastModifiedBy>
  <dcterms:modified xsi:type="dcterms:W3CDTF">2025-01-02T09:41:54Z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ECC4F83C43124DF3A99B72861577CB9D_11</vt:lpwstr>
  </property>
  <property fmtid="{D5CDD505-2E9C-101B-9397-08002B2CF9AE}" pid="4" name="KSOTemplateDocerSaveRecord">
    <vt:lpwstr>eyJoZGlkIjoiMmM3YmI0ZmY4NzBiZDQxZDU3Y2FjMzZjOWFhZDJlODkiLCJ1c2VySWQiOiIxMzY3OTMwOTI1In0=</vt:lpwstr>
  </property>
</Properties>
</file>