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B48CF">
      <w:pPr>
        <w:jc w:val="center"/>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sz w:val="32"/>
          <w:szCs w:val="32"/>
          <w:shd w:val="clear" w:fill="FFFFFF"/>
          <w:lang w:val="en-US" w:eastAsia="zh-CN"/>
        </w:rPr>
        <w:t>采购需求</w:t>
      </w:r>
    </w:p>
    <w:tbl>
      <w:tblPr>
        <w:tblStyle w:val="8"/>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59"/>
        <w:gridCol w:w="8184"/>
      </w:tblGrid>
      <w:tr w14:paraId="03173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3016FA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81626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薄膜沉积能力：</w:t>
            </w:r>
          </w:p>
          <w:p w14:paraId="0433317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具有IGZO、IZO、In</w:t>
            </w:r>
            <w:r>
              <w:rPr>
                <w:rFonts w:hint="eastAsia" w:ascii="宋体" w:hAnsi="宋体" w:eastAsia="宋体" w:cs="宋体"/>
                <w:i w:val="0"/>
                <w:iCs w:val="0"/>
                <w:caps w:val="0"/>
                <w:color w:val="auto"/>
                <w:spacing w:val="0"/>
                <w:sz w:val="20"/>
                <w:szCs w:val="20"/>
                <w:vertAlign w:val="baseline"/>
              </w:rPr>
              <w:t>2</w:t>
            </w:r>
            <w:r>
              <w:rPr>
                <w:rFonts w:hint="eastAsia" w:ascii="宋体" w:hAnsi="宋体" w:eastAsia="宋体" w:cs="宋体"/>
                <w:i w:val="0"/>
                <w:iCs w:val="0"/>
                <w:caps w:val="0"/>
                <w:color w:val="auto"/>
                <w:spacing w:val="0"/>
                <w:sz w:val="20"/>
                <w:szCs w:val="20"/>
              </w:rPr>
              <w:t>O</w:t>
            </w:r>
            <w:r>
              <w:rPr>
                <w:rFonts w:hint="eastAsia" w:ascii="宋体" w:hAnsi="宋体" w:eastAsia="宋体" w:cs="宋体"/>
                <w:i w:val="0"/>
                <w:iCs w:val="0"/>
                <w:caps w:val="0"/>
                <w:color w:val="auto"/>
                <w:spacing w:val="0"/>
                <w:sz w:val="20"/>
                <w:szCs w:val="20"/>
                <w:vertAlign w:val="baseline"/>
              </w:rPr>
              <w:t>3</w:t>
            </w:r>
            <w:r>
              <w:rPr>
                <w:rFonts w:hint="eastAsia" w:ascii="宋体" w:hAnsi="宋体" w:eastAsia="宋体" w:cs="宋体"/>
                <w:i w:val="0"/>
                <w:iCs w:val="0"/>
                <w:caps w:val="0"/>
                <w:color w:val="auto"/>
                <w:spacing w:val="0"/>
                <w:sz w:val="20"/>
                <w:szCs w:val="20"/>
              </w:rPr>
              <w:t>、InON、NiO等n、p型半导体薄膜以及HfO</w:t>
            </w:r>
            <w:r>
              <w:rPr>
                <w:rFonts w:hint="eastAsia" w:ascii="宋体" w:hAnsi="宋体" w:eastAsia="宋体" w:cs="宋体"/>
                <w:i w:val="0"/>
                <w:iCs w:val="0"/>
                <w:caps w:val="0"/>
                <w:color w:val="auto"/>
                <w:spacing w:val="0"/>
                <w:sz w:val="20"/>
                <w:szCs w:val="20"/>
                <w:vertAlign w:val="baseline"/>
              </w:rPr>
              <w:t>2</w:t>
            </w:r>
            <w:r>
              <w:rPr>
                <w:rFonts w:hint="eastAsia" w:ascii="宋体" w:hAnsi="宋体" w:eastAsia="宋体" w:cs="宋体"/>
                <w:i w:val="0"/>
                <w:iCs w:val="0"/>
                <w:caps w:val="0"/>
                <w:color w:val="auto"/>
                <w:spacing w:val="0"/>
                <w:sz w:val="20"/>
                <w:szCs w:val="20"/>
              </w:rPr>
              <w:t>、Al</w:t>
            </w:r>
            <w:r>
              <w:rPr>
                <w:rFonts w:hint="eastAsia" w:ascii="宋体" w:hAnsi="宋体" w:eastAsia="宋体" w:cs="宋体"/>
                <w:i w:val="0"/>
                <w:iCs w:val="0"/>
                <w:caps w:val="0"/>
                <w:color w:val="auto"/>
                <w:spacing w:val="0"/>
                <w:sz w:val="20"/>
                <w:szCs w:val="20"/>
                <w:vertAlign w:val="baseline"/>
              </w:rPr>
              <w:t>2</w:t>
            </w:r>
            <w:r>
              <w:rPr>
                <w:rFonts w:hint="eastAsia" w:ascii="宋体" w:hAnsi="宋体" w:eastAsia="宋体" w:cs="宋体"/>
                <w:i w:val="0"/>
                <w:iCs w:val="0"/>
                <w:caps w:val="0"/>
                <w:color w:val="auto"/>
                <w:spacing w:val="0"/>
                <w:sz w:val="20"/>
                <w:szCs w:val="20"/>
              </w:rPr>
              <w:t>O</w:t>
            </w:r>
            <w:r>
              <w:rPr>
                <w:rFonts w:hint="eastAsia" w:ascii="宋体" w:hAnsi="宋体" w:eastAsia="宋体" w:cs="宋体"/>
                <w:i w:val="0"/>
                <w:iCs w:val="0"/>
                <w:caps w:val="0"/>
                <w:color w:val="auto"/>
                <w:spacing w:val="0"/>
                <w:sz w:val="20"/>
                <w:szCs w:val="20"/>
                <w:vertAlign w:val="baseline"/>
              </w:rPr>
              <w:t>3</w:t>
            </w:r>
            <w:r>
              <w:rPr>
                <w:rFonts w:hint="eastAsia" w:ascii="宋体" w:hAnsi="宋体" w:eastAsia="宋体" w:cs="宋体"/>
                <w:i w:val="0"/>
                <w:iCs w:val="0"/>
                <w:caps w:val="0"/>
                <w:color w:val="auto"/>
                <w:spacing w:val="0"/>
                <w:sz w:val="20"/>
                <w:szCs w:val="20"/>
              </w:rPr>
              <w:t>、ZrO</w:t>
            </w:r>
            <w:r>
              <w:rPr>
                <w:rFonts w:hint="eastAsia" w:ascii="宋体" w:hAnsi="宋体" w:eastAsia="宋体" w:cs="宋体"/>
                <w:i w:val="0"/>
                <w:iCs w:val="0"/>
                <w:caps w:val="0"/>
                <w:color w:val="auto"/>
                <w:spacing w:val="0"/>
                <w:sz w:val="20"/>
                <w:szCs w:val="20"/>
                <w:vertAlign w:val="baseline"/>
              </w:rPr>
              <w:t>2</w:t>
            </w:r>
            <w:r>
              <w:rPr>
                <w:rFonts w:hint="eastAsia" w:ascii="宋体" w:hAnsi="宋体" w:eastAsia="宋体" w:cs="宋体"/>
                <w:i w:val="0"/>
                <w:iCs w:val="0"/>
                <w:caps w:val="0"/>
                <w:color w:val="auto"/>
                <w:spacing w:val="0"/>
                <w:sz w:val="20"/>
                <w:szCs w:val="20"/>
              </w:rPr>
              <w:t>等高k绝缘介质薄膜的制备能力；</w:t>
            </w:r>
          </w:p>
        </w:tc>
      </w:tr>
      <w:tr w14:paraId="6DA69D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B33990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2</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0DC33B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rPr>
              <w:t>薄膜性能参数指标：</w:t>
            </w:r>
          </w:p>
          <w:p w14:paraId="0F1F7D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shd w:val="clear" w:fill="FFFFFF"/>
              </w:rPr>
              <w:t>（1）验收测试数据：</w:t>
            </w:r>
          </w:p>
          <w:p w14:paraId="407F7E9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shd w:val="clear" w:fill="FFFFFF"/>
              </w:rPr>
              <w:t>▲①4英寸硅片上沉积10-50nmAl</w:t>
            </w:r>
            <w:r>
              <w:rPr>
                <w:rFonts w:hint="eastAsia" w:ascii="宋体" w:hAnsi="宋体" w:eastAsia="宋体" w:cs="宋体"/>
                <w:i w:val="0"/>
                <w:iCs w:val="0"/>
                <w:caps w:val="0"/>
                <w:color w:val="auto"/>
                <w:spacing w:val="0"/>
                <w:sz w:val="20"/>
                <w:szCs w:val="20"/>
                <w:highlight w:val="none"/>
                <w:shd w:val="clear" w:fill="FFFFFF"/>
                <w:vertAlign w:val="baseline"/>
              </w:rPr>
              <w:t>2</w:t>
            </w:r>
            <w:r>
              <w:rPr>
                <w:rFonts w:hint="eastAsia" w:ascii="宋体" w:hAnsi="宋体" w:eastAsia="宋体" w:cs="宋体"/>
                <w:i w:val="0"/>
                <w:iCs w:val="0"/>
                <w:caps w:val="0"/>
                <w:color w:val="auto"/>
                <w:spacing w:val="0"/>
                <w:sz w:val="20"/>
                <w:szCs w:val="20"/>
                <w:highlight w:val="none"/>
                <w:shd w:val="clear" w:fill="FFFFFF"/>
              </w:rPr>
              <w:t>O</w:t>
            </w:r>
            <w:r>
              <w:rPr>
                <w:rFonts w:hint="eastAsia" w:ascii="宋体" w:hAnsi="宋体" w:eastAsia="宋体" w:cs="宋体"/>
                <w:i w:val="0"/>
                <w:iCs w:val="0"/>
                <w:caps w:val="0"/>
                <w:color w:val="auto"/>
                <w:spacing w:val="0"/>
                <w:sz w:val="20"/>
                <w:szCs w:val="20"/>
                <w:highlight w:val="none"/>
                <w:shd w:val="clear" w:fill="FFFFFF"/>
                <w:vertAlign w:val="baseline"/>
              </w:rPr>
              <w:t>3</w:t>
            </w:r>
            <w:r>
              <w:rPr>
                <w:rFonts w:hint="eastAsia" w:ascii="宋体" w:hAnsi="宋体" w:eastAsia="宋体" w:cs="宋体"/>
                <w:i w:val="0"/>
                <w:iCs w:val="0"/>
                <w:caps w:val="0"/>
                <w:color w:val="auto"/>
                <w:spacing w:val="0"/>
                <w:sz w:val="20"/>
                <w:szCs w:val="20"/>
                <w:highlight w:val="none"/>
                <w:shd w:val="clear" w:fill="FFFFFF"/>
              </w:rPr>
              <w:t>薄膜的非均匀性≤1%@4inch（热生长/等离子生长至少有一种生长方式满足指标）；</w:t>
            </w:r>
          </w:p>
          <w:p w14:paraId="232C6C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shd w:val="clear" w:fill="FFFFFF"/>
              </w:rPr>
              <w:t>▲②4英寸硅片上沉积10纳米ZnO薄膜的非均匀性≤1.5%@4inch（热生长/等离子生长至少有一种生长方式满足指标）；</w:t>
            </w:r>
          </w:p>
          <w:p w14:paraId="5DCD9CD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shd w:val="clear" w:fill="FFFFFF"/>
              </w:rPr>
              <w:t>▲③4英寸热氧化硅片上沉积InON、In</w:t>
            </w:r>
            <w:r>
              <w:rPr>
                <w:rFonts w:hint="eastAsia" w:ascii="宋体" w:hAnsi="宋体" w:eastAsia="宋体" w:cs="宋体"/>
                <w:i w:val="0"/>
                <w:iCs w:val="0"/>
                <w:caps w:val="0"/>
                <w:color w:val="auto"/>
                <w:spacing w:val="0"/>
                <w:sz w:val="20"/>
                <w:szCs w:val="20"/>
                <w:highlight w:val="none"/>
                <w:shd w:val="clear" w:fill="FFFFFF"/>
                <w:vertAlign w:val="baseline"/>
              </w:rPr>
              <w:t>2</w:t>
            </w:r>
            <w:r>
              <w:rPr>
                <w:rFonts w:hint="eastAsia" w:ascii="宋体" w:hAnsi="宋体" w:eastAsia="宋体" w:cs="宋体"/>
                <w:i w:val="0"/>
                <w:iCs w:val="0"/>
                <w:caps w:val="0"/>
                <w:color w:val="auto"/>
                <w:spacing w:val="0"/>
                <w:sz w:val="20"/>
                <w:szCs w:val="20"/>
                <w:highlight w:val="none"/>
                <w:shd w:val="clear" w:fill="FFFFFF"/>
              </w:rPr>
              <w:t>O</w:t>
            </w:r>
            <w:r>
              <w:rPr>
                <w:rFonts w:hint="eastAsia" w:ascii="宋体" w:hAnsi="宋体" w:eastAsia="宋体" w:cs="宋体"/>
                <w:i w:val="0"/>
                <w:iCs w:val="0"/>
                <w:caps w:val="0"/>
                <w:color w:val="auto"/>
                <w:spacing w:val="0"/>
                <w:sz w:val="20"/>
                <w:szCs w:val="20"/>
                <w:highlight w:val="none"/>
                <w:shd w:val="clear" w:fill="FFFFFF"/>
                <w:vertAlign w:val="baseline"/>
              </w:rPr>
              <w:t>3</w:t>
            </w:r>
            <w:r>
              <w:rPr>
                <w:rFonts w:hint="eastAsia" w:ascii="宋体" w:hAnsi="宋体" w:eastAsia="宋体" w:cs="宋体"/>
                <w:i w:val="0"/>
                <w:iCs w:val="0"/>
                <w:caps w:val="0"/>
                <w:color w:val="auto"/>
                <w:spacing w:val="0"/>
                <w:sz w:val="20"/>
                <w:szCs w:val="20"/>
                <w:highlight w:val="none"/>
                <w:shd w:val="clear" w:fill="FFFFFF"/>
              </w:rPr>
              <w:t>、Ga</w:t>
            </w:r>
            <w:r>
              <w:rPr>
                <w:rFonts w:hint="eastAsia" w:ascii="宋体" w:hAnsi="宋体" w:eastAsia="宋体" w:cs="宋体"/>
                <w:i w:val="0"/>
                <w:iCs w:val="0"/>
                <w:caps w:val="0"/>
                <w:color w:val="auto"/>
                <w:spacing w:val="0"/>
                <w:sz w:val="20"/>
                <w:szCs w:val="20"/>
                <w:highlight w:val="none"/>
                <w:shd w:val="clear" w:fill="FFFFFF"/>
                <w:vertAlign w:val="baseline"/>
              </w:rPr>
              <w:t>2</w:t>
            </w:r>
            <w:r>
              <w:rPr>
                <w:rFonts w:hint="eastAsia" w:ascii="宋体" w:hAnsi="宋体" w:eastAsia="宋体" w:cs="宋体"/>
                <w:i w:val="0"/>
                <w:iCs w:val="0"/>
                <w:caps w:val="0"/>
                <w:color w:val="auto"/>
                <w:spacing w:val="0"/>
                <w:sz w:val="20"/>
                <w:szCs w:val="20"/>
                <w:highlight w:val="none"/>
                <w:shd w:val="clear" w:fill="FFFFFF"/>
              </w:rPr>
              <w:t>O</w:t>
            </w:r>
            <w:r>
              <w:rPr>
                <w:rFonts w:hint="eastAsia" w:ascii="宋体" w:hAnsi="宋体" w:eastAsia="宋体" w:cs="宋体"/>
                <w:i w:val="0"/>
                <w:iCs w:val="0"/>
                <w:caps w:val="0"/>
                <w:color w:val="auto"/>
                <w:spacing w:val="0"/>
                <w:sz w:val="20"/>
                <w:szCs w:val="20"/>
                <w:highlight w:val="none"/>
                <w:shd w:val="clear" w:fill="FFFFFF"/>
                <w:vertAlign w:val="baseline"/>
              </w:rPr>
              <w:t>3</w:t>
            </w:r>
            <w:r>
              <w:rPr>
                <w:rFonts w:hint="eastAsia" w:ascii="宋体" w:hAnsi="宋体" w:eastAsia="宋体" w:cs="宋体"/>
                <w:i w:val="0"/>
                <w:iCs w:val="0"/>
                <w:caps w:val="0"/>
                <w:color w:val="auto"/>
                <w:spacing w:val="0"/>
                <w:sz w:val="20"/>
                <w:szCs w:val="20"/>
                <w:highlight w:val="none"/>
                <w:shd w:val="clear" w:fill="FFFFFF"/>
              </w:rPr>
              <w:t>薄膜，验证机台对上述三种薄膜的制备能力；</w:t>
            </w:r>
          </w:p>
          <w:p w14:paraId="60B72EF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0"/>
                <w:szCs w:val="20"/>
                <w:highlight w:val="none"/>
                <w:shd w:val="clear" w:fill="FFFFFF"/>
                <w:lang w:eastAsia="zh-CN"/>
              </w:rPr>
            </w:pPr>
            <w:r>
              <w:rPr>
                <w:rFonts w:hint="eastAsia" w:ascii="宋体" w:hAnsi="宋体" w:eastAsia="宋体" w:cs="宋体"/>
                <w:i w:val="0"/>
                <w:iCs w:val="0"/>
                <w:caps w:val="0"/>
                <w:color w:val="auto"/>
                <w:spacing w:val="0"/>
                <w:sz w:val="20"/>
                <w:szCs w:val="20"/>
                <w:highlight w:val="none"/>
                <w:shd w:val="clear" w:fill="FFFFFF"/>
              </w:rPr>
              <w:t>④重复性：同一条件下、至少循环制备三个样品，样品间厚度偏差≤2%</w:t>
            </w:r>
            <w:r>
              <w:rPr>
                <w:rFonts w:hint="eastAsia" w:ascii="宋体" w:hAnsi="宋体" w:eastAsia="宋体" w:cs="宋体"/>
                <w:i w:val="0"/>
                <w:iCs w:val="0"/>
                <w:caps w:val="0"/>
                <w:color w:val="auto"/>
                <w:spacing w:val="0"/>
                <w:sz w:val="20"/>
                <w:szCs w:val="20"/>
                <w:highlight w:val="none"/>
                <w:shd w:val="clear" w:fill="FFFFFF"/>
                <w:lang w:eastAsia="zh-CN"/>
              </w:rPr>
              <w:t>；</w:t>
            </w:r>
          </w:p>
          <w:p w14:paraId="1163405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sz w:val="20"/>
                <w:szCs w:val="20"/>
                <w:highlight w:val="none"/>
                <w:shd w:val="clear" w:fill="FFFFFF"/>
              </w:rPr>
              <w:t>⑤设备包含验收测试所需的源（前驱体、载气等</w:t>
            </w:r>
            <w:r>
              <w:rPr>
                <w:rFonts w:hint="eastAsia" w:ascii="宋体" w:hAnsi="宋体" w:eastAsia="宋体" w:cs="宋体"/>
                <w:i w:val="0"/>
                <w:iCs w:val="0"/>
                <w:caps w:val="0"/>
                <w:color w:val="auto"/>
                <w:spacing w:val="0"/>
                <w:sz w:val="20"/>
                <w:szCs w:val="20"/>
                <w:highlight w:val="none"/>
                <w:shd w:val="clear" w:fill="FFFFFF"/>
                <w:lang w:eastAsia="zh-CN"/>
              </w:rPr>
              <w:t>）；</w:t>
            </w:r>
          </w:p>
          <w:p w14:paraId="4776CEB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shd w:val="clear" w:fill="FFFFFF"/>
              </w:rPr>
              <w:t>（2）文献佐证数据（以下数据为器件级数据，现场验收较难直观性体现，如有实验室数据，请提供实验室数据，如无实验室数据，请提供使用本机台发表的文献数据）：</w:t>
            </w:r>
          </w:p>
          <w:p w14:paraId="0907A17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shd w:val="clear" w:fill="FFFFFF"/>
              </w:rPr>
              <w:t>▲①Al</w:t>
            </w:r>
            <w:r>
              <w:rPr>
                <w:rFonts w:hint="eastAsia" w:ascii="宋体" w:hAnsi="宋体" w:eastAsia="宋体" w:cs="宋体"/>
                <w:i w:val="0"/>
                <w:iCs w:val="0"/>
                <w:caps w:val="0"/>
                <w:color w:val="auto"/>
                <w:spacing w:val="0"/>
                <w:sz w:val="20"/>
                <w:szCs w:val="20"/>
                <w:highlight w:val="none"/>
                <w:shd w:val="clear" w:fill="FFFFFF"/>
                <w:vertAlign w:val="baseline"/>
              </w:rPr>
              <w:t>2</w:t>
            </w:r>
            <w:r>
              <w:rPr>
                <w:rFonts w:hint="eastAsia" w:ascii="宋体" w:hAnsi="宋体" w:eastAsia="宋体" w:cs="宋体"/>
                <w:i w:val="0"/>
                <w:iCs w:val="0"/>
                <w:caps w:val="0"/>
                <w:color w:val="auto"/>
                <w:spacing w:val="0"/>
                <w:sz w:val="20"/>
                <w:szCs w:val="20"/>
                <w:highlight w:val="none"/>
                <w:shd w:val="clear" w:fill="FFFFFF"/>
              </w:rPr>
              <w:t>O</w:t>
            </w:r>
            <w:r>
              <w:rPr>
                <w:rFonts w:hint="eastAsia" w:ascii="宋体" w:hAnsi="宋体" w:eastAsia="宋体" w:cs="宋体"/>
                <w:i w:val="0"/>
                <w:iCs w:val="0"/>
                <w:caps w:val="0"/>
                <w:color w:val="auto"/>
                <w:spacing w:val="0"/>
                <w:sz w:val="20"/>
                <w:szCs w:val="20"/>
                <w:highlight w:val="none"/>
                <w:shd w:val="clear" w:fill="FFFFFF"/>
                <w:vertAlign w:val="baseline"/>
              </w:rPr>
              <w:t>3</w:t>
            </w:r>
            <w:r>
              <w:rPr>
                <w:rFonts w:hint="eastAsia" w:ascii="宋体" w:hAnsi="宋体" w:eastAsia="宋体" w:cs="宋体"/>
                <w:i w:val="0"/>
                <w:iCs w:val="0"/>
                <w:caps w:val="0"/>
                <w:color w:val="auto"/>
                <w:spacing w:val="0"/>
                <w:sz w:val="20"/>
                <w:szCs w:val="20"/>
                <w:highlight w:val="none"/>
                <w:shd w:val="clear" w:fill="FFFFFF"/>
              </w:rPr>
              <w:t>薄膜漏电流密度≤10</w:t>
            </w:r>
            <w:r>
              <w:rPr>
                <w:rFonts w:hint="eastAsia" w:ascii="宋体" w:hAnsi="宋体" w:eastAsia="宋体" w:cs="宋体"/>
                <w:i w:val="0"/>
                <w:iCs w:val="0"/>
                <w:caps w:val="0"/>
                <w:color w:val="auto"/>
                <w:spacing w:val="0"/>
                <w:sz w:val="20"/>
                <w:szCs w:val="20"/>
                <w:highlight w:val="none"/>
                <w:shd w:val="clear" w:fill="FFFFFF"/>
                <w:vertAlign w:val="baseline"/>
              </w:rPr>
              <w:t>-5</w:t>
            </w:r>
            <w:r>
              <w:rPr>
                <w:rFonts w:hint="eastAsia" w:ascii="宋体" w:hAnsi="宋体" w:eastAsia="宋体" w:cs="宋体"/>
                <w:i w:val="0"/>
                <w:iCs w:val="0"/>
                <w:caps w:val="0"/>
                <w:color w:val="auto"/>
                <w:spacing w:val="0"/>
                <w:sz w:val="20"/>
                <w:szCs w:val="20"/>
                <w:highlight w:val="none"/>
                <w:shd w:val="clear" w:fill="FFFFFF"/>
              </w:rPr>
              <w:t> A/cm @ 3M V/cm；</w:t>
            </w:r>
          </w:p>
          <w:p w14:paraId="41207D0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sz w:val="20"/>
                <w:szCs w:val="20"/>
                <w:highlight w:val="none"/>
              </w:rPr>
              <w:t>②IGZO或IZO或In</w:t>
            </w:r>
            <w:r>
              <w:rPr>
                <w:rFonts w:hint="eastAsia" w:ascii="宋体" w:hAnsi="宋体" w:eastAsia="宋体" w:cs="宋体"/>
                <w:i w:val="0"/>
                <w:iCs w:val="0"/>
                <w:caps w:val="0"/>
                <w:color w:val="auto"/>
                <w:spacing w:val="0"/>
                <w:sz w:val="20"/>
                <w:szCs w:val="20"/>
                <w:highlight w:val="none"/>
                <w:vertAlign w:val="baseline"/>
              </w:rPr>
              <w:t>2</w:t>
            </w:r>
            <w:r>
              <w:rPr>
                <w:rFonts w:hint="eastAsia" w:ascii="宋体" w:hAnsi="宋体" w:eastAsia="宋体" w:cs="宋体"/>
                <w:i w:val="0"/>
                <w:iCs w:val="0"/>
                <w:caps w:val="0"/>
                <w:color w:val="auto"/>
                <w:spacing w:val="0"/>
                <w:sz w:val="20"/>
                <w:szCs w:val="20"/>
                <w:highlight w:val="none"/>
              </w:rPr>
              <w:t>O</w:t>
            </w:r>
            <w:r>
              <w:rPr>
                <w:rFonts w:hint="eastAsia" w:ascii="宋体" w:hAnsi="宋体" w:eastAsia="宋体" w:cs="宋体"/>
                <w:i w:val="0"/>
                <w:iCs w:val="0"/>
                <w:caps w:val="0"/>
                <w:color w:val="auto"/>
                <w:spacing w:val="0"/>
                <w:sz w:val="20"/>
                <w:szCs w:val="20"/>
                <w:highlight w:val="none"/>
                <w:vertAlign w:val="baseline"/>
              </w:rPr>
              <w:t>3</w:t>
            </w:r>
            <w:r>
              <w:rPr>
                <w:rFonts w:hint="eastAsia" w:ascii="宋体" w:hAnsi="宋体" w:eastAsia="宋体" w:cs="宋体"/>
                <w:i w:val="0"/>
                <w:iCs w:val="0"/>
                <w:caps w:val="0"/>
                <w:color w:val="auto"/>
                <w:spacing w:val="0"/>
                <w:sz w:val="20"/>
                <w:szCs w:val="20"/>
                <w:highlight w:val="none"/>
              </w:rPr>
              <w:t>薄膜的非均匀性≤1.5%，等效迁移率≥50 cm</w:t>
            </w:r>
            <w:r>
              <w:rPr>
                <w:rFonts w:hint="eastAsia" w:ascii="宋体" w:hAnsi="宋体" w:eastAsia="宋体" w:cs="宋体"/>
                <w:i w:val="0"/>
                <w:iCs w:val="0"/>
                <w:caps w:val="0"/>
                <w:color w:val="auto"/>
                <w:spacing w:val="0"/>
                <w:sz w:val="20"/>
                <w:szCs w:val="20"/>
                <w:highlight w:val="none"/>
                <w:vertAlign w:val="baseline"/>
              </w:rPr>
              <w:t>2</w:t>
            </w:r>
            <w:r>
              <w:rPr>
                <w:rFonts w:hint="eastAsia" w:ascii="宋体" w:hAnsi="宋体" w:eastAsia="宋体" w:cs="宋体"/>
                <w:i w:val="0"/>
                <w:iCs w:val="0"/>
                <w:caps w:val="0"/>
                <w:color w:val="auto"/>
                <w:spacing w:val="0"/>
                <w:sz w:val="20"/>
                <w:szCs w:val="20"/>
                <w:highlight w:val="none"/>
              </w:rPr>
              <w:t>/Vs</w:t>
            </w:r>
            <w:r>
              <w:rPr>
                <w:rFonts w:hint="eastAsia" w:ascii="宋体" w:hAnsi="宋体" w:eastAsia="宋体" w:cs="宋体"/>
                <w:i w:val="0"/>
                <w:iCs w:val="0"/>
                <w:caps w:val="0"/>
                <w:color w:val="auto"/>
                <w:spacing w:val="0"/>
                <w:sz w:val="20"/>
                <w:szCs w:val="20"/>
                <w:highlight w:val="none"/>
                <w:lang w:eastAsia="zh-CN"/>
              </w:rPr>
              <w:t>；</w:t>
            </w:r>
          </w:p>
        </w:tc>
      </w:tr>
      <w:tr w14:paraId="649B95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9393CE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4B329A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真空反应腔：</w:t>
            </w:r>
          </w:p>
          <w:p w14:paraId="5F69AF65">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b w:val="0"/>
                <w:bCs w:val="0"/>
                <w:i w:val="0"/>
                <w:iCs w:val="0"/>
                <w:caps w:val="0"/>
                <w:color w:val="auto"/>
                <w:spacing w:val="0"/>
                <w:sz w:val="20"/>
                <w:szCs w:val="20"/>
                <w:highlight w:val="none"/>
                <w:shd w:val="clear" w:fill="FFFFFF"/>
                <w:lang w:eastAsia="zh-CN"/>
              </w:rPr>
            </w:pPr>
            <w:r>
              <w:rPr>
                <w:rFonts w:hint="eastAsia" w:ascii="宋体" w:hAnsi="宋体" w:eastAsia="宋体" w:cs="宋体"/>
                <w:b w:val="0"/>
                <w:bCs w:val="0"/>
                <w:i w:val="0"/>
                <w:iCs w:val="0"/>
                <w:caps w:val="0"/>
                <w:color w:val="auto"/>
                <w:spacing w:val="0"/>
                <w:sz w:val="20"/>
                <w:szCs w:val="20"/>
                <w:highlight w:val="none"/>
                <w:shd w:val="clear" w:fill="FFFFFF"/>
              </w:rPr>
              <w:t>采用双腔结构设计，分为真空腔和反应腔，所有的工艺过程全部在反应腔内进行，反应腔易于喷砂清洗；</w:t>
            </w:r>
          </w:p>
          <w:p w14:paraId="35AC715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（2）反应腔最高加热温度≥500℃，配置温度传感器，高温段（150-500℃）精度±3℃，低温段（室温-150℃）精度±5℃；</w:t>
            </w:r>
          </w:p>
          <w:p w14:paraId="22D36E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（3）真空腔外壁温度≤50℃；</w:t>
            </w:r>
          </w:p>
          <w:p w14:paraId="1186490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（4）预真空室本底真空≤ 1E-1 mbar；</w:t>
            </w:r>
          </w:p>
          <w:p w14:paraId="62AE2B2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shd w:val="clear" w:fill="FFFFFF"/>
              </w:rPr>
              <w:t>（5）反应腔的本底真空≤ 1E-4 mbar；真空漏率≤ 1E-</w:t>
            </w:r>
            <w:r>
              <w:rPr>
                <w:rFonts w:hint="eastAsia" w:ascii="宋体" w:hAnsi="宋体" w:eastAsia="宋体" w:cs="宋体"/>
                <w:i w:val="0"/>
                <w:iCs w:val="0"/>
                <w:caps w:val="0"/>
                <w:color w:val="auto"/>
                <w:spacing w:val="0"/>
                <w:sz w:val="20"/>
                <w:szCs w:val="20"/>
                <w:highlight w:val="none"/>
                <w:shd w:val="clear" w:fill="FFFFFF"/>
                <w:lang w:val="en-US" w:eastAsia="zh-CN"/>
              </w:rPr>
              <w:t>5</w:t>
            </w:r>
            <w:r>
              <w:rPr>
                <w:rFonts w:hint="eastAsia" w:ascii="宋体" w:hAnsi="宋体" w:eastAsia="宋体" w:cs="宋体"/>
                <w:i w:val="0"/>
                <w:iCs w:val="0"/>
                <w:caps w:val="0"/>
                <w:color w:val="auto"/>
                <w:spacing w:val="0"/>
                <w:sz w:val="20"/>
                <w:szCs w:val="20"/>
                <w:highlight w:val="none"/>
                <w:shd w:val="clear" w:fill="FFFFFF"/>
              </w:rPr>
              <w:t xml:space="preserve"> mbar</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0"/>
                <w:szCs w:val="20"/>
                <w:highlight w:val="none"/>
                <w:shd w:val="clear" w:fill="FFFFFF"/>
              </w:rPr>
              <w:t>L/s；</w:t>
            </w:r>
            <w:r>
              <w:rPr>
                <w:rFonts w:hint="eastAsia" w:ascii="宋体" w:hAnsi="宋体" w:eastAsia="宋体" w:cs="宋体"/>
                <w:i w:val="0"/>
                <w:iCs w:val="0"/>
                <w:caps w:val="0"/>
                <w:color w:val="auto"/>
                <w:spacing w:val="0"/>
                <w:sz w:val="20"/>
                <w:szCs w:val="20"/>
                <w:highlight w:val="none"/>
                <w:shd w:val="clear" w:fill="FFFFFF"/>
                <w:lang w:eastAsia="zh-CN"/>
              </w:rPr>
              <w:t>（</w:t>
            </w:r>
            <w:r>
              <w:rPr>
                <w:rFonts w:hint="eastAsia" w:ascii="宋体" w:hAnsi="宋体" w:eastAsia="宋体" w:cs="宋体"/>
                <w:b/>
                <w:bCs/>
                <w:i w:val="0"/>
                <w:iCs w:val="0"/>
                <w:caps w:val="0"/>
                <w:color w:val="auto"/>
                <w:spacing w:val="0"/>
                <w:sz w:val="20"/>
                <w:szCs w:val="20"/>
                <w:highlight w:val="none"/>
                <w:shd w:val="clear" w:fill="FFFFFF"/>
              </w:rPr>
              <w:t>提供漏率测试结果）</w:t>
            </w:r>
          </w:p>
          <w:p w14:paraId="0F1B2EB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0"/>
                <w:szCs w:val="20"/>
                <w:shd w:val="clear" w:fill="FFFFFF"/>
                <w:lang w:eastAsia="zh-CN"/>
              </w:rPr>
            </w:pPr>
            <w:r>
              <w:rPr>
                <w:rFonts w:hint="eastAsia" w:ascii="宋体" w:hAnsi="宋体" w:eastAsia="宋体" w:cs="宋体"/>
                <w:i w:val="0"/>
                <w:iCs w:val="0"/>
                <w:caps w:val="0"/>
                <w:color w:val="auto"/>
                <w:spacing w:val="0"/>
                <w:sz w:val="20"/>
                <w:szCs w:val="20"/>
              </w:rPr>
              <w:t>（6）配置不少于6路独立的前驱体源入口，预留升级改造入口。</w:t>
            </w:r>
          </w:p>
        </w:tc>
      </w:tr>
      <w:tr w14:paraId="68CD76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407565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4</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EA1D68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真空系统：</w:t>
            </w:r>
          </w:p>
          <w:p w14:paraId="4CE9975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（1）预真空室配置单独的干泵、配备真空计、过压保护阀、惰性气体管路等；</w:t>
            </w:r>
          </w:p>
          <w:p w14:paraId="6E6C79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default" w:ascii="宋体" w:hAnsi="宋体" w:eastAsia="宋体" w:cs="宋体"/>
                <w:color w:val="auto"/>
                <w:lang w:val="en-US" w:eastAsia="zh-CN"/>
              </w:rPr>
            </w:pPr>
            <w:r>
              <w:rPr>
                <w:rFonts w:hint="eastAsia" w:ascii="宋体" w:hAnsi="宋体" w:eastAsia="宋体" w:cs="宋体"/>
                <w:i w:val="0"/>
                <w:iCs w:val="0"/>
                <w:caps w:val="0"/>
                <w:color w:val="auto"/>
                <w:spacing w:val="0"/>
                <w:sz w:val="20"/>
                <w:szCs w:val="20"/>
                <w:shd w:val="clear" w:fill="FFFFFF"/>
              </w:rPr>
              <w:t>（2）真空系统配置防腐蚀设计干泵，防腐蚀设计涡轮分子泵作为可扩展项（后期可改造升级即可）；</w:t>
            </w:r>
          </w:p>
          <w:p w14:paraId="543A410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（3）配备干泵吹扫惰性气体生成系统。</w:t>
            </w:r>
          </w:p>
        </w:tc>
      </w:tr>
      <w:tr w14:paraId="32293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FE9382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619654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前驱体源系统：</w:t>
            </w:r>
          </w:p>
          <w:p w14:paraId="25C5F91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（1）配置≥6路独立的液体/固体前驱体源管路，每路前驱体源管路配置独立的阀门；</w:t>
            </w:r>
          </w:p>
          <w:p w14:paraId="66030DF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（2）≥6路6路前驱体源管路应涵盖：1路臭氧管路（含臭氧发生器），≥2路加热前驱体管路系统，最高加热温度≥300℃；</w:t>
            </w:r>
          </w:p>
          <w:p w14:paraId="126F32F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（3）可使用的前驱体源种类至少包括：H</w:t>
            </w:r>
            <w:r>
              <w:rPr>
                <w:rFonts w:hint="eastAsia" w:ascii="宋体" w:hAnsi="宋体" w:eastAsia="宋体" w:cs="宋体"/>
                <w:i w:val="0"/>
                <w:iCs w:val="0"/>
                <w:caps w:val="0"/>
                <w:color w:val="auto"/>
                <w:spacing w:val="0"/>
                <w:sz w:val="20"/>
                <w:szCs w:val="20"/>
                <w:shd w:val="clear" w:fill="FFFFFF"/>
                <w:vertAlign w:val="baseline"/>
              </w:rPr>
              <w:t>2</w:t>
            </w:r>
            <w:r>
              <w:rPr>
                <w:rFonts w:hint="eastAsia" w:ascii="宋体" w:hAnsi="宋体" w:eastAsia="宋体" w:cs="宋体"/>
                <w:i w:val="0"/>
                <w:iCs w:val="0"/>
                <w:caps w:val="0"/>
                <w:color w:val="auto"/>
                <w:spacing w:val="0"/>
                <w:sz w:val="20"/>
                <w:szCs w:val="20"/>
                <w:shd w:val="clear" w:fill="FFFFFF"/>
              </w:rPr>
              <w:t>O, TMA, TDMAHf，TEZ以及铟源、镓源、锌源、镍源等；</w:t>
            </w:r>
          </w:p>
          <w:p w14:paraId="387B17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（4）配置≥1路惰性气体的载气管路，≥配置≥2路独立的气体源（例如：O</w:t>
            </w:r>
            <w:r>
              <w:rPr>
                <w:rFonts w:hint="eastAsia" w:ascii="宋体" w:hAnsi="宋体" w:eastAsia="宋体" w:cs="宋体"/>
                <w:i w:val="0"/>
                <w:iCs w:val="0"/>
                <w:caps w:val="0"/>
                <w:color w:val="auto"/>
                <w:spacing w:val="0"/>
                <w:sz w:val="20"/>
                <w:szCs w:val="20"/>
                <w:shd w:val="clear" w:fill="FFFFFF"/>
                <w:vertAlign w:val="baseline"/>
              </w:rPr>
              <w:t>2 </w:t>
            </w:r>
            <w:r>
              <w:rPr>
                <w:rFonts w:hint="eastAsia" w:ascii="宋体" w:hAnsi="宋体" w:eastAsia="宋体" w:cs="宋体"/>
                <w:i w:val="0"/>
                <w:iCs w:val="0"/>
                <w:caps w:val="0"/>
                <w:color w:val="auto"/>
                <w:spacing w:val="0"/>
                <w:sz w:val="20"/>
                <w:szCs w:val="20"/>
                <w:shd w:val="clear" w:fill="FFFFFF"/>
              </w:rPr>
              <w:t>、N</w:t>
            </w:r>
            <w:r>
              <w:rPr>
                <w:rFonts w:hint="eastAsia" w:ascii="宋体" w:hAnsi="宋体" w:eastAsia="宋体" w:cs="宋体"/>
                <w:i w:val="0"/>
                <w:iCs w:val="0"/>
                <w:caps w:val="0"/>
                <w:color w:val="auto"/>
                <w:spacing w:val="0"/>
                <w:sz w:val="20"/>
                <w:szCs w:val="20"/>
                <w:shd w:val="clear" w:fill="FFFFFF"/>
                <w:vertAlign w:val="baseline"/>
              </w:rPr>
              <w:t>2</w:t>
            </w:r>
            <w:r>
              <w:rPr>
                <w:rFonts w:hint="eastAsia" w:ascii="宋体" w:hAnsi="宋体" w:eastAsia="宋体" w:cs="宋体"/>
                <w:i w:val="0"/>
                <w:iCs w:val="0"/>
                <w:caps w:val="0"/>
                <w:color w:val="auto"/>
                <w:spacing w:val="0"/>
                <w:sz w:val="20"/>
                <w:szCs w:val="20"/>
                <w:shd w:val="clear" w:fill="FFFFFF"/>
              </w:rPr>
              <w:t>）管路，每路气体源管路需配有质量流量计和气体截止阀；</w:t>
            </w:r>
          </w:p>
          <w:p w14:paraId="5178417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0"/>
                <w:szCs w:val="20"/>
                <w:shd w:val="clear" w:fill="FFFFFF"/>
              </w:rPr>
              <w:t>（5）</w:t>
            </w:r>
            <w:r>
              <w:rPr>
                <w:rFonts w:hint="eastAsia" w:ascii="宋体" w:hAnsi="宋体" w:eastAsia="宋体" w:cs="宋体"/>
                <w:i w:val="0"/>
                <w:iCs w:val="0"/>
                <w:caps w:val="0"/>
                <w:color w:val="auto"/>
                <w:spacing w:val="0"/>
                <w:sz w:val="20"/>
                <w:szCs w:val="20"/>
                <w:highlight w:val="none"/>
                <w:shd w:val="clear" w:fill="FFFFFF"/>
              </w:rPr>
              <w:t>对有毒/腐蚀气体管路（例如NH</w:t>
            </w:r>
            <w:r>
              <w:rPr>
                <w:rFonts w:hint="eastAsia" w:ascii="宋体" w:hAnsi="宋体" w:eastAsia="宋体" w:cs="宋体"/>
                <w:i w:val="0"/>
                <w:iCs w:val="0"/>
                <w:caps w:val="0"/>
                <w:color w:val="auto"/>
                <w:spacing w:val="0"/>
                <w:sz w:val="20"/>
                <w:szCs w:val="20"/>
                <w:highlight w:val="none"/>
                <w:shd w:val="clear" w:fill="FFFFFF"/>
                <w:vertAlign w:val="baseline"/>
              </w:rPr>
              <w:t>3</w:t>
            </w:r>
            <w:r>
              <w:rPr>
                <w:rFonts w:hint="eastAsia" w:ascii="宋体" w:hAnsi="宋体" w:eastAsia="宋体" w:cs="宋体"/>
                <w:i w:val="0"/>
                <w:iCs w:val="0"/>
                <w:caps w:val="0"/>
                <w:color w:val="auto"/>
                <w:spacing w:val="0"/>
                <w:sz w:val="20"/>
                <w:szCs w:val="20"/>
                <w:highlight w:val="none"/>
                <w:shd w:val="clear" w:fill="FFFFFF"/>
              </w:rPr>
              <w:t>）需配有旁路</w:t>
            </w:r>
            <w:r>
              <w:rPr>
                <w:rFonts w:hint="eastAsia" w:ascii="宋体" w:hAnsi="宋体" w:eastAsia="宋体" w:cs="宋体"/>
                <w:i w:val="0"/>
                <w:iCs w:val="0"/>
                <w:caps w:val="0"/>
                <w:color w:val="auto"/>
                <w:spacing w:val="0"/>
                <w:sz w:val="20"/>
                <w:szCs w:val="20"/>
                <w:shd w:val="clear" w:fill="FFFFFF"/>
              </w:rPr>
              <w:t>；</w:t>
            </w:r>
          </w:p>
          <w:p w14:paraId="2FE6724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0"/>
                <w:szCs w:val="20"/>
                <w:highlight w:val="none"/>
                <w:shd w:val="clear" w:fill="FFFFFF"/>
              </w:rPr>
            </w:pPr>
            <w:r>
              <w:rPr>
                <w:rFonts w:hint="eastAsia" w:ascii="宋体" w:hAnsi="宋体" w:eastAsia="宋体" w:cs="宋体"/>
                <w:i w:val="0"/>
                <w:iCs w:val="0"/>
                <w:caps w:val="0"/>
                <w:color w:val="auto"/>
                <w:spacing w:val="0"/>
                <w:sz w:val="20"/>
                <w:szCs w:val="20"/>
                <w:highlight w:val="none"/>
                <w:shd w:val="clear" w:fill="FFFFFF"/>
                <w:lang w:eastAsia="zh-CN"/>
              </w:rPr>
              <w:t>（</w:t>
            </w:r>
            <w:r>
              <w:rPr>
                <w:rFonts w:hint="eastAsia" w:ascii="宋体" w:hAnsi="宋体" w:eastAsia="宋体" w:cs="宋体"/>
                <w:i w:val="0"/>
                <w:iCs w:val="0"/>
                <w:caps w:val="0"/>
                <w:color w:val="auto"/>
                <w:spacing w:val="0"/>
                <w:sz w:val="20"/>
                <w:szCs w:val="20"/>
                <w:highlight w:val="none"/>
                <w:shd w:val="clear" w:fill="FFFFFF"/>
                <w:lang w:val="en-US" w:eastAsia="zh-CN"/>
              </w:rPr>
              <w:t>6）</w:t>
            </w:r>
            <w:r>
              <w:rPr>
                <w:rFonts w:hint="eastAsia" w:ascii="宋体" w:hAnsi="宋体" w:eastAsia="宋体" w:cs="宋体"/>
                <w:i w:val="0"/>
                <w:iCs w:val="0"/>
                <w:caps w:val="0"/>
                <w:color w:val="auto"/>
                <w:spacing w:val="0"/>
                <w:sz w:val="20"/>
                <w:szCs w:val="20"/>
                <w:highlight w:val="none"/>
                <w:shd w:val="clear" w:fill="FFFFFF"/>
              </w:rPr>
              <w:t>设备的前驱体管路系统</w:t>
            </w:r>
            <w:r>
              <w:rPr>
                <w:rFonts w:hint="eastAsia" w:ascii="宋体" w:hAnsi="宋体" w:eastAsia="宋体" w:cs="宋体"/>
                <w:i w:val="0"/>
                <w:iCs w:val="0"/>
                <w:caps w:val="0"/>
                <w:color w:val="auto"/>
                <w:spacing w:val="0"/>
                <w:sz w:val="20"/>
                <w:szCs w:val="20"/>
                <w:highlight w:val="none"/>
                <w:shd w:val="clear" w:fill="FFFFFF"/>
                <w:lang w:val="en-US" w:eastAsia="zh-CN"/>
              </w:rPr>
              <w:t>具有</w:t>
            </w:r>
            <w:r>
              <w:rPr>
                <w:rFonts w:hint="eastAsia" w:ascii="宋体" w:hAnsi="宋体" w:eastAsia="宋体" w:cs="宋体"/>
                <w:i w:val="0"/>
                <w:iCs w:val="0"/>
                <w:caps w:val="0"/>
                <w:color w:val="auto"/>
                <w:spacing w:val="0"/>
                <w:sz w:val="20"/>
                <w:szCs w:val="20"/>
                <w:highlight w:val="none"/>
                <w:shd w:val="clear" w:fill="FFFFFF"/>
              </w:rPr>
              <w:t>自动净化</w:t>
            </w:r>
            <w:r>
              <w:rPr>
                <w:rFonts w:hint="eastAsia" w:ascii="宋体" w:hAnsi="宋体" w:eastAsia="宋体" w:cs="宋体"/>
                <w:i w:val="0"/>
                <w:iCs w:val="0"/>
                <w:caps w:val="0"/>
                <w:color w:val="auto"/>
                <w:spacing w:val="0"/>
                <w:sz w:val="20"/>
                <w:szCs w:val="20"/>
                <w:highlight w:val="none"/>
                <w:shd w:val="clear" w:fill="FFFFFF"/>
                <w:lang w:val="en-US" w:eastAsia="zh-CN"/>
              </w:rPr>
              <w:t>功能，</w:t>
            </w:r>
            <w:r>
              <w:rPr>
                <w:rFonts w:hint="eastAsia" w:ascii="宋体" w:hAnsi="宋体" w:eastAsia="宋体" w:cs="宋体"/>
                <w:color w:val="auto"/>
                <w:sz w:val="20"/>
                <w:szCs w:val="20"/>
                <w:highlight w:val="none"/>
              </w:rPr>
              <w:t>真空泵</w:t>
            </w:r>
            <w:r>
              <w:rPr>
                <w:rFonts w:hint="eastAsia" w:ascii="宋体" w:hAnsi="宋体" w:eastAsia="宋体" w:cs="宋体"/>
                <w:color w:val="auto"/>
                <w:sz w:val="20"/>
                <w:szCs w:val="20"/>
                <w:highlight w:val="none"/>
                <w:lang w:val="en-US" w:eastAsia="zh-CN"/>
              </w:rPr>
              <w:t>前端具有尾气过滤功能</w:t>
            </w:r>
            <w:r>
              <w:rPr>
                <w:rFonts w:hint="eastAsia" w:ascii="宋体" w:hAnsi="宋体" w:eastAsia="宋体" w:cs="宋体"/>
                <w:i w:val="0"/>
                <w:iCs w:val="0"/>
                <w:caps w:val="0"/>
                <w:color w:val="auto"/>
                <w:spacing w:val="0"/>
                <w:sz w:val="20"/>
                <w:szCs w:val="20"/>
                <w:highlight w:val="none"/>
                <w:shd w:val="clear" w:fill="FFFFFF"/>
              </w:rPr>
              <w:t>。</w:t>
            </w:r>
            <w:r>
              <w:rPr>
                <w:rFonts w:hint="eastAsia" w:ascii="宋体" w:hAnsi="宋体" w:eastAsia="宋体" w:cs="宋体"/>
                <w:b/>
                <w:bCs/>
                <w:i w:val="0"/>
                <w:iCs w:val="0"/>
                <w:caps w:val="0"/>
                <w:color w:val="auto"/>
                <w:spacing w:val="0"/>
                <w:sz w:val="20"/>
                <w:szCs w:val="20"/>
                <w:highlight w:val="none"/>
                <w:shd w:val="clear" w:fill="FFFFFF"/>
              </w:rPr>
              <w:t>（提供工作</w:t>
            </w:r>
            <w:r>
              <w:rPr>
                <w:rFonts w:hint="eastAsia" w:ascii="宋体" w:hAnsi="宋体" w:eastAsia="宋体" w:cs="宋体"/>
                <w:b/>
                <w:bCs/>
                <w:i w:val="0"/>
                <w:iCs w:val="0"/>
                <w:caps w:val="0"/>
                <w:color w:val="auto"/>
                <w:spacing w:val="0"/>
                <w:sz w:val="20"/>
                <w:szCs w:val="20"/>
                <w:highlight w:val="none"/>
                <w:shd w:val="clear" w:fill="FFFFFF"/>
                <w:lang w:val="en-US" w:eastAsia="zh-CN"/>
              </w:rPr>
              <w:t>方案及</w:t>
            </w:r>
            <w:r>
              <w:rPr>
                <w:rFonts w:hint="eastAsia" w:ascii="宋体" w:hAnsi="宋体" w:eastAsia="宋体" w:cs="宋体"/>
                <w:b/>
                <w:bCs/>
                <w:i w:val="0"/>
                <w:iCs w:val="0"/>
                <w:caps w:val="0"/>
                <w:color w:val="auto"/>
                <w:spacing w:val="0"/>
                <w:sz w:val="20"/>
                <w:szCs w:val="20"/>
                <w:highlight w:val="none"/>
                <w:shd w:val="clear" w:fill="FFFFFF"/>
              </w:rPr>
              <w:t>说明）</w:t>
            </w:r>
          </w:p>
          <w:p w14:paraId="0F532A4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highlight w:val="none"/>
              </w:rPr>
              <w:t>（</w:t>
            </w:r>
            <w:r>
              <w:rPr>
                <w:rFonts w:hint="eastAsia" w:ascii="宋体" w:hAnsi="宋体" w:eastAsia="宋体" w:cs="宋体"/>
                <w:i w:val="0"/>
                <w:iCs w:val="0"/>
                <w:caps w:val="0"/>
                <w:color w:val="auto"/>
                <w:spacing w:val="0"/>
                <w:sz w:val="20"/>
                <w:szCs w:val="20"/>
                <w:highlight w:val="none"/>
                <w:lang w:val="en-US" w:eastAsia="zh-CN"/>
              </w:rPr>
              <w:t>7</w:t>
            </w:r>
            <w:r>
              <w:rPr>
                <w:rFonts w:hint="eastAsia" w:ascii="宋体" w:hAnsi="宋体" w:eastAsia="宋体" w:cs="宋体"/>
                <w:i w:val="0"/>
                <w:iCs w:val="0"/>
                <w:caps w:val="0"/>
                <w:color w:val="auto"/>
                <w:spacing w:val="0"/>
                <w:sz w:val="20"/>
                <w:szCs w:val="20"/>
                <w:highlight w:val="none"/>
              </w:rPr>
              <w:t>）设备配备足量验收所生长薄膜所需的所有前驱体源。</w:t>
            </w:r>
          </w:p>
        </w:tc>
      </w:tr>
      <w:tr w14:paraId="412E44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BB9251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6</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C0D4D5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等离子体辅助系统：</w:t>
            </w:r>
          </w:p>
          <w:p w14:paraId="7708AF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1）采用电容耦合等离子体设计，支持远程等离子体方式和直接等离子方式；远程等离子体方式在电极和样品之间配置栅网，等离子体不直接照射于样品、防止对样品表面的损伤；直接等离子方式可以作为表面改性等离子源，直接对样品表面进行等离子改性；</w:t>
            </w:r>
          </w:p>
          <w:p w14:paraId="3F5C673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（2）等离子体源的射频功率≥ 300W，频率13.56 MHz；</w:t>
            </w:r>
          </w:p>
          <w:p w14:paraId="3D0437C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i w:val="0"/>
                <w:iCs w:val="0"/>
                <w:caps w:val="0"/>
                <w:color w:val="auto"/>
                <w:spacing w:val="0"/>
                <w:sz w:val="20"/>
                <w:szCs w:val="20"/>
                <w:shd w:val="clear" w:fill="FFFFFF"/>
              </w:rPr>
              <w:t>（3）配有自动匹配盒，可通过固定匹配模式或自动匹配模式稳定地起辉；</w:t>
            </w:r>
          </w:p>
          <w:p w14:paraId="2B289BA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（4）与计算机控制系统集成，通过软件控制等离子体功率和放电。</w:t>
            </w:r>
          </w:p>
        </w:tc>
      </w:tr>
      <w:tr w14:paraId="1752C0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F72050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7</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3EE874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0"/>
                <w:szCs w:val="20"/>
                <w:highlight w:val="none"/>
              </w:rPr>
              <w:t>尾气处理系统：</w:t>
            </w:r>
          </w:p>
          <w:p w14:paraId="54C2AD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highlight w:val="none"/>
              </w:rPr>
              <w:t>设备应配备燃烧、喷淋、等离子处理等其中一种尾气处理系统或者多种尾气处理系统的组合。</w:t>
            </w:r>
          </w:p>
        </w:tc>
      </w:tr>
      <w:tr w14:paraId="1F057C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CD7D3E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8</w:t>
            </w:r>
          </w:p>
        </w:tc>
        <w:tc>
          <w:tcPr>
            <w:tcW w:w="478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DBE09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安装调试：</w:t>
            </w:r>
          </w:p>
          <w:p w14:paraId="3523D56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rPr>
            </w:pPr>
            <w:r>
              <w:rPr>
                <w:rFonts w:hint="eastAsia" w:ascii="宋体" w:hAnsi="宋体" w:eastAsia="宋体" w:cs="宋体"/>
                <w:i w:val="0"/>
                <w:iCs w:val="0"/>
                <w:caps w:val="0"/>
                <w:color w:val="auto"/>
                <w:spacing w:val="0"/>
                <w:sz w:val="20"/>
                <w:szCs w:val="20"/>
              </w:rPr>
              <w:t>配备设备安装调试必要附件。</w:t>
            </w:r>
          </w:p>
        </w:tc>
      </w:tr>
    </w:tbl>
    <w:p w14:paraId="719EED97">
      <w:pPr>
        <w:jc w:val="both"/>
        <w:rPr>
          <w:rFonts w:hint="eastAsia" w:ascii="宋体" w:hAnsi="宋体" w:cs="宋体"/>
          <w:snapToGrid w:val="0"/>
          <w:kern w:val="0"/>
          <w:szCs w:val="21"/>
          <w:lang w:val="en-US" w:eastAsia="zh-CN"/>
        </w:rPr>
      </w:pPr>
      <w:bookmarkStart w:id="0" w:name="_GoBack"/>
      <w:bookmarkEnd w:id="0"/>
      <w:r>
        <w:rPr>
          <w:rFonts w:hint="eastAsia" w:ascii="宋体" w:hAnsi="宋体" w:cs="宋体"/>
          <w:snapToGrid w:val="0"/>
          <w:kern w:val="0"/>
          <w:szCs w:val="21"/>
          <w:lang w:val="en-US" w:eastAsia="zh-CN"/>
        </w:rPr>
        <w:t>说明：</w:t>
      </w:r>
    </w:p>
    <w:p w14:paraId="4B21AD7E">
      <w:pPr>
        <w:jc w:val="both"/>
        <w:rPr>
          <w:rFonts w:hint="eastAsia" w:ascii="宋体" w:hAnsi="宋体" w:cs="宋体"/>
          <w:snapToGrid w:val="0"/>
          <w:kern w:val="0"/>
          <w:szCs w:val="21"/>
          <w:lang w:val="zh-CN"/>
        </w:rPr>
      </w:pPr>
      <w:r>
        <w:rPr>
          <w:rFonts w:hint="eastAsia" w:ascii="宋体" w:hAnsi="宋体" w:cs="宋体"/>
          <w:snapToGrid w:val="0"/>
          <w:kern w:val="0"/>
          <w:szCs w:val="21"/>
          <w:lang w:val="zh-CN"/>
        </w:rPr>
        <w:t>①表中</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w:t>
      </w:r>
      <w:r>
        <w:rPr>
          <w:rFonts w:hint="eastAsia" w:ascii="宋体" w:hAnsi="宋体" w:eastAsia="宋体" w:cs="宋体"/>
          <w:i w:val="0"/>
          <w:iCs w:val="0"/>
          <w:caps w:val="0"/>
          <w:color w:val="auto"/>
          <w:spacing w:val="0"/>
          <w:sz w:val="20"/>
          <w:szCs w:val="20"/>
          <w:highlight w:val="none"/>
          <w:shd w:val="clear" w:fill="FFFFFF"/>
        </w:rPr>
        <w:t>▲</w:t>
      </w:r>
      <w:r>
        <w:rPr>
          <w:rFonts w:hint="eastAsia" w:ascii="宋体" w:hAnsi="宋体" w:cs="宋体"/>
          <w:snapToGrid w:val="0"/>
          <w:kern w:val="0"/>
          <w:szCs w:val="21"/>
          <w:lang w:val="zh-CN"/>
        </w:rPr>
        <w:t>”代表重要</w:t>
      </w:r>
      <w:r>
        <w:rPr>
          <w:rFonts w:hint="eastAsia" w:ascii="宋体" w:hAnsi="宋体" w:cs="宋体"/>
          <w:snapToGrid w:val="0"/>
          <w:kern w:val="0"/>
          <w:szCs w:val="21"/>
          <w:lang w:val="en-US" w:eastAsia="zh-CN"/>
        </w:rPr>
        <w:t>技术</w:t>
      </w:r>
      <w:r>
        <w:rPr>
          <w:rFonts w:hint="eastAsia" w:ascii="宋体" w:hAnsi="宋体" w:cs="宋体"/>
          <w:snapToGrid w:val="0"/>
          <w:kern w:val="0"/>
          <w:szCs w:val="21"/>
          <w:lang w:val="zh-CN"/>
        </w:rPr>
        <w:t>指标；</w:t>
      </w:r>
      <w:r>
        <w:rPr>
          <w:rFonts w:hint="eastAsia" w:ascii="宋体" w:hAnsi="宋体" w:cs="宋体"/>
          <w:snapToGrid w:val="0"/>
          <w:kern w:val="0"/>
          <w:szCs w:val="21"/>
          <w:lang w:val="en-US" w:eastAsia="zh-CN"/>
        </w:rPr>
        <w:t>非</w:t>
      </w:r>
      <w:r>
        <w:rPr>
          <w:rFonts w:hint="eastAsia" w:ascii="宋体" w:hAnsi="宋体" w:cs="宋体"/>
          <w:snapToGrid w:val="0"/>
          <w:kern w:val="0"/>
          <w:szCs w:val="21"/>
          <w:lang w:val="zh-CN"/>
        </w:rPr>
        <w:t>“</w:t>
      </w:r>
      <w:r>
        <w:rPr>
          <w:rFonts w:hint="eastAsia" w:ascii="宋体" w:hAnsi="宋体" w:eastAsia="宋体" w:cs="宋体"/>
          <w:i w:val="0"/>
          <w:iCs w:val="0"/>
          <w:caps w:val="0"/>
          <w:color w:val="auto"/>
          <w:spacing w:val="0"/>
          <w:sz w:val="20"/>
          <w:szCs w:val="20"/>
          <w:highlight w:val="none"/>
          <w:shd w:val="clear" w:fill="FFFFFF"/>
        </w:rPr>
        <w:t>▲</w:t>
      </w:r>
      <w:r>
        <w:rPr>
          <w:rFonts w:hint="eastAsia" w:ascii="宋体" w:hAnsi="宋体" w:cs="宋体"/>
          <w:snapToGrid w:val="0"/>
          <w:kern w:val="0"/>
          <w:szCs w:val="21"/>
          <w:lang w:val="zh-CN"/>
        </w:rPr>
        <w:t>”则表示属一般指标项。</w:t>
      </w:r>
    </w:p>
    <w:p w14:paraId="0FEC508E">
      <w:pPr>
        <w:jc w:val="both"/>
        <w:rPr>
          <w:rFonts w:hint="eastAsia" w:ascii="宋体" w:hAnsi="宋体" w:cs="宋体"/>
          <w:snapToGrid w:val="0"/>
          <w:kern w:val="0"/>
          <w:szCs w:val="21"/>
          <w:lang w:val="zh-CN"/>
        </w:rPr>
      </w:pPr>
      <w:r>
        <w:rPr>
          <w:rFonts w:hint="eastAsia" w:ascii="宋体" w:hAnsi="宋体" w:cs="宋体"/>
          <w:snapToGrid w:val="0"/>
          <w:kern w:val="0"/>
          <w:szCs w:val="21"/>
          <w:lang w:val="zh-CN"/>
        </w:rPr>
        <w:t>②“▲”号指标必须提供佐证材料（包括但不限于检测报告或产品彩页或带网址链接的官网截图或盖厂家公章的技术参数说明或盖厂家公章功能截图等技术支持性文件</w:t>
      </w:r>
      <w:r>
        <w:rPr>
          <w:rFonts w:hint="eastAsia" w:ascii="宋体" w:hAnsi="宋体" w:cs="宋体"/>
          <w:snapToGrid w:val="0"/>
          <w:kern w:val="0"/>
          <w:szCs w:val="21"/>
          <w:lang w:val="zh-CN" w:eastAsia="zh-CN"/>
        </w:rPr>
        <w:t>，</w:t>
      </w:r>
      <w:r>
        <w:rPr>
          <w:rFonts w:hint="eastAsia" w:ascii="宋体" w:hAnsi="宋体" w:cs="宋体"/>
          <w:snapToGrid w:val="0"/>
          <w:kern w:val="0"/>
          <w:szCs w:val="21"/>
          <w:lang w:val="zh-CN"/>
        </w:rPr>
        <w:t>若有明确的证明材料要求的，以该要求为准。），未提供有效证明材料或证明材料中内容与所填报指标不一致的，该指标按不满足处理。若投标人偏离表中与投标文件所列证明材料内容不一致时，将以证明材料内容为准进行评审。</w:t>
      </w:r>
    </w:p>
    <w:p w14:paraId="0691DBE1">
      <w:pPr>
        <w:jc w:val="both"/>
        <w:rPr>
          <w:rFonts w:hint="eastAsia" w:ascii="宋体" w:hAnsi="宋体" w:cs="宋体"/>
          <w:snapToGrid w:val="0"/>
          <w:kern w:val="0"/>
          <w:szCs w:val="21"/>
          <w:lang w:val="en-US"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051DB"/>
    <w:multiLevelType w:val="singleLevel"/>
    <w:tmpl w:val="68D051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E2DAD"/>
    <w:rsid w:val="024318C6"/>
    <w:rsid w:val="043B7312"/>
    <w:rsid w:val="09620543"/>
    <w:rsid w:val="0A4D4223"/>
    <w:rsid w:val="12775E54"/>
    <w:rsid w:val="147E7E7E"/>
    <w:rsid w:val="163C2E88"/>
    <w:rsid w:val="2076735D"/>
    <w:rsid w:val="22761851"/>
    <w:rsid w:val="26432C6D"/>
    <w:rsid w:val="27921E11"/>
    <w:rsid w:val="2BD04AE6"/>
    <w:rsid w:val="2C574FA9"/>
    <w:rsid w:val="329B4240"/>
    <w:rsid w:val="36C066E4"/>
    <w:rsid w:val="377A101B"/>
    <w:rsid w:val="3B111223"/>
    <w:rsid w:val="40B46715"/>
    <w:rsid w:val="436C79FD"/>
    <w:rsid w:val="45C36283"/>
    <w:rsid w:val="55A1027C"/>
    <w:rsid w:val="58795D80"/>
    <w:rsid w:val="5B2147F9"/>
    <w:rsid w:val="5C1E2DAD"/>
    <w:rsid w:val="5CD7403C"/>
    <w:rsid w:val="63DA0297"/>
    <w:rsid w:val="63E4785C"/>
    <w:rsid w:val="64C34F37"/>
    <w:rsid w:val="670864FC"/>
    <w:rsid w:val="67F463ED"/>
    <w:rsid w:val="71C8627B"/>
    <w:rsid w:val="7307511F"/>
    <w:rsid w:val="73DD0036"/>
    <w:rsid w:val="745E53D7"/>
    <w:rsid w:val="7DB1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jc w:val="left"/>
      <w:outlineLvl w:val="0"/>
    </w:pPr>
    <w:rPr>
      <w:rFonts w:ascii="宋体" w:hAnsi="宋体" w:eastAsia="宋体" w:cs="宋体"/>
      <w:b/>
      <w:bCs/>
      <w:color w:val="000000" w:themeColor="text1"/>
      <w:kern w:val="36"/>
      <w:sz w:val="44"/>
      <w:szCs w:val="60"/>
      <w14:textFill>
        <w14:solidFill>
          <w14:schemeClr w14:val="tx1"/>
        </w14:solidFill>
      </w14:textFill>
    </w:rPr>
  </w:style>
  <w:style w:type="paragraph" w:styleId="4">
    <w:name w:val="heading 2"/>
    <w:basedOn w:val="1"/>
    <w:next w:val="1"/>
    <w:link w:val="12"/>
    <w:semiHidden/>
    <w:unhideWhenUsed/>
    <w:qFormat/>
    <w:uiPriority w:val="0"/>
    <w:pPr>
      <w:keepNext/>
      <w:keepLines/>
      <w:spacing w:beforeLines="0" w:beforeAutospacing="0" w:afterLines="0" w:afterAutospacing="0" w:line="360" w:lineRule="auto"/>
      <w:jc w:val="left"/>
      <w:outlineLvl w:val="1"/>
    </w:pPr>
    <w:rPr>
      <w:rFonts w:ascii="Arial" w:hAnsi="Arial" w:eastAsia="仿宋" w:cs="Times New Roman"/>
      <w:b/>
      <w:sz w:val="30"/>
    </w:rPr>
  </w:style>
  <w:style w:type="paragraph" w:styleId="5">
    <w:name w:val="heading 3"/>
    <w:basedOn w:val="1"/>
    <w:next w:val="1"/>
    <w:link w:val="13"/>
    <w:semiHidden/>
    <w:unhideWhenUsed/>
    <w:qFormat/>
    <w:uiPriority w:val="0"/>
    <w:pPr>
      <w:keepNext/>
      <w:keepLines/>
      <w:spacing w:before="140" w:beforeLines="0" w:beforeAutospacing="0" w:after="140" w:afterLines="0" w:afterAutospacing="0" w:line="240" w:lineRule="auto"/>
      <w:outlineLvl w:val="2"/>
    </w:pPr>
    <w:rPr>
      <w:rFonts w:ascii="Times New Roman" w:hAnsi="Times New Roman" w:eastAsia="仿宋" w:cs="Times New Roman"/>
      <w:b/>
      <w:sz w:val="28"/>
    </w:rPr>
  </w:style>
  <w:style w:type="paragraph" w:styleId="6">
    <w:name w:val="heading 4"/>
    <w:basedOn w:val="1"/>
    <w:next w:val="1"/>
    <w:semiHidden/>
    <w:unhideWhenUsed/>
    <w:qFormat/>
    <w:uiPriority w:val="0"/>
    <w:pPr>
      <w:keepNext/>
      <w:keepLines/>
      <w:spacing w:beforeLines="0" w:afterLines="0" w:line="288" w:lineRule="auto"/>
      <w:outlineLvl w:val="3"/>
    </w:pPr>
    <w:rPr>
      <w:rFonts w:ascii="Arial" w:hAnsi="Arial" w:eastAsia="仿宋"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2 Char"/>
    <w:link w:val="4"/>
    <w:qFormat/>
    <w:locked/>
    <w:uiPriority w:val="0"/>
    <w:rPr>
      <w:rFonts w:ascii="Arial" w:hAnsi="Arial" w:eastAsia="仿宋" w:cs="Times New Roman"/>
      <w:b/>
      <w:sz w:val="30"/>
    </w:rPr>
  </w:style>
  <w:style w:type="character" w:customStyle="1" w:styleId="13">
    <w:name w:val="标题 3 Char"/>
    <w:link w:val="5"/>
    <w:qFormat/>
    <w:uiPriority w:val="0"/>
    <w:rPr>
      <w:rFonts w:ascii="Times New Roman" w:hAnsi="Times New Roman" w:eastAsia="仿宋" w:cs="Times New Roman"/>
      <w:b/>
      <w:sz w:val="28"/>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1465</Words>
  <Characters>1623</Characters>
  <Lines>0</Lines>
  <Paragraphs>0</Paragraphs>
  <TotalTime>17</TotalTime>
  <ScaleCrop>false</ScaleCrop>
  <LinksUpToDate>false</LinksUpToDate>
  <CharactersWithSpaces>1640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2024-12-25T10:52:00Z</dcterms:created>
  <dc:creator>王琦</dc:creator>
  <cp:lastModifiedBy>王琦</cp:lastModifiedBy>
  <dcterms:modified xsi:type="dcterms:W3CDTF">2025-01-22T07:01:36Z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F009B82D8A494E0C98D389EB4BA51615_13</vt:lpwstr>
  </property>
  <property fmtid="{D5CDD505-2E9C-101B-9397-08002B2CF9AE}" pid="4" name="KSOTemplateDocerSaveRecord">
    <vt:lpwstr>eyJoZGlkIjoiMjRjOTVjNWFjYzJkYzk0MDBjNDI4Y2U5MjhhNjU3NDMiLCJ1c2VySWQiOiIzMzkyNTMxMTAifQ==</vt:lpwstr>
  </property>
</Properties>
</file>