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CF0BA">
      <w:pPr>
        <w:tabs>
          <w:tab w:val="left" w:pos="532"/>
        </w:tabs>
        <w:spacing w:line="360" w:lineRule="auto"/>
        <w:jc w:val="center"/>
        <w:rPr>
          <w:rFonts w:hint="eastAsia" w:ascii="仿宋" w:hAnsi="仿宋" w:eastAsia="仿宋" w:cs="仿宋"/>
          <w:b/>
          <w:bCs/>
          <w:sz w:val="28"/>
          <w:szCs w:val="28"/>
        </w:rPr>
      </w:pPr>
      <w:r>
        <w:rPr>
          <w:rFonts w:hint="eastAsia" w:ascii="仿宋" w:hAnsi="仿宋" w:eastAsia="仿宋" w:cs="仿宋"/>
          <w:b/>
          <w:bCs/>
          <w:sz w:val="36"/>
          <w:szCs w:val="36"/>
        </w:rPr>
        <w:t>服务需求</w:t>
      </w:r>
    </w:p>
    <w:p w14:paraId="31817563">
      <w:pPr>
        <w:numPr>
          <w:ilvl w:val="0"/>
          <w:numId w:val="1"/>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信息安全风险评估服务</w:t>
      </w:r>
    </w:p>
    <w:p w14:paraId="3E0BB60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提供信息安全</w:t>
      </w:r>
      <w:bookmarkStart w:id="0" w:name="_GoBack"/>
      <w:bookmarkEnd w:id="0"/>
      <w:r>
        <w:rPr>
          <w:rFonts w:hint="eastAsia" w:ascii="仿宋" w:hAnsi="仿宋" w:eastAsia="仿宋" w:cs="仿宋"/>
          <w:sz w:val="28"/>
          <w:szCs w:val="28"/>
        </w:rPr>
        <w:t>风险评估服务，通过资产评估、威胁分析和脆弱性发现等手段对信息系统的安全风险状况进行掌握和了解，并为后续的安全防护提供依据。具体内容需要包含：资产评估、威胁评估、脆弱性评估、现有安全措施评估、风险计算和分析、风险决策和安全建议等内容。</w:t>
      </w:r>
    </w:p>
    <w:p w14:paraId="69A560DB">
      <w:pPr>
        <w:numPr>
          <w:ilvl w:val="0"/>
          <w:numId w:val="1"/>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机房网络系统评估优化服务</w:t>
      </w:r>
    </w:p>
    <w:p w14:paraId="0230C50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1.按用户要求提供机房网络系统状况巡检，检查并进行评估，对网络架构及系统能力进行优化改进；</w:t>
      </w:r>
    </w:p>
    <w:p w14:paraId="4A597EF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2.定位系统中出现的性能瓶颈或系统漏洞，及时进行检查与维护；</w:t>
      </w:r>
    </w:p>
    <w:p w14:paraId="3F8DC26D">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3.协助用户建立机房网络维护制度方法与维护方案标准；</w:t>
      </w:r>
    </w:p>
    <w:p w14:paraId="34ED0FB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4.建立所有维保设备的系统档案，收集所有设备的信息，辅助故障定位；</w:t>
      </w:r>
    </w:p>
    <w:p w14:paraId="5B54FC76">
      <w:pPr>
        <w:numPr>
          <w:ilvl w:val="0"/>
          <w:numId w:val="1"/>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网络安全培训及安全咨询服务</w:t>
      </w:r>
    </w:p>
    <w:p w14:paraId="3C3F50A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完成本次项目中各项工作所需基本培训以及面向各信息系统管理人员、使用人员的网络安全培训，并对日常安全管理与安全技术方面所产生的问题及时进行解答。</w:t>
      </w:r>
    </w:p>
    <w:p w14:paraId="41E36503">
      <w:pPr>
        <w:numPr>
          <w:ilvl w:val="0"/>
          <w:numId w:val="1"/>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驻场服务</w:t>
      </w:r>
    </w:p>
    <w:p w14:paraId="4554533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提供驻场技术服务人员1人，至少有三年以上相关工作经验的专业工程师。主要工作内容为检修弱电线路；出口设备、安全、交换设备运维；电脑软硬件维护；定时检测互联网服务带宽稳定性和有效性，每月出具检测报告，定期设备与系统巡检。</w:t>
      </w:r>
    </w:p>
    <w:p w14:paraId="70BDCA58">
      <w:pPr>
        <w:numPr>
          <w:ilvl w:val="0"/>
          <w:numId w:val="1"/>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重保服务</w:t>
      </w:r>
    </w:p>
    <w:p w14:paraId="3696AFA0">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提供重要活动（如两会）期间值班保障服务方案、人员保障等。</w:t>
      </w:r>
    </w:p>
    <w:p w14:paraId="39D15DF8">
      <w:pPr>
        <w:numPr>
          <w:ilvl w:val="0"/>
          <w:numId w:val="1"/>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应急预演</w:t>
      </w:r>
    </w:p>
    <w:p w14:paraId="01EFBAC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1.编制或修订《应急处置预案》；</w:t>
      </w:r>
    </w:p>
    <w:p w14:paraId="5406949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2.按照应急处置预案及时响应和处置；</w:t>
      </w:r>
    </w:p>
    <w:p w14:paraId="473E333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3.重大活动、会议、工作检查等特殊时期提供应急保障支持；</w:t>
      </w:r>
    </w:p>
    <w:p w14:paraId="089573F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4.编制《应急处置总结报告》。</w:t>
      </w:r>
    </w:p>
    <w:p w14:paraId="08BCC9C1">
      <w:pPr>
        <w:numPr>
          <w:ilvl w:val="0"/>
          <w:numId w:val="1"/>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质保服务</w:t>
      </w:r>
    </w:p>
    <w:p w14:paraId="1419621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针对本次项目中的硬件设备及软件提供质保服务。</w:t>
      </w:r>
    </w:p>
    <w:p w14:paraId="4B0D244A">
      <w:pPr>
        <w:numPr>
          <w:ilvl w:val="0"/>
          <w:numId w:val="1"/>
        </w:num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基础线路服务</w:t>
      </w:r>
    </w:p>
    <w:p w14:paraId="46DB2FF4">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1.提供150M（含32个IP地址）互联网专线服务业务，用于3个门户网站（省图官网站、联盟官网站、数字资源服务网站）。</w:t>
      </w:r>
    </w:p>
    <w:p w14:paraId="022F1DA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2.提供50M（4个IP地址）互联网专线服务，用于少儿读者服务、无线网络服务、办公业务服务。</w:t>
      </w:r>
    </w:p>
    <w:p w14:paraId="3124608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3.1024M（32个IP地址）互联网专线服务，用于读者服务、信息发布、无线网络服务、办公业务、无线短信认证服务（约15~20万条/年），包年短信费由供应商负责；对专线出口提供网络数据安全防护服务。包括：DDOS攻击防护服务、网站安全、域名安全等安全服务。</w:t>
      </w:r>
    </w:p>
    <w:p w14:paraId="40CA376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 所有线路服务及线路配套IP地址注册信息为陕西省图书馆相关信息。</w:t>
      </w:r>
    </w:p>
    <w:p w14:paraId="39B53ADF">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5.服务质量要求:</w:t>
      </w:r>
    </w:p>
    <w:p w14:paraId="39C0C772">
      <w:pPr>
        <w:numPr>
          <w:ilvl w:val="0"/>
          <w:numId w:val="2"/>
        </w:numPr>
        <w:spacing w:line="360" w:lineRule="auto"/>
        <w:ind w:left="0" w:firstLine="640"/>
        <w:rPr>
          <w:rFonts w:hint="eastAsia" w:ascii="仿宋" w:hAnsi="仿宋" w:eastAsia="仿宋" w:cs="仿宋"/>
          <w:sz w:val="28"/>
          <w:szCs w:val="28"/>
        </w:rPr>
      </w:pPr>
      <w:r>
        <w:rPr>
          <w:rFonts w:hint="eastAsia" w:ascii="仿宋" w:hAnsi="仿宋" w:eastAsia="仿宋" w:cs="仿宋"/>
          <w:sz w:val="28"/>
          <w:szCs w:val="28"/>
        </w:rPr>
        <w:t>互联网出口第三方软件实测速率≥接口理论速率×90%，上行速率≥下行速率×99%。</w:t>
      </w:r>
    </w:p>
    <w:p w14:paraId="46933531">
      <w:pPr>
        <w:numPr>
          <w:ilvl w:val="0"/>
          <w:numId w:val="2"/>
        </w:numPr>
        <w:spacing w:line="360" w:lineRule="auto"/>
        <w:ind w:left="0" w:firstLine="640"/>
        <w:rPr>
          <w:rFonts w:hint="eastAsia" w:ascii="仿宋" w:hAnsi="仿宋" w:eastAsia="仿宋" w:cs="仿宋"/>
          <w:sz w:val="28"/>
          <w:szCs w:val="28"/>
        </w:rPr>
      </w:pPr>
      <w:r>
        <w:rPr>
          <w:rFonts w:hint="eastAsia" w:ascii="仿宋" w:hAnsi="仿宋" w:eastAsia="仿宋" w:cs="仿宋"/>
          <w:sz w:val="28"/>
          <w:szCs w:val="28"/>
        </w:rPr>
        <w:t>全年故障率累计≤4次。</w:t>
      </w:r>
    </w:p>
    <w:p w14:paraId="3AD672E8">
      <w:pPr>
        <w:numPr>
          <w:ilvl w:val="0"/>
          <w:numId w:val="2"/>
        </w:numPr>
        <w:spacing w:line="360" w:lineRule="auto"/>
        <w:ind w:left="0" w:firstLine="640"/>
        <w:rPr>
          <w:rFonts w:hint="eastAsia" w:ascii="仿宋" w:hAnsi="仿宋" w:eastAsia="仿宋" w:cs="仿宋"/>
          <w:sz w:val="28"/>
          <w:szCs w:val="28"/>
        </w:rPr>
      </w:pPr>
      <w:r>
        <w:rPr>
          <w:rFonts w:hint="eastAsia" w:ascii="仿宋" w:hAnsi="仿宋" w:eastAsia="仿宋" w:cs="仿宋"/>
          <w:sz w:val="28"/>
          <w:szCs w:val="28"/>
        </w:rPr>
        <w:t>线路故障恢复时间≤4小时（除去不可抗力）。</w:t>
      </w:r>
    </w:p>
    <w:p w14:paraId="39C8FD1F">
      <w:pPr>
        <w:numPr>
          <w:ilvl w:val="0"/>
          <w:numId w:val="2"/>
        </w:numPr>
        <w:spacing w:line="360" w:lineRule="auto"/>
        <w:ind w:left="0" w:firstLine="640"/>
        <w:rPr>
          <w:rFonts w:hint="eastAsia" w:ascii="仿宋" w:hAnsi="仿宋" w:eastAsia="仿宋" w:cs="仿宋"/>
          <w:sz w:val="28"/>
          <w:szCs w:val="28"/>
        </w:rPr>
      </w:pPr>
      <w:r>
        <w:rPr>
          <w:rFonts w:hint="eastAsia" w:ascii="仿宋" w:hAnsi="仿宋" w:eastAsia="仿宋" w:cs="仿宋"/>
          <w:sz w:val="28"/>
          <w:szCs w:val="28"/>
        </w:rPr>
        <w:t>除国家法定或本省公安厅规定运营商关闭的端口外，不得封禁任何端口，所有IP地址端口由陕西省图书馆自行管理。</w:t>
      </w:r>
    </w:p>
    <w:p w14:paraId="53DE0E60">
      <w:pPr>
        <w:numPr>
          <w:ilvl w:val="0"/>
          <w:numId w:val="2"/>
        </w:numPr>
        <w:spacing w:line="360" w:lineRule="auto"/>
        <w:ind w:left="0" w:firstLine="640"/>
        <w:rPr>
          <w:rFonts w:hint="eastAsia" w:ascii="仿宋" w:hAnsi="仿宋" w:eastAsia="仿宋" w:cs="仿宋"/>
          <w:sz w:val="28"/>
          <w:szCs w:val="28"/>
        </w:rPr>
      </w:pPr>
      <w:r>
        <w:rPr>
          <w:rFonts w:hint="eastAsia" w:ascii="仿宋" w:hAnsi="仿宋" w:eastAsia="仿宋" w:cs="仿宋"/>
          <w:sz w:val="28"/>
          <w:szCs w:val="28"/>
        </w:rPr>
        <w:t>保障采购人现有网络各项运行业务不中断，服务商必须保证施工质量。</w:t>
      </w:r>
    </w:p>
    <w:p w14:paraId="6DAF7E8B">
      <w:pPr>
        <w:numPr>
          <w:ilvl w:val="0"/>
          <w:numId w:val="2"/>
        </w:numPr>
        <w:spacing w:line="360" w:lineRule="auto"/>
        <w:ind w:left="0" w:firstLine="640"/>
        <w:rPr>
          <w:rFonts w:hint="eastAsia" w:ascii="仿宋" w:hAnsi="仿宋" w:eastAsia="仿宋" w:cs="仿宋"/>
          <w:sz w:val="28"/>
          <w:szCs w:val="28"/>
        </w:rPr>
      </w:pPr>
      <w:r>
        <w:rPr>
          <w:rFonts w:hint="eastAsia" w:ascii="仿宋" w:hAnsi="仿宋" w:eastAsia="仿宋" w:cs="仿宋"/>
          <w:sz w:val="28"/>
          <w:szCs w:val="28"/>
        </w:rPr>
        <w:t>服务商向采购人提供光纤接入服务，从运营商机房至陕西省图书馆机房。接入互联网光纤实现高速INTERNET接入。必须保证带宽不稀释、出口无瓶颈，在带宽QoS和时延等方面有良好的保证。网络带宽独立性必须采用独享带宽接入（承诺M数可达），企业独享VIP网络通道，网速不受宽带使用高峰期的影响，网速稳定优质。</w:t>
      </w:r>
    </w:p>
    <w:p w14:paraId="0EBD459E">
      <w:pPr>
        <w:numPr>
          <w:ilvl w:val="0"/>
          <w:numId w:val="2"/>
        </w:numPr>
        <w:spacing w:line="360" w:lineRule="auto"/>
        <w:ind w:left="0" w:firstLine="640"/>
        <w:rPr>
          <w:rFonts w:hint="eastAsia" w:ascii="仿宋" w:hAnsi="仿宋" w:eastAsia="仿宋" w:cs="仿宋"/>
          <w:sz w:val="28"/>
          <w:szCs w:val="28"/>
        </w:rPr>
      </w:pPr>
      <w:r>
        <w:rPr>
          <w:rFonts w:hint="eastAsia" w:ascii="仿宋" w:hAnsi="仿宋" w:eastAsia="仿宋" w:cs="仿宋"/>
          <w:sz w:val="28"/>
          <w:szCs w:val="28"/>
        </w:rPr>
        <w:t>提供VIP级别保障服务，提供7*24小时的故障报修体系；半年提供一次网络运行报告，对采购人半年的网络运行情况做全方位的分析。</w:t>
      </w:r>
    </w:p>
    <w:p w14:paraId="1EB5E1CC">
      <w:pPr>
        <w:rPr>
          <w:rFonts w:hint="eastAsia" w:ascii="仿宋" w:hAnsi="仿宋" w:eastAsia="仿宋" w:cs="仿宋"/>
          <w:sz w:val="28"/>
          <w:szCs w:val="28"/>
        </w:rPr>
      </w:pPr>
      <w:r>
        <w:rPr>
          <w:rFonts w:hint="eastAsia" w:ascii="仿宋" w:hAnsi="仿宋" w:eastAsia="仿宋" w:cs="仿宋"/>
          <w:sz w:val="28"/>
          <w:szCs w:val="28"/>
        </w:rPr>
        <w:t>因更换地址导致的网站内页面IP地址链接失效，由服务商按照新地址修改，由此产生的费用由服务商负责。</w:t>
      </w:r>
    </w:p>
    <w:sectPr>
      <w:pgSz w:w="11910" w:h="16840"/>
      <w:pgMar w:top="1219" w:right="1230" w:bottom="1060" w:left="1020" w:header="878" w:footer="873"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F5B999"/>
    <w:multiLevelType w:val="singleLevel"/>
    <w:tmpl w:val="B0F5B999"/>
    <w:lvl w:ilvl="0" w:tentative="0">
      <w:start w:val="1"/>
      <w:numFmt w:val="decimal"/>
      <w:lvlText w:val="(%1)"/>
      <w:lvlJc w:val="left"/>
      <w:pPr>
        <w:ind w:left="425" w:hanging="425"/>
      </w:pPr>
      <w:rPr>
        <w:rFonts w:hint="default"/>
      </w:rPr>
    </w:lvl>
  </w:abstractNum>
  <w:abstractNum w:abstractNumId="1">
    <w:nsid w:val="6BCF32D5"/>
    <w:multiLevelType w:val="singleLevel"/>
    <w:tmpl w:val="6BCF32D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DE258C"/>
    <w:rsid w:val="08DE258C"/>
    <w:rsid w:val="700E3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2025-01-17T02:51:00Z</dcterms:created>
  <dc:creator>信禾工程项目管理</dc:creator>
  <cp:lastModifiedBy>信禾工程项目管理</cp:lastModifiedBy>
  <dcterms:modified xsi:type="dcterms:W3CDTF">2025-01-17T02:51:34Z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CF05D88CA02442C9BC20EF3F4111195B_11</vt:lpwstr>
  </property>
  <property fmtid="{D5CDD505-2E9C-101B-9397-08002B2CF9AE}" pid="4" name="KSOTemplateDocerSaveRecord">
    <vt:lpwstr>eyJoZGlkIjoiNzhkNTM5ODg4ZDA0MjI5MDA5NDFhZTRjYjdhNTc0MzciLCJ1c2VySWQiOiIyMDM0NDMxIn0=</vt:lpwstr>
  </property>
</Properties>
</file>