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8793D6">
      <w:pPr>
        <w:pStyle w:val="19"/>
        <w:shd w:val="clear"/>
        <w:ind w:left="0" w:leftChars="0" w:right="1680" w:firstLine="236" w:firstLineChars="100"/>
        <w:jc w:val="left"/>
        <w:rPr>
          <w:rFonts w:hint="eastAsia" w:ascii="宋体" w:hAnsi="宋体" w:cs="宋体"/>
          <w:b/>
          <w:bCs/>
          <w:szCs w:val="32"/>
          <w:highlight w:val="none"/>
        </w:rPr>
      </w:pPr>
      <w:r>
        <w:rPr>
          <w:rFonts w:hint="eastAsia" w:ascii="宋体" w:hAnsi="宋体" w:cs="宋体"/>
          <w:szCs w:val="32"/>
          <w:highlight w:val="none"/>
        </w:rPr>
        <w:drawing>
          <wp:inline distT="0" distB="0" distL="114300" distR="114300">
            <wp:extent cx="668655" cy="668655"/>
            <wp:effectExtent l="0" t="0" r="17145" b="17145"/>
            <wp:docPr id="13" name="图片 13" descr="陕西中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陕西中财LOGO"/>
                    <pic:cNvPicPr>
                      <a:picLocks noChangeAspect="1"/>
                    </pic:cNvPicPr>
                  </pic:nvPicPr>
                  <pic:blipFill>
                    <a:blip r:embed="rId10"/>
                    <a:stretch>
                      <a:fillRect/>
                    </a:stretch>
                  </pic:blipFill>
                  <pic:spPr>
                    <a:xfrm>
                      <a:off x="0" y="0"/>
                      <a:ext cx="668655" cy="668655"/>
                    </a:xfrm>
                    <a:prstGeom prst="rect">
                      <a:avLst/>
                    </a:prstGeom>
                  </pic:spPr>
                </pic:pic>
              </a:graphicData>
            </a:graphic>
          </wp:inline>
        </w:drawing>
      </w:r>
      <w:r>
        <w:rPr>
          <w:rFonts w:hint="eastAsia" w:ascii="宋体" w:hAnsi="宋体" w:cs="宋体"/>
          <w:b/>
          <w:bCs/>
          <w:szCs w:val="32"/>
          <w:highlight w:val="none"/>
        </w:rPr>
        <w:t>陕西中财招标</w:t>
      </w:r>
    </w:p>
    <w:p w14:paraId="60A58A4A">
      <w:pPr>
        <w:pStyle w:val="20"/>
        <w:shd w:val="clear"/>
        <w:rPr>
          <w:highlight w:val="none"/>
        </w:rPr>
      </w:pPr>
    </w:p>
    <w:p w14:paraId="1B63B978">
      <w:pPr>
        <w:shd w:val="clear"/>
        <w:spacing w:line="360" w:lineRule="auto"/>
        <w:jc w:val="left"/>
        <w:rPr>
          <w:rFonts w:hint="eastAsia" w:ascii="宋体" w:hAnsi="宋体" w:eastAsia="宋体" w:cs="宋体"/>
          <w:b/>
          <w:sz w:val="84"/>
          <w:szCs w:val="84"/>
          <w:highlight w:val="none"/>
          <w:lang w:eastAsia="zh-CN"/>
        </w:rPr>
      </w:pPr>
      <w:r>
        <w:rPr>
          <w:rFonts w:hint="eastAsia" w:ascii="宋体" w:hAnsi="宋体" w:eastAsia="宋体" w:cs="宋体"/>
          <w:b/>
          <w:sz w:val="32"/>
          <w:szCs w:val="20"/>
          <w:highlight w:val="none"/>
          <w:lang w:bidi="ar"/>
        </w:rPr>
        <w:t>采购项目编号：</w:t>
      </w:r>
      <w:r>
        <w:rPr>
          <w:rFonts w:hint="eastAsia" w:ascii="宋体" w:hAnsi="宋体" w:eastAsia="宋体" w:cs="宋体"/>
          <w:b/>
          <w:sz w:val="32"/>
          <w:szCs w:val="20"/>
          <w:highlight w:val="none"/>
          <w:lang w:eastAsia="zh-CN" w:bidi="ar"/>
        </w:rPr>
        <w:t>SXZC2024-HW-202</w:t>
      </w:r>
    </w:p>
    <w:p w14:paraId="24CC4326">
      <w:pPr>
        <w:bidi w:val="0"/>
        <w:rPr>
          <w:rFonts w:hint="eastAsia"/>
          <w:lang w:eastAsia="zh-CN"/>
        </w:rPr>
      </w:pPr>
    </w:p>
    <w:p w14:paraId="586AB45D">
      <w:pPr>
        <w:bidi w:val="0"/>
        <w:rPr>
          <w:rFonts w:hint="eastAsia"/>
          <w:lang w:eastAsia="zh-CN"/>
        </w:rPr>
      </w:pPr>
    </w:p>
    <w:p w14:paraId="22CE1B5D">
      <w:pPr>
        <w:bidi w:val="0"/>
        <w:rPr>
          <w:rFonts w:hint="eastAsia"/>
          <w:lang w:eastAsia="zh-CN"/>
        </w:rPr>
      </w:pPr>
    </w:p>
    <w:p w14:paraId="6C901269">
      <w:pPr>
        <w:pStyle w:val="63"/>
        <w:widowControl/>
        <w:shd w:val="clear"/>
        <w:jc w:val="center"/>
        <w:rPr>
          <w:rFonts w:hint="default"/>
          <w:color w:val="auto"/>
          <w:highlight w:val="none"/>
        </w:rPr>
      </w:pPr>
      <w:r>
        <w:rPr>
          <w:rFonts w:hint="eastAsia" w:asciiTheme="minorEastAsia" w:hAnsiTheme="minorEastAsia" w:eastAsiaTheme="minorEastAsia" w:cstheme="minorEastAsia"/>
          <w:b/>
          <w:bCs/>
          <w:sz w:val="48"/>
          <w:szCs w:val="48"/>
          <w:highlight w:val="none"/>
          <w:lang w:eastAsia="zh-CN"/>
        </w:rPr>
        <w:t>榆林市市委机关事务服务中心市委机关大院应急柴油发电机组及应急备电货物项目</w:t>
      </w:r>
    </w:p>
    <w:p w14:paraId="36408A8D">
      <w:pPr>
        <w:pStyle w:val="63"/>
        <w:widowControl/>
        <w:shd w:val="clear"/>
        <w:rPr>
          <w:rFonts w:hint="default"/>
          <w:color w:val="auto"/>
          <w:highlight w:val="none"/>
        </w:rPr>
      </w:pPr>
    </w:p>
    <w:p w14:paraId="1CE88BEF">
      <w:pPr>
        <w:pStyle w:val="63"/>
        <w:widowControl/>
        <w:shd w:val="clear"/>
        <w:rPr>
          <w:rFonts w:hint="default"/>
          <w:color w:val="auto"/>
          <w:highlight w:val="none"/>
        </w:rPr>
      </w:pPr>
    </w:p>
    <w:p w14:paraId="222C6B5D">
      <w:pPr>
        <w:shd w:val="clear"/>
        <w:spacing w:line="360" w:lineRule="auto"/>
        <w:jc w:val="center"/>
        <w:rPr>
          <w:rFonts w:ascii="宋体" w:hAnsi="宋体" w:eastAsia="宋体" w:cs="宋体"/>
          <w:sz w:val="32"/>
          <w:szCs w:val="20"/>
          <w:highlight w:val="none"/>
        </w:rPr>
      </w:pPr>
      <w:r>
        <w:rPr>
          <w:rFonts w:hint="eastAsia" w:ascii="宋体" w:hAnsi="宋体" w:eastAsia="宋体" w:cs="宋体"/>
          <w:b/>
          <w:sz w:val="96"/>
          <w:szCs w:val="96"/>
          <w:highlight w:val="none"/>
          <w:lang w:bidi="ar"/>
        </w:rPr>
        <w:t>招 标 文 件</w:t>
      </w:r>
    </w:p>
    <w:p w14:paraId="4E183FA8">
      <w:pPr>
        <w:shd w:val="clear"/>
        <w:rPr>
          <w:highlight w:val="none"/>
        </w:rPr>
      </w:pPr>
    </w:p>
    <w:p w14:paraId="71EDCE0B">
      <w:pPr>
        <w:pStyle w:val="60"/>
        <w:shd w:val="clear"/>
        <w:rPr>
          <w:highlight w:val="none"/>
        </w:rPr>
      </w:pPr>
    </w:p>
    <w:p w14:paraId="69A4D8E7">
      <w:pPr>
        <w:pStyle w:val="16"/>
        <w:widowControl/>
        <w:shd w:val="clear"/>
        <w:rPr>
          <w:highlight w:val="none"/>
        </w:rPr>
      </w:pPr>
    </w:p>
    <w:p w14:paraId="2D5239FA"/>
    <w:p w14:paraId="715AB99C">
      <w:pPr>
        <w:shd w:val="clear"/>
        <w:spacing w:line="1100" w:lineRule="exact"/>
        <w:ind w:firstLine="1205" w:firstLineChars="400"/>
        <w:rPr>
          <w:rFonts w:hint="eastAsia" w:ascii="宋体" w:hAnsi="宋体" w:eastAsia="宋体" w:cs="宋体"/>
          <w:b/>
          <w:sz w:val="30"/>
          <w:szCs w:val="30"/>
          <w:highlight w:val="none"/>
          <w:lang w:eastAsia="zh-CN" w:bidi="ar"/>
        </w:rPr>
      </w:pPr>
      <w:r>
        <w:rPr>
          <w:rFonts w:hint="eastAsia" w:ascii="宋体" w:hAnsi="宋体" w:eastAsia="宋体" w:cs="宋体"/>
          <w:b/>
          <w:sz w:val="30"/>
          <w:szCs w:val="30"/>
          <w:highlight w:val="none"/>
          <w:lang w:bidi="ar"/>
        </w:rPr>
        <w:t>采   购  人：</w:t>
      </w:r>
      <w:r>
        <w:rPr>
          <w:rFonts w:hint="eastAsia" w:ascii="宋体" w:hAnsi="宋体" w:eastAsia="宋体" w:cs="宋体"/>
          <w:b/>
          <w:bCs w:val="0"/>
          <w:sz w:val="30"/>
          <w:szCs w:val="30"/>
          <w:highlight w:val="none"/>
          <w:lang w:eastAsia="zh-CN" w:bidi="ar"/>
        </w:rPr>
        <w:t>榆林市市委机关事务服务中心</w:t>
      </w:r>
    </w:p>
    <w:p w14:paraId="0AA3BD94">
      <w:pPr>
        <w:shd w:val="clear"/>
        <w:spacing w:line="1100" w:lineRule="exact"/>
        <w:ind w:firstLine="1205" w:firstLineChars="400"/>
        <w:rPr>
          <w:highlight w:val="none"/>
        </w:rPr>
      </w:pPr>
      <w:r>
        <w:rPr>
          <w:rFonts w:hint="eastAsia" w:ascii="宋体" w:hAnsi="宋体" w:eastAsia="宋体" w:cs="宋体"/>
          <w:b/>
          <w:sz w:val="30"/>
          <w:szCs w:val="30"/>
          <w:highlight w:val="none"/>
          <w:lang w:bidi="ar"/>
        </w:rPr>
        <w:t>采购代理机构：陕西中财招标代理有限公司</w:t>
      </w:r>
    </w:p>
    <w:p w14:paraId="00540C7D">
      <w:pPr>
        <w:shd w:val="clear"/>
        <w:spacing w:line="1100" w:lineRule="exact"/>
        <w:jc w:val="center"/>
        <w:rPr>
          <w:rFonts w:ascii="宋体" w:hAnsi="宋体" w:eastAsia="宋体" w:cs="宋体"/>
          <w:b/>
          <w:sz w:val="32"/>
          <w:szCs w:val="20"/>
          <w:highlight w:val="none"/>
        </w:rPr>
      </w:pPr>
      <w:r>
        <w:rPr>
          <w:rFonts w:hint="eastAsia" w:ascii="宋体" w:hAnsi="宋体" w:cs="宋体"/>
          <w:b/>
          <w:sz w:val="32"/>
          <w:szCs w:val="32"/>
          <w:highlight w:val="none"/>
        </w:rPr>
        <w:t>二〇二</w:t>
      </w:r>
      <w:r>
        <w:rPr>
          <w:rFonts w:hint="eastAsia" w:ascii="宋体" w:hAnsi="宋体" w:cs="宋体"/>
          <w:b/>
          <w:sz w:val="32"/>
          <w:szCs w:val="32"/>
          <w:highlight w:val="none"/>
          <w:lang w:val="en-US" w:eastAsia="zh-CN"/>
        </w:rPr>
        <w:t>四</w:t>
      </w:r>
      <w:r>
        <w:rPr>
          <w:rFonts w:hint="eastAsia" w:ascii="宋体" w:hAnsi="宋体" w:cs="宋体"/>
          <w:b/>
          <w:sz w:val="32"/>
          <w:szCs w:val="32"/>
          <w:highlight w:val="none"/>
        </w:rPr>
        <w:t>年</w:t>
      </w:r>
      <w:r>
        <w:rPr>
          <w:rFonts w:hint="eastAsia" w:ascii="宋体" w:hAnsi="宋体" w:cs="宋体"/>
          <w:b/>
          <w:sz w:val="32"/>
          <w:szCs w:val="32"/>
          <w:highlight w:val="none"/>
          <w:lang w:val="en-US" w:eastAsia="zh-CN"/>
        </w:rPr>
        <w:t>十二</w:t>
      </w:r>
      <w:r>
        <w:rPr>
          <w:rFonts w:hint="eastAsia" w:ascii="宋体" w:hAnsi="宋体" w:cs="宋体"/>
          <w:b/>
          <w:sz w:val="32"/>
          <w:szCs w:val="32"/>
          <w:highlight w:val="none"/>
        </w:rPr>
        <w:t>月</w:t>
      </w:r>
    </w:p>
    <w:p w14:paraId="0180C03E">
      <w:pPr>
        <w:shd w:val="clear"/>
        <w:spacing w:line="1100" w:lineRule="exact"/>
        <w:rPr>
          <w:rFonts w:ascii="宋体" w:hAnsi="宋体" w:eastAsia="宋体" w:cs="宋体"/>
          <w:b/>
          <w:sz w:val="36"/>
          <w:szCs w:val="36"/>
          <w:highlight w:val="none"/>
          <w:lang w:bidi="ar"/>
        </w:rPr>
        <w:sectPr>
          <w:headerReference r:id="rId3" w:type="default"/>
          <w:footnotePr>
            <w:pos w:val="beneathText"/>
          </w:footnotePr>
          <w:pgSz w:w="11906" w:h="16838"/>
          <w:pgMar w:top="1440" w:right="1800" w:bottom="1440" w:left="1800" w:header="1135" w:footer="1135" w:gutter="0"/>
          <w:cols w:space="425" w:num="1"/>
          <w:docGrid w:type="lines" w:linePitch="312" w:charSpace="0"/>
        </w:sectPr>
      </w:pPr>
    </w:p>
    <w:p w14:paraId="555195F8">
      <w:pPr>
        <w:shd w:val="clear"/>
        <w:jc w:val="center"/>
        <w:rPr>
          <w:rFonts w:ascii="宋体" w:hAnsi="宋体" w:eastAsia="宋体" w:cs="宋体"/>
          <w:b/>
          <w:sz w:val="44"/>
          <w:szCs w:val="44"/>
          <w:highlight w:val="none"/>
        </w:rPr>
      </w:pPr>
      <w:r>
        <w:rPr>
          <w:rFonts w:hint="eastAsia" w:ascii="宋体" w:hAnsi="宋体" w:eastAsia="宋体" w:cs="宋体"/>
          <w:b/>
          <w:sz w:val="44"/>
          <w:szCs w:val="44"/>
          <w:highlight w:val="none"/>
          <w:lang w:bidi="ar"/>
        </w:rPr>
        <w:t>目   录</w:t>
      </w:r>
    </w:p>
    <w:p w14:paraId="2FC2F750">
      <w:pPr>
        <w:pStyle w:val="30"/>
        <w:shd w:val="clear"/>
        <w:tabs>
          <w:tab w:val="right" w:leader="dot" w:pos="8788"/>
        </w:tabs>
        <w:spacing w:line="360" w:lineRule="auto"/>
        <w:rPr>
          <w:rFonts w:asciiTheme="minorEastAsia" w:hAnsiTheme="minorEastAsia" w:eastAsiaTheme="minorEastAsia" w:cstheme="minorEastAsia"/>
          <w:b/>
          <w:bCs/>
          <w:sz w:val="24"/>
          <w:szCs w:val="24"/>
          <w:highlight w:val="none"/>
        </w:rPr>
      </w:pPr>
      <w:bookmarkStart w:id="0" w:name="_Toc20858"/>
      <w:bookmarkStart w:id="1" w:name="_Toc16218"/>
      <w:bookmarkStart w:id="2" w:name="_Toc20652"/>
      <w:bookmarkStart w:id="3" w:name="_Toc19886"/>
      <w:bookmarkStart w:id="4" w:name="_Toc21518"/>
      <w:bookmarkStart w:id="5" w:name="_Toc5293"/>
      <w:bookmarkStart w:id="6" w:name="_Toc389582033"/>
      <w:bookmarkStart w:id="7" w:name="_Toc30152"/>
      <w:bookmarkStart w:id="8" w:name="_Toc403077638"/>
      <w:bookmarkStart w:id="9" w:name="_Toc363474016"/>
      <w:bookmarkStart w:id="10" w:name="_Toc363473971"/>
      <w:r>
        <w:rPr>
          <w:rFonts w:hint="eastAsia" w:asciiTheme="minorEastAsia" w:hAnsiTheme="minorEastAsia" w:eastAsiaTheme="minorEastAsia" w:cstheme="minorEastAsia"/>
          <w:bCs/>
          <w:sz w:val="24"/>
          <w:szCs w:val="24"/>
          <w:highlight w:val="none"/>
        </w:rPr>
        <w:fldChar w:fldCharType="begin"/>
      </w:r>
      <w:r>
        <w:rPr>
          <w:rFonts w:hint="eastAsia" w:asciiTheme="minorEastAsia" w:hAnsiTheme="minorEastAsia" w:eastAsiaTheme="minorEastAsia" w:cstheme="minorEastAsia"/>
          <w:bCs/>
          <w:sz w:val="24"/>
          <w:szCs w:val="24"/>
          <w:highlight w:val="none"/>
        </w:rPr>
        <w:instrText xml:space="preserve">TOC \o "1-3" \h \u </w:instrText>
      </w:r>
      <w:r>
        <w:rPr>
          <w:rFonts w:hint="eastAsia" w:asciiTheme="minorEastAsia" w:hAnsiTheme="minorEastAsia" w:eastAsiaTheme="minorEastAsia" w:cstheme="minorEastAsia"/>
          <w:bCs/>
          <w:sz w:val="24"/>
          <w:szCs w:val="24"/>
          <w:highlight w:val="none"/>
        </w:rPr>
        <w:fldChar w:fldCharType="separate"/>
      </w:r>
      <w:r>
        <w:rPr>
          <w:highlight w:val="none"/>
        </w:rPr>
        <w:fldChar w:fldCharType="begin"/>
      </w:r>
      <w:r>
        <w:rPr>
          <w:highlight w:val="none"/>
        </w:rPr>
        <w:instrText xml:space="preserve"> HYPERLINK \l "_Toc9138" </w:instrText>
      </w:r>
      <w:r>
        <w:rPr>
          <w:highlight w:val="none"/>
        </w:rPr>
        <w:fldChar w:fldCharType="separate"/>
      </w:r>
      <w:r>
        <w:rPr>
          <w:rFonts w:hint="eastAsia" w:asciiTheme="minorEastAsia" w:hAnsiTheme="minorEastAsia" w:eastAsiaTheme="minorEastAsia" w:cstheme="minorEastAsia"/>
          <w:b/>
          <w:bCs/>
          <w:sz w:val="24"/>
          <w:szCs w:val="24"/>
          <w:highlight w:val="none"/>
        </w:rPr>
        <w:t>第一章  招标公告</w:t>
      </w:r>
      <w:r>
        <w:rPr>
          <w:rFonts w:hint="eastAsia" w:asciiTheme="minorEastAsia" w:hAnsiTheme="minorEastAsia" w:eastAsiaTheme="minorEastAsia" w:cstheme="minorEastAsia"/>
          <w:b/>
          <w:bCs/>
          <w:sz w:val="24"/>
          <w:szCs w:val="24"/>
          <w:highlight w:val="none"/>
        </w:rPr>
        <w:tab/>
      </w:r>
      <w:r>
        <w:rPr>
          <w:rFonts w:hint="eastAsia" w:asciiTheme="minorEastAsia" w:hAnsiTheme="minorEastAsia" w:eastAsiaTheme="minorEastAsia" w:cstheme="minorEastAsia"/>
          <w:b/>
          <w:bCs/>
          <w:sz w:val="24"/>
          <w:szCs w:val="24"/>
          <w:highlight w:val="none"/>
        </w:rPr>
        <w:fldChar w:fldCharType="begin"/>
      </w:r>
      <w:r>
        <w:rPr>
          <w:rFonts w:hint="eastAsia" w:asciiTheme="minorEastAsia" w:hAnsiTheme="minorEastAsia" w:eastAsiaTheme="minorEastAsia" w:cstheme="minorEastAsia"/>
          <w:b/>
          <w:bCs/>
          <w:sz w:val="24"/>
          <w:szCs w:val="24"/>
          <w:highlight w:val="none"/>
        </w:rPr>
        <w:instrText xml:space="preserve"> PAGEREF _Toc9138 \h </w:instrText>
      </w:r>
      <w:r>
        <w:rPr>
          <w:rFonts w:hint="eastAsia" w:asciiTheme="minorEastAsia" w:hAnsiTheme="minorEastAsia" w:eastAsiaTheme="minorEastAsia" w:cstheme="minorEastAsia"/>
          <w:b/>
          <w:bCs/>
          <w:sz w:val="24"/>
          <w:szCs w:val="24"/>
          <w:highlight w:val="none"/>
        </w:rPr>
        <w:fldChar w:fldCharType="separate"/>
      </w:r>
      <w:r>
        <w:rPr>
          <w:rFonts w:hint="eastAsia" w:asciiTheme="minorEastAsia" w:hAnsiTheme="minorEastAsia" w:eastAsiaTheme="minorEastAsia" w:cstheme="minorEastAsia"/>
          <w:b/>
          <w:bCs/>
          <w:sz w:val="24"/>
          <w:szCs w:val="24"/>
          <w:highlight w:val="none"/>
        </w:rPr>
        <w:t>3</w:t>
      </w:r>
      <w:r>
        <w:rPr>
          <w:rFonts w:hint="eastAsia" w:asciiTheme="minorEastAsia" w:hAnsiTheme="minorEastAsia" w:eastAsiaTheme="minorEastAsia" w:cstheme="minorEastAsia"/>
          <w:b/>
          <w:bCs/>
          <w:sz w:val="24"/>
          <w:szCs w:val="24"/>
          <w:highlight w:val="none"/>
        </w:rPr>
        <w:fldChar w:fldCharType="end"/>
      </w:r>
      <w:r>
        <w:rPr>
          <w:rFonts w:hint="eastAsia" w:asciiTheme="minorEastAsia" w:hAnsiTheme="minorEastAsia" w:eastAsiaTheme="minorEastAsia" w:cstheme="minorEastAsia"/>
          <w:b/>
          <w:bCs/>
          <w:sz w:val="24"/>
          <w:szCs w:val="24"/>
          <w:highlight w:val="none"/>
        </w:rPr>
        <w:fldChar w:fldCharType="end"/>
      </w:r>
    </w:p>
    <w:p w14:paraId="6A6A84A2">
      <w:pPr>
        <w:pStyle w:val="30"/>
        <w:shd w:val="clear"/>
        <w:tabs>
          <w:tab w:val="right" w:leader="dot" w:pos="8788"/>
        </w:tabs>
        <w:spacing w:line="360" w:lineRule="auto"/>
        <w:rPr>
          <w:rFonts w:asciiTheme="minorEastAsia" w:hAnsiTheme="minorEastAsia" w:eastAsiaTheme="minorEastAsia" w:cstheme="minorEastAsia"/>
          <w:b/>
          <w:bCs/>
          <w:sz w:val="24"/>
          <w:szCs w:val="24"/>
          <w:highlight w:val="none"/>
        </w:rPr>
      </w:pPr>
      <w:r>
        <w:rPr>
          <w:highlight w:val="none"/>
        </w:rPr>
        <w:fldChar w:fldCharType="begin"/>
      </w:r>
      <w:r>
        <w:rPr>
          <w:highlight w:val="none"/>
        </w:rPr>
        <w:instrText xml:space="preserve"> HYPERLINK \l "_Toc12010" </w:instrText>
      </w:r>
      <w:r>
        <w:rPr>
          <w:highlight w:val="none"/>
        </w:rPr>
        <w:fldChar w:fldCharType="separate"/>
      </w:r>
      <w:r>
        <w:rPr>
          <w:rFonts w:hint="eastAsia" w:asciiTheme="minorEastAsia" w:hAnsiTheme="minorEastAsia" w:eastAsiaTheme="minorEastAsia" w:cstheme="minorEastAsia"/>
          <w:b/>
          <w:bCs/>
          <w:sz w:val="24"/>
          <w:szCs w:val="24"/>
          <w:highlight w:val="none"/>
        </w:rPr>
        <w:t>第二章  投标人须知</w:t>
      </w:r>
      <w:r>
        <w:rPr>
          <w:rFonts w:hint="eastAsia" w:asciiTheme="minorEastAsia" w:hAnsiTheme="minorEastAsia" w:eastAsiaTheme="minorEastAsia" w:cstheme="minorEastAsia"/>
          <w:b/>
          <w:bCs/>
          <w:sz w:val="24"/>
          <w:szCs w:val="24"/>
          <w:highlight w:val="none"/>
        </w:rPr>
        <w:tab/>
      </w:r>
      <w:r>
        <w:rPr>
          <w:rFonts w:hint="eastAsia" w:asciiTheme="minorEastAsia" w:hAnsiTheme="minorEastAsia" w:eastAsiaTheme="minorEastAsia" w:cstheme="minorEastAsia"/>
          <w:b/>
          <w:bCs/>
          <w:sz w:val="24"/>
          <w:szCs w:val="24"/>
          <w:highlight w:val="none"/>
        </w:rPr>
        <w:fldChar w:fldCharType="begin"/>
      </w:r>
      <w:r>
        <w:rPr>
          <w:rFonts w:hint="eastAsia" w:asciiTheme="minorEastAsia" w:hAnsiTheme="minorEastAsia" w:eastAsiaTheme="minorEastAsia" w:cstheme="minorEastAsia"/>
          <w:b/>
          <w:bCs/>
          <w:sz w:val="24"/>
          <w:szCs w:val="24"/>
          <w:highlight w:val="none"/>
        </w:rPr>
        <w:instrText xml:space="preserve"> PAGEREF _Toc12010 \h </w:instrText>
      </w:r>
      <w:r>
        <w:rPr>
          <w:rFonts w:hint="eastAsia" w:asciiTheme="minorEastAsia" w:hAnsiTheme="minorEastAsia" w:eastAsiaTheme="minorEastAsia" w:cstheme="minorEastAsia"/>
          <w:b/>
          <w:bCs/>
          <w:sz w:val="24"/>
          <w:szCs w:val="24"/>
          <w:highlight w:val="none"/>
        </w:rPr>
        <w:fldChar w:fldCharType="separate"/>
      </w:r>
      <w:r>
        <w:rPr>
          <w:rFonts w:hint="eastAsia" w:asciiTheme="minorEastAsia" w:hAnsiTheme="minorEastAsia" w:eastAsiaTheme="minorEastAsia" w:cstheme="minorEastAsia"/>
          <w:b/>
          <w:bCs/>
          <w:sz w:val="24"/>
          <w:szCs w:val="24"/>
          <w:highlight w:val="none"/>
        </w:rPr>
        <w:t>8</w:t>
      </w:r>
      <w:r>
        <w:rPr>
          <w:rFonts w:hint="eastAsia" w:asciiTheme="minorEastAsia" w:hAnsiTheme="minorEastAsia" w:eastAsiaTheme="minorEastAsia" w:cstheme="minorEastAsia"/>
          <w:b/>
          <w:bCs/>
          <w:sz w:val="24"/>
          <w:szCs w:val="24"/>
          <w:highlight w:val="none"/>
        </w:rPr>
        <w:fldChar w:fldCharType="end"/>
      </w:r>
      <w:r>
        <w:rPr>
          <w:rFonts w:hint="eastAsia" w:asciiTheme="minorEastAsia" w:hAnsiTheme="minorEastAsia" w:eastAsiaTheme="minorEastAsia" w:cstheme="minorEastAsia"/>
          <w:b/>
          <w:bCs/>
          <w:sz w:val="24"/>
          <w:szCs w:val="24"/>
          <w:highlight w:val="none"/>
        </w:rPr>
        <w:fldChar w:fldCharType="end"/>
      </w:r>
    </w:p>
    <w:p w14:paraId="6CC3C454">
      <w:pPr>
        <w:pStyle w:val="34"/>
        <w:shd w:val="clear"/>
        <w:tabs>
          <w:tab w:val="right" w:leader="dot" w:pos="8788"/>
        </w:tabs>
        <w:spacing w:line="360" w:lineRule="auto"/>
        <w:rPr>
          <w:rFonts w:asciiTheme="minorEastAsia" w:hAnsiTheme="minorEastAsia" w:eastAsiaTheme="minorEastAsia" w:cstheme="minorEastAsia"/>
          <w:sz w:val="24"/>
          <w:szCs w:val="24"/>
          <w:highlight w:val="none"/>
        </w:rPr>
      </w:pPr>
      <w:r>
        <w:rPr>
          <w:highlight w:val="none"/>
        </w:rPr>
        <w:fldChar w:fldCharType="begin"/>
      </w:r>
      <w:r>
        <w:rPr>
          <w:highlight w:val="none"/>
        </w:rPr>
        <w:instrText xml:space="preserve"> HYPERLINK \l "_Toc26088" </w:instrText>
      </w:r>
      <w:r>
        <w:rPr>
          <w:highlight w:val="none"/>
        </w:rPr>
        <w:fldChar w:fldCharType="separate"/>
      </w:r>
      <w:r>
        <w:rPr>
          <w:rFonts w:hint="eastAsia" w:asciiTheme="minorEastAsia" w:hAnsiTheme="minorEastAsia" w:eastAsiaTheme="minorEastAsia" w:cstheme="minorEastAsia"/>
          <w:sz w:val="24"/>
          <w:szCs w:val="24"/>
          <w:highlight w:val="none"/>
        </w:rPr>
        <w:t>投标人须知前附表</w:t>
      </w:r>
      <w:r>
        <w:rPr>
          <w:rFonts w:hint="eastAsia" w:asciiTheme="minorEastAsia" w:hAnsiTheme="minorEastAsia" w:eastAsiaTheme="minorEastAsia" w:cstheme="minorEastAsia"/>
          <w:sz w:val="24"/>
          <w:szCs w:val="24"/>
          <w:highlight w:val="none"/>
        </w:rPr>
        <w:tab/>
      </w:r>
      <w:r>
        <w:rPr>
          <w:rFonts w:hint="eastAsia" w:asciiTheme="minorEastAsia" w:hAnsiTheme="minorEastAsia" w:eastAsiaTheme="minorEastAsia" w:cstheme="minorEastAsia"/>
          <w:sz w:val="24"/>
          <w:szCs w:val="24"/>
          <w:highlight w:val="none"/>
        </w:rPr>
        <w:fldChar w:fldCharType="begin"/>
      </w:r>
      <w:r>
        <w:rPr>
          <w:rFonts w:hint="eastAsia" w:asciiTheme="minorEastAsia" w:hAnsiTheme="minorEastAsia" w:eastAsiaTheme="minorEastAsia" w:cstheme="minorEastAsia"/>
          <w:sz w:val="24"/>
          <w:szCs w:val="24"/>
          <w:highlight w:val="none"/>
        </w:rPr>
        <w:instrText xml:space="preserve"> PAGEREF _Toc26088 \h </w:instrText>
      </w:r>
      <w:r>
        <w:rPr>
          <w:rFonts w:hint="eastAsia" w:asciiTheme="minorEastAsia" w:hAnsiTheme="minorEastAsia" w:eastAsiaTheme="minorEastAsia" w:cstheme="minorEastAsia"/>
          <w:sz w:val="24"/>
          <w:szCs w:val="24"/>
          <w:highlight w:val="none"/>
        </w:rPr>
        <w:fldChar w:fldCharType="separate"/>
      </w:r>
      <w:r>
        <w:rPr>
          <w:rFonts w:hint="eastAsia" w:asciiTheme="minorEastAsia" w:hAnsiTheme="minorEastAsia" w:eastAsiaTheme="minorEastAsia" w:cstheme="minorEastAsia"/>
          <w:sz w:val="24"/>
          <w:szCs w:val="24"/>
          <w:highlight w:val="none"/>
        </w:rPr>
        <w:t>8</w:t>
      </w:r>
      <w:r>
        <w:rPr>
          <w:rFonts w:hint="eastAsia" w:asciiTheme="minorEastAsia" w:hAnsiTheme="minorEastAsia" w:eastAsiaTheme="minorEastAsia" w:cstheme="minorEastAsia"/>
          <w:sz w:val="24"/>
          <w:szCs w:val="24"/>
          <w:highlight w:val="none"/>
        </w:rPr>
        <w:fldChar w:fldCharType="end"/>
      </w:r>
      <w:r>
        <w:rPr>
          <w:rFonts w:hint="eastAsia" w:asciiTheme="minorEastAsia" w:hAnsiTheme="minorEastAsia" w:eastAsiaTheme="minorEastAsia" w:cstheme="minorEastAsia"/>
          <w:sz w:val="24"/>
          <w:szCs w:val="24"/>
          <w:highlight w:val="none"/>
        </w:rPr>
        <w:fldChar w:fldCharType="end"/>
      </w:r>
    </w:p>
    <w:p w14:paraId="0BCDA866">
      <w:pPr>
        <w:pStyle w:val="30"/>
        <w:shd w:val="clear"/>
        <w:tabs>
          <w:tab w:val="right" w:leader="dot" w:pos="8788"/>
        </w:tabs>
        <w:spacing w:line="360" w:lineRule="auto"/>
        <w:rPr>
          <w:rFonts w:asciiTheme="minorEastAsia" w:hAnsiTheme="minorEastAsia" w:eastAsiaTheme="minorEastAsia" w:cstheme="minorEastAsia"/>
          <w:b/>
          <w:bCs/>
          <w:sz w:val="24"/>
          <w:szCs w:val="24"/>
          <w:highlight w:val="none"/>
        </w:rPr>
      </w:pPr>
      <w:r>
        <w:rPr>
          <w:highlight w:val="none"/>
        </w:rPr>
        <w:fldChar w:fldCharType="begin"/>
      </w:r>
      <w:r>
        <w:rPr>
          <w:highlight w:val="none"/>
        </w:rPr>
        <w:instrText xml:space="preserve"> HYPERLINK \l "_Toc6830" </w:instrText>
      </w:r>
      <w:r>
        <w:rPr>
          <w:highlight w:val="none"/>
        </w:rPr>
        <w:fldChar w:fldCharType="separate"/>
      </w:r>
      <w:r>
        <w:rPr>
          <w:rFonts w:hint="eastAsia" w:asciiTheme="minorEastAsia" w:hAnsiTheme="minorEastAsia" w:eastAsiaTheme="minorEastAsia" w:cstheme="minorEastAsia"/>
          <w:b/>
          <w:bCs/>
          <w:sz w:val="24"/>
          <w:szCs w:val="24"/>
          <w:highlight w:val="none"/>
        </w:rPr>
        <w:t>第三章 商务要求</w:t>
      </w:r>
      <w:r>
        <w:rPr>
          <w:rFonts w:hint="eastAsia" w:asciiTheme="minorEastAsia" w:hAnsiTheme="minorEastAsia" w:eastAsiaTheme="minorEastAsia" w:cstheme="minorEastAsia"/>
          <w:b/>
          <w:bCs/>
          <w:sz w:val="24"/>
          <w:szCs w:val="24"/>
          <w:highlight w:val="none"/>
        </w:rPr>
        <w:tab/>
      </w:r>
      <w:r>
        <w:rPr>
          <w:rFonts w:hint="eastAsia" w:asciiTheme="minorEastAsia" w:hAnsiTheme="minorEastAsia" w:eastAsiaTheme="minorEastAsia" w:cstheme="minorEastAsia"/>
          <w:b/>
          <w:bCs/>
          <w:sz w:val="24"/>
          <w:szCs w:val="24"/>
          <w:highlight w:val="none"/>
        </w:rPr>
        <w:fldChar w:fldCharType="begin"/>
      </w:r>
      <w:r>
        <w:rPr>
          <w:rFonts w:hint="eastAsia" w:asciiTheme="minorEastAsia" w:hAnsiTheme="minorEastAsia" w:eastAsiaTheme="minorEastAsia" w:cstheme="minorEastAsia"/>
          <w:b/>
          <w:bCs/>
          <w:sz w:val="24"/>
          <w:szCs w:val="24"/>
          <w:highlight w:val="none"/>
        </w:rPr>
        <w:instrText xml:space="preserve"> PAGEREF _Toc6830 \h </w:instrText>
      </w:r>
      <w:r>
        <w:rPr>
          <w:rFonts w:hint="eastAsia" w:asciiTheme="minorEastAsia" w:hAnsiTheme="minorEastAsia" w:eastAsiaTheme="minorEastAsia" w:cstheme="minorEastAsia"/>
          <w:b/>
          <w:bCs/>
          <w:sz w:val="24"/>
          <w:szCs w:val="24"/>
          <w:highlight w:val="none"/>
        </w:rPr>
        <w:fldChar w:fldCharType="separate"/>
      </w:r>
      <w:r>
        <w:rPr>
          <w:rFonts w:hint="eastAsia" w:asciiTheme="minorEastAsia" w:hAnsiTheme="minorEastAsia" w:eastAsiaTheme="minorEastAsia" w:cstheme="minorEastAsia"/>
          <w:b/>
          <w:bCs/>
          <w:sz w:val="24"/>
          <w:szCs w:val="24"/>
          <w:highlight w:val="none"/>
        </w:rPr>
        <w:t>31</w:t>
      </w:r>
      <w:r>
        <w:rPr>
          <w:rFonts w:hint="eastAsia" w:asciiTheme="minorEastAsia" w:hAnsiTheme="minorEastAsia" w:eastAsiaTheme="minorEastAsia" w:cstheme="minorEastAsia"/>
          <w:b/>
          <w:bCs/>
          <w:sz w:val="24"/>
          <w:szCs w:val="24"/>
          <w:highlight w:val="none"/>
        </w:rPr>
        <w:fldChar w:fldCharType="end"/>
      </w:r>
      <w:r>
        <w:rPr>
          <w:rFonts w:hint="eastAsia" w:asciiTheme="minorEastAsia" w:hAnsiTheme="minorEastAsia" w:eastAsiaTheme="minorEastAsia" w:cstheme="minorEastAsia"/>
          <w:b/>
          <w:bCs/>
          <w:sz w:val="24"/>
          <w:szCs w:val="24"/>
          <w:highlight w:val="none"/>
        </w:rPr>
        <w:fldChar w:fldCharType="end"/>
      </w:r>
    </w:p>
    <w:p w14:paraId="6E25E045">
      <w:pPr>
        <w:pStyle w:val="30"/>
        <w:shd w:val="clear"/>
        <w:tabs>
          <w:tab w:val="right" w:leader="dot" w:pos="8788"/>
        </w:tabs>
        <w:spacing w:line="360" w:lineRule="auto"/>
        <w:rPr>
          <w:rFonts w:asciiTheme="minorEastAsia" w:hAnsiTheme="minorEastAsia" w:eastAsiaTheme="minorEastAsia" w:cstheme="minorEastAsia"/>
          <w:b/>
          <w:bCs/>
          <w:sz w:val="24"/>
          <w:szCs w:val="24"/>
          <w:highlight w:val="none"/>
        </w:rPr>
      </w:pPr>
      <w:r>
        <w:rPr>
          <w:highlight w:val="none"/>
        </w:rPr>
        <w:fldChar w:fldCharType="begin"/>
      </w:r>
      <w:r>
        <w:rPr>
          <w:highlight w:val="none"/>
        </w:rPr>
        <w:instrText xml:space="preserve"> HYPERLINK \l "_Toc1034" </w:instrText>
      </w:r>
      <w:r>
        <w:rPr>
          <w:highlight w:val="none"/>
        </w:rPr>
        <w:fldChar w:fldCharType="separate"/>
      </w:r>
      <w:r>
        <w:rPr>
          <w:rFonts w:hint="eastAsia" w:asciiTheme="minorEastAsia" w:hAnsiTheme="minorEastAsia" w:eastAsiaTheme="minorEastAsia" w:cstheme="minorEastAsia"/>
          <w:b/>
          <w:bCs/>
          <w:sz w:val="24"/>
          <w:szCs w:val="24"/>
          <w:highlight w:val="none"/>
        </w:rPr>
        <w:t>第四章 合同条款</w:t>
      </w:r>
      <w:r>
        <w:rPr>
          <w:rFonts w:hint="eastAsia" w:asciiTheme="minorEastAsia" w:hAnsiTheme="minorEastAsia" w:eastAsiaTheme="minorEastAsia" w:cstheme="minorEastAsia"/>
          <w:b/>
          <w:bCs/>
          <w:sz w:val="24"/>
          <w:szCs w:val="24"/>
          <w:highlight w:val="none"/>
        </w:rPr>
        <w:tab/>
      </w:r>
      <w:r>
        <w:rPr>
          <w:rFonts w:hint="eastAsia" w:asciiTheme="minorEastAsia" w:hAnsiTheme="minorEastAsia" w:eastAsiaTheme="minorEastAsia" w:cstheme="minorEastAsia"/>
          <w:b/>
          <w:bCs/>
          <w:sz w:val="24"/>
          <w:szCs w:val="24"/>
          <w:highlight w:val="none"/>
        </w:rPr>
        <w:fldChar w:fldCharType="begin"/>
      </w:r>
      <w:r>
        <w:rPr>
          <w:rFonts w:hint="eastAsia" w:asciiTheme="minorEastAsia" w:hAnsiTheme="minorEastAsia" w:eastAsiaTheme="minorEastAsia" w:cstheme="minorEastAsia"/>
          <w:b/>
          <w:bCs/>
          <w:sz w:val="24"/>
          <w:szCs w:val="24"/>
          <w:highlight w:val="none"/>
        </w:rPr>
        <w:instrText xml:space="preserve"> PAGEREF _Toc1034 \h </w:instrText>
      </w:r>
      <w:r>
        <w:rPr>
          <w:rFonts w:hint="eastAsia" w:asciiTheme="minorEastAsia" w:hAnsiTheme="minorEastAsia" w:eastAsiaTheme="minorEastAsia" w:cstheme="minorEastAsia"/>
          <w:b/>
          <w:bCs/>
          <w:sz w:val="24"/>
          <w:szCs w:val="24"/>
          <w:highlight w:val="none"/>
        </w:rPr>
        <w:fldChar w:fldCharType="separate"/>
      </w:r>
      <w:r>
        <w:rPr>
          <w:rFonts w:hint="eastAsia" w:asciiTheme="minorEastAsia" w:hAnsiTheme="minorEastAsia" w:eastAsiaTheme="minorEastAsia" w:cstheme="minorEastAsia"/>
          <w:b/>
          <w:bCs/>
          <w:sz w:val="24"/>
          <w:szCs w:val="24"/>
          <w:highlight w:val="none"/>
        </w:rPr>
        <w:t>34</w:t>
      </w:r>
      <w:r>
        <w:rPr>
          <w:rFonts w:hint="eastAsia" w:asciiTheme="minorEastAsia" w:hAnsiTheme="minorEastAsia" w:eastAsiaTheme="minorEastAsia" w:cstheme="minorEastAsia"/>
          <w:b/>
          <w:bCs/>
          <w:sz w:val="24"/>
          <w:szCs w:val="24"/>
          <w:highlight w:val="none"/>
        </w:rPr>
        <w:fldChar w:fldCharType="end"/>
      </w:r>
      <w:r>
        <w:rPr>
          <w:rFonts w:hint="eastAsia" w:asciiTheme="minorEastAsia" w:hAnsiTheme="minorEastAsia" w:eastAsiaTheme="minorEastAsia" w:cstheme="minorEastAsia"/>
          <w:b/>
          <w:bCs/>
          <w:sz w:val="24"/>
          <w:szCs w:val="24"/>
          <w:highlight w:val="none"/>
        </w:rPr>
        <w:fldChar w:fldCharType="end"/>
      </w:r>
    </w:p>
    <w:p w14:paraId="7AC3F423">
      <w:pPr>
        <w:pStyle w:val="30"/>
        <w:shd w:val="clear"/>
        <w:tabs>
          <w:tab w:val="right" w:leader="dot" w:pos="8788"/>
        </w:tabs>
        <w:spacing w:line="360" w:lineRule="auto"/>
        <w:rPr>
          <w:rFonts w:asciiTheme="minorEastAsia" w:hAnsiTheme="minorEastAsia" w:eastAsiaTheme="minorEastAsia" w:cstheme="minorEastAsia"/>
          <w:b/>
          <w:bCs/>
          <w:sz w:val="24"/>
          <w:szCs w:val="24"/>
          <w:highlight w:val="none"/>
        </w:rPr>
      </w:pPr>
      <w:r>
        <w:rPr>
          <w:highlight w:val="none"/>
        </w:rPr>
        <w:fldChar w:fldCharType="begin"/>
      </w:r>
      <w:r>
        <w:rPr>
          <w:highlight w:val="none"/>
        </w:rPr>
        <w:instrText xml:space="preserve"> HYPERLINK \l "_Toc12826" </w:instrText>
      </w:r>
      <w:r>
        <w:rPr>
          <w:highlight w:val="none"/>
        </w:rPr>
        <w:fldChar w:fldCharType="separate"/>
      </w:r>
      <w:r>
        <w:rPr>
          <w:rFonts w:hint="eastAsia" w:asciiTheme="minorEastAsia" w:hAnsiTheme="minorEastAsia" w:eastAsiaTheme="minorEastAsia" w:cstheme="minorEastAsia"/>
          <w:b/>
          <w:bCs/>
          <w:sz w:val="24"/>
          <w:szCs w:val="24"/>
          <w:highlight w:val="none"/>
        </w:rPr>
        <w:t>第五章 采购内容及技术要求</w:t>
      </w:r>
      <w:r>
        <w:rPr>
          <w:rFonts w:hint="eastAsia" w:asciiTheme="minorEastAsia" w:hAnsiTheme="minorEastAsia" w:eastAsiaTheme="minorEastAsia" w:cstheme="minorEastAsia"/>
          <w:b/>
          <w:bCs/>
          <w:sz w:val="24"/>
          <w:szCs w:val="24"/>
          <w:highlight w:val="none"/>
        </w:rPr>
        <w:tab/>
      </w:r>
      <w:r>
        <w:rPr>
          <w:rFonts w:hint="eastAsia" w:asciiTheme="minorEastAsia" w:hAnsiTheme="minorEastAsia" w:eastAsiaTheme="minorEastAsia" w:cstheme="minorEastAsia"/>
          <w:b/>
          <w:bCs/>
          <w:sz w:val="24"/>
          <w:szCs w:val="24"/>
          <w:highlight w:val="none"/>
        </w:rPr>
        <w:fldChar w:fldCharType="begin"/>
      </w:r>
      <w:r>
        <w:rPr>
          <w:rFonts w:hint="eastAsia" w:asciiTheme="minorEastAsia" w:hAnsiTheme="minorEastAsia" w:eastAsiaTheme="minorEastAsia" w:cstheme="minorEastAsia"/>
          <w:b/>
          <w:bCs/>
          <w:sz w:val="24"/>
          <w:szCs w:val="24"/>
          <w:highlight w:val="none"/>
        </w:rPr>
        <w:instrText xml:space="preserve"> PAGEREF _Toc12826 \h </w:instrText>
      </w:r>
      <w:r>
        <w:rPr>
          <w:rFonts w:hint="eastAsia" w:asciiTheme="minorEastAsia" w:hAnsiTheme="minorEastAsia" w:eastAsiaTheme="minorEastAsia" w:cstheme="minorEastAsia"/>
          <w:b/>
          <w:bCs/>
          <w:sz w:val="24"/>
          <w:szCs w:val="24"/>
          <w:highlight w:val="none"/>
        </w:rPr>
        <w:fldChar w:fldCharType="separate"/>
      </w:r>
      <w:r>
        <w:rPr>
          <w:rFonts w:hint="eastAsia" w:asciiTheme="minorEastAsia" w:hAnsiTheme="minorEastAsia" w:eastAsiaTheme="minorEastAsia" w:cstheme="minorEastAsia"/>
          <w:b/>
          <w:bCs/>
          <w:sz w:val="24"/>
          <w:szCs w:val="24"/>
          <w:highlight w:val="none"/>
        </w:rPr>
        <w:t>43</w:t>
      </w:r>
      <w:r>
        <w:rPr>
          <w:rFonts w:hint="eastAsia" w:asciiTheme="minorEastAsia" w:hAnsiTheme="minorEastAsia" w:eastAsiaTheme="minorEastAsia" w:cstheme="minorEastAsia"/>
          <w:b/>
          <w:bCs/>
          <w:sz w:val="24"/>
          <w:szCs w:val="24"/>
          <w:highlight w:val="none"/>
        </w:rPr>
        <w:fldChar w:fldCharType="end"/>
      </w:r>
      <w:r>
        <w:rPr>
          <w:rFonts w:hint="eastAsia" w:asciiTheme="minorEastAsia" w:hAnsiTheme="minorEastAsia" w:eastAsiaTheme="minorEastAsia" w:cstheme="minorEastAsia"/>
          <w:b/>
          <w:bCs/>
          <w:sz w:val="24"/>
          <w:szCs w:val="24"/>
          <w:highlight w:val="none"/>
        </w:rPr>
        <w:fldChar w:fldCharType="end"/>
      </w:r>
    </w:p>
    <w:p w14:paraId="746BB1CA">
      <w:pPr>
        <w:pStyle w:val="30"/>
        <w:shd w:val="clear"/>
        <w:tabs>
          <w:tab w:val="right" w:leader="dot" w:pos="8788"/>
        </w:tabs>
        <w:spacing w:line="360" w:lineRule="auto"/>
        <w:rPr>
          <w:rFonts w:asciiTheme="minorEastAsia" w:hAnsiTheme="minorEastAsia" w:eastAsiaTheme="minorEastAsia" w:cstheme="minorEastAsia"/>
          <w:b/>
          <w:bCs/>
          <w:sz w:val="24"/>
          <w:szCs w:val="24"/>
          <w:highlight w:val="none"/>
        </w:rPr>
      </w:pPr>
      <w:r>
        <w:rPr>
          <w:highlight w:val="none"/>
        </w:rPr>
        <w:fldChar w:fldCharType="begin"/>
      </w:r>
      <w:r>
        <w:rPr>
          <w:highlight w:val="none"/>
        </w:rPr>
        <w:instrText xml:space="preserve"> HYPERLINK \l "_Toc9709" </w:instrText>
      </w:r>
      <w:r>
        <w:rPr>
          <w:highlight w:val="none"/>
        </w:rPr>
        <w:fldChar w:fldCharType="separate"/>
      </w:r>
      <w:r>
        <w:rPr>
          <w:rFonts w:hint="eastAsia" w:asciiTheme="minorEastAsia" w:hAnsiTheme="minorEastAsia" w:eastAsiaTheme="minorEastAsia" w:cstheme="minorEastAsia"/>
          <w:b/>
          <w:bCs/>
          <w:sz w:val="24"/>
          <w:szCs w:val="24"/>
          <w:highlight w:val="none"/>
        </w:rPr>
        <w:t>第六章 评标方法</w:t>
      </w:r>
      <w:r>
        <w:rPr>
          <w:rFonts w:hint="eastAsia" w:asciiTheme="minorEastAsia" w:hAnsiTheme="minorEastAsia" w:eastAsiaTheme="minorEastAsia" w:cstheme="minorEastAsia"/>
          <w:b/>
          <w:bCs/>
          <w:sz w:val="24"/>
          <w:szCs w:val="24"/>
          <w:highlight w:val="none"/>
        </w:rPr>
        <w:tab/>
      </w:r>
      <w:r>
        <w:rPr>
          <w:rFonts w:hint="eastAsia" w:asciiTheme="minorEastAsia" w:hAnsiTheme="minorEastAsia" w:eastAsiaTheme="minorEastAsia" w:cstheme="minorEastAsia"/>
          <w:b/>
          <w:bCs/>
          <w:sz w:val="24"/>
          <w:szCs w:val="24"/>
          <w:highlight w:val="none"/>
        </w:rPr>
        <w:fldChar w:fldCharType="begin"/>
      </w:r>
      <w:r>
        <w:rPr>
          <w:rFonts w:hint="eastAsia" w:asciiTheme="minorEastAsia" w:hAnsiTheme="minorEastAsia" w:eastAsiaTheme="minorEastAsia" w:cstheme="minorEastAsia"/>
          <w:b/>
          <w:bCs/>
          <w:sz w:val="24"/>
          <w:szCs w:val="24"/>
          <w:highlight w:val="none"/>
        </w:rPr>
        <w:instrText xml:space="preserve"> PAGEREF _Toc9709 \h </w:instrText>
      </w:r>
      <w:r>
        <w:rPr>
          <w:rFonts w:hint="eastAsia" w:asciiTheme="minorEastAsia" w:hAnsiTheme="minorEastAsia" w:eastAsiaTheme="minorEastAsia" w:cstheme="minorEastAsia"/>
          <w:b/>
          <w:bCs/>
          <w:sz w:val="24"/>
          <w:szCs w:val="24"/>
          <w:highlight w:val="none"/>
        </w:rPr>
        <w:fldChar w:fldCharType="separate"/>
      </w:r>
      <w:r>
        <w:rPr>
          <w:rFonts w:hint="eastAsia" w:asciiTheme="minorEastAsia" w:hAnsiTheme="minorEastAsia" w:eastAsiaTheme="minorEastAsia" w:cstheme="minorEastAsia"/>
          <w:b/>
          <w:bCs/>
          <w:sz w:val="24"/>
          <w:szCs w:val="24"/>
          <w:highlight w:val="none"/>
        </w:rPr>
        <w:t>80</w:t>
      </w:r>
      <w:r>
        <w:rPr>
          <w:rFonts w:hint="eastAsia" w:asciiTheme="minorEastAsia" w:hAnsiTheme="minorEastAsia" w:eastAsiaTheme="minorEastAsia" w:cstheme="minorEastAsia"/>
          <w:b/>
          <w:bCs/>
          <w:sz w:val="24"/>
          <w:szCs w:val="24"/>
          <w:highlight w:val="none"/>
        </w:rPr>
        <w:fldChar w:fldCharType="end"/>
      </w:r>
      <w:r>
        <w:rPr>
          <w:rFonts w:hint="eastAsia" w:asciiTheme="minorEastAsia" w:hAnsiTheme="minorEastAsia" w:eastAsiaTheme="minorEastAsia" w:cstheme="minorEastAsia"/>
          <w:b/>
          <w:bCs/>
          <w:sz w:val="24"/>
          <w:szCs w:val="24"/>
          <w:highlight w:val="none"/>
        </w:rPr>
        <w:fldChar w:fldCharType="end"/>
      </w:r>
    </w:p>
    <w:p w14:paraId="4C726BA7">
      <w:pPr>
        <w:pStyle w:val="30"/>
        <w:shd w:val="clear"/>
        <w:tabs>
          <w:tab w:val="right" w:leader="dot" w:pos="8788"/>
        </w:tabs>
        <w:spacing w:line="360" w:lineRule="auto"/>
        <w:rPr>
          <w:rFonts w:asciiTheme="minorEastAsia" w:hAnsiTheme="minorEastAsia" w:eastAsiaTheme="minorEastAsia" w:cstheme="minorEastAsia"/>
          <w:b/>
          <w:bCs/>
          <w:sz w:val="24"/>
          <w:szCs w:val="24"/>
          <w:highlight w:val="none"/>
        </w:rPr>
      </w:pPr>
      <w:r>
        <w:rPr>
          <w:highlight w:val="none"/>
        </w:rPr>
        <w:fldChar w:fldCharType="begin"/>
      </w:r>
      <w:r>
        <w:rPr>
          <w:highlight w:val="none"/>
        </w:rPr>
        <w:instrText xml:space="preserve"> HYPERLINK \l "_Toc23323" </w:instrText>
      </w:r>
      <w:r>
        <w:rPr>
          <w:highlight w:val="none"/>
        </w:rPr>
        <w:fldChar w:fldCharType="separate"/>
      </w:r>
      <w:r>
        <w:rPr>
          <w:rFonts w:hint="eastAsia" w:asciiTheme="minorEastAsia" w:hAnsiTheme="minorEastAsia" w:eastAsiaTheme="minorEastAsia" w:cstheme="minorEastAsia"/>
          <w:b/>
          <w:bCs/>
          <w:sz w:val="24"/>
          <w:szCs w:val="24"/>
          <w:highlight w:val="none"/>
        </w:rPr>
        <w:t>第七章 投标文件构成及格式</w:t>
      </w:r>
      <w:r>
        <w:rPr>
          <w:rFonts w:hint="eastAsia" w:asciiTheme="minorEastAsia" w:hAnsiTheme="minorEastAsia" w:eastAsiaTheme="minorEastAsia" w:cstheme="minorEastAsia"/>
          <w:b/>
          <w:bCs/>
          <w:sz w:val="24"/>
          <w:szCs w:val="24"/>
          <w:highlight w:val="none"/>
        </w:rPr>
        <w:tab/>
      </w:r>
      <w:r>
        <w:rPr>
          <w:rFonts w:hint="eastAsia" w:asciiTheme="minorEastAsia" w:hAnsiTheme="minorEastAsia" w:eastAsiaTheme="minorEastAsia" w:cstheme="minorEastAsia"/>
          <w:b/>
          <w:bCs/>
          <w:sz w:val="24"/>
          <w:szCs w:val="24"/>
          <w:highlight w:val="none"/>
        </w:rPr>
        <w:fldChar w:fldCharType="begin"/>
      </w:r>
      <w:r>
        <w:rPr>
          <w:rFonts w:hint="eastAsia" w:asciiTheme="minorEastAsia" w:hAnsiTheme="minorEastAsia" w:eastAsiaTheme="minorEastAsia" w:cstheme="minorEastAsia"/>
          <w:b/>
          <w:bCs/>
          <w:sz w:val="24"/>
          <w:szCs w:val="24"/>
          <w:highlight w:val="none"/>
        </w:rPr>
        <w:instrText xml:space="preserve"> PAGEREF _Toc23323 \h </w:instrText>
      </w:r>
      <w:r>
        <w:rPr>
          <w:rFonts w:hint="eastAsia" w:asciiTheme="minorEastAsia" w:hAnsiTheme="minorEastAsia" w:eastAsiaTheme="minorEastAsia" w:cstheme="minorEastAsia"/>
          <w:b/>
          <w:bCs/>
          <w:sz w:val="24"/>
          <w:szCs w:val="24"/>
          <w:highlight w:val="none"/>
        </w:rPr>
        <w:fldChar w:fldCharType="separate"/>
      </w:r>
      <w:r>
        <w:rPr>
          <w:rFonts w:hint="eastAsia" w:asciiTheme="minorEastAsia" w:hAnsiTheme="minorEastAsia" w:eastAsiaTheme="minorEastAsia" w:cstheme="minorEastAsia"/>
          <w:b/>
          <w:bCs/>
          <w:sz w:val="24"/>
          <w:szCs w:val="24"/>
          <w:highlight w:val="none"/>
        </w:rPr>
        <w:t>116</w:t>
      </w:r>
      <w:r>
        <w:rPr>
          <w:rFonts w:hint="eastAsia" w:asciiTheme="minorEastAsia" w:hAnsiTheme="minorEastAsia" w:eastAsiaTheme="minorEastAsia" w:cstheme="minorEastAsia"/>
          <w:b/>
          <w:bCs/>
          <w:sz w:val="24"/>
          <w:szCs w:val="24"/>
          <w:highlight w:val="none"/>
        </w:rPr>
        <w:fldChar w:fldCharType="end"/>
      </w:r>
      <w:r>
        <w:rPr>
          <w:rFonts w:hint="eastAsia" w:asciiTheme="minorEastAsia" w:hAnsiTheme="minorEastAsia" w:eastAsiaTheme="minorEastAsia" w:cstheme="minorEastAsia"/>
          <w:b/>
          <w:bCs/>
          <w:sz w:val="24"/>
          <w:szCs w:val="24"/>
          <w:highlight w:val="none"/>
        </w:rPr>
        <w:fldChar w:fldCharType="end"/>
      </w:r>
    </w:p>
    <w:p w14:paraId="0F49524C">
      <w:pPr>
        <w:pStyle w:val="34"/>
        <w:shd w:val="clear"/>
        <w:tabs>
          <w:tab w:val="right" w:leader="dot" w:pos="8788"/>
        </w:tabs>
        <w:spacing w:line="360" w:lineRule="auto"/>
        <w:rPr>
          <w:rFonts w:asciiTheme="minorEastAsia" w:hAnsiTheme="minorEastAsia" w:eastAsiaTheme="minorEastAsia" w:cstheme="minorEastAsia"/>
          <w:sz w:val="24"/>
          <w:szCs w:val="24"/>
          <w:highlight w:val="none"/>
        </w:rPr>
      </w:pPr>
      <w:r>
        <w:rPr>
          <w:highlight w:val="none"/>
        </w:rPr>
        <w:fldChar w:fldCharType="begin"/>
      </w:r>
      <w:r>
        <w:rPr>
          <w:highlight w:val="none"/>
        </w:rPr>
        <w:instrText xml:space="preserve"> HYPERLINK \l "_Toc10636" </w:instrText>
      </w:r>
      <w:r>
        <w:rPr>
          <w:highlight w:val="none"/>
        </w:rPr>
        <w:fldChar w:fldCharType="separate"/>
      </w:r>
      <w:r>
        <w:rPr>
          <w:rFonts w:hint="eastAsia" w:asciiTheme="minorEastAsia" w:hAnsiTheme="minorEastAsia" w:eastAsiaTheme="minorEastAsia" w:cstheme="minorEastAsia"/>
          <w:sz w:val="24"/>
          <w:szCs w:val="24"/>
          <w:highlight w:val="none"/>
        </w:rPr>
        <w:t>第一部分 资格证明文件</w:t>
      </w:r>
      <w:r>
        <w:rPr>
          <w:rFonts w:hint="eastAsia" w:asciiTheme="minorEastAsia" w:hAnsiTheme="minorEastAsia" w:eastAsiaTheme="minorEastAsia" w:cstheme="minorEastAsia"/>
          <w:sz w:val="24"/>
          <w:szCs w:val="24"/>
          <w:highlight w:val="none"/>
        </w:rPr>
        <w:tab/>
      </w:r>
      <w:r>
        <w:rPr>
          <w:rFonts w:hint="eastAsia" w:asciiTheme="minorEastAsia" w:hAnsiTheme="minorEastAsia" w:eastAsiaTheme="minorEastAsia" w:cstheme="minorEastAsia"/>
          <w:sz w:val="24"/>
          <w:szCs w:val="24"/>
          <w:highlight w:val="none"/>
        </w:rPr>
        <w:fldChar w:fldCharType="begin"/>
      </w:r>
      <w:r>
        <w:rPr>
          <w:rFonts w:hint="eastAsia" w:asciiTheme="minorEastAsia" w:hAnsiTheme="minorEastAsia" w:eastAsiaTheme="minorEastAsia" w:cstheme="minorEastAsia"/>
          <w:sz w:val="24"/>
          <w:szCs w:val="24"/>
          <w:highlight w:val="none"/>
        </w:rPr>
        <w:instrText xml:space="preserve"> PAGEREF _Toc10636 \h </w:instrText>
      </w:r>
      <w:r>
        <w:rPr>
          <w:rFonts w:hint="eastAsia" w:asciiTheme="minorEastAsia" w:hAnsiTheme="minorEastAsia" w:eastAsiaTheme="minorEastAsia" w:cstheme="minorEastAsia"/>
          <w:sz w:val="24"/>
          <w:szCs w:val="24"/>
          <w:highlight w:val="none"/>
        </w:rPr>
        <w:fldChar w:fldCharType="separate"/>
      </w:r>
      <w:r>
        <w:rPr>
          <w:rFonts w:hint="eastAsia" w:asciiTheme="minorEastAsia" w:hAnsiTheme="minorEastAsia" w:eastAsiaTheme="minorEastAsia" w:cstheme="minorEastAsia"/>
          <w:sz w:val="24"/>
          <w:szCs w:val="24"/>
          <w:highlight w:val="none"/>
        </w:rPr>
        <w:t>116</w:t>
      </w:r>
      <w:r>
        <w:rPr>
          <w:rFonts w:hint="eastAsia" w:asciiTheme="minorEastAsia" w:hAnsiTheme="minorEastAsia" w:eastAsiaTheme="minorEastAsia" w:cstheme="minorEastAsia"/>
          <w:sz w:val="24"/>
          <w:szCs w:val="24"/>
          <w:highlight w:val="none"/>
        </w:rPr>
        <w:fldChar w:fldCharType="end"/>
      </w:r>
      <w:r>
        <w:rPr>
          <w:rFonts w:hint="eastAsia" w:asciiTheme="minorEastAsia" w:hAnsiTheme="minorEastAsia" w:eastAsiaTheme="minorEastAsia" w:cstheme="minorEastAsia"/>
          <w:sz w:val="24"/>
          <w:szCs w:val="24"/>
          <w:highlight w:val="none"/>
        </w:rPr>
        <w:fldChar w:fldCharType="end"/>
      </w:r>
    </w:p>
    <w:p w14:paraId="23147D3B">
      <w:pPr>
        <w:pStyle w:val="34"/>
        <w:shd w:val="clear"/>
        <w:tabs>
          <w:tab w:val="right" w:leader="dot" w:pos="8788"/>
        </w:tabs>
        <w:spacing w:line="360" w:lineRule="auto"/>
        <w:rPr>
          <w:rFonts w:asciiTheme="minorEastAsia" w:hAnsiTheme="minorEastAsia" w:eastAsiaTheme="minorEastAsia" w:cstheme="minorEastAsia"/>
          <w:sz w:val="24"/>
          <w:szCs w:val="24"/>
          <w:highlight w:val="none"/>
        </w:rPr>
      </w:pPr>
      <w:r>
        <w:rPr>
          <w:highlight w:val="none"/>
        </w:rPr>
        <w:fldChar w:fldCharType="begin"/>
      </w:r>
      <w:r>
        <w:rPr>
          <w:highlight w:val="none"/>
        </w:rPr>
        <w:instrText xml:space="preserve"> HYPERLINK \l "_Toc22963" </w:instrText>
      </w:r>
      <w:r>
        <w:rPr>
          <w:highlight w:val="none"/>
        </w:rPr>
        <w:fldChar w:fldCharType="separate"/>
      </w:r>
      <w:r>
        <w:rPr>
          <w:rFonts w:hint="eastAsia" w:asciiTheme="minorEastAsia" w:hAnsiTheme="minorEastAsia" w:eastAsiaTheme="minorEastAsia" w:cstheme="minorEastAsia"/>
          <w:sz w:val="24"/>
          <w:szCs w:val="24"/>
          <w:highlight w:val="none"/>
        </w:rPr>
        <w:t>第二部分 符合性证明文件</w:t>
      </w:r>
      <w:r>
        <w:rPr>
          <w:rFonts w:hint="eastAsia" w:asciiTheme="minorEastAsia" w:hAnsiTheme="minorEastAsia" w:eastAsiaTheme="minorEastAsia" w:cstheme="minorEastAsia"/>
          <w:sz w:val="24"/>
          <w:szCs w:val="24"/>
          <w:highlight w:val="none"/>
        </w:rPr>
        <w:tab/>
      </w:r>
      <w:r>
        <w:rPr>
          <w:rFonts w:hint="eastAsia" w:asciiTheme="minorEastAsia" w:hAnsiTheme="minorEastAsia" w:eastAsiaTheme="minorEastAsia" w:cstheme="minorEastAsia"/>
          <w:sz w:val="24"/>
          <w:szCs w:val="24"/>
          <w:highlight w:val="none"/>
        </w:rPr>
        <w:fldChar w:fldCharType="begin"/>
      </w:r>
      <w:r>
        <w:rPr>
          <w:rFonts w:hint="eastAsia" w:asciiTheme="minorEastAsia" w:hAnsiTheme="minorEastAsia" w:eastAsiaTheme="minorEastAsia" w:cstheme="minorEastAsia"/>
          <w:sz w:val="24"/>
          <w:szCs w:val="24"/>
          <w:highlight w:val="none"/>
        </w:rPr>
        <w:instrText xml:space="preserve"> PAGEREF _Toc22963 \h </w:instrText>
      </w:r>
      <w:r>
        <w:rPr>
          <w:rFonts w:hint="eastAsia" w:asciiTheme="minorEastAsia" w:hAnsiTheme="minorEastAsia" w:eastAsiaTheme="minorEastAsia" w:cstheme="minorEastAsia"/>
          <w:sz w:val="24"/>
          <w:szCs w:val="24"/>
          <w:highlight w:val="none"/>
        </w:rPr>
        <w:fldChar w:fldCharType="separate"/>
      </w:r>
      <w:r>
        <w:rPr>
          <w:rFonts w:hint="eastAsia" w:asciiTheme="minorEastAsia" w:hAnsiTheme="minorEastAsia" w:eastAsiaTheme="minorEastAsia" w:cstheme="minorEastAsia"/>
          <w:sz w:val="24"/>
          <w:szCs w:val="24"/>
          <w:highlight w:val="none"/>
        </w:rPr>
        <w:t>125</w:t>
      </w:r>
      <w:r>
        <w:rPr>
          <w:rFonts w:hint="eastAsia" w:asciiTheme="minorEastAsia" w:hAnsiTheme="minorEastAsia" w:eastAsiaTheme="minorEastAsia" w:cstheme="minorEastAsia"/>
          <w:sz w:val="24"/>
          <w:szCs w:val="24"/>
          <w:highlight w:val="none"/>
        </w:rPr>
        <w:fldChar w:fldCharType="end"/>
      </w:r>
      <w:r>
        <w:rPr>
          <w:rFonts w:hint="eastAsia" w:asciiTheme="minorEastAsia" w:hAnsiTheme="minorEastAsia" w:eastAsiaTheme="minorEastAsia" w:cstheme="minorEastAsia"/>
          <w:sz w:val="24"/>
          <w:szCs w:val="24"/>
          <w:highlight w:val="none"/>
        </w:rPr>
        <w:fldChar w:fldCharType="end"/>
      </w:r>
    </w:p>
    <w:p w14:paraId="417739C9">
      <w:pPr>
        <w:pStyle w:val="34"/>
        <w:shd w:val="clear"/>
        <w:tabs>
          <w:tab w:val="right" w:leader="dot" w:pos="8788"/>
        </w:tabs>
        <w:spacing w:line="360" w:lineRule="auto"/>
        <w:rPr>
          <w:rFonts w:asciiTheme="minorEastAsia" w:hAnsiTheme="minorEastAsia" w:eastAsiaTheme="minorEastAsia" w:cstheme="minorEastAsia"/>
          <w:sz w:val="24"/>
          <w:szCs w:val="24"/>
          <w:highlight w:val="none"/>
        </w:rPr>
      </w:pPr>
      <w:r>
        <w:rPr>
          <w:highlight w:val="none"/>
        </w:rPr>
        <w:fldChar w:fldCharType="begin"/>
      </w:r>
      <w:r>
        <w:rPr>
          <w:highlight w:val="none"/>
        </w:rPr>
        <w:instrText xml:space="preserve"> HYPERLINK \l "_Toc9293" </w:instrText>
      </w:r>
      <w:r>
        <w:rPr>
          <w:highlight w:val="none"/>
        </w:rPr>
        <w:fldChar w:fldCharType="separate"/>
      </w:r>
      <w:r>
        <w:rPr>
          <w:rFonts w:hint="eastAsia" w:asciiTheme="minorEastAsia" w:hAnsiTheme="minorEastAsia" w:eastAsiaTheme="minorEastAsia" w:cstheme="minorEastAsia"/>
          <w:sz w:val="24"/>
          <w:szCs w:val="24"/>
          <w:highlight w:val="none"/>
        </w:rPr>
        <w:t>第三部分 响应方案</w:t>
      </w:r>
      <w:r>
        <w:rPr>
          <w:rFonts w:hint="eastAsia" w:asciiTheme="minorEastAsia" w:hAnsiTheme="minorEastAsia" w:eastAsiaTheme="minorEastAsia" w:cstheme="minorEastAsia"/>
          <w:sz w:val="24"/>
          <w:szCs w:val="24"/>
          <w:highlight w:val="none"/>
        </w:rPr>
        <w:tab/>
      </w:r>
      <w:r>
        <w:rPr>
          <w:rFonts w:hint="eastAsia" w:asciiTheme="minorEastAsia" w:hAnsiTheme="minorEastAsia" w:eastAsiaTheme="minorEastAsia" w:cstheme="minorEastAsia"/>
          <w:sz w:val="24"/>
          <w:szCs w:val="24"/>
          <w:highlight w:val="none"/>
        </w:rPr>
        <w:fldChar w:fldCharType="begin"/>
      </w:r>
      <w:r>
        <w:rPr>
          <w:rFonts w:hint="eastAsia" w:asciiTheme="minorEastAsia" w:hAnsiTheme="minorEastAsia" w:eastAsiaTheme="minorEastAsia" w:cstheme="minorEastAsia"/>
          <w:sz w:val="24"/>
          <w:szCs w:val="24"/>
          <w:highlight w:val="none"/>
        </w:rPr>
        <w:instrText xml:space="preserve"> PAGEREF _Toc9293 \h </w:instrText>
      </w:r>
      <w:r>
        <w:rPr>
          <w:rFonts w:hint="eastAsia" w:asciiTheme="minorEastAsia" w:hAnsiTheme="minorEastAsia" w:eastAsiaTheme="minorEastAsia" w:cstheme="minorEastAsia"/>
          <w:sz w:val="24"/>
          <w:szCs w:val="24"/>
          <w:highlight w:val="none"/>
        </w:rPr>
        <w:fldChar w:fldCharType="separate"/>
      </w:r>
      <w:r>
        <w:rPr>
          <w:rFonts w:hint="eastAsia" w:asciiTheme="minorEastAsia" w:hAnsiTheme="minorEastAsia" w:eastAsiaTheme="minorEastAsia" w:cstheme="minorEastAsia"/>
          <w:sz w:val="24"/>
          <w:szCs w:val="24"/>
          <w:highlight w:val="none"/>
        </w:rPr>
        <w:t>139</w:t>
      </w:r>
      <w:r>
        <w:rPr>
          <w:rFonts w:hint="eastAsia" w:asciiTheme="minorEastAsia" w:hAnsiTheme="minorEastAsia" w:eastAsiaTheme="minorEastAsia" w:cstheme="minorEastAsia"/>
          <w:sz w:val="24"/>
          <w:szCs w:val="24"/>
          <w:highlight w:val="none"/>
        </w:rPr>
        <w:fldChar w:fldCharType="end"/>
      </w:r>
      <w:r>
        <w:rPr>
          <w:rFonts w:hint="eastAsia" w:asciiTheme="minorEastAsia" w:hAnsiTheme="minorEastAsia" w:eastAsiaTheme="minorEastAsia" w:cstheme="minorEastAsia"/>
          <w:sz w:val="24"/>
          <w:szCs w:val="24"/>
          <w:highlight w:val="none"/>
        </w:rPr>
        <w:fldChar w:fldCharType="end"/>
      </w:r>
    </w:p>
    <w:p w14:paraId="3045D3B7">
      <w:pPr>
        <w:pStyle w:val="22"/>
        <w:shd w:val="clear"/>
        <w:tabs>
          <w:tab w:val="right" w:leader="dot" w:pos="8788"/>
        </w:tabs>
        <w:spacing w:line="360" w:lineRule="auto"/>
        <w:rPr>
          <w:rFonts w:asciiTheme="minorEastAsia" w:hAnsiTheme="minorEastAsia" w:eastAsiaTheme="minorEastAsia" w:cstheme="minorEastAsia"/>
          <w:sz w:val="24"/>
          <w:szCs w:val="24"/>
          <w:highlight w:val="none"/>
        </w:rPr>
      </w:pPr>
    </w:p>
    <w:p w14:paraId="6712104A">
      <w:pPr>
        <w:shd w:val="clear"/>
        <w:bidi w:val="0"/>
        <w:rPr>
          <w:rFonts w:hint="default"/>
          <w:highlight w:val="none"/>
        </w:rPr>
      </w:pPr>
      <w:r>
        <w:rPr>
          <w:highlight w:val="none"/>
        </w:rPr>
        <w:fldChar w:fldCharType="end"/>
      </w:r>
    </w:p>
    <w:p w14:paraId="24202A47">
      <w:pPr>
        <w:shd w:val="clear"/>
        <w:bidi w:val="0"/>
        <w:rPr>
          <w:highlight w:val="none"/>
        </w:rPr>
      </w:pPr>
    </w:p>
    <w:p w14:paraId="4B658B53">
      <w:pPr>
        <w:shd w:val="clear"/>
        <w:bidi w:val="0"/>
        <w:rPr>
          <w:highlight w:val="none"/>
        </w:rPr>
      </w:pPr>
    </w:p>
    <w:p w14:paraId="20C679CC">
      <w:pPr>
        <w:shd w:val="clear"/>
        <w:bidi w:val="0"/>
        <w:rPr>
          <w:highlight w:val="none"/>
        </w:rPr>
      </w:pPr>
    </w:p>
    <w:p w14:paraId="42B8EBA1">
      <w:pPr>
        <w:shd w:val="clear"/>
        <w:bidi w:val="0"/>
        <w:rPr>
          <w:highlight w:val="none"/>
        </w:rPr>
      </w:pPr>
    </w:p>
    <w:p w14:paraId="795BB34D">
      <w:pPr>
        <w:shd w:val="clear"/>
        <w:bidi w:val="0"/>
        <w:rPr>
          <w:highlight w:val="none"/>
        </w:rPr>
      </w:pPr>
    </w:p>
    <w:p w14:paraId="1D140D14">
      <w:pPr>
        <w:shd w:val="clear"/>
        <w:bidi w:val="0"/>
        <w:rPr>
          <w:highlight w:val="none"/>
        </w:rPr>
      </w:pPr>
    </w:p>
    <w:p w14:paraId="5DA9ED2F">
      <w:pPr>
        <w:shd w:val="clear"/>
        <w:bidi w:val="0"/>
        <w:rPr>
          <w:highlight w:val="none"/>
        </w:rPr>
      </w:pPr>
    </w:p>
    <w:p w14:paraId="05E49556">
      <w:pPr>
        <w:shd w:val="clear"/>
        <w:bidi w:val="0"/>
        <w:rPr>
          <w:highlight w:val="none"/>
        </w:rPr>
      </w:pPr>
    </w:p>
    <w:p w14:paraId="6FDE32E4">
      <w:pPr>
        <w:shd w:val="clear"/>
        <w:bidi w:val="0"/>
        <w:rPr>
          <w:highlight w:val="none"/>
        </w:rPr>
      </w:pPr>
    </w:p>
    <w:p w14:paraId="7786B95C">
      <w:pPr>
        <w:pStyle w:val="2"/>
        <w:shd w:val="clear"/>
        <w:spacing w:line="360" w:lineRule="auto"/>
        <w:rPr>
          <w:rFonts w:asciiTheme="minorEastAsia" w:hAnsiTheme="minorEastAsia" w:eastAsiaTheme="minorEastAsia" w:cstheme="minorEastAsia"/>
          <w:sz w:val="36"/>
          <w:szCs w:val="36"/>
          <w:highlight w:val="none"/>
        </w:rPr>
        <w:sectPr>
          <w:headerReference r:id="rId4" w:type="default"/>
          <w:footerReference r:id="rId5" w:type="default"/>
          <w:pgSz w:w="11906" w:h="16838"/>
          <w:pgMar w:top="1440" w:right="1800" w:bottom="1440" w:left="1800" w:header="1135" w:footer="1135" w:gutter="0"/>
          <w:pgNumType w:fmt="decimal" w:start="2"/>
          <w:cols w:space="425" w:num="1"/>
          <w:docGrid w:type="lines" w:linePitch="312" w:charSpace="0"/>
        </w:sectPr>
      </w:pPr>
      <w:bookmarkStart w:id="11" w:name="_Toc9138"/>
    </w:p>
    <w:p w14:paraId="3F9EAFBA">
      <w:pPr>
        <w:pStyle w:val="2"/>
        <w:shd w:val="clear"/>
        <w:spacing w:line="360" w:lineRule="auto"/>
        <w:rPr>
          <w:rFonts w:hint="default" w:asciiTheme="minorEastAsia" w:hAnsiTheme="minorEastAsia" w:eastAsiaTheme="minorEastAsia" w:cstheme="minorEastAsia"/>
          <w:sz w:val="36"/>
          <w:szCs w:val="36"/>
          <w:highlight w:val="none"/>
        </w:rPr>
      </w:pPr>
      <w:r>
        <w:rPr>
          <w:rFonts w:asciiTheme="minorEastAsia" w:hAnsiTheme="minorEastAsia" w:eastAsiaTheme="minorEastAsia" w:cstheme="minorEastAsia"/>
          <w:sz w:val="36"/>
          <w:szCs w:val="36"/>
          <w:highlight w:val="none"/>
        </w:rPr>
        <w:t xml:space="preserve">第一章  </w:t>
      </w:r>
      <w:bookmarkEnd w:id="0"/>
      <w:bookmarkEnd w:id="1"/>
      <w:bookmarkEnd w:id="2"/>
      <w:bookmarkEnd w:id="3"/>
      <w:bookmarkEnd w:id="4"/>
      <w:bookmarkEnd w:id="5"/>
      <w:bookmarkEnd w:id="6"/>
      <w:r>
        <w:rPr>
          <w:rFonts w:asciiTheme="minorEastAsia" w:hAnsiTheme="minorEastAsia" w:eastAsiaTheme="minorEastAsia" w:cstheme="minorEastAsia"/>
          <w:sz w:val="36"/>
          <w:szCs w:val="36"/>
          <w:highlight w:val="none"/>
        </w:rPr>
        <w:t>招标公告</w:t>
      </w:r>
      <w:bookmarkEnd w:id="7"/>
      <w:bookmarkEnd w:id="11"/>
      <w:bookmarkStart w:id="12" w:name="OLE_LINK33"/>
    </w:p>
    <w:bookmarkEnd w:id="12"/>
    <w:p w14:paraId="09D72C21">
      <w:pPr>
        <w:bidi w:val="0"/>
        <w:spacing w:line="360" w:lineRule="auto"/>
        <w:rPr>
          <w:rFonts w:hint="eastAsia" w:asciiTheme="minorEastAsia" w:hAnsiTheme="minorEastAsia" w:eastAsiaTheme="minorEastAsia" w:cstheme="minorEastAsia"/>
          <w:b/>
          <w:bCs/>
          <w:sz w:val="24"/>
          <w:szCs w:val="32"/>
        </w:rPr>
      </w:pPr>
      <w:bookmarkStart w:id="13" w:name="_Toc389582035"/>
      <w:bookmarkStart w:id="14" w:name="_Toc2929"/>
      <w:r>
        <w:rPr>
          <w:rFonts w:hint="eastAsia" w:asciiTheme="minorEastAsia" w:hAnsiTheme="minorEastAsia" w:eastAsiaTheme="minorEastAsia" w:cstheme="minorEastAsia"/>
          <w:b/>
          <w:bCs/>
          <w:sz w:val="24"/>
          <w:szCs w:val="32"/>
        </w:rPr>
        <w:t>项目概况</w:t>
      </w:r>
    </w:p>
    <w:p w14:paraId="050A0A5F">
      <w:pPr>
        <w:bidi w:val="0"/>
        <w:spacing w:line="360" w:lineRule="auto"/>
        <w:ind w:firstLine="480" w:firstLineChars="200"/>
        <w:rPr>
          <w:rFonts w:hint="eastAsia" w:asciiTheme="minorEastAsia" w:hAnsiTheme="minorEastAsia" w:eastAsiaTheme="minorEastAsia" w:cstheme="minorEastAsia"/>
          <w:sz w:val="24"/>
          <w:szCs w:val="32"/>
        </w:rPr>
      </w:pPr>
      <w:r>
        <w:rPr>
          <w:rFonts w:hint="eastAsia" w:asciiTheme="minorEastAsia" w:hAnsiTheme="minorEastAsia" w:cstheme="minorEastAsia"/>
          <w:sz w:val="24"/>
          <w:szCs w:val="32"/>
          <w:lang w:val="en-US" w:eastAsia="zh-CN"/>
        </w:rPr>
        <w:t>市委机关大院应急柴油发电机组及应急备电货物项目</w:t>
      </w:r>
      <w:r>
        <w:rPr>
          <w:rFonts w:hint="eastAsia" w:asciiTheme="minorEastAsia" w:hAnsiTheme="minorEastAsia" w:eastAsiaTheme="minorEastAsia" w:cstheme="minorEastAsia"/>
          <w:sz w:val="24"/>
          <w:szCs w:val="32"/>
        </w:rPr>
        <w:t>招标项目的潜在投标人应在登录全国公共资源交易中心平台（陕西省）使用CA锁报名后自行下载获取招标文件，并于202</w:t>
      </w:r>
      <w:r>
        <w:rPr>
          <w:rFonts w:hint="eastAsia" w:asciiTheme="minorEastAsia" w:hAnsiTheme="minorEastAsia" w:cstheme="minorEastAsia"/>
          <w:sz w:val="24"/>
          <w:szCs w:val="32"/>
          <w:lang w:val="en-US" w:eastAsia="zh-CN"/>
        </w:rPr>
        <w:t>5</w:t>
      </w:r>
      <w:r>
        <w:rPr>
          <w:rFonts w:hint="eastAsia" w:asciiTheme="minorEastAsia" w:hAnsiTheme="minorEastAsia" w:eastAsiaTheme="minorEastAsia" w:cstheme="minorEastAsia"/>
          <w:sz w:val="24"/>
          <w:szCs w:val="32"/>
        </w:rPr>
        <w:t>年</w:t>
      </w:r>
      <w:r>
        <w:rPr>
          <w:rFonts w:hint="eastAsia" w:asciiTheme="minorEastAsia" w:hAnsiTheme="minorEastAsia" w:cstheme="minorEastAsia"/>
          <w:sz w:val="24"/>
          <w:szCs w:val="32"/>
          <w:lang w:val="en-US" w:eastAsia="zh-CN"/>
        </w:rPr>
        <w:t>01</w:t>
      </w:r>
      <w:r>
        <w:rPr>
          <w:rFonts w:hint="eastAsia" w:asciiTheme="minorEastAsia" w:hAnsiTheme="minorEastAsia" w:eastAsiaTheme="minorEastAsia" w:cstheme="minorEastAsia"/>
          <w:sz w:val="24"/>
          <w:szCs w:val="32"/>
        </w:rPr>
        <w:t>月</w:t>
      </w:r>
      <w:r>
        <w:rPr>
          <w:rFonts w:hint="eastAsia" w:asciiTheme="minorEastAsia" w:hAnsiTheme="minorEastAsia" w:cstheme="minorEastAsia"/>
          <w:sz w:val="24"/>
          <w:szCs w:val="32"/>
          <w:lang w:val="en-US" w:eastAsia="zh-CN"/>
        </w:rPr>
        <w:t>14</w:t>
      </w:r>
      <w:r>
        <w:rPr>
          <w:rFonts w:hint="eastAsia" w:asciiTheme="minorEastAsia" w:hAnsiTheme="minorEastAsia" w:eastAsiaTheme="minorEastAsia" w:cstheme="minorEastAsia"/>
          <w:sz w:val="24"/>
          <w:szCs w:val="32"/>
        </w:rPr>
        <w:t xml:space="preserve">日 </w:t>
      </w:r>
      <w:r>
        <w:rPr>
          <w:rFonts w:hint="eastAsia" w:asciiTheme="minorEastAsia" w:hAnsiTheme="minorEastAsia" w:cstheme="minorEastAsia"/>
          <w:sz w:val="24"/>
          <w:szCs w:val="32"/>
          <w:lang w:val="en-US" w:eastAsia="zh-CN"/>
        </w:rPr>
        <w:t>13</w:t>
      </w:r>
      <w:r>
        <w:rPr>
          <w:rFonts w:hint="eastAsia" w:asciiTheme="minorEastAsia" w:hAnsiTheme="minorEastAsia" w:eastAsiaTheme="minorEastAsia" w:cstheme="minorEastAsia"/>
          <w:sz w:val="24"/>
          <w:szCs w:val="32"/>
        </w:rPr>
        <w:t>时30分（北京时间）前递交投标文件。</w:t>
      </w:r>
    </w:p>
    <w:p w14:paraId="6FCCCAFB">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一、项目基本情况</w:t>
      </w:r>
    </w:p>
    <w:p w14:paraId="3E39EAB3">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项目编号：</w:t>
      </w:r>
      <w:r>
        <w:rPr>
          <w:rFonts w:hint="eastAsia" w:asciiTheme="minorEastAsia" w:hAnsiTheme="minorEastAsia" w:cstheme="minorEastAsia"/>
          <w:sz w:val="24"/>
          <w:szCs w:val="32"/>
          <w:lang w:val="en-US" w:eastAsia="zh-CN"/>
        </w:rPr>
        <w:t>SXZC2024-HW-202</w:t>
      </w:r>
    </w:p>
    <w:p w14:paraId="1D981BF5">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项目名称：</w:t>
      </w:r>
      <w:r>
        <w:rPr>
          <w:rFonts w:hint="eastAsia" w:asciiTheme="minorEastAsia" w:hAnsiTheme="minorEastAsia" w:cstheme="minorEastAsia"/>
          <w:sz w:val="24"/>
          <w:szCs w:val="32"/>
          <w:lang w:val="en-US" w:eastAsia="zh-CN"/>
        </w:rPr>
        <w:t>市委机关大院应急柴油发电机组及应急备电货物项目</w:t>
      </w:r>
    </w:p>
    <w:p w14:paraId="1497285D">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采购方式：公开招标</w:t>
      </w:r>
    </w:p>
    <w:p w14:paraId="0D160033">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预算金额：</w:t>
      </w:r>
      <w:r>
        <w:rPr>
          <w:rFonts w:hint="eastAsia" w:asciiTheme="minorEastAsia" w:hAnsiTheme="minorEastAsia" w:cstheme="minorEastAsia"/>
          <w:sz w:val="24"/>
          <w:szCs w:val="32"/>
          <w:lang w:val="en-US" w:eastAsia="zh-CN"/>
        </w:rPr>
        <w:t>7,050,900.00</w:t>
      </w:r>
      <w:r>
        <w:rPr>
          <w:rFonts w:hint="eastAsia" w:asciiTheme="minorEastAsia" w:hAnsiTheme="minorEastAsia" w:eastAsiaTheme="minorEastAsia" w:cstheme="minorEastAsia"/>
          <w:sz w:val="24"/>
          <w:szCs w:val="32"/>
          <w:lang w:val="en-US" w:eastAsia="zh-CN"/>
        </w:rPr>
        <w:t>元</w:t>
      </w:r>
    </w:p>
    <w:p w14:paraId="5B83C30F">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采购需求：</w:t>
      </w:r>
    </w:p>
    <w:p w14:paraId="38C8EFF5">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合同包1(</w:t>
      </w:r>
      <w:r>
        <w:rPr>
          <w:rFonts w:hint="eastAsia" w:asciiTheme="minorEastAsia" w:hAnsiTheme="minorEastAsia" w:cstheme="minorEastAsia"/>
          <w:sz w:val="24"/>
          <w:szCs w:val="32"/>
          <w:lang w:val="en-US" w:eastAsia="zh-CN"/>
        </w:rPr>
        <w:t>榆林市市委机关事务服务中心市委机关大院应急柴油发电机组及应急备电货物项目</w:t>
      </w:r>
      <w:r>
        <w:rPr>
          <w:rFonts w:hint="eastAsia" w:asciiTheme="minorEastAsia" w:hAnsiTheme="minorEastAsia" w:eastAsiaTheme="minorEastAsia" w:cstheme="minorEastAsia"/>
          <w:sz w:val="24"/>
          <w:szCs w:val="32"/>
          <w:lang w:val="en-US" w:eastAsia="zh-CN"/>
        </w:rPr>
        <w:t>):</w:t>
      </w:r>
    </w:p>
    <w:p w14:paraId="594AFBBA">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合同包预算金额：</w:t>
      </w:r>
      <w:r>
        <w:rPr>
          <w:rFonts w:hint="eastAsia" w:asciiTheme="minorEastAsia" w:hAnsiTheme="minorEastAsia" w:cstheme="minorEastAsia"/>
          <w:sz w:val="24"/>
          <w:szCs w:val="32"/>
          <w:lang w:val="en-US" w:eastAsia="zh-CN"/>
        </w:rPr>
        <w:t>7,050,900.00</w:t>
      </w:r>
      <w:r>
        <w:rPr>
          <w:rFonts w:hint="eastAsia" w:asciiTheme="minorEastAsia" w:hAnsiTheme="minorEastAsia" w:eastAsiaTheme="minorEastAsia" w:cstheme="minorEastAsia"/>
          <w:sz w:val="24"/>
          <w:szCs w:val="32"/>
          <w:lang w:val="en-US" w:eastAsia="zh-CN"/>
        </w:rPr>
        <w:t>元</w:t>
      </w:r>
    </w:p>
    <w:p w14:paraId="5E1C1A5F">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合同包最高限价：</w:t>
      </w:r>
      <w:r>
        <w:rPr>
          <w:rFonts w:hint="eastAsia" w:asciiTheme="minorEastAsia" w:hAnsiTheme="minorEastAsia" w:cstheme="minorEastAsia"/>
          <w:sz w:val="24"/>
          <w:szCs w:val="32"/>
          <w:lang w:val="en-US" w:eastAsia="zh-CN"/>
        </w:rPr>
        <w:t>7,050,900.00</w:t>
      </w:r>
      <w:r>
        <w:rPr>
          <w:rFonts w:hint="eastAsia" w:asciiTheme="minorEastAsia" w:hAnsiTheme="minorEastAsia" w:eastAsiaTheme="minorEastAsia" w:cstheme="minorEastAsia"/>
          <w:sz w:val="24"/>
          <w:szCs w:val="32"/>
          <w:lang w:val="en-US" w:eastAsia="zh-CN"/>
        </w:rPr>
        <w:t>元</w:t>
      </w:r>
    </w:p>
    <w:tbl>
      <w:tblPr>
        <w:tblStyle w:val="41"/>
        <w:tblW w:w="9732" w:type="dxa"/>
        <w:tblInd w:w="-323"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auto"/>
        <w:tblLayout w:type="fixed"/>
        <w:tblCellMar>
          <w:top w:w="0" w:type="dxa"/>
          <w:left w:w="0" w:type="dxa"/>
          <w:bottom w:w="0" w:type="dxa"/>
          <w:right w:w="0" w:type="dxa"/>
        </w:tblCellMar>
      </w:tblPr>
      <w:tblGrid>
        <w:gridCol w:w="855"/>
        <w:gridCol w:w="834"/>
        <w:gridCol w:w="1911"/>
        <w:gridCol w:w="1144"/>
        <w:gridCol w:w="1529"/>
        <w:gridCol w:w="1692"/>
        <w:gridCol w:w="1767"/>
      </w:tblGrid>
      <w:tr w14:paraId="3B029C18">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auto"/>
          <w:tblCellMar>
            <w:top w:w="0" w:type="dxa"/>
            <w:left w:w="0" w:type="dxa"/>
            <w:bottom w:w="0" w:type="dxa"/>
            <w:right w:w="0" w:type="dxa"/>
          </w:tblCellMar>
        </w:tblPrEx>
        <w:trPr>
          <w:trHeight w:val="162" w:hRule="atLeast"/>
          <w:tblHeader/>
        </w:trPr>
        <w:tc>
          <w:tcPr>
            <w:tcW w:w="85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AF72E6E">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360" w:lineRule="auto"/>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kern w:val="0"/>
                <w:sz w:val="24"/>
                <w:szCs w:val="24"/>
                <w:lang w:val="en-US" w:eastAsia="zh-CN" w:bidi="ar"/>
              </w:rPr>
              <w:t>品目号</w:t>
            </w:r>
          </w:p>
        </w:tc>
        <w:tc>
          <w:tcPr>
            <w:tcW w:w="834"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4B07FB8">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360" w:lineRule="auto"/>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kern w:val="0"/>
                <w:sz w:val="24"/>
                <w:szCs w:val="24"/>
                <w:lang w:val="en-US" w:eastAsia="zh-CN" w:bidi="ar"/>
              </w:rPr>
              <w:t>品目名称</w:t>
            </w:r>
          </w:p>
        </w:tc>
        <w:tc>
          <w:tcPr>
            <w:tcW w:w="1911"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921443">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360" w:lineRule="auto"/>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kern w:val="0"/>
                <w:sz w:val="24"/>
                <w:szCs w:val="24"/>
                <w:lang w:val="en-US" w:eastAsia="zh-CN" w:bidi="ar"/>
              </w:rPr>
              <w:t>采购标的</w:t>
            </w:r>
          </w:p>
        </w:tc>
        <w:tc>
          <w:tcPr>
            <w:tcW w:w="1144"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D4BECD4">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360" w:lineRule="auto"/>
              <w:ind w:left="0" w:right="0"/>
              <w:jc w:val="center"/>
              <w:textAlignment w:val="auto"/>
              <w:rPr>
                <w:rFonts w:hint="eastAsia" w:asciiTheme="minorEastAsia" w:hAnsiTheme="minorEastAsia" w:eastAsiaTheme="minorEastAsia" w:cstheme="minorEastAsia"/>
                <w:b/>
                <w:bCs/>
                <w:kern w:val="0"/>
                <w:sz w:val="24"/>
                <w:szCs w:val="24"/>
                <w:lang w:val="en-US" w:eastAsia="zh-CN" w:bidi="ar"/>
              </w:rPr>
            </w:pPr>
            <w:r>
              <w:rPr>
                <w:rFonts w:hint="eastAsia" w:asciiTheme="minorEastAsia" w:hAnsiTheme="minorEastAsia" w:eastAsiaTheme="minorEastAsia" w:cstheme="minorEastAsia"/>
                <w:b/>
                <w:bCs/>
                <w:kern w:val="0"/>
                <w:sz w:val="24"/>
                <w:szCs w:val="24"/>
                <w:lang w:val="en-US" w:eastAsia="zh-CN" w:bidi="ar"/>
              </w:rPr>
              <w:t>数量</w:t>
            </w:r>
          </w:p>
          <w:p w14:paraId="6D5A3ECC">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360" w:lineRule="auto"/>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kern w:val="0"/>
                <w:sz w:val="24"/>
                <w:szCs w:val="24"/>
                <w:lang w:val="en-US" w:eastAsia="zh-CN" w:bidi="ar"/>
              </w:rPr>
              <w:t>（单位）</w:t>
            </w:r>
          </w:p>
        </w:tc>
        <w:tc>
          <w:tcPr>
            <w:tcW w:w="152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613AB99">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360" w:lineRule="auto"/>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kern w:val="0"/>
                <w:sz w:val="24"/>
                <w:szCs w:val="24"/>
                <w:lang w:val="en-US" w:eastAsia="zh-CN" w:bidi="ar"/>
              </w:rPr>
              <w:t>技术规格、参数及要求</w:t>
            </w:r>
          </w:p>
        </w:tc>
        <w:tc>
          <w:tcPr>
            <w:tcW w:w="1692"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794F905">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360" w:lineRule="auto"/>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kern w:val="0"/>
                <w:sz w:val="24"/>
                <w:szCs w:val="24"/>
                <w:lang w:val="en-US" w:eastAsia="zh-CN" w:bidi="ar"/>
              </w:rPr>
              <w:t>品目预算(元)</w:t>
            </w:r>
          </w:p>
        </w:tc>
        <w:tc>
          <w:tcPr>
            <w:tcW w:w="176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6DB50AD">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360" w:lineRule="auto"/>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kern w:val="0"/>
                <w:sz w:val="24"/>
                <w:szCs w:val="24"/>
                <w:lang w:val="en-US" w:eastAsia="zh-CN" w:bidi="ar"/>
              </w:rPr>
              <w:t>最高限价(元)</w:t>
            </w:r>
          </w:p>
        </w:tc>
      </w:tr>
      <w:tr w14:paraId="35179B67">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shd w:val="clear" w:color="auto" w:fill="auto"/>
          <w:tblCellMar>
            <w:top w:w="0" w:type="dxa"/>
            <w:left w:w="0" w:type="dxa"/>
            <w:bottom w:w="0" w:type="dxa"/>
            <w:right w:w="0" w:type="dxa"/>
          </w:tblCellMar>
        </w:tblPrEx>
        <w:trPr>
          <w:trHeight w:val="260" w:hRule="atLeast"/>
        </w:trPr>
        <w:tc>
          <w:tcPr>
            <w:tcW w:w="85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78DD77">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360" w:lineRule="auto"/>
              <w:ind w:left="0" w:right="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0"/>
                <w:sz w:val="24"/>
                <w:szCs w:val="24"/>
                <w:lang w:val="en-US" w:eastAsia="zh-CN" w:bidi="ar"/>
              </w:rPr>
              <w:t>1-1</w:t>
            </w:r>
          </w:p>
        </w:tc>
        <w:tc>
          <w:tcPr>
            <w:tcW w:w="834"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69B3FE7">
            <w:pPr>
              <w:keepNext w:val="0"/>
              <w:keepLines w:val="0"/>
              <w:widowControl/>
              <w:suppressLineNumbers w:val="0"/>
              <w:wordWrap w:val="0"/>
              <w:spacing w:before="0" w:beforeAutospacing="0" w:after="0" w:afterAutospacing="0" w:line="360" w:lineRule="auto"/>
              <w:ind w:left="0" w:leftChars="0" w:right="0" w:rightChars="0"/>
              <w:jc w:val="center"/>
              <w:rPr>
                <w:rFonts w:hint="eastAsia" w:asciiTheme="minorEastAsia" w:hAnsiTheme="minorEastAsia" w:eastAsiaTheme="minorEastAsia" w:cstheme="minorEastAsia"/>
                <w:sz w:val="24"/>
                <w:szCs w:val="24"/>
              </w:rPr>
            </w:pPr>
            <w:r>
              <w:rPr>
                <w:rFonts w:hint="eastAsia" w:ascii="宋体" w:hAnsi="宋体" w:eastAsia="宋体" w:cs="宋体"/>
                <w:kern w:val="0"/>
                <w:sz w:val="24"/>
                <w:szCs w:val="24"/>
                <w:lang w:val="en-US" w:eastAsia="zh-CN" w:bidi="ar"/>
              </w:rPr>
              <w:t>其他电源设备</w:t>
            </w:r>
          </w:p>
        </w:tc>
        <w:tc>
          <w:tcPr>
            <w:tcW w:w="1911"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DDF5C74">
            <w:pPr>
              <w:keepNext w:val="0"/>
              <w:keepLines w:val="0"/>
              <w:widowControl/>
              <w:suppressLineNumbers w:val="0"/>
              <w:wordWrap w:val="0"/>
              <w:spacing w:before="0" w:beforeAutospacing="0" w:after="0" w:afterAutospacing="0" w:line="360" w:lineRule="auto"/>
              <w:ind w:left="0" w:leftChars="0" w:right="0" w:rightChars="0"/>
              <w:jc w:val="center"/>
              <w:rPr>
                <w:rFonts w:hint="eastAsia" w:asciiTheme="minorEastAsia" w:hAnsiTheme="minorEastAsia" w:eastAsiaTheme="minorEastAsia" w:cstheme="minorEastAsia"/>
                <w:sz w:val="24"/>
                <w:szCs w:val="24"/>
              </w:rPr>
            </w:pPr>
            <w:r>
              <w:rPr>
                <w:rFonts w:hint="eastAsia" w:ascii="宋体" w:hAnsi="宋体" w:eastAsia="宋体" w:cs="宋体"/>
                <w:kern w:val="0"/>
                <w:sz w:val="24"/>
                <w:szCs w:val="24"/>
                <w:lang w:val="en-US" w:eastAsia="zh-CN" w:bidi="ar"/>
              </w:rPr>
              <w:t>市委机关大院应急柴油发电机组及应急备电货物项目</w:t>
            </w:r>
          </w:p>
        </w:tc>
        <w:tc>
          <w:tcPr>
            <w:tcW w:w="1144"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52F47A7">
            <w:pPr>
              <w:keepNext w:val="0"/>
              <w:keepLines w:val="0"/>
              <w:widowControl/>
              <w:suppressLineNumbers w:val="0"/>
              <w:wordWrap w:val="0"/>
              <w:spacing w:before="0" w:beforeAutospacing="0" w:after="0" w:afterAutospacing="0" w:line="360" w:lineRule="auto"/>
              <w:ind w:left="0" w:leftChars="0" w:right="0" w:rightChars="0"/>
              <w:jc w:val="center"/>
              <w:rPr>
                <w:rFonts w:hint="eastAsia" w:asciiTheme="minorEastAsia" w:hAnsiTheme="minorEastAsia" w:eastAsiaTheme="minorEastAsia" w:cstheme="minorEastAsia"/>
                <w:sz w:val="24"/>
                <w:szCs w:val="24"/>
              </w:rPr>
            </w:pPr>
            <w:r>
              <w:rPr>
                <w:rFonts w:hint="eastAsia" w:ascii="宋体" w:hAnsi="宋体" w:eastAsia="宋体" w:cs="宋体"/>
                <w:kern w:val="0"/>
                <w:sz w:val="24"/>
                <w:szCs w:val="24"/>
                <w:lang w:val="en-US" w:eastAsia="zh-CN" w:bidi="ar"/>
              </w:rPr>
              <w:t>1(项)</w:t>
            </w:r>
          </w:p>
        </w:tc>
        <w:tc>
          <w:tcPr>
            <w:tcW w:w="152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F0E8C13">
            <w:pPr>
              <w:keepNext w:val="0"/>
              <w:keepLines w:val="0"/>
              <w:widowControl/>
              <w:suppressLineNumbers w:val="0"/>
              <w:wordWrap w:val="0"/>
              <w:spacing w:before="0" w:beforeAutospacing="0" w:after="0" w:afterAutospacing="0" w:line="360" w:lineRule="auto"/>
              <w:ind w:left="0" w:leftChars="0" w:right="0" w:rightChars="0"/>
              <w:jc w:val="center"/>
              <w:rPr>
                <w:rFonts w:hint="eastAsia" w:asciiTheme="minorEastAsia" w:hAnsiTheme="minorEastAsia" w:eastAsiaTheme="minorEastAsia" w:cstheme="minorEastAsia"/>
                <w:sz w:val="24"/>
                <w:szCs w:val="24"/>
              </w:rPr>
            </w:pPr>
            <w:r>
              <w:rPr>
                <w:rFonts w:hint="eastAsia" w:ascii="宋体" w:hAnsi="宋体" w:eastAsia="宋体" w:cs="宋体"/>
                <w:kern w:val="0"/>
                <w:sz w:val="24"/>
                <w:szCs w:val="24"/>
                <w:lang w:val="en-US" w:eastAsia="zh-CN" w:bidi="ar"/>
              </w:rPr>
              <w:t>详见采购文件</w:t>
            </w:r>
          </w:p>
        </w:tc>
        <w:tc>
          <w:tcPr>
            <w:tcW w:w="1692"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6C13EA0">
            <w:pPr>
              <w:keepNext w:val="0"/>
              <w:keepLines w:val="0"/>
              <w:widowControl/>
              <w:suppressLineNumbers w:val="0"/>
              <w:wordWrap/>
              <w:spacing w:before="0" w:beforeAutospacing="0" w:after="0" w:afterAutospacing="0" w:line="360" w:lineRule="auto"/>
              <w:ind w:left="0" w:leftChars="0" w:right="0" w:rightChars="0"/>
              <w:jc w:val="right"/>
              <w:rPr>
                <w:rFonts w:hint="eastAsia" w:asciiTheme="minorEastAsia" w:hAnsiTheme="minorEastAsia" w:eastAsiaTheme="minorEastAsia" w:cstheme="minorEastAsia"/>
                <w:sz w:val="24"/>
                <w:szCs w:val="24"/>
              </w:rPr>
            </w:pPr>
            <w:r>
              <w:rPr>
                <w:rFonts w:hint="eastAsia" w:ascii="宋体" w:hAnsi="宋体" w:eastAsia="宋体" w:cs="宋体"/>
                <w:kern w:val="0"/>
                <w:sz w:val="24"/>
                <w:szCs w:val="24"/>
                <w:lang w:val="en-US" w:eastAsia="zh-CN" w:bidi="ar"/>
              </w:rPr>
              <w:t>7,050,900.00</w:t>
            </w:r>
          </w:p>
        </w:tc>
        <w:tc>
          <w:tcPr>
            <w:tcW w:w="1767"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5FE2313">
            <w:pPr>
              <w:keepNext w:val="0"/>
              <w:keepLines w:val="0"/>
              <w:widowControl/>
              <w:suppressLineNumbers w:val="0"/>
              <w:wordWrap/>
              <w:spacing w:before="0" w:beforeAutospacing="0" w:after="0" w:afterAutospacing="0" w:line="360" w:lineRule="auto"/>
              <w:ind w:left="0" w:leftChars="0" w:right="0" w:rightChars="0"/>
              <w:jc w:val="right"/>
              <w:rPr>
                <w:rFonts w:hint="eastAsia" w:asciiTheme="minorEastAsia" w:hAnsiTheme="minorEastAsia" w:eastAsiaTheme="minorEastAsia" w:cstheme="minorEastAsia"/>
                <w:sz w:val="24"/>
                <w:szCs w:val="24"/>
              </w:rPr>
            </w:pPr>
            <w:r>
              <w:rPr>
                <w:rFonts w:hint="eastAsia" w:ascii="宋体" w:hAnsi="宋体" w:eastAsia="宋体" w:cs="宋体"/>
                <w:kern w:val="0"/>
                <w:sz w:val="24"/>
                <w:szCs w:val="24"/>
                <w:lang w:val="en-US" w:eastAsia="zh-CN" w:bidi="ar"/>
              </w:rPr>
              <w:t>7,050,900.00</w:t>
            </w:r>
          </w:p>
        </w:tc>
      </w:tr>
    </w:tbl>
    <w:p w14:paraId="7B625055">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本合同包不接受联合体投标</w:t>
      </w:r>
    </w:p>
    <w:p w14:paraId="55FE29A7">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合同履行期限：</w:t>
      </w:r>
      <w:r>
        <w:rPr>
          <w:rFonts w:hint="eastAsia" w:ascii="宋体" w:hAnsi="宋体" w:eastAsia="宋体" w:cs="宋体"/>
          <w:i w:val="0"/>
          <w:iCs w:val="0"/>
          <w:caps w:val="0"/>
          <w:color w:val="333333"/>
          <w:spacing w:val="0"/>
          <w:sz w:val="24"/>
          <w:szCs w:val="24"/>
          <w:shd w:val="clear" w:fill="FFFFFF"/>
        </w:rPr>
        <w:t>合同签订之日起90日历天内供货安装调试完毕并验收合格</w:t>
      </w:r>
    </w:p>
    <w:p w14:paraId="461E1DC8">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二、申请人的资格要求：</w:t>
      </w:r>
    </w:p>
    <w:p w14:paraId="72E81662">
      <w:pPr>
        <w:bidi w:val="0"/>
        <w:spacing w:line="360" w:lineRule="auto"/>
        <w:ind w:firstLine="482" w:firstLineChars="200"/>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1.满足《中华人民共和国政府采购法》第二十二条规定;</w:t>
      </w:r>
    </w:p>
    <w:p w14:paraId="1336850D">
      <w:pPr>
        <w:bidi w:val="0"/>
        <w:spacing w:line="360" w:lineRule="auto"/>
        <w:ind w:firstLine="482" w:firstLineChars="200"/>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2.落实政府采购政策需满足的资格要求：</w:t>
      </w:r>
    </w:p>
    <w:p w14:paraId="01F13E2B">
      <w:pPr>
        <w:bidi w:val="0"/>
        <w:spacing w:line="360" w:lineRule="auto"/>
        <w:ind w:firstLine="482" w:firstLineChars="200"/>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合同包1(</w:t>
      </w:r>
      <w:r>
        <w:rPr>
          <w:rFonts w:hint="eastAsia" w:asciiTheme="minorEastAsia" w:hAnsiTheme="minorEastAsia" w:cstheme="minorEastAsia"/>
          <w:b/>
          <w:bCs/>
          <w:sz w:val="24"/>
          <w:szCs w:val="32"/>
          <w:lang w:val="en-US" w:eastAsia="zh-CN"/>
        </w:rPr>
        <w:t>榆林市市委机关事务服务中心市委机关大院应急柴油发电机组及应急备电货物项目</w:t>
      </w:r>
      <w:r>
        <w:rPr>
          <w:rFonts w:hint="eastAsia" w:asciiTheme="minorEastAsia" w:hAnsiTheme="minorEastAsia" w:eastAsiaTheme="minorEastAsia" w:cstheme="minorEastAsia"/>
          <w:b/>
          <w:bCs/>
          <w:sz w:val="24"/>
          <w:szCs w:val="32"/>
          <w:lang w:val="en-US" w:eastAsia="zh-CN"/>
        </w:rPr>
        <w:t>)落实政府采购政策需满足的资格要求如下:</w:t>
      </w:r>
    </w:p>
    <w:p w14:paraId="698526D0">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kern w:val="2"/>
          <w:sz w:val="24"/>
          <w:szCs w:val="32"/>
          <w:lang w:val="en-US" w:eastAsia="zh-CN" w:bidi="ar-SA"/>
        </w:rPr>
        <w:t>（1）</w:t>
      </w:r>
      <w:r>
        <w:rPr>
          <w:rFonts w:hint="eastAsia" w:asciiTheme="minorEastAsia" w:hAnsiTheme="minorEastAsia" w:eastAsiaTheme="minorEastAsia" w:cstheme="minorEastAsia"/>
          <w:sz w:val="24"/>
          <w:szCs w:val="32"/>
          <w:lang w:val="en-US" w:eastAsia="zh-CN"/>
        </w:rPr>
        <w:t>《政府采购促进中小企业发展管理办法》（财库〔2020〕46号）；</w:t>
      </w:r>
    </w:p>
    <w:p w14:paraId="4650D5DA">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（2）《财政部司法部关于政府采购支持监狱企业发展有关问题的通知》（财库〔2014〕68号）；</w:t>
      </w:r>
    </w:p>
    <w:p w14:paraId="1178AF8B">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（3）《国务院办公厅关于建立政府强制采购节能产品制度的通知》（国办发〔2007〕51号）；</w:t>
      </w:r>
    </w:p>
    <w:p w14:paraId="7DEC466F">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（4）《节能产品政府采购实施意见》（财库[2004]185号）；</w:t>
      </w:r>
    </w:p>
    <w:p w14:paraId="265681EE">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（5）《环境标志产品政府采购实施的意见》（财库[2006]90号）；</w:t>
      </w:r>
    </w:p>
    <w:p w14:paraId="5E50E33E">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（6）《财政部、民政部、中国残疾人联合会关于促进残疾人就业政府采购政策的通知》（财库[2017]141号）；</w:t>
      </w:r>
    </w:p>
    <w:p w14:paraId="18323676">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（7）陕西省财政厅关于印发《陕西省中小企业政府采购信用融资办法》（陕财办采〔2018〕23号）；相关政策、业务流程、办理平台(http://www.ccgpshaanxi.gov.cn/zcdservice/zcd/shanxi/)；</w:t>
      </w:r>
    </w:p>
    <w:p w14:paraId="6412C214">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（8）《关于在政府采购活动中查询及使用信用记录有关问题的通知》（财库〔2016〕125号）；</w:t>
      </w:r>
    </w:p>
    <w:p w14:paraId="09D81AFD">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（9）《榆林市财政局关于进一步加大政府采购支持中小企业力度的通知》（榆政财采发〔2022〕10号)；</w:t>
      </w:r>
    </w:p>
    <w:p w14:paraId="6894A786">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（10）《陕西省财政厅关于进一步加大政府采购支持中小企业力度的通知》(陕财采发〔2022〕5号)；</w:t>
      </w:r>
    </w:p>
    <w:p w14:paraId="78576F36">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（11）《陕西省财政厅中国人民银行西安分行关于深人推进政府采购信用融资业务的通知》（陕财办采〔2023]5号）。</w:t>
      </w:r>
    </w:p>
    <w:p w14:paraId="695A2F33">
      <w:pPr>
        <w:bidi w:val="0"/>
        <w:spacing w:line="360" w:lineRule="auto"/>
        <w:ind w:firstLine="482" w:firstLineChars="200"/>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3.本项目的特定资格要求：</w:t>
      </w:r>
    </w:p>
    <w:p w14:paraId="3C5FE8C1">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合同包1(</w:t>
      </w:r>
      <w:r>
        <w:rPr>
          <w:rFonts w:hint="eastAsia" w:asciiTheme="minorEastAsia" w:hAnsiTheme="minorEastAsia" w:cstheme="minorEastAsia"/>
          <w:sz w:val="24"/>
          <w:szCs w:val="32"/>
          <w:lang w:val="en-US" w:eastAsia="zh-CN"/>
        </w:rPr>
        <w:t>榆林市市委机关事务服务中心市委机关大院应急柴油发电机组及应急备电货物项目</w:t>
      </w:r>
      <w:r>
        <w:rPr>
          <w:rFonts w:hint="eastAsia" w:asciiTheme="minorEastAsia" w:hAnsiTheme="minorEastAsia" w:eastAsiaTheme="minorEastAsia" w:cstheme="minorEastAsia"/>
          <w:sz w:val="24"/>
          <w:szCs w:val="32"/>
          <w:lang w:val="en-US" w:eastAsia="zh-CN"/>
        </w:rPr>
        <w:t>)特定资格要求如下:</w:t>
      </w:r>
    </w:p>
    <w:p w14:paraId="66775806">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kern w:val="2"/>
          <w:sz w:val="24"/>
          <w:szCs w:val="32"/>
          <w:lang w:val="en-US" w:eastAsia="zh-CN" w:bidi="ar-SA"/>
        </w:rPr>
        <w:t>（1）</w:t>
      </w:r>
      <w:r>
        <w:rPr>
          <w:rFonts w:hint="eastAsia" w:asciiTheme="minorEastAsia" w:hAnsiTheme="minorEastAsia" w:eastAsiaTheme="minorEastAsia" w:cstheme="minorEastAsia"/>
          <w:sz w:val="24"/>
          <w:szCs w:val="32"/>
          <w:lang w:val="en-US" w:eastAsia="zh-CN"/>
        </w:rPr>
        <w:t>投标人为具有独立承担民事责任能力的法人、事业法人、其他组织或自然人。企业法人应提供合法有效的标识有统一社会信用代码的营业执照；事业法人应提供事业单位法人证书；其他组织应提供合法登记证明文件；自然人应提供身份证；</w:t>
      </w:r>
    </w:p>
    <w:p w14:paraId="0C038054">
      <w:pPr>
        <w:numPr>
          <w:ilvl w:val="0"/>
          <w:numId w:val="0"/>
        </w:numPr>
        <w:bidi w:val="0"/>
        <w:spacing w:line="360" w:lineRule="auto"/>
        <w:ind w:firstLine="480" w:firstLineChars="200"/>
        <w:rPr>
          <w:rFonts w:hint="eastAsia" w:ascii="宋体" w:hAnsi="宋体" w:eastAsia="宋体" w:cs="宋体"/>
          <w:i w:val="0"/>
          <w:iCs w:val="0"/>
          <w:caps w:val="0"/>
          <w:color w:val="auto"/>
          <w:spacing w:val="0"/>
          <w:sz w:val="24"/>
          <w:szCs w:val="24"/>
          <w:shd w:val="clear" w:color="auto" w:fill="FFFFFF"/>
          <w:lang w:eastAsia="zh-CN"/>
        </w:rPr>
      </w:pPr>
      <w:r>
        <w:rPr>
          <w:rFonts w:hint="eastAsia" w:asciiTheme="minorEastAsia" w:hAnsiTheme="minorEastAsia" w:eastAsiaTheme="minorEastAsia" w:cstheme="minorEastAsia"/>
          <w:sz w:val="24"/>
          <w:szCs w:val="32"/>
          <w:lang w:val="en-US" w:eastAsia="zh-CN"/>
        </w:rPr>
        <w:t>（2）</w:t>
      </w:r>
      <w:r>
        <w:rPr>
          <w:rFonts w:hint="eastAsia" w:ascii="宋体" w:hAnsi="宋体" w:eastAsia="宋体" w:cs="宋体"/>
          <w:i w:val="0"/>
          <w:iCs w:val="0"/>
          <w:caps w:val="0"/>
          <w:color w:val="auto"/>
          <w:spacing w:val="0"/>
          <w:sz w:val="24"/>
          <w:szCs w:val="24"/>
          <w:shd w:val="clear" w:color="auto" w:fill="FFFFFF"/>
          <w:lang w:val="en-US" w:eastAsia="zh-CN"/>
        </w:rPr>
        <w:t>投标人</w:t>
      </w:r>
      <w:r>
        <w:rPr>
          <w:rFonts w:hint="eastAsia" w:ascii="宋体" w:hAnsi="宋体" w:eastAsia="宋体" w:cs="宋体"/>
          <w:i w:val="0"/>
          <w:iCs w:val="0"/>
          <w:caps w:val="0"/>
          <w:color w:val="auto"/>
          <w:spacing w:val="0"/>
          <w:sz w:val="24"/>
          <w:szCs w:val="24"/>
          <w:shd w:val="clear" w:color="auto" w:fill="FFFFFF"/>
          <w:lang w:eastAsia="zh-CN"/>
        </w:rPr>
        <w:t>须具有有效的《承装（修、试）电力设施许可证》五级（或以上）资质或电子与智能化工程专业承包二级（或以上）资质；</w:t>
      </w:r>
    </w:p>
    <w:p w14:paraId="1D884E01">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lang w:val="en-US" w:eastAsia="zh-CN"/>
        </w:rPr>
        <w:t>3</w:t>
      </w:r>
      <w:r>
        <w:rPr>
          <w:rFonts w:hint="eastAsia" w:ascii="宋体" w:hAnsi="宋体" w:eastAsia="宋体" w:cs="宋体"/>
          <w:i w:val="0"/>
          <w:iCs w:val="0"/>
          <w:caps w:val="0"/>
          <w:color w:val="auto"/>
          <w:spacing w:val="0"/>
          <w:sz w:val="24"/>
          <w:szCs w:val="24"/>
          <w:shd w:val="clear" w:color="auto" w:fill="FFFFFF"/>
          <w:lang w:eastAsia="zh-CN"/>
        </w:rPr>
        <w:t>）投标人须具备合格有效的安全生产许可证；</w:t>
      </w:r>
    </w:p>
    <w:p w14:paraId="28496630">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cstheme="minorEastAsia"/>
          <w:sz w:val="24"/>
          <w:szCs w:val="32"/>
          <w:lang w:val="en-US" w:eastAsia="zh-CN"/>
        </w:rPr>
        <w:t>（4）</w:t>
      </w:r>
      <w:r>
        <w:rPr>
          <w:rFonts w:hint="eastAsia" w:asciiTheme="minorEastAsia" w:hAnsiTheme="minorEastAsia" w:eastAsiaTheme="minorEastAsia" w:cstheme="minorEastAsia"/>
          <w:sz w:val="24"/>
          <w:szCs w:val="32"/>
          <w:lang w:val="en-US" w:eastAsia="zh-CN"/>
        </w:rPr>
        <w:t>财务状况报告：提供经审计后完整有效的2023年度的财务审计报告，成立时间至提交投标文件递交截止时间不足一年的，须提供其基本存款账户开户银行近三个月内出具的银行资信证明或自成立以来的财务报表；其他组织或自然人提供银行出具的资信证明或财务报表；</w:t>
      </w:r>
    </w:p>
    <w:p w14:paraId="245BBE6D">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5</w:t>
      </w:r>
      <w:r>
        <w:rPr>
          <w:rFonts w:hint="eastAsia" w:asciiTheme="minorEastAsia" w:hAnsiTheme="minorEastAsia" w:eastAsiaTheme="minorEastAsia" w:cstheme="minorEastAsia"/>
          <w:sz w:val="24"/>
          <w:szCs w:val="32"/>
          <w:lang w:val="en-US" w:eastAsia="zh-CN"/>
        </w:rPr>
        <w:t>）税收缴纳证明：提供2024年01月01日至今已缴纳的至少一个月的纳税证明或完税证明（时间以税款所属日期为准、税种须包含增值税或企业所得税），依法免税的单位应提供相关证明材料；</w:t>
      </w:r>
    </w:p>
    <w:p w14:paraId="68069D0D">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6</w:t>
      </w:r>
      <w:r>
        <w:rPr>
          <w:rFonts w:hint="eastAsia" w:asciiTheme="minorEastAsia" w:hAnsiTheme="minorEastAsia" w:eastAsiaTheme="minorEastAsia" w:cstheme="minorEastAsia"/>
          <w:sz w:val="24"/>
          <w:szCs w:val="32"/>
          <w:lang w:val="en-US" w:eastAsia="zh-CN"/>
        </w:rPr>
        <w:t>）社会保障资金缴纳证明：提供2024年01月01日至今已缴纳的至少一个月的社会保障资金银行缴费单据或社保机构开具的社会保险参保缴费情况证明，依法不需要缴纳社会保障资金的单位应提供相关证明材料；</w:t>
      </w:r>
    </w:p>
    <w:p w14:paraId="323BCB5B">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7</w:t>
      </w:r>
      <w:r>
        <w:rPr>
          <w:rFonts w:hint="eastAsia" w:asciiTheme="minorEastAsia" w:hAnsiTheme="minorEastAsia" w:eastAsiaTheme="minorEastAsia" w:cstheme="minorEastAsia"/>
          <w:sz w:val="24"/>
          <w:szCs w:val="32"/>
          <w:lang w:val="en-US" w:eastAsia="zh-CN"/>
        </w:rPr>
        <w:t>）参加政府采购活动前三年内，在经营活动中没有重大违法记录的书面声明；</w:t>
      </w:r>
    </w:p>
    <w:p w14:paraId="49514EC1">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8</w:t>
      </w:r>
      <w:r>
        <w:rPr>
          <w:rFonts w:hint="eastAsia" w:asciiTheme="minorEastAsia" w:hAnsiTheme="minorEastAsia" w:eastAsiaTheme="minorEastAsia" w:cstheme="minorEastAsia"/>
          <w:sz w:val="24"/>
          <w:szCs w:val="32"/>
          <w:lang w:val="en-US" w:eastAsia="zh-CN"/>
        </w:rPr>
        <w:t>）提供具有履行合同所必需的设备和专业技术能力的证明资料或承诺书；</w:t>
      </w:r>
    </w:p>
    <w:p w14:paraId="03C8BD51">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9</w:t>
      </w:r>
      <w:r>
        <w:rPr>
          <w:rFonts w:hint="eastAsia" w:asciiTheme="minorEastAsia" w:hAnsiTheme="minorEastAsia" w:eastAsiaTheme="minorEastAsia" w:cstheme="minorEastAsia"/>
          <w:sz w:val="24"/>
          <w:szCs w:val="32"/>
          <w:lang w:val="en-US" w:eastAsia="zh-CN"/>
        </w:rPr>
        <w:t>）对列入信用中国”网站（www.creditchina.gov.cn）记录失信被执行人、重大税收违法失信主体、企业经营异常名录记录名单、政府采购严重违法失信行为记录名单、中国政府采购网（www.ccgp.gov.cn）政府采购严重违法失信行为信息记录”的单位拒绝参与政府采购活动</w:t>
      </w:r>
      <w:r>
        <w:rPr>
          <w:rFonts w:hint="eastAsia" w:asciiTheme="minorEastAsia" w:hAnsiTheme="minorEastAsia" w:cstheme="minorEastAsia"/>
          <w:sz w:val="24"/>
          <w:szCs w:val="32"/>
          <w:lang w:val="en-US" w:eastAsia="zh-CN"/>
        </w:rPr>
        <w:t>；</w:t>
      </w:r>
    </w:p>
    <w:p w14:paraId="3CE701B5">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10</w:t>
      </w:r>
      <w:r>
        <w:rPr>
          <w:rFonts w:hint="eastAsia" w:asciiTheme="minorEastAsia" w:hAnsiTheme="minorEastAsia" w:eastAsiaTheme="minorEastAsia" w:cstheme="minorEastAsia"/>
          <w:sz w:val="24"/>
          <w:szCs w:val="32"/>
          <w:lang w:val="en-US" w:eastAsia="zh-CN"/>
        </w:rPr>
        <w:t>）投标信用承诺书；</w:t>
      </w:r>
    </w:p>
    <w:p w14:paraId="1899B18C">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11</w:t>
      </w:r>
      <w:r>
        <w:rPr>
          <w:rFonts w:hint="eastAsia" w:asciiTheme="minorEastAsia" w:hAnsiTheme="minorEastAsia" w:eastAsiaTheme="minorEastAsia" w:cstheme="minorEastAsia"/>
          <w:sz w:val="24"/>
          <w:szCs w:val="32"/>
          <w:lang w:val="en-US" w:eastAsia="zh-CN"/>
        </w:rPr>
        <w:t>）榆林市政府采购货物类项目供应商信用承诺书；</w:t>
      </w:r>
    </w:p>
    <w:p w14:paraId="5BB57C3C">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备注：（1）本</w:t>
      </w:r>
      <w:r>
        <w:rPr>
          <w:rFonts w:hint="eastAsia" w:asciiTheme="minorEastAsia" w:hAnsiTheme="minorEastAsia" w:cstheme="minorEastAsia"/>
          <w:sz w:val="24"/>
          <w:szCs w:val="32"/>
          <w:lang w:val="en-US" w:eastAsia="zh-CN"/>
        </w:rPr>
        <w:t>项目</w:t>
      </w:r>
      <w:r>
        <w:rPr>
          <w:rFonts w:hint="eastAsia" w:asciiTheme="minorEastAsia" w:hAnsiTheme="minorEastAsia" w:eastAsiaTheme="minorEastAsia" w:cstheme="minorEastAsia"/>
          <w:sz w:val="24"/>
          <w:szCs w:val="32"/>
          <w:lang w:val="en-US" w:eastAsia="zh-CN"/>
        </w:rPr>
        <w:t>不接受联合体投标、不允许分包、转包，单位负责人为同一人或者存在直接控股、管理关系的不同投标人，不得参加同一合同项下的政府采购活动；（2）事业单位法人参与投标可不提供财务状况报告和社会保障资金缴纳证明及税收缴纳证明；（3）本</w:t>
      </w:r>
      <w:r>
        <w:rPr>
          <w:rFonts w:hint="eastAsia" w:asciiTheme="minorEastAsia" w:hAnsiTheme="minorEastAsia" w:cstheme="minorEastAsia"/>
          <w:sz w:val="24"/>
          <w:szCs w:val="32"/>
          <w:lang w:val="en-US" w:eastAsia="zh-CN"/>
        </w:rPr>
        <w:t>项目</w:t>
      </w:r>
      <w:r>
        <w:rPr>
          <w:rFonts w:hint="eastAsia" w:asciiTheme="minorEastAsia" w:hAnsiTheme="minorEastAsia" w:eastAsiaTheme="minorEastAsia" w:cstheme="minorEastAsia"/>
          <w:sz w:val="24"/>
          <w:szCs w:val="32"/>
          <w:lang w:val="en-US" w:eastAsia="zh-CN"/>
        </w:rPr>
        <w:t>非专门面向中小企业采购</w:t>
      </w:r>
      <w:r>
        <w:rPr>
          <w:rFonts w:hint="eastAsia" w:asciiTheme="minorEastAsia" w:hAnsiTheme="minorEastAsia" w:cstheme="minorEastAsia"/>
          <w:sz w:val="24"/>
          <w:szCs w:val="32"/>
          <w:lang w:val="en-US" w:eastAsia="zh-CN"/>
        </w:rPr>
        <w:t>。</w:t>
      </w:r>
    </w:p>
    <w:p w14:paraId="36EF2D40">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三、获取招标文件</w:t>
      </w:r>
    </w:p>
    <w:p w14:paraId="5F6D491E">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时间：2024年1</w:t>
      </w:r>
      <w:r>
        <w:rPr>
          <w:rFonts w:hint="eastAsia" w:asciiTheme="minorEastAsia" w:hAnsiTheme="minorEastAsia" w:cstheme="minorEastAsia"/>
          <w:sz w:val="24"/>
          <w:szCs w:val="32"/>
          <w:lang w:val="en-US" w:eastAsia="zh-CN"/>
        </w:rPr>
        <w:t>2</w:t>
      </w:r>
      <w:r>
        <w:rPr>
          <w:rFonts w:hint="eastAsia" w:asciiTheme="minorEastAsia" w:hAnsiTheme="minorEastAsia" w:eastAsiaTheme="minorEastAsia" w:cstheme="minorEastAsia"/>
          <w:sz w:val="24"/>
          <w:szCs w:val="32"/>
          <w:lang w:val="en-US" w:eastAsia="zh-CN"/>
        </w:rPr>
        <w:t>月</w:t>
      </w:r>
      <w:r>
        <w:rPr>
          <w:rFonts w:hint="eastAsia" w:asciiTheme="minorEastAsia" w:hAnsiTheme="minorEastAsia" w:cstheme="minorEastAsia"/>
          <w:sz w:val="24"/>
          <w:szCs w:val="32"/>
          <w:lang w:val="en-US" w:eastAsia="zh-CN"/>
        </w:rPr>
        <w:t>25</w:t>
      </w:r>
      <w:r>
        <w:rPr>
          <w:rFonts w:hint="eastAsia" w:asciiTheme="minorEastAsia" w:hAnsiTheme="minorEastAsia" w:eastAsiaTheme="minorEastAsia" w:cstheme="minorEastAsia"/>
          <w:sz w:val="24"/>
          <w:szCs w:val="32"/>
          <w:lang w:val="en-US" w:eastAsia="zh-CN"/>
        </w:rPr>
        <w:t>日至2024年12月</w:t>
      </w:r>
      <w:r>
        <w:rPr>
          <w:rFonts w:hint="eastAsia" w:asciiTheme="minorEastAsia" w:hAnsiTheme="minorEastAsia" w:cstheme="minorEastAsia"/>
          <w:sz w:val="24"/>
          <w:szCs w:val="32"/>
          <w:lang w:val="en-US" w:eastAsia="zh-CN"/>
        </w:rPr>
        <w:t>31</w:t>
      </w:r>
      <w:r>
        <w:rPr>
          <w:rFonts w:hint="eastAsia" w:asciiTheme="minorEastAsia" w:hAnsiTheme="minorEastAsia" w:eastAsiaTheme="minorEastAsia" w:cstheme="minorEastAsia"/>
          <w:sz w:val="24"/>
          <w:szCs w:val="32"/>
          <w:lang w:val="en-US" w:eastAsia="zh-CN"/>
        </w:rPr>
        <w:t>日，每天上午09:00:00至12:00:00，下午14:00:00至17:00:00（北京时间）</w:t>
      </w:r>
    </w:p>
    <w:p w14:paraId="0844761A">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途径：登录全国公共资源交易中心平台（陕西省）使用CA锁报名后自行下载</w:t>
      </w:r>
    </w:p>
    <w:p w14:paraId="6B937513">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方式：在线获取</w:t>
      </w:r>
    </w:p>
    <w:p w14:paraId="268F0B50">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售价：0元</w:t>
      </w:r>
    </w:p>
    <w:p w14:paraId="7C2530A9">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四、提交投标文件截止时间、开标时间和地点</w:t>
      </w:r>
    </w:p>
    <w:p w14:paraId="2F4E8A72">
      <w:pPr>
        <w:bidi w:val="0"/>
        <w:spacing w:line="360" w:lineRule="auto"/>
        <w:ind w:firstLine="480" w:firstLineChars="200"/>
        <w:rPr>
          <w:rFonts w:hint="eastAsia" w:asciiTheme="minorEastAsia" w:hAnsiTheme="minorEastAsia" w:eastAsiaTheme="minorEastAsia" w:cstheme="minorEastAsia"/>
          <w:color w:val="auto"/>
          <w:sz w:val="24"/>
          <w:szCs w:val="32"/>
          <w:lang w:val="en-US" w:eastAsia="zh-CN"/>
        </w:rPr>
      </w:pPr>
      <w:r>
        <w:rPr>
          <w:rFonts w:hint="eastAsia" w:asciiTheme="minorEastAsia" w:hAnsiTheme="minorEastAsia" w:eastAsiaTheme="minorEastAsia" w:cstheme="minorEastAsia"/>
          <w:sz w:val="24"/>
          <w:szCs w:val="32"/>
          <w:lang w:val="en-US" w:eastAsia="zh-CN"/>
        </w:rPr>
        <w:t>时间：202</w:t>
      </w:r>
      <w:r>
        <w:rPr>
          <w:rFonts w:hint="eastAsia" w:asciiTheme="minorEastAsia" w:hAnsiTheme="minorEastAsia" w:cstheme="minorEastAsia"/>
          <w:sz w:val="24"/>
          <w:szCs w:val="32"/>
          <w:lang w:val="en-US" w:eastAsia="zh-CN"/>
        </w:rPr>
        <w:t>5</w:t>
      </w:r>
      <w:r>
        <w:rPr>
          <w:rFonts w:hint="eastAsia" w:asciiTheme="minorEastAsia" w:hAnsiTheme="minorEastAsia" w:eastAsiaTheme="minorEastAsia" w:cstheme="minorEastAsia"/>
          <w:color w:val="auto"/>
          <w:sz w:val="24"/>
          <w:szCs w:val="32"/>
          <w:lang w:val="en-US" w:eastAsia="zh-CN"/>
        </w:rPr>
        <w:t>年</w:t>
      </w:r>
      <w:r>
        <w:rPr>
          <w:rFonts w:hint="eastAsia" w:asciiTheme="minorEastAsia" w:hAnsiTheme="minorEastAsia" w:cstheme="minorEastAsia"/>
          <w:color w:val="auto"/>
          <w:sz w:val="24"/>
          <w:szCs w:val="32"/>
          <w:lang w:val="en-US" w:eastAsia="zh-CN"/>
        </w:rPr>
        <w:t>01</w:t>
      </w:r>
      <w:r>
        <w:rPr>
          <w:rFonts w:hint="eastAsia" w:asciiTheme="minorEastAsia" w:hAnsiTheme="minorEastAsia" w:eastAsiaTheme="minorEastAsia" w:cstheme="minorEastAsia"/>
          <w:color w:val="auto"/>
          <w:sz w:val="24"/>
          <w:szCs w:val="32"/>
          <w:lang w:val="en-US" w:eastAsia="zh-CN"/>
        </w:rPr>
        <w:t>月</w:t>
      </w:r>
      <w:r>
        <w:rPr>
          <w:rFonts w:hint="eastAsia" w:asciiTheme="minorEastAsia" w:hAnsiTheme="minorEastAsia" w:cstheme="minorEastAsia"/>
          <w:color w:val="auto"/>
          <w:sz w:val="24"/>
          <w:szCs w:val="32"/>
          <w:lang w:val="en-US" w:eastAsia="zh-CN"/>
        </w:rPr>
        <w:t>14</w:t>
      </w:r>
      <w:r>
        <w:rPr>
          <w:rFonts w:hint="eastAsia" w:asciiTheme="minorEastAsia" w:hAnsiTheme="minorEastAsia" w:eastAsiaTheme="minorEastAsia" w:cstheme="minorEastAsia"/>
          <w:color w:val="auto"/>
          <w:sz w:val="24"/>
          <w:szCs w:val="32"/>
          <w:lang w:val="en-US" w:eastAsia="zh-CN"/>
        </w:rPr>
        <w:t xml:space="preserve">日 </w:t>
      </w:r>
      <w:r>
        <w:rPr>
          <w:rFonts w:hint="eastAsia" w:asciiTheme="minorEastAsia" w:hAnsiTheme="minorEastAsia" w:cstheme="minorEastAsia"/>
          <w:color w:val="auto"/>
          <w:sz w:val="24"/>
          <w:szCs w:val="32"/>
          <w:lang w:val="en-US" w:eastAsia="zh-CN"/>
        </w:rPr>
        <w:t>13</w:t>
      </w:r>
      <w:r>
        <w:rPr>
          <w:rFonts w:hint="eastAsia" w:asciiTheme="minorEastAsia" w:hAnsiTheme="minorEastAsia" w:eastAsiaTheme="minorEastAsia" w:cstheme="minorEastAsia"/>
          <w:color w:val="auto"/>
          <w:sz w:val="24"/>
          <w:szCs w:val="32"/>
          <w:lang w:val="en-US" w:eastAsia="zh-CN"/>
        </w:rPr>
        <w:t>时30分00秒 （北京时间）</w:t>
      </w:r>
    </w:p>
    <w:p w14:paraId="650CC09C">
      <w:pPr>
        <w:bidi w:val="0"/>
        <w:spacing w:line="360" w:lineRule="auto"/>
        <w:ind w:firstLine="480" w:firstLineChars="200"/>
        <w:rPr>
          <w:rFonts w:hint="eastAsia" w:asciiTheme="minorEastAsia" w:hAnsiTheme="minorEastAsia" w:eastAsiaTheme="minorEastAsia" w:cstheme="minorEastAsia"/>
          <w:color w:val="auto"/>
          <w:sz w:val="24"/>
          <w:szCs w:val="32"/>
          <w:lang w:val="en-US" w:eastAsia="zh-CN"/>
        </w:rPr>
      </w:pPr>
      <w:r>
        <w:rPr>
          <w:rFonts w:hint="eastAsia" w:asciiTheme="minorEastAsia" w:hAnsiTheme="minorEastAsia" w:eastAsiaTheme="minorEastAsia" w:cstheme="minorEastAsia"/>
          <w:color w:val="auto"/>
          <w:sz w:val="24"/>
          <w:szCs w:val="32"/>
          <w:lang w:val="en-US" w:eastAsia="zh-CN"/>
        </w:rPr>
        <w:t>提交投标文件地点：陕西省公共资源交易平台</w:t>
      </w:r>
    </w:p>
    <w:p w14:paraId="6F9590B9">
      <w:pPr>
        <w:bidi w:val="0"/>
        <w:spacing w:line="360" w:lineRule="auto"/>
        <w:ind w:firstLine="480" w:firstLineChars="200"/>
        <w:rPr>
          <w:rFonts w:hint="eastAsia" w:asciiTheme="minorEastAsia" w:hAnsiTheme="minorEastAsia" w:eastAsiaTheme="minorEastAsia" w:cstheme="minorEastAsia"/>
          <w:color w:val="auto"/>
          <w:sz w:val="24"/>
          <w:szCs w:val="32"/>
          <w:lang w:val="en-US" w:eastAsia="zh-CN"/>
        </w:rPr>
      </w:pPr>
      <w:r>
        <w:rPr>
          <w:rFonts w:hint="eastAsia" w:asciiTheme="minorEastAsia" w:hAnsiTheme="minorEastAsia" w:eastAsiaTheme="minorEastAsia" w:cstheme="minorEastAsia"/>
          <w:color w:val="auto"/>
          <w:sz w:val="24"/>
          <w:szCs w:val="32"/>
          <w:lang w:val="en-US" w:eastAsia="zh-CN"/>
        </w:rPr>
        <w:t>开标地点：榆林市公共资源交易中心十楼开标</w:t>
      </w:r>
      <w:r>
        <w:rPr>
          <w:rFonts w:hint="eastAsia" w:asciiTheme="minorEastAsia" w:hAnsiTheme="minorEastAsia" w:cstheme="minorEastAsia"/>
          <w:color w:val="auto"/>
          <w:sz w:val="24"/>
          <w:szCs w:val="32"/>
          <w:lang w:val="en-US" w:eastAsia="zh-CN"/>
        </w:rPr>
        <w:t>11</w:t>
      </w:r>
      <w:r>
        <w:rPr>
          <w:rFonts w:hint="eastAsia" w:asciiTheme="minorEastAsia" w:hAnsiTheme="minorEastAsia" w:eastAsiaTheme="minorEastAsia" w:cstheme="minorEastAsia"/>
          <w:color w:val="auto"/>
          <w:sz w:val="24"/>
          <w:szCs w:val="32"/>
          <w:lang w:val="en-US" w:eastAsia="zh-CN"/>
        </w:rPr>
        <w:t>室</w:t>
      </w:r>
    </w:p>
    <w:p w14:paraId="3AA6B469">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五、公告期限</w:t>
      </w:r>
    </w:p>
    <w:p w14:paraId="02D42D74">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自本公告发布之日起5个工作日。</w:t>
      </w:r>
    </w:p>
    <w:p w14:paraId="5D4822FB">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六、其他补充事宜</w:t>
      </w:r>
    </w:p>
    <w:p w14:paraId="0779E52C">
      <w:pPr>
        <w:bidi w:val="0"/>
        <w:spacing w:line="360" w:lineRule="auto"/>
        <w:ind w:firstLine="482" w:firstLineChars="200"/>
        <w:rPr>
          <w:rFonts w:hint="eastAsia" w:asciiTheme="minorEastAsia" w:hAnsiTheme="minorEastAsia" w:cstheme="minorEastAsia"/>
          <w:b/>
          <w:bCs/>
          <w:sz w:val="24"/>
          <w:szCs w:val="32"/>
          <w:lang w:val="en-US" w:eastAsia="zh-CN"/>
        </w:rPr>
      </w:pPr>
      <w:r>
        <w:rPr>
          <w:rFonts w:hint="eastAsia" w:asciiTheme="minorEastAsia" w:hAnsiTheme="minorEastAsia" w:cstheme="minorEastAsia"/>
          <w:b/>
          <w:bCs/>
          <w:sz w:val="24"/>
          <w:szCs w:val="32"/>
          <w:lang w:val="en-US" w:eastAsia="zh-CN"/>
        </w:rPr>
        <w:t>采购项目名称：榆林市市委机关事务服务中心市委机关大院应急柴油发电机组及应急备电货物项目</w:t>
      </w:r>
    </w:p>
    <w:p w14:paraId="6466F412">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特别提醒：（1）投标人可登录全国公共资源交易中心平台（陕西省）（http://www.sxggzyjy.cn/）,选择“电子交易平台-陕西政府采购交易系统-陕西省公共资源交易平台-投标人”进行登录，登录后选择“交易乙方”身份进入投标人界面进行报名并免费下载招标文件；（2）CA锁购买:①现场购买榆林市市民大厦3 楼，E18、E19 窗口,电话: 0912-3452148；②线上购买操作指南：http://www.sobot.com/chat-web/user/chatByDocId.action?docId=829e079c5f0a4bd6a51365f5b942c676&amp;cid=267&amp;robotNo=1）；（3）本项目采用电子化招投标方式和“不见面”开标形式，投标人使用数字认证证书（CA 锁）对投标文件进行签章、加密、递交及开标时解密等相关招投标事宜。投标人应于投标文件递交截止时间前任意时段登录交易平台〖首页〉电子交易平台〉企业端〗在线提交电子投标文件，逾期提交系统将拒绝接收。投标人可登录榆林交易平台〖首页〉不见面开标〗在线参与开评标过程，详见《榆林市不见面开标大厅操作手册（投标人）》（交易平台〖首页〉服务指南〉下载专区〗中的《榆林市不见面开标大厅操作手册（投标人）》）；（4）请投标人按照陕西省财政厅关于政府采购投标人注册登记有关事项的通知中的要求，通过陕西省政府采购网（http://www.ccgp-shaanxi.gov.cn/）注册登记加入陕西省政府采购投标人库；（5）投标人应随时关注发布的变更公告，当澄清或修改的内容影响投标文件编制时，将在交易平台上同步发布答疑文件，此时投标人应从“项目流程〉答疑文件下载”下载最新发布的答疑文件（*.SXSCF 格式），并使用该文件重新编制电子投标文件（*.SXSTF 格式），使用旧版电子招标文件或旧版答疑文件制作的电子投标文件，系统将拒绝接收。</w:t>
      </w:r>
    </w:p>
    <w:p w14:paraId="4033C114">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七、对本次招标提出询问，请按以下方式联系。</w:t>
      </w:r>
    </w:p>
    <w:p w14:paraId="4F1B56D7">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1.采购人信息</w:t>
      </w:r>
    </w:p>
    <w:p w14:paraId="26DA3C5A">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名称：</w:t>
      </w:r>
      <w:r>
        <w:rPr>
          <w:rFonts w:hint="eastAsia" w:asciiTheme="minorEastAsia" w:hAnsiTheme="minorEastAsia" w:cstheme="minorEastAsia"/>
          <w:sz w:val="24"/>
          <w:szCs w:val="32"/>
          <w:lang w:val="en-US" w:eastAsia="zh-CN"/>
        </w:rPr>
        <w:t>榆林市市委机关事务服务中心</w:t>
      </w:r>
    </w:p>
    <w:p w14:paraId="7141D453">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地址：</w:t>
      </w:r>
      <w:r>
        <w:rPr>
          <w:rFonts w:hint="eastAsia" w:asciiTheme="minorEastAsia" w:hAnsiTheme="minorEastAsia" w:cstheme="minorEastAsia"/>
          <w:sz w:val="24"/>
          <w:szCs w:val="32"/>
          <w:lang w:val="en-US" w:eastAsia="zh-CN"/>
        </w:rPr>
        <w:t>榆林市高新技术产业开发区榆溪大道13号市委办公楼</w:t>
      </w:r>
    </w:p>
    <w:p w14:paraId="1B7DAEF5">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联系方式：</w:t>
      </w:r>
      <w:r>
        <w:rPr>
          <w:rFonts w:hint="eastAsia" w:asciiTheme="minorEastAsia" w:hAnsiTheme="minorEastAsia" w:cstheme="minorEastAsia"/>
          <w:sz w:val="24"/>
          <w:szCs w:val="32"/>
          <w:lang w:val="en-US" w:eastAsia="zh-CN"/>
        </w:rPr>
        <w:t>0912-3829236</w:t>
      </w:r>
    </w:p>
    <w:p w14:paraId="31376DFE">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2.采购代理机构信息</w:t>
      </w:r>
    </w:p>
    <w:p w14:paraId="275F8CB0">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名称：陕西中财招标代理有限公司</w:t>
      </w:r>
    </w:p>
    <w:p w14:paraId="380E05E0">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地址：榆林市榆阳区航宇路住建局正对面（中财）二楼</w:t>
      </w:r>
    </w:p>
    <w:p w14:paraId="34E48775">
      <w:pPr>
        <w:bidi w:val="0"/>
        <w:spacing w:line="360" w:lineRule="auto"/>
        <w:ind w:firstLine="480" w:firstLineChars="200"/>
        <w:rPr>
          <w:rFonts w:hint="default"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联系方式：0912-8101110、</w:t>
      </w:r>
      <w:r>
        <w:rPr>
          <w:rFonts w:hint="eastAsia" w:asciiTheme="minorEastAsia" w:hAnsiTheme="minorEastAsia" w:cstheme="minorEastAsia"/>
          <w:sz w:val="24"/>
          <w:szCs w:val="32"/>
          <w:lang w:val="en-US" w:eastAsia="zh-CN"/>
        </w:rPr>
        <w:t>13379579900</w:t>
      </w:r>
    </w:p>
    <w:p w14:paraId="65FE2F43">
      <w:pPr>
        <w:bidi w:val="0"/>
        <w:spacing w:line="360" w:lineRule="auto"/>
        <w:rPr>
          <w:rFonts w:hint="eastAsia" w:asciiTheme="minorEastAsia" w:hAnsiTheme="minorEastAsia" w:eastAsiaTheme="minorEastAsia" w:cstheme="minorEastAsia"/>
          <w:b/>
          <w:bCs/>
          <w:sz w:val="24"/>
          <w:szCs w:val="32"/>
          <w:lang w:val="en-US" w:eastAsia="zh-CN"/>
        </w:rPr>
      </w:pPr>
      <w:r>
        <w:rPr>
          <w:rFonts w:hint="eastAsia" w:asciiTheme="minorEastAsia" w:hAnsiTheme="minorEastAsia" w:eastAsiaTheme="minorEastAsia" w:cstheme="minorEastAsia"/>
          <w:b/>
          <w:bCs/>
          <w:sz w:val="24"/>
          <w:szCs w:val="32"/>
          <w:lang w:val="en-US" w:eastAsia="zh-CN"/>
        </w:rPr>
        <w:t>3.项目联系方式</w:t>
      </w:r>
    </w:p>
    <w:p w14:paraId="62E2F130">
      <w:pPr>
        <w:bidi w:val="0"/>
        <w:spacing w:line="360" w:lineRule="auto"/>
        <w:ind w:firstLine="480" w:firstLineChars="200"/>
        <w:rPr>
          <w:rFonts w:hint="default"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 xml:space="preserve">项目联系人：冯莹 </w:t>
      </w:r>
      <w:r>
        <w:rPr>
          <w:rFonts w:hint="eastAsia" w:asciiTheme="minorEastAsia" w:hAnsiTheme="minorEastAsia" w:cstheme="minorEastAsia"/>
          <w:sz w:val="24"/>
          <w:szCs w:val="32"/>
          <w:lang w:val="en-US" w:eastAsia="zh-CN"/>
        </w:rPr>
        <w:t xml:space="preserve"> 杨丹丹</w:t>
      </w:r>
    </w:p>
    <w:p w14:paraId="7BA7A7DE">
      <w:p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电话：0912-8101110、</w:t>
      </w:r>
      <w:r>
        <w:rPr>
          <w:rFonts w:hint="eastAsia" w:asciiTheme="minorEastAsia" w:hAnsiTheme="minorEastAsia" w:cstheme="minorEastAsia"/>
          <w:sz w:val="24"/>
          <w:szCs w:val="32"/>
          <w:lang w:val="en-US" w:eastAsia="zh-CN"/>
        </w:rPr>
        <w:t>13379579900</w:t>
      </w:r>
    </w:p>
    <w:p w14:paraId="46C758CA">
      <w:pPr>
        <w:bidi w:val="0"/>
        <w:spacing w:line="360" w:lineRule="auto"/>
        <w:ind w:firstLine="480" w:firstLineChars="200"/>
        <w:rPr>
          <w:rFonts w:hint="eastAsia" w:asciiTheme="minorEastAsia" w:hAnsiTheme="minorEastAsia" w:eastAsiaTheme="minorEastAsia" w:cstheme="minorEastAsia"/>
          <w:sz w:val="24"/>
          <w:szCs w:val="32"/>
          <w:lang w:val="en-US" w:eastAsia="zh-CN"/>
        </w:rPr>
      </w:pPr>
    </w:p>
    <w:p w14:paraId="05CA0C5E">
      <w:pPr>
        <w:pStyle w:val="3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wordWrap w:val="0"/>
        <w:overflowPunct/>
        <w:topLinePunct w:val="0"/>
        <w:autoSpaceDE/>
        <w:autoSpaceDN/>
        <w:bidi w:val="0"/>
        <w:adjustRightInd/>
        <w:snapToGrid/>
        <w:spacing w:before="0" w:beforeAutospacing="0" w:after="0" w:afterAutospacing="0" w:line="360" w:lineRule="auto"/>
        <w:ind w:left="0" w:right="0" w:firstLine="480"/>
        <w:jc w:val="right"/>
        <w:textAlignment w:val="auto"/>
        <w:rPr>
          <w:sz w:val="21"/>
          <w:szCs w:val="21"/>
          <w:highlight w:val="none"/>
        </w:rPr>
      </w:pPr>
    </w:p>
    <w:p w14:paraId="591A3F08">
      <w:pPr>
        <w:pStyle w:val="2"/>
        <w:shd w:val="clear"/>
        <w:spacing w:line="360" w:lineRule="auto"/>
        <w:rPr>
          <w:highlight w:val="none"/>
        </w:rPr>
        <w:sectPr>
          <w:pgSz w:w="11906" w:h="16838"/>
          <w:pgMar w:top="1440" w:right="1800" w:bottom="1440" w:left="1800" w:header="1135" w:footer="1135" w:gutter="0"/>
          <w:pgNumType w:fmt="decimal"/>
          <w:cols w:space="425" w:num="1"/>
          <w:docGrid w:type="lines" w:linePitch="312" w:charSpace="0"/>
        </w:sectPr>
      </w:pPr>
      <w:bookmarkStart w:id="15" w:name="_Toc12010"/>
      <w:bookmarkStart w:id="16" w:name="_Toc27427"/>
    </w:p>
    <w:p w14:paraId="70A0BD43">
      <w:pPr>
        <w:pStyle w:val="2"/>
        <w:shd w:val="clear"/>
        <w:spacing w:line="360" w:lineRule="auto"/>
        <w:rPr>
          <w:rFonts w:hint="default"/>
          <w:highlight w:val="none"/>
        </w:rPr>
      </w:pPr>
      <w:r>
        <w:rPr>
          <w:highlight w:val="none"/>
        </w:rPr>
        <w:t xml:space="preserve">第二章  </w:t>
      </w:r>
      <w:bookmarkEnd w:id="13"/>
      <w:bookmarkEnd w:id="14"/>
      <w:r>
        <w:rPr>
          <w:highlight w:val="none"/>
        </w:rPr>
        <w:t>投标人须知</w:t>
      </w:r>
      <w:bookmarkEnd w:id="15"/>
      <w:bookmarkEnd w:id="16"/>
    </w:p>
    <w:p w14:paraId="5F2FBBB7">
      <w:pPr>
        <w:pStyle w:val="3"/>
        <w:shd w:val="clear"/>
        <w:spacing w:before="0" w:after="0" w:line="360" w:lineRule="auto"/>
        <w:ind w:left="283"/>
        <w:jc w:val="center"/>
        <w:rPr>
          <w:sz w:val="24"/>
          <w:szCs w:val="28"/>
          <w:highlight w:val="none"/>
        </w:rPr>
      </w:pPr>
      <w:bookmarkStart w:id="17" w:name="_Toc20551"/>
      <w:bookmarkStart w:id="18" w:name="_Toc1821"/>
      <w:bookmarkStart w:id="19" w:name="_Toc29547"/>
      <w:bookmarkStart w:id="20" w:name="_Toc26088"/>
      <w:r>
        <w:rPr>
          <w:rFonts w:hint="eastAsia"/>
          <w:sz w:val="24"/>
          <w:szCs w:val="28"/>
          <w:highlight w:val="none"/>
        </w:rPr>
        <w:t>投标人须知前附表</w:t>
      </w:r>
      <w:bookmarkEnd w:id="17"/>
      <w:bookmarkEnd w:id="18"/>
      <w:bookmarkEnd w:id="19"/>
      <w:bookmarkEnd w:id="20"/>
    </w:p>
    <w:p w14:paraId="59446A61">
      <w:pPr>
        <w:shd w:val="clear"/>
        <w:spacing w:line="360" w:lineRule="auto"/>
        <w:ind w:firstLine="600" w:firstLineChars="250"/>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本表是对投标人须知的具体补充和修改，如有矛盾，应以本资料表为准。</w:t>
      </w:r>
    </w:p>
    <w:tbl>
      <w:tblPr>
        <w:tblStyle w:val="41"/>
        <w:tblW w:w="984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598"/>
        <w:gridCol w:w="1126"/>
        <w:gridCol w:w="8117"/>
      </w:tblGrid>
      <w:tr w14:paraId="0F869A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84"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tcPr>
          <w:p w14:paraId="5E9D3691">
            <w:pPr>
              <w:shd w:val="clear"/>
              <w:spacing w:before="156" w:beforeLines="50" w:line="360" w:lineRule="auto"/>
              <w:jc w:val="center"/>
              <w:rPr>
                <w:rFonts w:asciiTheme="minorEastAsia" w:hAnsiTheme="minorEastAsia" w:cstheme="minorEastAsia"/>
                <w:b/>
                <w:sz w:val="24"/>
                <w:highlight w:val="none"/>
              </w:rPr>
            </w:pPr>
            <w:r>
              <w:rPr>
                <w:rFonts w:hint="eastAsia" w:asciiTheme="minorEastAsia" w:hAnsiTheme="minorEastAsia" w:cstheme="minorEastAsia"/>
                <w:b/>
                <w:sz w:val="24"/>
                <w:highlight w:val="none"/>
              </w:rPr>
              <w:t>序号</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518E3EDE">
            <w:pPr>
              <w:shd w:val="clear"/>
              <w:spacing w:before="156" w:beforeLines="50" w:line="360" w:lineRule="auto"/>
              <w:jc w:val="center"/>
              <w:rPr>
                <w:rFonts w:asciiTheme="minorEastAsia" w:hAnsiTheme="minorEastAsia" w:cstheme="minorEastAsia"/>
                <w:b/>
                <w:sz w:val="24"/>
                <w:highlight w:val="none"/>
              </w:rPr>
            </w:pPr>
            <w:r>
              <w:rPr>
                <w:rFonts w:hint="eastAsia" w:asciiTheme="minorEastAsia" w:hAnsiTheme="minorEastAsia" w:cstheme="minorEastAsia"/>
                <w:b/>
                <w:sz w:val="24"/>
                <w:highlight w:val="none"/>
              </w:rPr>
              <w:t>条款号</w:t>
            </w:r>
          </w:p>
        </w:tc>
        <w:tc>
          <w:tcPr>
            <w:tcW w:w="8117" w:type="dxa"/>
            <w:tcBorders>
              <w:top w:val="single" w:color="auto" w:sz="6" w:space="0"/>
              <w:left w:val="single" w:color="auto" w:sz="6" w:space="0"/>
              <w:bottom w:val="single" w:color="auto" w:sz="6" w:space="0"/>
              <w:right w:val="single" w:color="auto" w:sz="6" w:space="0"/>
            </w:tcBorders>
            <w:shd w:val="clear" w:color="auto" w:fill="auto"/>
          </w:tcPr>
          <w:p w14:paraId="29CB8455">
            <w:pPr>
              <w:shd w:val="clear"/>
              <w:spacing w:before="156" w:beforeLines="50" w:line="360" w:lineRule="auto"/>
              <w:jc w:val="center"/>
              <w:rPr>
                <w:rFonts w:asciiTheme="minorEastAsia" w:hAnsiTheme="minorEastAsia" w:cstheme="minorEastAsia"/>
                <w:b/>
                <w:sz w:val="24"/>
                <w:highlight w:val="none"/>
              </w:rPr>
            </w:pPr>
            <w:r>
              <w:rPr>
                <w:rFonts w:hint="eastAsia" w:asciiTheme="minorEastAsia" w:hAnsiTheme="minorEastAsia" w:cstheme="minorEastAsia"/>
                <w:b/>
                <w:sz w:val="24"/>
                <w:highlight w:val="none"/>
              </w:rPr>
              <w:t xml:space="preserve">编 列 内 容 </w:t>
            </w:r>
          </w:p>
        </w:tc>
      </w:tr>
      <w:tr w14:paraId="00DAE9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37C44EE0">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59F8EEAA">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2.1</w:t>
            </w:r>
          </w:p>
        </w:tc>
        <w:tc>
          <w:tcPr>
            <w:tcW w:w="8117" w:type="dxa"/>
            <w:tcBorders>
              <w:top w:val="single" w:color="auto" w:sz="6" w:space="0"/>
              <w:left w:val="single" w:color="auto" w:sz="6" w:space="0"/>
              <w:bottom w:val="single" w:color="auto" w:sz="6" w:space="0"/>
              <w:right w:val="single" w:color="auto" w:sz="6" w:space="0"/>
            </w:tcBorders>
            <w:shd w:val="clear" w:color="auto" w:fill="auto"/>
          </w:tcPr>
          <w:p w14:paraId="20B8BD71">
            <w:pPr>
              <w:shd w:val="clear"/>
              <w:spacing w:line="360" w:lineRule="auto"/>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采购代理机构：陕西中财招标代理有限公司</w:t>
            </w:r>
          </w:p>
          <w:p w14:paraId="483ACF8F">
            <w:pPr>
              <w:shd w:val="clear"/>
              <w:spacing w:line="360" w:lineRule="auto"/>
              <w:rPr>
                <w:rFonts w:hint="eastAsia" w:asciiTheme="minorEastAsia" w:hAnsiTheme="minorEastAsia" w:eastAsiaTheme="minorEastAsia" w:cstheme="minorEastAsia"/>
                <w:sz w:val="24"/>
                <w:highlight w:val="none"/>
                <w:lang w:eastAsia="zh-CN"/>
              </w:rPr>
            </w:pPr>
            <w:r>
              <w:rPr>
                <w:rFonts w:hint="eastAsia" w:asciiTheme="minorEastAsia" w:hAnsiTheme="minorEastAsia" w:cstheme="minorEastAsia"/>
                <w:sz w:val="24"/>
                <w:highlight w:val="none"/>
                <w:lang w:bidi="ar"/>
              </w:rPr>
              <w:t>地        址：</w:t>
            </w:r>
            <w:r>
              <w:rPr>
                <w:rFonts w:hint="eastAsia" w:asciiTheme="minorEastAsia" w:hAnsiTheme="minorEastAsia" w:cstheme="minorEastAsia"/>
                <w:sz w:val="24"/>
                <w:highlight w:val="none"/>
                <w:lang w:eastAsia="zh-CN" w:bidi="ar"/>
              </w:rPr>
              <w:t>榆林市榆阳区航宇路住建局正对面（中财）二楼</w:t>
            </w:r>
          </w:p>
          <w:p w14:paraId="18C996AD">
            <w:pPr>
              <w:shd w:val="clear"/>
              <w:spacing w:line="360" w:lineRule="auto"/>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邮        编：719000</w:t>
            </w:r>
          </w:p>
          <w:p w14:paraId="58433242">
            <w:pPr>
              <w:shd w:val="clear"/>
              <w:spacing w:line="360" w:lineRule="auto"/>
              <w:rPr>
                <w:rFonts w:hint="eastAsia" w:asciiTheme="minorEastAsia" w:hAnsiTheme="minorEastAsia" w:eastAsiaTheme="minorEastAsia" w:cstheme="minorEastAsia"/>
                <w:sz w:val="24"/>
                <w:highlight w:val="none"/>
                <w:lang w:eastAsia="zh-CN"/>
              </w:rPr>
            </w:pPr>
            <w:r>
              <w:rPr>
                <w:rFonts w:hint="eastAsia" w:asciiTheme="minorEastAsia" w:hAnsiTheme="minorEastAsia" w:cstheme="minorEastAsia"/>
                <w:sz w:val="24"/>
                <w:highlight w:val="none"/>
                <w:lang w:bidi="ar"/>
              </w:rPr>
              <w:t>电        话：0912-</w:t>
            </w:r>
            <w:r>
              <w:rPr>
                <w:rFonts w:hint="eastAsia" w:asciiTheme="minorEastAsia" w:hAnsiTheme="minorEastAsia" w:cstheme="minorEastAsia"/>
                <w:sz w:val="24"/>
                <w:highlight w:val="none"/>
                <w:lang w:eastAsia="zh-CN" w:bidi="ar"/>
              </w:rPr>
              <w:t>8101110</w:t>
            </w:r>
          </w:p>
          <w:p w14:paraId="06B41332">
            <w:pPr>
              <w:shd w:val="clear"/>
              <w:spacing w:line="360" w:lineRule="auto"/>
              <w:rPr>
                <w:rFonts w:hint="eastAsia" w:asciiTheme="minorEastAsia" w:hAnsiTheme="minorEastAsia" w:eastAsiaTheme="minorEastAsia" w:cstheme="minorEastAsia"/>
                <w:sz w:val="24"/>
                <w:highlight w:val="none"/>
                <w:lang w:eastAsia="zh-CN"/>
              </w:rPr>
            </w:pPr>
            <w:r>
              <w:rPr>
                <w:rFonts w:hint="eastAsia" w:asciiTheme="minorEastAsia" w:hAnsiTheme="minorEastAsia" w:cstheme="minorEastAsia"/>
                <w:sz w:val="24"/>
                <w:highlight w:val="none"/>
              </w:rPr>
              <w:t>传        真：0912-</w:t>
            </w:r>
            <w:r>
              <w:rPr>
                <w:rFonts w:hint="eastAsia" w:asciiTheme="minorEastAsia" w:hAnsiTheme="minorEastAsia" w:cstheme="minorEastAsia"/>
                <w:sz w:val="24"/>
                <w:highlight w:val="none"/>
                <w:lang w:eastAsia="zh-CN"/>
              </w:rPr>
              <w:t>8101110</w:t>
            </w:r>
          </w:p>
        </w:tc>
      </w:tr>
      <w:tr w14:paraId="0F3BA0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24"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5434DB71">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2</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4B10A02E">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2.2.4</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7262D665">
            <w:pPr>
              <w:shd w:val="clear"/>
              <w:spacing w:line="360" w:lineRule="auto"/>
              <w:rPr>
                <w:rFonts w:asciiTheme="minorEastAsia" w:hAnsiTheme="minorEastAsia" w:cstheme="minorEastAsia"/>
                <w:sz w:val="24"/>
                <w:highlight w:val="none"/>
              </w:rPr>
            </w:pPr>
            <w:r>
              <w:rPr>
                <w:rFonts w:hint="eastAsia" w:asciiTheme="minorEastAsia" w:hAnsiTheme="minorEastAsia" w:cstheme="minorEastAsia"/>
                <w:sz w:val="24"/>
                <w:highlight w:val="none"/>
              </w:rPr>
              <w:t>本项目不接受联合体投标。</w:t>
            </w:r>
          </w:p>
        </w:tc>
      </w:tr>
      <w:tr w14:paraId="3AF690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481"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5F6B3C5E">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3</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7B2CB31A">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9.2</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6182C607">
            <w:pPr>
              <w:shd w:val="clear"/>
              <w:spacing w:line="360" w:lineRule="auto"/>
              <w:rPr>
                <w:rFonts w:asciiTheme="minorEastAsia" w:hAnsiTheme="minorEastAsia" w:cstheme="minorEastAsia"/>
                <w:sz w:val="24"/>
                <w:highlight w:val="none"/>
              </w:rPr>
            </w:pPr>
            <w:r>
              <w:rPr>
                <w:rFonts w:hint="eastAsia" w:asciiTheme="minorEastAsia" w:hAnsiTheme="minorEastAsia" w:cstheme="minorEastAsia"/>
                <w:sz w:val="24"/>
                <w:highlight w:val="none"/>
              </w:rPr>
              <w:t>不允许提供备选方案。</w:t>
            </w:r>
          </w:p>
        </w:tc>
      </w:tr>
      <w:tr w14:paraId="721194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06"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4984EEB7">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4</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1CC25CA5">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9.3</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5F288004">
            <w:pPr>
              <w:shd w:val="clear"/>
              <w:spacing w:line="360" w:lineRule="auto"/>
              <w:rPr>
                <w:rFonts w:asciiTheme="minorEastAsia" w:hAnsiTheme="minorEastAsia" w:cstheme="minorEastAsia"/>
                <w:sz w:val="24"/>
                <w:highlight w:val="none"/>
              </w:rPr>
            </w:pPr>
            <w:r>
              <w:rPr>
                <w:rFonts w:hint="eastAsia" w:asciiTheme="minorEastAsia" w:hAnsiTheme="minorEastAsia" w:cstheme="minorEastAsia"/>
                <w:sz w:val="24"/>
                <w:highlight w:val="none"/>
              </w:rPr>
              <w:t>本次招标采用“</w:t>
            </w:r>
            <w:r>
              <w:rPr>
                <w:rFonts w:hint="eastAsia" w:asciiTheme="minorEastAsia" w:hAnsiTheme="minorEastAsia" w:cstheme="minorEastAsia"/>
                <w:sz w:val="24"/>
                <w:highlight w:val="none"/>
                <w:lang w:val="en-US" w:eastAsia="zh-CN"/>
              </w:rPr>
              <w:t>项目</w:t>
            </w:r>
            <w:r>
              <w:rPr>
                <w:rFonts w:hint="eastAsia" w:asciiTheme="minorEastAsia" w:hAnsiTheme="minorEastAsia" w:cstheme="minorEastAsia"/>
                <w:sz w:val="24"/>
                <w:highlight w:val="none"/>
              </w:rPr>
              <w:t>”整体打包方式，投标人可根据自身的资质情况和经营范围进行投标，但不得将其自行分解或只对本次项目中的品目进行不完全投标，任何不完全的投标将按无效投标处理。</w:t>
            </w:r>
          </w:p>
        </w:tc>
      </w:tr>
      <w:tr w14:paraId="0823EA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423DEB57">
            <w:pPr>
              <w:shd w:val="clear"/>
              <w:spacing w:after="156" w:afterLines="50"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5</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52717D7E">
            <w:pPr>
              <w:shd w:val="clear"/>
              <w:spacing w:after="156" w:afterLines="50"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11.1</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7691C489">
            <w:pPr>
              <w:shd w:val="clear"/>
              <w:spacing w:line="360" w:lineRule="auto"/>
              <w:rPr>
                <w:rFonts w:asciiTheme="minorEastAsia" w:hAnsiTheme="minorEastAsia" w:cstheme="minorEastAsia"/>
                <w:sz w:val="24"/>
                <w:highlight w:val="none"/>
              </w:rPr>
            </w:pPr>
            <w:r>
              <w:rPr>
                <w:rFonts w:hint="eastAsia" w:asciiTheme="minorEastAsia" w:hAnsiTheme="minorEastAsia" w:cstheme="minorEastAsia"/>
                <w:sz w:val="24"/>
                <w:highlight w:val="none"/>
              </w:rPr>
              <w:t>投标报价：合同价即中标价，投标人应在投标报价表中包含但不限于完成本次招标所要求的货物、服务且验收合格的所有费用，包括货物费、运杂费（含保险）、仓储保管费、</w:t>
            </w:r>
            <w:r>
              <w:rPr>
                <w:rFonts w:hint="eastAsia" w:asciiTheme="minorEastAsia" w:hAnsiTheme="minorEastAsia" w:cstheme="minorEastAsia"/>
                <w:sz w:val="24"/>
                <w:highlight w:val="none"/>
                <w:lang w:val="en-US" w:eastAsia="zh-CN"/>
              </w:rPr>
              <w:t>安装调试费、</w:t>
            </w:r>
            <w:r>
              <w:rPr>
                <w:rFonts w:hint="eastAsia" w:asciiTheme="minorEastAsia" w:hAnsiTheme="minorEastAsia" w:cstheme="minorEastAsia"/>
                <w:color w:val="auto"/>
                <w:sz w:val="24"/>
                <w:highlight w:val="none"/>
                <w:lang w:eastAsia="zh-CN"/>
              </w:rPr>
              <w:t>改造费、人工费、</w:t>
            </w:r>
            <w:r>
              <w:rPr>
                <w:rFonts w:hint="eastAsia" w:asciiTheme="minorEastAsia" w:hAnsiTheme="minorEastAsia" w:cstheme="minorEastAsia"/>
                <w:sz w:val="24"/>
                <w:highlight w:val="none"/>
              </w:rPr>
              <w:t>验收费用、税费等其他相关费用。</w:t>
            </w:r>
          </w:p>
        </w:tc>
      </w:tr>
      <w:tr w14:paraId="590D36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05"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7135FB04">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6</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578A41BC">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12.1</w:t>
            </w:r>
          </w:p>
        </w:tc>
        <w:tc>
          <w:tcPr>
            <w:tcW w:w="8117" w:type="dxa"/>
            <w:tcBorders>
              <w:top w:val="single" w:color="auto" w:sz="6" w:space="0"/>
              <w:left w:val="single" w:color="auto" w:sz="6" w:space="0"/>
              <w:bottom w:val="single" w:color="auto" w:sz="6" w:space="0"/>
              <w:right w:val="single" w:color="auto" w:sz="6" w:space="0"/>
            </w:tcBorders>
            <w:shd w:val="clear" w:color="auto" w:fill="auto"/>
          </w:tcPr>
          <w:p w14:paraId="3AC91619">
            <w:pPr>
              <w:shd w:val="clear"/>
              <w:spacing w:line="360" w:lineRule="auto"/>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资格证明文件：</w:t>
            </w:r>
          </w:p>
          <w:p w14:paraId="273C86CE">
            <w:pPr>
              <w:numPr>
                <w:ilvl w:val="0"/>
                <w:numId w:val="0"/>
              </w:numPr>
              <w:shd w:val="clear"/>
              <w:bidi w:val="0"/>
              <w:spacing w:line="360" w:lineRule="auto"/>
              <w:ind w:firstLine="480" w:firstLineChars="200"/>
              <w:rPr>
                <w:rFonts w:hint="eastAsia" w:asciiTheme="minorEastAsia" w:hAnsiTheme="minorEastAsia" w:cstheme="minorEastAsia"/>
                <w:sz w:val="24"/>
                <w:szCs w:val="32"/>
                <w:highlight w:val="none"/>
                <w:lang w:eastAsia="zh-CN"/>
              </w:rPr>
            </w:pPr>
            <w:r>
              <w:rPr>
                <w:rFonts w:hint="eastAsia" w:asciiTheme="minorEastAsia" w:hAnsiTheme="minorEastAsia" w:cstheme="minorEastAsia"/>
                <w:sz w:val="24"/>
                <w:szCs w:val="32"/>
                <w:highlight w:val="none"/>
                <w:lang w:eastAsia="zh-CN"/>
              </w:rPr>
              <w:t>投标人应具备《中华人民共和国政府采购法》第二十二条规定的条件；并提供以下资格证明文件：</w:t>
            </w:r>
          </w:p>
          <w:p w14:paraId="3C020DC8">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kern w:val="2"/>
                <w:sz w:val="24"/>
                <w:szCs w:val="32"/>
                <w:lang w:val="en-US" w:eastAsia="zh-CN" w:bidi="ar-SA"/>
              </w:rPr>
              <w:t>（1）</w:t>
            </w:r>
            <w:r>
              <w:rPr>
                <w:rFonts w:hint="eastAsia" w:asciiTheme="minorEastAsia" w:hAnsiTheme="minorEastAsia" w:eastAsiaTheme="minorEastAsia" w:cstheme="minorEastAsia"/>
                <w:sz w:val="24"/>
                <w:szCs w:val="32"/>
                <w:lang w:val="en-US" w:eastAsia="zh-CN"/>
              </w:rPr>
              <w:t>投标人为具有独立承担民事责任能力的法人、事业法人、其他组织或自然人。企业法人应提供合法有效的标识有统一社会信用代码的营业执照；事业法人应提供事业单位法人证书；其他组织应提供合法登记证明文件；自然人应提供身份证；</w:t>
            </w:r>
          </w:p>
          <w:p w14:paraId="78760810">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（2）</w:t>
            </w:r>
            <w:r>
              <w:rPr>
                <w:rFonts w:hint="eastAsia" w:ascii="宋体" w:hAnsi="宋体" w:eastAsia="宋体" w:cs="宋体"/>
                <w:i w:val="0"/>
                <w:iCs w:val="0"/>
                <w:caps w:val="0"/>
                <w:color w:val="auto"/>
                <w:spacing w:val="0"/>
                <w:sz w:val="24"/>
                <w:szCs w:val="24"/>
                <w:shd w:val="clear" w:color="auto" w:fill="FFFFFF"/>
              </w:rPr>
              <w:t>供应商须具有有效的《承装（修、试）电力设施许可证》五级（或以上）资质或电子与智能化工程专业承包二级（或以上）资质（住房和城乡建设厅颁发）和有效的安全生产许可证；</w:t>
            </w:r>
          </w:p>
          <w:p w14:paraId="5BE3F3C9">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cstheme="minorEastAsia"/>
                <w:sz w:val="24"/>
                <w:szCs w:val="32"/>
                <w:lang w:val="en-US" w:eastAsia="zh-CN"/>
              </w:rPr>
              <w:t>（3）</w:t>
            </w:r>
            <w:r>
              <w:rPr>
                <w:rFonts w:hint="eastAsia" w:asciiTheme="minorEastAsia" w:hAnsiTheme="minorEastAsia" w:eastAsiaTheme="minorEastAsia" w:cstheme="minorEastAsia"/>
                <w:sz w:val="24"/>
                <w:szCs w:val="32"/>
                <w:lang w:val="en-US" w:eastAsia="zh-CN"/>
              </w:rPr>
              <w:t>财务状况报告：提供经审计后完整有效的2023年度的财务审计报告，成立时间至提交投标文件递交截止时间不足一年的，须提供其基本存款账户开户银行近三个月内出具的银行资信证明或自成立以来的财务报表；其他组织或自然人提供银行出具的资信证明或财务报表；</w:t>
            </w:r>
          </w:p>
          <w:p w14:paraId="341EF3AC">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4</w:t>
            </w:r>
            <w:r>
              <w:rPr>
                <w:rFonts w:hint="eastAsia" w:asciiTheme="minorEastAsia" w:hAnsiTheme="minorEastAsia" w:eastAsiaTheme="minorEastAsia" w:cstheme="minorEastAsia"/>
                <w:sz w:val="24"/>
                <w:szCs w:val="32"/>
                <w:lang w:val="en-US" w:eastAsia="zh-CN"/>
              </w:rPr>
              <w:t>）税收缴纳证明：提供2024年01月01日至今已缴纳的至少一个月的纳税证明或完税证明（时间以税款所属日期为准、税种须包含增值税或企业所得税），依法免税的单位应提供相关证明材料；</w:t>
            </w:r>
          </w:p>
          <w:p w14:paraId="01ECA1C8">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5</w:t>
            </w:r>
            <w:r>
              <w:rPr>
                <w:rFonts w:hint="eastAsia" w:asciiTheme="minorEastAsia" w:hAnsiTheme="minorEastAsia" w:eastAsiaTheme="minorEastAsia" w:cstheme="minorEastAsia"/>
                <w:sz w:val="24"/>
                <w:szCs w:val="32"/>
                <w:lang w:val="en-US" w:eastAsia="zh-CN"/>
              </w:rPr>
              <w:t>）社会保障资金缴纳证明：提供2024年01月01日至今已缴纳的至少一个月的社会保障资金银行缴费单据或社保机构开具的社会保险参保缴费情况证明，依法不需要缴纳社会保障资金的单位应提供相关证明材料；</w:t>
            </w:r>
          </w:p>
          <w:p w14:paraId="6FDF97B3">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6</w:t>
            </w:r>
            <w:r>
              <w:rPr>
                <w:rFonts w:hint="eastAsia" w:asciiTheme="minorEastAsia" w:hAnsiTheme="minorEastAsia" w:eastAsiaTheme="minorEastAsia" w:cstheme="minorEastAsia"/>
                <w:sz w:val="24"/>
                <w:szCs w:val="32"/>
                <w:lang w:val="en-US" w:eastAsia="zh-CN"/>
              </w:rPr>
              <w:t>）参加政府采购活动前三年内，在经营活动中没有重大违法记录的书面声明；</w:t>
            </w:r>
          </w:p>
          <w:p w14:paraId="1B84615D">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7</w:t>
            </w:r>
            <w:r>
              <w:rPr>
                <w:rFonts w:hint="eastAsia" w:asciiTheme="minorEastAsia" w:hAnsiTheme="minorEastAsia" w:eastAsiaTheme="minorEastAsia" w:cstheme="minorEastAsia"/>
                <w:sz w:val="24"/>
                <w:szCs w:val="32"/>
                <w:lang w:val="en-US" w:eastAsia="zh-CN"/>
              </w:rPr>
              <w:t>）提供具有履行合同所必需的设备和专业技术能力的证明资料或承诺书；</w:t>
            </w:r>
          </w:p>
          <w:p w14:paraId="0DCE0FEF">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8</w:t>
            </w:r>
            <w:r>
              <w:rPr>
                <w:rFonts w:hint="eastAsia" w:asciiTheme="minorEastAsia" w:hAnsiTheme="minorEastAsia" w:eastAsiaTheme="minorEastAsia" w:cstheme="minorEastAsia"/>
                <w:sz w:val="24"/>
                <w:szCs w:val="32"/>
                <w:lang w:val="en-US" w:eastAsia="zh-CN"/>
              </w:rPr>
              <w:t>）对列入信用中国”网站（www.creditchina.gov.cn）记录失信被执行人、重大税收违法失信主体、企业经营异常名录记录名单、政府采购严重违法失信行为记录名单、中国政府采购网（www.ccgp.gov.cn）政府采购严重违法失信行为信息记录”的单位拒绝参与政府采购活动</w:t>
            </w:r>
            <w:r>
              <w:rPr>
                <w:rFonts w:hint="eastAsia" w:asciiTheme="minorEastAsia" w:hAnsiTheme="minorEastAsia" w:cstheme="minorEastAsia"/>
                <w:sz w:val="24"/>
                <w:szCs w:val="32"/>
                <w:lang w:val="en-US" w:eastAsia="zh-CN"/>
              </w:rPr>
              <w:t>；</w:t>
            </w:r>
          </w:p>
          <w:p w14:paraId="7510119A">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9</w:t>
            </w:r>
            <w:r>
              <w:rPr>
                <w:rFonts w:hint="eastAsia" w:asciiTheme="minorEastAsia" w:hAnsiTheme="minorEastAsia" w:eastAsiaTheme="minorEastAsia" w:cstheme="minorEastAsia"/>
                <w:sz w:val="24"/>
                <w:szCs w:val="32"/>
                <w:lang w:val="en-US" w:eastAsia="zh-CN"/>
              </w:rPr>
              <w:t>）投标信用承诺书；</w:t>
            </w:r>
          </w:p>
          <w:p w14:paraId="64E8DAD8">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（9）榆林市政府采购货物类项目供应商信用承诺书；</w:t>
            </w:r>
          </w:p>
          <w:p w14:paraId="02295805">
            <w:pPr>
              <w:numPr>
                <w:ilvl w:val="0"/>
                <w:numId w:val="0"/>
              </w:numPr>
              <w:bidi w:val="0"/>
              <w:spacing w:line="360" w:lineRule="auto"/>
              <w:ind w:firstLine="480" w:firstLineChars="200"/>
              <w:rPr>
                <w:rFonts w:hint="default" w:asciiTheme="minorEastAsia" w:hAnsiTheme="minorEastAsia" w:eastAsiaTheme="minorEastAsia" w:cstheme="minorEastAsia"/>
                <w:sz w:val="24"/>
                <w:szCs w:val="32"/>
                <w:highlight w:val="none"/>
                <w:lang w:val="en-US" w:eastAsia="zh-CN"/>
              </w:rPr>
            </w:pPr>
            <w:r>
              <w:rPr>
                <w:rFonts w:hint="eastAsia" w:asciiTheme="minorEastAsia" w:hAnsiTheme="minorEastAsia" w:eastAsiaTheme="minorEastAsia" w:cstheme="minorEastAsia"/>
                <w:sz w:val="24"/>
                <w:szCs w:val="32"/>
                <w:lang w:val="en-US" w:eastAsia="zh-CN"/>
              </w:rPr>
              <w:t>备注：（1）本</w:t>
            </w:r>
            <w:r>
              <w:rPr>
                <w:rFonts w:hint="eastAsia" w:asciiTheme="minorEastAsia" w:hAnsiTheme="minorEastAsia" w:cstheme="minorEastAsia"/>
                <w:sz w:val="24"/>
                <w:szCs w:val="32"/>
                <w:lang w:val="en-US" w:eastAsia="zh-CN"/>
              </w:rPr>
              <w:t>项目</w:t>
            </w:r>
            <w:r>
              <w:rPr>
                <w:rFonts w:hint="eastAsia" w:asciiTheme="minorEastAsia" w:hAnsiTheme="minorEastAsia" w:eastAsiaTheme="minorEastAsia" w:cstheme="minorEastAsia"/>
                <w:sz w:val="24"/>
                <w:szCs w:val="32"/>
                <w:lang w:val="en-US" w:eastAsia="zh-CN"/>
              </w:rPr>
              <w:t>不接受联合体投标、不允许分包、转包，单位负责人为同一人或者存在直接控股、管理关系的不同投标人，不得参加同一合同项下的政府采购活动；（2）事业单位法人参与投标可不提供财务状况报告和社会保障资金缴纳证明及税收缴纳证明；（3）本</w:t>
            </w:r>
            <w:r>
              <w:rPr>
                <w:rFonts w:hint="eastAsia" w:asciiTheme="minorEastAsia" w:hAnsiTheme="minorEastAsia" w:cstheme="minorEastAsia"/>
                <w:sz w:val="24"/>
                <w:szCs w:val="32"/>
                <w:lang w:val="en-US" w:eastAsia="zh-CN"/>
              </w:rPr>
              <w:t>项目</w:t>
            </w:r>
            <w:r>
              <w:rPr>
                <w:rFonts w:hint="eastAsia" w:asciiTheme="minorEastAsia" w:hAnsiTheme="minorEastAsia" w:eastAsiaTheme="minorEastAsia" w:cstheme="minorEastAsia"/>
                <w:sz w:val="24"/>
                <w:szCs w:val="32"/>
                <w:lang w:val="en-US" w:eastAsia="zh-CN"/>
              </w:rPr>
              <w:t>非专门面向中小企业采购</w:t>
            </w:r>
            <w:r>
              <w:rPr>
                <w:rFonts w:hint="eastAsia" w:asciiTheme="minorEastAsia" w:hAnsiTheme="minorEastAsia" w:cstheme="minorEastAsia"/>
                <w:sz w:val="24"/>
                <w:szCs w:val="32"/>
                <w:lang w:val="en-US" w:eastAsia="zh-CN"/>
              </w:rPr>
              <w:t>。</w:t>
            </w:r>
          </w:p>
          <w:p w14:paraId="6F9E8A74">
            <w:pPr>
              <w:shd w:val="clear"/>
              <w:spacing w:line="360" w:lineRule="auto"/>
              <w:ind w:firstLine="482" w:firstLineChars="200"/>
              <w:rPr>
                <w:rFonts w:asciiTheme="minorEastAsia" w:hAnsiTheme="minorEastAsia" w:cstheme="minorEastAsia"/>
                <w:sz w:val="24"/>
                <w:highlight w:val="none"/>
              </w:rPr>
            </w:pPr>
            <w:r>
              <w:rPr>
                <w:rFonts w:hint="eastAsia" w:asciiTheme="minorEastAsia" w:hAnsiTheme="minorEastAsia" w:cstheme="minorEastAsia"/>
                <w:b/>
                <w:bCs/>
                <w:sz w:val="24"/>
                <w:highlight w:val="none"/>
              </w:rPr>
              <w:t>以上资质为必备资质，缺一项或某项达不到要求，按无效投标处理。</w:t>
            </w:r>
          </w:p>
        </w:tc>
      </w:tr>
      <w:tr w14:paraId="374952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173"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0F20E1FC">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7</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066C07E7">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14.4</w:t>
            </w:r>
          </w:p>
        </w:tc>
        <w:tc>
          <w:tcPr>
            <w:tcW w:w="8117" w:type="dxa"/>
            <w:tcBorders>
              <w:top w:val="single" w:color="auto" w:sz="6" w:space="0"/>
              <w:left w:val="single" w:color="auto" w:sz="6" w:space="0"/>
              <w:bottom w:val="single" w:color="auto" w:sz="6" w:space="0"/>
              <w:right w:val="single" w:color="auto" w:sz="6" w:space="0"/>
            </w:tcBorders>
            <w:shd w:val="clear" w:color="auto" w:fill="auto"/>
          </w:tcPr>
          <w:p w14:paraId="5246AE04">
            <w:pPr>
              <w:shd w:val="clear"/>
              <w:tabs>
                <w:tab w:val="left" w:pos="610"/>
              </w:tabs>
              <w:spacing w:line="360" w:lineRule="auto"/>
              <w:rPr>
                <w:rFonts w:hint="eastAsia" w:asciiTheme="minorEastAsia" w:hAnsiTheme="minorEastAsia" w:eastAsiaTheme="minorEastAsia" w:cstheme="minorEastAsia"/>
                <w:color w:val="auto"/>
                <w:sz w:val="24"/>
                <w:highlight w:val="none"/>
                <w:lang w:eastAsia="zh-CN"/>
              </w:rPr>
            </w:pPr>
            <w:r>
              <w:rPr>
                <w:rFonts w:hint="eastAsia" w:asciiTheme="minorEastAsia" w:hAnsiTheme="minorEastAsia" w:eastAsiaTheme="minorEastAsia" w:cstheme="minorEastAsia"/>
                <w:color w:val="auto"/>
                <w:sz w:val="24"/>
                <w:highlight w:val="none"/>
                <w:lang w:eastAsia="zh-CN"/>
              </w:rPr>
              <w:t>投标保证金：</w:t>
            </w:r>
            <w:r>
              <w:rPr>
                <w:rFonts w:hint="eastAsia" w:asciiTheme="minorEastAsia" w:hAnsiTheme="minorEastAsia" w:cstheme="minorEastAsia"/>
                <w:color w:val="auto"/>
                <w:sz w:val="24"/>
                <w:highlight w:val="none"/>
                <w:lang w:eastAsia="zh-CN"/>
              </w:rPr>
              <w:t>投标信用承诺书替代投标保证金</w:t>
            </w:r>
            <w:r>
              <w:rPr>
                <w:rFonts w:hint="eastAsia" w:asciiTheme="minorEastAsia" w:hAnsiTheme="minorEastAsia" w:eastAsiaTheme="minorEastAsia" w:cstheme="minorEastAsia"/>
                <w:color w:val="auto"/>
                <w:sz w:val="24"/>
                <w:highlight w:val="none"/>
                <w:lang w:eastAsia="zh-CN"/>
              </w:rPr>
              <w:t>；</w:t>
            </w:r>
          </w:p>
        </w:tc>
      </w:tr>
      <w:tr w14:paraId="1B4242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4A6DCCF9">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8</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20C066B9">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15.1</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2B914DB8">
            <w:pPr>
              <w:shd w:val="clear"/>
              <w:tabs>
                <w:tab w:val="left" w:pos="610"/>
              </w:tabs>
              <w:spacing w:line="360" w:lineRule="auto"/>
              <w:rPr>
                <w:rFonts w:asciiTheme="minorEastAsia" w:hAnsiTheme="minorEastAsia" w:cstheme="minorEastAsia"/>
                <w:color w:val="auto"/>
                <w:sz w:val="24"/>
                <w:highlight w:val="none"/>
              </w:rPr>
            </w:pPr>
            <w:r>
              <w:rPr>
                <w:rFonts w:hint="eastAsia" w:asciiTheme="minorEastAsia" w:hAnsiTheme="minorEastAsia" w:cstheme="minorEastAsia"/>
                <w:color w:val="auto"/>
                <w:sz w:val="24"/>
                <w:highlight w:val="none"/>
              </w:rPr>
              <w:t xml:space="preserve">投标有效期: </w:t>
            </w:r>
            <w:r>
              <w:rPr>
                <w:rFonts w:hint="eastAsia" w:asciiTheme="minorEastAsia" w:hAnsiTheme="minorEastAsia" w:cstheme="minorEastAsia"/>
                <w:color w:val="auto"/>
                <w:sz w:val="24"/>
                <w:highlight w:val="none"/>
                <w:lang w:eastAsia="zh-CN"/>
              </w:rPr>
              <w:t>从递交投标文件的截止之日起90天</w:t>
            </w:r>
            <w:r>
              <w:rPr>
                <w:rFonts w:hint="eastAsia" w:asciiTheme="minorEastAsia" w:hAnsiTheme="minorEastAsia" w:cstheme="minorEastAsia"/>
                <w:color w:val="auto"/>
                <w:sz w:val="24"/>
                <w:highlight w:val="none"/>
              </w:rPr>
              <w:t>。</w:t>
            </w:r>
          </w:p>
        </w:tc>
      </w:tr>
      <w:tr w14:paraId="7342D6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562DCAA3">
            <w:pPr>
              <w:shd w:val="clear"/>
              <w:spacing w:after="156" w:afterLines="50"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9</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7164E35B">
            <w:pPr>
              <w:shd w:val="clear"/>
              <w:spacing w:after="156" w:afterLines="50"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16.1</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0570E1B5">
            <w:pPr>
              <w:shd w:val="clear"/>
              <w:tabs>
                <w:tab w:val="left" w:pos="610"/>
              </w:tabs>
              <w:spacing w:line="360" w:lineRule="auto"/>
              <w:ind w:firstLine="480" w:firstLineChars="200"/>
              <w:rPr>
                <w:rFonts w:asciiTheme="minorEastAsia" w:hAnsiTheme="minorEastAsia" w:cstheme="minorEastAsia"/>
                <w:color w:val="auto"/>
                <w:sz w:val="24"/>
                <w:highlight w:val="none"/>
              </w:rPr>
            </w:pPr>
            <w:r>
              <w:rPr>
                <w:rFonts w:hint="eastAsia" w:ascii="宋体" w:hAnsi="宋体" w:eastAsia="宋体" w:cs="宋体"/>
                <w:color w:val="auto"/>
                <w:sz w:val="24"/>
                <w:szCs w:val="24"/>
                <w:highlight w:val="none"/>
                <w:lang w:val="en-US" w:eastAsia="zh-CN"/>
              </w:rPr>
              <w:t>投标单位无需提交纸质版</w:t>
            </w:r>
            <w:r>
              <w:rPr>
                <w:rFonts w:hint="eastAsia" w:ascii="宋体" w:hAnsi="宋体" w:cs="宋体"/>
                <w:color w:val="auto"/>
                <w:sz w:val="24"/>
                <w:szCs w:val="24"/>
                <w:highlight w:val="none"/>
                <w:lang w:val="en-US" w:eastAsia="zh-CN"/>
              </w:rPr>
              <w:t>投标</w:t>
            </w:r>
            <w:r>
              <w:rPr>
                <w:rFonts w:hint="eastAsia" w:ascii="宋体" w:hAnsi="宋体" w:eastAsia="宋体" w:cs="宋体"/>
                <w:color w:val="auto"/>
                <w:sz w:val="24"/>
                <w:szCs w:val="24"/>
                <w:highlight w:val="none"/>
                <w:lang w:val="en-US" w:eastAsia="zh-CN"/>
              </w:rPr>
              <w:t>文件，待</w:t>
            </w:r>
            <w:r>
              <w:rPr>
                <w:rFonts w:hint="eastAsia" w:ascii="宋体" w:hAnsi="宋体" w:cs="宋体"/>
                <w:color w:val="auto"/>
                <w:sz w:val="24"/>
                <w:szCs w:val="24"/>
                <w:highlight w:val="none"/>
                <w:lang w:val="en-US" w:eastAsia="zh-CN"/>
              </w:rPr>
              <w:t>中标</w:t>
            </w:r>
            <w:r>
              <w:rPr>
                <w:rFonts w:hint="eastAsia" w:ascii="宋体" w:hAnsi="宋体" w:eastAsia="宋体" w:cs="宋体"/>
                <w:color w:val="auto"/>
                <w:sz w:val="24"/>
                <w:szCs w:val="24"/>
                <w:highlight w:val="none"/>
                <w:lang w:val="en-US" w:eastAsia="zh-CN"/>
              </w:rPr>
              <w:t>结果公示发布后五个工作日内，</w:t>
            </w:r>
            <w:r>
              <w:rPr>
                <w:rFonts w:hint="eastAsia" w:ascii="宋体" w:hAnsi="宋体" w:cs="宋体"/>
                <w:color w:val="auto"/>
                <w:sz w:val="24"/>
                <w:szCs w:val="24"/>
                <w:highlight w:val="none"/>
                <w:lang w:val="en-US" w:eastAsia="zh-CN"/>
              </w:rPr>
              <w:t>中标</w:t>
            </w:r>
            <w:r>
              <w:rPr>
                <w:rFonts w:hint="eastAsia" w:ascii="宋体" w:hAnsi="宋体" w:eastAsia="宋体" w:cs="宋体"/>
                <w:color w:val="auto"/>
                <w:sz w:val="24"/>
                <w:szCs w:val="24"/>
                <w:highlight w:val="none"/>
                <w:lang w:val="en-US" w:eastAsia="zh-CN"/>
              </w:rPr>
              <w:t>单位需补交一正二副的纸质版</w:t>
            </w:r>
            <w:r>
              <w:rPr>
                <w:rFonts w:hint="eastAsia" w:ascii="宋体" w:hAnsi="宋体" w:cs="宋体"/>
                <w:color w:val="auto"/>
                <w:sz w:val="24"/>
                <w:szCs w:val="24"/>
                <w:highlight w:val="none"/>
                <w:lang w:val="en-US" w:eastAsia="zh-CN"/>
              </w:rPr>
              <w:t>投标</w:t>
            </w:r>
            <w:r>
              <w:rPr>
                <w:rFonts w:hint="eastAsia" w:ascii="宋体" w:hAnsi="宋体" w:eastAsia="宋体" w:cs="宋体"/>
                <w:color w:val="auto"/>
                <w:sz w:val="24"/>
                <w:szCs w:val="24"/>
                <w:highlight w:val="none"/>
                <w:lang w:val="en-US" w:eastAsia="zh-CN"/>
              </w:rPr>
              <w:t>文件（备案用，投标文件无需密封）。</w:t>
            </w:r>
          </w:p>
        </w:tc>
      </w:tr>
      <w:tr w14:paraId="059D24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21CD1C9B">
            <w:pPr>
              <w:shd w:val="clear"/>
              <w:spacing w:after="156" w:afterLines="50"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10</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7F022C54">
            <w:pPr>
              <w:shd w:val="clear"/>
              <w:spacing w:after="156" w:afterLines="50" w:line="360" w:lineRule="auto"/>
              <w:jc w:val="center"/>
              <w:rPr>
                <w:rFonts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18.1</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top"/>
          </w:tcPr>
          <w:p w14:paraId="3C43DDE9">
            <w:pPr>
              <w:bidi w:val="0"/>
              <w:spacing w:line="360" w:lineRule="auto"/>
              <w:ind w:firstLine="480" w:firstLineChars="200"/>
              <w:rPr>
                <w:rFonts w:hint="default"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投标文件递交截止时间：</w:t>
            </w:r>
            <w:r>
              <w:rPr>
                <w:rFonts w:hint="eastAsia" w:asciiTheme="minorEastAsia" w:hAnsiTheme="minorEastAsia" w:eastAsiaTheme="minorEastAsia" w:cstheme="minorEastAsia"/>
                <w:color w:val="auto"/>
                <w:sz w:val="24"/>
                <w:szCs w:val="32"/>
                <w:lang w:val="en-US" w:eastAsia="zh-CN"/>
              </w:rPr>
              <w:t>202</w:t>
            </w:r>
            <w:r>
              <w:rPr>
                <w:rFonts w:hint="eastAsia" w:asciiTheme="minorEastAsia" w:hAnsiTheme="minorEastAsia" w:cstheme="minorEastAsia"/>
                <w:color w:val="auto"/>
                <w:sz w:val="24"/>
                <w:szCs w:val="32"/>
                <w:lang w:val="en-US" w:eastAsia="zh-CN"/>
              </w:rPr>
              <w:t>5</w:t>
            </w:r>
            <w:r>
              <w:rPr>
                <w:rFonts w:hint="eastAsia" w:asciiTheme="minorEastAsia" w:hAnsiTheme="minorEastAsia" w:eastAsiaTheme="minorEastAsia" w:cstheme="minorEastAsia"/>
                <w:color w:val="auto"/>
                <w:sz w:val="24"/>
                <w:szCs w:val="32"/>
                <w:lang w:val="en-US" w:eastAsia="zh-CN"/>
              </w:rPr>
              <w:t>年</w:t>
            </w:r>
            <w:r>
              <w:rPr>
                <w:rFonts w:hint="eastAsia" w:asciiTheme="minorEastAsia" w:hAnsiTheme="minorEastAsia" w:cstheme="minorEastAsia"/>
                <w:color w:val="auto"/>
                <w:sz w:val="24"/>
                <w:szCs w:val="32"/>
                <w:lang w:val="en-US" w:eastAsia="zh-CN"/>
              </w:rPr>
              <w:t>01</w:t>
            </w:r>
            <w:r>
              <w:rPr>
                <w:rFonts w:hint="eastAsia" w:asciiTheme="minorEastAsia" w:hAnsiTheme="minorEastAsia" w:eastAsiaTheme="minorEastAsia" w:cstheme="minorEastAsia"/>
                <w:color w:val="auto"/>
                <w:sz w:val="24"/>
                <w:szCs w:val="32"/>
                <w:lang w:val="en-US" w:eastAsia="zh-CN"/>
              </w:rPr>
              <w:t>月</w:t>
            </w:r>
            <w:r>
              <w:rPr>
                <w:rFonts w:hint="eastAsia" w:asciiTheme="minorEastAsia" w:hAnsiTheme="minorEastAsia" w:cstheme="minorEastAsia"/>
                <w:color w:val="auto"/>
                <w:sz w:val="24"/>
                <w:szCs w:val="32"/>
                <w:lang w:val="en-US" w:eastAsia="zh-CN"/>
              </w:rPr>
              <w:t>14</w:t>
            </w:r>
            <w:r>
              <w:rPr>
                <w:rFonts w:hint="eastAsia" w:asciiTheme="minorEastAsia" w:hAnsiTheme="minorEastAsia" w:eastAsiaTheme="minorEastAsia" w:cstheme="minorEastAsia"/>
                <w:color w:val="auto"/>
                <w:sz w:val="24"/>
                <w:szCs w:val="32"/>
                <w:lang w:val="en-US" w:eastAsia="zh-CN"/>
              </w:rPr>
              <w:t xml:space="preserve">日 </w:t>
            </w:r>
            <w:r>
              <w:rPr>
                <w:rFonts w:hint="eastAsia" w:asciiTheme="minorEastAsia" w:hAnsiTheme="minorEastAsia" w:cstheme="minorEastAsia"/>
                <w:color w:val="auto"/>
                <w:sz w:val="24"/>
                <w:szCs w:val="32"/>
                <w:lang w:val="en-US" w:eastAsia="zh-CN"/>
              </w:rPr>
              <w:t>13</w:t>
            </w:r>
            <w:r>
              <w:rPr>
                <w:rFonts w:hint="eastAsia" w:asciiTheme="minorEastAsia" w:hAnsiTheme="minorEastAsia" w:eastAsiaTheme="minorEastAsia" w:cstheme="minorEastAsia"/>
                <w:color w:val="auto"/>
                <w:sz w:val="24"/>
                <w:szCs w:val="32"/>
                <w:lang w:val="en-US" w:eastAsia="zh-CN"/>
              </w:rPr>
              <w:t>时30分00秒（北京时间）</w:t>
            </w:r>
          </w:p>
          <w:p w14:paraId="0E2CF5E0">
            <w:pPr>
              <w:shd w:val="clear"/>
              <w:tabs>
                <w:tab w:val="left" w:pos="610"/>
              </w:tabs>
              <w:spacing w:line="360" w:lineRule="auto"/>
              <w:ind w:firstLine="480" w:firstLineChars="200"/>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投标文件递交地址：陕西省公共资源交易平台。</w:t>
            </w:r>
          </w:p>
        </w:tc>
      </w:tr>
      <w:tr w14:paraId="6C02614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07B9651B">
            <w:pPr>
              <w:shd w:val="clear"/>
              <w:spacing w:after="156" w:afterLines="50"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11</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2CDC30BC">
            <w:pPr>
              <w:shd w:val="clear"/>
              <w:spacing w:after="156" w:afterLines="50" w:line="360" w:lineRule="auto"/>
              <w:jc w:val="center"/>
              <w:rPr>
                <w:rFonts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21.1</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top"/>
          </w:tcPr>
          <w:p w14:paraId="1B123738">
            <w:pPr>
              <w:bidi w:val="0"/>
              <w:spacing w:line="360" w:lineRule="auto"/>
              <w:ind w:firstLine="480" w:firstLineChars="200"/>
              <w:rPr>
                <w:rFonts w:hint="default"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开标时间：</w:t>
            </w:r>
            <w:r>
              <w:rPr>
                <w:rFonts w:hint="eastAsia" w:asciiTheme="minorEastAsia" w:hAnsiTheme="minorEastAsia" w:eastAsiaTheme="minorEastAsia" w:cstheme="minorEastAsia"/>
                <w:color w:val="auto"/>
                <w:sz w:val="24"/>
                <w:szCs w:val="32"/>
                <w:lang w:val="en-US" w:eastAsia="zh-CN"/>
              </w:rPr>
              <w:t>202</w:t>
            </w:r>
            <w:r>
              <w:rPr>
                <w:rFonts w:hint="eastAsia" w:asciiTheme="minorEastAsia" w:hAnsiTheme="minorEastAsia" w:cstheme="minorEastAsia"/>
                <w:color w:val="auto"/>
                <w:sz w:val="24"/>
                <w:szCs w:val="32"/>
                <w:lang w:val="en-US" w:eastAsia="zh-CN"/>
              </w:rPr>
              <w:t>5</w:t>
            </w:r>
            <w:r>
              <w:rPr>
                <w:rFonts w:hint="eastAsia" w:asciiTheme="minorEastAsia" w:hAnsiTheme="minorEastAsia" w:eastAsiaTheme="minorEastAsia" w:cstheme="minorEastAsia"/>
                <w:color w:val="auto"/>
                <w:sz w:val="24"/>
                <w:szCs w:val="32"/>
                <w:lang w:val="en-US" w:eastAsia="zh-CN"/>
              </w:rPr>
              <w:t>年</w:t>
            </w:r>
            <w:r>
              <w:rPr>
                <w:rFonts w:hint="eastAsia" w:asciiTheme="minorEastAsia" w:hAnsiTheme="minorEastAsia" w:cstheme="minorEastAsia"/>
                <w:color w:val="auto"/>
                <w:sz w:val="24"/>
                <w:szCs w:val="32"/>
                <w:lang w:val="en-US" w:eastAsia="zh-CN"/>
              </w:rPr>
              <w:t>01</w:t>
            </w:r>
            <w:r>
              <w:rPr>
                <w:rFonts w:hint="eastAsia" w:asciiTheme="minorEastAsia" w:hAnsiTheme="minorEastAsia" w:eastAsiaTheme="minorEastAsia" w:cstheme="minorEastAsia"/>
                <w:color w:val="auto"/>
                <w:sz w:val="24"/>
                <w:szCs w:val="32"/>
                <w:lang w:val="en-US" w:eastAsia="zh-CN"/>
              </w:rPr>
              <w:t>月</w:t>
            </w:r>
            <w:r>
              <w:rPr>
                <w:rFonts w:hint="eastAsia" w:asciiTheme="minorEastAsia" w:hAnsiTheme="minorEastAsia" w:cstheme="minorEastAsia"/>
                <w:color w:val="auto"/>
                <w:sz w:val="24"/>
                <w:szCs w:val="32"/>
                <w:lang w:val="en-US" w:eastAsia="zh-CN"/>
              </w:rPr>
              <w:t>14</w:t>
            </w:r>
            <w:r>
              <w:rPr>
                <w:rFonts w:hint="eastAsia" w:asciiTheme="minorEastAsia" w:hAnsiTheme="minorEastAsia" w:eastAsiaTheme="minorEastAsia" w:cstheme="minorEastAsia"/>
                <w:color w:val="auto"/>
                <w:sz w:val="24"/>
                <w:szCs w:val="32"/>
                <w:lang w:val="en-US" w:eastAsia="zh-CN"/>
              </w:rPr>
              <w:t xml:space="preserve">日 </w:t>
            </w:r>
            <w:r>
              <w:rPr>
                <w:rFonts w:hint="eastAsia" w:asciiTheme="minorEastAsia" w:hAnsiTheme="minorEastAsia" w:cstheme="minorEastAsia"/>
                <w:color w:val="auto"/>
                <w:sz w:val="24"/>
                <w:szCs w:val="32"/>
                <w:lang w:val="en-US" w:eastAsia="zh-CN"/>
              </w:rPr>
              <w:t>13</w:t>
            </w:r>
            <w:r>
              <w:rPr>
                <w:rFonts w:hint="eastAsia" w:asciiTheme="minorEastAsia" w:hAnsiTheme="minorEastAsia" w:eastAsiaTheme="minorEastAsia" w:cstheme="minorEastAsia"/>
                <w:color w:val="auto"/>
                <w:sz w:val="24"/>
                <w:szCs w:val="32"/>
                <w:lang w:val="en-US" w:eastAsia="zh-CN"/>
              </w:rPr>
              <w:t>时30分00秒（北京时间）</w:t>
            </w:r>
          </w:p>
          <w:p w14:paraId="03F8FD5D">
            <w:pPr>
              <w:shd w:val="clear"/>
              <w:spacing w:line="360" w:lineRule="auto"/>
              <w:ind w:firstLine="480" w:firstLineChars="200"/>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开标地点：</w:t>
            </w:r>
            <w:r>
              <w:rPr>
                <w:rFonts w:hint="eastAsia" w:asciiTheme="minorEastAsia" w:hAnsiTheme="minorEastAsia" w:cstheme="minorEastAsia"/>
                <w:color w:val="auto"/>
                <w:kern w:val="2"/>
                <w:sz w:val="24"/>
                <w:szCs w:val="24"/>
                <w:highlight w:val="none"/>
                <w:lang w:val="en-US" w:eastAsia="zh-CN" w:bidi="ar-SA"/>
              </w:rPr>
              <w:t xml:space="preserve"> 榆林市公共资源交易中心十楼开标11室</w:t>
            </w:r>
            <w:r>
              <w:rPr>
                <w:rFonts w:hint="eastAsia" w:asciiTheme="minorEastAsia" w:hAnsiTheme="minorEastAsia" w:eastAsiaTheme="minorEastAsia" w:cstheme="minorEastAsia"/>
                <w:color w:val="auto"/>
                <w:kern w:val="2"/>
                <w:sz w:val="24"/>
                <w:szCs w:val="24"/>
                <w:highlight w:val="none"/>
                <w:lang w:val="en-US" w:eastAsia="zh-CN" w:bidi="ar-SA"/>
              </w:rPr>
              <w:t>。</w:t>
            </w:r>
          </w:p>
        </w:tc>
      </w:tr>
      <w:tr w14:paraId="211842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3E536F27">
            <w:pPr>
              <w:shd w:val="clear"/>
              <w:spacing w:after="156" w:afterLines="50"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12</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35FC70B8">
            <w:pPr>
              <w:shd w:val="clear"/>
              <w:spacing w:line="360" w:lineRule="auto"/>
              <w:jc w:val="center"/>
              <w:rPr>
                <w:rFonts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24.1</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277BF8A3">
            <w:pPr>
              <w:shd w:val="clear"/>
              <w:spacing w:line="360" w:lineRule="auto"/>
              <w:jc w:val="left"/>
              <w:rPr>
                <w:rFonts w:hint="eastAsia" w:asciiTheme="minorEastAsia" w:hAnsiTheme="minorEastAsia" w:eastAsiaTheme="minorEastAsia" w:cstheme="minorEastAsia"/>
                <w:b/>
                <w:color w:val="auto"/>
                <w:kern w:val="2"/>
                <w:sz w:val="24"/>
                <w:szCs w:val="24"/>
                <w:highlight w:val="none"/>
                <w:lang w:val="en-US" w:eastAsia="zh-CN" w:bidi="ar-SA"/>
              </w:rPr>
            </w:pPr>
            <w:r>
              <w:rPr>
                <w:rFonts w:hint="eastAsia" w:asciiTheme="minorEastAsia" w:hAnsiTheme="minorEastAsia" w:cstheme="minorEastAsia"/>
                <w:b/>
                <w:color w:val="auto"/>
                <w:sz w:val="24"/>
                <w:highlight w:val="none"/>
              </w:rPr>
              <w:t>评标方法：综合评分法（详见第六章）。</w:t>
            </w:r>
          </w:p>
        </w:tc>
      </w:tr>
      <w:tr w14:paraId="202544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50A72E1C">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13</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79641F6F">
            <w:pPr>
              <w:shd w:val="clear"/>
              <w:spacing w:line="360" w:lineRule="auto"/>
              <w:jc w:val="center"/>
              <w:rPr>
                <w:rFonts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现场踏勘</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33D12FDD">
            <w:pPr>
              <w:shd w:val="clear"/>
              <w:spacing w:line="360" w:lineRule="auto"/>
              <w:jc w:val="left"/>
              <w:rPr>
                <w:rFonts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cstheme="minorEastAsia"/>
                <w:color w:val="auto"/>
                <w:sz w:val="24"/>
                <w:highlight w:val="none"/>
              </w:rPr>
              <w:t>投标人可根据招标文件的招标内容对项目现场或周边环境自行踏勘，由此引发的费用投标人自行承担，招标人不组织投标人踏勘现场。</w:t>
            </w:r>
          </w:p>
        </w:tc>
      </w:tr>
      <w:tr w14:paraId="446CA3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584"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5A417D2E">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14</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6C9E488F">
            <w:pPr>
              <w:shd w:val="clear"/>
              <w:spacing w:line="360" w:lineRule="auto"/>
              <w:jc w:val="center"/>
              <w:rPr>
                <w:rFonts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29.2</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15925416">
            <w:pPr>
              <w:shd w:val="clear"/>
              <w:spacing w:line="360" w:lineRule="auto"/>
              <w:rPr>
                <w:rFonts w:asciiTheme="minorEastAsia" w:hAnsiTheme="minorEastAsia" w:cstheme="minorEastAsia"/>
                <w:color w:val="auto"/>
                <w:sz w:val="24"/>
                <w:highlight w:val="none"/>
              </w:rPr>
            </w:pPr>
            <w:r>
              <w:rPr>
                <w:rFonts w:hint="eastAsia" w:asciiTheme="minorEastAsia" w:hAnsiTheme="minorEastAsia" w:cstheme="minorEastAsia"/>
                <w:color w:val="auto"/>
                <w:sz w:val="24"/>
                <w:highlight w:val="none"/>
                <w:lang w:bidi="ar"/>
              </w:rPr>
              <w:t xml:space="preserve">招标代理服务费： </w:t>
            </w:r>
          </w:p>
          <w:p w14:paraId="60E852FE">
            <w:pPr>
              <w:numPr>
                <w:ilvl w:val="0"/>
                <w:numId w:val="0"/>
              </w:numPr>
              <w:shd w:val="clear"/>
              <w:spacing w:line="360" w:lineRule="auto"/>
              <w:ind w:left="0" w:leftChars="0" w:firstLine="0" w:firstLineChars="0"/>
              <w:rPr>
                <w:rFonts w:asciiTheme="minorEastAsia" w:hAnsiTheme="minorEastAsia" w:cstheme="minorEastAsia"/>
                <w:color w:val="auto"/>
                <w:sz w:val="24"/>
                <w:highlight w:val="none"/>
              </w:rPr>
            </w:pPr>
            <w:r>
              <w:rPr>
                <w:rFonts w:asciiTheme="minorEastAsia" w:hAnsiTheme="minorEastAsia" w:eastAsiaTheme="minorEastAsia" w:cstheme="minorEastAsia"/>
                <w:color w:val="auto"/>
                <w:kern w:val="2"/>
                <w:sz w:val="24"/>
                <w:szCs w:val="24"/>
                <w:lang w:val="en-US" w:eastAsia="zh-CN" w:bidi="ar-SA"/>
              </w:rPr>
              <w:t>(1)</w:t>
            </w:r>
            <w:r>
              <w:rPr>
                <w:rFonts w:hint="eastAsia" w:asciiTheme="minorEastAsia" w:hAnsiTheme="minorEastAsia" w:cstheme="minorEastAsia"/>
                <w:color w:val="auto"/>
                <w:sz w:val="24"/>
                <w:highlight w:val="none"/>
                <w:lang w:bidi="ar"/>
              </w:rPr>
              <w:t>中标单位向采购代理机构一次性支付招标代理服务费。</w:t>
            </w:r>
          </w:p>
          <w:p w14:paraId="20ED2122">
            <w:pPr>
              <w:numPr>
                <w:ilvl w:val="0"/>
                <w:numId w:val="0"/>
              </w:numPr>
              <w:shd w:val="clear"/>
              <w:spacing w:line="360" w:lineRule="auto"/>
              <w:ind w:left="0" w:leftChars="0" w:firstLine="0" w:firstLineChars="0"/>
              <w:jc w:val="left"/>
              <w:rPr>
                <w:rFonts w:asciiTheme="minorEastAsia" w:hAnsiTheme="minorEastAsia" w:cstheme="minorEastAsia"/>
                <w:color w:val="auto"/>
                <w:sz w:val="24"/>
                <w:highlight w:val="none"/>
              </w:rPr>
            </w:pPr>
            <w:r>
              <w:rPr>
                <w:rFonts w:asciiTheme="minorEastAsia" w:hAnsiTheme="minorEastAsia" w:eastAsiaTheme="minorEastAsia" w:cstheme="minorEastAsia"/>
                <w:color w:val="auto"/>
                <w:kern w:val="2"/>
                <w:sz w:val="24"/>
                <w:szCs w:val="24"/>
                <w:lang w:val="en-US" w:eastAsia="zh-CN" w:bidi="ar-SA"/>
              </w:rPr>
              <w:t>(2)</w:t>
            </w:r>
            <w:r>
              <w:rPr>
                <w:rFonts w:hint="eastAsia" w:asciiTheme="minorEastAsia" w:hAnsiTheme="minorEastAsia" w:cstheme="minorEastAsia"/>
                <w:color w:val="auto"/>
                <w:sz w:val="24"/>
                <w:highlight w:val="none"/>
              </w:rPr>
              <w:t>招标代理服务费金额为：参照国家标准（国家计委计价格[2002]1980号）货物类收取。</w:t>
            </w:r>
          </w:p>
          <w:p w14:paraId="14CB53F0">
            <w:pPr>
              <w:shd w:val="clear"/>
              <w:spacing w:line="360" w:lineRule="auto"/>
              <w:jc w:val="center"/>
              <w:rPr>
                <w:rFonts w:ascii="宋体" w:hAnsi="宋体" w:eastAsia="宋体" w:cs="宋体"/>
                <w:b/>
                <w:bCs/>
                <w:color w:val="auto"/>
                <w:sz w:val="24"/>
                <w:highlight w:val="none"/>
              </w:rPr>
            </w:pPr>
            <w:r>
              <w:rPr>
                <w:rFonts w:hint="eastAsia" w:ascii="宋体" w:hAnsi="宋体" w:eastAsia="宋体" w:cs="宋体"/>
                <w:b/>
                <w:bCs/>
                <w:color w:val="auto"/>
                <w:sz w:val="24"/>
                <w:highlight w:val="none"/>
              </w:rPr>
              <w:t>招标代理服务收费标准(费率)</w:t>
            </w:r>
          </w:p>
          <w:tbl>
            <w:tblPr>
              <w:tblStyle w:val="41"/>
              <w:tblW w:w="7919" w:type="dxa"/>
              <w:jc w:val="center"/>
              <w:tblCellSpacing w:w="0" w:type="dxa"/>
              <w:tblLayout w:type="fixed"/>
              <w:tblCellMar>
                <w:top w:w="0" w:type="dxa"/>
                <w:left w:w="0" w:type="dxa"/>
                <w:bottom w:w="0" w:type="dxa"/>
                <w:right w:w="0" w:type="dxa"/>
              </w:tblCellMar>
            </w:tblPr>
            <w:tblGrid>
              <w:gridCol w:w="2177"/>
              <w:gridCol w:w="2131"/>
              <w:gridCol w:w="1811"/>
              <w:gridCol w:w="1800"/>
            </w:tblGrid>
            <w:tr w14:paraId="008D1658">
              <w:tblPrEx>
                <w:tblCellMar>
                  <w:top w:w="0" w:type="dxa"/>
                  <w:left w:w="0" w:type="dxa"/>
                  <w:bottom w:w="0" w:type="dxa"/>
                  <w:right w:w="0" w:type="dxa"/>
                </w:tblCellMar>
              </w:tblPrEx>
              <w:trPr>
                <w:trHeight w:val="98" w:hRule="atLeast"/>
                <w:tblCellSpacing w:w="0" w:type="dxa"/>
                <w:jc w:val="center"/>
              </w:trPr>
              <w:tc>
                <w:tcPr>
                  <w:tcW w:w="2177" w:type="dxa"/>
                  <w:tcBorders>
                    <w:top w:val="single" w:color="auto" w:sz="4" w:space="0"/>
                    <w:left w:val="single" w:color="auto" w:sz="0" w:space="0"/>
                    <w:bottom w:val="single" w:color="auto" w:sz="4" w:space="0"/>
                    <w:right w:val="single" w:color="auto" w:sz="4" w:space="0"/>
                  </w:tcBorders>
                  <w:vAlign w:val="center"/>
                </w:tcPr>
                <w:p w14:paraId="7A65F9F7">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中标金额（万元）</w:t>
                  </w:r>
                </w:p>
              </w:tc>
              <w:tc>
                <w:tcPr>
                  <w:tcW w:w="2131" w:type="dxa"/>
                  <w:tcBorders>
                    <w:top w:val="single" w:color="auto" w:sz="4" w:space="0"/>
                    <w:left w:val="single" w:color="auto" w:sz="4" w:space="0"/>
                    <w:bottom w:val="single" w:color="auto" w:sz="4" w:space="0"/>
                    <w:right w:val="single" w:color="auto" w:sz="4" w:space="0"/>
                  </w:tcBorders>
                  <w:vAlign w:val="center"/>
                </w:tcPr>
                <w:p w14:paraId="0E90AE2D">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货物招标</w:t>
                  </w:r>
                </w:p>
              </w:tc>
              <w:tc>
                <w:tcPr>
                  <w:tcW w:w="1811" w:type="dxa"/>
                  <w:tcBorders>
                    <w:top w:val="single" w:color="auto" w:sz="4" w:space="0"/>
                    <w:left w:val="single" w:color="auto" w:sz="4" w:space="0"/>
                    <w:bottom w:val="single" w:color="auto" w:sz="4" w:space="0"/>
                    <w:right w:val="single" w:color="auto" w:sz="4" w:space="0"/>
                  </w:tcBorders>
                  <w:vAlign w:val="center"/>
                </w:tcPr>
                <w:p w14:paraId="220B4211">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服务招标</w:t>
                  </w:r>
                </w:p>
              </w:tc>
              <w:tc>
                <w:tcPr>
                  <w:tcW w:w="1800" w:type="dxa"/>
                  <w:tcBorders>
                    <w:top w:val="single" w:color="auto" w:sz="4" w:space="0"/>
                    <w:left w:val="single" w:color="auto" w:sz="4" w:space="0"/>
                    <w:bottom w:val="single" w:color="auto" w:sz="4" w:space="0"/>
                    <w:right w:val="single" w:color="auto" w:sz="4" w:space="0"/>
                  </w:tcBorders>
                  <w:vAlign w:val="center"/>
                </w:tcPr>
                <w:p w14:paraId="30D546C3">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工程招标</w:t>
                  </w:r>
                </w:p>
              </w:tc>
            </w:tr>
            <w:tr w14:paraId="61C938B5">
              <w:tblPrEx>
                <w:tblCellMar>
                  <w:top w:w="0" w:type="dxa"/>
                  <w:left w:w="0" w:type="dxa"/>
                  <w:bottom w:w="0" w:type="dxa"/>
                  <w:right w:w="0" w:type="dxa"/>
                </w:tblCellMar>
              </w:tblPrEx>
              <w:trPr>
                <w:trHeight w:val="281" w:hRule="atLeast"/>
                <w:tblCellSpacing w:w="0" w:type="dxa"/>
                <w:jc w:val="center"/>
              </w:trPr>
              <w:tc>
                <w:tcPr>
                  <w:tcW w:w="2177" w:type="dxa"/>
                  <w:tcBorders>
                    <w:top w:val="single" w:color="auto" w:sz="4" w:space="0"/>
                    <w:left w:val="single" w:color="auto" w:sz="4" w:space="0"/>
                    <w:bottom w:val="single" w:color="auto" w:sz="4" w:space="0"/>
                    <w:right w:val="single" w:color="auto" w:sz="4" w:space="0"/>
                  </w:tcBorders>
                  <w:vAlign w:val="center"/>
                </w:tcPr>
                <w:p w14:paraId="4C28DB37">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100以下</w:t>
                  </w:r>
                </w:p>
              </w:tc>
              <w:tc>
                <w:tcPr>
                  <w:tcW w:w="2131" w:type="dxa"/>
                  <w:tcBorders>
                    <w:top w:val="single" w:color="auto" w:sz="4" w:space="0"/>
                    <w:left w:val="single" w:color="auto" w:sz="4" w:space="0"/>
                    <w:bottom w:val="single" w:color="auto" w:sz="4" w:space="0"/>
                    <w:right w:val="single" w:color="auto" w:sz="4" w:space="0"/>
                  </w:tcBorders>
                  <w:vAlign w:val="center"/>
                </w:tcPr>
                <w:p w14:paraId="2F2C7CDF">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1.5％</w:t>
                  </w:r>
                </w:p>
              </w:tc>
              <w:tc>
                <w:tcPr>
                  <w:tcW w:w="1811" w:type="dxa"/>
                  <w:tcBorders>
                    <w:top w:val="single" w:color="auto" w:sz="4" w:space="0"/>
                    <w:left w:val="single" w:color="auto" w:sz="4" w:space="0"/>
                    <w:bottom w:val="single" w:color="auto" w:sz="4" w:space="0"/>
                    <w:right w:val="single" w:color="auto" w:sz="4" w:space="0"/>
                  </w:tcBorders>
                  <w:vAlign w:val="center"/>
                </w:tcPr>
                <w:p w14:paraId="0C181E53">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1.5％</w:t>
                  </w:r>
                </w:p>
              </w:tc>
              <w:tc>
                <w:tcPr>
                  <w:tcW w:w="1800" w:type="dxa"/>
                  <w:tcBorders>
                    <w:top w:val="single" w:color="auto" w:sz="4" w:space="0"/>
                    <w:left w:val="single" w:color="auto" w:sz="4" w:space="0"/>
                    <w:bottom w:val="single" w:color="auto" w:sz="4" w:space="0"/>
                    <w:right w:val="single" w:color="auto" w:sz="4" w:space="0"/>
                  </w:tcBorders>
                  <w:vAlign w:val="center"/>
                </w:tcPr>
                <w:p w14:paraId="3D3BE7B6">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1.0%</w:t>
                  </w:r>
                </w:p>
              </w:tc>
            </w:tr>
            <w:tr w14:paraId="6972F151">
              <w:tblPrEx>
                <w:tblCellMar>
                  <w:top w:w="0" w:type="dxa"/>
                  <w:left w:w="0" w:type="dxa"/>
                  <w:bottom w:w="0" w:type="dxa"/>
                  <w:right w:w="0" w:type="dxa"/>
                </w:tblCellMar>
              </w:tblPrEx>
              <w:trPr>
                <w:trHeight w:val="281" w:hRule="atLeast"/>
                <w:tblCellSpacing w:w="0" w:type="dxa"/>
                <w:jc w:val="center"/>
              </w:trPr>
              <w:tc>
                <w:tcPr>
                  <w:tcW w:w="2177" w:type="dxa"/>
                  <w:tcBorders>
                    <w:top w:val="single" w:color="auto" w:sz="4" w:space="0"/>
                    <w:left w:val="single" w:color="auto" w:sz="4" w:space="0"/>
                    <w:bottom w:val="single" w:color="auto" w:sz="4" w:space="0"/>
                    <w:right w:val="single" w:color="auto" w:sz="4" w:space="0"/>
                  </w:tcBorders>
                  <w:vAlign w:val="center"/>
                </w:tcPr>
                <w:p w14:paraId="59434020">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100—500</w:t>
                  </w:r>
                </w:p>
              </w:tc>
              <w:tc>
                <w:tcPr>
                  <w:tcW w:w="2131" w:type="dxa"/>
                  <w:tcBorders>
                    <w:top w:val="single" w:color="auto" w:sz="4" w:space="0"/>
                    <w:left w:val="single" w:color="auto" w:sz="4" w:space="0"/>
                    <w:bottom w:val="single" w:color="auto" w:sz="4" w:space="0"/>
                    <w:right w:val="single" w:color="auto" w:sz="4" w:space="0"/>
                  </w:tcBorders>
                  <w:vAlign w:val="center"/>
                </w:tcPr>
                <w:p w14:paraId="5F7E851C">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1.1％</w:t>
                  </w:r>
                </w:p>
              </w:tc>
              <w:tc>
                <w:tcPr>
                  <w:tcW w:w="1811" w:type="dxa"/>
                  <w:tcBorders>
                    <w:top w:val="single" w:color="auto" w:sz="4" w:space="0"/>
                    <w:left w:val="single" w:color="auto" w:sz="4" w:space="0"/>
                    <w:bottom w:val="single" w:color="auto" w:sz="4" w:space="0"/>
                    <w:right w:val="single" w:color="auto" w:sz="4" w:space="0"/>
                  </w:tcBorders>
                  <w:vAlign w:val="center"/>
                </w:tcPr>
                <w:p w14:paraId="30B989BB">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0.8％</w:t>
                  </w:r>
                </w:p>
              </w:tc>
              <w:tc>
                <w:tcPr>
                  <w:tcW w:w="1800" w:type="dxa"/>
                  <w:tcBorders>
                    <w:top w:val="single" w:color="auto" w:sz="4" w:space="0"/>
                    <w:left w:val="single" w:color="auto" w:sz="4" w:space="0"/>
                    <w:bottom w:val="single" w:color="auto" w:sz="4" w:space="0"/>
                    <w:right w:val="single" w:color="auto" w:sz="4" w:space="0"/>
                  </w:tcBorders>
                  <w:vAlign w:val="center"/>
                </w:tcPr>
                <w:p w14:paraId="3936C02D">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0.7%</w:t>
                  </w:r>
                </w:p>
              </w:tc>
            </w:tr>
            <w:tr w14:paraId="25291A6A">
              <w:tblPrEx>
                <w:tblCellMar>
                  <w:top w:w="0" w:type="dxa"/>
                  <w:left w:w="0" w:type="dxa"/>
                  <w:bottom w:w="0" w:type="dxa"/>
                  <w:right w:w="0" w:type="dxa"/>
                </w:tblCellMar>
              </w:tblPrEx>
              <w:trPr>
                <w:trHeight w:val="281" w:hRule="atLeast"/>
                <w:tblCellSpacing w:w="0" w:type="dxa"/>
                <w:jc w:val="center"/>
              </w:trPr>
              <w:tc>
                <w:tcPr>
                  <w:tcW w:w="2177" w:type="dxa"/>
                  <w:tcBorders>
                    <w:top w:val="single" w:color="auto" w:sz="4" w:space="0"/>
                    <w:left w:val="single" w:color="auto" w:sz="4" w:space="0"/>
                    <w:bottom w:val="single" w:color="auto" w:sz="4" w:space="0"/>
                    <w:right w:val="single" w:color="auto" w:sz="4" w:space="0"/>
                  </w:tcBorders>
                  <w:vAlign w:val="center"/>
                </w:tcPr>
                <w:p w14:paraId="08002352">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500—1000</w:t>
                  </w:r>
                </w:p>
              </w:tc>
              <w:tc>
                <w:tcPr>
                  <w:tcW w:w="2131" w:type="dxa"/>
                  <w:tcBorders>
                    <w:top w:val="single" w:color="auto" w:sz="4" w:space="0"/>
                    <w:left w:val="single" w:color="auto" w:sz="4" w:space="0"/>
                    <w:bottom w:val="single" w:color="auto" w:sz="4" w:space="0"/>
                    <w:right w:val="single" w:color="auto" w:sz="4" w:space="0"/>
                  </w:tcBorders>
                  <w:vAlign w:val="center"/>
                </w:tcPr>
                <w:p w14:paraId="308A5497">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0.8％</w:t>
                  </w:r>
                </w:p>
              </w:tc>
              <w:tc>
                <w:tcPr>
                  <w:tcW w:w="1811" w:type="dxa"/>
                  <w:tcBorders>
                    <w:top w:val="single" w:color="auto" w:sz="4" w:space="0"/>
                    <w:left w:val="single" w:color="auto" w:sz="4" w:space="0"/>
                    <w:bottom w:val="single" w:color="auto" w:sz="4" w:space="0"/>
                    <w:right w:val="single" w:color="auto" w:sz="4" w:space="0"/>
                  </w:tcBorders>
                  <w:vAlign w:val="center"/>
                </w:tcPr>
                <w:p w14:paraId="0FEBD0C9">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0.45％</w:t>
                  </w:r>
                </w:p>
              </w:tc>
              <w:tc>
                <w:tcPr>
                  <w:tcW w:w="1800" w:type="dxa"/>
                  <w:tcBorders>
                    <w:top w:val="single" w:color="auto" w:sz="4" w:space="0"/>
                    <w:left w:val="single" w:color="auto" w:sz="4" w:space="0"/>
                    <w:bottom w:val="single" w:color="auto" w:sz="4" w:space="0"/>
                    <w:right w:val="single" w:color="auto" w:sz="4" w:space="0"/>
                  </w:tcBorders>
                  <w:vAlign w:val="center"/>
                </w:tcPr>
                <w:p w14:paraId="38693875">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0.55%</w:t>
                  </w:r>
                </w:p>
              </w:tc>
            </w:tr>
            <w:tr w14:paraId="78063A2D">
              <w:tblPrEx>
                <w:tblCellMar>
                  <w:top w:w="0" w:type="dxa"/>
                  <w:left w:w="0" w:type="dxa"/>
                  <w:bottom w:w="0" w:type="dxa"/>
                  <w:right w:w="0" w:type="dxa"/>
                </w:tblCellMar>
              </w:tblPrEx>
              <w:trPr>
                <w:trHeight w:val="281" w:hRule="atLeast"/>
                <w:tblCellSpacing w:w="0" w:type="dxa"/>
                <w:jc w:val="center"/>
              </w:trPr>
              <w:tc>
                <w:tcPr>
                  <w:tcW w:w="2177" w:type="dxa"/>
                  <w:tcBorders>
                    <w:top w:val="single" w:color="auto" w:sz="4" w:space="0"/>
                    <w:left w:val="single" w:color="auto" w:sz="4" w:space="0"/>
                    <w:bottom w:val="single" w:color="auto" w:sz="4" w:space="0"/>
                    <w:right w:val="single" w:color="auto" w:sz="4" w:space="0"/>
                  </w:tcBorders>
                  <w:vAlign w:val="center"/>
                </w:tcPr>
                <w:p w14:paraId="6FC05F0C">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1000—5000</w:t>
                  </w:r>
                </w:p>
              </w:tc>
              <w:tc>
                <w:tcPr>
                  <w:tcW w:w="2131" w:type="dxa"/>
                  <w:tcBorders>
                    <w:top w:val="single" w:color="auto" w:sz="4" w:space="0"/>
                    <w:left w:val="single" w:color="auto" w:sz="4" w:space="0"/>
                    <w:bottom w:val="single" w:color="auto" w:sz="4" w:space="0"/>
                    <w:right w:val="single" w:color="auto" w:sz="4" w:space="0"/>
                  </w:tcBorders>
                  <w:vAlign w:val="center"/>
                </w:tcPr>
                <w:p w14:paraId="26620A62">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0.5％</w:t>
                  </w:r>
                </w:p>
              </w:tc>
              <w:tc>
                <w:tcPr>
                  <w:tcW w:w="1811" w:type="dxa"/>
                  <w:tcBorders>
                    <w:top w:val="single" w:color="auto" w:sz="4" w:space="0"/>
                    <w:left w:val="single" w:color="auto" w:sz="4" w:space="0"/>
                    <w:bottom w:val="single" w:color="auto" w:sz="4" w:space="0"/>
                    <w:right w:val="single" w:color="auto" w:sz="4" w:space="0"/>
                  </w:tcBorders>
                  <w:vAlign w:val="center"/>
                </w:tcPr>
                <w:p w14:paraId="3B5A54CA">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0.25％</w:t>
                  </w:r>
                </w:p>
              </w:tc>
              <w:tc>
                <w:tcPr>
                  <w:tcW w:w="1800" w:type="dxa"/>
                  <w:tcBorders>
                    <w:top w:val="single" w:color="auto" w:sz="4" w:space="0"/>
                    <w:left w:val="single" w:color="auto" w:sz="4" w:space="0"/>
                    <w:bottom w:val="single" w:color="auto" w:sz="4" w:space="0"/>
                    <w:right w:val="single" w:color="auto" w:sz="4" w:space="0"/>
                  </w:tcBorders>
                  <w:vAlign w:val="center"/>
                </w:tcPr>
                <w:p w14:paraId="2FAE52DF">
                  <w:pPr>
                    <w:shd w:val="clear"/>
                    <w:jc w:val="center"/>
                    <w:rPr>
                      <w:rFonts w:ascii="宋体" w:hAnsi="宋体" w:eastAsia="宋体" w:cs="宋体"/>
                      <w:color w:val="auto"/>
                      <w:sz w:val="24"/>
                      <w:highlight w:val="none"/>
                    </w:rPr>
                  </w:pPr>
                  <w:r>
                    <w:rPr>
                      <w:rFonts w:hint="eastAsia" w:ascii="宋体" w:hAnsi="宋体" w:eastAsia="宋体" w:cs="宋体"/>
                      <w:color w:val="auto"/>
                      <w:sz w:val="24"/>
                      <w:highlight w:val="none"/>
                    </w:rPr>
                    <w:t>0.35%</w:t>
                  </w:r>
                </w:p>
              </w:tc>
            </w:tr>
          </w:tbl>
          <w:p w14:paraId="195E4E68">
            <w:pPr>
              <w:shd w:val="clear"/>
              <w:spacing w:line="360" w:lineRule="auto"/>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采购代理机构开户名称:陕西中财招标代理有限公司 </w:t>
            </w:r>
          </w:p>
          <w:p w14:paraId="0DB166A5">
            <w:pPr>
              <w:shd w:val="clear"/>
              <w:spacing w:line="360" w:lineRule="auto"/>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开户行名称:招商银行榆林分行营业部 </w:t>
            </w:r>
          </w:p>
          <w:p w14:paraId="6BEEC80D">
            <w:pPr>
              <w:shd w:val="clear"/>
              <w:spacing w:line="360" w:lineRule="auto"/>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账   号：129907827510506 </w:t>
            </w:r>
          </w:p>
          <w:p w14:paraId="7FD1740C">
            <w:pPr>
              <w:shd w:val="clear"/>
              <w:spacing w:line="360" w:lineRule="auto"/>
              <w:rPr>
                <w:rFonts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行   号：308806000018</w:t>
            </w:r>
          </w:p>
        </w:tc>
      </w:tr>
      <w:tr w14:paraId="0E8C1C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5F880513">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15</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7D7B8A70">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同义</w:t>
            </w:r>
          </w:p>
          <w:p w14:paraId="0ECAEEC3">
            <w:pPr>
              <w:shd w:val="clear"/>
              <w:spacing w:line="360" w:lineRule="auto"/>
              <w:jc w:val="center"/>
              <w:rPr>
                <w:rFonts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词语</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1B36803D">
            <w:pPr>
              <w:shd w:val="clear"/>
              <w:spacing w:line="360" w:lineRule="auto"/>
              <w:rPr>
                <w:rFonts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cstheme="minorEastAsia"/>
                <w:color w:val="auto"/>
                <w:sz w:val="24"/>
                <w:highlight w:val="none"/>
              </w:rPr>
              <w:t>构成招标文件组成部分的各章节中出现的措辞“委托人”、“发包人“和“投标人”、“承包人”，在招标投标阶段应当分别按“采购人”和“投标人”进行理解。</w:t>
            </w:r>
          </w:p>
        </w:tc>
      </w:tr>
      <w:tr w14:paraId="775171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48C996EE">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16</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2272AAA6">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样品的</w:t>
            </w:r>
          </w:p>
          <w:p w14:paraId="1D09FF07">
            <w:pPr>
              <w:shd w:val="clear"/>
              <w:spacing w:line="360" w:lineRule="auto"/>
              <w:jc w:val="center"/>
              <w:rPr>
                <w:rFonts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退还</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28ACA2CA">
            <w:pPr>
              <w:shd w:val="clear"/>
              <w:spacing w:line="360" w:lineRule="auto"/>
              <w:rPr>
                <w:rFonts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cstheme="minorEastAsia"/>
                <w:color w:val="auto"/>
                <w:sz w:val="24"/>
                <w:highlight w:val="none"/>
              </w:rPr>
              <w:t>若文件内要求提供样品的，须按照投标文件密封要求密封递交，标明项目名称、项目编号、投标人名称、样品名称等标识并随投标文件一同递交，未中标人样品的退还时间同</w:t>
            </w:r>
            <w:r>
              <w:rPr>
                <w:rFonts w:hint="eastAsia" w:asciiTheme="minorEastAsia" w:hAnsiTheme="minorEastAsia" w:cstheme="minorEastAsia"/>
                <w:color w:val="auto"/>
                <w:sz w:val="24"/>
                <w:highlight w:val="none"/>
                <w:lang w:val="en-US" w:eastAsia="zh-CN"/>
              </w:rPr>
              <w:t>为中标结果公告发布后5个工作日内</w:t>
            </w:r>
            <w:r>
              <w:rPr>
                <w:rFonts w:hint="eastAsia" w:asciiTheme="minorEastAsia" w:hAnsiTheme="minorEastAsia" w:cstheme="minorEastAsia"/>
                <w:color w:val="auto"/>
                <w:sz w:val="24"/>
                <w:highlight w:val="none"/>
              </w:rPr>
              <w:t>，中标人的样品由采购人封样不予退还并作为本项目的验收依据。</w:t>
            </w:r>
          </w:p>
        </w:tc>
      </w:tr>
      <w:tr w14:paraId="50E085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55B50B71">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17</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35801073">
            <w:pPr>
              <w:shd w:val="clear"/>
              <w:spacing w:line="360" w:lineRule="auto"/>
              <w:jc w:val="center"/>
              <w:rPr>
                <w:rFonts w:asciiTheme="minorEastAsia" w:hAnsiTheme="minorEastAsia" w:eastAsiaTheme="minorEastAsia" w:cstheme="minorEastAsia"/>
                <w:b/>
                <w:bCs/>
                <w:kern w:val="2"/>
                <w:sz w:val="24"/>
                <w:szCs w:val="24"/>
                <w:highlight w:val="none"/>
                <w:lang w:val="en-US" w:eastAsia="zh-CN" w:bidi="ar-SA"/>
              </w:rPr>
            </w:pPr>
            <w:r>
              <w:rPr>
                <w:rFonts w:hint="eastAsia" w:asciiTheme="minorEastAsia" w:hAnsiTheme="minorEastAsia" w:cstheme="minorEastAsia"/>
                <w:b/>
                <w:bCs/>
                <w:sz w:val="24"/>
                <w:highlight w:val="none"/>
              </w:rPr>
              <w:t>是否电子标</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1D411A4B">
            <w:pPr>
              <w:shd w:val="clear"/>
              <w:spacing w:line="360" w:lineRule="auto"/>
              <w:jc w:val="left"/>
              <w:rPr>
                <w:rFonts w:asciiTheme="minorEastAsia" w:hAnsiTheme="minorEastAsia" w:eastAsiaTheme="minorEastAsia" w:cstheme="minorEastAsia"/>
                <w:b/>
                <w:bCs/>
                <w:kern w:val="2"/>
                <w:sz w:val="24"/>
                <w:szCs w:val="24"/>
                <w:highlight w:val="none"/>
                <w:lang w:val="en-US" w:eastAsia="zh-CN" w:bidi="ar-SA"/>
              </w:rPr>
            </w:pPr>
            <w:r>
              <w:rPr>
                <w:rFonts w:hint="eastAsia" w:asciiTheme="minorEastAsia" w:hAnsiTheme="minorEastAsia" w:cstheme="minorEastAsia"/>
                <w:b/>
                <w:bCs/>
                <w:sz w:val="24"/>
                <w:highlight w:val="none"/>
              </w:rPr>
              <w:t>是</w:t>
            </w:r>
          </w:p>
        </w:tc>
      </w:tr>
      <w:tr w14:paraId="75FE56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72904D64">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18</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37DAA218">
            <w:pPr>
              <w:shd w:val="clear"/>
              <w:spacing w:line="360" w:lineRule="auto"/>
              <w:jc w:val="center"/>
              <w:rPr>
                <w:rFonts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不见面开标</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1F624A22">
            <w:pPr>
              <w:shd w:val="clear"/>
              <w:spacing w:line="360" w:lineRule="auto"/>
              <w:ind w:firstLine="480" w:firstLineChars="200"/>
              <w:jc w:val="left"/>
              <w:rPr>
                <w:rFonts w:asciiTheme="minorEastAsia" w:hAnsiTheme="minorEastAsia" w:cstheme="minorEastAsia"/>
                <w:bCs/>
                <w:sz w:val="24"/>
                <w:highlight w:val="none"/>
              </w:rPr>
            </w:pPr>
            <w:r>
              <w:rPr>
                <w:rFonts w:hint="eastAsia" w:asciiTheme="minorEastAsia" w:hAnsiTheme="minorEastAsia" w:cstheme="minorEastAsia"/>
                <w:bCs/>
                <w:sz w:val="24"/>
                <w:highlight w:val="none"/>
              </w:rPr>
              <w:t>该项目将采取“不见面”开标的形式，供应商无须到达开标现场，即可在网上直接参与开标活动。相关注意事项如下：</w:t>
            </w:r>
          </w:p>
          <w:p w14:paraId="492B5CC6">
            <w:pPr>
              <w:shd w:val="clear"/>
              <w:spacing w:line="360" w:lineRule="auto"/>
              <w:ind w:firstLine="480" w:firstLineChars="200"/>
              <w:jc w:val="left"/>
              <w:rPr>
                <w:rFonts w:asciiTheme="minorEastAsia" w:hAnsiTheme="minorEastAsia" w:cstheme="minorEastAsia"/>
                <w:bCs/>
                <w:sz w:val="24"/>
                <w:highlight w:val="none"/>
              </w:rPr>
            </w:pPr>
            <w:r>
              <w:rPr>
                <w:rFonts w:hint="eastAsia" w:asciiTheme="minorEastAsia" w:hAnsiTheme="minorEastAsia" w:cstheme="minorEastAsia"/>
                <w:bCs/>
                <w:sz w:val="24"/>
                <w:highlight w:val="none"/>
              </w:rPr>
              <w:t>1、开标当日，请各供应商在开标截止时间前至少提前半小时登录“不见面”开标系统登录方式有以下几种：</w:t>
            </w:r>
          </w:p>
          <w:p w14:paraId="2A273597">
            <w:pPr>
              <w:shd w:val="clear"/>
              <w:spacing w:line="360" w:lineRule="auto"/>
              <w:ind w:left="479" w:leftChars="228"/>
              <w:jc w:val="left"/>
              <w:rPr>
                <w:rFonts w:asciiTheme="minorEastAsia" w:hAnsiTheme="minorEastAsia" w:cstheme="minorEastAsia"/>
                <w:bCs/>
                <w:sz w:val="24"/>
                <w:highlight w:val="none"/>
              </w:rPr>
            </w:pPr>
            <w:r>
              <w:rPr>
                <w:rFonts w:hint="eastAsia" w:asciiTheme="minorEastAsia" w:hAnsiTheme="minorEastAsia" w:cstheme="minorEastAsia"/>
                <w:bCs/>
                <w:sz w:val="24"/>
                <w:highlight w:val="none"/>
              </w:rPr>
              <w:t>1）IE浏览器输入网址：http://111.20.184.126:8084/BidOpeningHallCS/bidhall/default/login；</w:t>
            </w:r>
          </w:p>
          <w:p w14:paraId="38DB3F0F">
            <w:pPr>
              <w:shd w:val="clear"/>
              <w:spacing w:line="360" w:lineRule="auto"/>
              <w:ind w:firstLine="480" w:firstLineChars="200"/>
              <w:jc w:val="left"/>
              <w:rPr>
                <w:rFonts w:asciiTheme="minorEastAsia" w:hAnsiTheme="minorEastAsia" w:cstheme="minorEastAsia"/>
                <w:bCs/>
                <w:sz w:val="24"/>
                <w:highlight w:val="none"/>
              </w:rPr>
            </w:pPr>
            <w:r>
              <w:rPr>
                <w:rFonts w:hint="eastAsia" w:asciiTheme="minorEastAsia" w:hAnsiTheme="minorEastAsia" w:cstheme="minorEastAsia"/>
                <w:bCs/>
                <w:sz w:val="24"/>
                <w:highlight w:val="none"/>
              </w:rPr>
              <w:t>2）在【全国公共资源交易平台（陕西省·榆林市）】网站首页点击不见面开标模块进入；</w:t>
            </w:r>
          </w:p>
          <w:p w14:paraId="6AD84492">
            <w:pPr>
              <w:shd w:val="clear"/>
              <w:spacing w:line="360" w:lineRule="auto"/>
              <w:ind w:firstLine="480" w:firstLineChars="200"/>
              <w:jc w:val="left"/>
              <w:rPr>
                <w:rFonts w:asciiTheme="minorEastAsia" w:hAnsiTheme="minorEastAsia" w:cstheme="minorEastAsia"/>
                <w:bCs/>
                <w:sz w:val="24"/>
                <w:highlight w:val="none"/>
              </w:rPr>
            </w:pPr>
            <w:r>
              <w:rPr>
                <w:rFonts w:hint="eastAsia" w:asciiTheme="minorEastAsia" w:hAnsiTheme="minorEastAsia" w:cstheme="minorEastAsia"/>
                <w:bCs/>
                <w:sz w:val="24"/>
                <w:highlight w:val="none"/>
              </w:rPr>
              <w:t>3）在【全国公共资源交易平台（陕西省）】网站首页点击不见面开标模块选择榆林市进入。</w:t>
            </w:r>
          </w:p>
          <w:p w14:paraId="4232D0A3">
            <w:pPr>
              <w:shd w:val="clear"/>
              <w:spacing w:line="360" w:lineRule="auto"/>
              <w:ind w:firstLine="480" w:firstLineChars="200"/>
              <w:jc w:val="left"/>
              <w:rPr>
                <w:rFonts w:asciiTheme="minorEastAsia" w:hAnsiTheme="minorEastAsia" w:cstheme="minorEastAsia"/>
                <w:bCs/>
                <w:sz w:val="24"/>
                <w:highlight w:val="none"/>
              </w:rPr>
            </w:pPr>
            <w:r>
              <w:rPr>
                <w:rFonts w:hint="eastAsia" w:asciiTheme="minorEastAsia" w:hAnsiTheme="minorEastAsia" w:cstheme="minorEastAsia"/>
                <w:bCs/>
                <w:sz w:val="24"/>
                <w:highlight w:val="none"/>
              </w:rPr>
              <w:t>注：登录不见面开标系统请选择IE11浏览器</w:t>
            </w:r>
          </w:p>
          <w:p w14:paraId="679659F8">
            <w:pPr>
              <w:shd w:val="clear"/>
              <w:spacing w:line="360" w:lineRule="auto"/>
              <w:ind w:firstLine="480" w:firstLineChars="200"/>
              <w:jc w:val="left"/>
              <w:rPr>
                <w:rFonts w:asciiTheme="minorEastAsia" w:hAnsiTheme="minorEastAsia" w:cstheme="minorEastAsia"/>
                <w:bCs/>
                <w:sz w:val="24"/>
                <w:highlight w:val="none"/>
              </w:rPr>
            </w:pPr>
            <w:r>
              <w:rPr>
                <w:rFonts w:hint="eastAsia" w:asciiTheme="minorEastAsia" w:hAnsiTheme="minorEastAsia" w:cstheme="minorEastAsia"/>
                <w:bCs/>
                <w:sz w:val="24"/>
                <w:highlight w:val="none"/>
              </w:rPr>
              <w:t>2、供应商应按要求及时签到（签到时间为投标截止时间前1小时内，如果未签到将视为放弃投标资格），评审过程中，评标委员会可能会就某些问题要求供应商进行在线澄清，请供应商保持在线直到评审结束；</w:t>
            </w:r>
          </w:p>
          <w:p w14:paraId="34DC8CE8">
            <w:pPr>
              <w:shd w:val="clear"/>
              <w:spacing w:line="360" w:lineRule="auto"/>
              <w:ind w:firstLine="480" w:firstLineChars="200"/>
              <w:rPr>
                <w:rFonts w:asciiTheme="minorEastAsia" w:hAnsiTheme="minorEastAsia" w:cstheme="minorEastAsia"/>
                <w:bCs/>
                <w:sz w:val="24"/>
                <w:highlight w:val="none"/>
              </w:rPr>
            </w:pPr>
            <w:r>
              <w:rPr>
                <w:rFonts w:hint="eastAsia" w:asciiTheme="minorEastAsia" w:hAnsiTheme="minorEastAsia" w:cstheme="minorEastAsia"/>
                <w:bCs/>
                <w:sz w:val="24"/>
                <w:highlight w:val="none"/>
              </w:rPr>
              <w:t>3、开标过程中，供应商在收到工作人员“开始解密”指令后，请及时使用CA对电子投标文件进行解密。解密时所用CA应与加密投标文件时所用CA相同；注：竞谈、磋商招标方式解密时间为30分钟，公开招标解密时间为60分钟，在解密时间内供应商全部解密完成后，可提前进入开标下一阶段。</w:t>
            </w:r>
          </w:p>
          <w:p w14:paraId="56DC2B40">
            <w:pPr>
              <w:shd w:val="clear"/>
              <w:spacing w:line="360" w:lineRule="auto"/>
              <w:ind w:firstLine="480" w:firstLineChars="200"/>
              <w:jc w:val="left"/>
              <w:rPr>
                <w:rFonts w:asciiTheme="minorEastAsia" w:hAnsiTheme="minorEastAsia" w:cstheme="minorEastAsia"/>
                <w:bCs/>
                <w:sz w:val="24"/>
                <w:highlight w:val="none"/>
              </w:rPr>
            </w:pPr>
            <w:r>
              <w:rPr>
                <w:rFonts w:hint="eastAsia" w:asciiTheme="minorEastAsia" w:hAnsiTheme="minorEastAsia" w:cstheme="minorEastAsia"/>
                <w:bCs/>
                <w:sz w:val="24"/>
                <w:highlight w:val="none"/>
              </w:rPr>
              <w:t>4、相关技术问题，请咨询软件开发商：400-998-0000/400-928-0095</w:t>
            </w:r>
          </w:p>
          <w:p w14:paraId="20C29B3E">
            <w:pPr>
              <w:shd w:val="clear"/>
              <w:spacing w:line="360" w:lineRule="auto"/>
              <w:ind w:firstLine="480" w:firstLineChars="200"/>
              <w:jc w:val="left"/>
              <w:rPr>
                <w:rFonts w:asciiTheme="minorEastAsia" w:hAnsiTheme="minorEastAsia" w:eastAsiaTheme="minorEastAsia" w:cstheme="minorEastAsia"/>
                <w:b/>
                <w:kern w:val="2"/>
                <w:sz w:val="24"/>
                <w:szCs w:val="24"/>
                <w:highlight w:val="none"/>
                <w:lang w:val="en-US" w:eastAsia="zh-CN" w:bidi="ar-SA"/>
              </w:rPr>
            </w:pPr>
            <w:r>
              <w:rPr>
                <w:rFonts w:hint="eastAsia" w:asciiTheme="minorEastAsia" w:hAnsiTheme="minorEastAsia" w:cstheme="minorEastAsia"/>
                <w:bCs/>
                <w:sz w:val="24"/>
                <w:highlight w:val="none"/>
              </w:rPr>
              <w:t>5、榆林不见面开标系统操作手册下载方式：登录【全国公共资源交易平台（陕西省·榆林市）】网站首页选择【服务指南】-【下载专区】-点击【榆林不见面开标系统操作手册（投标人）】进行下载。</w:t>
            </w:r>
          </w:p>
        </w:tc>
      </w:tr>
      <w:tr w14:paraId="4DDB83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0702F5DA">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19</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6CDA1A76">
            <w:pPr>
              <w:shd w:val="clear"/>
              <w:spacing w:line="360" w:lineRule="auto"/>
              <w:jc w:val="center"/>
              <w:rPr>
                <w:rFonts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特别提醒</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0BED63F3">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1、投标人须使用数字认证证书对电子化投标文件进行签章、加密、递交及开标时解密等相关招投标事宜。</w:t>
            </w:r>
          </w:p>
          <w:p w14:paraId="5412DFAB">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 xml:space="preserve">2、制作电子投标文件。投标人须在“全国公共资源交易中心平台（陕西省）（http://www.sxggzyjy.cn/）”的“服务指南” 栏目“下载专区”中，免费下载“陕西省公共资源交易平台政府采购电子标书制作工具” 及“政府采购投标单位操作手册”， 并使用该客户端制作电子投标文件，制作扩展名为“.SXSTF”的电子投标文件。 </w:t>
            </w:r>
          </w:p>
          <w:p w14:paraId="02F172C6">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3、递交电子投标文件。登录陕西省公共资源交易中心平台（http://xxxq.sxggzyjy.cn/），选择“电子交易平台-陕西政府采购交易系统-陕西省公共资源交易平台-供应商”进行登录，登录后选择“交易乙方”身份进入，选择“上传投标文件”菜单页面，上传加密的电子化投标文件。上传成功后，电子化平台将予以记录。</w:t>
            </w:r>
          </w:p>
          <w:p w14:paraId="4117F2E5">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4、投标文件中所有涉及签字、盖章的，各投标单位须将所有签字盖章完成后上传。 </w:t>
            </w:r>
          </w:p>
        </w:tc>
      </w:tr>
      <w:tr w14:paraId="77472D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6C703E44">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20</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748371DF">
            <w:pPr>
              <w:shd w:val="clear"/>
              <w:spacing w:line="360" w:lineRule="auto"/>
              <w:jc w:val="center"/>
              <w:rPr>
                <w:rFonts w:hint="eastAsia" w:asciiTheme="minorEastAsia" w:hAnsiTheme="minorEastAsia" w:cstheme="minorEastAsia"/>
                <w:sz w:val="24"/>
                <w:highlight w:val="none"/>
              </w:rPr>
            </w:pPr>
            <w:r>
              <w:rPr>
                <w:rFonts w:hint="eastAsia" w:asciiTheme="minorEastAsia" w:hAnsiTheme="minorEastAsia" w:cstheme="minorEastAsia"/>
                <w:sz w:val="24"/>
                <w:highlight w:val="none"/>
              </w:rPr>
              <w:t>信用承诺公示要求</w:t>
            </w:r>
          </w:p>
          <w:p w14:paraId="5AACECCA">
            <w:pPr>
              <w:shd w:val="clear"/>
              <w:spacing w:line="360" w:lineRule="auto"/>
              <w:jc w:val="center"/>
              <w:rPr>
                <w:rFonts w:hint="eastAsia" w:asciiTheme="minorEastAsia" w:hAnsiTheme="minorEastAsia" w:eastAsiaTheme="minorEastAsia" w:cstheme="minorEastAsia"/>
                <w:kern w:val="2"/>
                <w:sz w:val="24"/>
                <w:szCs w:val="24"/>
                <w:highlight w:val="none"/>
                <w:lang w:val="en-US" w:eastAsia="zh-CN" w:bidi="ar-SA"/>
              </w:rPr>
            </w:pP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244ECBB0">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为深入贯彻信用体系建设的有关精神，根据市发改委《关于在工程招投标活动中推行信用监管试点示范工作的通知》（榆政发改发〔2020〕329号）和市财政局《关于在政府采购活动中使用信用记录和信用报告以及开展承诺工作的通知》（榆政财采函〔2020〕9号）在工程建设和政府采购领域全面推行信用公开承诺制，进入公共资源交易平台的各方交易主体（投标单位、授权代表），均应在“信用中国（陕西榆林）”网站进行注册、登陆，自主上报信用承诺书（网址：https://credit.yl.gov.cn/），各相关交易主体注册、登陆后根据承诺事项选择相应的模板填写《信用承诺书》，并载明承诺事由</w:t>
            </w:r>
            <w:r>
              <w:rPr>
                <w:rFonts w:hint="eastAsia" w:hAnsi="宋体" w:cs="宋体"/>
                <w:kern w:val="2"/>
                <w:sz w:val="24"/>
                <w:szCs w:val="24"/>
                <w:highlight w:val="none"/>
                <w:lang w:val="en-US" w:eastAsia="zh-CN" w:bidi="ar-SA"/>
              </w:rPr>
              <w:t>。</w:t>
            </w:r>
          </w:p>
          <w:p w14:paraId="3CA16707">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信用承诺操作相关事宜如下：</w:t>
            </w:r>
          </w:p>
          <w:p w14:paraId="657A1711">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（1）进入信用中国“陕西榆林”页面，点击信用承诺，右上角显示主动上报，在承诺事项选择相应的承诺事项，承诺事项的名称为原纸质版的标题名称。</w:t>
            </w:r>
          </w:p>
          <w:p w14:paraId="0373D73A">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（2）承诺事由为“公共资源交易平台的所有活动、项目名称、项目编号”。</w:t>
            </w:r>
          </w:p>
          <w:p w14:paraId="78D26571">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（3）供应商需上传</w:t>
            </w:r>
            <w:r>
              <w:rPr>
                <w:rFonts w:hint="eastAsia" w:hAnsi="宋体" w:cs="宋体"/>
                <w:kern w:val="2"/>
                <w:sz w:val="24"/>
                <w:szCs w:val="24"/>
                <w:highlight w:val="none"/>
                <w:lang w:val="en-US" w:eastAsia="zh-CN" w:bidi="ar-SA"/>
              </w:rPr>
              <w:t>四</w:t>
            </w:r>
            <w:r>
              <w:rPr>
                <w:rFonts w:hint="eastAsia" w:ascii="宋体" w:hAnsi="宋体" w:eastAsia="宋体" w:cs="宋体"/>
                <w:kern w:val="2"/>
                <w:sz w:val="24"/>
                <w:szCs w:val="24"/>
                <w:highlight w:val="none"/>
                <w:lang w:val="en-US" w:eastAsia="zh-CN" w:bidi="ar-SA"/>
              </w:rPr>
              <w:t>项信用承诺</w:t>
            </w:r>
            <w:r>
              <w:rPr>
                <w:rFonts w:hint="eastAsia" w:ascii="宋体" w:hAnsi="宋体" w:eastAsia="宋体" w:cs="宋体"/>
                <w:color w:val="auto"/>
                <w:sz w:val="24"/>
                <w:szCs w:val="24"/>
                <w:highlight w:val="none"/>
                <w:lang w:val="en-US" w:eastAsia="zh-CN"/>
              </w:rPr>
              <w:t>：</w:t>
            </w:r>
            <w:r>
              <w:rPr>
                <w:rFonts w:hint="eastAsia" w:ascii="宋体" w:hAnsi="宋体" w:eastAsia="宋体" w:cs="宋体"/>
                <w:kern w:val="2"/>
                <w:sz w:val="24"/>
                <w:szCs w:val="24"/>
                <w:highlight w:val="none"/>
                <w:lang w:val="en-US" w:eastAsia="zh-CN" w:bidi="ar-SA"/>
              </w:rPr>
              <w:t>①投标人信用承诺；②委托代理人信用承诺。③《榆林市政府采购服务类项目供应商信用承诺书》④投标信用承诺书（保证金）；（信用承诺书的格式详见投标文件格式中附件）。</w:t>
            </w:r>
            <w:r>
              <w:rPr>
                <w:rFonts w:hint="eastAsia" w:hAnsi="宋体" w:cs="宋体"/>
                <w:kern w:val="2"/>
                <w:sz w:val="24"/>
                <w:szCs w:val="24"/>
                <w:highlight w:val="none"/>
                <w:lang w:val="en-US" w:eastAsia="zh-CN" w:bidi="ar-SA"/>
              </w:rPr>
              <w:t>上传承诺书时须上传响应的承诺书附件；</w:t>
            </w:r>
          </w:p>
          <w:p w14:paraId="685C5CEA">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（4）所有账号问题在政务网中咨询或拨打02987382893、029-87382894。</w:t>
            </w:r>
          </w:p>
          <w:p w14:paraId="28A01AFC">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注：如未按照上述要求办理，信用承诺公示迟报、漏报的列入不良行为记录。其投标将被否决，后果自负。投标人请将申报截图附在投标文件附件中，如不执行由此带来的不利后果投标人自行承担；</w:t>
            </w:r>
          </w:p>
          <w:p w14:paraId="107F2E6C">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b/>
                <w:bCs/>
                <w:kern w:val="2"/>
                <w:sz w:val="24"/>
                <w:szCs w:val="24"/>
                <w:highlight w:val="none"/>
                <w:lang w:val="en-US" w:eastAsia="zh-CN" w:bidi="ar-SA"/>
              </w:rPr>
              <w:t>具体操作详见附件</w:t>
            </w:r>
            <w:r>
              <w:rPr>
                <w:rFonts w:hint="eastAsia" w:hAnsi="宋体" w:cs="宋体"/>
                <w:b/>
                <w:bCs/>
                <w:kern w:val="2"/>
                <w:sz w:val="24"/>
                <w:szCs w:val="24"/>
                <w:highlight w:val="none"/>
                <w:lang w:val="en-US" w:eastAsia="zh-CN" w:bidi="ar-SA"/>
              </w:rPr>
              <w:t>一</w:t>
            </w:r>
            <w:r>
              <w:rPr>
                <w:rFonts w:hint="eastAsia" w:ascii="宋体" w:hAnsi="宋体" w:eastAsia="宋体" w:cs="宋体"/>
                <w:b/>
                <w:bCs/>
                <w:kern w:val="2"/>
                <w:sz w:val="24"/>
                <w:szCs w:val="24"/>
                <w:highlight w:val="none"/>
                <w:lang w:val="en-US" w:eastAsia="zh-CN" w:bidi="ar-SA"/>
              </w:rPr>
              <w:t>：信用承诺上报操作指南。</w:t>
            </w:r>
          </w:p>
        </w:tc>
      </w:tr>
      <w:tr w14:paraId="65C233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2B9225AB">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21</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4680A952">
            <w:pPr>
              <w:shd w:val="clear"/>
              <w:spacing w:line="360" w:lineRule="auto"/>
              <w:jc w:val="center"/>
              <w:rPr>
                <w:rFonts w:hint="eastAsia" w:asciiTheme="minorEastAsia" w:hAnsiTheme="minorEastAsia" w:eastAsiaTheme="minorEastAsia" w:cstheme="minorEastAsia"/>
                <w:kern w:val="2"/>
                <w:sz w:val="24"/>
                <w:szCs w:val="24"/>
                <w:highlight w:val="none"/>
                <w:lang w:val="en-US" w:eastAsia="zh-CN" w:bidi="ar-SA"/>
              </w:rPr>
            </w:pPr>
            <w:r>
              <w:rPr>
                <w:rFonts w:hint="eastAsia" w:asciiTheme="minorEastAsia" w:hAnsiTheme="minorEastAsia" w:cstheme="minorEastAsia"/>
                <w:sz w:val="24"/>
                <w:highlight w:val="none"/>
              </w:rPr>
              <w:t>其他</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25CC27BB">
            <w:pPr>
              <w:shd w:val="clear"/>
              <w:spacing w:line="240" w:lineRule="auto"/>
              <w:ind w:firstLine="482" w:firstLineChars="200"/>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为了进一步推动金融支持政策更好适应市场主体的需要，扎实落实国务院关于支持中小企业发展的政策措施，积极发挥政府采购政策功能，有效缓解中小企业融资难、融资贵问题，根据中办</w:t>
            </w:r>
            <w:r>
              <w:rPr>
                <w:rFonts w:hint="eastAsia" w:ascii="宋体" w:hAnsi="宋体" w:eastAsia="宋体" w:cs="宋体"/>
                <w:b/>
                <w:bCs/>
                <w:sz w:val="24"/>
                <w:szCs w:val="24"/>
                <w:highlight w:val="none"/>
                <w:lang w:val="en-US" w:eastAsia="zh-CN"/>
              </w:rPr>
              <w:t xml:space="preserve"> </w:t>
            </w:r>
            <w:r>
              <w:rPr>
                <w:rFonts w:hint="eastAsia" w:ascii="宋体" w:hAnsi="宋体" w:eastAsia="宋体" w:cs="宋体"/>
                <w:b/>
                <w:bCs/>
                <w:sz w:val="24"/>
                <w:szCs w:val="24"/>
                <w:highlight w:val="none"/>
              </w:rPr>
              <w:t>国办《关于促进中小企业健康发展的指导意见》、财政部</w:t>
            </w:r>
            <w:r>
              <w:rPr>
                <w:rFonts w:hint="eastAsia" w:ascii="宋体" w:hAnsi="宋体" w:eastAsia="宋体" w:cs="宋体"/>
                <w:b/>
                <w:bCs/>
                <w:sz w:val="24"/>
                <w:szCs w:val="24"/>
                <w:highlight w:val="none"/>
                <w:lang w:val="en-US" w:eastAsia="zh-CN"/>
              </w:rPr>
              <w:t xml:space="preserve"> </w:t>
            </w:r>
            <w:r>
              <w:rPr>
                <w:rFonts w:hint="eastAsia" w:ascii="宋体" w:hAnsi="宋体" w:eastAsia="宋体" w:cs="宋体"/>
                <w:b/>
                <w:bCs/>
                <w:sz w:val="24"/>
                <w:szCs w:val="24"/>
                <w:highlight w:val="none"/>
              </w:rPr>
              <w:t>工信部《政府采购促进中小企业发展</w:t>
            </w:r>
            <w:r>
              <w:rPr>
                <w:rFonts w:hint="eastAsia" w:ascii="宋体" w:hAnsi="宋体" w:eastAsia="宋体" w:cs="宋体"/>
                <w:b/>
                <w:bCs/>
                <w:sz w:val="24"/>
                <w:szCs w:val="24"/>
                <w:highlight w:val="none"/>
                <w:lang w:val="en-US" w:eastAsia="zh-CN"/>
              </w:rPr>
              <w:t>管理</w:t>
            </w:r>
            <w:r>
              <w:rPr>
                <w:rFonts w:hint="eastAsia" w:ascii="宋体" w:hAnsi="宋体" w:eastAsia="宋体" w:cs="宋体"/>
                <w:b/>
                <w:bCs/>
                <w:sz w:val="24"/>
                <w:szCs w:val="24"/>
                <w:highlight w:val="none"/>
              </w:rPr>
              <w:t>办法》（财库〔20</w:t>
            </w:r>
            <w:r>
              <w:rPr>
                <w:rFonts w:hint="eastAsia" w:ascii="宋体" w:hAnsi="宋体" w:eastAsia="宋体" w:cs="宋体"/>
                <w:b/>
                <w:bCs/>
                <w:sz w:val="24"/>
                <w:szCs w:val="24"/>
                <w:highlight w:val="none"/>
                <w:lang w:val="en-US" w:eastAsia="zh-CN"/>
              </w:rPr>
              <w:t>20</w:t>
            </w:r>
            <w:r>
              <w:rPr>
                <w:rFonts w:hint="eastAsia" w:ascii="宋体" w:hAnsi="宋体" w:eastAsia="宋体" w:cs="宋体"/>
                <w:b/>
                <w:bCs/>
                <w:sz w:val="24"/>
                <w:szCs w:val="24"/>
                <w:highlight w:val="none"/>
              </w:rPr>
              <w:t>〕</w:t>
            </w:r>
            <w:r>
              <w:rPr>
                <w:rFonts w:hint="eastAsia" w:ascii="宋体" w:hAnsi="宋体" w:eastAsia="宋体" w:cs="宋体"/>
                <w:b/>
                <w:bCs/>
                <w:sz w:val="24"/>
                <w:szCs w:val="24"/>
                <w:highlight w:val="none"/>
                <w:lang w:val="en-US" w:eastAsia="zh-CN"/>
              </w:rPr>
              <w:t>46</w:t>
            </w:r>
            <w:r>
              <w:rPr>
                <w:rFonts w:hint="eastAsia" w:ascii="宋体" w:hAnsi="宋体" w:eastAsia="宋体" w:cs="宋体"/>
                <w:b/>
                <w:bCs/>
                <w:sz w:val="24"/>
                <w:szCs w:val="24"/>
                <w:highlight w:val="none"/>
              </w:rPr>
              <w:t>号）、《陕西省中小企业政府采购信用融资办法》（陕财办采〔2018〕23号）、《陕西省财政厅关于加快推进我省中小企业政府采购信用融资工作的通知》（陕财办采〔2020〕15号）</w:t>
            </w:r>
            <w:r>
              <w:rPr>
                <w:rFonts w:hint="eastAsia" w:ascii="宋体" w:hAnsi="宋体" w:eastAsia="宋体" w:cs="宋体"/>
                <w:b/>
                <w:bCs/>
                <w:sz w:val="24"/>
                <w:szCs w:val="24"/>
                <w:highlight w:val="none"/>
                <w:lang w:eastAsia="zh-CN"/>
              </w:rPr>
              <w:t>、</w:t>
            </w:r>
            <w:r>
              <w:rPr>
                <w:rFonts w:hint="eastAsia" w:ascii="宋体" w:hAnsi="宋体" w:eastAsia="宋体" w:cs="宋体"/>
                <w:b/>
                <w:bCs/>
                <w:sz w:val="24"/>
                <w:szCs w:val="24"/>
                <w:highlight w:val="none"/>
                <w:lang w:val="en-US" w:eastAsia="zh-CN"/>
              </w:rPr>
              <w:t>《陕西省财政厅 中国人民银行西安分行关于深入推进政府采购信用融资业务的通知》</w:t>
            </w:r>
            <w:r>
              <w:rPr>
                <w:rFonts w:hint="eastAsia" w:ascii="宋体" w:hAnsi="宋体" w:eastAsia="宋体" w:cs="宋体"/>
                <w:b/>
                <w:bCs/>
                <w:sz w:val="24"/>
                <w:szCs w:val="24"/>
                <w:highlight w:val="none"/>
              </w:rPr>
              <w:t>（陕财办采〔202</w:t>
            </w:r>
            <w:r>
              <w:rPr>
                <w:rFonts w:hint="eastAsia" w:ascii="宋体" w:hAnsi="宋体" w:eastAsia="宋体" w:cs="宋体"/>
                <w:b/>
                <w:bCs/>
                <w:sz w:val="24"/>
                <w:szCs w:val="24"/>
                <w:highlight w:val="none"/>
                <w:lang w:val="en-US" w:eastAsia="zh-CN"/>
              </w:rPr>
              <w:t>3</w:t>
            </w:r>
            <w:r>
              <w:rPr>
                <w:rFonts w:hint="eastAsia" w:ascii="宋体" w:hAnsi="宋体" w:eastAsia="宋体" w:cs="宋体"/>
                <w:b/>
                <w:bCs/>
                <w:sz w:val="24"/>
                <w:szCs w:val="24"/>
                <w:highlight w:val="none"/>
              </w:rPr>
              <w:t>〕5号）等有关规定，按照</w:t>
            </w:r>
            <w:r>
              <w:rPr>
                <w:rFonts w:hint="eastAsia" w:ascii="宋体" w:hAnsi="宋体" w:eastAsia="宋体" w:cs="宋体"/>
                <w:b/>
                <w:bCs/>
                <w:sz w:val="24"/>
                <w:szCs w:val="24"/>
                <w:highlight w:val="none"/>
                <w:lang w:val="en-US" w:eastAsia="zh-CN"/>
              </w:rPr>
              <w:t>政府</w:t>
            </w:r>
            <w:r>
              <w:rPr>
                <w:rFonts w:hint="eastAsia" w:ascii="宋体" w:hAnsi="宋体" w:eastAsia="宋体" w:cs="宋体"/>
                <w:b/>
                <w:bCs/>
                <w:sz w:val="24"/>
                <w:szCs w:val="24"/>
                <w:highlight w:val="none"/>
              </w:rPr>
              <w:t>引导、</w:t>
            </w:r>
            <w:r>
              <w:rPr>
                <w:rFonts w:hint="eastAsia" w:ascii="宋体" w:hAnsi="宋体" w:eastAsia="宋体" w:cs="宋体"/>
                <w:b/>
                <w:bCs/>
                <w:sz w:val="24"/>
                <w:szCs w:val="24"/>
                <w:highlight w:val="none"/>
                <w:lang w:val="en-US" w:eastAsia="zh-CN"/>
              </w:rPr>
              <w:t>市场运作、银企</w:t>
            </w:r>
            <w:r>
              <w:rPr>
                <w:rFonts w:hint="eastAsia" w:ascii="宋体" w:hAnsi="宋体" w:eastAsia="宋体" w:cs="宋体"/>
                <w:b/>
                <w:bCs/>
                <w:sz w:val="24"/>
                <w:szCs w:val="24"/>
                <w:highlight w:val="none"/>
              </w:rPr>
              <w:t>自愿、风险自担的原则，中标（成交）供应商可根据自身资金需求，登录陕西省政府采购信用融资平台</w:t>
            </w:r>
            <w:r>
              <w:rPr>
                <w:rFonts w:hint="eastAsia" w:ascii="宋体" w:hAnsi="宋体" w:eastAsia="宋体" w:cs="宋体"/>
                <w:b/>
                <w:bCs/>
                <w:spacing w:val="-6"/>
                <w:sz w:val="24"/>
                <w:szCs w:val="24"/>
                <w:highlight w:val="none"/>
              </w:rPr>
              <w:t>（http://www.ccgp-shaanxi.gov.cn/zcdservice/zcd/shanxi/）</w:t>
            </w:r>
            <w:r>
              <w:rPr>
                <w:rFonts w:hint="eastAsia" w:ascii="宋体" w:hAnsi="宋体" w:eastAsia="宋体" w:cs="宋体"/>
                <w:b/>
                <w:bCs/>
                <w:sz w:val="24"/>
                <w:szCs w:val="24"/>
                <w:highlight w:val="none"/>
                <w:lang w:val="en-US" w:eastAsia="zh-CN"/>
              </w:rPr>
              <w:t>或中征平台（https://www.crcrfsp.com）</w:t>
            </w:r>
            <w:r>
              <w:rPr>
                <w:rFonts w:hint="eastAsia" w:ascii="宋体" w:hAnsi="宋体" w:eastAsia="宋体" w:cs="宋体"/>
                <w:b/>
                <w:bCs/>
                <w:sz w:val="24"/>
                <w:szCs w:val="24"/>
                <w:highlight w:val="none"/>
              </w:rPr>
              <w:t>在线申请，依法参加政府采购信用融资活动。</w:t>
            </w:r>
          </w:p>
          <w:tbl>
            <w:tblPr>
              <w:tblStyle w:val="41"/>
              <w:tblW w:w="81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88"/>
              <w:gridCol w:w="893"/>
              <w:gridCol w:w="903"/>
              <w:gridCol w:w="934"/>
              <w:gridCol w:w="944"/>
              <w:gridCol w:w="1178"/>
              <w:gridCol w:w="934"/>
              <w:gridCol w:w="1745"/>
            </w:tblGrid>
            <w:tr w14:paraId="1F2A7B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 w:hRule="atLeast"/>
                <w:jc w:val="center"/>
              </w:trPr>
              <w:tc>
                <w:tcPr>
                  <w:tcW w:w="588" w:type="dxa"/>
                  <w:tcBorders>
                    <w:top w:val="nil"/>
                    <w:left w:val="nil"/>
                    <w:bottom w:val="nil"/>
                    <w:right w:val="nil"/>
                  </w:tcBorders>
                  <w:noWrap/>
                  <w:vAlign w:val="center"/>
                </w:tcPr>
                <w:p w14:paraId="69DB6C95">
                  <w:pPr>
                    <w:keepNext w:val="0"/>
                    <w:keepLines w:val="0"/>
                    <w:widowControl/>
                    <w:suppressLineNumbers w:val="0"/>
                    <w:shd w:val="clear"/>
                    <w:spacing w:line="240" w:lineRule="auto"/>
                    <w:jc w:val="both"/>
                    <w:textAlignment w:val="center"/>
                    <w:rPr>
                      <w:rFonts w:hint="eastAsia" w:ascii="宋体" w:hAnsi="宋体" w:eastAsia="宋体" w:cs="宋体"/>
                      <w:i w:val="0"/>
                      <w:iCs w:val="0"/>
                      <w:color w:val="000000"/>
                      <w:kern w:val="0"/>
                      <w:sz w:val="16"/>
                      <w:szCs w:val="16"/>
                      <w:highlight w:val="none"/>
                      <w:u w:val="none"/>
                      <w:lang w:val="en-US" w:eastAsia="zh-CN" w:bidi="ar"/>
                    </w:rPr>
                  </w:pPr>
                </w:p>
              </w:tc>
              <w:tc>
                <w:tcPr>
                  <w:tcW w:w="7531" w:type="dxa"/>
                  <w:gridSpan w:val="7"/>
                  <w:tcBorders>
                    <w:top w:val="nil"/>
                    <w:left w:val="nil"/>
                    <w:bottom w:val="nil"/>
                    <w:right w:val="nil"/>
                  </w:tcBorders>
                  <w:noWrap/>
                  <w:vAlign w:val="center"/>
                </w:tcPr>
                <w:p w14:paraId="70163435">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榆林市“政采贷”业务办理银行联系表</w:t>
                  </w:r>
                </w:p>
              </w:tc>
            </w:tr>
            <w:tr w14:paraId="3BCABC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54BE7DA4">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序号</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23A90CB4">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银行名称</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7F602092">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产品名称</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7AAD991F">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贷款额度</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65BBBB56">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贷款期限</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014A03B0">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贷款利率</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6F63A167">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办理时效</w:t>
                  </w:r>
                </w:p>
              </w:tc>
              <w:tc>
                <w:tcPr>
                  <w:tcW w:w="1745" w:type="dxa"/>
                  <w:tcBorders>
                    <w:top w:val="single" w:color="000000" w:sz="4" w:space="0"/>
                    <w:left w:val="single" w:color="000000" w:sz="4" w:space="0"/>
                    <w:bottom w:val="single" w:color="000000" w:sz="4" w:space="0"/>
                    <w:right w:val="single" w:color="000000" w:sz="4" w:space="0"/>
                  </w:tcBorders>
                  <w:noWrap/>
                  <w:vAlign w:val="center"/>
                </w:tcPr>
                <w:p w14:paraId="2D289B7A">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联系人</w:t>
                  </w:r>
                </w:p>
              </w:tc>
            </w:tr>
            <w:tr w14:paraId="3647C5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54F6A1AF">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59E44FD2">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长安银行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269A86BC">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政采贷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7297C245">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287A4BEF">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1-3年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1A593057">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3.45%</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0415E61E">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72小时</w:t>
                  </w:r>
                </w:p>
              </w:tc>
              <w:tc>
                <w:tcPr>
                  <w:tcW w:w="1745" w:type="dxa"/>
                  <w:tcBorders>
                    <w:top w:val="single" w:color="000000" w:sz="4" w:space="0"/>
                    <w:left w:val="single" w:color="000000" w:sz="4" w:space="0"/>
                    <w:bottom w:val="single" w:color="000000" w:sz="4" w:space="0"/>
                    <w:right w:val="single" w:color="000000" w:sz="4" w:space="0"/>
                  </w:tcBorders>
                  <w:noWrap w:val="0"/>
                  <w:vAlign w:val="center"/>
                </w:tcPr>
                <w:p w14:paraId="450DCDEF">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魏  众15109123951</w:t>
                  </w:r>
                </w:p>
              </w:tc>
            </w:tr>
            <w:tr w14:paraId="12BD0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25D9AAC0">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06EC787A">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中信银行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03294726">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政采E贷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341575A9">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4B6C9941">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1-3年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2893007A">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3.45%起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742EBB7B">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24小时</w:t>
                  </w:r>
                </w:p>
              </w:tc>
              <w:tc>
                <w:tcPr>
                  <w:tcW w:w="1745" w:type="dxa"/>
                  <w:tcBorders>
                    <w:top w:val="single" w:color="000000" w:sz="4" w:space="0"/>
                    <w:left w:val="single" w:color="000000" w:sz="4" w:space="0"/>
                    <w:bottom w:val="single" w:color="000000" w:sz="4" w:space="0"/>
                    <w:right w:val="single" w:color="000000" w:sz="4" w:space="0"/>
                  </w:tcBorders>
                  <w:noWrap/>
                  <w:vAlign w:val="center"/>
                </w:tcPr>
                <w:p w14:paraId="6719E7C8">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李  靖15509125117</w:t>
                  </w:r>
                </w:p>
              </w:tc>
            </w:tr>
            <w:tr w14:paraId="346925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4D360E25">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3</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2232C0A0">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光大银行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33F4F4B0">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政采贷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5A672916">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7E480F88">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1-3年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5F293586">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3.45%</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22ACC8E9">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72小时</w:t>
                  </w:r>
                </w:p>
              </w:tc>
              <w:tc>
                <w:tcPr>
                  <w:tcW w:w="1745" w:type="dxa"/>
                  <w:tcBorders>
                    <w:top w:val="single" w:color="000000" w:sz="4" w:space="0"/>
                    <w:left w:val="single" w:color="000000" w:sz="4" w:space="0"/>
                    <w:bottom w:val="single" w:color="000000" w:sz="4" w:space="0"/>
                    <w:right w:val="single" w:color="000000" w:sz="4" w:space="0"/>
                  </w:tcBorders>
                  <w:noWrap/>
                  <w:vAlign w:val="center"/>
                </w:tcPr>
                <w:p w14:paraId="7D9251EB">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刘  波18809125468</w:t>
                  </w:r>
                </w:p>
              </w:tc>
            </w:tr>
            <w:tr w14:paraId="2172BF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6115F10E">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4</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299C6B11">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交通银行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143FF746">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秦政贷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7AC39516">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13CD8CB3">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3518F5F8">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3.45%</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4D0530C2">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24小时</w:t>
                  </w:r>
                </w:p>
              </w:tc>
              <w:tc>
                <w:tcPr>
                  <w:tcW w:w="1745" w:type="dxa"/>
                  <w:tcBorders>
                    <w:top w:val="single" w:color="000000" w:sz="4" w:space="0"/>
                    <w:left w:val="single" w:color="000000" w:sz="4" w:space="0"/>
                    <w:bottom w:val="single" w:color="000000" w:sz="4" w:space="0"/>
                    <w:right w:val="single" w:color="000000" w:sz="4" w:space="0"/>
                  </w:tcBorders>
                  <w:noWrap/>
                  <w:vAlign w:val="center"/>
                </w:tcPr>
                <w:p w14:paraId="4162865D">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张  飞15291296886</w:t>
                  </w:r>
                </w:p>
              </w:tc>
            </w:tr>
            <w:tr w14:paraId="25065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001F55EA">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5</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58FEEF57">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中国银行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41FA82A9">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政采贷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79C63E5A">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08C02E00">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1-3年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5C0DBA19">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3.45%</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3DF085E8">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72小时</w:t>
                  </w:r>
                </w:p>
              </w:tc>
              <w:tc>
                <w:tcPr>
                  <w:tcW w:w="1745" w:type="dxa"/>
                  <w:tcBorders>
                    <w:top w:val="single" w:color="000000" w:sz="4" w:space="0"/>
                    <w:left w:val="single" w:color="000000" w:sz="4" w:space="0"/>
                    <w:bottom w:val="single" w:color="000000" w:sz="4" w:space="0"/>
                    <w:right w:val="single" w:color="000000" w:sz="4" w:space="0"/>
                  </w:tcBorders>
                  <w:noWrap w:val="0"/>
                  <w:vAlign w:val="center"/>
                </w:tcPr>
                <w:p w14:paraId="3BEE08B4">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李  浩18691230007</w:t>
                  </w:r>
                </w:p>
              </w:tc>
            </w:tr>
            <w:tr w14:paraId="384B18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3AF0BBED">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6</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7F7ED6DC">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招商银行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51629C87">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政采贷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7E095C64">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3FC1D89F">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1-3年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7C62CFB4">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3.45%起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369DC1CC">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24小时</w:t>
                  </w:r>
                </w:p>
              </w:tc>
              <w:tc>
                <w:tcPr>
                  <w:tcW w:w="1745" w:type="dxa"/>
                  <w:tcBorders>
                    <w:top w:val="single" w:color="000000" w:sz="4" w:space="0"/>
                    <w:left w:val="single" w:color="000000" w:sz="4" w:space="0"/>
                    <w:bottom w:val="single" w:color="000000" w:sz="4" w:space="0"/>
                    <w:right w:val="single" w:color="000000" w:sz="4" w:space="0"/>
                  </w:tcBorders>
                  <w:noWrap/>
                  <w:vAlign w:val="center"/>
                </w:tcPr>
                <w:p w14:paraId="1A548AB1">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马  烨15596100007</w:t>
                  </w:r>
                </w:p>
              </w:tc>
            </w:tr>
            <w:tr w14:paraId="724A70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6A24CCEA">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7</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488C9770">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浦发银行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129F8D2B">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政采E贷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07B312F3">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57E12F93">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163DA6B3">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lang w:val="en-US"/>
                    </w:rPr>
                  </w:pPr>
                  <w:r>
                    <w:rPr>
                      <w:rFonts w:hint="eastAsia" w:ascii="宋体" w:hAnsi="宋体" w:eastAsia="宋体" w:cs="宋体"/>
                      <w:i w:val="0"/>
                      <w:iCs w:val="0"/>
                      <w:color w:val="000000"/>
                      <w:kern w:val="0"/>
                      <w:sz w:val="16"/>
                      <w:szCs w:val="16"/>
                      <w:highlight w:val="none"/>
                      <w:u w:val="none"/>
                      <w:lang w:val="en-US" w:eastAsia="zh-CN" w:bidi="ar"/>
                    </w:rPr>
                    <w:t>3.8%</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72B1E45F">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72小时</w:t>
                  </w:r>
                </w:p>
              </w:tc>
              <w:tc>
                <w:tcPr>
                  <w:tcW w:w="1745" w:type="dxa"/>
                  <w:tcBorders>
                    <w:top w:val="single" w:color="000000" w:sz="4" w:space="0"/>
                    <w:left w:val="single" w:color="000000" w:sz="4" w:space="0"/>
                    <w:bottom w:val="single" w:color="000000" w:sz="4" w:space="0"/>
                    <w:right w:val="single" w:color="000000" w:sz="4" w:space="0"/>
                  </w:tcBorders>
                  <w:noWrap/>
                  <w:vAlign w:val="center"/>
                </w:tcPr>
                <w:p w14:paraId="31DB12CB">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朱  君15629169158</w:t>
                  </w:r>
                </w:p>
              </w:tc>
            </w:tr>
            <w:tr w14:paraId="226CAA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177F1B42">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8</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3568BBF5">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农商银行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0DBABDBA">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政采贷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717AF9BE">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208440C7">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1-2年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6E8DDEF8">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3.45%-5.8%</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50912724">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24小时</w:t>
                  </w:r>
                </w:p>
              </w:tc>
              <w:tc>
                <w:tcPr>
                  <w:tcW w:w="1745" w:type="dxa"/>
                  <w:tcBorders>
                    <w:top w:val="single" w:color="000000" w:sz="4" w:space="0"/>
                    <w:left w:val="single" w:color="000000" w:sz="4" w:space="0"/>
                    <w:bottom w:val="single" w:color="000000" w:sz="4" w:space="0"/>
                    <w:right w:val="single" w:color="000000" w:sz="4" w:space="0"/>
                  </w:tcBorders>
                  <w:noWrap/>
                  <w:vAlign w:val="center"/>
                </w:tcPr>
                <w:p w14:paraId="33BC76E2">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王  璐15529875056</w:t>
                  </w:r>
                </w:p>
              </w:tc>
            </w:tr>
            <w:tr w14:paraId="608BA9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07D9D6AF">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9</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2C078570">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农业银行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18417ACF">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政采贷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7B3495C6">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071FBD9B">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08FD8DE7">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3.45%-3.85%</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48074794">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24小时</w:t>
                  </w:r>
                </w:p>
              </w:tc>
              <w:tc>
                <w:tcPr>
                  <w:tcW w:w="1745" w:type="dxa"/>
                  <w:tcBorders>
                    <w:top w:val="single" w:color="000000" w:sz="4" w:space="0"/>
                    <w:left w:val="single" w:color="000000" w:sz="4" w:space="0"/>
                    <w:bottom w:val="single" w:color="000000" w:sz="4" w:space="0"/>
                    <w:right w:val="single" w:color="000000" w:sz="4" w:space="0"/>
                  </w:tcBorders>
                  <w:noWrap/>
                  <w:vAlign w:val="center"/>
                </w:tcPr>
                <w:p w14:paraId="7836B6D8">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杨  尧13325409313</w:t>
                  </w:r>
                </w:p>
              </w:tc>
            </w:tr>
            <w:tr w14:paraId="3AABC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88" w:type="dxa"/>
                  <w:tcBorders>
                    <w:top w:val="single" w:color="000000" w:sz="4" w:space="0"/>
                    <w:left w:val="single" w:color="000000" w:sz="4" w:space="0"/>
                    <w:bottom w:val="single" w:color="000000" w:sz="4" w:space="0"/>
                    <w:right w:val="single" w:color="000000" w:sz="4" w:space="0"/>
                  </w:tcBorders>
                  <w:noWrap/>
                  <w:vAlign w:val="center"/>
                </w:tcPr>
                <w:p w14:paraId="0E9478F5">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kern w:val="0"/>
                      <w:sz w:val="16"/>
                      <w:szCs w:val="16"/>
                      <w:highlight w:val="none"/>
                      <w:u w:val="none"/>
                      <w:lang w:val="en-US" w:eastAsia="zh-CN" w:bidi="ar"/>
                    </w:rPr>
                  </w:pPr>
                  <w:r>
                    <w:rPr>
                      <w:rFonts w:hint="eastAsia" w:ascii="宋体" w:hAnsi="宋体" w:eastAsia="宋体" w:cs="宋体"/>
                      <w:i w:val="0"/>
                      <w:iCs w:val="0"/>
                      <w:color w:val="000000"/>
                      <w:kern w:val="0"/>
                      <w:sz w:val="16"/>
                      <w:szCs w:val="16"/>
                      <w:highlight w:val="none"/>
                      <w:u w:val="none"/>
                      <w:lang w:val="en-US" w:eastAsia="zh-CN" w:bidi="ar"/>
                    </w:rPr>
                    <w:t>10</w:t>
                  </w:r>
                </w:p>
              </w:tc>
              <w:tc>
                <w:tcPr>
                  <w:tcW w:w="893" w:type="dxa"/>
                  <w:tcBorders>
                    <w:top w:val="single" w:color="000000" w:sz="4" w:space="0"/>
                    <w:left w:val="single" w:color="000000" w:sz="4" w:space="0"/>
                    <w:bottom w:val="single" w:color="000000" w:sz="4" w:space="0"/>
                    <w:right w:val="single" w:color="000000" w:sz="4" w:space="0"/>
                  </w:tcBorders>
                  <w:noWrap/>
                  <w:vAlign w:val="center"/>
                </w:tcPr>
                <w:p w14:paraId="4B531BEB">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民生银行</w:t>
                  </w:r>
                </w:p>
              </w:tc>
              <w:tc>
                <w:tcPr>
                  <w:tcW w:w="903" w:type="dxa"/>
                  <w:tcBorders>
                    <w:top w:val="single" w:color="000000" w:sz="4" w:space="0"/>
                    <w:left w:val="single" w:color="000000" w:sz="4" w:space="0"/>
                    <w:bottom w:val="single" w:color="000000" w:sz="4" w:space="0"/>
                    <w:right w:val="single" w:color="000000" w:sz="4" w:space="0"/>
                  </w:tcBorders>
                  <w:noWrap/>
                  <w:vAlign w:val="center"/>
                </w:tcPr>
                <w:p w14:paraId="385084D1">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政采E贷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17DFB004">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3000万元</w:t>
                  </w:r>
                </w:p>
              </w:tc>
              <w:tc>
                <w:tcPr>
                  <w:tcW w:w="944" w:type="dxa"/>
                  <w:tcBorders>
                    <w:top w:val="single" w:color="000000" w:sz="4" w:space="0"/>
                    <w:left w:val="single" w:color="000000" w:sz="4" w:space="0"/>
                    <w:bottom w:val="single" w:color="000000" w:sz="4" w:space="0"/>
                    <w:right w:val="single" w:color="000000" w:sz="4" w:space="0"/>
                  </w:tcBorders>
                  <w:noWrap/>
                  <w:vAlign w:val="center"/>
                </w:tcPr>
                <w:p w14:paraId="62C86B88">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1年</w:t>
                  </w:r>
                </w:p>
              </w:tc>
              <w:tc>
                <w:tcPr>
                  <w:tcW w:w="1178" w:type="dxa"/>
                  <w:tcBorders>
                    <w:top w:val="single" w:color="000000" w:sz="4" w:space="0"/>
                    <w:left w:val="single" w:color="000000" w:sz="4" w:space="0"/>
                    <w:bottom w:val="single" w:color="000000" w:sz="4" w:space="0"/>
                    <w:right w:val="single" w:color="000000" w:sz="4" w:space="0"/>
                  </w:tcBorders>
                  <w:noWrap/>
                  <w:vAlign w:val="center"/>
                </w:tcPr>
                <w:p w14:paraId="13C57FF0">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3.45%起</w:t>
                  </w:r>
                </w:p>
              </w:tc>
              <w:tc>
                <w:tcPr>
                  <w:tcW w:w="934" w:type="dxa"/>
                  <w:tcBorders>
                    <w:top w:val="single" w:color="000000" w:sz="4" w:space="0"/>
                    <w:left w:val="single" w:color="000000" w:sz="4" w:space="0"/>
                    <w:bottom w:val="single" w:color="000000" w:sz="4" w:space="0"/>
                    <w:right w:val="single" w:color="000000" w:sz="4" w:space="0"/>
                  </w:tcBorders>
                  <w:noWrap/>
                  <w:vAlign w:val="center"/>
                </w:tcPr>
                <w:p w14:paraId="6D770F0C">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24小时</w:t>
                  </w:r>
                </w:p>
              </w:tc>
              <w:tc>
                <w:tcPr>
                  <w:tcW w:w="1745" w:type="dxa"/>
                  <w:tcBorders>
                    <w:top w:val="single" w:color="000000" w:sz="4" w:space="0"/>
                    <w:left w:val="single" w:color="000000" w:sz="4" w:space="0"/>
                    <w:bottom w:val="single" w:color="000000" w:sz="4" w:space="0"/>
                    <w:right w:val="single" w:color="000000" w:sz="4" w:space="0"/>
                  </w:tcBorders>
                  <w:noWrap/>
                  <w:vAlign w:val="center"/>
                </w:tcPr>
                <w:p w14:paraId="7F686857">
                  <w:pPr>
                    <w:keepNext w:val="0"/>
                    <w:keepLines w:val="0"/>
                    <w:widowControl/>
                    <w:suppressLineNumbers w:val="0"/>
                    <w:shd w:val="clear"/>
                    <w:spacing w:line="240" w:lineRule="auto"/>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bidi="ar"/>
                    </w:rPr>
                    <w:t>郝双双15991225850</w:t>
                  </w:r>
                </w:p>
              </w:tc>
            </w:tr>
          </w:tbl>
          <w:p w14:paraId="2CD7AECE">
            <w:pPr>
              <w:keepNext w:val="0"/>
              <w:keepLines w:val="0"/>
              <w:pageBreakBefore w:val="0"/>
              <w:widowControl w:val="0"/>
              <w:numPr>
                <w:ilvl w:val="0"/>
                <w:numId w:val="0"/>
              </w:numPr>
              <w:shd w:val="clear"/>
              <w:kinsoku/>
              <w:wordWrap/>
              <w:overflowPunct/>
              <w:topLinePunct w:val="0"/>
              <w:autoSpaceDE/>
              <w:autoSpaceDN/>
              <w:bidi w:val="0"/>
              <w:adjustRightInd/>
              <w:snapToGrid/>
              <w:spacing w:line="360" w:lineRule="auto"/>
              <w:ind w:left="0" w:leftChars="0" w:firstLine="360" w:firstLineChars="200"/>
              <w:textAlignment w:val="auto"/>
              <w:rPr>
                <w:rFonts w:hint="eastAsia" w:ascii="宋体" w:hAnsi="宋体" w:eastAsia="宋体" w:cs="宋体"/>
                <w:color w:val="auto"/>
                <w:sz w:val="24"/>
                <w:szCs w:val="22"/>
                <w:highlight w:val="none"/>
              </w:rPr>
            </w:pPr>
            <w:r>
              <w:rPr>
                <w:rFonts w:hint="eastAsia" w:ascii="宋体" w:hAnsi="宋体" w:eastAsia="宋体" w:cs="宋体"/>
                <w:i w:val="0"/>
                <w:iCs w:val="0"/>
                <w:color w:val="000000"/>
                <w:kern w:val="0"/>
                <w:sz w:val="18"/>
                <w:szCs w:val="18"/>
                <w:highlight w:val="none"/>
                <w:u w:val="none"/>
                <w:lang w:val="en-US" w:eastAsia="zh-CN" w:bidi="ar"/>
              </w:rPr>
              <w:t>备注：银行排名不分先后。如产品额度、期限、利率等内容发生改变，以银行解释为准。</w:t>
            </w:r>
          </w:p>
          <w:p w14:paraId="12A3BD84">
            <w:pPr>
              <w:keepNext w:val="0"/>
              <w:keepLines w:val="0"/>
              <w:pageBreakBefore w:val="0"/>
              <w:widowControl w:val="0"/>
              <w:numPr>
                <w:ilvl w:val="0"/>
                <w:numId w:val="0"/>
              </w:numPr>
              <w:shd w:val="clear"/>
              <w:kinsoku/>
              <w:wordWrap/>
              <w:overflowPunct/>
              <w:topLinePunct w:val="0"/>
              <w:autoSpaceDE/>
              <w:autoSpaceDN/>
              <w:bidi w:val="0"/>
              <w:adjustRightInd/>
              <w:snapToGrid/>
              <w:spacing w:line="360" w:lineRule="auto"/>
              <w:ind w:left="0" w:leftChars="0" w:firstLine="482" w:firstLineChars="200"/>
              <w:textAlignment w:val="auto"/>
              <w:rPr>
                <w:rFonts w:hint="eastAsia" w:asciiTheme="minorEastAsia" w:hAnsiTheme="minorEastAsia" w:eastAsiaTheme="minorEastAsia" w:cstheme="minorEastAsia"/>
                <w:kern w:val="2"/>
                <w:sz w:val="24"/>
                <w:szCs w:val="24"/>
                <w:highlight w:val="none"/>
                <w:lang w:val="en-US" w:eastAsia="zh-CN" w:bidi="ar-SA"/>
              </w:rPr>
            </w:pPr>
            <w:r>
              <w:rPr>
                <w:rFonts w:hint="eastAsia" w:ascii="宋体" w:hAnsi="宋体" w:eastAsia="宋体" w:cs="宋体"/>
                <w:b/>
                <w:bCs/>
                <w:color w:val="auto"/>
                <w:sz w:val="24"/>
                <w:szCs w:val="22"/>
                <w:highlight w:val="none"/>
                <w:lang w:val="en-US" w:eastAsia="zh-CN"/>
              </w:rPr>
              <w:t>具体内容详见附件三：</w:t>
            </w:r>
            <w:r>
              <w:rPr>
                <w:rFonts w:hint="eastAsia" w:ascii="宋体" w:hAnsi="宋体" w:eastAsia="宋体" w:cs="宋体"/>
                <w:b/>
                <w:bCs/>
                <w:color w:val="auto"/>
                <w:sz w:val="24"/>
                <w:szCs w:val="22"/>
                <w:highlight w:val="none"/>
              </w:rPr>
              <w:t>榆政财采发[2023]9号</w:t>
            </w:r>
            <w:r>
              <w:rPr>
                <w:rFonts w:hint="eastAsia" w:ascii="宋体" w:hAnsi="宋体" w:eastAsia="宋体" w:cs="宋体"/>
                <w:b/>
                <w:bCs/>
                <w:color w:val="auto"/>
                <w:sz w:val="24"/>
                <w:szCs w:val="22"/>
                <w:highlight w:val="none"/>
                <w:lang w:val="en-US" w:eastAsia="zh-CN"/>
              </w:rPr>
              <w:t>文件</w:t>
            </w:r>
          </w:p>
        </w:tc>
      </w:tr>
      <w:tr w14:paraId="49C1E8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3813D6E4">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22</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5A2A6F01">
            <w:pPr>
              <w:pStyle w:val="20"/>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hint="default"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中小企业</w:t>
            </w:r>
            <w:r>
              <w:rPr>
                <w:rFonts w:hint="eastAsia" w:hAnsi="宋体" w:cs="宋体"/>
                <w:kern w:val="2"/>
                <w:sz w:val="24"/>
                <w:szCs w:val="24"/>
                <w:highlight w:val="none"/>
                <w:lang w:val="en-US" w:eastAsia="zh-CN" w:bidi="ar-SA"/>
              </w:rPr>
              <w:t>政策</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5F8CA708">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在政府采购活动中，供应商提供的货物、工程或者服务符合下列情形的，享受《办法》规定的中小企业扶持政策:</w:t>
            </w:r>
          </w:p>
          <w:p w14:paraId="6291D9F1">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(一)在货物采购项目中，货物由中小企业制造，即货物由中小企业生产且使用该中小企业商号或者注册商标；</w:t>
            </w:r>
          </w:p>
          <w:p w14:paraId="7E6D2D28">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(二)在工程采购项目中，工程由中小企业承建，即工程施工单位为中小企业；</w:t>
            </w:r>
          </w:p>
          <w:p w14:paraId="3948A19F">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(三)在服务采购项目中，服务由中小企业承接，即提供服务的人员为中小企业依照《中华人民共和国民法典》订立劳动合同的从业人员。</w:t>
            </w:r>
          </w:p>
          <w:p w14:paraId="06F61B1C">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（1）</w:t>
            </w:r>
            <w:r>
              <w:rPr>
                <w:rFonts w:hint="eastAsia" w:hAnsi="宋体" w:cs="宋体"/>
                <w:kern w:val="2"/>
                <w:sz w:val="24"/>
                <w:szCs w:val="24"/>
                <w:highlight w:val="none"/>
                <w:lang w:val="en-US" w:eastAsia="zh-CN" w:bidi="ar-SA"/>
              </w:rPr>
              <w:t>本标段</w:t>
            </w:r>
            <w:r>
              <w:rPr>
                <w:rFonts w:hint="eastAsia" w:ascii="宋体" w:hAnsi="宋体" w:eastAsia="宋体" w:cs="宋体"/>
                <w:kern w:val="2"/>
                <w:sz w:val="24"/>
                <w:szCs w:val="24"/>
                <w:highlight w:val="none"/>
                <w:lang w:val="en-US" w:eastAsia="zh-CN" w:bidi="ar-SA"/>
              </w:rPr>
              <w:t>非专门面向中小企业采购项目；</w:t>
            </w:r>
          </w:p>
          <w:p w14:paraId="76D5AC4E">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（2）采购标的对应的中小企业划分标准所属行业：工业。</w:t>
            </w:r>
          </w:p>
          <w:p w14:paraId="76213359">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（3）本</w:t>
            </w:r>
            <w:r>
              <w:rPr>
                <w:rFonts w:hint="eastAsia" w:hAnsi="宋体" w:cs="宋体"/>
                <w:kern w:val="2"/>
                <w:sz w:val="24"/>
                <w:szCs w:val="24"/>
                <w:highlight w:val="none"/>
                <w:lang w:val="en-US" w:eastAsia="zh-CN" w:bidi="ar-SA"/>
              </w:rPr>
              <w:t>项目</w:t>
            </w:r>
            <w:r>
              <w:rPr>
                <w:rFonts w:hint="eastAsia" w:ascii="宋体" w:hAnsi="宋体" w:eastAsia="宋体" w:cs="宋体"/>
                <w:kern w:val="2"/>
                <w:sz w:val="24"/>
                <w:szCs w:val="24"/>
                <w:highlight w:val="none"/>
                <w:lang w:val="en-US" w:eastAsia="zh-CN" w:bidi="ar-SA"/>
              </w:rPr>
              <w:t>属性：货物类</w:t>
            </w:r>
          </w:p>
          <w:p w14:paraId="091BBDDB">
            <w:pPr>
              <w:pStyle w:val="20"/>
              <w:keepNext w:val="0"/>
              <w:keepLines w:val="0"/>
              <w:pageBreakBefore w:val="0"/>
              <w:widowControl w:val="0"/>
              <w:shd w:val="clear"/>
              <w:kinsoku/>
              <w:wordWrap/>
              <w:overflowPunct/>
              <w:topLinePunct w:val="0"/>
              <w:autoSpaceDE/>
              <w:autoSpaceDN/>
              <w:bidi w:val="0"/>
              <w:adjustRightInd/>
              <w:snapToGrid/>
              <w:spacing w:line="360" w:lineRule="auto"/>
              <w:ind w:firstLine="482" w:firstLineChars="200"/>
              <w:jc w:val="left"/>
              <w:textAlignment w:val="auto"/>
              <w:rPr>
                <w:rFonts w:hint="default" w:ascii="宋体" w:hAnsi="宋体" w:eastAsia="宋体" w:cs="宋体"/>
                <w:kern w:val="2"/>
                <w:sz w:val="24"/>
                <w:szCs w:val="24"/>
                <w:highlight w:val="none"/>
                <w:lang w:val="en-US" w:eastAsia="zh-CN" w:bidi="ar-SA"/>
              </w:rPr>
            </w:pPr>
            <w:r>
              <w:rPr>
                <w:rFonts w:hint="eastAsia" w:ascii="宋体" w:hAnsi="宋体" w:eastAsia="宋体" w:cs="宋体"/>
                <w:b/>
                <w:bCs/>
                <w:kern w:val="2"/>
                <w:sz w:val="24"/>
                <w:szCs w:val="24"/>
                <w:highlight w:val="none"/>
                <w:lang w:val="en-US" w:eastAsia="zh-CN" w:bidi="ar-SA"/>
              </w:rPr>
              <w:t>中小企业划分标准详见附件</w:t>
            </w:r>
            <w:r>
              <w:rPr>
                <w:rFonts w:hint="eastAsia" w:hAnsi="宋体" w:cs="宋体"/>
                <w:b/>
                <w:bCs/>
                <w:kern w:val="2"/>
                <w:sz w:val="24"/>
                <w:szCs w:val="24"/>
                <w:highlight w:val="none"/>
                <w:lang w:val="en-US" w:eastAsia="zh-CN" w:bidi="ar-SA"/>
              </w:rPr>
              <w:t>二</w:t>
            </w:r>
            <w:r>
              <w:rPr>
                <w:rFonts w:hint="eastAsia" w:ascii="宋体" w:hAnsi="宋体" w:eastAsia="宋体" w:cs="宋体"/>
                <w:b/>
                <w:bCs/>
                <w:kern w:val="2"/>
                <w:sz w:val="24"/>
                <w:szCs w:val="24"/>
                <w:highlight w:val="none"/>
                <w:lang w:val="en-US" w:eastAsia="zh-CN" w:bidi="ar-SA"/>
              </w:rPr>
              <w:t>：中小企业划分标准</w:t>
            </w:r>
          </w:p>
        </w:tc>
      </w:tr>
      <w:tr w14:paraId="091DD0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598" w:type="dxa"/>
            <w:tcBorders>
              <w:top w:val="single" w:color="auto" w:sz="6" w:space="0"/>
              <w:left w:val="single" w:color="auto" w:sz="6" w:space="0"/>
              <w:bottom w:val="single" w:color="auto" w:sz="6" w:space="0"/>
              <w:right w:val="single" w:color="auto" w:sz="6" w:space="0"/>
            </w:tcBorders>
            <w:shd w:val="clear" w:color="auto" w:fill="auto"/>
            <w:vAlign w:val="center"/>
          </w:tcPr>
          <w:p w14:paraId="03A8A153">
            <w:pPr>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rPr>
              <w:t>23</w:t>
            </w:r>
          </w:p>
        </w:tc>
        <w:tc>
          <w:tcPr>
            <w:tcW w:w="1126" w:type="dxa"/>
            <w:tcBorders>
              <w:top w:val="single" w:color="auto" w:sz="6" w:space="0"/>
              <w:left w:val="single" w:color="auto" w:sz="6" w:space="0"/>
              <w:bottom w:val="single" w:color="auto" w:sz="6" w:space="0"/>
              <w:right w:val="single" w:color="auto" w:sz="6" w:space="0"/>
            </w:tcBorders>
            <w:shd w:val="clear" w:color="auto" w:fill="auto"/>
            <w:vAlign w:val="center"/>
          </w:tcPr>
          <w:p w14:paraId="101C8B84">
            <w:pPr>
              <w:shd w:val="clear"/>
              <w:spacing w:line="360" w:lineRule="auto"/>
              <w:jc w:val="center"/>
              <w:rPr>
                <w:rFonts w:hint="default" w:ascii="宋体" w:hAnsi="宋体" w:eastAsia="宋体" w:cs="宋体"/>
                <w:kern w:val="2"/>
                <w:sz w:val="24"/>
                <w:szCs w:val="24"/>
                <w:highlight w:val="none"/>
                <w:lang w:val="en-US" w:eastAsia="zh-CN" w:bidi="ar-SA"/>
              </w:rPr>
            </w:pPr>
            <w:r>
              <w:rPr>
                <w:rFonts w:hint="eastAsia" w:ascii="宋体" w:hAnsi="宋体" w:eastAsia="宋体" w:cs="宋体"/>
                <w:sz w:val="24"/>
                <w:szCs w:val="22"/>
                <w:highlight w:val="none"/>
              </w:rPr>
              <w:t>信用查询</w:t>
            </w:r>
          </w:p>
        </w:tc>
        <w:tc>
          <w:tcPr>
            <w:tcW w:w="8117" w:type="dxa"/>
            <w:tcBorders>
              <w:top w:val="single" w:color="auto" w:sz="6" w:space="0"/>
              <w:left w:val="single" w:color="auto" w:sz="6" w:space="0"/>
              <w:bottom w:val="single" w:color="auto" w:sz="6" w:space="0"/>
              <w:right w:val="single" w:color="auto" w:sz="6" w:space="0"/>
            </w:tcBorders>
            <w:shd w:val="clear" w:color="auto" w:fill="auto"/>
            <w:vAlign w:val="center"/>
          </w:tcPr>
          <w:p w14:paraId="240243D6">
            <w:pPr>
              <w:shd w:val="clear"/>
              <w:spacing w:line="360" w:lineRule="auto"/>
              <w:ind w:firstLine="480" w:firstLineChars="200"/>
              <w:jc w:val="left"/>
              <w:rPr>
                <w:rFonts w:hint="default" w:ascii="宋体" w:hAnsi="宋体" w:eastAsia="宋体" w:cs="宋体"/>
                <w:kern w:val="2"/>
                <w:sz w:val="24"/>
                <w:szCs w:val="24"/>
                <w:highlight w:val="none"/>
                <w:lang w:val="en-US" w:eastAsia="zh-CN" w:bidi="ar-SA"/>
              </w:rPr>
            </w:pPr>
            <w:r>
              <w:rPr>
                <w:rFonts w:hint="eastAsia" w:ascii="宋体" w:hAnsi="宋体" w:eastAsia="宋体" w:cs="宋体"/>
                <w:sz w:val="24"/>
                <w:szCs w:val="22"/>
                <w:highlight w:val="none"/>
              </w:rPr>
              <w:t>信用查询：根据《财政部关于在政府采购活动中查询及使用信用记录有关问题的通知》采购人、采购代理机构在资格审查时对供应商信用记录进行查询。供应商存在不良行为记录的，拒绝其参加政府采购活动。</w:t>
            </w:r>
          </w:p>
        </w:tc>
      </w:tr>
      <w:bookmarkEnd w:id="8"/>
      <w:bookmarkEnd w:id="9"/>
      <w:bookmarkEnd w:id="10"/>
    </w:tbl>
    <w:p w14:paraId="42AFC97A">
      <w:pPr>
        <w:shd w:val="clear"/>
        <w:spacing w:line="360" w:lineRule="auto"/>
        <w:jc w:val="center"/>
        <w:rPr>
          <w:rFonts w:ascii="宋体" w:hAnsi="宋体" w:eastAsia="宋体" w:cs="宋体"/>
          <w:b/>
          <w:sz w:val="32"/>
          <w:szCs w:val="32"/>
          <w:highlight w:val="none"/>
          <w:lang w:bidi="ar"/>
        </w:rPr>
        <w:sectPr>
          <w:pgSz w:w="11906" w:h="16838"/>
          <w:pgMar w:top="1440" w:right="1800" w:bottom="1440" w:left="1800" w:header="1135" w:footer="1135" w:gutter="0"/>
          <w:pgNumType w:fmt="decimal"/>
          <w:cols w:space="425" w:num="1"/>
          <w:docGrid w:type="lines" w:linePitch="312" w:charSpace="0"/>
        </w:sectPr>
      </w:pPr>
      <w:bookmarkStart w:id="21" w:name="_Toc363473972"/>
      <w:bookmarkStart w:id="22" w:name="_Toc403077639"/>
      <w:bookmarkStart w:id="23" w:name="_Toc363474017"/>
    </w:p>
    <w:p w14:paraId="6A3246E7">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ascii="宋体" w:hAnsi="宋体" w:eastAsia="宋体" w:cs="宋体"/>
          <w:sz w:val="32"/>
          <w:szCs w:val="32"/>
          <w:highlight w:val="none"/>
        </w:rPr>
      </w:pPr>
      <w:r>
        <w:rPr>
          <w:rFonts w:hint="eastAsia" w:ascii="宋体" w:hAnsi="宋体" w:eastAsia="宋体" w:cs="宋体"/>
          <w:b/>
          <w:sz w:val="32"/>
          <w:szCs w:val="32"/>
          <w:highlight w:val="none"/>
          <w:lang w:bidi="ar"/>
        </w:rPr>
        <w:t>一.总  则</w:t>
      </w:r>
      <w:bookmarkEnd w:id="21"/>
      <w:bookmarkEnd w:id="22"/>
      <w:bookmarkEnd w:id="23"/>
    </w:p>
    <w:p w14:paraId="224E08B8">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1.资金来源</w:t>
      </w:r>
    </w:p>
    <w:p w14:paraId="39B513E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1.1本次招标采购所签合同使用财政资金支付，资金已落实到位。</w:t>
      </w:r>
    </w:p>
    <w:p w14:paraId="52348CD3">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2.采购代理机构及合格的投标人</w:t>
      </w:r>
    </w:p>
    <w:p w14:paraId="753AC52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2.1 采购代理机构</w:t>
      </w:r>
    </w:p>
    <w:p w14:paraId="28A9980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实施本次招标的采购代理机构为陕西中财招标代理有限公司。</w:t>
      </w:r>
    </w:p>
    <w:p w14:paraId="3D76C33D">
      <w:pPr>
        <w:numPr>
          <w:ilvl w:val="0"/>
          <w:numId w:val="0"/>
        </w:numPr>
        <w:shd w:val="clear"/>
        <w:bidi w:val="0"/>
        <w:spacing w:line="360" w:lineRule="auto"/>
        <w:ind w:firstLine="480" w:firstLineChars="200"/>
        <w:rPr>
          <w:rFonts w:hint="eastAsia" w:asciiTheme="minorEastAsia" w:hAnsiTheme="minorEastAsia" w:cstheme="minorEastAsia"/>
          <w:sz w:val="24"/>
          <w:szCs w:val="32"/>
          <w:highlight w:val="none"/>
          <w:lang w:eastAsia="zh-CN"/>
        </w:rPr>
      </w:pPr>
      <w:r>
        <w:rPr>
          <w:rFonts w:hint="eastAsia" w:asciiTheme="minorEastAsia" w:hAnsiTheme="minorEastAsia" w:cstheme="minorEastAsia"/>
          <w:sz w:val="24"/>
          <w:szCs w:val="32"/>
          <w:highlight w:val="none"/>
          <w:lang w:eastAsia="zh-CN"/>
        </w:rPr>
        <w:t>2.2合格的投标人：</w:t>
      </w:r>
    </w:p>
    <w:p w14:paraId="674770B1">
      <w:pPr>
        <w:numPr>
          <w:ilvl w:val="0"/>
          <w:numId w:val="0"/>
        </w:numPr>
        <w:shd w:val="clear"/>
        <w:bidi w:val="0"/>
        <w:spacing w:line="360" w:lineRule="auto"/>
        <w:ind w:firstLine="480" w:firstLineChars="200"/>
        <w:rPr>
          <w:rFonts w:hint="eastAsia" w:asciiTheme="minorEastAsia" w:hAnsiTheme="minorEastAsia" w:cstheme="minorEastAsia"/>
          <w:sz w:val="24"/>
          <w:szCs w:val="32"/>
          <w:highlight w:val="none"/>
          <w:lang w:eastAsia="zh-CN"/>
        </w:rPr>
      </w:pPr>
      <w:r>
        <w:rPr>
          <w:rFonts w:hint="eastAsia" w:asciiTheme="minorEastAsia" w:hAnsiTheme="minorEastAsia" w:cstheme="minorEastAsia"/>
          <w:sz w:val="24"/>
          <w:szCs w:val="32"/>
          <w:highlight w:val="none"/>
          <w:lang w:eastAsia="zh-CN"/>
        </w:rPr>
        <w:t>2.2.1具备《中华人民共和国政府采购法》第二十二条的条件，方为合格的投标人；</w:t>
      </w:r>
    </w:p>
    <w:p w14:paraId="2AF29B7F">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kern w:val="2"/>
          <w:sz w:val="24"/>
          <w:szCs w:val="32"/>
          <w:lang w:val="en-US" w:eastAsia="zh-CN" w:bidi="ar-SA"/>
        </w:rPr>
        <w:t>（1）</w:t>
      </w:r>
      <w:r>
        <w:rPr>
          <w:rFonts w:hint="eastAsia" w:asciiTheme="minorEastAsia" w:hAnsiTheme="minorEastAsia" w:eastAsiaTheme="minorEastAsia" w:cstheme="minorEastAsia"/>
          <w:sz w:val="24"/>
          <w:szCs w:val="32"/>
          <w:lang w:val="en-US" w:eastAsia="zh-CN"/>
        </w:rPr>
        <w:t>投标人为具有独立承担民事责任能力的法人、事业法人、其他组织或自然人。企业法人应提供合法有效的标识有统一社会信用代码的营业执照；事业法人应提供事业单位法人证书；其他组织应提供合法登记证明文件；自然人应提供身份证；</w:t>
      </w:r>
    </w:p>
    <w:p w14:paraId="7C34B58C">
      <w:pPr>
        <w:numPr>
          <w:ilvl w:val="0"/>
          <w:numId w:val="0"/>
        </w:numPr>
        <w:bidi w:val="0"/>
        <w:spacing w:line="360" w:lineRule="auto"/>
        <w:ind w:firstLine="480" w:firstLineChars="200"/>
        <w:rPr>
          <w:rFonts w:hint="eastAsia" w:eastAsia="宋体" w:asciiTheme="minorEastAsia" w:hAnsi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（2）</w:t>
      </w:r>
      <w:r>
        <w:rPr>
          <w:rFonts w:hint="eastAsia" w:ascii="宋体" w:hAnsi="宋体" w:eastAsia="宋体" w:cs="宋体"/>
          <w:i w:val="0"/>
          <w:iCs w:val="0"/>
          <w:caps w:val="0"/>
          <w:color w:val="auto"/>
          <w:spacing w:val="0"/>
          <w:sz w:val="24"/>
          <w:szCs w:val="24"/>
          <w:shd w:val="clear" w:color="auto" w:fill="FFFFFF"/>
        </w:rPr>
        <w:t>供应商须具有有效的《承装（修、试）电力设施许可证》五级（或以上）资质或电子与智能化工程专业承包二级（或以上）资质和有效的安全生产许可证</w:t>
      </w:r>
      <w:r>
        <w:rPr>
          <w:rFonts w:hint="eastAsia" w:ascii="宋体" w:hAnsi="宋体" w:eastAsia="宋体" w:cs="宋体"/>
          <w:i w:val="0"/>
          <w:iCs w:val="0"/>
          <w:caps w:val="0"/>
          <w:color w:val="auto"/>
          <w:spacing w:val="0"/>
          <w:sz w:val="24"/>
          <w:szCs w:val="24"/>
          <w:shd w:val="clear" w:color="auto" w:fill="FFFFFF"/>
          <w:lang w:eastAsia="zh-CN"/>
        </w:rPr>
        <w:t>；</w:t>
      </w:r>
    </w:p>
    <w:p w14:paraId="0F9E9C36">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cstheme="minorEastAsia"/>
          <w:sz w:val="24"/>
          <w:szCs w:val="32"/>
          <w:lang w:val="en-US" w:eastAsia="zh-CN"/>
        </w:rPr>
        <w:t>（3）</w:t>
      </w:r>
      <w:r>
        <w:rPr>
          <w:rFonts w:hint="eastAsia" w:asciiTheme="minorEastAsia" w:hAnsiTheme="minorEastAsia" w:eastAsiaTheme="minorEastAsia" w:cstheme="minorEastAsia"/>
          <w:sz w:val="24"/>
          <w:szCs w:val="32"/>
          <w:lang w:val="en-US" w:eastAsia="zh-CN"/>
        </w:rPr>
        <w:t>财务状况报告：提供经审计后完整有效的2023年度的财务审计报告，成立时间至提交投标文件递交截止时间不足一年的，须提供其基本存款账户开户银行近三个月内出具的银行资信证明或自成立以来的财务报表；其他组织或自然人提供银行出具的资信证明或财务报表；</w:t>
      </w:r>
    </w:p>
    <w:p w14:paraId="5C649038">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4</w:t>
      </w:r>
      <w:r>
        <w:rPr>
          <w:rFonts w:hint="eastAsia" w:asciiTheme="minorEastAsia" w:hAnsiTheme="minorEastAsia" w:eastAsiaTheme="minorEastAsia" w:cstheme="minorEastAsia"/>
          <w:sz w:val="24"/>
          <w:szCs w:val="32"/>
          <w:lang w:val="en-US" w:eastAsia="zh-CN"/>
        </w:rPr>
        <w:t>）税收缴纳证明：提供2024年01月01日至今已缴纳的至少一个月的纳税证明或完税证明（时间以税款所属日期为准、税种须包含增值税或企业所得税），依法免税的单位应提供相关证明材料；</w:t>
      </w:r>
    </w:p>
    <w:p w14:paraId="66697421">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5</w:t>
      </w:r>
      <w:r>
        <w:rPr>
          <w:rFonts w:hint="eastAsia" w:asciiTheme="minorEastAsia" w:hAnsiTheme="minorEastAsia" w:eastAsiaTheme="minorEastAsia" w:cstheme="minorEastAsia"/>
          <w:sz w:val="24"/>
          <w:szCs w:val="32"/>
          <w:lang w:val="en-US" w:eastAsia="zh-CN"/>
        </w:rPr>
        <w:t>）社会保障资金缴纳证明：提供2024年01月01日至今已缴纳的至少一个月的社会保障资金银行缴费单据或社保机构开具的社会保险参保缴费情况证明，依法不需要缴纳社会保障资金的单位应提供相关证明材料；</w:t>
      </w:r>
    </w:p>
    <w:p w14:paraId="1EC4FBCA">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6</w:t>
      </w:r>
      <w:r>
        <w:rPr>
          <w:rFonts w:hint="eastAsia" w:asciiTheme="minorEastAsia" w:hAnsiTheme="minorEastAsia" w:eastAsiaTheme="minorEastAsia" w:cstheme="minorEastAsia"/>
          <w:sz w:val="24"/>
          <w:szCs w:val="32"/>
          <w:lang w:val="en-US" w:eastAsia="zh-CN"/>
        </w:rPr>
        <w:t>）参加政府采购活动前三年内，在经营活动中没有重大违法记录的书面声明；</w:t>
      </w:r>
    </w:p>
    <w:p w14:paraId="2BC92FDC">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7</w:t>
      </w:r>
      <w:r>
        <w:rPr>
          <w:rFonts w:hint="eastAsia" w:asciiTheme="minorEastAsia" w:hAnsiTheme="minorEastAsia" w:eastAsiaTheme="minorEastAsia" w:cstheme="minorEastAsia"/>
          <w:sz w:val="24"/>
          <w:szCs w:val="32"/>
          <w:lang w:val="en-US" w:eastAsia="zh-CN"/>
        </w:rPr>
        <w:t>）提供具有履行合同所必需的设备和专业技术能力的证明资料或承诺书；</w:t>
      </w:r>
    </w:p>
    <w:p w14:paraId="39127272">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8</w:t>
      </w:r>
      <w:r>
        <w:rPr>
          <w:rFonts w:hint="eastAsia" w:asciiTheme="minorEastAsia" w:hAnsiTheme="minorEastAsia" w:eastAsiaTheme="minorEastAsia" w:cstheme="minorEastAsia"/>
          <w:sz w:val="24"/>
          <w:szCs w:val="32"/>
          <w:lang w:val="en-US" w:eastAsia="zh-CN"/>
        </w:rPr>
        <w:t>）对列入信用中国”网站（www.creditchina.gov.cn）记录失信被执行人、重大税收违法失信主体、企业经营异常名录记录名单、政府采购严重违法失信行为记录名单、中国政府采购网（www.ccgp.gov.cn）政府采购严重违法失信行为信息记录”的单位拒绝参与政府采购活动</w:t>
      </w:r>
      <w:r>
        <w:rPr>
          <w:rFonts w:hint="eastAsia" w:asciiTheme="minorEastAsia" w:hAnsiTheme="minorEastAsia" w:cstheme="minorEastAsia"/>
          <w:sz w:val="24"/>
          <w:szCs w:val="32"/>
          <w:lang w:val="en-US" w:eastAsia="zh-CN"/>
        </w:rPr>
        <w:t>；</w:t>
      </w:r>
    </w:p>
    <w:p w14:paraId="07CBCDE3">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w:t>
      </w:r>
      <w:r>
        <w:rPr>
          <w:rFonts w:hint="eastAsia" w:asciiTheme="minorEastAsia" w:hAnsiTheme="minorEastAsia" w:cstheme="minorEastAsia"/>
          <w:sz w:val="24"/>
          <w:szCs w:val="32"/>
          <w:lang w:val="en-US" w:eastAsia="zh-CN"/>
        </w:rPr>
        <w:t>9</w:t>
      </w:r>
      <w:r>
        <w:rPr>
          <w:rFonts w:hint="eastAsia" w:asciiTheme="minorEastAsia" w:hAnsiTheme="minorEastAsia" w:eastAsiaTheme="minorEastAsia" w:cstheme="minorEastAsia"/>
          <w:sz w:val="24"/>
          <w:szCs w:val="32"/>
          <w:lang w:val="en-US" w:eastAsia="zh-CN"/>
        </w:rPr>
        <w:t>）投标信用承诺书；</w:t>
      </w:r>
    </w:p>
    <w:p w14:paraId="1A84DE74">
      <w:pPr>
        <w:numPr>
          <w:ilvl w:val="0"/>
          <w:numId w:val="0"/>
        </w:numPr>
        <w:bidi w:val="0"/>
        <w:spacing w:line="360" w:lineRule="auto"/>
        <w:ind w:firstLine="480" w:firstLineChars="200"/>
        <w:rPr>
          <w:rFonts w:hint="eastAsia" w:asciiTheme="minorEastAsia" w:hAnsiTheme="minorEastAsia" w:eastAsiaTheme="minorEastAsia" w:cstheme="minorEastAsia"/>
          <w:sz w:val="24"/>
          <w:szCs w:val="32"/>
          <w:lang w:val="en-US" w:eastAsia="zh-CN"/>
        </w:rPr>
      </w:pPr>
      <w:r>
        <w:rPr>
          <w:rFonts w:hint="eastAsia" w:asciiTheme="minorEastAsia" w:hAnsiTheme="minorEastAsia" w:eastAsiaTheme="minorEastAsia" w:cstheme="minorEastAsia"/>
          <w:sz w:val="24"/>
          <w:szCs w:val="32"/>
          <w:lang w:val="en-US" w:eastAsia="zh-CN"/>
        </w:rPr>
        <w:t>（9）榆林市政府采购货物类项目供应商信用承诺书；</w:t>
      </w:r>
    </w:p>
    <w:p w14:paraId="061F2550">
      <w:pPr>
        <w:numPr>
          <w:ilvl w:val="0"/>
          <w:numId w:val="0"/>
        </w:numPr>
        <w:bidi w:val="0"/>
        <w:spacing w:line="360" w:lineRule="auto"/>
        <w:ind w:firstLine="480" w:firstLineChars="200"/>
        <w:rPr>
          <w:rFonts w:hint="default" w:asciiTheme="minorEastAsia" w:hAnsiTheme="minorEastAsia" w:eastAsiaTheme="minorEastAsia" w:cstheme="minorEastAsia"/>
          <w:highlight w:val="none"/>
          <w:shd w:val="clear" w:color="auto" w:fill="FFFFFF"/>
          <w:lang w:val="en-US" w:eastAsia="zh-CN"/>
        </w:rPr>
      </w:pPr>
      <w:r>
        <w:rPr>
          <w:rFonts w:hint="eastAsia" w:asciiTheme="minorEastAsia" w:hAnsiTheme="minorEastAsia" w:eastAsiaTheme="minorEastAsia" w:cstheme="minorEastAsia"/>
          <w:sz w:val="24"/>
          <w:szCs w:val="32"/>
          <w:lang w:val="en-US" w:eastAsia="zh-CN"/>
        </w:rPr>
        <w:t>备注：（1）本</w:t>
      </w:r>
      <w:r>
        <w:rPr>
          <w:rFonts w:hint="eastAsia" w:asciiTheme="minorEastAsia" w:hAnsiTheme="minorEastAsia" w:cstheme="minorEastAsia"/>
          <w:sz w:val="24"/>
          <w:szCs w:val="32"/>
          <w:lang w:val="en-US" w:eastAsia="zh-CN"/>
        </w:rPr>
        <w:t>项目</w:t>
      </w:r>
      <w:r>
        <w:rPr>
          <w:rFonts w:hint="eastAsia" w:asciiTheme="minorEastAsia" w:hAnsiTheme="minorEastAsia" w:eastAsiaTheme="minorEastAsia" w:cstheme="minorEastAsia"/>
          <w:sz w:val="24"/>
          <w:szCs w:val="32"/>
          <w:lang w:val="en-US" w:eastAsia="zh-CN"/>
        </w:rPr>
        <w:t>不接受联合体投标、不允许分包、转包，单位负责人为同一人或者存在直接控股、管理关系的不同投标人，不得参加同一合同项下的政府采购活动；（2）事业单位法人参与投标可不提供财务状况报告和社会保障资金缴纳证明及税收缴纳证明；（3）本</w:t>
      </w:r>
      <w:r>
        <w:rPr>
          <w:rFonts w:hint="eastAsia" w:asciiTheme="minorEastAsia" w:hAnsiTheme="minorEastAsia" w:cstheme="minorEastAsia"/>
          <w:sz w:val="24"/>
          <w:szCs w:val="32"/>
          <w:lang w:val="en-US" w:eastAsia="zh-CN"/>
        </w:rPr>
        <w:t>项目</w:t>
      </w:r>
      <w:r>
        <w:rPr>
          <w:rFonts w:hint="eastAsia" w:asciiTheme="minorEastAsia" w:hAnsiTheme="minorEastAsia" w:eastAsiaTheme="minorEastAsia" w:cstheme="minorEastAsia"/>
          <w:sz w:val="24"/>
          <w:szCs w:val="32"/>
          <w:lang w:val="en-US" w:eastAsia="zh-CN"/>
        </w:rPr>
        <w:t>非专门面向中小企业采购</w:t>
      </w:r>
      <w:r>
        <w:rPr>
          <w:rFonts w:hint="eastAsia" w:asciiTheme="minorEastAsia" w:hAnsiTheme="minorEastAsia" w:cstheme="minorEastAsia"/>
          <w:sz w:val="24"/>
          <w:szCs w:val="32"/>
          <w:lang w:val="en-US" w:eastAsia="zh-CN"/>
        </w:rPr>
        <w:t>。</w:t>
      </w:r>
    </w:p>
    <w:p w14:paraId="4E4AA72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lang w:bidi="ar"/>
        </w:rPr>
      </w:pPr>
      <w:r>
        <w:rPr>
          <w:rFonts w:hint="eastAsia" w:ascii="宋体" w:hAnsi="宋体" w:eastAsia="宋体" w:cs="宋体"/>
          <w:sz w:val="24"/>
          <w:highlight w:val="none"/>
          <w:lang w:bidi="ar"/>
        </w:rPr>
        <w:t>2.2.2 供应商应遵守《中华人民共和国政府采购法》。</w:t>
      </w:r>
    </w:p>
    <w:p w14:paraId="6E7B180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Cs/>
          <w:sz w:val="24"/>
          <w:highlight w:val="none"/>
          <w:lang w:bidi="ar"/>
        </w:rPr>
      </w:pPr>
      <w:r>
        <w:rPr>
          <w:rFonts w:hint="eastAsia" w:ascii="宋体" w:hAnsi="宋体" w:eastAsia="宋体" w:cs="宋体"/>
          <w:sz w:val="24"/>
          <w:highlight w:val="none"/>
          <w:lang w:bidi="ar"/>
        </w:rPr>
        <w:t>2.2.3 只有在法律上和财务上独立，合法运作，并独立于采购代理机构和采</w:t>
      </w:r>
      <w:r>
        <w:rPr>
          <w:rFonts w:hint="eastAsia" w:ascii="宋体" w:hAnsi="宋体" w:eastAsia="宋体" w:cs="宋体"/>
          <w:bCs/>
          <w:sz w:val="24"/>
          <w:highlight w:val="none"/>
          <w:lang w:bidi="ar"/>
        </w:rPr>
        <w:t>购人的供货人才能参加投标。</w:t>
      </w:r>
    </w:p>
    <w:p w14:paraId="5E68DAD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Cs/>
          <w:sz w:val="24"/>
          <w:highlight w:val="none"/>
          <w:lang w:bidi="ar"/>
        </w:rPr>
      </w:pPr>
      <w:r>
        <w:rPr>
          <w:rFonts w:hint="eastAsia" w:ascii="宋体" w:hAnsi="宋体" w:eastAsia="宋体" w:cs="宋体"/>
          <w:bCs/>
          <w:sz w:val="24"/>
          <w:highlight w:val="none"/>
          <w:lang w:bidi="ar"/>
        </w:rPr>
        <w:t>2.2.4投标人之间如果存在下列情形之一的，不得同时参加本项目投标：</w:t>
      </w:r>
    </w:p>
    <w:p w14:paraId="4AFDDDB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Cs/>
          <w:sz w:val="24"/>
          <w:highlight w:val="none"/>
          <w:lang w:bidi="ar"/>
        </w:rPr>
      </w:pPr>
      <w:r>
        <w:rPr>
          <w:rFonts w:hint="eastAsia" w:ascii="宋体" w:hAnsi="宋体" w:eastAsia="宋体" w:cs="宋体"/>
          <w:bCs/>
          <w:sz w:val="24"/>
          <w:highlight w:val="none"/>
          <w:lang w:bidi="ar"/>
        </w:rPr>
        <w:t>2.2.4.1 法定代表人为同一个人的两个及两个以上法人；</w:t>
      </w:r>
    </w:p>
    <w:p w14:paraId="6D349A0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Cs/>
          <w:sz w:val="24"/>
          <w:highlight w:val="none"/>
          <w:lang w:bidi="ar"/>
        </w:rPr>
      </w:pPr>
      <w:r>
        <w:rPr>
          <w:rFonts w:hint="eastAsia" w:ascii="宋体" w:hAnsi="宋体" w:eastAsia="宋体" w:cs="宋体"/>
          <w:bCs/>
          <w:sz w:val="24"/>
          <w:highlight w:val="none"/>
          <w:lang w:bidi="ar"/>
        </w:rPr>
        <w:t>2.2.4.2 母公司、全资子公司及其控股公司；</w:t>
      </w:r>
    </w:p>
    <w:p w14:paraId="62F2426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Cs/>
          <w:sz w:val="24"/>
          <w:highlight w:val="none"/>
          <w:lang w:bidi="ar"/>
        </w:rPr>
      </w:pPr>
      <w:r>
        <w:rPr>
          <w:rFonts w:hint="eastAsia" w:ascii="宋体" w:hAnsi="宋体" w:eastAsia="宋体" w:cs="宋体"/>
          <w:bCs/>
          <w:sz w:val="24"/>
          <w:highlight w:val="none"/>
          <w:lang w:bidi="ar"/>
        </w:rPr>
        <w:t>2.2.4.3 参加投标的其他组织之间存在特殊的利害关系的；</w:t>
      </w:r>
    </w:p>
    <w:p w14:paraId="5AE327D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eastAsia="宋体"/>
          <w:sz w:val="24"/>
          <w:highlight w:val="none"/>
        </w:rPr>
      </w:pPr>
      <w:r>
        <w:rPr>
          <w:rFonts w:hint="eastAsia" w:ascii="宋体" w:hAnsi="宋体" w:eastAsia="宋体" w:cs="宋体"/>
          <w:bCs/>
          <w:sz w:val="24"/>
          <w:highlight w:val="none"/>
          <w:lang w:bidi="ar"/>
        </w:rPr>
        <w:t>2.2.4.4 法律和行政法规规定的其他情形。</w:t>
      </w:r>
    </w:p>
    <w:p w14:paraId="77342A5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Cs/>
          <w:sz w:val="24"/>
          <w:highlight w:val="none"/>
          <w:lang w:bidi="ar"/>
        </w:rPr>
      </w:pPr>
      <w:r>
        <w:rPr>
          <w:rFonts w:hint="eastAsia" w:ascii="宋体" w:hAnsi="宋体" w:eastAsia="宋体" w:cs="宋体"/>
          <w:bCs/>
          <w:sz w:val="24"/>
          <w:highlight w:val="none"/>
          <w:lang w:bidi="ar"/>
        </w:rPr>
        <w:t>2.3投标人不得直接或间接地与招标采购单位（包括陕西中财招标代理有限公司及采购人）有任何关联，亦不得是招标采购单位的附属机构。如果投标人在投标中隐瞒了上述关系，一经证实，则该投标无效。</w:t>
      </w:r>
    </w:p>
    <w:p w14:paraId="49FA4EE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Cs/>
          <w:sz w:val="24"/>
          <w:highlight w:val="none"/>
          <w:lang w:bidi="ar"/>
        </w:rPr>
      </w:pPr>
      <w:r>
        <w:rPr>
          <w:rFonts w:hint="eastAsia" w:ascii="宋体" w:hAnsi="宋体" w:eastAsia="宋体" w:cs="宋体"/>
          <w:bCs/>
          <w:sz w:val="24"/>
          <w:highlight w:val="none"/>
          <w:lang w:bidi="ar"/>
        </w:rPr>
        <w:t>2.4投标人必须在陕西省公共资源交易平台获取招标文件，方可参加投标。</w:t>
      </w:r>
    </w:p>
    <w:p w14:paraId="2443723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Cs/>
          <w:sz w:val="24"/>
          <w:highlight w:val="none"/>
          <w:lang w:bidi="ar"/>
        </w:rPr>
      </w:pPr>
      <w:r>
        <w:rPr>
          <w:rFonts w:hint="eastAsia" w:ascii="宋体" w:hAnsi="宋体" w:eastAsia="宋体" w:cs="宋体"/>
          <w:bCs/>
          <w:sz w:val="24"/>
          <w:highlight w:val="none"/>
          <w:lang w:bidi="ar"/>
        </w:rPr>
        <w:t>2.5投标费用自理。不论投标的结果如何，投标人均应自行承担所有与参加投标有关的费用。</w:t>
      </w:r>
    </w:p>
    <w:p w14:paraId="310F4860">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3.投标货物及服务的合格性和合法性</w:t>
      </w:r>
    </w:p>
    <w:p w14:paraId="53610AD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3.1投标货物及服务应满足招标文件的要求并应符合国家法律法规、行业管理部门要求的其他强制性标准。</w:t>
      </w:r>
    </w:p>
    <w:p w14:paraId="6195173D">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4.投标文件内容的真实性</w:t>
      </w:r>
    </w:p>
    <w:p w14:paraId="15E930E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4.1投标人应保证其投标文件中所提供的所有投标资料、信息是真实、有效的，并且来源于合法的渠道。因投标文件中所提供的投标资料、信息不真实或者其来源不合法而导致的所有法律责任，由投标人自行承担。</w:t>
      </w:r>
    </w:p>
    <w:p w14:paraId="3C0912E1">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5.招标过程的监督和管理</w:t>
      </w:r>
    </w:p>
    <w:p w14:paraId="582B26C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 xml:space="preserve">5.1同级人民政府财政部门及有关部门依法履行对招标过程的监督管理职责。   </w:t>
      </w:r>
    </w:p>
    <w:p w14:paraId="52A4F2DD">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ascii="宋体" w:hAnsi="宋体" w:eastAsia="宋体" w:cs="宋体"/>
          <w:b/>
          <w:sz w:val="32"/>
          <w:szCs w:val="32"/>
          <w:highlight w:val="none"/>
        </w:rPr>
      </w:pPr>
      <w:bookmarkStart w:id="24" w:name="_Toc403077640"/>
      <w:bookmarkStart w:id="25" w:name="_Toc363473973"/>
      <w:bookmarkStart w:id="26" w:name="_Toc363474018"/>
      <w:r>
        <w:rPr>
          <w:rFonts w:hint="eastAsia" w:ascii="宋体" w:hAnsi="宋体" w:eastAsia="宋体" w:cs="宋体"/>
          <w:b/>
          <w:sz w:val="32"/>
          <w:szCs w:val="32"/>
          <w:highlight w:val="none"/>
          <w:lang w:bidi="ar"/>
        </w:rPr>
        <w:t>二.招标文件</w:t>
      </w:r>
      <w:bookmarkEnd w:id="24"/>
      <w:bookmarkEnd w:id="25"/>
      <w:bookmarkEnd w:id="26"/>
    </w:p>
    <w:p w14:paraId="2CF21CC6">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6.招标文件构成　　</w:t>
      </w:r>
    </w:p>
    <w:p w14:paraId="70B6F67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ascii="宋体" w:hAnsi="宋体" w:eastAsia="宋体" w:cs="宋体"/>
          <w:sz w:val="24"/>
          <w:highlight w:val="none"/>
        </w:rPr>
      </w:pPr>
      <w:r>
        <w:rPr>
          <w:rFonts w:hint="eastAsia" w:ascii="宋体" w:hAnsi="宋体" w:eastAsia="宋体" w:cs="宋体"/>
          <w:sz w:val="24"/>
          <w:highlight w:val="none"/>
          <w:lang w:bidi="ar"/>
        </w:rPr>
        <w:t>6.1 招标文件要求</w:t>
      </w:r>
      <w:r>
        <w:rPr>
          <w:rFonts w:hint="eastAsia" w:ascii="宋体" w:hAnsi="宋体" w:eastAsia="宋体" w:cs="宋体"/>
          <w:color w:val="auto"/>
          <w:sz w:val="24"/>
          <w:highlight w:val="none"/>
          <w:lang w:bidi="ar"/>
        </w:rPr>
        <w:t>提供的货物，招标</w:t>
      </w:r>
      <w:r>
        <w:rPr>
          <w:rFonts w:hint="eastAsia" w:ascii="宋体" w:hAnsi="宋体" w:eastAsia="宋体" w:cs="宋体"/>
          <w:sz w:val="24"/>
          <w:highlight w:val="none"/>
          <w:lang w:bidi="ar"/>
        </w:rPr>
        <w:t>程序和合同条件在招标文件中均有说明。招标文件共七章，内容如下：</w:t>
      </w:r>
    </w:p>
    <w:p w14:paraId="59DD8D0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第一章 招标公告</w:t>
      </w:r>
    </w:p>
    <w:p w14:paraId="74331B2A">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第二章 投标人须知</w:t>
      </w:r>
    </w:p>
    <w:p w14:paraId="7F2DC97E">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 xml:space="preserve">       投标人须知前附表</w:t>
      </w:r>
    </w:p>
    <w:p w14:paraId="16488B0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 xml:space="preserve">第三章 政府采购合同   </w:t>
      </w:r>
    </w:p>
    <w:p w14:paraId="6D8499B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第四章 商务要求</w:t>
      </w:r>
    </w:p>
    <w:p w14:paraId="1204B715">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第五章 招标内容及技术要求</w:t>
      </w:r>
    </w:p>
    <w:p w14:paraId="6EA217DE">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第六章 评标方法</w:t>
      </w:r>
    </w:p>
    <w:p w14:paraId="4BA5F34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第七章 投标文件构成及格式</w:t>
      </w:r>
    </w:p>
    <w:p w14:paraId="64A06899">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6.2投标人应认真阅读招标文件中所有的事项、格式、条款和规范等要求。如果投标人没有按照招标文件要求递交全部资料，或者投标文件没有对招标文件在各方面都做出实质性响应，由此带来不利于投标人的评标结果，其风险由投标人承担。</w:t>
      </w:r>
    </w:p>
    <w:p w14:paraId="39E380A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6.3本招标文件的解释权归陕西中财招标代理有限公司。</w:t>
      </w:r>
    </w:p>
    <w:p w14:paraId="7C3BE19D">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7.招标文件的修改和澄清</w:t>
      </w:r>
    </w:p>
    <w:p w14:paraId="75C846F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7.1在投标截止时间前，采购代理机构可以视采购具体情况，延长投标截止时间和开标时间并在财政部门指定的媒体上发布变更公告，同时将变更时间书面通知所有招标文件收受人。</w:t>
      </w:r>
    </w:p>
    <w:p w14:paraId="5D10352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7.2采购代理机构如果对已发出的招标文件进行澄清或修改，澄清或者修改的内容可能影响投标文件编制的，将在招标文件要求提交投标文件截止时间十五日前，不足15日的，应当顺延提交投标文件的截止时间。在发布招标公告的财政部门指定媒体上发布更正公告，并以书面形式通知所有招标文件收受人。该澄清或者修改的内容为招标文件的组成部分。</w:t>
      </w:r>
    </w:p>
    <w:p w14:paraId="574ED135">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7.3已经获取招标文件的投标人对招标文件有疑问的，均应在获取招标文件后7个工作日内以书面形式向采购代理机构提出。采购代理机构视情况必要时将书面答复传送给所有招标文件收受人。</w:t>
      </w:r>
    </w:p>
    <w:p w14:paraId="0556A63A">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lang w:bidi="ar"/>
        </w:rPr>
      </w:pPr>
      <w:r>
        <w:rPr>
          <w:rFonts w:hint="eastAsia" w:ascii="宋体" w:hAnsi="宋体" w:eastAsia="宋体" w:cs="宋体"/>
          <w:sz w:val="24"/>
          <w:highlight w:val="none"/>
        </w:rPr>
        <w:t>7.4</w:t>
      </w:r>
      <w:r>
        <w:rPr>
          <w:rFonts w:hint="eastAsia" w:ascii="宋体" w:hAnsi="宋体" w:eastAsia="宋体" w:cs="宋体"/>
          <w:sz w:val="24"/>
          <w:szCs w:val="20"/>
          <w:highlight w:val="none"/>
        </w:rPr>
        <w:t>投标人在收到上述通知后，应立即向采购代理机构回函确认。</w:t>
      </w:r>
    </w:p>
    <w:p w14:paraId="33C9B7EF">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ascii="宋体" w:hAnsi="宋体" w:eastAsia="宋体" w:cs="宋体"/>
          <w:b/>
          <w:sz w:val="32"/>
          <w:szCs w:val="32"/>
          <w:highlight w:val="none"/>
        </w:rPr>
      </w:pPr>
      <w:bookmarkStart w:id="27" w:name="_Toc403077641"/>
      <w:bookmarkStart w:id="28" w:name="_Toc363474019"/>
      <w:bookmarkStart w:id="29" w:name="_Toc363473974"/>
      <w:r>
        <w:rPr>
          <w:rFonts w:hint="eastAsia" w:ascii="宋体" w:hAnsi="宋体" w:eastAsia="宋体" w:cs="宋体"/>
          <w:b/>
          <w:sz w:val="32"/>
          <w:szCs w:val="32"/>
          <w:highlight w:val="none"/>
          <w:lang w:bidi="ar"/>
        </w:rPr>
        <w:t>三.投标文件的编制</w:t>
      </w:r>
      <w:bookmarkEnd w:id="27"/>
      <w:bookmarkEnd w:id="28"/>
      <w:bookmarkEnd w:id="29"/>
    </w:p>
    <w:p w14:paraId="36BE29EB">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8. 投标语言和投标货币</w:t>
      </w:r>
    </w:p>
    <w:p w14:paraId="0E7BB39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
          <w:sz w:val="24"/>
          <w:highlight w:val="none"/>
        </w:rPr>
      </w:pPr>
      <w:r>
        <w:rPr>
          <w:rFonts w:hint="eastAsia" w:ascii="宋体" w:hAnsi="宋体" w:eastAsia="宋体" w:cs="宋体"/>
          <w:sz w:val="24"/>
          <w:highlight w:val="none"/>
          <w:lang w:bidi="ar"/>
        </w:rPr>
        <w:t>8.1投标人递交的投标文件以及投标人与采购代理机构就有关投标的所有来往函电均应使用中文。</w:t>
      </w:r>
    </w:p>
    <w:p w14:paraId="5A2193C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8.2投标应以人民币报价。任何包含非人民币报价的投标将按无效处理。</w:t>
      </w:r>
    </w:p>
    <w:p w14:paraId="50BCF80B">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9.投标文件的构成</w:t>
      </w:r>
    </w:p>
    <w:p w14:paraId="1710051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9.1 投标人递交的投标文件应包括下列部分的内容：</w:t>
      </w:r>
    </w:p>
    <w:p w14:paraId="37C0056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1）按照投标人须知的要求和投标文件规定的格式填写的投标书、投标报价表、法定代表人/单位负责人授权书；</w:t>
      </w:r>
    </w:p>
    <w:p w14:paraId="4D34942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2）按照招标文件的要求编制的投标方案说明书，内容至少应包括组织实施计划和供货的详细说明、货物一览表、质量保证、人员配备和服务承诺等；</w:t>
      </w:r>
    </w:p>
    <w:p w14:paraId="6FD0335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 xml:space="preserve">3）按照招标文件投标人须知前附表的要求递交的资格证明文件；  </w:t>
      </w:r>
    </w:p>
    <w:p w14:paraId="3EB0BCFE">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4）按照本须知第14条要求上报的投标承诺书；</w:t>
      </w:r>
    </w:p>
    <w:p w14:paraId="5DB10EB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5）按照投标人须知要求出具的投标服务符合招标文件规定的证明文件及投标人认为需加以说明的其他内容；</w:t>
      </w:r>
    </w:p>
    <w:p w14:paraId="6B94581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6）招标文件中要求的其他证明文件。</w:t>
      </w:r>
    </w:p>
    <w:p w14:paraId="585B627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9.2 如果在招标文件中没有允许提供备选方案，则每个投标人只允许递交一个投标方案，否则，其投标将按照无效投标处理。</w:t>
      </w:r>
    </w:p>
    <w:p w14:paraId="77E9A6EE">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9.3本次投标的最小单元为“</w:t>
      </w:r>
      <w:r>
        <w:rPr>
          <w:rFonts w:hint="eastAsia" w:ascii="宋体" w:hAnsi="宋体" w:eastAsia="宋体" w:cs="宋体"/>
          <w:sz w:val="24"/>
          <w:highlight w:val="none"/>
          <w:lang w:val="en-US" w:eastAsia="zh-CN" w:bidi="ar"/>
        </w:rPr>
        <w:t>项目</w:t>
      </w:r>
      <w:r>
        <w:rPr>
          <w:rFonts w:hint="eastAsia" w:ascii="宋体" w:hAnsi="宋体" w:eastAsia="宋体" w:cs="宋体"/>
          <w:sz w:val="24"/>
          <w:highlight w:val="none"/>
          <w:lang w:bidi="ar"/>
        </w:rPr>
        <w:t>”，投标人可根据自身的资质情况和经营范围进行投标，但不得将其子目自行分解或针对品目进行不完全投标，任何不完全的投标将按无效投标处理。</w:t>
      </w:r>
    </w:p>
    <w:p w14:paraId="4194BCFB">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10.投标文件格式</w:t>
      </w:r>
    </w:p>
    <w:p w14:paraId="3371168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10.1 投标人应按照招标文件中第七章所提供的格式和要求制作投标文件，明确表达投标意愿，详细说明投标方案、承诺及价格。</w:t>
      </w:r>
    </w:p>
    <w:p w14:paraId="2A623AC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10.2按招标文件第9条的内容及要求和第七章提供的格式和要求编写其投标文件，投标人不得缺少或留空任何招标文件要求填写的表格或提交的资料。</w:t>
      </w:r>
    </w:p>
    <w:p w14:paraId="6531C01A">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11.投标报价</w:t>
      </w:r>
    </w:p>
    <w:p w14:paraId="4DABE59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Theme="minorEastAsia" w:hAnsiTheme="minorEastAsia" w:cstheme="minorEastAsia"/>
          <w:sz w:val="24"/>
          <w:highlight w:val="none"/>
        </w:rPr>
      </w:pPr>
      <w:r>
        <w:rPr>
          <w:rFonts w:hint="eastAsia" w:ascii="宋体" w:hAnsi="宋体" w:eastAsia="宋体" w:cs="宋体"/>
          <w:sz w:val="24"/>
          <w:highlight w:val="none"/>
          <w:lang w:bidi="ar"/>
        </w:rPr>
        <w:t>11.1投标报价：</w:t>
      </w:r>
      <w:r>
        <w:rPr>
          <w:rFonts w:hint="eastAsia" w:asciiTheme="minorEastAsia" w:hAnsiTheme="minorEastAsia" w:cstheme="minorEastAsia"/>
          <w:sz w:val="24"/>
          <w:highlight w:val="none"/>
        </w:rPr>
        <w:t>合同价即中标价，投标人应在投标报价表中包含但不限于完成本次招标所要求的货物、服务且验收合格的所有费用，包括货物费、运杂费（含保险）、仓储保管费、验收费用、税费等其他相关费用。</w:t>
      </w:r>
    </w:p>
    <w:p w14:paraId="0E985E8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11.2投标报价表中标明的价格应为履行合同的固定价格，不得以任何理由予以变更。以可调整的价格递交的投标文件将按无效投标处理。</w:t>
      </w:r>
    </w:p>
    <w:p w14:paraId="56582BC3">
      <w:pPr>
        <w:keepNext w:val="0"/>
        <w:keepLines w:val="0"/>
        <w:pageBreakBefore w:val="0"/>
        <w:widowControl w:val="0"/>
        <w:shd w:val="clear"/>
        <w:kinsoku/>
        <w:wordWrap/>
        <w:overflowPunct/>
        <w:topLinePunct w:val="0"/>
        <w:autoSpaceDE/>
        <w:autoSpaceDN/>
        <w:bidi w:val="0"/>
        <w:adjustRightInd/>
        <w:snapToGrid/>
        <w:spacing w:line="360" w:lineRule="auto"/>
        <w:ind w:right="540" w:rightChars="257"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11.3投标报价：</w:t>
      </w:r>
      <w:r>
        <w:rPr>
          <w:rFonts w:hint="eastAsia" w:ascii="宋体" w:hAnsi="宋体" w:eastAsia="宋体" w:cs="宋体"/>
          <w:sz w:val="24"/>
          <w:highlight w:val="none"/>
          <w:lang w:val="en-US" w:eastAsia="zh-CN" w:bidi="ar"/>
        </w:rPr>
        <w:t>固定合同总价</w:t>
      </w:r>
      <w:r>
        <w:rPr>
          <w:rFonts w:hint="eastAsia" w:ascii="宋体" w:hAnsi="宋体" w:eastAsia="宋体" w:cs="宋体"/>
          <w:sz w:val="24"/>
          <w:highlight w:val="none"/>
          <w:lang w:bidi="ar"/>
        </w:rPr>
        <w:t>（精确到小数点后二位）。</w:t>
      </w:r>
    </w:p>
    <w:p w14:paraId="000F0DEE">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12.证明投标人合格和资格的文件</w:t>
      </w:r>
    </w:p>
    <w:p w14:paraId="0894309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12.1投标人应按照招标文件的要求，在投标文件中递交合格的资格证明文件。如果资格证明文件不全或不合格的，其投标将按无效投标处理。</w:t>
      </w:r>
    </w:p>
    <w:p w14:paraId="486613E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highlight w:val="none"/>
        </w:rPr>
      </w:pPr>
      <w:r>
        <w:rPr>
          <w:rFonts w:hint="eastAsia" w:ascii="宋体" w:hAnsi="宋体" w:eastAsia="宋体" w:cs="宋体"/>
          <w:sz w:val="24"/>
          <w:highlight w:val="none"/>
          <w:lang w:bidi="ar"/>
        </w:rPr>
        <w:t>12.2</w:t>
      </w:r>
      <w:r>
        <w:rPr>
          <w:rFonts w:hint="eastAsia" w:ascii="宋体" w:hAnsi="宋体" w:eastAsia="宋体" w:cs="宋体"/>
          <w:sz w:val="24"/>
          <w:szCs w:val="20"/>
          <w:highlight w:val="none"/>
          <w:lang w:bidi="ar"/>
        </w:rPr>
        <w:t xml:space="preserve"> 投标人必须按要求递交证明文件，以证明其有资格参加投标和中标后有履行合同的能力，并作为其投标文件的一部分。</w:t>
      </w:r>
    </w:p>
    <w:p w14:paraId="7156F77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highlight w:val="none"/>
        </w:rPr>
      </w:pPr>
      <w:r>
        <w:rPr>
          <w:rFonts w:hint="eastAsia" w:ascii="宋体" w:hAnsi="宋体" w:eastAsia="宋体" w:cs="宋体"/>
          <w:sz w:val="24"/>
          <w:highlight w:val="none"/>
          <w:lang w:bidi="ar"/>
        </w:rPr>
        <w:t>12.2</w:t>
      </w:r>
      <w:r>
        <w:rPr>
          <w:rFonts w:hint="eastAsia" w:ascii="宋体" w:hAnsi="宋体" w:eastAsia="宋体" w:cs="宋体"/>
          <w:sz w:val="24"/>
          <w:szCs w:val="20"/>
          <w:highlight w:val="none"/>
          <w:lang w:bidi="ar"/>
        </w:rPr>
        <w:t>.1 投标人应具有履行合同所需的财务、技术和人员配置能力；</w:t>
      </w:r>
    </w:p>
    <w:p w14:paraId="2AD7C3C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highlight w:val="none"/>
        </w:rPr>
      </w:pPr>
      <w:r>
        <w:rPr>
          <w:rFonts w:hint="eastAsia" w:ascii="宋体" w:hAnsi="宋体" w:eastAsia="宋体" w:cs="宋体"/>
          <w:sz w:val="24"/>
          <w:highlight w:val="none"/>
          <w:lang w:bidi="ar"/>
        </w:rPr>
        <w:t>12.2</w:t>
      </w:r>
      <w:r>
        <w:rPr>
          <w:rFonts w:hint="eastAsia" w:ascii="宋体" w:hAnsi="宋体" w:eastAsia="宋体" w:cs="宋体"/>
          <w:sz w:val="24"/>
          <w:szCs w:val="20"/>
          <w:highlight w:val="none"/>
          <w:lang w:bidi="ar"/>
        </w:rPr>
        <w:t>.2 投标人应有能力履行招标文件所规定的由投标人在服务地点提供技术支持和服务。</w:t>
      </w:r>
    </w:p>
    <w:p w14:paraId="36FFF30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0"/>
          <w:highlight w:val="none"/>
        </w:rPr>
      </w:pPr>
      <w:r>
        <w:rPr>
          <w:rFonts w:hint="eastAsia" w:ascii="宋体" w:hAnsi="宋体" w:eastAsia="宋体" w:cs="宋体"/>
          <w:sz w:val="24"/>
          <w:highlight w:val="none"/>
          <w:lang w:bidi="ar"/>
        </w:rPr>
        <w:t>12.2</w:t>
      </w:r>
      <w:r>
        <w:rPr>
          <w:rFonts w:hint="eastAsia" w:ascii="宋体" w:hAnsi="宋体" w:eastAsia="宋体" w:cs="宋体"/>
          <w:sz w:val="24"/>
          <w:szCs w:val="20"/>
          <w:highlight w:val="none"/>
          <w:lang w:bidi="ar"/>
        </w:rPr>
        <w:t>.3 投标人认为能够证明投标人提供优质供货能力的其他文件。</w:t>
      </w:r>
    </w:p>
    <w:p w14:paraId="17DCB85E">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13.证明服务及货物的合格性和符合招标文件规定的文件</w:t>
      </w:r>
    </w:p>
    <w:p w14:paraId="5915BF4A">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13.1投标人应在投标文件中提交货物和服务满足招标文件要求并符合国家法律法规、行业管理部门要求的其他强制性标准的证明文件。缺少证明文件或证明文件不合格的投标，与招标文件要求有偏离的投标，不符合国家法律法规、行业管理部门要求的其他强制性标准的投标将按无效投标处理。</w:t>
      </w:r>
    </w:p>
    <w:p w14:paraId="3DE7C55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13.2上述证明文件可以是文字资料、图片和数据等，它包括：</w:t>
      </w:r>
    </w:p>
    <w:p w14:paraId="662E047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 xml:space="preserve"> 1) 逐条对招标文件提出的技术要求和商务要求进行应答，说明所提供的货物和服务对招标的技术和商务要求是否做出了实质性响应并提供支持文件；</w:t>
      </w:r>
    </w:p>
    <w:p w14:paraId="6CD2E53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 xml:space="preserve"> 2）供货内容的详细说明。</w:t>
      </w:r>
    </w:p>
    <w:p w14:paraId="31E16A8D">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14.投标保证金</w:t>
      </w:r>
    </w:p>
    <w:p w14:paraId="51B7188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highlight w:val="none"/>
          <w:lang w:val="en-US"/>
        </w:rPr>
      </w:pPr>
      <w:r>
        <w:rPr>
          <w:rFonts w:hint="eastAsia" w:ascii="宋体" w:hAnsi="宋体" w:eastAsia="宋体" w:cs="宋体"/>
          <w:sz w:val="24"/>
          <w:highlight w:val="none"/>
          <w:lang w:val="en-US" w:eastAsia="zh-CN"/>
        </w:rPr>
        <w:t>投标信用承诺书替代投标保证金；</w:t>
      </w:r>
    </w:p>
    <w:p w14:paraId="2BB167E9">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15.投标有效期</w:t>
      </w:r>
    </w:p>
    <w:p w14:paraId="3130A71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0"/>
          <w:highlight w:val="none"/>
          <w:lang w:bidi="ar"/>
        </w:rPr>
      </w:pPr>
      <w:r>
        <w:rPr>
          <w:rFonts w:hint="eastAsia" w:ascii="宋体" w:hAnsi="宋体" w:eastAsia="宋体" w:cs="宋体"/>
          <w:sz w:val="24"/>
          <w:szCs w:val="20"/>
          <w:highlight w:val="none"/>
          <w:lang w:bidi="ar"/>
        </w:rPr>
        <w:t>15.1投标有效期从递交投标文件的截止之日起九十天。投标文件应在投标有效期内保持有效，投标有效期不满足规定有效期的投标文件将被视为无效投标而拒绝。</w:t>
      </w:r>
    </w:p>
    <w:p w14:paraId="15267DAC">
      <w:pPr>
        <w:keepNext w:val="0"/>
        <w:keepLines w:val="0"/>
        <w:pageBreakBefore w:val="0"/>
        <w:widowControl w:val="0"/>
        <w:suppressLineNumbers w:val="0"/>
        <w:shd w:val="clear"/>
        <w:kinsoku/>
        <w:wordWrap/>
        <w:overflowPunct/>
        <w:topLinePunct w:val="0"/>
        <w:autoSpaceDE/>
        <w:autoSpaceDN/>
        <w:bidi w:val="0"/>
        <w:adjustRightInd/>
        <w:snapToGrid/>
        <w:spacing w:beforeAutospacing="0" w:after="0" w:afterAutospacing="0" w:line="360" w:lineRule="auto"/>
        <w:ind w:left="0" w:right="0" w:firstLine="480" w:firstLineChars="200"/>
        <w:jc w:val="both"/>
        <w:textAlignment w:val="auto"/>
        <w:rPr>
          <w:rFonts w:hint="eastAsia" w:ascii="宋体" w:hAnsi="宋体" w:eastAsia="宋体" w:cs="宋体"/>
          <w:color w:val="auto"/>
          <w:sz w:val="24"/>
          <w:szCs w:val="20"/>
          <w:highlight w:val="none"/>
          <w:lang w:val="en-US"/>
        </w:rPr>
      </w:pPr>
      <w:r>
        <w:rPr>
          <w:rFonts w:hint="eastAsia" w:ascii="宋体" w:hAnsi="宋体" w:eastAsia="宋体" w:cs="宋体"/>
          <w:sz w:val="24"/>
          <w:szCs w:val="20"/>
          <w:highlight w:val="none"/>
          <w:lang w:bidi="ar"/>
        </w:rPr>
        <w:t>15.2在特殊情况下，在原投标有效期期满之前，采购代理机构可向投标人提出延长投标有效期的要求。这种要求与答复均应以书面的形式。投标人可以拒绝采购代理机构的这种要求。同意延长的投标人既不能要求也不允许修改其投标文件。</w:t>
      </w:r>
    </w:p>
    <w:p w14:paraId="2804DB7B">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16.投标文件的式样和签署</w:t>
      </w:r>
    </w:p>
    <w:p w14:paraId="313F414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16.1投标人应按照本章投标人须知的要求, 递交壹份投标文件正本和“投标人须知前附表”中规定数量的副本。</w:t>
      </w:r>
    </w:p>
    <w:p w14:paraId="1F494F8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16.2任何行间插字、涂改和增删，必须由投标人的法定代表人或其授权代表在旁边签字才有效。</w:t>
      </w:r>
    </w:p>
    <w:p w14:paraId="727CD9AA">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16.3投标人名称应填写全称。</w:t>
      </w:r>
    </w:p>
    <w:p w14:paraId="5436F99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16.4因字迹潦草、表述不清或不按招标文件格式编制的投标文件，所引起的对投标人不利的后果，由投标人自行负责。</w:t>
      </w:r>
    </w:p>
    <w:p w14:paraId="20FED4C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b/>
          <w:sz w:val="24"/>
          <w:highlight w:val="none"/>
        </w:rPr>
      </w:pPr>
      <w:r>
        <w:rPr>
          <w:rFonts w:hint="eastAsia" w:ascii="宋体" w:hAnsi="宋体" w:eastAsia="宋体" w:cs="宋体"/>
          <w:sz w:val="24"/>
          <w:highlight w:val="none"/>
        </w:rPr>
        <w:t>16.5</w:t>
      </w:r>
      <w:r>
        <w:rPr>
          <w:rFonts w:hint="eastAsia" w:ascii="宋体" w:hAnsi="宋体" w:eastAsia="宋体" w:cs="宋体"/>
          <w:b/>
          <w:sz w:val="24"/>
          <w:highlight w:val="none"/>
        </w:rPr>
        <w:t>本项目采用电子化招投标。投标人须使用数字认证证书对电子化投标文件进行签章、加密、递交及开标时解密等相关招投标事宜。</w:t>
      </w:r>
    </w:p>
    <w:p w14:paraId="28BE1D4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 xml:space="preserve">16.5.1电子招标文件下载。供应商登录全国公共资源交易平台（陕西省） 网站〖首页·〉电子交易平台·〉企业端〗后，在〖招标公告/出让公告〗 模块中选择项目点击“我要投标”，参与投标活动。然后即可在〖我的项 目〗中点击“项目流程&gt;交易文件下载”下载电子投标文件。 </w:t>
      </w:r>
    </w:p>
    <w:p w14:paraId="7683C755">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16.5.2电子投标文件需要使用专用软件打开、浏览。供应商可在全国公共 资源交易平台（陕西省）网站〖首页·〉服务指南·〉下载专区〗免费下载“陕西省公共资源交易平台政府采购电子标书制作工具(V8.0.0.36)”，并升级至最新版本，使用该客户端可以打开电子投标文件。软件操作手册详见全国公共资源交易平台（陕西省）网站〖首页·〉服务指南·〉下载专区〗中的《陕西省公共资源交易（政府采购类）投标文件制作软件操作手册》。</w:t>
      </w:r>
    </w:p>
    <w:p w14:paraId="58359A5A">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 xml:space="preserve">16.5.3制作电子投标文件。电子投标文件同样需要使用上述软件进行编制。 在编制过程中，如有技术性问题，请先翻阅操作手册，或致电软件开发商。 </w:t>
      </w:r>
    </w:p>
    <w:p w14:paraId="7A736AD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 xml:space="preserve">技术支持热线：4009280095、4009980000 </w:t>
      </w:r>
    </w:p>
    <w:p w14:paraId="372A1F32">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ascii="宋体" w:hAnsi="宋体" w:eastAsia="宋体" w:cs="宋体"/>
          <w:b/>
          <w:sz w:val="32"/>
          <w:szCs w:val="32"/>
          <w:highlight w:val="none"/>
        </w:rPr>
      </w:pPr>
      <w:bookmarkStart w:id="30" w:name="_Toc363474020"/>
      <w:bookmarkStart w:id="31" w:name="_Toc403077642"/>
      <w:bookmarkStart w:id="32" w:name="_Toc363473975"/>
      <w:r>
        <w:rPr>
          <w:rFonts w:hint="eastAsia" w:ascii="宋体" w:hAnsi="宋体" w:eastAsia="宋体" w:cs="宋体"/>
          <w:b/>
          <w:sz w:val="32"/>
          <w:szCs w:val="32"/>
          <w:highlight w:val="none"/>
          <w:lang w:bidi="ar"/>
        </w:rPr>
        <w:t>四.投标文件的递交</w:t>
      </w:r>
      <w:bookmarkEnd w:id="30"/>
      <w:bookmarkEnd w:id="31"/>
      <w:bookmarkEnd w:id="32"/>
    </w:p>
    <w:p w14:paraId="15540727">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hint="eastAsia" w:ascii="宋体" w:hAnsi="宋体" w:eastAsia="宋体" w:cs="宋体"/>
          <w:b/>
          <w:sz w:val="24"/>
          <w:highlight w:val="none"/>
          <w:lang w:eastAsia="zh-CN" w:bidi="ar"/>
        </w:rPr>
      </w:pPr>
      <w:r>
        <w:rPr>
          <w:rFonts w:hint="eastAsia" w:ascii="宋体" w:hAnsi="宋体" w:eastAsia="宋体" w:cs="宋体"/>
          <w:b/>
          <w:sz w:val="24"/>
          <w:highlight w:val="none"/>
          <w:lang w:bidi="ar"/>
        </w:rPr>
        <w:t>17.</w:t>
      </w:r>
      <w:r>
        <w:rPr>
          <w:rFonts w:hint="eastAsia" w:ascii="宋体" w:hAnsi="宋体" w:eastAsia="宋体" w:cs="宋体"/>
          <w:b/>
          <w:sz w:val="24"/>
          <w:highlight w:val="none"/>
        </w:rPr>
        <w:t>纸质版</w:t>
      </w:r>
      <w:r>
        <w:rPr>
          <w:rFonts w:hint="eastAsia" w:ascii="宋体" w:hAnsi="宋体" w:eastAsia="宋体" w:cs="宋体"/>
          <w:b/>
          <w:sz w:val="24"/>
          <w:highlight w:val="none"/>
          <w:lang w:bidi="ar"/>
        </w:rPr>
        <w:t>投标文件的</w:t>
      </w:r>
      <w:r>
        <w:rPr>
          <w:rFonts w:hint="eastAsia" w:ascii="宋体" w:hAnsi="宋体" w:eastAsia="宋体" w:cs="宋体"/>
          <w:b/>
          <w:sz w:val="24"/>
          <w:highlight w:val="none"/>
          <w:lang w:val="en-US" w:eastAsia="zh-CN" w:bidi="ar"/>
        </w:rPr>
        <w:t>递交</w:t>
      </w:r>
    </w:p>
    <w:p w14:paraId="467FA75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投标单位无需提交纸质版投标文件，待中标结果公示发布后五个工作日内，中标单位需补交一正二副的纸质版投标文件（备案用</w:t>
      </w:r>
      <w:r>
        <w:rPr>
          <w:rFonts w:hint="eastAsia" w:ascii="宋体" w:hAnsi="宋体" w:eastAsia="宋体" w:cs="宋体"/>
          <w:sz w:val="24"/>
          <w:highlight w:val="none"/>
          <w:lang w:eastAsia="zh-CN"/>
        </w:rPr>
        <w:t>，</w:t>
      </w:r>
      <w:r>
        <w:rPr>
          <w:rFonts w:hint="eastAsia" w:ascii="宋体" w:hAnsi="宋体" w:eastAsia="宋体" w:cs="宋体"/>
          <w:sz w:val="24"/>
          <w:highlight w:val="none"/>
          <w:lang w:val="en-US" w:eastAsia="zh-CN"/>
        </w:rPr>
        <w:t>递交时投标文件无需密封</w:t>
      </w:r>
      <w:r>
        <w:rPr>
          <w:rFonts w:hint="eastAsia" w:ascii="宋体" w:hAnsi="宋体" w:eastAsia="宋体" w:cs="宋体"/>
          <w:sz w:val="24"/>
          <w:highlight w:val="none"/>
        </w:rPr>
        <w:t>）。</w:t>
      </w:r>
    </w:p>
    <w:p w14:paraId="506CCE1B">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18．</w:t>
      </w:r>
      <w:r>
        <w:rPr>
          <w:rFonts w:hint="eastAsia" w:ascii="宋体" w:hAnsi="宋体" w:eastAsia="宋体" w:cs="宋体"/>
          <w:b/>
          <w:sz w:val="24"/>
          <w:highlight w:val="none"/>
          <w:lang w:val="en-US" w:eastAsia="zh-CN" w:bidi="ar"/>
        </w:rPr>
        <w:t>电子</w:t>
      </w:r>
      <w:r>
        <w:rPr>
          <w:rFonts w:hint="eastAsia" w:ascii="宋体" w:hAnsi="宋体" w:eastAsia="宋体" w:cs="宋体"/>
          <w:b/>
          <w:sz w:val="24"/>
          <w:highlight w:val="none"/>
          <w:lang w:bidi="ar"/>
        </w:rPr>
        <w:t>投标文件的递交</w:t>
      </w:r>
    </w:p>
    <w:p w14:paraId="1852877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 xml:space="preserve">电子投标文件可于提交投标文件截止时间前任意时段登录全国公共资源交易平台（陕西省）网站“电子交易平台&gt;企业端”进行提交，逾期系统将拒绝接收。提交时，供应商应登录全国公共资源交易中心平台（陕西省），选择“首页&gt;电子交易平台&gt;企业端&gt;我的项目”，点击“项目流程”，在打开的“项目管理”对话框中选择“上传投标文件”，上传加密的电子投标文件。上传成功后，电子化平台将予以记录。 </w:t>
      </w:r>
    </w:p>
    <w:p w14:paraId="67D6EE97">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19．迟交的投标文件</w:t>
      </w:r>
    </w:p>
    <w:p w14:paraId="5251544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19.1按照投标人须知的规定，采购代理机构将拒绝接受在规定的投标截止时间后递交的任何投标文件。</w:t>
      </w:r>
    </w:p>
    <w:p w14:paraId="6270F068">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20．投标的修改与撤回</w:t>
      </w:r>
    </w:p>
    <w:p w14:paraId="6D34239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20.1 投标人在递交投标文件后，可以修改或撤回其投标文件，也可以提出价格变动声明，但投标人必须在规定的投标截止时间之前将修改或撤回或变动价格的书面通知文件递交到采购代理机构。</w:t>
      </w:r>
    </w:p>
    <w:p w14:paraId="7A053DE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20.2 投标人的修改或撤回或变动价格的通知应按本须知第17条的规定编制、密封、标记和递交。</w:t>
      </w:r>
    </w:p>
    <w:p w14:paraId="51BD341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20.3 在投标截止时间之后，投标人不得对其投标做任何修改或撤回。</w:t>
      </w:r>
    </w:p>
    <w:p w14:paraId="7251D20D">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ascii="宋体" w:hAnsi="宋体" w:eastAsia="宋体" w:cs="宋体"/>
          <w:b/>
          <w:sz w:val="32"/>
          <w:szCs w:val="32"/>
          <w:highlight w:val="none"/>
        </w:rPr>
      </w:pPr>
      <w:bookmarkStart w:id="33" w:name="_Toc363473976"/>
      <w:bookmarkStart w:id="34" w:name="_Toc403077643"/>
      <w:bookmarkStart w:id="35" w:name="_Toc363474021"/>
      <w:r>
        <w:rPr>
          <w:rFonts w:hint="eastAsia" w:ascii="宋体" w:hAnsi="宋体" w:eastAsia="宋体" w:cs="宋体"/>
          <w:b/>
          <w:sz w:val="32"/>
          <w:szCs w:val="32"/>
          <w:highlight w:val="none"/>
          <w:lang w:bidi="ar"/>
        </w:rPr>
        <w:t>五.开标与评标</w:t>
      </w:r>
      <w:bookmarkEnd w:id="33"/>
      <w:bookmarkEnd w:id="34"/>
      <w:bookmarkEnd w:id="35"/>
    </w:p>
    <w:p w14:paraId="53B21179">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21.开标</w:t>
      </w:r>
    </w:p>
    <w:p w14:paraId="03234A1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21.1采购代理机构在规定的时间和地点组织公开开标。开标时所有投标人代表自愿参加，不参加的视为认同开标结果，参加开标的代表应签到以证明其出席</w:t>
      </w:r>
      <w:r>
        <w:rPr>
          <w:rFonts w:hint="eastAsia" w:ascii="宋体" w:hAnsi="宋体" w:eastAsia="宋体" w:cs="宋体"/>
          <w:sz w:val="24"/>
          <w:highlight w:val="none"/>
          <w:lang w:val="en-US" w:eastAsia="zh-CN" w:bidi="ar"/>
        </w:rPr>
        <w:t>；</w:t>
      </w:r>
    </w:p>
    <w:p w14:paraId="7980EC4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21.2开标时，由投标人将电子投标文件解密后，由采购代理机构工作人员当众宣布投标人名称、投标价格、价格折扣、</w:t>
      </w:r>
      <w:r>
        <w:rPr>
          <w:rFonts w:hint="eastAsia" w:ascii="宋体" w:hAnsi="宋体" w:eastAsia="宋体" w:cs="宋体"/>
          <w:sz w:val="24"/>
          <w:highlight w:val="none"/>
          <w:lang w:eastAsia="zh-CN" w:bidi="ar"/>
        </w:rPr>
        <w:t>交货安装期</w:t>
      </w:r>
      <w:r>
        <w:rPr>
          <w:rFonts w:hint="eastAsia" w:ascii="宋体" w:hAnsi="宋体" w:eastAsia="宋体" w:cs="宋体"/>
          <w:sz w:val="24"/>
          <w:highlight w:val="none"/>
          <w:lang w:bidi="ar"/>
        </w:rPr>
        <w:t>、质保期等修改或撤回或变动价格的书面通知（如果有），以及采购代理机构认为合适的其他内容。未在开标时宣读的投标价格和价格折扣，评标时不予承认，询问各供应商无异议后，进入评审环节。</w:t>
      </w:r>
    </w:p>
    <w:p w14:paraId="0F7C8AC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21.3只有在开标时唱出的价格和价格变动声明，评标时才能考虑。</w:t>
      </w:r>
    </w:p>
    <w:p w14:paraId="73E648C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21.4采购代理机构将做开标记录，存档备查。</w:t>
      </w:r>
    </w:p>
    <w:p w14:paraId="6798C495">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21.5投标人不足3家的，不得开标。</w:t>
      </w:r>
    </w:p>
    <w:p w14:paraId="437D9C3B">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22．评标组织及评标原则</w:t>
      </w:r>
    </w:p>
    <w:p w14:paraId="1235205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lang w:bidi="ar"/>
        </w:rPr>
      </w:pPr>
      <w:r>
        <w:rPr>
          <w:rFonts w:hint="eastAsia" w:ascii="宋体" w:hAnsi="宋体" w:eastAsia="宋体" w:cs="宋体"/>
          <w:sz w:val="24"/>
          <w:highlight w:val="none"/>
          <w:lang w:bidi="ar"/>
        </w:rPr>
        <w:t>22.1按照《中华人民共和国政府采购法》、《中华人民共和国政府采购法实施条例》和《政府采购货物和服务招标投标管理办法》的规定，依法组建评标委员会。评标委员会由采购人代表和评审专家组成，成员人数应当为5人以上单数（符合下列情形之一的，评标委员会成员人数应当为</w:t>
      </w:r>
      <w:r>
        <w:rPr>
          <w:rFonts w:ascii="宋体" w:hAnsi="宋体" w:eastAsia="宋体" w:cs="宋体"/>
          <w:sz w:val="24"/>
          <w:highlight w:val="none"/>
          <w:lang w:bidi="ar"/>
        </w:rPr>
        <w:t>7</w:t>
      </w:r>
      <w:r>
        <w:rPr>
          <w:rFonts w:hint="eastAsia" w:ascii="宋体" w:hAnsi="宋体" w:eastAsia="宋体" w:cs="宋体"/>
          <w:sz w:val="24"/>
          <w:highlight w:val="none"/>
          <w:lang w:bidi="ar"/>
        </w:rPr>
        <w:t>人以上单数</w:t>
      </w:r>
      <w:r>
        <w:rPr>
          <w:rFonts w:ascii="宋体" w:hAnsi="宋体" w:eastAsia="宋体" w:cs="宋体"/>
          <w:sz w:val="24"/>
          <w:highlight w:val="none"/>
          <w:lang w:bidi="ar"/>
        </w:rPr>
        <w:fldChar w:fldCharType="begin"/>
      </w:r>
      <w:r>
        <w:rPr>
          <w:rFonts w:ascii="宋体" w:hAnsi="宋体" w:eastAsia="宋体" w:cs="宋体"/>
          <w:sz w:val="24"/>
          <w:highlight w:val="none"/>
          <w:lang w:bidi="ar"/>
        </w:rPr>
        <w:instrText xml:space="preserve"> EQ \o\ac(</w:instrText>
      </w:r>
      <w:r>
        <w:rPr>
          <w:rFonts w:hint="eastAsia" w:ascii="宋体" w:hAnsi="宋体" w:eastAsia="宋体" w:cs="宋体"/>
          <w:sz w:val="24"/>
          <w:highlight w:val="none"/>
          <w:lang w:bidi="ar"/>
        </w:rPr>
        <w:instrText xml:space="preserve">○</w:instrText>
      </w:r>
      <w:r>
        <w:rPr>
          <w:rFonts w:ascii="宋体" w:hAnsi="宋体" w:eastAsia="宋体" w:cs="宋体"/>
          <w:sz w:val="24"/>
          <w:highlight w:val="none"/>
          <w:lang w:bidi="ar"/>
        </w:rPr>
        <w:instrText xml:space="preserve">,1)</w:instrText>
      </w:r>
      <w:r>
        <w:rPr>
          <w:rFonts w:ascii="宋体" w:hAnsi="宋体" w:eastAsia="宋体" w:cs="宋体"/>
          <w:sz w:val="24"/>
          <w:highlight w:val="none"/>
          <w:lang w:bidi="ar"/>
        </w:rPr>
        <w:fldChar w:fldCharType="end"/>
      </w:r>
      <w:r>
        <w:rPr>
          <w:rFonts w:hint="eastAsia" w:ascii="宋体" w:hAnsi="宋体" w:eastAsia="宋体" w:cs="宋体"/>
          <w:sz w:val="24"/>
          <w:highlight w:val="none"/>
          <w:lang w:bidi="ar"/>
        </w:rPr>
        <w:t>采购预算金额在</w:t>
      </w:r>
      <w:r>
        <w:rPr>
          <w:rFonts w:ascii="宋体" w:hAnsi="宋体" w:eastAsia="宋体" w:cs="宋体"/>
          <w:sz w:val="24"/>
          <w:highlight w:val="none"/>
          <w:lang w:bidi="ar"/>
        </w:rPr>
        <w:t>1000</w:t>
      </w:r>
      <w:r>
        <w:rPr>
          <w:rFonts w:hint="eastAsia" w:ascii="宋体" w:hAnsi="宋体" w:eastAsia="宋体" w:cs="宋体"/>
          <w:sz w:val="24"/>
          <w:highlight w:val="none"/>
          <w:lang w:bidi="ar"/>
        </w:rPr>
        <w:t>万元以上；</w:t>
      </w:r>
      <w:r>
        <w:rPr>
          <w:rFonts w:ascii="宋体" w:hAnsi="宋体" w:eastAsia="宋体" w:cs="宋体"/>
          <w:sz w:val="24"/>
          <w:highlight w:val="none"/>
          <w:lang w:bidi="ar"/>
        </w:rPr>
        <w:fldChar w:fldCharType="begin"/>
      </w:r>
      <w:r>
        <w:rPr>
          <w:rFonts w:ascii="宋体" w:hAnsi="宋体" w:eastAsia="宋体" w:cs="宋体"/>
          <w:sz w:val="24"/>
          <w:highlight w:val="none"/>
          <w:lang w:bidi="ar"/>
        </w:rPr>
        <w:instrText xml:space="preserve"> EQ \o\ac(</w:instrText>
      </w:r>
      <w:r>
        <w:rPr>
          <w:rFonts w:hint="eastAsia" w:ascii="宋体" w:hAnsi="宋体" w:eastAsia="宋体" w:cs="宋体"/>
          <w:sz w:val="24"/>
          <w:highlight w:val="none"/>
          <w:lang w:bidi="ar"/>
        </w:rPr>
        <w:instrText xml:space="preserve">○</w:instrText>
      </w:r>
      <w:r>
        <w:rPr>
          <w:rFonts w:ascii="宋体" w:hAnsi="宋体" w:eastAsia="宋体" w:cs="宋体"/>
          <w:sz w:val="24"/>
          <w:highlight w:val="none"/>
          <w:lang w:bidi="ar"/>
        </w:rPr>
        <w:instrText xml:space="preserve">,2)</w:instrText>
      </w:r>
      <w:r>
        <w:rPr>
          <w:rFonts w:ascii="宋体" w:hAnsi="宋体" w:eastAsia="宋体" w:cs="宋体"/>
          <w:sz w:val="24"/>
          <w:highlight w:val="none"/>
          <w:lang w:bidi="ar"/>
        </w:rPr>
        <w:fldChar w:fldCharType="end"/>
      </w:r>
      <w:r>
        <w:rPr>
          <w:rFonts w:hint="eastAsia" w:ascii="宋体" w:hAnsi="宋体" w:eastAsia="宋体" w:cs="宋体"/>
          <w:sz w:val="24"/>
          <w:highlight w:val="none"/>
          <w:lang w:bidi="ar"/>
        </w:rPr>
        <w:t>技术复杂；</w:t>
      </w:r>
      <w:r>
        <w:rPr>
          <w:rFonts w:ascii="宋体" w:hAnsi="宋体" w:eastAsia="宋体" w:cs="宋体"/>
          <w:sz w:val="24"/>
          <w:highlight w:val="none"/>
          <w:lang w:bidi="ar"/>
        </w:rPr>
        <w:fldChar w:fldCharType="begin"/>
      </w:r>
      <w:r>
        <w:rPr>
          <w:rFonts w:ascii="宋体" w:hAnsi="宋体" w:eastAsia="宋体" w:cs="宋体"/>
          <w:sz w:val="24"/>
          <w:highlight w:val="none"/>
          <w:lang w:bidi="ar"/>
        </w:rPr>
        <w:instrText xml:space="preserve"> EQ \o\ac(</w:instrText>
      </w:r>
      <w:r>
        <w:rPr>
          <w:rFonts w:hint="eastAsia" w:ascii="宋体" w:hAnsi="宋体" w:eastAsia="宋体" w:cs="宋体"/>
          <w:sz w:val="24"/>
          <w:highlight w:val="none"/>
          <w:lang w:bidi="ar"/>
        </w:rPr>
        <w:instrText xml:space="preserve">○</w:instrText>
      </w:r>
      <w:r>
        <w:rPr>
          <w:rFonts w:ascii="宋体" w:hAnsi="宋体" w:eastAsia="宋体" w:cs="宋体"/>
          <w:sz w:val="24"/>
          <w:highlight w:val="none"/>
          <w:lang w:bidi="ar"/>
        </w:rPr>
        <w:instrText xml:space="preserve">,3)</w:instrText>
      </w:r>
      <w:r>
        <w:rPr>
          <w:rFonts w:ascii="宋体" w:hAnsi="宋体" w:eastAsia="宋体" w:cs="宋体"/>
          <w:sz w:val="24"/>
          <w:highlight w:val="none"/>
          <w:lang w:bidi="ar"/>
        </w:rPr>
        <w:fldChar w:fldCharType="end"/>
      </w:r>
      <w:r>
        <w:rPr>
          <w:rFonts w:hint="eastAsia" w:ascii="宋体" w:hAnsi="宋体" w:eastAsia="宋体" w:cs="宋体"/>
          <w:sz w:val="24"/>
          <w:highlight w:val="none"/>
          <w:lang w:bidi="ar"/>
        </w:rPr>
        <w:t>社会影响较大。）其中采购人代表须持有法人授权书。评标委员会按照招标文件规定的评标方法独立进行评标工作。</w:t>
      </w:r>
    </w:p>
    <w:p w14:paraId="00B471A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lang w:bidi="ar"/>
        </w:rPr>
      </w:pPr>
      <w:r>
        <w:rPr>
          <w:rFonts w:hint="eastAsia" w:ascii="宋体" w:hAnsi="宋体" w:eastAsia="宋体" w:cs="宋体"/>
          <w:sz w:val="24"/>
          <w:highlight w:val="none"/>
          <w:lang w:bidi="ar"/>
        </w:rPr>
        <w:t>22.2招标文件和投标文件是评标的依据。在评标中，不得改变招标文件中规定的评标标准、方法和中标条件。投标人不得在开标后使用任何方式对投标文件的实质性内容做任何更改。</w:t>
      </w:r>
    </w:p>
    <w:p w14:paraId="2EE0151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22.3在评标期间，对投标文件中含义不明确、同类问题表述不一致或者有明显文字和计算错误的内容，评标委员会可以书面形式（由评标委员会专家签字）要求投标人作出必要的澄清、说明或者纠正。投标人的澄清、说明或者补正应当采用书面形式，由其授权的代表签字，并不得超出投标文件的范围或者改变投标文件的实质性内容。</w:t>
      </w:r>
    </w:p>
    <w:p w14:paraId="658E644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22.4如果投标人在澄清规定期限内，未能答复或拒绝答复评委会提出的澄清要求，将由评委会根据其投标文件按最大风险进行评标。</w:t>
      </w:r>
    </w:p>
    <w:p w14:paraId="59C2F89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22.5投标人的资格审查</w:t>
      </w:r>
    </w:p>
    <w:p w14:paraId="1B3C98F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lang w:bidi="ar"/>
        </w:rPr>
      </w:pPr>
      <w:r>
        <w:rPr>
          <w:rFonts w:hint="eastAsia" w:ascii="宋体" w:hAnsi="宋体" w:eastAsia="宋体" w:cs="宋体"/>
          <w:sz w:val="24"/>
          <w:highlight w:val="none"/>
          <w:lang w:bidi="ar"/>
        </w:rPr>
        <w:t>22.5.1开标结束后，采购人或者采购代理机构应当依法对投标人的资格进行审查，资格审查合格投标人不足3家的，不得进入评标阶段。</w:t>
      </w:r>
    </w:p>
    <w:p w14:paraId="567496E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22.6投标文件的符合性审查。</w:t>
      </w:r>
    </w:p>
    <w:p w14:paraId="7A94D39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22.6.1评标委员会将审查投标文件是否完整、商务技术是否完全响应招标文件规定等。</w:t>
      </w:r>
    </w:p>
    <w:p w14:paraId="735852B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22.6.2计算错误将按以下方法更正：投标文件中开标一览表(报价表)内容与投标文件中明细表内容不一致的，以开标一览表(报价表)为准。投标文件的大写金额和小写金额不一致的，以大写金额为准；总价金额与按单价汇总金额不一致的，以单价金额计算结果为准；单价金额小数点有明显错位的，应以总价为准，并修改单价；如果投标人不接受对其错误的更正，其投标将按无效投标处理。</w:t>
      </w:r>
    </w:p>
    <w:p w14:paraId="0C41C63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22.6.3符合性审查：在详细量化评审之前，根据本须知第22.6.4条的规定，评标委员会要审查每份投标文件是否实质上响应了招标文件的要求。实质上响应的投标应该是与招标文件要求的全部条款、条件和规格参数相符，没有偏离的投标。对关键条文的偏离、保留或反对将被认为是实质上的偏离。评标委员会决定投标的响应性只根据投标文件本身的内容，而不寻求外部的证据。</w:t>
      </w:r>
    </w:p>
    <w:p w14:paraId="05E2C01E">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22.6.4实质上没有响应招标文件要求的投标将按无效投标处理。投标人不得通过修正或撤销不合要求的偏离从而使其投标成为实质性响应的投标。如发现下列情况之一的，其投标将构成非实质性响应，按无效投标处理：</w:t>
      </w:r>
    </w:p>
    <w:p w14:paraId="16DDCBD5">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1）投标人的投标报价超过采购预算</w:t>
      </w:r>
      <w:r>
        <w:rPr>
          <w:rFonts w:hint="eastAsia" w:ascii="宋体" w:hAnsi="宋体" w:eastAsia="宋体" w:cs="宋体"/>
          <w:sz w:val="24"/>
          <w:highlight w:val="none"/>
        </w:rPr>
        <w:t>或者最高限价</w:t>
      </w:r>
      <w:r>
        <w:rPr>
          <w:rFonts w:hint="eastAsia" w:ascii="宋体" w:hAnsi="宋体" w:eastAsia="宋体" w:cs="宋体"/>
          <w:sz w:val="24"/>
          <w:szCs w:val="22"/>
          <w:highlight w:val="none"/>
          <w:lang w:bidi="ar"/>
        </w:rPr>
        <w:t>的；</w:t>
      </w:r>
    </w:p>
    <w:p w14:paraId="35E078D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2）投标文件未按招标文件要求签署、盖章的；</w:t>
      </w:r>
    </w:p>
    <w:p w14:paraId="54ACDFC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3）不具备招标文件中规定的资格要求的，或不符合国家规定的；</w:t>
      </w:r>
    </w:p>
    <w:p w14:paraId="7EFFA31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4）投标书无投标人鲜章、无法定代表人或授权人签章或签章人无法定代表人/单位负责人有效委托书的；</w:t>
      </w:r>
    </w:p>
    <w:p w14:paraId="1638F24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5）投标文件未按招标文件的要求编写；</w:t>
      </w:r>
    </w:p>
    <w:p w14:paraId="010E877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6）无投标有效期或有效期达不到招标文件要求的；</w:t>
      </w:r>
    </w:p>
    <w:p w14:paraId="7416D28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7）投标单位针对同一项目递交两份或多份内容不同的投标文件，未书面声明哪一份是有效的或出现选择性报价的；</w:t>
      </w:r>
    </w:p>
    <w:p w14:paraId="686DB5F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8）投标文件存在有缺漏项；</w:t>
      </w:r>
    </w:p>
    <w:p w14:paraId="39EB5C9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9）投标人有串通投标、以他人名义投标、弄虚作假、行贿等违法行为的；</w:t>
      </w:r>
    </w:p>
    <w:p w14:paraId="3902D59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10）投标文件实质性内容不满足或未响应的（包括但不限于：</w:t>
      </w:r>
      <w:r>
        <w:rPr>
          <w:rFonts w:hint="eastAsia" w:ascii="宋体" w:hAnsi="宋体" w:eastAsia="宋体" w:cs="宋体"/>
          <w:sz w:val="24"/>
          <w:szCs w:val="22"/>
          <w:highlight w:val="none"/>
          <w:lang w:eastAsia="zh-CN" w:bidi="ar"/>
        </w:rPr>
        <w:t>交货安装期</w:t>
      </w:r>
      <w:r>
        <w:rPr>
          <w:rFonts w:hint="eastAsia" w:ascii="宋体" w:hAnsi="宋体" w:eastAsia="宋体" w:cs="宋体"/>
          <w:sz w:val="24"/>
          <w:szCs w:val="22"/>
          <w:highlight w:val="none"/>
          <w:lang w:bidi="ar"/>
        </w:rPr>
        <w:t>、质保期、付款方式等）；</w:t>
      </w:r>
    </w:p>
    <w:p w14:paraId="26F2CBB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11）投标人未经过正常渠道获取招标文件，或投标人名称与获取招标文件时登记的投标人名称不符的；</w:t>
      </w:r>
    </w:p>
    <w:p w14:paraId="3DB9756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12）存在单位负责人为同一人或者存在直接控股、管理关系的不同供应商，参加本项目政府采购活动；</w:t>
      </w:r>
    </w:p>
    <w:p w14:paraId="7CE4DA7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13）投标文件含有采购人不能接受的附加条件的；</w:t>
      </w:r>
    </w:p>
    <w:p w14:paraId="7D6F62C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14）逾期提交电子投标文件；</w:t>
      </w:r>
    </w:p>
    <w:p w14:paraId="1076CA7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15）投标人未在投标截止时间前进行签到；</w:t>
      </w:r>
    </w:p>
    <w:p w14:paraId="4D3FFBD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16）提交的投标文件与本项目不相符；</w:t>
      </w:r>
    </w:p>
    <w:p w14:paraId="38D1803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17）投标人拒绝对电子投标文件进行解密；</w:t>
      </w:r>
    </w:p>
    <w:p w14:paraId="7F65F099">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18）未在规定的时间内对电子投标文件进行解密成功的；</w:t>
      </w:r>
    </w:p>
    <w:p w14:paraId="0DC4022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19）投标人因未带CA锁、或所带CA锁与制作电子投标文件使用的CA锁不一致、或沿用旧版编制投标文件等情形，导致在规定时间内无法解密投标文件；</w:t>
      </w:r>
    </w:p>
    <w:p w14:paraId="4268F4F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20</w:t>
      </w:r>
      <w:r>
        <w:rPr>
          <w:rFonts w:hint="eastAsia" w:ascii="宋体" w:hAnsi="宋体" w:eastAsia="宋体" w:cs="宋体"/>
          <w:sz w:val="24"/>
          <w:szCs w:val="22"/>
          <w:highlight w:val="none"/>
          <w:lang w:bidi="ar"/>
        </w:rPr>
        <w:t>）</w:t>
      </w:r>
      <w:r>
        <w:rPr>
          <w:rFonts w:hint="eastAsia" w:ascii="宋体" w:hAnsi="宋体" w:eastAsia="宋体" w:cs="宋体"/>
          <w:sz w:val="24"/>
          <w:highlight w:val="none"/>
        </w:rPr>
        <w:t>上传的电子投标文件无法打开；</w:t>
      </w:r>
    </w:p>
    <w:p w14:paraId="33C9865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lang w:bidi="ar"/>
        </w:rPr>
      </w:pPr>
      <w:r>
        <w:rPr>
          <w:rFonts w:hint="eastAsia" w:ascii="宋体" w:hAnsi="宋体" w:eastAsia="宋体" w:cs="宋体"/>
          <w:sz w:val="24"/>
          <w:szCs w:val="22"/>
          <w:highlight w:val="none"/>
          <w:lang w:bidi="ar"/>
        </w:rPr>
        <w:t>21）法律、法规和招标文件规定的其他情形；</w:t>
      </w:r>
    </w:p>
    <w:p w14:paraId="0D7ABFD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szCs w:val="22"/>
          <w:highlight w:val="none"/>
        </w:rPr>
      </w:pPr>
      <w:r>
        <w:rPr>
          <w:rFonts w:hint="eastAsia" w:ascii="宋体" w:hAnsi="宋体" w:eastAsia="宋体" w:cs="宋体"/>
          <w:sz w:val="24"/>
          <w:szCs w:val="22"/>
          <w:highlight w:val="none"/>
          <w:lang w:bidi="ar"/>
        </w:rPr>
        <w:t>22）评标委员会认为投标人的报价明显低于其他通过符合性审查投标人的报价，或者其报价有可能影响产品质量或者不能诚信履约的，应当要求其在评标现场合理的时间内提供书面说明，必要时递交相关证明材料；投标人不能证明其报价合理性的，评标委员会应当将其作为无效投标处理。</w:t>
      </w:r>
    </w:p>
    <w:p w14:paraId="3AFFA97B">
      <w:pPr>
        <w:keepNext w:val="0"/>
        <w:keepLines w:val="0"/>
        <w:pageBreakBefore w:val="0"/>
        <w:widowControl w:val="0"/>
        <w:shd w:val="clear"/>
        <w:tabs>
          <w:tab w:val="left" w:pos="1260"/>
        </w:tabs>
        <w:kinsoku/>
        <w:wordWrap/>
        <w:overflowPunct/>
        <w:topLinePunct w:val="0"/>
        <w:autoSpaceDE/>
        <w:autoSpaceDN/>
        <w:bidi w:val="0"/>
        <w:adjustRightInd/>
        <w:snapToGrid/>
        <w:spacing w:line="360" w:lineRule="auto"/>
        <w:ind w:firstLine="456" w:firstLineChars="200"/>
        <w:textAlignment w:val="auto"/>
        <w:rPr>
          <w:rFonts w:ascii="宋体" w:hAnsi="宋体" w:eastAsia="宋体" w:cs="宋体"/>
          <w:spacing w:val="-6"/>
          <w:sz w:val="24"/>
          <w:szCs w:val="20"/>
          <w:highlight w:val="none"/>
        </w:rPr>
      </w:pPr>
      <w:r>
        <w:rPr>
          <w:rFonts w:hint="eastAsia" w:ascii="宋体" w:hAnsi="宋体" w:eastAsia="宋体" w:cs="宋体"/>
          <w:spacing w:val="-6"/>
          <w:sz w:val="24"/>
          <w:szCs w:val="20"/>
          <w:highlight w:val="none"/>
          <w:lang w:bidi="ar"/>
        </w:rPr>
        <w:t>22.6.5有下列情形之一的，视为投标人串通投标，其投标无效：</w:t>
      </w:r>
    </w:p>
    <w:p w14:paraId="0A5D5A49">
      <w:pPr>
        <w:keepNext w:val="0"/>
        <w:keepLines w:val="0"/>
        <w:pageBreakBefore w:val="0"/>
        <w:widowControl w:val="0"/>
        <w:shd w:val="clear"/>
        <w:tabs>
          <w:tab w:val="left" w:pos="1260"/>
        </w:tabs>
        <w:kinsoku/>
        <w:wordWrap/>
        <w:overflowPunct/>
        <w:topLinePunct w:val="0"/>
        <w:autoSpaceDE/>
        <w:autoSpaceDN/>
        <w:bidi w:val="0"/>
        <w:adjustRightInd/>
        <w:snapToGrid/>
        <w:spacing w:line="360" w:lineRule="auto"/>
        <w:ind w:firstLine="456" w:firstLineChars="200"/>
        <w:textAlignment w:val="auto"/>
        <w:rPr>
          <w:rFonts w:ascii="宋体" w:hAnsi="宋体" w:eastAsia="宋体" w:cs="宋体"/>
          <w:spacing w:val="-6"/>
          <w:sz w:val="24"/>
          <w:szCs w:val="20"/>
          <w:highlight w:val="none"/>
        </w:rPr>
      </w:pPr>
      <w:r>
        <w:rPr>
          <w:rFonts w:hint="eastAsia" w:ascii="宋体" w:hAnsi="宋体" w:eastAsia="宋体" w:cs="宋体"/>
          <w:spacing w:val="-6"/>
          <w:sz w:val="24"/>
          <w:szCs w:val="20"/>
          <w:highlight w:val="none"/>
          <w:lang w:bidi="ar"/>
        </w:rPr>
        <w:t>22.6.5.1不同投标人的投标文件由同一单位或者个人编制；</w:t>
      </w:r>
    </w:p>
    <w:p w14:paraId="757E66B5">
      <w:pPr>
        <w:keepNext w:val="0"/>
        <w:keepLines w:val="0"/>
        <w:pageBreakBefore w:val="0"/>
        <w:widowControl w:val="0"/>
        <w:shd w:val="clear"/>
        <w:tabs>
          <w:tab w:val="left" w:pos="1260"/>
        </w:tabs>
        <w:kinsoku/>
        <w:wordWrap/>
        <w:overflowPunct/>
        <w:topLinePunct w:val="0"/>
        <w:autoSpaceDE/>
        <w:autoSpaceDN/>
        <w:bidi w:val="0"/>
        <w:adjustRightInd/>
        <w:snapToGrid/>
        <w:spacing w:line="360" w:lineRule="auto"/>
        <w:ind w:firstLine="456" w:firstLineChars="200"/>
        <w:textAlignment w:val="auto"/>
        <w:rPr>
          <w:rFonts w:ascii="宋体" w:hAnsi="宋体" w:eastAsia="宋体" w:cs="宋体"/>
          <w:spacing w:val="-6"/>
          <w:sz w:val="24"/>
          <w:szCs w:val="20"/>
          <w:highlight w:val="none"/>
        </w:rPr>
      </w:pPr>
      <w:r>
        <w:rPr>
          <w:rFonts w:hint="eastAsia" w:ascii="宋体" w:hAnsi="宋体" w:eastAsia="宋体" w:cs="宋体"/>
          <w:spacing w:val="-6"/>
          <w:sz w:val="24"/>
          <w:szCs w:val="20"/>
          <w:highlight w:val="none"/>
          <w:lang w:bidi="ar"/>
        </w:rPr>
        <w:t>22.6.5.2不同投标人委托同一单位或者个人办理投标事宜；</w:t>
      </w:r>
    </w:p>
    <w:p w14:paraId="5A0F2FD5">
      <w:pPr>
        <w:keepNext w:val="0"/>
        <w:keepLines w:val="0"/>
        <w:pageBreakBefore w:val="0"/>
        <w:widowControl w:val="0"/>
        <w:shd w:val="clear"/>
        <w:tabs>
          <w:tab w:val="left" w:pos="1260"/>
        </w:tabs>
        <w:kinsoku/>
        <w:wordWrap/>
        <w:overflowPunct/>
        <w:topLinePunct w:val="0"/>
        <w:autoSpaceDE/>
        <w:autoSpaceDN/>
        <w:bidi w:val="0"/>
        <w:adjustRightInd/>
        <w:snapToGrid/>
        <w:spacing w:line="360" w:lineRule="auto"/>
        <w:ind w:firstLine="456" w:firstLineChars="200"/>
        <w:textAlignment w:val="auto"/>
        <w:rPr>
          <w:rFonts w:ascii="宋体" w:hAnsi="宋体" w:eastAsia="宋体" w:cs="宋体"/>
          <w:spacing w:val="-6"/>
          <w:sz w:val="24"/>
          <w:szCs w:val="20"/>
          <w:highlight w:val="none"/>
        </w:rPr>
      </w:pPr>
      <w:r>
        <w:rPr>
          <w:rFonts w:hint="eastAsia" w:ascii="宋体" w:hAnsi="宋体" w:eastAsia="宋体" w:cs="宋体"/>
          <w:spacing w:val="-6"/>
          <w:sz w:val="24"/>
          <w:szCs w:val="20"/>
          <w:highlight w:val="none"/>
          <w:lang w:bidi="ar"/>
        </w:rPr>
        <w:t>22.6.5.3不同投标人的投标文件载明的项目管理成员或者联系人员为同一人；</w:t>
      </w:r>
    </w:p>
    <w:p w14:paraId="1CE25CA9">
      <w:pPr>
        <w:keepNext w:val="0"/>
        <w:keepLines w:val="0"/>
        <w:pageBreakBefore w:val="0"/>
        <w:widowControl w:val="0"/>
        <w:shd w:val="clear"/>
        <w:tabs>
          <w:tab w:val="left" w:pos="1260"/>
        </w:tabs>
        <w:kinsoku/>
        <w:wordWrap/>
        <w:overflowPunct/>
        <w:topLinePunct w:val="0"/>
        <w:autoSpaceDE/>
        <w:autoSpaceDN/>
        <w:bidi w:val="0"/>
        <w:adjustRightInd/>
        <w:snapToGrid/>
        <w:spacing w:line="360" w:lineRule="auto"/>
        <w:ind w:firstLine="456" w:firstLineChars="200"/>
        <w:textAlignment w:val="auto"/>
        <w:rPr>
          <w:rFonts w:ascii="宋体" w:hAnsi="宋体" w:eastAsia="宋体" w:cs="宋体"/>
          <w:spacing w:val="-6"/>
          <w:sz w:val="24"/>
          <w:szCs w:val="20"/>
          <w:highlight w:val="none"/>
        </w:rPr>
      </w:pPr>
      <w:r>
        <w:rPr>
          <w:rFonts w:hint="eastAsia" w:ascii="宋体" w:hAnsi="宋体" w:eastAsia="宋体" w:cs="宋体"/>
          <w:spacing w:val="-6"/>
          <w:sz w:val="24"/>
          <w:szCs w:val="20"/>
          <w:highlight w:val="none"/>
          <w:lang w:bidi="ar"/>
        </w:rPr>
        <w:t>22.6.5.4不同投标人的投标文件异常一致或者投标报价呈规律性差异；</w:t>
      </w:r>
    </w:p>
    <w:p w14:paraId="6B27B69F">
      <w:pPr>
        <w:keepNext w:val="0"/>
        <w:keepLines w:val="0"/>
        <w:pageBreakBefore w:val="0"/>
        <w:widowControl w:val="0"/>
        <w:shd w:val="clear"/>
        <w:tabs>
          <w:tab w:val="left" w:pos="1260"/>
        </w:tabs>
        <w:kinsoku/>
        <w:wordWrap/>
        <w:overflowPunct/>
        <w:topLinePunct w:val="0"/>
        <w:autoSpaceDE/>
        <w:autoSpaceDN/>
        <w:bidi w:val="0"/>
        <w:adjustRightInd/>
        <w:snapToGrid/>
        <w:spacing w:line="360" w:lineRule="auto"/>
        <w:ind w:firstLine="456" w:firstLineChars="200"/>
        <w:textAlignment w:val="auto"/>
        <w:rPr>
          <w:rFonts w:ascii="宋体" w:hAnsi="宋体" w:eastAsia="宋体" w:cs="宋体"/>
          <w:spacing w:val="-6"/>
          <w:sz w:val="24"/>
          <w:szCs w:val="20"/>
          <w:highlight w:val="none"/>
        </w:rPr>
      </w:pPr>
      <w:r>
        <w:rPr>
          <w:rFonts w:hint="eastAsia" w:ascii="宋体" w:hAnsi="宋体" w:eastAsia="宋体" w:cs="宋体"/>
          <w:spacing w:val="-6"/>
          <w:sz w:val="24"/>
          <w:szCs w:val="20"/>
          <w:highlight w:val="none"/>
          <w:lang w:bidi="ar"/>
        </w:rPr>
        <w:t>22.6.5.5不同投标人的投标文件相互混装；</w:t>
      </w:r>
    </w:p>
    <w:p w14:paraId="281C8BA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22.7投标文件的详细评审</w:t>
      </w:r>
    </w:p>
    <w:p w14:paraId="05D9606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22.7.1评标委员会将按照本须知第22.6.4条规定，只对确定为实质性响应招标文件要求的投标进行详细评审。</w:t>
      </w:r>
    </w:p>
    <w:p w14:paraId="65C1656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22.7.2详细评审按照第六章“评标方法”的评标方法进行。</w:t>
      </w:r>
    </w:p>
    <w:p w14:paraId="56DFBA0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22.8中标候选人的确定</w:t>
      </w:r>
    </w:p>
    <w:p w14:paraId="4DC29EBE">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评标委员会完成评标后，向采购人提出书面评标报告，并推荐三名中标候选人，标明排列顺序。</w:t>
      </w:r>
    </w:p>
    <w:p w14:paraId="36B3FE31">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23．评标过程的保密</w:t>
      </w:r>
    </w:p>
    <w:p w14:paraId="36EE5A9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23.1评标委员会成员和与评标活动有关的工作人员不得泄露有关投标文件的评审和比较、中标候选人的推荐以及与评标有关的其他情况。</w:t>
      </w:r>
    </w:p>
    <w:p w14:paraId="02A4CED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23.2在评标过程中，如果投标人试图在投标文件的评审和比较、中标候选人的推荐以及与评标有关的其他方面，向评标人、采购人和采购代理机构施加任何影响，应予废标。</w:t>
      </w:r>
    </w:p>
    <w:p w14:paraId="7D7FA9DC">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24．评标方法</w:t>
      </w:r>
    </w:p>
    <w:p w14:paraId="33A7777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24.1按照中华人民共和国财政部第87号部长令--《政府采购货物和服务招标投标管理办法》的规定，本次评标采用以下评标方法中的一种：具体见“投标人须知前附表”。</w:t>
      </w:r>
    </w:p>
    <w:p w14:paraId="5EDB621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1）最低评标价法，即在全部满足招标文件实质性要求前提下，依据统一的价格要素评定最低报价，以提出最低报价的投标人作为中标候选投标人并依次排序。</w:t>
      </w:r>
    </w:p>
    <w:p w14:paraId="75F0D00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综合评分法，即在最大限度地满足招标文件实质性要求前提下，按照招标文件中规定的各项因素（包括技术、商务、质量、服务、对招标文件的响应程度等）和相应的权重分值进行综合评审后，以总得分最高的投标人作为中标候选人并依次排序。</w:t>
      </w:r>
    </w:p>
    <w:p w14:paraId="330A38A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3）采用最低评标价法的采购项目，提供核心产品为相同品牌产品的不同投标人参加同一合同项目投标的，以其中通过资格审查、符合性审查且报价最低的参加评标；报价相同的，由采购人或者采购人委托评标委员会按照招标文件规定的方式确定一个参加评标的投标人，招标文件未规定的采取随机抽取方式确定，其他投标无效。</w:t>
      </w:r>
    </w:p>
    <w:p w14:paraId="1365AA4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4）使用综合评分法的采购项目，提供核心产品为相同品牌产品且通过资格审查、符合性审查的不同投标人参加同一合同项下投标的，按一家投标人计算，评审后得分最高的同品牌投标人获得中标候选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14:paraId="7C9C3DE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5）非单一产品采购项目，采购人应当根据采购项目技术构成、产品价格比重等合理确定核心产品。多家投标人提供的核心产品品牌相同的，按前两款规定处理。</w:t>
      </w:r>
    </w:p>
    <w:p w14:paraId="09F074BF">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25．评标程序</w:t>
      </w:r>
    </w:p>
    <w:p w14:paraId="6FC610B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highlight w:val="none"/>
        </w:rPr>
      </w:pPr>
      <w:r>
        <w:rPr>
          <w:rFonts w:hint="eastAsia" w:ascii="宋体" w:hAnsi="宋体" w:eastAsia="宋体" w:cs="宋体"/>
          <w:sz w:val="24"/>
          <w:highlight w:val="none"/>
          <w:lang w:bidi="ar"/>
        </w:rPr>
        <w:t>按照投标文件初审、澄清有关问题、比较与评价、推荐中标候选人名单的工作程序进行评标。在上一步评审中投标人被按无效投标处理的或被废标者，不进入下一步的评审。</w:t>
      </w:r>
    </w:p>
    <w:p w14:paraId="0A7DACE0">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ascii="宋体" w:hAnsi="宋体" w:eastAsia="宋体" w:cs="宋体"/>
          <w:b/>
          <w:sz w:val="32"/>
          <w:szCs w:val="32"/>
          <w:highlight w:val="none"/>
        </w:rPr>
      </w:pPr>
      <w:bookmarkStart w:id="36" w:name="_Toc403077644"/>
      <w:bookmarkStart w:id="37" w:name="_Toc363474022"/>
      <w:bookmarkStart w:id="38" w:name="_Toc363473977"/>
      <w:r>
        <w:rPr>
          <w:rFonts w:hint="eastAsia" w:ascii="宋体" w:hAnsi="宋体" w:eastAsia="宋体" w:cs="宋体"/>
          <w:b/>
          <w:sz w:val="32"/>
          <w:szCs w:val="32"/>
          <w:highlight w:val="none"/>
          <w:lang w:bidi="ar"/>
        </w:rPr>
        <w:t>六.定标、中标通知与签约</w:t>
      </w:r>
      <w:bookmarkEnd w:id="36"/>
      <w:bookmarkEnd w:id="37"/>
      <w:bookmarkEnd w:id="38"/>
    </w:p>
    <w:p w14:paraId="502EEDE1">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26．定标程序</w:t>
      </w:r>
    </w:p>
    <w:p w14:paraId="678F14D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26.1评标委员会根据评标方法的规定对投标人进行评审排序，推荐第一、第二、第三名中标候选人，作为评标结果。评标结果由评标委员会成员签字确认。</w:t>
      </w:r>
    </w:p>
    <w:p w14:paraId="2620303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26.2采购人根据评标报告中推荐的中标候选人排列顺序，确定排名第一的为中标人。</w:t>
      </w:r>
    </w:p>
    <w:p w14:paraId="4A21707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26.3</w:t>
      </w:r>
      <w:r>
        <w:rPr>
          <w:rFonts w:hint="eastAsia" w:ascii="宋体" w:hAnsi="宋体" w:eastAsia="宋体" w:cs="宋体"/>
          <w:sz w:val="24"/>
          <w:szCs w:val="20"/>
          <w:highlight w:val="none"/>
          <w:lang w:bidi="ar"/>
        </w:rPr>
        <w:t>排名第一的中标候选人放弃中标、在规定期限内未能签订合同、因不可抗力不能履行合同、不按照招标文件要求递交履约保证金，或者被查实存在影响中标结果的违法行为等情形，不符合中标条件的，采购人可以按照评标委员会提出的中标候选人名单排序依次确定其他中标候选人为中标人，也可以重新招标</w:t>
      </w:r>
      <w:r>
        <w:rPr>
          <w:rFonts w:hint="eastAsia" w:ascii="宋体" w:hAnsi="宋体" w:eastAsia="宋体" w:cs="宋体"/>
          <w:sz w:val="24"/>
          <w:highlight w:val="none"/>
          <w:lang w:bidi="ar"/>
        </w:rPr>
        <w:t>。</w:t>
      </w:r>
    </w:p>
    <w:p w14:paraId="419DB15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26.3采购人也可以授权评标委员会评标后直接确定中标人。</w:t>
      </w:r>
    </w:p>
    <w:p w14:paraId="5CA7970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26.4中标人确定之后，中标结果将在财政部门指定的政府采购信息发布媒体上公告，在公告中标结果的同时，采购人或者采购代理机构应当向中标人发出中标通知书；对未通过资格审查的投标人，应当告知其未通过的原因；采用综合评分法评审的，还应当告知未中标人本人的评审得分与排序。</w:t>
      </w:r>
    </w:p>
    <w:p w14:paraId="1202E0B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26.5投标人或者其他利害关系人对评标结果有异议的，应当在公示期间提出。</w:t>
      </w:r>
    </w:p>
    <w:p w14:paraId="6FD1B127">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27．中标与落标通知</w:t>
      </w:r>
    </w:p>
    <w:p w14:paraId="4DB506E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 xml:space="preserve">27.1 采购代理机构向中标人发出《中标通知书》。 </w:t>
      </w:r>
    </w:p>
    <w:p w14:paraId="589500E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27.2中标通知书对采购人和中标人具有同等法律效力。中标通知书发出之后，采购人改变中标结果，或者中标人放弃中标，应当承担相应的法律责任。</w:t>
      </w:r>
    </w:p>
    <w:p w14:paraId="3FC3C24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27.3 中标通知书发出后五个工作日内，采购代理机构将通知未中标的投标人。</w:t>
      </w:r>
    </w:p>
    <w:p w14:paraId="0D6918E3">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28. 中标合同的签订</w:t>
      </w:r>
    </w:p>
    <w:p w14:paraId="2A5A0219">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28.1采购人应当自中标通知书发出之日起</w:t>
      </w:r>
      <w:r>
        <w:rPr>
          <w:rFonts w:hint="eastAsia" w:ascii="宋体" w:hAnsi="宋体" w:eastAsia="宋体" w:cs="宋体"/>
          <w:b/>
          <w:bCs/>
          <w:sz w:val="24"/>
          <w:highlight w:val="none"/>
          <w:lang w:bidi="ar"/>
        </w:rPr>
        <w:t>十日</w:t>
      </w:r>
      <w:r>
        <w:rPr>
          <w:rFonts w:hint="eastAsia" w:ascii="宋体" w:hAnsi="宋体" w:eastAsia="宋体" w:cs="宋体"/>
          <w:sz w:val="24"/>
          <w:highlight w:val="none"/>
          <w:lang w:bidi="ar"/>
        </w:rPr>
        <w:t>内，按照招标文件和中标人投标文件（包括评标中形成的澄清文件）的约定，与中标人签订书面合同。所签订的合同不得对招标文件和中标人的投标文件（包括评标中形成的澄清文件）作实质性修改。</w:t>
      </w:r>
    </w:p>
    <w:p w14:paraId="290A24E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28.2采购人自采购合同签订之日起</w:t>
      </w:r>
      <w:r>
        <w:rPr>
          <w:rFonts w:hint="eastAsia" w:ascii="宋体" w:hAnsi="宋体" w:eastAsia="宋体" w:cs="宋体"/>
          <w:b/>
          <w:bCs/>
          <w:sz w:val="24"/>
          <w:highlight w:val="none"/>
          <w:lang w:bidi="ar"/>
        </w:rPr>
        <w:t>二个工作日</w:t>
      </w:r>
      <w:r>
        <w:rPr>
          <w:rFonts w:hint="eastAsia" w:ascii="宋体" w:hAnsi="宋体" w:eastAsia="宋体" w:cs="宋体"/>
          <w:sz w:val="24"/>
          <w:highlight w:val="none"/>
          <w:lang w:bidi="ar"/>
        </w:rPr>
        <w:t>内将采购合同副本报同级人民政府财政部门备案。</w:t>
      </w:r>
    </w:p>
    <w:p w14:paraId="671E0308">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bookmarkStart w:id="39" w:name="_Toc403077645"/>
      <w:bookmarkStart w:id="40" w:name="_Toc363474023"/>
      <w:r>
        <w:rPr>
          <w:rFonts w:hint="eastAsia" w:ascii="宋体" w:hAnsi="宋体" w:eastAsia="宋体" w:cs="宋体"/>
          <w:b/>
          <w:sz w:val="24"/>
          <w:highlight w:val="none"/>
          <w:lang w:bidi="ar"/>
        </w:rPr>
        <w:t>29．招标代理服务费</w:t>
      </w:r>
    </w:p>
    <w:p w14:paraId="1A35B93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29.1中标单位向采购代理机构一次性支付招标代理服务费。</w:t>
      </w:r>
    </w:p>
    <w:p w14:paraId="48144DE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jc w:val="left"/>
        <w:textAlignment w:val="auto"/>
        <w:rPr>
          <w:rFonts w:asciiTheme="minorEastAsia" w:hAnsiTheme="minorEastAsia" w:cstheme="minorEastAsia"/>
          <w:sz w:val="24"/>
          <w:highlight w:val="none"/>
        </w:rPr>
      </w:pPr>
      <w:r>
        <w:rPr>
          <w:rFonts w:hint="eastAsia" w:asciiTheme="minorEastAsia" w:hAnsiTheme="minorEastAsia" w:cstheme="minorEastAsia"/>
          <w:sz w:val="24"/>
          <w:highlight w:val="none"/>
        </w:rPr>
        <w:t>29.2招标代理服务费金额为：参照国家标准（国家计委计价格[2002]1980号）货物类收取。</w:t>
      </w:r>
    </w:p>
    <w:p w14:paraId="74636B95">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招标代理服务收费标准(费率)</w:t>
      </w:r>
    </w:p>
    <w:tbl>
      <w:tblPr>
        <w:tblStyle w:val="41"/>
        <w:tblW w:w="8138" w:type="dxa"/>
        <w:jc w:val="center"/>
        <w:tblCellSpacing w:w="0" w:type="dxa"/>
        <w:tblLayout w:type="fixed"/>
        <w:tblCellMar>
          <w:top w:w="0" w:type="dxa"/>
          <w:left w:w="0" w:type="dxa"/>
          <w:bottom w:w="0" w:type="dxa"/>
          <w:right w:w="0" w:type="dxa"/>
        </w:tblCellMar>
      </w:tblPr>
      <w:tblGrid>
        <w:gridCol w:w="2237"/>
        <w:gridCol w:w="2190"/>
        <w:gridCol w:w="1861"/>
        <w:gridCol w:w="1850"/>
      </w:tblGrid>
      <w:tr w14:paraId="6AF045A1">
        <w:tblPrEx>
          <w:tblCellMar>
            <w:top w:w="0" w:type="dxa"/>
            <w:left w:w="0" w:type="dxa"/>
            <w:bottom w:w="0" w:type="dxa"/>
            <w:right w:w="0" w:type="dxa"/>
          </w:tblCellMar>
        </w:tblPrEx>
        <w:trPr>
          <w:trHeight w:val="92" w:hRule="atLeast"/>
          <w:tblCellSpacing w:w="0" w:type="dxa"/>
          <w:jc w:val="center"/>
        </w:trPr>
        <w:tc>
          <w:tcPr>
            <w:tcW w:w="2237" w:type="dxa"/>
            <w:tcBorders>
              <w:top w:val="single" w:color="auto" w:sz="4" w:space="0"/>
              <w:left w:val="single" w:color="auto" w:sz="0" w:space="0"/>
              <w:bottom w:val="single" w:color="auto" w:sz="4" w:space="0"/>
              <w:right w:val="single" w:color="auto" w:sz="4" w:space="0"/>
            </w:tcBorders>
            <w:vAlign w:val="center"/>
          </w:tcPr>
          <w:p w14:paraId="069DEC6F">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中标金额（万元）</w:t>
            </w:r>
          </w:p>
        </w:tc>
        <w:tc>
          <w:tcPr>
            <w:tcW w:w="2190" w:type="dxa"/>
            <w:tcBorders>
              <w:top w:val="single" w:color="auto" w:sz="4" w:space="0"/>
              <w:left w:val="single" w:color="auto" w:sz="4" w:space="0"/>
              <w:bottom w:val="single" w:color="auto" w:sz="4" w:space="0"/>
              <w:right w:val="single" w:color="auto" w:sz="4" w:space="0"/>
            </w:tcBorders>
            <w:vAlign w:val="center"/>
          </w:tcPr>
          <w:p w14:paraId="1269C11A">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货物招标</w:t>
            </w:r>
          </w:p>
        </w:tc>
        <w:tc>
          <w:tcPr>
            <w:tcW w:w="1861" w:type="dxa"/>
            <w:tcBorders>
              <w:top w:val="single" w:color="auto" w:sz="4" w:space="0"/>
              <w:left w:val="single" w:color="auto" w:sz="4" w:space="0"/>
              <w:bottom w:val="single" w:color="auto" w:sz="4" w:space="0"/>
              <w:right w:val="single" w:color="auto" w:sz="4" w:space="0"/>
            </w:tcBorders>
            <w:vAlign w:val="center"/>
          </w:tcPr>
          <w:p w14:paraId="68766611">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服务招标</w:t>
            </w:r>
          </w:p>
        </w:tc>
        <w:tc>
          <w:tcPr>
            <w:tcW w:w="1850" w:type="dxa"/>
            <w:tcBorders>
              <w:top w:val="single" w:color="auto" w:sz="4" w:space="0"/>
              <w:left w:val="single" w:color="auto" w:sz="4" w:space="0"/>
              <w:bottom w:val="single" w:color="auto" w:sz="4" w:space="0"/>
              <w:right w:val="single" w:color="auto" w:sz="4" w:space="0"/>
            </w:tcBorders>
            <w:vAlign w:val="center"/>
          </w:tcPr>
          <w:p w14:paraId="7986A731">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工程招标</w:t>
            </w:r>
          </w:p>
        </w:tc>
      </w:tr>
      <w:tr w14:paraId="02B6E88F">
        <w:tblPrEx>
          <w:tblCellMar>
            <w:top w:w="0" w:type="dxa"/>
            <w:left w:w="0" w:type="dxa"/>
            <w:bottom w:w="0" w:type="dxa"/>
            <w:right w:w="0" w:type="dxa"/>
          </w:tblCellMar>
        </w:tblPrEx>
        <w:trPr>
          <w:trHeight w:val="90" w:hRule="atLeast"/>
          <w:tblCellSpacing w:w="0" w:type="dxa"/>
          <w:jc w:val="center"/>
        </w:trPr>
        <w:tc>
          <w:tcPr>
            <w:tcW w:w="2237" w:type="dxa"/>
            <w:tcBorders>
              <w:top w:val="single" w:color="auto" w:sz="4" w:space="0"/>
              <w:left w:val="single" w:color="auto" w:sz="4" w:space="0"/>
              <w:bottom w:val="single" w:color="auto" w:sz="4" w:space="0"/>
              <w:right w:val="single" w:color="auto" w:sz="4" w:space="0"/>
            </w:tcBorders>
            <w:vAlign w:val="center"/>
          </w:tcPr>
          <w:p w14:paraId="02F908BC">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100以下</w:t>
            </w:r>
          </w:p>
        </w:tc>
        <w:tc>
          <w:tcPr>
            <w:tcW w:w="2190" w:type="dxa"/>
            <w:tcBorders>
              <w:top w:val="single" w:color="auto" w:sz="4" w:space="0"/>
              <w:left w:val="single" w:color="auto" w:sz="4" w:space="0"/>
              <w:bottom w:val="single" w:color="auto" w:sz="4" w:space="0"/>
              <w:right w:val="single" w:color="auto" w:sz="4" w:space="0"/>
            </w:tcBorders>
            <w:vAlign w:val="center"/>
          </w:tcPr>
          <w:p w14:paraId="5C0E88D4">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1.5％</w:t>
            </w:r>
          </w:p>
        </w:tc>
        <w:tc>
          <w:tcPr>
            <w:tcW w:w="1861" w:type="dxa"/>
            <w:tcBorders>
              <w:top w:val="single" w:color="auto" w:sz="4" w:space="0"/>
              <w:left w:val="single" w:color="auto" w:sz="4" w:space="0"/>
              <w:bottom w:val="single" w:color="auto" w:sz="4" w:space="0"/>
              <w:right w:val="single" w:color="auto" w:sz="4" w:space="0"/>
            </w:tcBorders>
            <w:vAlign w:val="center"/>
          </w:tcPr>
          <w:p w14:paraId="62536DA7">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1.5％</w:t>
            </w:r>
          </w:p>
        </w:tc>
        <w:tc>
          <w:tcPr>
            <w:tcW w:w="1850" w:type="dxa"/>
            <w:tcBorders>
              <w:top w:val="single" w:color="auto" w:sz="4" w:space="0"/>
              <w:left w:val="single" w:color="auto" w:sz="4" w:space="0"/>
              <w:bottom w:val="single" w:color="auto" w:sz="4" w:space="0"/>
              <w:right w:val="single" w:color="auto" w:sz="4" w:space="0"/>
            </w:tcBorders>
            <w:vAlign w:val="center"/>
          </w:tcPr>
          <w:p w14:paraId="0BAE276D">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1.0%</w:t>
            </w:r>
          </w:p>
        </w:tc>
      </w:tr>
      <w:tr w14:paraId="31A16026">
        <w:tblPrEx>
          <w:tblCellMar>
            <w:top w:w="0" w:type="dxa"/>
            <w:left w:w="0" w:type="dxa"/>
            <w:bottom w:w="0" w:type="dxa"/>
            <w:right w:w="0" w:type="dxa"/>
          </w:tblCellMar>
        </w:tblPrEx>
        <w:trPr>
          <w:trHeight w:val="90" w:hRule="atLeast"/>
          <w:tblCellSpacing w:w="0" w:type="dxa"/>
          <w:jc w:val="center"/>
        </w:trPr>
        <w:tc>
          <w:tcPr>
            <w:tcW w:w="2237" w:type="dxa"/>
            <w:tcBorders>
              <w:top w:val="single" w:color="auto" w:sz="4" w:space="0"/>
              <w:left w:val="single" w:color="auto" w:sz="4" w:space="0"/>
              <w:bottom w:val="single" w:color="auto" w:sz="4" w:space="0"/>
              <w:right w:val="single" w:color="auto" w:sz="4" w:space="0"/>
            </w:tcBorders>
            <w:vAlign w:val="center"/>
          </w:tcPr>
          <w:p w14:paraId="50856F08">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100—500</w:t>
            </w:r>
          </w:p>
        </w:tc>
        <w:tc>
          <w:tcPr>
            <w:tcW w:w="2190" w:type="dxa"/>
            <w:tcBorders>
              <w:top w:val="single" w:color="auto" w:sz="4" w:space="0"/>
              <w:left w:val="single" w:color="auto" w:sz="4" w:space="0"/>
              <w:bottom w:val="single" w:color="auto" w:sz="4" w:space="0"/>
              <w:right w:val="single" w:color="auto" w:sz="4" w:space="0"/>
            </w:tcBorders>
            <w:vAlign w:val="center"/>
          </w:tcPr>
          <w:p w14:paraId="7DA09D72">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1.1％</w:t>
            </w:r>
          </w:p>
        </w:tc>
        <w:tc>
          <w:tcPr>
            <w:tcW w:w="1861" w:type="dxa"/>
            <w:tcBorders>
              <w:top w:val="single" w:color="auto" w:sz="4" w:space="0"/>
              <w:left w:val="single" w:color="auto" w:sz="4" w:space="0"/>
              <w:bottom w:val="single" w:color="auto" w:sz="4" w:space="0"/>
              <w:right w:val="single" w:color="auto" w:sz="4" w:space="0"/>
            </w:tcBorders>
            <w:vAlign w:val="center"/>
          </w:tcPr>
          <w:p w14:paraId="01D76BA5">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0.8％</w:t>
            </w:r>
          </w:p>
        </w:tc>
        <w:tc>
          <w:tcPr>
            <w:tcW w:w="1850" w:type="dxa"/>
            <w:tcBorders>
              <w:top w:val="single" w:color="auto" w:sz="4" w:space="0"/>
              <w:left w:val="single" w:color="auto" w:sz="4" w:space="0"/>
              <w:bottom w:val="single" w:color="auto" w:sz="4" w:space="0"/>
              <w:right w:val="single" w:color="auto" w:sz="4" w:space="0"/>
            </w:tcBorders>
            <w:vAlign w:val="center"/>
          </w:tcPr>
          <w:p w14:paraId="2238FC0D">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0.7%</w:t>
            </w:r>
          </w:p>
        </w:tc>
      </w:tr>
      <w:tr w14:paraId="389B8DD8">
        <w:tblPrEx>
          <w:tblCellMar>
            <w:top w:w="0" w:type="dxa"/>
            <w:left w:w="0" w:type="dxa"/>
            <w:bottom w:w="0" w:type="dxa"/>
            <w:right w:w="0" w:type="dxa"/>
          </w:tblCellMar>
        </w:tblPrEx>
        <w:trPr>
          <w:trHeight w:val="90" w:hRule="atLeast"/>
          <w:tblCellSpacing w:w="0" w:type="dxa"/>
          <w:jc w:val="center"/>
        </w:trPr>
        <w:tc>
          <w:tcPr>
            <w:tcW w:w="2237" w:type="dxa"/>
            <w:tcBorders>
              <w:top w:val="single" w:color="auto" w:sz="4" w:space="0"/>
              <w:left w:val="single" w:color="auto" w:sz="4" w:space="0"/>
              <w:bottom w:val="single" w:color="auto" w:sz="4" w:space="0"/>
              <w:right w:val="single" w:color="auto" w:sz="4" w:space="0"/>
            </w:tcBorders>
            <w:vAlign w:val="center"/>
          </w:tcPr>
          <w:p w14:paraId="1E391E7C">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500—1000</w:t>
            </w:r>
          </w:p>
        </w:tc>
        <w:tc>
          <w:tcPr>
            <w:tcW w:w="2190" w:type="dxa"/>
            <w:tcBorders>
              <w:top w:val="single" w:color="auto" w:sz="4" w:space="0"/>
              <w:left w:val="single" w:color="auto" w:sz="4" w:space="0"/>
              <w:bottom w:val="single" w:color="auto" w:sz="4" w:space="0"/>
              <w:right w:val="single" w:color="auto" w:sz="4" w:space="0"/>
            </w:tcBorders>
            <w:vAlign w:val="center"/>
          </w:tcPr>
          <w:p w14:paraId="517CBB5A">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0.8％</w:t>
            </w:r>
          </w:p>
        </w:tc>
        <w:tc>
          <w:tcPr>
            <w:tcW w:w="1861" w:type="dxa"/>
            <w:tcBorders>
              <w:top w:val="single" w:color="auto" w:sz="4" w:space="0"/>
              <w:left w:val="single" w:color="auto" w:sz="4" w:space="0"/>
              <w:bottom w:val="single" w:color="auto" w:sz="4" w:space="0"/>
              <w:right w:val="single" w:color="auto" w:sz="4" w:space="0"/>
            </w:tcBorders>
            <w:vAlign w:val="center"/>
          </w:tcPr>
          <w:p w14:paraId="3674DDFA">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0.45％</w:t>
            </w:r>
          </w:p>
        </w:tc>
        <w:tc>
          <w:tcPr>
            <w:tcW w:w="1850" w:type="dxa"/>
            <w:tcBorders>
              <w:top w:val="single" w:color="auto" w:sz="4" w:space="0"/>
              <w:left w:val="single" w:color="auto" w:sz="4" w:space="0"/>
              <w:bottom w:val="single" w:color="auto" w:sz="4" w:space="0"/>
              <w:right w:val="single" w:color="auto" w:sz="4" w:space="0"/>
            </w:tcBorders>
            <w:vAlign w:val="center"/>
          </w:tcPr>
          <w:p w14:paraId="20D115BE">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0.55%</w:t>
            </w:r>
          </w:p>
        </w:tc>
      </w:tr>
      <w:tr w14:paraId="1CE0524E">
        <w:tblPrEx>
          <w:tblCellMar>
            <w:top w:w="0" w:type="dxa"/>
            <w:left w:w="0" w:type="dxa"/>
            <w:bottom w:w="0" w:type="dxa"/>
            <w:right w:w="0" w:type="dxa"/>
          </w:tblCellMar>
        </w:tblPrEx>
        <w:trPr>
          <w:trHeight w:val="90" w:hRule="atLeast"/>
          <w:tblCellSpacing w:w="0" w:type="dxa"/>
          <w:jc w:val="center"/>
        </w:trPr>
        <w:tc>
          <w:tcPr>
            <w:tcW w:w="2237" w:type="dxa"/>
            <w:tcBorders>
              <w:top w:val="single" w:color="auto" w:sz="4" w:space="0"/>
              <w:left w:val="single" w:color="auto" w:sz="4" w:space="0"/>
              <w:bottom w:val="single" w:color="auto" w:sz="4" w:space="0"/>
              <w:right w:val="single" w:color="auto" w:sz="4" w:space="0"/>
            </w:tcBorders>
            <w:vAlign w:val="center"/>
          </w:tcPr>
          <w:p w14:paraId="5EFCA254">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1000—5000</w:t>
            </w:r>
          </w:p>
        </w:tc>
        <w:tc>
          <w:tcPr>
            <w:tcW w:w="2190" w:type="dxa"/>
            <w:tcBorders>
              <w:top w:val="single" w:color="auto" w:sz="4" w:space="0"/>
              <w:left w:val="single" w:color="auto" w:sz="4" w:space="0"/>
              <w:bottom w:val="single" w:color="auto" w:sz="4" w:space="0"/>
              <w:right w:val="single" w:color="auto" w:sz="4" w:space="0"/>
            </w:tcBorders>
            <w:vAlign w:val="center"/>
          </w:tcPr>
          <w:p w14:paraId="707A801D">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0.5％</w:t>
            </w:r>
          </w:p>
        </w:tc>
        <w:tc>
          <w:tcPr>
            <w:tcW w:w="1861" w:type="dxa"/>
            <w:tcBorders>
              <w:top w:val="single" w:color="auto" w:sz="4" w:space="0"/>
              <w:left w:val="single" w:color="auto" w:sz="4" w:space="0"/>
              <w:bottom w:val="single" w:color="auto" w:sz="4" w:space="0"/>
              <w:right w:val="single" w:color="auto" w:sz="4" w:space="0"/>
            </w:tcBorders>
            <w:vAlign w:val="center"/>
          </w:tcPr>
          <w:p w14:paraId="5512C142">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0.25％</w:t>
            </w:r>
          </w:p>
        </w:tc>
        <w:tc>
          <w:tcPr>
            <w:tcW w:w="1850" w:type="dxa"/>
            <w:tcBorders>
              <w:top w:val="single" w:color="auto" w:sz="4" w:space="0"/>
              <w:left w:val="single" w:color="auto" w:sz="4" w:space="0"/>
              <w:bottom w:val="single" w:color="auto" w:sz="4" w:space="0"/>
              <w:right w:val="single" w:color="auto" w:sz="4" w:space="0"/>
            </w:tcBorders>
            <w:vAlign w:val="center"/>
          </w:tcPr>
          <w:p w14:paraId="2C4FC161">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ascii="宋体" w:hAnsi="宋体" w:eastAsia="宋体" w:cs="宋体"/>
                <w:sz w:val="24"/>
                <w:highlight w:val="none"/>
              </w:rPr>
            </w:pPr>
            <w:r>
              <w:rPr>
                <w:rFonts w:hint="eastAsia" w:ascii="宋体" w:hAnsi="宋体" w:eastAsia="宋体" w:cs="宋体"/>
                <w:sz w:val="24"/>
                <w:highlight w:val="none"/>
              </w:rPr>
              <w:t>0.35%</w:t>
            </w:r>
          </w:p>
        </w:tc>
      </w:tr>
    </w:tbl>
    <w:p w14:paraId="76F19499">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b/>
          <w:sz w:val="24"/>
          <w:highlight w:val="none"/>
        </w:rPr>
      </w:pPr>
      <w:r>
        <w:rPr>
          <w:rFonts w:hint="eastAsia" w:ascii="宋体" w:hAnsi="宋体" w:eastAsia="宋体" w:cs="宋体"/>
          <w:b/>
          <w:sz w:val="24"/>
          <w:highlight w:val="none"/>
          <w:lang w:bidi="ar"/>
        </w:rPr>
        <w:t>30.其他</w:t>
      </w:r>
    </w:p>
    <w:p w14:paraId="77F6ADE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30.1投标设备符合财库［2004］185号文件精神，进入节能设备政府采购清单（有效期内）的；符合财库[2006]90号文件精神，提供证明文件，在评标方法中享受评标价格优惠折扣（详见评标方法）。</w:t>
      </w:r>
    </w:p>
    <w:p w14:paraId="7A17AB9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投标设备符合（国办发〔2007〕51号）文件精神，进入政府强制采购节能货物制度清单（有效期内）的，提供证明文件，在评标方法中享受评标价格优惠折扣（详见评标方法）。</w:t>
      </w:r>
    </w:p>
    <w:p w14:paraId="62AFF2E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投标单位属于（财库[2020]46号）文件规定的中小企业的，提供中小企业声明函（见投标文件格式附件），在评标方法中享受评标价格优惠折扣（详见评标方法）。</w:t>
      </w:r>
    </w:p>
    <w:p w14:paraId="2D10E23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投标单位属于（财库〔2017〕141号）文件规定的残疾人福利性单位，提供残疾人福利性单位声明函（见投标文件格式附件）及有相关部门的残疾人认定证明文件的，在评标方法中享受评标价格优惠折扣（详见评标方法）。</w:t>
      </w:r>
    </w:p>
    <w:p w14:paraId="4E618C3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lang w:bidi="ar"/>
        </w:rPr>
        <w:t>投标单位属于（财库〔2014〕68号）文件规定的监狱企业，提供监狱企业声明函及有相关部门的认定证明文件的，在评标方法中享受评标价格优惠折扣（详见评标方法）</w:t>
      </w:r>
    </w:p>
    <w:p w14:paraId="1195C73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30.4质疑</w:t>
      </w:r>
    </w:p>
    <w:p w14:paraId="0321364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30.4.1投标人认为招标文件、采购过程、中标结果使自己的权益受到损害的，可以在知道或者应知其权益受到损害之日起7个工作日内，以书面形式向采购人、采购代理机构提出质疑。</w:t>
      </w:r>
    </w:p>
    <w:p w14:paraId="2D041FC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30.4.2投标人必须在法定质疑期内一次性提出针对同一采购程序环节的质疑。</w:t>
      </w:r>
    </w:p>
    <w:p w14:paraId="195A90D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30.4.3投标人可以委托代理人进行质疑。代理人提出质疑的，应当递交授权委托书。授权委托书应当载明代理人的姓名或者名称、代理事项、具体权限、期限和相关事项。投标人为自然人的，应当由本人签字；投标人为法人或者其他组织的，应当由法定代表人、主要负责人签字或者盖章，并加盖公章。</w:t>
      </w:r>
    </w:p>
    <w:p w14:paraId="7329673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30.4.4以联合体形式参加政府采购活动的，其质疑应当由组成联合体的所有投标人共同提出。</w:t>
      </w:r>
    </w:p>
    <w:p w14:paraId="7496207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30.4.5投标人提出质疑应当提交质疑函和必要的证明材料。质疑函应当包括下列内容：</w:t>
      </w:r>
    </w:p>
    <w:p w14:paraId="755DA4D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30.4.5.1投标人的姓名或者名称、地址、邮编、联系人及联系电话；</w:t>
      </w:r>
    </w:p>
    <w:p w14:paraId="4EB758A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30.4.5.2质疑项目的名称、编号；</w:t>
      </w:r>
    </w:p>
    <w:p w14:paraId="511DDD0C">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30.4.5.3具体、明确的质疑事项和与质疑事项相关的请求；</w:t>
      </w:r>
    </w:p>
    <w:p w14:paraId="36C72D8A">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30.4.5.4事实依据；</w:t>
      </w:r>
    </w:p>
    <w:p w14:paraId="69F2906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30.4.5.5必要的法律依据；</w:t>
      </w:r>
    </w:p>
    <w:p w14:paraId="3B72928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30.4.5.6提出质疑的日期。</w:t>
      </w:r>
    </w:p>
    <w:p w14:paraId="6879D41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30.4.6有下列情形之一的，属于无效质疑，采购代理机构和采购人不予受理：</w:t>
      </w:r>
    </w:p>
    <w:p w14:paraId="39A59699">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30.4.6.1质疑投标人不是参与本次政府采购项目的投标人；</w:t>
      </w:r>
    </w:p>
    <w:p w14:paraId="2B599D8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30.4.6.2质疑投标人与质疑事项不存在利害关系的；</w:t>
      </w:r>
    </w:p>
    <w:p w14:paraId="66DD055D">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30.4.6.3未在法定期限内提出质疑的；</w:t>
      </w:r>
    </w:p>
    <w:p w14:paraId="33C5371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30.4.6.4质疑未以书面形式提出，或质疑函主要内容构成不完整的；</w:t>
      </w:r>
    </w:p>
    <w:p w14:paraId="0853116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30.4.6.5应当提交授权书而未提交的；</w:t>
      </w:r>
    </w:p>
    <w:p w14:paraId="1465825A">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30.4.6.6以非法手段取得证据、材料的；</w:t>
      </w:r>
    </w:p>
    <w:p w14:paraId="0B85B62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30.4.6.7质疑答复后，同一质疑人就同一事项或同一采购程序环节再次提出质疑的；</w:t>
      </w:r>
    </w:p>
    <w:p w14:paraId="2EE296A7">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30.4.6.8不符合法律、法规、规章和政府采购监管机构规定的其他条件的。</w:t>
      </w:r>
    </w:p>
    <w:p w14:paraId="7DE31191">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30.4.7质疑答复</w:t>
      </w:r>
    </w:p>
    <w:p w14:paraId="0F04B4F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30.4.7.1采购人或采购代理机构在收到质疑函后7个工作日内作出答复，并以书面形式通知质疑投标人和其他有关投标人。</w:t>
      </w:r>
    </w:p>
    <w:p w14:paraId="3283F4AB">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30.4.7.2质疑投标人对采购人、采购代理机构的答复不满意，或者采购人、采购代理机构未在规定时间内作出答复的，可以在答复期满后15个工作日内向项目所在地财政局提起投诉。</w:t>
      </w:r>
    </w:p>
    <w:p w14:paraId="1A1B8C6A">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30.4.8对捏造事实、提供虚假材料进行质疑、投诉的行为予以严肃处理。</w:t>
      </w:r>
    </w:p>
    <w:p w14:paraId="57124F35">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①《中华人民共和国政府采购法》《中华人民共和国政府采购法实施条例》《政府采购质疑和投诉办法》等法律法规的规定，投标人质疑、投诉应当有明确的请求和必要的证明材料。</w:t>
      </w:r>
    </w:p>
    <w:p w14:paraId="63B2FC2A">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②投诉人在全国范围内十二个月内三次以上投诉查无实据的，由财政部门列入不良行为记录名单。</w:t>
      </w:r>
    </w:p>
    <w:p w14:paraId="7AD3ED4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③捏造事实、提供虚假材料或者以非法手段取得证明材料的投诉将被驳回，并将提出投诉的投标人列入不良行为记录名单，禁止其一至三年内参加政府采购活动。</w:t>
      </w:r>
    </w:p>
    <w:p w14:paraId="056D0D3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30.4.9依法严惩捏造事实诬告陷害、诽谤他人的行为。</w:t>
      </w:r>
    </w:p>
    <w:p w14:paraId="17984066">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①《中华人民共和国刑法》第 243 条【诬告陷害罪】捏造事实诬告陷害他人，意图使他人受刑事追究，情节严重的，处三年以下有期徒刑、拘役或者管制；造成严重后果的，处三年以上十年以下有期徒刑。</w:t>
      </w:r>
    </w:p>
    <w:p w14:paraId="5B7013A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②《中华人民共和国刑法》第 246 条【侮辱罪、诽谤罪】以暴力或者其他方法公然侮辱他人或者捏造事实诽谤他人，情节严重的，处三年以下有期徒刑、拘役、管制或者剥夺政治权利终身。</w:t>
      </w:r>
    </w:p>
    <w:p w14:paraId="00D9DF6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3.10其他需要说明的事项</w:t>
      </w:r>
    </w:p>
    <w:p w14:paraId="56DF5F72">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3.10.1接收质疑函的方式：书面形式</w:t>
      </w:r>
    </w:p>
    <w:p w14:paraId="5C2BF1C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highlight w:val="none"/>
        </w:rPr>
      </w:pPr>
      <w:r>
        <w:rPr>
          <w:rFonts w:hint="eastAsia" w:ascii="宋体" w:hAnsi="宋体" w:eastAsia="宋体" w:cs="宋体"/>
          <w:sz w:val="24"/>
          <w:highlight w:val="none"/>
        </w:rPr>
        <w:t>联系人：</w:t>
      </w:r>
      <w:r>
        <w:rPr>
          <w:rFonts w:hint="eastAsia" w:ascii="宋体" w:hAnsi="宋体" w:eastAsia="宋体" w:cs="宋体"/>
          <w:sz w:val="24"/>
          <w:highlight w:val="none"/>
          <w:lang w:val="en-US" w:eastAsia="zh-CN"/>
        </w:rPr>
        <w:t>冯莹</w:t>
      </w:r>
      <w:r>
        <w:rPr>
          <w:rFonts w:hint="eastAsia" w:ascii="宋体" w:hAnsi="宋体" w:eastAsia="宋体" w:cs="宋体"/>
          <w:sz w:val="24"/>
          <w:highlight w:val="none"/>
        </w:rPr>
        <w:t xml:space="preserve">      联系电话：0912-8101110  </w:t>
      </w:r>
    </w:p>
    <w:p w14:paraId="63646C7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投标人和其他利害关系人认为本次招标活动违反法律、法规和规章规定的，有权向同级财政部门提出投诉，质疑是投诉的前置条件。</w:t>
      </w:r>
    </w:p>
    <w:p w14:paraId="06E61983">
      <w:pPr>
        <w:shd w:val="clear"/>
        <w:spacing w:line="360" w:lineRule="auto"/>
        <w:rPr>
          <w:rFonts w:ascii="宋体" w:hAnsi="宋体" w:eastAsia="宋体" w:cs="宋体"/>
          <w:highlight w:val="none"/>
          <w:lang w:bidi="ar"/>
        </w:rPr>
        <w:sectPr>
          <w:footerReference r:id="rId6" w:type="default"/>
          <w:pgSz w:w="11906" w:h="16838"/>
          <w:pgMar w:top="1440" w:right="1800" w:bottom="1440" w:left="1800" w:header="1135" w:footer="1135" w:gutter="0"/>
          <w:pgNumType w:fmt="decimal"/>
          <w:cols w:space="425" w:num="1"/>
          <w:docGrid w:type="lines" w:linePitch="312" w:charSpace="0"/>
        </w:sectPr>
      </w:pPr>
    </w:p>
    <w:bookmarkEnd w:id="39"/>
    <w:p w14:paraId="10D18F61">
      <w:pPr>
        <w:pStyle w:val="2"/>
        <w:shd w:val="clear"/>
        <w:rPr>
          <w:rFonts w:hint="default"/>
          <w:highlight w:val="none"/>
        </w:rPr>
      </w:pPr>
      <w:bookmarkStart w:id="41" w:name="_Toc11652"/>
      <w:bookmarkStart w:id="42" w:name="_Toc6830"/>
      <w:bookmarkStart w:id="43" w:name="_Toc389582037"/>
      <w:bookmarkStart w:id="44" w:name="_Toc26595"/>
      <w:bookmarkStart w:id="45" w:name="_Toc31520"/>
      <w:bookmarkStart w:id="46" w:name="_Toc19246"/>
      <w:bookmarkStart w:id="47" w:name="_Toc19199"/>
      <w:bookmarkStart w:id="48" w:name="_Toc29888"/>
      <w:bookmarkStart w:id="49" w:name="_Toc8333"/>
      <w:r>
        <w:rPr>
          <w:highlight w:val="none"/>
        </w:rPr>
        <w:t>第三章 商务要求</w:t>
      </w:r>
      <w:bookmarkEnd w:id="41"/>
      <w:bookmarkEnd w:id="42"/>
    </w:p>
    <w:tbl>
      <w:tblPr>
        <w:tblStyle w:val="41"/>
        <w:tblW w:w="931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778"/>
        <w:gridCol w:w="8537"/>
      </w:tblGrid>
      <w:tr w14:paraId="4702FA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1" w:hRule="atLeast"/>
          <w:jc w:val="center"/>
        </w:trPr>
        <w:tc>
          <w:tcPr>
            <w:tcW w:w="778" w:type="dxa"/>
            <w:tcBorders>
              <w:top w:val="single" w:color="auto" w:sz="12" w:space="0"/>
              <w:left w:val="single" w:color="auto" w:sz="12" w:space="0"/>
              <w:bottom w:val="single" w:color="auto" w:sz="6" w:space="0"/>
              <w:right w:val="single" w:color="auto" w:sz="6" w:space="0"/>
            </w:tcBorders>
            <w:shd w:val="clear" w:color="auto" w:fill="auto"/>
            <w:vAlign w:val="center"/>
          </w:tcPr>
          <w:p w14:paraId="3E2087ED">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条款号</w:t>
            </w:r>
          </w:p>
        </w:tc>
        <w:tc>
          <w:tcPr>
            <w:tcW w:w="8537" w:type="dxa"/>
            <w:tcBorders>
              <w:top w:val="single" w:color="auto" w:sz="12" w:space="0"/>
              <w:left w:val="single" w:color="auto" w:sz="6" w:space="0"/>
              <w:bottom w:val="single" w:color="auto" w:sz="6" w:space="0"/>
              <w:right w:val="single" w:color="auto" w:sz="12" w:space="0"/>
            </w:tcBorders>
            <w:shd w:val="clear" w:color="auto" w:fill="auto"/>
            <w:vAlign w:val="center"/>
          </w:tcPr>
          <w:p w14:paraId="32716FC2">
            <w:pPr>
              <w:shd w:val="clear"/>
              <w:spacing w:line="360" w:lineRule="auto"/>
              <w:jc w:val="center"/>
              <w:rPr>
                <w:rFonts w:ascii="宋体" w:hAnsi="宋体" w:eastAsia="宋体" w:cs="宋体"/>
                <w:b/>
                <w:sz w:val="24"/>
                <w:highlight w:val="none"/>
              </w:rPr>
            </w:pPr>
            <w:r>
              <w:rPr>
                <w:rFonts w:hint="eastAsia" w:ascii="宋体" w:hAnsi="宋体" w:eastAsia="宋体" w:cs="宋体"/>
                <w:b/>
                <w:sz w:val="24"/>
                <w:highlight w:val="none"/>
              </w:rPr>
              <w:t>内容</w:t>
            </w:r>
          </w:p>
        </w:tc>
      </w:tr>
      <w:tr w14:paraId="444BCF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744"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40EADC16">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1</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1D116FDA">
            <w:pPr>
              <w:shd w:val="clear"/>
              <w:spacing w:line="360" w:lineRule="auto"/>
              <w:rPr>
                <w:rFonts w:hint="eastAsia" w:ascii="宋体" w:hAnsi="宋体" w:eastAsia="宋体" w:cs="宋体"/>
                <w:sz w:val="24"/>
                <w:highlight w:val="none"/>
                <w:lang w:eastAsia="zh-CN"/>
              </w:rPr>
            </w:pPr>
            <w:r>
              <w:rPr>
                <w:rFonts w:hint="eastAsia" w:ascii="宋体" w:hAnsi="宋体" w:eastAsia="宋体" w:cs="宋体"/>
                <w:sz w:val="24"/>
                <w:highlight w:val="none"/>
                <w:lang w:bidi="ar"/>
              </w:rPr>
              <w:t>采购人名称：</w:t>
            </w:r>
            <w:r>
              <w:rPr>
                <w:rFonts w:hint="eastAsia" w:ascii="宋体" w:hAnsi="宋体" w:eastAsia="宋体" w:cs="宋体"/>
                <w:sz w:val="24"/>
                <w:highlight w:val="none"/>
                <w:lang w:eastAsia="zh-CN" w:bidi="ar"/>
              </w:rPr>
              <w:t>榆林市市委机关事务服务中心</w:t>
            </w:r>
          </w:p>
          <w:p w14:paraId="6CC6138C">
            <w:pPr>
              <w:shd w:val="clear"/>
              <w:spacing w:line="360" w:lineRule="auto"/>
              <w:rPr>
                <w:rFonts w:hint="eastAsia" w:ascii="宋体" w:hAnsi="宋体" w:eastAsia="宋体" w:cs="宋体"/>
                <w:sz w:val="24"/>
                <w:highlight w:val="none"/>
                <w:lang w:eastAsia="zh-CN"/>
              </w:rPr>
            </w:pPr>
            <w:r>
              <w:rPr>
                <w:rFonts w:hint="eastAsia" w:ascii="宋体" w:hAnsi="宋体" w:eastAsia="宋体" w:cs="宋体"/>
                <w:sz w:val="24"/>
                <w:highlight w:val="none"/>
                <w:lang w:bidi="ar"/>
              </w:rPr>
              <w:t>地址：</w:t>
            </w:r>
            <w:r>
              <w:rPr>
                <w:rFonts w:hint="eastAsia" w:ascii="宋体" w:hAnsi="宋体" w:eastAsia="宋体" w:cs="宋体"/>
                <w:color w:val="auto"/>
                <w:kern w:val="2"/>
                <w:sz w:val="24"/>
                <w:szCs w:val="24"/>
                <w:highlight w:val="none"/>
                <w:lang w:val="en-US" w:eastAsia="zh-CN" w:bidi="ar"/>
              </w:rPr>
              <w:t>榆林市高新技术产业开发区榆溪大道13号市委办公楼</w:t>
            </w:r>
          </w:p>
          <w:p w14:paraId="3F7E4E37">
            <w:pPr>
              <w:shd w:val="clear"/>
              <w:spacing w:line="360" w:lineRule="auto"/>
              <w:rPr>
                <w:rFonts w:hint="default" w:ascii="宋体" w:hAnsi="宋体" w:eastAsia="宋体" w:cs="宋体"/>
                <w:sz w:val="24"/>
                <w:highlight w:val="none"/>
                <w:lang w:val="en-US" w:eastAsia="zh-CN"/>
              </w:rPr>
            </w:pPr>
            <w:r>
              <w:rPr>
                <w:rFonts w:hint="eastAsia" w:ascii="宋体" w:hAnsi="宋体" w:eastAsia="宋体" w:cs="宋体"/>
                <w:sz w:val="24"/>
                <w:highlight w:val="none"/>
                <w:lang w:bidi="ar"/>
              </w:rPr>
              <w:t>项目名称：</w:t>
            </w:r>
            <w:r>
              <w:rPr>
                <w:rFonts w:hint="eastAsia" w:ascii="宋体" w:hAnsi="宋体" w:eastAsia="宋体" w:cs="宋体"/>
                <w:sz w:val="24"/>
                <w:highlight w:val="none"/>
                <w:lang w:eastAsia="zh-CN" w:bidi="ar"/>
              </w:rPr>
              <w:t>榆林市市委机关事务服务中心市委机关大院应急柴油发电机组及应急备电货物项目</w:t>
            </w:r>
          </w:p>
          <w:p w14:paraId="7372C752">
            <w:pPr>
              <w:shd w:val="clear"/>
              <w:spacing w:line="360" w:lineRule="auto"/>
              <w:rPr>
                <w:rFonts w:ascii="宋体" w:hAnsi="宋体" w:eastAsia="宋体" w:cs="宋体"/>
                <w:sz w:val="24"/>
                <w:highlight w:val="none"/>
              </w:rPr>
            </w:pPr>
            <w:r>
              <w:rPr>
                <w:rFonts w:hint="eastAsia" w:ascii="宋体" w:hAnsi="宋体" w:eastAsia="宋体" w:cs="宋体"/>
                <w:sz w:val="24"/>
                <w:highlight w:val="none"/>
              </w:rPr>
              <w:t>资金来源：财政资金</w:t>
            </w:r>
          </w:p>
        </w:tc>
      </w:tr>
      <w:tr w14:paraId="346884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5B7F78FA">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2</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1D831AAA">
            <w:pPr>
              <w:shd w:val="clear"/>
              <w:spacing w:line="360" w:lineRule="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交货地点：</w:t>
            </w:r>
            <w:r>
              <w:rPr>
                <w:rFonts w:hint="eastAsia" w:ascii="宋体" w:hAnsi="宋体" w:eastAsia="宋体" w:cs="宋体"/>
                <w:sz w:val="24"/>
                <w:highlight w:val="none"/>
                <w:lang w:eastAsia="zh-CN" w:bidi="ar"/>
              </w:rPr>
              <w:t>榆林市市委机关事务服务中心</w:t>
            </w:r>
          </w:p>
        </w:tc>
      </w:tr>
      <w:tr w14:paraId="0EDD2D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0406A418">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3</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39C246AC">
            <w:pPr>
              <w:shd w:val="clear"/>
              <w:spacing w:line="360" w:lineRule="auto"/>
              <w:rPr>
                <w:rFonts w:ascii="宋体" w:hAnsi="宋体" w:eastAsia="宋体" w:cs="宋体"/>
                <w:color w:val="auto"/>
                <w:sz w:val="24"/>
                <w:highlight w:val="none"/>
              </w:rPr>
            </w:pPr>
            <w:r>
              <w:rPr>
                <w:rFonts w:hint="eastAsia" w:ascii="宋体" w:hAnsi="宋体" w:eastAsia="宋体" w:cs="宋体"/>
                <w:color w:val="auto"/>
                <w:sz w:val="24"/>
                <w:highlight w:val="none"/>
                <w:lang w:eastAsia="zh-CN"/>
              </w:rPr>
              <w:t>交货安装期</w:t>
            </w:r>
            <w:r>
              <w:rPr>
                <w:rFonts w:hint="eastAsia" w:ascii="宋体" w:hAnsi="宋体" w:eastAsia="宋体" w:cs="宋体"/>
                <w:color w:val="auto"/>
                <w:sz w:val="24"/>
                <w:highlight w:val="none"/>
              </w:rPr>
              <w:t>：</w:t>
            </w:r>
            <w:r>
              <w:rPr>
                <w:rFonts w:hint="eastAsia" w:ascii="宋体" w:hAnsi="宋体" w:eastAsia="宋体" w:cs="宋体"/>
                <w:color w:val="auto"/>
                <w:kern w:val="0"/>
                <w:sz w:val="24"/>
                <w:szCs w:val="20"/>
                <w:highlight w:val="none"/>
                <w:lang w:eastAsia="zh-CN"/>
              </w:rPr>
              <w:t>合同签订之日起90日历天内供货安装调试完毕并验收合格</w:t>
            </w:r>
          </w:p>
        </w:tc>
      </w:tr>
      <w:tr w14:paraId="1181E3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14FA6AB6">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4</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4516AB39">
            <w:pPr>
              <w:shd w:val="clear"/>
              <w:spacing w:line="360" w:lineRule="auto"/>
            </w:pPr>
            <w:r>
              <w:rPr>
                <w:rFonts w:hint="eastAsia" w:ascii="宋体" w:hAnsi="宋体" w:eastAsia="宋体" w:cs="宋体"/>
                <w:color w:val="auto"/>
                <w:sz w:val="24"/>
                <w:highlight w:val="none"/>
              </w:rPr>
              <w:t>质保期：验收合格后</w:t>
            </w:r>
            <w:r>
              <w:rPr>
                <w:rFonts w:hint="eastAsia" w:ascii="宋体" w:hAnsi="宋体" w:eastAsia="宋体" w:cs="宋体"/>
                <w:color w:val="auto"/>
                <w:sz w:val="24"/>
                <w:highlight w:val="none"/>
                <w:lang w:eastAsia="zh-CN"/>
              </w:rPr>
              <w:t>一</w:t>
            </w:r>
            <w:r>
              <w:rPr>
                <w:rFonts w:hint="eastAsia" w:ascii="宋体" w:hAnsi="宋体" w:eastAsia="宋体" w:cs="宋体"/>
                <w:color w:val="auto"/>
                <w:sz w:val="24"/>
                <w:highlight w:val="none"/>
              </w:rPr>
              <w:t>年</w:t>
            </w:r>
          </w:p>
        </w:tc>
      </w:tr>
      <w:tr w14:paraId="1526B4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7766DF65">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5</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40B94737">
            <w:pPr>
              <w:shd w:val="clear"/>
              <w:spacing w:line="360" w:lineRule="auto"/>
              <w:rPr>
                <w:rFonts w:ascii="宋体" w:hAnsi="宋体" w:eastAsia="宋体" w:cs="宋体"/>
                <w:sz w:val="24"/>
                <w:highlight w:val="none"/>
              </w:rPr>
            </w:pPr>
            <w:r>
              <w:rPr>
                <w:rFonts w:hint="eastAsia" w:ascii="宋体" w:hAnsi="宋体" w:eastAsia="宋体" w:cs="宋体"/>
                <w:sz w:val="24"/>
                <w:highlight w:val="none"/>
                <w:lang w:bidi="ar"/>
              </w:rPr>
              <w:t>1.</w:t>
            </w:r>
            <w:r>
              <w:rPr>
                <w:rFonts w:hint="eastAsia" w:asciiTheme="minorEastAsia" w:hAnsiTheme="minorEastAsia" w:cstheme="minorEastAsia"/>
                <w:sz w:val="24"/>
                <w:highlight w:val="none"/>
              </w:rPr>
              <w:t>合同价即中标价，投标人应在投标报价表中包含但不限于完成本次招标所要求的货物、服务且验收合格的所有费用，包括货物费、运杂费（含保险）、仓储保管费、</w:t>
            </w:r>
            <w:r>
              <w:rPr>
                <w:rFonts w:hint="eastAsia" w:asciiTheme="minorEastAsia" w:hAnsiTheme="minorEastAsia" w:cstheme="minorEastAsia"/>
                <w:sz w:val="24"/>
                <w:highlight w:val="none"/>
                <w:lang w:val="en-US" w:eastAsia="zh-CN"/>
              </w:rPr>
              <w:t>安装调试费、</w:t>
            </w:r>
            <w:r>
              <w:rPr>
                <w:rFonts w:hint="eastAsia" w:asciiTheme="minorEastAsia" w:hAnsiTheme="minorEastAsia" w:cstheme="minorEastAsia"/>
                <w:color w:val="auto"/>
                <w:sz w:val="24"/>
                <w:highlight w:val="none"/>
                <w:lang w:eastAsia="zh-CN"/>
              </w:rPr>
              <w:t>改造费、人工费、</w:t>
            </w:r>
            <w:r>
              <w:rPr>
                <w:rFonts w:hint="eastAsia" w:asciiTheme="minorEastAsia" w:hAnsiTheme="minorEastAsia" w:cstheme="minorEastAsia"/>
                <w:sz w:val="24"/>
                <w:highlight w:val="none"/>
              </w:rPr>
              <w:t>验收费用、税费等其他相关费用。</w:t>
            </w:r>
          </w:p>
          <w:p w14:paraId="7C3E1025">
            <w:pPr>
              <w:shd w:val="clear"/>
              <w:spacing w:line="360" w:lineRule="auto"/>
              <w:rPr>
                <w:rFonts w:ascii="宋体" w:hAnsi="宋体" w:eastAsia="宋体" w:cs="宋体"/>
                <w:sz w:val="24"/>
                <w:highlight w:val="none"/>
              </w:rPr>
            </w:pPr>
            <w:r>
              <w:rPr>
                <w:rFonts w:hint="eastAsia" w:ascii="宋体" w:hAnsi="宋体" w:eastAsia="宋体" w:cs="宋体"/>
                <w:sz w:val="24"/>
                <w:highlight w:val="none"/>
                <w:lang w:bidi="ar"/>
              </w:rPr>
              <w:t>2.合同总价一次包死，不受市场价变化或实际工作量变化的影响。</w:t>
            </w:r>
          </w:p>
          <w:p w14:paraId="4EA22A07">
            <w:pPr>
              <w:shd w:val="clear"/>
              <w:spacing w:line="360" w:lineRule="auto"/>
              <w:rPr>
                <w:rFonts w:ascii="宋体" w:hAnsi="宋体" w:eastAsia="宋体" w:cs="宋体"/>
                <w:sz w:val="24"/>
                <w:highlight w:val="none"/>
              </w:rPr>
            </w:pPr>
            <w:r>
              <w:rPr>
                <w:rFonts w:hint="eastAsia" w:ascii="宋体" w:hAnsi="宋体" w:eastAsia="宋体" w:cs="宋体"/>
                <w:sz w:val="24"/>
                <w:highlight w:val="none"/>
                <w:lang w:bidi="ar"/>
              </w:rPr>
              <w:t>3.付款方式和程序：</w:t>
            </w:r>
          </w:p>
          <w:p w14:paraId="22B1FAAD">
            <w:pPr>
              <w:shd w:val="clear"/>
              <w:spacing w:line="360" w:lineRule="auto"/>
              <w:rPr>
                <w:rFonts w:ascii="宋体" w:hAnsi="宋体" w:eastAsia="宋体" w:cs="宋体"/>
                <w:sz w:val="24"/>
                <w:highlight w:val="none"/>
              </w:rPr>
            </w:pPr>
            <w:r>
              <w:rPr>
                <w:rFonts w:hint="eastAsia" w:ascii="宋体" w:hAnsi="宋体" w:eastAsia="宋体" w:cs="宋体"/>
                <w:sz w:val="24"/>
                <w:highlight w:val="none"/>
                <w:lang w:bidi="ar"/>
              </w:rPr>
              <w:t>（1）由采购人负责结算，在付款前，投标人必须开具发票给采购人（附详细清单）。</w:t>
            </w:r>
          </w:p>
          <w:p w14:paraId="55D4F8B2">
            <w:pPr>
              <w:shd w:val="clear"/>
              <w:spacing w:line="360" w:lineRule="auto"/>
              <w:rPr>
                <w:rFonts w:hint="eastAsia" w:ascii="宋体" w:hAnsi="宋体" w:cs="宋体" w:eastAsiaTheme="minorEastAsia"/>
                <w:sz w:val="24"/>
                <w:highlight w:val="none"/>
                <w:lang w:val="en-US" w:eastAsia="zh-CN" w:bidi="ar"/>
              </w:rPr>
            </w:pPr>
            <w:r>
              <w:rPr>
                <w:rFonts w:hint="eastAsia" w:asciiTheme="minorEastAsia" w:hAnsiTheme="minorEastAsia" w:cstheme="minorEastAsia"/>
                <w:sz w:val="24"/>
                <w:highlight w:val="none"/>
                <w:lang w:val="en-US" w:eastAsia="zh-CN"/>
              </w:rPr>
              <w:t>（2）</w:t>
            </w:r>
            <w:r>
              <w:rPr>
                <w:rFonts w:hint="eastAsia" w:asciiTheme="minorEastAsia" w:hAnsiTheme="minorEastAsia" w:cstheme="minorEastAsia"/>
                <w:sz w:val="24"/>
                <w:highlight w:val="none"/>
              </w:rPr>
              <w:t>付</w:t>
            </w:r>
            <w:r>
              <w:rPr>
                <w:rFonts w:hint="eastAsia" w:ascii="宋体" w:hAnsi="宋体" w:eastAsia="宋体" w:cs="宋体"/>
                <w:sz w:val="24"/>
                <w:highlight w:val="none"/>
                <w:lang w:bidi="ar"/>
              </w:rPr>
              <w:t>款方式：</w:t>
            </w:r>
            <w:r>
              <w:rPr>
                <w:rFonts w:hint="eastAsia" w:ascii="宋体" w:hAnsi="宋体" w:eastAsia="宋体" w:cs="宋体"/>
                <w:sz w:val="24"/>
                <w:highlight w:val="none"/>
                <w:lang w:val="en-US" w:eastAsia="zh-CN" w:bidi="ar"/>
              </w:rPr>
              <w:t>合同签订后支付总价的40%；</w:t>
            </w:r>
            <w:r>
              <w:rPr>
                <w:rFonts w:hint="eastAsia" w:cs="Times New Roman" w:asciiTheme="minorEastAsia" w:hAnsiTheme="minorEastAsia"/>
                <w:sz w:val="24"/>
              </w:rPr>
              <w:t>设备到货后，支付合同总价的30%</w:t>
            </w:r>
            <w:r>
              <w:rPr>
                <w:rFonts w:hint="eastAsia" w:cs="Times New Roman" w:asciiTheme="minorEastAsia" w:hAnsiTheme="minorEastAsia"/>
                <w:sz w:val="24"/>
                <w:lang w:eastAsia="zh-CN"/>
              </w:rPr>
              <w:t>；</w:t>
            </w:r>
            <w:r>
              <w:rPr>
                <w:rFonts w:hint="eastAsia" w:cs="Times New Roman" w:asciiTheme="minorEastAsia" w:hAnsiTheme="minorEastAsia"/>
                <w:sz w:val="24"/>
              </w:rPr>
              <w:t>设备安装调试完成、验收合格后支付合同总价的27%</w:t>
            </w:r>
            <w:r>
              <w:rPr>
                <w:rFonts w:hint="eastAsia" w:cs="Times New Roman" w:asciiTheme="minorEastAsia" w:hAnsiTheme="minorEastAsia"/>
                <w:sz w:val="24"/>
                <w:lang w:eastAsia="zh-CN"/>
              </w:rPr>
              <w:t>；</w:t>
            </w:r>
            <w:r>
              <w:rPr>
                <w:rFonts w:hint="eastAsia" w:cs="Times New Roman" w:asciiTheme="minorEastAsia" w:hAnsiTheme="minorEastAsia"/>
                <w:sz w:val="24"/>
              </w:rPr>
              <w:t>剩余3%作为质保金,项目验收一年后</w:t>
            </w:r>
            <w:r>
              <w:rPr>
                <w:rFonts w:hint="eastAsia" w:cs="Times New Roman" w:asciiTheme="minorEastAsia" w:hAnsiTheme="minorEastAsia"/>
                <w:sz w:val="24"/>
                <w:lang w:val="en-US" w:eastAsia="zh-CN"/>
              </w:rPr>
              <w:t>付清。</w:t>
            </w:r>
          </w:p>
          <w:p w14:paraId="391E5E0B">
            <w:pPr>
              <w:shd w:val="clear"/>
              <w:spacing w:line="360" w:lineRule="auto"/>
              <w:rPr>
                <w:rFonts w:ascii="宋体" w:hAnsi="宋体" w:eastAsia="宋体" w:cs="宋体"/>
                <w:sz w:val="24"/>
                <w:highlight w:val="none"/>
              </w:rPr>
            </w:pPr>
            <w:r>
              <w:rPr>
                <w:rFonts w:hint="eastAsia" w:ascii="宋体" w:hAnsi="宋体" w:eastAsia="宋体" w:cs="宋体"/>
                <w:sz w:val="24"/>
                <w:highlight w:val="none"/>
                <w:lang w:bidi="ar"/>
              </w:rPr>
              <w:t>4.履约情况：供货完成</w:t>
            </w:r>
            <w:r>
              <w:rPr>
                <w:rFonts w:hint="eastAsia" w:ascii="宋体" w:hAnsi="宋体" w:eastAsia="宋体" w:cs="宋体"/>
                <w:sz w:val="24"/>
                <w:highlight w:val="none"/>
              </w:rPr>
              <w:t>后，采购人组织相关部门及人员进行验收，验收不合格的，造成退货、换货的一切费用由供货商承担，并负担采购人的一切损失。</w:t>
            </w:r>
          </w:p>
        </w:tc>
      </w:tr>
      <w:tr w14:paraId="142FAA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2C7B850B">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6</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0A515D92">
            <w:pPr>
              <w:pStyle w:val="20"/>
              <w:shd w:val="clear"/>
              <w:spacing w:line="360" w:lineRule="auto"/>
              <w:rPr>
                <w:rFonts w:hint="default" w:asciiTheme="minorEastAsia" w:hAnsiTheme="minorEastAsia" w:eastAsiaTheme="minorEastAsia" w:cstheme="minorEastAsia"/>
                <w:b/>
                <w:kern w:val="0"/>
                <w:sz w:val="24"/>
                <w:highlight w:val="none"/>
              </w:rPr>
            </w:pPr>
            <w:r>
              <w:rPr>
                <w:rFonts w:asciiTheme="minorEastAsia" w:hAnsiTheme="minorEastAsia" w:eastAsiaTheme="minorEastAsia" w:cstheme="minorEastAsia"/>
                <w:b/>
                <w:kern w:val="0"/>
                <w:sz w:val="24"/>
                <w:highlight w:val="none"/>
              </w:rPr>
              <w:t>质量保证：</w:t>
            </w:r>
          </w:p>
          <w:p w14:paraId="47C8F48A">
            <w:pPr>
              <w:shd w:val="clear"/>
              <w:tabs>
                <w:tab w:val="left" w:pos="840"/>
              </w:tabs>
              <w:spacing w:line="360" w:lineRule="auto"/>
              <w:ind w:firstLine="480" w:firstLineChars="200"/>
              <w:rPr>
                <w:rFonts w:ascii="宋体" w:hAnsi="宋体" w:eastAsia="宋体" w:cs="宋体"/>
                <w:sz w:val="24"/>
                <w:highlight w:val="none"/>
              </w:rPr>
            </w:pPr>
            <w:r>
              <w:rPr>
                <w:rFonts w:hint="eastAsia" w:asciiTheme="minorEastAsia" w:hAnsiTheme="minorEastAsia" w:cstheme="minorEastAsia"/>
                <w:kern w:val="0"/>
                <w:sz w:val="24"/>
                <w:highlight w:val="none"/>
              </w:rPr>
              <w:t>投标人提供的产品及材料必须保证质量可靠，进货渠道正常，应全面满足招标文件的要求，招标文件未明确要求的内容，投标人须按采购产品主流标准配置或以招标人的补充要求为准。所供产品工艺质量应严格按国家最新发布的规范标准执行，如发生质量问题由投标人承担全部责任。</w:t>
            </w:r>
          </w:p>
        </w:tc>
      </w:tr>
      <w:tr w14:paraId="513582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21A44972">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7</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6EBE9B93">
            <w:pPr>
              <w:shd w:val="clear"/>
              <w:tabs>
                <w:tab w:val="left" w:pos="840"/>
              </w:tabs>
              <w:spacing w:line="360" w:lineRule="auto"/>
              <w:rPr>
                <w:rFonts w:ascii="宋体" w:hAnsi="宋体" w:eastAsia="宋体" w:cs="宋体"/>
                <w:b/>
                <w:bCs/>
                <w:sz w:val="24"/>
                <w:highlight w:val="none"/>
              </w:rPr>
            </w:pPr>
            <w:r>
              <w:rPr>
                <w:rFonts w:ascii="宋体" w:hAnsi="宋体" w:eastAsia="宋体" w:cs="宋体"/>
                <w:b/>
                <w:bCs/>
                <w:sz w:val="24"/>
                <w:highlight w:val="none"/>
              </w:rPr>
              <w:t xml:space="preserve">安装、调试要求： </w:t>
            </w:r>
          </w:p>
          <w:p w14:paraId="24FF09DC">
            <w:pPr>
              <w:numPr>
                <w:ilvl w:val="0"/>
                <w:numId w:val="0"/>
              </w:numPr>
              <w:shd w:val="clear"/>
              <w:tabs>
                <w:tab w:val="left" w:pos="840"/>
              </w:tabs>
              <w:spacing w:line="360" w:lineRule="auto"/>
              <w:ind w:left="-60" w:leftChars="0" w:firstLine="480" w:firstLineChars="0"/>
              <w:rPr>
                <w:rFonts w:ascii="宋体" w:hAnsi="宋体" w:eastAsia="宋体" w:cs="宋体"/>
                <w:sz w:val="24"/>
                <w:highlight w:val="none"/>
              </w:rPr>
            </w:pPr>
            <w:r>
              <w:rPr>
                <w:rFonts w:ascii="宋体" w:hAnsi="宋体" w:eastAsia="宋体" w:cs="宋体"/>
                <w:kern w:val="2"/>
                <w:sz w:val="24"/>
                <w:szCs w:val="24"/>
                <w:lang w:val="en-US" w:eastAsia="zh-CN" w:bidi="ar-SA"/>
              </w:rPr>
              <w:t>1.</w:t>
            </w:r>
            <w:r>
              <w:rPr>
                <w:rFonts w:ascii="宋体" w:hAnsi="宋体" w:eastAsia="宋体" w:cs="宋体"/>
                <w:sz w:val="24"/>
                <w:highlight w:val="none"/>
              </w:rPr>
              <w:t xml:space="preserve">由投标人负责派技术人员到现场进行安装至验收合格。 </w:t>
            </w:r>
          </w:p>
          <w:p w14:paraId="3855C437">
            <w:pPr>
              <w:numPr>
                <w:ilvl w:val="0"/>
                <w:numId w:val="0"/>
              </w:numPr>
              <w:shd w:val="clear"/>
              <w:tabs>
                <w:tab w:val="left" w:pos="840"/>
              </w:tabs>
              <w:spacing w:line="360" w:lineRule="auto"/>
              <w:ind w:left="-60" w:leftChars="0" w:firstLine="480" w:firstLineChars="0"/>
              <w:rPr>
                <w:rFonts w:asciiTheme="minorEastAsia" w:hAnsiTheme="minorEastAsia" w:cstheme="minorEastAsia"/>
                <w:kern w:val="0"/>
                <w:sz w:val="24"/>
                <w:highlight w:val="none"/>
              </w:rPr>
            </w:pPr>
            <w:r>
              <w:rPr>
                <w:rFonts w:asciiTheme="minorEastAsia" w:hAnsiTheme="minorEastAsia" w:eastAsiaTheme="minorEastAsia" w:cstheme="minorEastAsia"/>
                <w:kern w:val="0"/>
                <w:sz w:val="24"/>
                <w:szCs w:val="24"/>
                <w:lang w:val="en-US" w:eastAsia="zh-CN" w:bidi="ar-SA"/>
              </w:rPr>
              <w:t>2.</w:t>
            </w:r>
            <w:r>
              <w:rPr>
                <w:rFonts w:ascii="宋体" w:hAnsi="宋体" w:eastAsia="宋体" w:cs="宋体"/>
                <w:sz w:val="24"/>
                <w:highlight w:val="none"/>
              </w:rPr>
              <w:t>投标人应在合同中向采购人提供安装及运行的进度计划表。</w:t>
            </w:r>
          </w:p>
          <w:p w14:paraId="449FE028">
            <w:pPr>
              <w:numPr>
                <w:ilvl w:val="0"/>
                <w:numId w:val="0"/>
              </w:numPr>
              <w:shd w:val="clear"/>
              <w:tabs>
                <w:tab w:val="left" w:pos="840"/>
              </w:tabs>
              <w:spacing w:line="360" w:lineRule="auto"/>
              <w:ind w:left="-60" w:leftChars="0" w:firstLine="480" w:firstLineChars="0"/>
              <w:rPr>
                <w:rFonts w:asciiTheme="minorEastAsia" w:hAnsiTheme="minorEastAsia" w:cstheme="minorEastAsia"/>
                <w:kern w:val="0"/>
                <w:sz w:val="24"/>
                <w:highlight w:val="none"/>
              </w:rPr>
            </w:pPr>
            <w:r>
              <w:rPr>
                <w:rFonts w:asciiTheme="minorEastAsia" w:hAnsiTheme="minorEastAsia" w:eastAsiaTheme="minorEastAsia" w:cstheme="minorEastAsia"/>
                <w:kern w:val="0"/>
                <w:sz w:val="24"/>
                <w:szCs w:val="24"/>
                <w:lang w:val="en-US" w:eastAsia="zh-CN" w:bidi="ar-SA"/>
              </w:rPr>
              <w:t>3.</w:t>
            </w:r>
            <w:r>
              <w:rPr>
                <w:rFonts w:ascii="宋体" w:hAnsi="宋体" w:eastAsia="宋体" w:cs="宋体"/>
                <w:sz w:val="24"/>
                <w:highlight w:val="none"/>
              </w:rPr>
              <w:t xml:space="preserve">投标人应在合同规定的安装期内完成该项工作。如因投标人责任而造成延 期，每超过一天按合同总价款的（1‰）支付采购人误期赔偿金，直至交货或提供 服务结束为止，所有因延期而产生费用由投标人承担。 </w:t>
            </w:r>
          </w:p>
          <w:p w14:paraId="6247AED1">
            <w:pPr>
              <w:numPr>
                <w:ilvl w:val="0"/>
                <w:numId w:val="0"/>
              </w:numPr>
              <w:shd w:val="clear"/>
              <w:tabs>
                <w:tab w:val="left" w:pos="840"/>
              </w:tabs>
              <w:spacing w:line="360" w:lineRule="auto"/>
              <w:ind w:left="-60" w:leftChars="0" w:firstLine="480" w:firstLineChars="0"/>
              <w:rPr>
                <w:rFonts w:asciiTheme="minorEastAsia" w:hAnsiTheme="minorEastAsia" w:cstheme="minorEastAsia"/>
                <w:kern w:val="0"/>
                <w:sz w:val="24"/>
                <w:highlight w:val="none"/>
              </w:rPr>
            </w:pPr>
            <w:r>
              <w:rPr>
                <w:rFonts w:asciiTheme="minorEastAsia" w:hAnsiTheme="minorEastAsia" w:eastAsiaTheme="minorEastAsia" w:cstheme="minorEastAsia"/>
                <w:kern w:val="0"/>
                <w:sz w:val="24"/>
                <w:szCs w:val="24"/>
                <w:lang w:val="en-US" w:eastAsia="zh-CN" w:bidi="ar-SA"/>
              </w:rPr>
              <w:t>4.</w:t>
            </w:r>
            <w:r>
              <w:rPr>
                <w:rFonts w:ascii="宋体" w:hAnsi="宋体" w:eastAsia="宋体" w:cs="宋体"/>
                <w:sz w:val="24"/>
                <w:highlight w:val="none"/>
              </w:rPr>
              <w:t>安装期间所发生的费用均由投标人负责。</w:t>
            </w:r>
          </w:p>
        </w:tc>
      </w:tr>
      <w:tr w14:paraId="59C6DF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56C4C5EC">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8</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61CAB243">
            <w:pPr>
              <w:shd w:val="clear"/>
              <w:spacing w:line="360" w:lineRule="auto"/>
              <w:rPr>
                <w:rFonts w:ascii="宋体" w:hAnsi="宋体" w:eastAsia="宋体" w:cs="宋体"/>
                <w:b/>
                <w:bCs/>
                <w:sz w:val="24"/>
                <w:highlight w:val="none"/>
              </w:rPr>
            </w:pPr>
            <w:r>
              <w:rPr>
                <w:rFonts w:hint="eastAsia" w:ascii="宋体" w:hAnsi="宋体" w:eastAsia="宋体" w:cs="宋体"/>
                <w:b/>
                <w:bCs/>
                <w:sz w:val="24"/>
                <w:highlight w:val="none"/>
              </w:rPr>
              <w:t>技术培训：</w:t>
            </w:r>
          </w:p>
          <w:p w14:paraId="7A614125">
            <w:pPr>
              <w:shd w:val="clear"/>
              <w:spacing w:line="360" w:lineRule="auto"/>
              <w:ind w:firstLine="480" w:firstLineChars="200"/>
              <w:rPr>
                <w:rFonts w:asciiTheme="minorEastAsia" w:hAnsiTheme="minorEastAsia" w:cstheme="minorEastAsia"/>
                <w:sz w:val="24"/>
                <w:highlight w:val="none"/>
              </w:rPr>
            </w:pPr>
            <w:r>
              <w:rPr>
                <w:rFonts w:ascii="宋体" w:hAnsi="宋体" w:eastAsia="宋体" w:cs="宋体"/>
                <w:sz w:val="24"/>
                <w:highlight w:val="none"/>
              </w:rPr>
              <w:t>应包括产品(设备)使用操作、保养、维修等培训内容。投标人需为采购人免 费培训技术人员若干名，培训服务以受培训人员熟练掌握相应技能为原则。在产品(设备)投入使用初期进行必要的跟踪指导，保障产品(设备)的稳定运行。投标产品(设备)需在培训基地培训的，投标人应按要求履行，培训产生的交通费、食宿费、培训费、资料费</w:t>
            </w:r>
            <w:r>
              <w:rPr>
                <w:rFonts w:hint="eastAsia" w:ascii="宋体" w:hAnsi="宋体" w:eastAsia="宋体" w:cs="宋体"/>
                <w:sz w:val="24"/>
                <w:highlight w:val="none"/>
                <w:lang w:val="en-US" w:eastAsia="zh-CN"/>
              </w:rPr>
              <w:t>应由投标人</w:t>
            </w:r>
            <w:r>
              <w:rPr>
                <w:rFonts w:ascii="宋体" w:hAnsi="宋体" w:eastAsia="宋体" w:cs="宋体"/>
                <w:sz w:val="24"/>
                <w:highlight w:val="none"/>
              </w:rPr>
              <w:t>承担。</w:t>
            </w:r>
          </w:p>
        </w:tc>
      </w:tr>
      <w:tr w14:paraId="6F4D39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52D79EF4">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9</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619417E8">
            <w:pPr>
              <w:shd w:val="clear"/>
              <w:spacing w:line="360" w:lineRule="auto"/>
              <w:rPr>
                <w:rFonts w:ascii="宋体" w:hAnsi="宋体" w:eastAsia="宋体" w:cs="宋体"/>
                <w:b/>
                <w:bCs/>
                <w:sz w:val="24"/>
                <w:highlight w:val="none"/>
              </w:rPr>
            </w:pPr>
            <w:r>
              <w:rPr>
                <w:rFonts w:ascii="宋体" w:hAnsi="宋体" w:eastAsia="宋体" w:cs="宋体"/>
                <w:b/>
                <w:bCs/>
                <w:sz w:val="24"/>
                <w:highlight w:val="none"/>
              </w:rPr>
              <w:t xml:space="preserve">技术支持： </w:t>
            </w:r>
          </w:p>
          <w:p w14:paraId="0E9BE4A2">
            <w:pPr>
              <w:shd w:val="clear"/>
              <w:spacing w:line="360" w:lineRule="auto"/>
              <w:ind w:firstLine="480" w:firstLineChars="200"/>
              <w:rPr>
                <w:rFonts w:asciiTheme="minorEastAsia" w:hAnsiTheme="minorEastAsia" w:cstheme="minorEastAsia"/>
                <w:sz w:val="24"/>
                <w:highlight w:val="none"/>
              </w:rPr>
            </w:pPr>
            <w:r>
              <w:rPr>
                <w:rFonts w:ascii="宋体" w:hAnsi="宋体" w:eastAsia="宋体" w:cs="宋体"/>
                <w:sz w:val="24"/>
                <w:highlight w:val="none"/>
              </w:rPr>
              <w:t>提供全年 7*24小时技术支持；</w:t>
            </w:r>
          </w:p>
        </w:tc>
      </w:tr>
      <w:tr w14:paraId="590019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4ED53516">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10</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228F7651">
            <w:pPr>
              <w:shd w:val="clear"/>
              <w:spacing w:line="360" w:lineRule="auto"/>
              <w:rPr>
                <w:rFonts w:asciiTheme="minorEastAsia" w:hAnsiTheme="minorEastAsia" w:cstheme="minorEastAsia"/>
                <w:b/>
                <w:sz w:val="24"/>
                <w:highlight w:val="none"/>
              </w:rPr>
            </w:pPr>
            <w:r>
              <w:rPr>
                <w:rFonts w:hint="eastAsia" w:asciiTheme="minorEastAsia" w:hAnsiTheme="minorEastAsia" w:cstheme="minorEastAsia"/>
                <w:b/>
                <w:sz w:val="24"/>
                <w:highlight w:val="none"/>
              </w:rPr>
              <w:t>验收：</w:t>
            </w:r>
          </w:p>
          <w:p w14:paraId="27247F97">
            <w:pPr>
              <w:shd w:val="clear"/>
              <w:spacing w:line="360" w:lineRule="auto"/>
              <w:ind w:firstLine="480" w:firstLineChars="200"/>
              <w:rPr>
                <w:rFonts w:hint="eastAsia" w:ascii="宋体" w:hAnsi="宋体" w:eastAsia="宋体" w:cs="宋体"/>
                <w:sz w:val="24"/>
                <w:highlight w:val="none"/>
                <w:lang w:eastAsia="zh-CN"/>
              </w:rPr>
            </w:pPr>
            <w:r>
              <w:rPr>
                <w:rFonts w:hint="eastAsia" w:ascii="宋体" w:hAnsi="宋体" w:eastAsia="宋体" w:cs="宋体"/>
                <w:sz w:val="24"/>
                <w:highlight w:val="none"/>
              </w:rPr>
              <w:t>设备安装调试完成后，验收质量达到合格，满足施工规范及验收规范要求</w:t>
            </w:r>
            <w:r>
              <w:rPr>
                <w:rFonts w:hint="eastAsia" w:ascii="宋体" w:hAnsi="宋体" w:eastAsia="宋体" w:cs="宋体"/>
                <w:sz w:val="24"/>
                <w:highlight w:val="none"/>
                <w:lang w:eastAsia="zh-CN"/>
              </w:rPr>
              <w:t>。</w:t>
            </w:r>
          </w:p>
          <w:p w14:paraId="03C7CBBE">
            <w:pPr>
              <w:shd w:val="clear"/>
              <w:spacing w:line="360" w:lineRule="auto"/>
              <w:ind w:firstLine="480" w:firstLineChars="200"/>
              <w:rPr>
                <w:rFonts w:ascii="宋体" w:hAnsi="宋体" w:eastAsia="宋体" w:cs="宋体"/>
                <w:sz w:val="24"/>
                <w:highlight w:val="none"/>
              </w:rPr>
            </w:pPr>
            <w:r>
              <w:rPr>
                <w:rFonts w:ascii="宋体" w:hAnsi="宋体" w:eastAsia="宋体" w:cs="宋体"/>
                <w:sz w:val="24"/>
                <w:highlight w:val="none"/>
              </w:rPr>
              <w:t xml:space="preserve">由采购人和投标人共同对项目整体进行验收。其内容包括确认产品(设备)的产地、规格、型号和数量，对其产品(设备)技术指标、性能参数以及工程质量是否达到现行国家有关验收规范“合格”标准进行逐项检查。 </w:t>
            </w:r>
          </w:p>
          <w:p w14:paraId="2B6D639D">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1、</w:t>
            </w:r>
            <w:r>
              <w:rPr>
                <w:rFonts w:ascii="宋体" w:hAnsi="宋体" w:eastAsia="宋体" w:cs="宋体"/>
                <w:sz w:val="24"/>
                <w:highlight w:val="none"/>
              </w:rPr>
              <w:t xml:space="preserve">所验产品(设备)的指标、性能参数通过验收达不到招标文件要求和投标文 件承诺的，或在使用中发现采购人不能容忍的缺陷等，将视为产品(设备)验收不 合格，投标人应无条件免费更换或退货。 </w:t>
            </w:r>
          </w:p>
          <w:p w14:paraId="708E1535">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2、</w:t>
            </w:r>
            <w:r>
              <w:rPr>
                <w:rFonts w:ascii="宋体" w:hAnsi="宋体" w:eastAsia="宋体" w:cs="宋体"/>
                <w:sz w:val="24"/>
                <w:highlight w:val="none"/>
              </w:rPr>
              <w:t xml:space="preserve">若发现投标人有弄虚作假的，在投标阶段故意或随意夸大产品(设备)技术 性能，投标人应无条件退货，并赔偿采购人相应的损失。 </w:t>
            </w:r>
          </w:p>
          <w:p w14:paraId="4185D437">
            <w:pPr>
              <w:shd w:val="clear"/>
              <w:spacing w:line="360" w:lineRule="auto"/>
              <w:ind w:firstLine="480" w:firstLineChars="200"/>
              <w:rPr>
                <w:rFonts w:ascii="宋体" w:hAnsi="宋体" w:eastAsia="宋体" w:cs="宋体"/>
                <w:sz w:val="24"/>
                <w:highlight w:val="none"/>
              </w:rPr>
            </w:pPr>
            <w:r>
              <w:rPr>
                <w:rFonts w:ascii="宋体" w:hAnsi="宋体" w:eastAsia="宋体" w:cs="宋体"/>
                <w:sz w:val="24"/>
                <w:highlight w:val="none"/>
              </w:rPr>
              <w:t>3</w:t>
            </w:r>
            <w:r>
              <w:rPr>
                <w:rFonts w:hint="eastAsia" w:ascii="宋体" w:hAnsi="宋体" w:eastAsia="宋体" w:cs="宋体"/>
                <w:sz w:val="24"/>
                <w:highlight w:val="none"/>
              </w:rPr>
              <w:t>、</w:t>
            </w:r>
            <w:r>
              <w:rPr>
                <w:rFonts w:ascii="宋体" w:hAnsi="宋体" w:eastAsia="宋体" w:cs="宋体"/>
                <w:sz w:val="24"/>
                <w:highlight w:val="none"/>
              </w:rPr>
              <w:t xml:space="preserve">验收标准：按招标文件、投标文件及澄清函等技术指标进行验收。各项指 标均应符合验收标准及要求。 </w:t>
            </w:r>
          </w:p>
          <w:p w14:paraId="2996DC0B">
            <w:pPr>
              <w:shd w:val="clear"/>
              <w:spacing w:line="360" w:lineRule="auto"/>
              <w:ind w:firstLine="480" w:firstLineChars="200"/>
              <w:rPr>
                <w:rFonts w:ascii="宋体" w:hAnsi="宋体" w:eastAsia="宋体" w:cs="宋体"/>
                <w:sz w:val="24"/>
                <w:highlight w:val="none"/>
              </w:rPr>
            </w:pPr>
            <w:r>
              <w:rPr>
                <w:rFonts w:ascii="宋体" w:hAnsi="宋体" w:eastAsia="宋体" w:cs="宋体"/>
                <w:sz w:val="24"/>
                <w:highlight w:val="none"/>
              </w:rPr>
              <w:t>4</w:t>
            </w:r>
            <w:r>
              <w:rPr>
                <w:rFonts w:hint="eastAsia" w:ascii="宋体" w:hAnsi="宋体" w:eastAsia="宋体" w:cs="宋体"/>
                <w:sz w:val="24"/>
                <w:highlight w:val="none"/>
              </w:rPr>
              <w:t>、</w:t>
            </w:r>
            <w:r>
              <w:rPr>
                <w:rFonts w:ascii="宋体" w:hAnsi="宋体" w:eastAsia="宋体" w:cs="宋体"/>
                <w:sz w:val="24"/>
                <w:highlight w:val="none"/>
              </w:rPr>
              <w:t xml:space="preserve">验收合格后，填写验收单，双方签字生效。 </w:t>
            </w:r>
          </w:p>
          <w:p w14:paraId="249D770D">
            <w:pPr>
              <w:shd w:val="clear"/>
              <w:spacing w:line="360" w:lineRule="auto"/>
              <w:ind w:firstLine="480" w:firstLineChars="200"/>
              <w:rPr>
                <w:rFonts w:ascii="宋体" w:hAnsi="宋体" w:eastAsia="宋体" w:cs="宋体"/>
                <w:sz w:val="24"/>
                <w:highlight w:val="none"/>
              </w:rPr>
            </w:pPr>
            <w:r>
              <w:rPr>
                <w:rFonts w:ascii="宋体" w:hAnsi="宋体" w:eastAsia="宋体" w:cs="宋体"/>
                <w:sz w:val="24"/>
                <w:highlight w:val="none"/>
              </w:rPr>
              <w:t>5</w:t>
            </w:r>
            <w:r>
              <w:rPr>
                <w:rFonts w:hint="eastAsia" w:ascii="宋体" w:hAnsi="宋体" w:eastAsia="宋体" w:cs="宋体"/>
                <w:sz w:val="24"/>
                <w:highlight w:val="none"/>
              </w:rPr>
              <w:t>、</w:t>
            </w:r>
            <w:r>
              <w:rPr>
                <w:rFonts w:ascii="宋体" w:hAnsi="宋体" w:eastAsia="宋体" w:cs="宋体"/>
                <w:sz w:val="24"/>
                <w:highlight w:val="none"/>
              </w:rPr>
              <w:t xml:space="preserve">验收依据： </w:t>
            </w:r>
          </w:p>
          <w:p w14:paraId="4E4E077F">
            <w:pPr>
              <w:shd w:val="clear"/>
              <w:spacing w:line="360" w:lineRule="auto"/>
              <w:ind w:firstLine="480" w:firstLineChars="200"/>
              <w:rPr>
                <w:rFonts w:ascii="宋体" w:hAnsi="宋体" w:eastAsia="宋体" w:cs="宋体"/>
                <w:sz w:val="24"/>
                <w:highlight w:val="none"/>
              </w:rPr>
            </w:pPr>
            <w:r>
              <w:rPr>
                <w:rFonts w:ascii="宋体" w:hAnsi="宋体" w:eastAsia="宋体" w:cs="宋体"/>
                <w:sz w:val="24"/>
                <w:highlight w:val="none"/>
              </w:rPr>
              <w:t xml:space="preserve">合同文本； </w:t>
            </w:r>
          </w:p>
          <w:p w14:paraId="16ABC625">
            <w:pPr>
              <w:shd w:val="clear"/>
              <w:spacing w:line="360" w:lineRule="auto"/>
              <w:ind w:firstLine="480" w:firstLineChars="200"/>
              <w:rPr>
                <w:rFonts w:ascii="宋体" w:hAnsi="宋体" w:eastAsia="宋体" w:cs="宋体"/>
                <w:sz w:val="24"/>
                <w:highlight w:val="none"/>
              </w:rPr>
            </w:pPr>
            <w:r>
              <w:rPr>
                <w:rFonts w:ascii="宋体" w:hAnsi="宋体" w:eastAsia="宋体" w:cs="宋体"/>
                <w:sz w:val="24"/>
                <w:highlight w:val="none"/>
              </w:rPr>
              <w:t xml:space="preserve">投标文件及澄清函、招标文件； </w:t>
            </w:r>
          </w:p>
          <w:p w14:paraId="5429617D">
            <w:pPr>
              <w:shd w:val="clear"/>
              <w:spacing w:line="360" w:lineRule="auto"/>
              <w:ind w:firstLine="480" w:firstLineChars="200"/>
              <w:rPr>
                <w:rFonts w:ascii="宋体" w:hAnsi="宋体" w:eastAsia="宋体" w:cs="宋体"/>
                <w:sz w:val="24"/>
                <w:highlight w:val="none"/>
              </w:rPr>
            </w:pPr>
            <w:r>
              <w:rPr>
                <w:rFonts w:ascii="宋体" w:hAnsi="宋体" w:eastAsia="宋体" w:cs="宋体"/>
                <w:sz w:val="24"/>
                <w:highlight w:val="none"/>
              </w:rPr>
              <w:t xml:space="preserve">国家和行业制定的相应的标准和规范。 </w:t>
            </w:r>
          </w:p>
          <w:p w14:paraId="13A5ECBD">
            <w:pPr>
              <w:shd w:val="clear"/>
              <w:spacing w:line="360" w:lineRule="auto"/>
              <w:ind w:firstLine="480" w:firstLineChars="200"/>
              <w:rPr>
                <w:rFonts w:ascii="宋体" w:hAnsi="宋体" w:eastAsia="宋体" w:cs="宋体"/>
                <w:sz w:val="24"/>
                <w:szCs w:val="20"/>
                <w:highlight w:val="none"/>
              </w:rPr>
            </w:pPr>
            <w:r>
              <w:rPr>
                <w:rFonts w:ascii="宋体" w:hAnsi="宋体" w:eastAsia="宋体" w:cs="宋体"/>
                <w:sz w:val="24"/>
                <w:highlight w:val="none"/>
              </w:rPr>
              <w:t xml:space="preserve">产品(设备)验收清单（注明各部件的品名、数量、技术参数及要求和原产地 或生产厂家）。 </w:t>
            </w:r>
          </w:p>
        </w:tc>
      </w:tr>
      <w:tr w14:paraId="4B9453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6AE9765E">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11</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283AE0F8">
            <w:pPr>
              <w:shd w:val="clear"/>
              <w:spacing w:line="360" w:lineRule="auto"/>
              <w:ind w:firstLine="482" w:firstLineChars="200"/>
              <w:rPr>
                <w:rFonts w:asciiTheme="minorEastAsia" w:hAnsiTheme="minorEastAsia" w:cstheme="minorEastAsia"/>
                <w:b/>
                <w:sz w:val="24"/>
                <w:highlight w:val="none"/>
              </w:rPr>
            </w:pPr>
            <w:r>
              <w:rPr>
                <w:rFonts w:hint="eastAsia" w:asciiTheme="minorEastAsia" w:hAnsiTheme="minorEastAsia" w:cstheme="minorEastAsia"/>
                <w:b/>
                <w:sz w:val="24"/>
                <w:highlight w:val="none"/>
              </w:rPr>
              <w:t>知识产权：</w:t>
            </w:r>
          </w:p>
          <w:p w14:paraId="317D0AE9">
            <w:pPr>
              <w:pStyle w:val="20"/>
              <w:shd w:val="clear"/>
              <w:spacing w:line="360" w:lineRule="auto"/>
              <w:ind w:firstLine="480" w:firstLineChars="200"/>
              <w:rPr>
                <w:rFonts w:hint="default" w:hAnsi="宋体"/>
                <w:b/>
                <w:sz w:val="24"/>
                <w:szCs w:val="24"/>
                <w:highlight w:val="none"/>
              </w:rPr>
            </w:pPr>
            <w:r>
              <w:rPr>
                <w:rFonts w:asciiTheme="minorEastAsia" w:hAnsiTheme="minorEastAsia" w:eastAsiaTheme="minorEastAsia" w:cstheme="minorEastAsia"/>
                <w:sz w:val="24"/>
                <w:szCs w:val="24"/>
                <w:highlight w:val="none"/>
              </w:rPr>
              <w:t>投标人应保证投标货物及服务不会出现因第三方提出侵犯其专利权、商标权或其它知识产权而引发法律或经济纠纷，否则由投标人承担全部责任。任何被投标人用于未经授权的商业目的行为所造成的违约或侵权责任由投标人承担。</w:t>
            </w:r>
          </w:p>
        </w:tc>
      </w:tr>
      <w:tr w14:paraId="2F94D2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34FE960F">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12</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2CDAADE9">
            <w:pPr>
              <w:shd w:val="clear"/>
              <w:spacing w:line="360" w:lineRule="auto"/>
              <w:rPr>
                <w:rFonts w:asciiTheme="minorEastAsia" w:hAnsiTheme="minorEastAsia" w:cstheme="minorEastAsia"/>
                <w:b/>
                <w:sz w:val="24"/>
                <w:highlight w:val="none"/>
              </w:rPr>
            </w:pPr>
            <w:r>
              <w:rPr>
                <w:rFonts w:hint="eastAsia" w:asciiTheme="minorEastAsia" w:hAnsiTheme="minorEastAsia" w:cstheme="minorEastAsia"/>
                <w:b/>
                <w:sz w:val="24"/>
                <w:highlight w:val="none"/>
              </w:rPr>
              <w:t>违约责任：</w:t>
            </w:r>
          </w:p>
          <w:p w14:paraId="7EEBB9E3">
            <w:pPr>
              <w:shd w:val="clear"/>
              <w:spacing w:line="360" w:lineRule="auto"/>
              <w:ind w:firstLine="480" w:firstLineChars="200"/>
              <w:rPr>
                <w:rFonts w:asciiTheme="minorEastAsia" w:hAnsiTheme="minorEastAsia" w:cstheme="minorEastAsia"/>
                <w:sz w:val="24"/>
                <w:highlight w:val="none"/>
              </w:rPr>
            </w:pPr>
            <w:r>
              <w:rPr>
                <w:rFonts w:hint="eastAsia" w:asciiTheme="minorEastAsia" w:hAnsiTheme="minorEastAsia" w:cstheme="minorEastAsia"/>
                <w:sz w:val="24"/>
                <w:highlight w:val="none"/>
              </w:rPr>
              <w:t>按《中华人民共和国民法典》中的相关条款执行。</w:t>
            </w:r>
          </w:p>
          <w:p w14:paraId="589F1B6D">
            <w:pPr>
              <w:shd w:val="clear"/>
              <w:tabs>
                <w:tab w:val="left" w:pos="152"/>
              </w:tabs>
              <w:spacing w:line="360" w:lineRule="auto"/>
              <w:ind w:firstLine="480" w:firstLineChars="200"/>
              <w:rPr>
                <w:rFonts w:ascii="宋体" w:hAnsi="宋体" w:eastAsia="宋体" w:cs="宋体"/>
                <w:kern w:val="0"/>
                <w:sz w:val="24"/>
                <w:szCs w:val="20"/>
                <w:highlight w:val="none"/>
              </w:rPr>
            </w:pPr>
            <w:r>
              <w:rPr>
                <w:rFonts w:hint="eastAsia" w:asciiTheme="minorEastAsia" w:hAnsiTheme="minorEastAsia" w:cstheme="minorEastAsia"/>
                <w:sz w:val="24"/>
                <w:highlight w:val="none"/>
              </w:rPr>
              <w:t>未按合同或招标文件要求提供产品或供应的产品质量不能满足招标人技术要求，采购单位有权单方终止合同，甚至对投标人违约行为进行追究。</w:t>
            </w:r>
          </w:p>
        </w:tc>
      </w:tr>
      <w:tr w14:paraId="62DCA9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jc w:val="center"/>
        </w:trPr>
        <w:tc>
          <w:tcPr>
            <w:tcW w:w="778" w:type="dxa"/>
            <w:tcBorders>
              <w:top w:val="single" w:color="auto" w:sz="6" w:space="0"/>
              <w:left w:val="single" w:color="auto" w:sz="12" w:space="0"/>
              <w:bottom w:val="single" w:color="auto" w:sz="6" w:space="0"/>
              <w:right w:val="single" w:color="auto" w:sz="6" w:space="0"/>
            </w:tcBorders>
            <w:shd w:val="clear" w:color="auto" w:fill="auto"/>
            <w:vAlign w:val="center"/>
          </w:tcPr>
          <w:p w14:paraId="296AAAE9">
            <w:pPr>
              <w:shd w:val="clear"/>
              <w:spacing w:line="360" w:lineRule="auto"/>
              <w:jc w:val="center"/>
              <w:rPr>
                <w:rFonts w:ascii="宋体" w:hAnsi="宋体" w:eastAsia="宋体" w:cs="宋体"/>
                <w:sz w:val="24"/>
                <w:highlight w:val="none"/>
              </w:rPr>
            </w:pPr>
            <w:r>
              <w:rPr>
                <w:rFonts w:hint="eastAsia" w:ascii="宋体" w:hAnsi="宋体" w:eastAsia="宋体" w:cs="宋体"/>
                <w:sz w:val="24"/>
                <w:highlight w:val="none"/>
              </w:rPr>
              <w:t>13</w:t>
            </w:r>
          </w:p>
        </w:tc>
        <w:tc>
          <w:tcPr>
            <w:tcW w:w="8537" w:type="dxa"/>
            <w:tcBorders>
              <w:top w:val="single" w:color="auto" w:sz="6" w:space="0"/>
              <w:left w:val="single" w:color="auto" w:sz="6" w:space="0"/>
              <w:bottom w:val="single" w:color="auto" w:sz="6" w:space="0"/>
              <w:right w:val="single" w:color="auto" w:sz="12" w:space="0"/>
            </w:tcBorders>
            <w:shd w:val="clear" w:color="auto" w:fill="auto"/>
            <w:vAlign w:val="center"/>
          </w:tcPr>
          <w:p w14:paraId="1E1CD931">
            <w:pPr>
              <w:shd w:val="clear"/>
              <w:spacing w:line="360" w:lineRule="auto"/>
              <w:rPr>
                <w:rFonts w:ascii="宋体" w:hAnsi="宋体" w:cs="宋体"/>
                <w:b/>
                <w:bCs/>
                <w:sz w:val="24"/>
                <w:szCs w:val="22"/>
                <w:highlight w:val="none"/>
              </w:rPr>
            </w:pPr>
            <w:r>
              <w:rPr>
                <w:rFonts w:hint="eastAsia" w:ascii="宋体" w:hAnsi="宋体" w:cs="宋体"/>
                <w:b/>
                <w:bCs/>
                <w:sz w:val="24"/>
                <w:szCs w:val="22"/>
                <w:highlight w:val="none"/>
              </w:rPr>
              <w:t>售后服务要求：</w:t>
            </w:r>
          </w:p>
          <w:p w14:paraId="3C8AC203">
            <w:pPr>
              <w:shd w:val="clear"/>
              <w:tabs>
                <w:tab w:val="left" w:pos="152"/>
              </w:tabs>
              <w:spacing w:line="360" w:lineRule="auto"/>
              <w:ind w:firstLine="480" w:firstLineChars="200"/>
              <w:rPr>
                <w:rFonts w:asciiTheme="minorEastAsia" w:hAnsiTheme="minorEastAsia" w:cstheme="minorEastAsia"/>
                <w:sz w:val="24"/>
                <w:highlight w:val="none"/>
              </w:rPr>
            </w:pPr>
            <w:r>
              <w:rPr>
                <w:rFonts w:hint="eastAsia" w:ascii="宋体" w:hAnsi="Calibri" w:eastAsia="宋体" w:cs="宋体"/>
                <w:sz w:val="24"/>
                <w:szCs w:val="32"/>
                <w:highlight w:val="none"/>
              </w:rPr>
              <w:t>中标单位应当明确售后服务公约，承诺免费维修服务条件。产品出现故障时，中标单位须第一时间作出响应，对于一般性故障，提供24小时电话咨询服务，协助用户解决问题。对于通过电话无法解决的问题，将派出售后服务人员到用户现场解决问题。</w:t>
            </w:r>
          </w:p>
        </w:tc>
      </w:tr>
    </w:tbl>
    <w:p w14:paraId="17214E7C">
      <w:pPr>
        <w:shd w:val="clear"/>
        <w:spacing w:line="360" w:lineRule="auto"/>
        <w:rPr>
          <w:rFonts w:ascii="宋体" w:hAnsi="Times New Roman" w:eastAsia="宋体" w:cs="宋体"/>
          <w:bCs/>
          <w:sz w:val="36"/>
          <w:szCs w:val="36"/>
          <w:highlight w:val="none"/>
          <w:lang w:val="zh-CN" w:bidi="ar"/>
        </w:rPr>
      </w:pPr>
    </w:p>
    <w:p w14:paraId="25CC5A72">
      <w:pPr>
        <w:pStyle w:val="62"/>
        <w:shd w:val="clear"/>
        <w:ind w:firstLine="720"/>
        <w:rPr>
          <w:rFonts w:ascii="宋体" w:cs="宋体"/>
          <w:bCs/>
          <w:sz w:val="36"/>
          <w:szCs w:val="36"/>
          <w:highlight w:val="none"/>
          <w:lang w:val="zh-CN" w:bidi="ar"/>
        </w:rPr>
        <w:sectPr>
          <w:pgSz w:w="11906" w:h="16838"/>
          <w:pgMar w:top="1440" w:right="1800" w:bottom="1440" w:left="1800" w:header="964" w:footer="1135" w:gutter="0"/>
          <w:pgNumType w:fmt="decimal"/>
          <w:cols w:space="425" w:num="1"/>
          <w:docGrid w:type="lines" w:linePitch="312" w:charSpace="0"/>
        </w:sectPr>
      </w:pPr>
    </w:p>
    <w:p w14:paraId="63237294">
      <w:pPr>
        <w:shd w:val="clear"/>
        <w:bidi w:val="0"/>
        <w:rPr>
          <w:rFonts w:hint="default"/>
          <w:highlight w:val="none"/>
        </w:rPr>
      </w:pPr>
      <w:r>
        <w:rPr>
          <w:highlight w:val="none"/>
        </w:rPr>
        <w:br w:type="page"/>
      </w:r>
      <w:bookmarkStart w:id="50" w:name="_Toc16381"/>
    </w:p>
    <w:p w14:paraId="27C56F31">
      <w:pPr>
        <w:pStyle w:val="2"/>
        <w:shd w:val="clear"/>
        <w:rPr>
          <w:rFonts w:hint="default"/>
          <w:highlight w:val="none"/>
        </w:rPr>
      </w:pPr>
      <w:bookmarkStart w:id="51" w:name="_Toc1034"/>
      <w:r>
        <w:rPr>
          <w:highlight w:val="none"/>
        </w:rPr>
        <w:t>第四章 合同条款</w:t>
      </w:r>
      <w:bookmarkEnd w:id="50"/>
      <w:bookmarkEnd w:id="51"/>
    </w:p>
    <w:p w14:paraId="4BBBF49A">
      <w:pPr>
        <w:shd w:val="clear"/>
        <w:spacing w:before="120" w:line="360" w:lineRule="auto"/>
        <w:jc w:val="center"/>
        <w:rPr>
          <w:rFonts w:ascii="宋体" w:hAnsi="宋体" w:eastAsia="宋体" w:cs="宋体"/>
          <w:b/>
          <w:sz w:val="36"/>
          <w:szCs w:val="36"/>
          <w:highlight w:val="none"/>
        </w:rPr>
      </w:pPr>
    </w:p>
    <w:p w14:paraId="5D21BAB2">
      <w:pPr>
        <w:pStyle w:val="16"/>
        <w:shd w:val="clear"/>
        <w:spacing w:line="360" w:lineRule="auto"/>
        <w:rPr>
          <w:highlight w:val="none"/>
        </w:rPr>
      </w:pPr>
    </w:p>
    <w:p w14:paraId="3D09F1FA">
      <w:pPr>
        <w:shd w:val="clear"/>
        <w:spacing w:before="120" w:line="360" w:lineRule="auto"/>
        <w:jc w:val="center"/>
        <w:rPr>
          <w:rFonts w:ascii="宋体" w:hAnsi="宋体" w:eastAsia="宋体" w:cs="宋体"/>
          <w:b/>
          <w:sz w:val="36"/>
          <w:szCs w:val="36"/>
          <w:highlight w:val="none"/>
        </w:rPr>
      </w:pPr>
      <w:r>
        <w:rPr>
          <w:rFonts w:hint="eastAsia" w:ascii="宋体" w:hAnsi="宋体" w:eastAsia="宋体" w:cs="宋体"/>
          <w:b/>
          <w:sz w:val="36"/>
          <w:szCs w:val="36"/>
          <w:highlight w:val="none"/>
          <w:lang w:bidi="ar"/>
        </w:rPr>
        <w:t>政 府 采 购 合 同</w:t>
      </w:r>
    </w:p>
    <w:p w14:paraId="125F20F2">
      <w:pPr>
        <w:shd w:val="clear"/>
        <w:spacing w:before="120" w:line="360" w:lineRule="auto"/>
        <w:ind w:firstLine="3064" w:firstLineChars="1090"/>
        <w:rPr>
          <w:rFonts w:ascii="宋体" w:hAnsi="宋体" w:eastAsia="宋体" w:cs="宋体"/>
          <w:b/>
          <w:sz w:val="28"/>
          <w:szCs w:val="28"/>
          <w:highlight w:val="none"/>
        </w:rPr>
      </w:pPr>
      <w:bookmarkStart w:id="52" w:name="_Toc109542396"/>
      <w:bookmarkStart w:id="53" w:name="_Toc109543216"/>
    </w:p>
    <w:p w14:paraId="517215C1">
      <w:pPr>
        <w:pStyle w:val="16"/>
        <w:shd w:val="clear"/>
        <w:spacing w:line="360" w:lineRule="auto"/>
        <w:rPr>
          <w:rFonts w:ascii="宋体" w:hAnsi="宋体" w:cs="宋体"/>
          <w:b/>
          <w:sz w:val="28"/>
          <w:szCs w:val="28"/>
          <w:highlight w:val="none"/>
        </w:rPr>
      </w:pPr>
    </w:p>
    <w:p w14:paraId="45BF19CF">
      <w:pPr>
        <w:shd w:val="clear"/>
        <w:spacing w:line="360" w:lineRule="auto"/>
        <w:rPr>
          <w:highlight w:val="none"/>
        </w:rPr>
      </w:pPr>
    </w:p>
    <w:p w14:paraId="30D89B4B">
      <w:pPr>
        <w:shd w:val="clear"/>
        <w:spacing w:before="120" w:line="360" w:lineRule="auto"/>
        <w:ind w:firstLine="3064" w:firstLineChars="1090"/>
        <w:rPr>
          <w:rFonts w:ascii="宋体" w:hAnsi="宋体" w:eastAsia="宋体" w:cs="宋体"/>
          <w:sz w:val="28"/>
          <w:szCs w:val="28"/>
          <w:highlight w:val="none"/>
        </w:rPr>
      </w:pPr>
      <w:r>
        <w:rPr>
          <w:rFonts w:hint="eastAsia" w:ascii="宋体" w:hAnsi="宋体" w:eastAsia="宋体" w:cs="宋体"/>
          <w:b/>
          <w:sz w:val="28"/>
          <w:szCs w:val="28"/>
          <w:highlight w:val="none"/>
          <w:lang w:bidi="ar"/>
        </w:rPr>
        <w:t>合同编号：</w:t>
      </w:r>
      <w:bookmarkEnd w:id="52"/>
      <w:bookmarkEnd w:id="53"/>
      <w:r>
        <w:rPr>
          <w:rFonts w:hint="eastAsia" w:ascii="宋体" w:hAnsi="宋体" w:eastAsia="宋体" w:cs="宋体"/>
          <w:b/>
          <w:sz w:val="28"/>
          <w:szCs w:val="28"/>
          <w:highlight w:val="none"/>
          <w:u w:val="single"/>
          <w:lang w:bidi="ar"/>
        </w:rPr>
        <w:t xml:space="preserve">            </w:t>
      </w:r>
      <w:r>
        <w:rPr>
          <w:rFonts w:hint="eastAsia" w:ascii="宋体" w:hAnsi="宋体" w:eastAsia="宋体" w:cs="宋体"/>
          <w:sz w:val="28"/>
          <w:szCs w:val="28"/>
          <w:highlight w:val="none"/>
          <w:lang w:bidi="ar"/>
        </w:rPr>
        <w:t xml:space="preserve">        </w:t>
      </w:r>
    </w:p>
    <w:p w14:paraId="77A1F328">
      <w:pPr>
        <w:shd w:val="clear"/>
        <w:spacing w:before="120" w:line="360" w:lineRule="auto"/>
        <w:rPr>
          <w:rFonts w:ascii="宋体" w:hAnsi="宋体" w:eastAsia="宋体" w:cs="宋体"/>
          <w:sz w:val="28"/>
          <w:szCs w:val="28"/>
          <w:highlight w:val="none"/>
        </w:rPr>
      </w:pPr>
    </w:p>
    <w:p w14:paraId="4A3487DC">
      <w:pPr>
        <w:shd w:val="clear"/>
        <w:spacing w:before="120" w:line="360" w:lineRule="auto"/>
        <w:rPr>
          <w:rFonts w:ascii="宋体" w:hAnsi="宋体" w:eastAsia="宋体" w:cs="宋体"/>
          <w:sz w:val="28"/>
          <w:szCs w:val="28"/>
          <w:highlight w:val="none"/>
        </w:rPr>
      </w:pPr>
    </w:p>
    <w:p w14:paraId="1C902595">
      <w:pPr>
        <w:shd w:val="clear"/>
        <w:spacing w:before="120" w:line="360" w:lineRule="auto"/>
        <w:rPr>
          <w:rFonts w:ascii="宋体" w:hAnsi="宋体" w:eastAsia="宋体" w:cs="宋体"/>
          <w:sz w:val="28"/>
          <w:szCs w:val="28"/>
          <w:highlight w:val="none"/>
        </w:rPr>
      </w:pPr>
    </w:p>
    <w:p w14:paraId="6B2C7333">
      <w:pPr>
        <w:shd w:val="clear"/>
        <w:spacing w:before="120" w:line="360" w:lineRule="auto"/>
        <w:rPr>
          <w:rFonts w:ascii="宋体" w:hAnsi="宋体" w:eastAsia="宋体" w:cs="宋体"/>
          <w:b/>
          <w:sz w:val="28"/>
          <w:szCs w:val="28"/>
          <w:highlight w:val="none"/>
        </w:rPr>
      </w:pPr>
    </w:p>
    <w:p w14:paraId="1419CFDF">
      <w:pPr>
        <w:shd w:val="clear"/>
        <w:spacing w:before="120" w:line="360" w:lineRule="auto"/>
        <w:ind w:firstLine="281" w:firstLineChars="100"/>
        <w:rPr>
          <w:rFonts w:hint="eastAsia" w:ascii="宋体" w:hAnsi="宋体" w:eastAsia="宋体" w:cs="宋体"/>
          <w:b/>
          <w:sz w:val="28"/>
          <w:szCs w:val="28"/>
          <w:highlight w:val="none"/>
          <w:u w:val="single"/>
          <w:lang w:eastAsia="zh-CN" w:bidi="ar"/>
        </w:rPr>
      </w:pPr>
      <w:r>
        <w:rPr>
          <w:rFonts w:hint="eastAsia" w:ascii="宋体" w:hAnsi="宋体" w:eastAsia="宋体" w:cs="宋体"/>
          <w:b/>
          <w:sz w:val="28"/>
          <w:szCs w:val="28"/>
          <w:highlight w:val="none"/>
          <w:lang w:bidi="ar"/>
        </w:rPr>
        <w:t>项目名称：</w:t>
      </w:r>
      <w:r>
        <w:rPr>
          <w:rFonts w:hint="eastAsia" w:ascii="宋体" w:hAnsi="宋体" w:eastAsia="宋体" w:cs="宋体"/>
          <w:b/>
          <w:sz w:val="28"/>
          <w:szCs w:val="28"/>
          <w:highlight w:val="none"/>
          <w:u w:val="single"/>
          <w:lang w:eastAsia="zh-CN" w:bidi="ar"/>
        </w:rPr>
        <w:t xml:space="preserve">榆林市市委机关事务服务中心市委机关大院应急柴油发电机组及应急备电货物项目 </w:t>
      </w:r>
    </w:p>
    <w:p w14:paraId="2F9FE4FA">
      <w:pPr>
        <w:shd w:val="clear"/>
        <w:spacing w:before="120" w:line="360" w:lineRule="auto"/>
        <w:ind w:firstLine="281" w:firstLineChars="100"/>
        <w:rPr>
          <w:rFonts w:ascii="宋体" w:hAnsi="宋体" w:eastAsia="宋体" w:cs="宋体"/>
          <w:b/>
          <w:sz w:val="28"/>
          <w:szCs w:val="28"/>
          <w:highlight w:val="none"/>
          <w:u w:val="single"/>
          <w:lang w:bidi="ar"/>
        </w:rPr>
      </w:pPr>
      <w:r>
        <w:rPr>
          <w:rFonts w:hint="eastAsia" w:ascii="宋体" w:hAnsi="宋体" w:eastAsia="宋体" w:cs="宋体"/>
          <w:b/>
          <w:sz w:val="28"/>
          <w:szCs w:val="28"/>
          <w:highlight w:val="none"/>
          <w:lang w:bidi="ar"/>
        </w:rPr>
        <w:t>招 标 人</w:t>
      </w:r>
      <w:r>
        <w:rPr>
          <w:rFonts w:hint="eastAsia" w:ascii="宋体" w:hAnsi="宋体" w:eastAsia="宋体" w:cs="宋体"/>
          <w:b/>
          <w:sz w:val="28"/>
          <w:szCs w:val="28"/>
          <w:highlight w:val="none"/>
          <w:lang w:eastAsia="zh-CN" w:bidi="ar"/>
        </w:rPr>
        <w:t>（</w:t>
      </w:r>
      <w:r>
        <w:rPr>
          <w:rFonts w:hint="eastAsia" w:ascii="宋体" w:hAnsi="宋体" w:eastAsia="宋体" w:cs="宋体"/>
          <w:b/>
          <w:sz w:val="28"/>
          <w:szCs w:val="28"/>
          <w:highlight w:val="none"/>
          <w:lang w:val="en-US" w:eastAsia="zh-CN" w:bidi="ar"/>
        </w:rPr>
        <w:t>甲方</w:t>
      </w:r>
      <w:r>
        <w:rPr>
          <w:rFonts w:hint="eastAsia" w:ascii="宋体" w:hAnsi="宋体" w:eastAsia="宋体" w:cs="宋体"/>
          <w:b/>
          <w:sz w:val="28"/>
          <w:szCs w:val="28"/>
          <w:highlight w:val="none"/>
          <w:lang w:eastAsia="zh-CN" w:bidi="ar"/>
        </w:rPr>
        <w:t>）</w:t>
      </w:r>
      <w:r>
        <w:rPr>
          <w:rFonts w:hint="eastAsia" w:ascii="宋体" w:hAnsi="宋体" w:eastAsia="宋体" w:cs="宋体"/>
          <w:b/>
          <w:sz w:val="28"/>
          <w:szCs w:val="28"/>
          <w:highlight w:val="none"/>
          <w:lang w:bidi="ar"/>
        </w:rPr>
        <w:t>：</w:t>
      </w:r>
      <w:r>
        <w:rPr>
          <w:rFonts w:hint="eastAsia" w:ascii="宋体" w:hAnsi="宋体" w:eastAsia="宋体" w:cs="宋体"/>
          <w:b/>
          <w:sz w:val="28"/>
          <w:szCs w:val="28"/>
          <w:highlight w:val="none"/>
          <w:u w:val="single"/>
          <w:lang w:eastAsia="zh-CN" w:bidi="ar"/>
        </w:rPr>
        <w:t>榆林市市委机关事务服务中心</w:t>
      </w:r>
    </w:p>
    <w:p w14:paraId="789D847C">
      <w:pPr>
        <w:shd w:val="clear"/>
        <w:spacing w:before="120" w:line="360" w:lineRule="auto"/>
        <w:ind w:firstLine="281" w:firstLineChars="100"/>
        <w:rPr>
          <w:rFonts w:ascii="宋体" w:hAnsi="宋体" w:eastAsia="宋体" w:cs="宋体"/>
          <w:b/>
          <w:sz w:val="28"/>
          <w:szCs w:val="28"/>
          <w:highlight w:val="none"/>
          <w:u w:val="single"/>
          <w:lang w:bidi="ar"/>
        </w:rPr>
      </w:pPr>
      <w:r>
        <w:rPr>
          <w:rFonts w:hint="eastAsia" w:ascii="宋体" w:hAnsi="宋体" w:eastAsia="宋体" w:cs="宋体"/>
          <w:b/>
          <w:sz w:val="28"/>
          <w:szCs w:val="28"/>
          <w:highlight w:val="none"/>
          <w:lang w:bidi="ar"/>
        </w:rPr>
        <w:t>投 标 人</w:t>
      </w:r>
      <w:r>
        <w:rPr>
          <w:rFonts w:hint="eastAsia" w:ascii="宋体" w:hAnsi="宋体" w:eastAsia="宋体" w:cs="宋体"/>
          <w:b/>
          <w:sz w:val="28"/>
          <w:szCs w:val="28"/>
          <w:highlight w:val="none"/>
          <w:lang w:eastAsia="zh-CN" w:bidi="ar"/>
        </w:rPr>
        <w:t>（</w:t>
      </w:r>
      <w:r>
        <w:rPr>
          <w:rFonts w:hint="eastAsia" w:ascii="宋体" w:hAnsi="宋体" w:eastAsia="宋体" w:cs="宋体"/>
          <w:b/>
          <w:sz w:val="28"/>
          <w:szCs w:val="28"/>
          <w:highlight w:val="none"/>
          <w:lang w:val="en-US" w:eastAsia="zh-CN" w:bidi="ar"/>
        </w:rPr>
        <w:t>乙方</w:t>
      </w:r>
      <w:r>
        <w:rPr>
          <w:rFonts w:hint="eastAsia" w:ascii="宋体" w:hAnsi="宋体" w:eastAsia="宋体" w:cs="宋体"/>
          <w:b/>
          <w:sz w:val="28"/>
          <w:szCs w:val="28"/>
          <w:highlight w:val="none"/>
          <w:lang w:eastAsia="zh-CN" w:bidi="ar"/>
        </w:rPr>
        <w:t>）</w:t>
      </w:r>
      <w:r>
        <w:rPr>
          <w:rFonts w:hint="eastAsia" w:ascii="宋体" w:hAnsi="宋体" w:eastAsia="宋体" w:cs="宋体"/>
          <w:b/>
          <w:sz w:val="28"/>
          <w:szCs w:val="28"/>
          <w:highlight w:val="none"/>
          <w:lang w:bidi="ar"/>
        </w:rPr>
        <w:t>：</w:t>
      </w:r>
      <w:r>
        <w:rPr>
          <w:rFonts w:hint="eastAsia" w:ascii="宋体" w:hAnsi="宋体" w:eastAsia="宋体" w:cs="宋体"/>
          <w:b/>
          <w:sz w:val="28"/>
          <w:szCs w:val="28"/>
          <w:highlight w:val="none"/>
          <w:u w:val="single"/>
          <w:lang w:bidi="ar"/>
        </w:rPr>
        <w:t xml:space="preserve">                          </w:t>
      </w:r>
    </w:p>
    <w:p w14:paraId="089C45AB">
      <w:pPr>
        <w:shd w:val="clear"/>
        <w:spacing w:before="120" w:line="360" w:lineRule="auto"/>
        <w:ind w:firstLine="281" w:firstLineChars="100"/>
        <w:rPr>
          <w:rFonts w:ascii="宋体" w:hAnsi="宋体" w:eastAsia="宋体" w:cs="宋体"/>
          <w:b/>
          <w:sz w:val="24"/>
          <w:highlight w:val="none"/>
        </w:rPr>
      </w:pPr>
      <w:r>
        <w:rPr>
          <w:rFonts w:hint="eastAsia" w:ascii="宋体" w:hAnsi="宋体" w:eastAsia="宋体" w:cs="宋体"/>
          <w:b/>
          <w:sz w:val="28"/>
          <w:szCs w:val="28"/>
          <w:highlight w:val="none"/>
          <w:lang w:bidi="ar"/>
        </w:rPr>
        <w:t>签署日期：</w:t>
      </w:r>
      <w:r>
        <w:rPr>
          <w:rFonts w:hint="eastAsia" w:ascii="宋体" w:hAnsi="宋体" w:eastAsia="宋体" w:cs="宋体"/>
          <w:b/>
          <w:sz w:val="24"/>
          <w:highlight w:val="none"/>
          <w:u w:val="single"/>
          <w:lang w:bidi="ar"/>
        </w:rPr>
        <w:t xml:space="preserve">　　　　　　　　　　　　　     </w:t>
      </w:r>
    </w:p>
    <w:p w14:paraId="297F4533">
      <w:pPr>
        <w:shd w:val="clear"/>
        <w:spacing w:line="360" w:lineRule="auto"/>
        <w:jc w:val="center"/>
        <w:rPr>
          <w:b/>
          <w:sz w:val="30"/>
          <w:szCs w:val="30"/>
          <w:highlight w:val="none"/>
        </w:rPr>
      </w:pPr>
      <w:r>
        <w:rPr>
          <w:rFonts w:hint="eastAsia" w:ascii="宋体" w:hAnsi="宋体" w:eastAsia="宋体" w:cs="宋体"/>
          <w:szCs w:val="28"/>
          <w:highlight w:val="none"/>
          <w:lang w:bidi="ar"/>
        </w:rPr>
        <w:br w:type="page"/>
      </w:r>
      <w:bookmarkStart w:id="54" w:name="_Toc233435953"/>
      <w:bookmarkEnd w:id="54"/>
      <w:bookmarkStart w:id="55" w:name="_Toc356927946"/>
      <w:bookmarkEnd w:id="55"/>
      <w:r>
        <w:rPr>
          <w:rFonts w:hint="eastAsia" w:ascii="Times New Roman" w:hAnsi="Times New Roman" w:eastAsia="宋体" w:cs="宋体"/>
          <w:b/>
          <w:sz w:val="30"/>
          <w:szCs w:val="30"/>
          <w:highlight w:val="none"/>
          <w:lang w:bidi="ar"/>
        </w:rPr>
        <w:t>第一部分</w:t>
      </w:r>
      <w:r>
        <w:rPr>
          <w:rFonts w:ascii="Times New Roman" w:hAnsi="Times New Roman" w:eastAsia="宋体" w:cs="Times New Roman"/>
          <w:b/>
          <w:sz w:val="30"/>
          <w:szCs w:val="30"/>
          <w:highlight w:val="none"/>
          <w:lang w:bidi="ar"/>
        </w:rPr>
        <w:t xml:space="preserve">  </w:t>
      </w:r>
      <w:r>
        <w:rPr>
          <w:rFonts w:hint="eastAsia" w:ascii="Times New Roman" w:hAnsi="Times New Roman" w:eastAsia="宋体" w:cs="宋体"/>
          <w:b/>
          <w:sz w:val="30"/>
          <w:szCs w:val="30"/>
          <w:highlight w:val="none"/>
          <w:lang w:bidi="ar"/>
        </w:rPr>
        <w:t>协议书</w:t>
      </w:r>
    </w:p>
    <w:p w14:paraId="4E701742">
      <w:pPr>
        <w:shd w:val="clear"/>
        <w:spacing w:line="360" w:lineRule="auto"/>
        <w:jc w:val="center"/>
        <w:rPr>
          <w:b/>
          <w:sz w:val="30"/>
          <w:szCs w:val="30"/>
          <w:highlight w:val="none"/>
        </w:rPr>
      </w:pPr>
      <w:r>
        <w:rPr>
          <w:rFonts w:hint="eastAsia" w:ascii="Times New Roman" w:hAnsi="Times New Roman" w:eastAsia="宋体" w:cs="宋体"/>
          <w:b/>
          <w:sz w:val="30"/>
          <w:szCs w:val="30"/>
          <w:highlight w:val="none"/>
          <w:lang w:bidi="ar"/>
        </w:rPr>
        <w:t>（主要条款）</w:t>
      </w:r>
    </w:p>
    <w:p w14:paraId="1A46A12C">
      <w:pPr>
        <w:keepNext w:val="0"/>
        <w:keepLines w:val="0"/>
        <w:pageBreakBefore w:val="0"/>
        <w:widowControl w:val="0"/>
        <w:kinsoku/>
        <w:wordWrap/>
        <w:overflowPunct/>
        <w:topLinePunct w:val="0"/>
        <w:autoSpaceDE/>
        <w:autoSpaceDN/>
        <w:bidi w:val="0"/>
        <w:adjustRightInd/>
        <w:snapToGrid/>
        <w:spacing w:line="560" w:lineRule="exact"/>
        <w:ind w:firstLine="561"/>
        <w:jc w:val="left"/>
        <w:textAlignment w:val="auto"/>
        <w:outlineLvl w:val="9"/>
        <w:rPr>
          <w:rFonts w:hint="eastAsia" w:ascii="宋体" w:hAnsi="宋体" w:eastAsia="宋体" w:cs="宋体"/>
          <w:b/>
          <w:sz w:val="36"/>
          <w:szCs w:val="36"/>
          <w:u w:val="single"/>
          <w:lang w:val="en-US" w:eastAsia="zh-CN"/>
        </w:rPr>
      </w:pPr>
      <w:r>
        <w:rPr>
          <w:rFonts w:hint="eastAsia" w:ascii="宋体" w:hAnsi="宋体" w:eastAsia="宋体" w:cs="宋体"/>
          <w:b/>
          <w:sz w:val="36"/>
          <w:szCs w:val="36"/>
          <w:lang w:val="en-US" w:eastAsia="zh-CN"/>
        </w:rPr>
        <w:t>甲方：</w:t>
      </w:r>
      <w:r>
        <w:rPr>
          <w:rFonts w:hint="eastAsia" w:ascii="宋体" w:hAnsi="宋体" w:eastAsia="宋体" w:cs="宋体"/>
          <w:b/>
          <w:sz w:val="36"/>
          <w:szCs w:val="36"/>
          <w:u w:val="single"/>
          <w:lang w:val="en-US" w:eastAsia="zh-CN"/>
        </w:rPr>
        <w:t xml:space="preserve"> </w:t>
      </w:r>
      <w:r>
        <w:rPr>
          <w:rFonts w:hint="eastAsia" w:ascii="宋体" w:hAnsi="宋体" w:eastAsia="宋体" w:cs="宋体"/>
          <w:b w:val="0"/>
          <w:bCs/>
          <w:sz w:val="32"/>
          <w:szCs w:val="32"/>
          <w:u w:val="single"/>
          <w:lang w:val="en-US" w:eastAsia="zh-CN"/>
        </w:rPr>
        <w:t>榆林市市委机关事务服务中心</w:t>
      </w:r>
      <w:r>
        <w:rPr>
          <w:rFonts w:hint="eastAsia" w:ascii="宋体" w:hAnsi="宋体" w:eastAsia="宋体" w:cs="宋体"/>
          <w:b/>
          <w:sz w:val="36"/>
          <w:szCs w:val="36"/>
          <w:u w:val="single"/>
          <w:lang w:val="en-US" w:eastAsia="zh-CN"/>
        </w:rPr>
        <w:t xml:space="preserve"> </w:t>
      </w:r>
    </w:p>
    <w:p w14:paraId="0269286B">
      <w:pPr>
        <w:keepNext w:val="0"/>
        <w:keepLines w:val="0"/>
        <w:pageBreakBefore w:val="0"/>
        <w:widowControl w:val="0"/>
        <w:kinsoku/>
        <w:wordWrap/>
        <w:overflowPunct/>
        <w:topLinePunct w:val="0"/>
        <w:autoSpaceDE/>
        <w:autoSpaceDN/>
        <w:bidi w:val="0"/>
        <w:adjustRightInd/>
        <w:snapToGrid/>
        <w:spacing w:line="560" w:lineRule="exact"/>
        <w:ind w:firstLine="561"/>
        <w:jc w:val="left"/>
        <w:textAlignment w:val="auto"/>
        <w:outlineLvl w:val="9"/>
        <w:rPr>
          <w:rFonts w:hint="eastAsia" w:ascii="宋体" w:hAnsi="宋体" w:eastAsia="宋体" w:cs="宋体"/>
          <w:b/>
          <w:sz w:val="36"/>
          <w:szCs w:val="36"/>
          <w:u w:val="single"/>
          <w:lang w:val="en-US" w:eastAsia="zh-CN"/>
        </w:rPr>
      </w:pPr>
      <w:r>
        <w:rPr>
          <w:rFonts w:hint="eastAsia" w:ascii="宋体" w:hAnsi="宋体" w:eastAsia="宋体" w:cs="宋体"/>
          <w:b/>
          <w:sz w:val="36"/>
          <w:szCs w:val="36"/>
          <w:lang w:val="en-US" w:eastAsia="zh-CN"/>
        </w:rPr>
        <w:t>乙方：</w:t>
      </w:r>
      <w:r>
        <w:rPr>
          <w:rFonts w:hint="eastAsia" w:ascii="宋体" w:hAnsi="宋体" w:eastAsia="宋体" w:cs="宋体"/>
          <w:b/>
          <w:sz w:val="36"/>
          <w:szCs w:val="36"/>
          <w:u w:val="single"/>
          <w:lang w:val="en-US" w:eastAsia="zh-CN"/>
        </w:rPr>
        <w:t xml:space="preserve">                         </w:t>
      </w:r>
    </w:p>
    <w:p w14:paraId="76888993">
      <w:pPr>
        <w:widowControl/>
        <w:autoSpaceDE w:val="0"/>
        <w:autoSpaceDN w:val="0"/>
        <w:spacing w:line="440" w:lineRule="exact"/>
        <w:textAlignment w:val="bottom"/>
        <w:rPr>
          <w:rFonts w:hint="eastAsia" w:ascii="宋体" w:hAnsi="宋体" w:eastAsia="宋体" w:cs="宋体"/>
          <w:sz w:val="24"/>
        </w:rPr>
      </w:pPr>
    </w:p>
    <w:p w14:paraId="421819ED">
      <w:pPr>
        <w:tabs>
          <w:tab w:val="left" w:pos="855"/>
        </w:tabs>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szCs w:val="24"/>
          <w:lang w:val="zh-CN"/>
        </w:rPr>
        <w:t>甲乙双方本着平等互惠的原则，通过友好协商，一致同意按照《中华人民共和国</w:t>
      </w:r>
      <w:r>
        <w:rPr>
          <w:rFonts w:hint="eastAsia" w:ascii="宋体" w:hAnsi="宋体" w:eastAsia="宋体" w:cs="宋体"/>
          <w:sz w:val="24"/>
          <w:szCs w:val="24"/>
        </w:rPr>
        <w:t>民法典</w:t>
      </w:r>
      <w:r>
        <w:rPr>
          <w:rFonts w:hint="eastAsia" w:ascii="宋体" w:hAnsi="宋体" w:eastAsia="宋体" w:cs="宋体"/>
          <w:sz w:val="24"/>
          <w:szCs w:val="24"/>
          <w:lang w:val="zh-CN"/>
        </w:rPr>
        <w:t>》等有关中国法律、法规的规定签订本合同（以下简称“本合同”）。</w:t>
      </w:r>
    </w:p>
    <w:p w14:paraId="3DCF72F6">
      <w:pPr>
        <w:pStyle w:val="4"/>
        <w:ind w:firstLine="482"/>
        <w:rPr>
          <w:rFonts w:hint="eastAsia" w:ascii="宋体" w:hAnsi="宋体" w:eastAsia="宋体" w:cs="宋体"/>
          <w:b/>
          <w:lang w:val="zh-CN"/>
        </w:rPr>
      </w:pPr>
      <w:r>
        <w:rPr>
          <w:rFonts w:hint="eastAsia" w:ascii="宋体" w:hAnsi="宋体" w:eastAsia="宋体" w:cs="宋体"/>
          <w:b/>
          <w:lang w:val="zh-CN"/>
        </w:rPr>
        <w:t>第一条 合同标的及价格</w:t>
      </w:r>
    </w:p>
    <w:p w14:paraId="66B56F9C">
      <w:pPr>
        <w:snapToGrid w:val="0"/>
        <w:spacing w:line="420" w:lineRule="exact"/>
        <w:ind w:firstLine="480" w:firstLineChars="200"/>
        <w:rPr>
          <w:rFonts w:hint="eastAsia" w:ascii="宋体" w:hAnsi="宋体" w:eastAsia="宋体" w:cs="宋体"/>
          <w:sz w:val="24"/>
        </w:rPr>
      </w:pPr>
      <w:bookmarkStart w:id="56" w:name="_Toc102290616"/>
      <w:r>
        <w:rPr>
          <w:rFonts w:hint="eastAsia" w:ascii="宋体" w:hAnsi="宋体" w:eastAsia="宋体" w:cs="宋体"/>
          <w:sz w:val="24"/>
        </w:rPr>
        <w:t xml:space="preserve">1.1 </w:t>
      </w:r>
      <w:bookmarkEnd w:id="56"/>
      <w:r>
        <w:rPr>
          <w:rFonts w:hint="eastAsia" w:ascii="宋体" w:hAnsi="宋体" w:eastAsia="宋体" w:cs="宋体"/>
          <w:sz w:val="24"/>
        </w:rPr>
        <w:t>产品内容</w:t>
      </w:r>
    </w:p>
    <w:p w14:paraId="451C0CC0">
      <w:pPr>
        <w:snapToGrid w:val="0"/>
        <w:spacing w:line="420" w:lineRule="exact"/>
        <w:ind w:firstLine="480" w:firstLineChars="200"/>
        <w:rPr>
          <w:rFonts w:hint="eastAsia" w:ascii="宋体" w:hAnsi="宋体" w:eastAsia="宋体" w:cs="宋体"/>
          <w:sz w:val="24"/>
        </w:rPr>
      </w:pPr>
      <w:r>
        <w:rPr>
          <w:rFonts w:hint="eastAsia" w:ascii="宋体" w:hAnsi="宋体" w:eastAsia="宋体" w:cs="宋体"/>
          <w:sz w:val="24"/>
        </w:rPr>
        <w:t>乙方向甲方主会议室、常委会议室、7楼视频会议室以及全楼照明提供UPS后备电源、电池监控监测平台以及配套柴油发电机组备电产品，负责备电设备采购、建设、交付，及合同期内产品维护服务及平台监控管理，设备资产归属甲方。包括：集成、监控、维护等服务。</w:t>
      </w:r>
    </w:p>
    <w:p w14:paraId="0E3E6064">
      <w:pPr>
        <w:tabs>
          <w:tab w:val="left" w:pos="425"/>
          <w:tab w:val="left" w:pos="855"/>
        </w:tabs>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 xml:space="preserve">1.2 </w:t>
      </w:r>
      <w:bookmarkStart w:id="57" w:name="_Hlk40606895"/>
      <w:r>
        <w:rPr>
          <w:rFonts w:hint="eastAsia" w:ascii="宋体" w:hAnsi="宋体" w:eastAsia="宋体" w:cs="宋体"/>
          <w:sz w:val="24"/>
        </w:rPr>
        <w:t>产品集成</w:t>
      </w:r>
      <w:bookmarkEnd w:id="57"/>
    </w:p>
    <w:p w14:paraId="58983909">
      <w:pPr>
        <w:tabs>
          <w:tab w:val="left" w:pos="425"/>
          <w:tab w:val="left" w:pos="855"/>
        </w:tabs>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合同总价如下：</w:t>
      </w:r>
    </w:p>
    <w:p w14:paraId="3FA73733">
      <w:pPr>
        <w:tabs>
          <w:tab w:val="left" w:pos="425"/>
          <w:tab w:val="left" w:pos="855"/>
        </w:tabs>
        <w:spacing w:after="120" w:line="440" w:lineRule="exact"/>
        <w:ind w:firstLine="480" w:firstLineChars="200"/>
        <w:jc w:val="left"/>
        <w:rPr>
          <w:rFonts w:hint="eastAsia" w:ascii="宋体" w:hAnsi="宋体" w:eastAsia="宋体" w:cs="宋体"/>
          <w:sz w:val="24"/>
          <w:szCs w:val="24"/>
          <w:lang w:val="zh-CN"/>
        </w:rPr>
      </w:pPr>
      <w:r>
        <w:rPr>
          <w:rFonts w:hint="eastAsia" w:ascii="宋体" w:hAnsi="宋体" w:eastAsia="宋体" w:cs="宋体"/>
          <w:sz w:val="24"/>
          <w:szCs w:val="24"/>
        </w:rPr>
        <w:t>合</w:t>
      </w:r>
      <w:r>
        <w:rPr>
          <w:rFonts w:hint="eastAsia" w:ascii="宋体" w:hAnsi="宋体" w:eastAsia="宋体" w:cs="宋体"/>
          <w:sz w:val="24"/>
          <w:szCs w:val="24"/>
          <w:lang w:val="zh-CN"/>
        </w:rPr>
        <w:t>同集成金额（含税价）：</w:t>
      </w:r>
      <w:r>
        <w:rPr>
          <w:rFonts w:hint="eastAsia" w:ascii="宋体" w:hAnsi="宋体" w:eastAsia="宋体" w:cs="宋体"/>
          <w:sz w:val="24"/>
          <w:szCs w:val="24"/>
          <w:highlight w:val="none"/>
          <w:lang w:val="zh-CN"/>
        </w:rPr>
        <w:t>人民币大写[</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lang w:val="zh-CN"/>
        </w:rPr>
        <w:t>]元,小写[</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lang w:val="zh-CN"/>
        </w:rPr>
        <w:t>]元；其中不含税价款为人民币大写[</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lang w:val="zh-CN"/>
        </w:rPr>
        <w:t>]，小写[</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lang w:val="zh-CN"/>
        </w:rPr>
        <w:t>]元，适用增值税税率为[13%]，增值税款为人民币大写[</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lang w:val="zh-CN"/>
        </w:rPr>
        <w:t>]，小写[</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lang w:val="zh-CN"/>
        </w:rPr>
        <w:t>]元</w:t>
      </w:r>
      <w:r>
        <w:rPr>
          <w:rFonts w:hint="eastAsia" w:ascii="宋体" w:hAnsi="宋体" w:eastAsia="宋体" w:cs="宋体"/>
          <w:sz w:val="24"/>
          <w:szCs w:val="24"/>
          <w:lang w:val="zh-CN"/>
        </w:rPr>
        <w:t>。</w:t>
      </w:r>
    </w:p>
    <w:p w14:paraId="1C35C917">
      <w:pPr>
        <w:tabs>
          <w:tab w:val="left" w:pos="900"/>
        </w:tabs>
        <w:spacing w:line="440" w:lineRule="exact"/>
        <w:ind w:left="210" w:leftChars="100" w:firstLine="480" w:firstLineChars="200"/>
        <w:jc w:val="left"/>
        <w:rPr>
          <w:rFonts w:hint="eastAsia" w:ascii="宋体" w:hAnsi="宋体" w:eastAsia="宋体" w:cs="宋体"/>
          <w:sz w:val="24"/>
          <w:szCs w:val="24"/>
        </w:rPr>
      </w:pPr>
      <w:r>
        <w:rPr>
          <w:rFonts w:hint="eastAsia" w:ascii="宋体" w:hAnsi="宋体" w:eastAsia="宋体" w:cs="宋体"/>
          <w:sz w:val="24"/>
        </w:rPr>
        <w:t>1）上述金额为设备运送到甲方指定现场（或招标人指定地点）含税及运保费的交货价。</w:t>
      </w:r>
    </w:p>
    <w:p w14:paraId="75AC61C8">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rPr>
        <w:t>2）本合同包含设备安装及调试费用。</w:t>
      </w:r>
    </w:p>
    <w:p w14:paraId="78F71B02">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rPr>
        <w:t>3）在合同条款项目及技术规格应答中承诺满足的产品、服务应包含在上述金额中，否则视为上述金额中已包含或免费提供。</w:t>
      </w:r>
    </w:p>
    <w:p w14:paraId="6AEE2DB9">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rPr>
        <w:t>4）上述金额应包含保修期内的各项费用。</w:t>
      </w:r>
    </w:p>
    <w:p w14:paraId="171BDEA9">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rPr>
        <w:t>注：在合同履行过程中，若遇国家税率调整，按照增值税纳税义务发生时间的规定，对于合同未履行完毕的部分，以本合同不含税（单）价为基础，按新税率执行，后续不再另行签订补充协议。</w:t>
      </w:r>
    </w:p>
    <w:p w14:paraId="0CAD144D">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rPr>
        <w:t>1.3产品服务</w:t>
      </w:r>
    </w:p>
    <w:p w14:paraId="1C7F6567">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rPr>
        <w:t>1.3.1 基本服务：</w:t>
      </w:r>
    </w:p>
    <w:p w14:paraId="37E42525">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rPr>
        <w:t>1）日常告警处理。</w:t>
      </w:r>
    </w:p>
    <w:p w14:paraId="4EDF357E">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rPr>
        <w:t>2）各点位设备/半年定期巡检服务。</w:t>
      </w:r>
    </w:p>
    <w:p w14:paraId="3BEC8970">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rPr>
        <w:t>3）隐患排查并处理。</w:t>
      </w:r>
    </w:p>
    <w:p w14:paraId="3F04238E">
      <w:pPr>
        <w:tabs>
          <w:tab w:val="left" w:pos="900"/>
        </w:tabs>
        <w:spacing w:line="440" w:lineRule="exact"/>
        <w:ind w:left="210" w:leftChars="100" w:firstLine="480" w:firstLineChars="200"/>
        <w:jc w:val="left"/>
        <w:rPr>
          <w:rFonts w:hint="eastAsia" w:ascii="宋体" w:hAnsi="宋体" w:eastAsia="宋体" w:cs="宋体"/>
          <w:sz w:val="24"/>
        </w:rPr>
      </w:pPr>
      <w:r>
        <w:rPr>
          <w:rFonts w:hint="eastAsia" w:ascii="宋体" w:hAnsi="宋体" w:eastAsia="宋体" w:cs="宋体"/>
          <w:sz w:val="24"/>
          <w:lang w:val="zh-CN"/>
        </w:rPr>
        <w:t>在合同履行过程中，若遇国家税率调整，按照增值税纳税义务发生时间的规定，对于合同未履行完毕的部分，以本合同不含税（单）价为基础，按新税率执行，后续不再另行签订补充协议。</w:t>
      </w:r>
    </w:p>
    <w:p w14:paraId="20641548">
      <w:pPr>
        <w:pStyle w:val="4"/>
        <w:ind w:firstLine="482"/>
        <w:rPr>
          <w:rFonts w:hint="eastAsia" w:ascii="宋体" w:hAnsi="宋体" w:eastAsia="宋体" w:cs="宋体"/>
          <w:b/>
          <w:lang w:val="zh-CN"/>
        </w:rPr>
      </w:pPr>
      <w:r>
        <w:rPr>
          <w:rFonts w:hint="eastAsia" w:ascii="宋体" w:hAnsi="宋体" w:eastAsia="宋体" w:cs="宋体"/>
          <w:b/>
          <w:lang w:val="zh-CN"/>
        </w:rPr>
        <w:t>第二条 合同期限</w:t>
      </w:r>
    </w:p>
    <w:p w14:paraId="41B48A62">
      <w:pPr>
        <w:tabs>
          <w:tab w:val="left" w:pos="855"/>
        </w:tabs>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szCs w:val="24"/>
          <w:lang w:val="zh-CN"/>
        </w:rPr>
        <w:t>本协议项下的合作期限为</w:t>
      </w:r>
      <w:r>
        <w:rPr>
          <w:rFonts w:hint="eastAsia" w:ascii="宋体" w:hAnsi="宋体" w:eastAsia="宋体" w:cs="宋体"/>
          <w:sz w:val="24"/>
          <w:szCs w:val="24"/>
          <w:u w:val="single"/>
          <w:lang w:val="zh-CN"/>
        </w:rPr>
        <w:t xml:space="preserve"> </w:t>
      </w:r>
      <w:r>
        <w:rPr>
          <w:rFonts w:hint="eastAsia" w:ascii="宋体" w:hAnsi="宋体" w:eastAsia="宋体" w:cs="宋体"/>
          <w:sz w:val="24"/>
          <w:szCs w:val="24"/>
          <w:u w:val="single"/>
        </w:rPr>
        <w:t>壹</w:t>
      </w:r>
      <w:r>
        <w:rPr>
          <w:rFonts w:hint="eastAsia" w:ascii="宋体" w:hAnsi="宋体" w:eastAsia="宋体" w:cs="宋体"/>
          <w:sz w:val="24"/>
          <w:szCs w:val="24"/>
          <w:u w:val="single"/>
          <w:lang w:val="zh-CN"/>
        </w:rPr>
        <w:t xml:space="preserve"> </w:t>
      </w:r>
      <w:r>
        <w:rPr>
          <w:rFonts w:hint="eastAsia" w:ascii="宋体" w:hAnsi="宋体" w:eastAsia="宋体" w:cs="宋体"/>
          <w:sz w:val="24"/>
          <w:szCs w:val="24"/>
          <w:lang w:val="zh-CN"/>
        </w:rPr>
        <w:t>年期，自本协议签署生效之日起；</w:t>
      </w:r>
      <w:r>
        <w:rPr>
          <w:rFonts w:hint="eastAsia" w:ascii="宋体" w:hAnsi="宋体" w:eastAsia="宋体" w:cs="宋体"/>
          <w:sz w:val="24"/>
        </w:rPr>
        <w:t xml:space="preserve"> </w:t>
      </w:r>
    </w:p>
    <w:p w14:paraId="7797CD65">
      <w:pPr>
        <w:pStyle w:val="4"/>
        <w:numPr>
          <w:ilvl w:val="0"/>
          <w:numId w:val="1"/>
        </w:numPr>
        <w:ind w:firstLine="482"/>
        <w:rPr>
          <w:rFonts w:hint="eastAsia" w:ascii="宋体" w:hAnsi="宋体" w:eastAsia="宋体" w:cs="宋体"/>
          <w:b/>
          <w:lang w:val="zh-CN"/>
        </w:rPr>
      </w:pPr>
      <w:r>
        <w:rPr>
          <w:rFonts w:hint="eastAsia" w:ascii="宋体" w:hAnsi="宋体" w:eastAsia="宋体" w:cs="宋体"/>
          <w:b/>
          <w:lang w:val="zh-CN"/>
        </w:rPr>
        <w:t>发货</w:t>
      </w:r>
    </w:p>
    <w:p w14:paraId="48B86970">
      <w:pPr>
        <w:tabs>
          <w:tab w:val="left" w:pos="855"/>
        </w:tabs>
        <w:spacing w:after="120" w:line="440" w:lineRule="exact"/>
        <w:ind w:firstLine="480" w:firstLineChars="200"/>
        <w:jc w:val="left"/>
        <w:rPr>
          <w:rFonts w:hint="eastAsia" w:ascii="宋体" w:hAnsi="宋体" w:eastAsia="宋体" w:cs="宋体"/>
          <w:sz w:val="24"/>
          <w:szCs w:val="24"/>
          <w:lang w:val="zh-CN"/>
        </w:rPr>
      </w:pPr>
      <w:r>
        <w:rPr>
          <w:rFonts w:hint="eastAsia" w:ascii="宋体" w:hAnsi="宋体" w:eastAsia="宋体" w:cs="宋体"/>
          <w:sz w:val="24"/>
          <w:szCs w:val="24"/>
          <w:lang w:val="en-US" w:eastAsia="zh-CN"/>
        </w:rPr>
        <w:t>交货安装期：</w:t>
      </w:r>
      <w:r>
        <w:rPr>
          <w:rFonts w:hint="eastAsia" w:ascii="宋体" w:hAnsi="宋体" w:eastAsia="宋体" w:cs="宋体"/>
          <w:sz w:val="24"/>
          <w:szCs w:val="24"/>
          <w:lang w:val="zh-CN"/>
        </w:rPr>
        <w:t>合同签订之日起90日历天内供货安装调试完毕并验收合格</w:t>
      </w:r>
    </w:p>
    <w:p w14:paraId="204BAD60">
      <w:pPr>
        <w:tabs>
          <w:tab w:val="left" w:pos="855"/>
        </w:tabs>
        <w:spacing w:after="120" w:line="440" w:lineRule="exact"/>
        <w:ind w:firstLine="480" w:firstLineChars="200"/>
        <w:jc w:val="left"/>
        <w:rPr>
          <w:rFonts w:hint="eastAsia" w:ascii="宋体" w:hAnsi="宋体" w:eastAsia="宋体" w:cs="宋体"/>
          <w:sz w:val="24"/>
          <w:szCs w:val="24"/>
          <w:lang w:val="zh-CN"/>
        </w:rPr>
      </w:pPr>
      <w:r>
        <w:rPr>
          <w:rFonts w:hint="eastAsia" w:ascii="宋体" w:hAnsi="宋体" w:eastAsia="宋体" w:cs="宋体"/>
          <w:sz w:val="24"/>
          <w:szCs w:val="24"/>
          <w:lang w:val="zh-CN"/>
        </w:rPr>
        <w:t>3.1、物资到货时间要求：合同签订之日起</w:t>
      </w:r>
      <w:r>
        <w:rPr>
          <w:rFonts w:hint="eastAsia" w:ascii="宋体" w:hAnsi="宋体" w:eastAsia="宋体" w:cs="宋体"/>
          <w:sz w:val="24"/>
          <w:szCs w:val="24"/>
          <w:u w:val="single"/>
        </w:rPr>
        <w:t>30</w:t>
      </w:r>
      <w:r>
        <w:rPr>
          <w:rFonts w:hint="eastAsia" w:ascii="宋体" w:hAnsi="宋体" w:eastAsia="宋体" w:cs="宋体"/>
          <w:sz w:val="24"/>
          <w:szCs w:val="24"/>
          <w:lang w:val="zh-CN"/>
        </w:rPr>
        <w:t>日（依据乙方响应文件描述）内将订单约定的物资配送至甲方指定地点。</w:t>
      </w:r>
    </w:p>
    <w:p w14:paraId="7F9A95C5">
      <w:pPr>
        <w:tabs>
          <w:tab w:val="left" w:pos="855"/>
        </w:tabs>
        <w:spacing w:after="120" w:line="440" w:lineRule="exact"/>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zh-CN"/>
        </w:rPr>
        <w:t>3.2、物资配送地点：</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榆林市榆阳区</w:t>
      </w:r>
      <w:r>
        <w:rPr>
          <w:rFonts w:hint="eastAsia" w:ascii="宋体" w:hAnsi="宋体" w:eastAsia="宋体" w:cs="宋体"/>
          <w:sz w:val="24"/>
          <w:szCs w:val="24"/>
          <w:u w:val="single"/>
          <w:lang w:val="en-US" w:eastAsia="zh-CN"/>
        </w:rPr>
        <w:t xml:space="preserve"> </w:t>
      </w:r>
    </w:p>
    <w:p w14:paraId="7113E13A">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szCs w:val="24"/>
          <w:lang w:val="zh-CN"/>
        </w:rPr>
        <w:t>3</w:t>
      </w:r>
      <w:r>
        <w:rPr>
          <w:rFonts w:hint="eastAsia" w:ascii="宋体" w:hAnsi="宋体" w:eastAsia="宋体" w:cs="宋体"/>
          <w:sz w:val="24"/>
        </w:rPr>
        <w:t>.3、乙方应在交货前及时通知甲方提供设备详细信息，以便甲方安排接货。</w:t>
      </w:r>
    </w:p>
    <w:p w14:paraId="62E9C23E">
      <w:pPr>
        <w:pStyle w:val="4"/>
        <w:ind w:firstLine="482"/>
        <w:rPr>
          <w:rFonts w:hint="eastAsia" w:ascii="宋体" w:hAnsi="宋体" w:eastAsia="宋体" w:cs="宋体"/>
          <w:b/>
        </w:rPr>
      </w:pPr>
      <w:r>
        <w:rPr>
          <w:rFonts w:hint="eastAsia" w:ascii="宋体" w:hAnsi="宋体" w:eastAsia="宋体" w:cs="宋体"/>
          <w:b/>
        </w:rPr>
        <w:t>第四条 产品确认与交付</w:t>
      </w:r>
    </w:p>
    <w:p w14:paraId="43974E30">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4.1</w:t>
      </w:r>
      <w:r>
        <w:rPr>
          <w:rFonts w:hint="eastAsia" w:ascii="宋体" w:hAnsi="宋体" w:eastAsia="宋体" w:cs="宋体"/>
          <w:color w:val="auto"/>
          <w:sz w:val="24"/>
        </w:rPr>
        <w:t>乙方保证提供给甲方的货物，其质量、性能、规格、数量均符合本合同及其附件的规定。甲乙双方共同签字确认后，</w:t>
      </w:r>
      <w:r>
        <w:rPr>
          <w:rFonts w:hint="eastAsia" w:ascii="宋体" w:hAnsi="宋体" w:eastAsia="宋体" w:cs="宋体"/>
          <w:sz w:val="24"/>
        </w:rPr>
        <w:t>[30]个工作日内完成合同内备电设备安装调测。</w:t>
      </w:r>
    </w:p>
    <w:p w14:paraId="3B6808B9">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4.2 乙方备电设备安装完毕，并符合使用要求，提请甲方进行验收。</w:t>
      </w:r>
    </w:p>
    <w:p w14:paraId="5F612234">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4.3 完成备电服务产品验验收并签订交付单后，货物的所有权及风险从乙方转移给甲方。</w:t>
      </w:r>
    </w:p>
    <w:p w14:paraId="4458AA81">
      <w:pPr>
        <w:pStyle w:val="4"/>
        <w:ind w:firstLine="482"/>
        <w:rPr>
          <w:rFonts w:hint="eastAsia" w:ascii="宋体" w:hAnsi="宋体" w:eastAsia="宋体" w:cs="宋体"/>
          <w:b/>
          <w:lang w:val="zh-CN"/>
        </w:rPr>
      </w:pPr>
      <w:r>
        <w:rPr>
          <w:rFonts w:hint="eastAsia" w:ascii="宋体" w:hAnsi="宋体" w:eastAsia="宋体" w:cs="宋体"/>
          <w:b/>
        </w:rPr>
        <w:t xml:space="preserve">第五条 </w:t>
      </w:r>
      <w:r>
        <w:rPr>
          <w:rFonts w:hint="eastAsia" w:ascii="宋体" w:hAnsi="宋体" w:eastAsia="宋体" w:cs="宋体"/>
          <w:b/>
          <w:lang w:val="zh-CN"/>
        </w:rPr>
        <w:t>质量保障</w:t>
      </w:r>
    </w:p>
    <w:p w14:paraId="413F7E5E">
      <w:pPr>
        <w:tabs>
          <w:tab w:val="left" w:pos="-1"/>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5.1 乙方应在合同期内免费更换任何有质量问题或者不符合本合同约定用途的产品，由此产生的一切费用由乙方承担。</w:t>
      </w:r>
    </w:p>
    <w:p w14:paraId="3EA13F42">
      <w:pPr>
        <w:tabs>
          <w:tab w:val="left" w:pos="-1"/>
          <w:tab w:val="left" w:pos="855"/>
        </w:tabs>
        <w:snapToGrid w:val="0"/>
        <w:spacing w:after="120" w:line="440" w:lineRule="exact"/>
        <w:ind w:firstLine="480" w:firstLineChars="200"/>
        <w:jc w:val="left"/>
        <w:rPr>
          <w:rFonts w:hint="eastAsia" w:ascii="宋体" w:hAnsi="宋体" w:eastAsia="宋体" w:cs="宋体"/>
          <w:color w:val="auto"/>
          <w:sz w:val="24"/>
        </w:rPr>
      </w:pPr>
      <w:r>
        <w:rPr>
          <w:rFonts w:hint="eastAsia" w:ascii="宋体" w:hAnsi="宋体" w:eastAsia="宋体" w:cs="宋体"/>
          <w:sz w:val="24"/>
        </w:rPr>
        <w:t>5.2对于有质量问题或者不符合甲方用途的产品，</w:t>
      </w:r>
      <w:r>
        <w:rPr>
          <w:rFonts w:hint="eastAsia" w:ascii="宋体" w:hAnsi="宋体" w:eastAsia="宋体" w:cs="宋体"/>
          <w:color w:val="auto"/>
          <w:sz w:val="24"/>
        </w:rPr>
        <w:t>乙方应自甲方将有质量问题的产品交付乙方之日起10日内予以更换。</w:t>
      </w:r>
    </w:p>
    <w:p w14:paraId="08A3F0B8">
      <w:pPr>
        <w:tabs>
          <w:tab w:val="left" w:pos="-1"/>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5.3合同期届满后，如甲方有需求，乙方可继续为甲方提供货物的修理和更换服务。服务价格不得高于乙方为其他第三方提供服务的价格。</w:t>
      </w:r>
    </w:p>
    <w:p w14:paraId="7C96F3B1">
      <w:pPr>
        <w:tabs>
          <w:tab w:val="left" w:pos="-1"/>
          <w:tab w:val="left" w:pos="855"/>
        </w:tabs>
        <w:snapToGrid w:val="0"/>
        <w:spacing w:after="120" w:line="440" w:lineRule="exact"/>
        <w:ind w:firstLine="480" w:firstLineChars="200"/>
        <w:jc w:val="left"/>
        <w:rPr>
          <w:rFonts w:hint="eastAsia" w:ascii="宋体" w:hAnsi="宋体" w:eastAsia="宋体" w:cs="宋体"/>
          <w:sz w:val="24"/>
          <w:lang w:val="en-US" w:eastAsia="zh-CN"/>
        </w:rPr>
      </w:pPr>
      <w:r>
        <w:rPr>
          <w:rFonts w:hint="eastAsia" w:ascii="宋体" w:hAnsi="宋体" w:eastAsia="宋体" w:cs="宋体"/>
          <w:sz w:val="24"/>
          <w:lang w:val="en-US" w:eastAsia="zh-CN"/>
        </w:rPr>
        <w:t>5.4保修期内</w:t>
      </w:r>
    </w:p>
    <w:p w14:paraId="68CF78E9">
      <w:pPr>
        <w:tabs>
          <w:tab w:val="left" w:pos="-1"/>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5.</w:t>
      </w:r>
      <w:r>
        <w:rPr>
          <w:rFonts w:hint="eastAsia" w:ascii="宋体" w:hAnsi="宋体" w:eastAsia="宋体" w:cs="宋体"/>
          <w:sz w:val="24"/>
          <w:lang w:val="en-US" w:eastAsia="zh-CN"/>
        </w:rPr>
        <w:t>5</w:t>
      </w:r>
      <w:r>
        <w:rPr>
          <w:rFonts w:hint="eastAsia" w:ascii="宋体" w:hAnsi="宋体" w:eastAsia="宋体" w:cs="宋体"/>
          <w:sz w:val="24"/>
        </w:rPr>
        <w:t>无论是否在保修期内，发现货物存在设计和/或制造上的严重缺陷，导致设备不能正常运行的，甲方有权退货，并要求乙方承担全部损失。</w:t>
      </w:r>
    </w:p>
    <w:p w14:paraId="6892037F">
      <w:pPr>
        <w:pStyle w:val="4"/>
        <w:ind w:firstLine="482"/>
        <w:rPr>
          <w:rFonts w:hint="eastAsia" w:ascii="宋体" w:hAnsi="宋体" w:eastAsia="宋体" w:cs="宋体"/>
          <w:b/>
          <w:lang w:val="zh-CN"/>
        </w:rPr>
      </w:pPr>
      <w:r>
        <w:rPr>
          <w:rFonts w:hint="eastAsia" w:ascii="宋体" w:hAnsi="宋体" w:eastAsia="宋体" w:cs="宋体"/>
          <w:b/>
          <w:lang w:val="zh-CN"/>
        </w:rPr>
        <w:t>第六条 结算</w:t>
      </w:r>
    </w:p>
    <w:p w14:paraId="4C3608E9">
      <w:pPr>
        <w:tabs>
          <w:tab w:val="left" w:pos="855"/>
        </w:tabs>
        <w:snapToGrid w:val="0"/>
        <w:spacing w:after="120" w:line="440" w:lineRule="exact"/>
        <w:ind w:firstLine="480" w:firstLineChars="200"/>
        <w:jc w:val="left"/>
        <w:rPr>
          <w:rFonts w:hint="eastAsia" w:ascii="宋体" w:hAnsi="宋体" w:eastAsia="宋体" w:cs="宋体"/>
          <w:sz w:val="24"/>
          <w:szCs w:val="24"/>
          <w:lang w:val="zh-CN"/>
        </w:rPr>
      </w:pPr>
      <w:r>
        <w:rPr>
          <w:rFonts w:hint="eastAsia" w:ascii="宋体" w:hAnsi="宋体" w:eastAsia="宋体" w:cs="宋体"/>
          <w:sz w:val="24"/>
          <w:szCs w:val="24"/>
          <w:lang w:val="zh-CN"/>
        </w:rPr>
        <w:t>6.1甲应按照以下条款向乙方支付产品费用。</w:t>
      </w:r>
    </w:p>
    <w:p w14:paraId="22C319CA">
      <w:pPr>
        <w:tabs>
          <w:tab w:val="left" w:pos="855"/>
        </w:tabs>
        <w:snapToGrid w:val="0"/>
        <w:spacing w:after="120" w:line="440" w:lineRule="exact"/>
        <w:ind w:firstLine="480" w:firstLineChars="200"/>
        <w:jc w:val="left"/>
        <w:rPr>
          <w:rFonts w:hint="eastAsia" w:ascii="宋体" w:hAnsi="宋体" w:eastAsia="宋体" w:cs="宋体"/>
          <w:sz w:val="24"/>
          <w:szCs w:val="24"/>
          <w:lang w:val="zh-CN"/>
        </w:rPr>
      </w:pPr>
      <w:r>
        <w:rPr>
          <w:rFonts w:hint="eastAsia" w:ascii="宋体" w:hAnsi="宋体" w:eastAsia="宋体" w:cs="宋体"/>
          <w:sz w:val="24"/>
          <w:szCs w:val="24"/>
          <w:lang w:val="zh-CN"/>
        </w:rPr>
        <w:t>6.1.1 产品集成费用</w:t>
      </w:r>
    </w:p>
    <w:p w14:paraId="4018EDA9">
      <w:pPr>
        <w:tabs>
          <w:tab w:val="left" w:pos="-1"/>
          <w:tab w:val="left" w:pos="855"/>
        </w:tabs>
        <w:snapToGrid w:val="0"/>
        <w:spacing w:after="120" w:line="440" w:lineRule="exact"/>
        <w:ind w:firstLine="480" w:firstLineChars="200"/>
        <w:jc w:val="both"/>
        <w:rPr>
          <w:rFonts w:hint="eastAsia" w:ascii="宋体" w:hAnsi="宋体" w:eastAsia="宋体" w:cs="宋体"/>
          <w:sz w:val="24"/>
          <w:lang w:val="zh-CN"/>
        </w:rPr>
      </w:pPr>
      <w:r>
        <w:rPr>
          <w:rFonts w:hint="eastAsia" w:ascii="宋体" w:hAnsi="宋体" w:eastAsia="宋体" w:cs="宋体"/>
          <w:sz w:val="24"/>
        </w:rPr>
        <w:t>合同签订后，甲方预付合同总价的40%，支付金额为</w:t>
      </w:r>
      <w:r>
        <w:rPr>
          <w:rFonts w:hint="eastAsia" w:ascii="宋体" w:hAnsi="宋体" w:eastAsia="宋体" w:cs="宋体"/>
          <w:sz w:val="24"/>
          <w:lang w:val="zh-CN"/>
        </w:rPr>
        <w:t>人民币大写[</w:t>
      </w:r>
      <w:r>
        <w:rPr>
          <w:rFonts w:hint="eastAsia" w:ascii="宋体" w:hAnsi="宋体" w:eastAsia="宋体" w:cs="宋体"/>
          <w:sz w:val="24"/>
        </w:rPr>
        <w:t xml:space="preserve">          </w:t>
      </w:r>
      <w:r>
        <w:rPr>
          <w:rFonts w:hint="eastAsia" w:ascii="宋体" w:hAnsi="宋体" w:eastAsia="宋体" w:cs="宋体"/>
          <w:sz w:val="24"/>
          <w:lang w:val="zh-CN"/>
        </w:rPr>
        <w:t>]元,小写[</w:t>
      </w:r>
      <w:r>
        <w:rPr>
          <w:rFonts w:hint="eastAsia" w:ascii="宋体" w:hAnsi="宋体" w:eastAsia="宋体" w:cs="宋体"/>
          <w:sz w:val="24"/>
        </w:rPr>
        <w:t xml:space="preserve">          </w:t>
      </w:r>
      <w:r>
        <w:rPr>
          <w:rFonts w:hint="eastAsia" w:ascii="宋体" w:hAnsi="宋体" w:eastAsia="宋体" w:cs="宋体"/>
          <w:sz w:val="24"/>
          <w:lang w:val="zh-CN"/>
        </w:rPr>
        <w:t>]元，</w:t>
      </w:r>
      <w:r>
        <w:rPr>
          <w:rFonts w:hint="eastAsia" w:ascii="宋体" w:hAnsi="宋体" w:eastAsia="宋体" w:cs="宋体"/>
          <w:sz w:val="24"/>
        </w:rPr>
        <w:t>设备到货后，甲方支付合同总价的30%，支付金额为</w:t>
      </w:r>
      <w:r>
        <w:rPr>
          <w:rFonts w:hint="eastAsia" w:ascii="宋体" w:hAnsi="宋体" w:eastAsia="宋体" w:cs="宋体"/>
          <w:sz w:val="24"/>
          <w:lang w:val="zh-CN"/>
        </w:rPr>
        <w:t>人民币大写[</w:t>
      </w:r>
      <w:r>
        <w:rPr>
          <w:rFonts w:hint="eastAsia" w:ascii="宋体" w:hAnsi="宋体" w:eastAsia="宋体" w:cs="宋体"/>
          <w:sz w:val="24"/>
        </w:rPr>
        <w:t xml:space="preserve">          </w:t>
      </w:r>
      <w:r>
        <w:rPr>
          <w:rFonts w:hint="eastAsia" w:ascii="宋体" w:hAnsi="宋体" w:eastAsia="宋体" w:cs="宋体"/>
          <w:sz w:val="24"/>
          <w:lang w:val="zh-CN"/>
        </w:rPr>
        <w:t>]元,小写[</w:t>
      </w:r>
      <w:r>
        <w:rPr>
          <w:rFonts w:hint="eastAsia" w:ascii="宋体" w:hAnsi="宋体" w:eastAsia="宋体" w:cs="宋体"/>
          <w:sz w:val="24"/>
        </w:rPr>
        <w:t xml:space="preserve">          </w:t>
      </w:r>
      <w:r>
        <w:rPr>
          <w:rFonts w:hint="eastAsia" w:ascii="宋体" w:hAnsi="宋体" w:eastAsia="宋体" w:cs="宋体"/>
          <w:sz w:val="24"/>
          <w:lang w:val="zh-CN"/>
        </w:rPr>
        <w:t>]元，</w:t>
      </w:r>
      <w:r>
        <w:rPr>
          <w:rFonts w:hint="eastAsia" w:ascii="宋体" w:hAnsi="宋体" w:eastAsia="宋体" w:cs="宋体"/>
          <w:sz w:val="24"/>
        </w:rPr>
        <w:t>设备安装调试完成、验收合格后，甲方支付合同总价的27%，支付金额为</w:t>
      </w:r>
      <w:r>
        <w:rPr>
          <w:rFonts w:hint="eastAsia" w:ascii="宋体" w:hAnsi="宋体" w:eastAsia="宋体" w:cs="宋体"/>
          <w:sz w:val="24"/>
          <w:lang w:val="zh-CN"/>
        </w:rPr>
        <w:t>人民币大写[</w:t>
      </w:r>
      <w:r>
        <w:rPr>
          <w:rFonts w:hint="eastAsia" w:ascii="宋体" w:hAnsi="宋体" w:eastAsia="宋体" w:cs="宋体"/>
          <w:sz w:val="24"/>
        </w:rPr>
        <w:t xml:space="preserve">          </w:t>
      </w:r>
      <w:r>
        <w:rPr>
          <w:rFonts w:hint="eastAsia" w:ascii="宋体" w:hAnsi="宋体" w:eastAsia="宋体" w:cs="宋体"/>
          <w:sz w:val="24"/>
          <w:lang w:val="zh-CN"/>
        </w:rPr>
        <w:t>]元,小写[</w:t>
      </w:r>
      <w:r>
        <w:rPr>
          <w:rFonts w:hint="eastAsia" w:ascii="宋体" w:hAnsi="宋体" w:eastAsia="宋体" w:cs="宋体"/>
          <w:sz w:val="24"/>
        </w:rPr>
        <w:t xml:space="preserve">          </w:t>
      </w:r>
      <w:r>
        <w:rPr>
          <w:rFonts w:hint="eastAsia" w:ascii="宋体" w:hAnsi="宋体" w:eastAsia="宋体" w:cs="宋体"/>
          <w:sz w:val="24"/>
          <w:lang w:val="zh-CN"/>
        </w:rPr>
        <w:t>]元，</w:t>
      </w:r>
      <w:r>
        <w:rPr>
          <w:rFonts w:hint="eastAsia" w:ascii="宋体" w:hAnsi="宋体" w:eastAsia="宋体" w:cs="宋体"/>
          <w:sz w:val="24"/>
        </w:rPr>
        <w:t>剩余3%作为质保金,项目验收一年后</w:t>
      </w:r>
      <w:r>
        <w:rPr>
          <w:rFonts w:hint="eastAsia" w:ascii="宋体" w:hAnsi="宋体" w:eastAsia="宋体" w:cs="宋体"/>
          <w:sz w:val="24"/>
          <w:lang w:val="zh-CN"/>
        </w:rPr>
        <w:t>甲方</w:t>
      </w:r>
      <w:bookmarkStart w:id="58" w:name="_Hlk40471754"/>
      <w:r>
        <w:rPr>
          <w:rFonts w:hint="eastAsia" w:ascii="宋体" w:hAnsi="宋体" w:eastAsia="宋体" w:cs="宋体"/>
          <w:sz w:val="24"/>
        </w:rPr>
        <w:t>支付金额为</w:t>
      </w:r>
      <w:r>
        <w:rPr>
          <w:rFonts w:hint="eastAsia" w:ascii="宋体" w:hAnsi="宋体" w:eastAsia="宋体" w:cs="宋体"/>
          <w:sz w:val="24"/>
          <w:lang w:val="zh-CN"/>
        </w:rPr>
        <w:t>人民币大写[</w:t>
      </w:r>
      <w:r>
        <w:rPr>
          <w:rFonts w:hint="eastAsia" w:ascii="宋体" w:hAnsi="宋体" w:eastAsia="宋体" w:cs="宋体"/>
          <w:sz w:val="24"/>
        </w:rPr>
        <w:t xml:space="preserve">          </w:t>
      </w:r>
      <w:r>
        <w:rPr>
          <w:rFonts w:hint="eastAsia" w:ascii="宋体" w:hAnsi="宋体" w:eastAsia="宋体" w:cs="宋体"/>
          <w:sz w:val="24"/>
          <w:lang w:val="zh-CN"/>
        </w:rPr>
        <w:t>]元,小写[</w:t>
      </w:r>
      <w:r>
        <w:rPr>
          <w:rFonts w:hint="eastAsia" w:ascii="宋体" w:hAnsi="宋体" w:eastAsia="宋体" w:cs="宋体"/>
          <w:sz w:val="24"/>
        </w:rPr>
        <w:t xml:space="preserve">          </w:t>
      </w:r>
      <w:r>
        <w:rPr>
          <w:rFonts w:hint="eastAsia" w:ascii="宋体" w:hAnsi="宋体" w:eastAsia="宋体" w:cs="宋体"/>
          <w:sz w:val="24"/>
          <w:lang w:val="zh-CN"/>
        </w:rPr>
        <w:t>]元。</w:t>
      </w:r>
    </w:p>
    <w:p w14:paraId="620FFF2F">
      <w:pPr>
        <w:pStyle w:val="203"/>
        <w:numPr>
          <w:ilvl w:val="0"/>
          <w:numId w:val="0"/>
        </w:numPr>
        <w:snapToGrid w:val="0"/>
        <w:spacing w:line="440" w:lineRule="exact"/>
        <w:ind w:left="720" w:lef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乙方开具等额的、符合国家规定增值税普通发票。</w:t>
      </w:r>
    </w:p>
    <w:p w14:paraId="67F87A49">
      <w:pPr>
        <w:pStyle w:val="203"/>
        <w:numPr>
          <w:ilvl w:val="0"/>
          <w:numId w:val="0"/>
        </w:numPr>
        <w:snapToGrid w:val="0"/>
        <w:spacing w:line="440" w:lineRule="exact"/>
        <w:ind w:left="720" w:lef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《交付清单》。</w:t>
      </w:r>
    </w:p>
    <w:bookmarkEnd w:id="58"/>
    <w:p w14:paraId="7E48934D">
      <w:pPr>
        <w:tabs>
          <w:tab w:val="left" w:pos="855"/>
        </w:tabs>
        <w:spacing w:after="120" w:line="440" w:lineRule="exact"/>
        <w:ind w:firstLine="240" w:firstLineChars="100"/>
        <w:jc w:val="left"/>
        <w:rPr>
          <w:rFonts w:hint="eastAsia" w:ascii="宋体" w:hAnsi="宋体" w:eastAsia="宋体" w:cs="宋体"/>
          <w:sz w:val="24"/>
          <w:szCs w:val="24"/>
          <w:lang w:val="zh-CN"/>
        </w:rPr>
      </w:pPr>
      <w:r>
        <w:rPr>
          <w:rFonts w:hint="eastAsia" w:ascii="宋体" w:hAnsi="宋体" w:eastAsia="宋体" w:cs="宋体"/>
          <w:sz w:val="24"/>
        </w:rPr>
        <w:t xml:space="preserve">  6</w:t>
      </w:r>
      <w:r>
        <w:rPr>
          <w:rFonts w:hint="eastAsia" w:ascii="宋体" w:hAnsi="宋体" w:eastAsia="宋体" w:cs="宋体"/>
          <w:sz w:val="24"/>
          <w:szCs w:val="24"/>
          <w:lang w:val="zh-CN"/>
        </w:rPr>
        <w:t>.2除另有约定外，甲方或采购方无需就本合同项下委托事项向乙方支付上述约定金额之外的任何其他费用及税费（包括但不限于营业税、增值税等）。</w:t>
      </w:r>
    </w:p>
    <w:p w14:paraId="1311883B">
      <w:pPr>
        <w:tabs>
          <w:tab w:val="left" w:pos="855"/>
        </w:tabs>
        <w:spacing w:after="120" w:line="440" w:lineRule="exact"/>
        <w:ind w:firstLine="480" w:firstLineChars="200"/>
        <w:jc w:val="left"/>
        <w:rPr>
          <w:rFonts w:hint="eastAsia" w:ascii="宋体" w:hAnsi="宋体" w:eastAsia="宋体" w:cs="宋体"/>
          <w:sz w:val="24"/>
          <w:szCs w:val="24"/>
          <w:lang w:val="zh-CN"/>
        </w:rPr>
      </w:pPr>
      <w:r>
        <w:rPr>
          <w:rFonts w:hint="eastAsia" w:ascii="宋体" w:hAnsi="宋体" w:eastAsia="宋体" w:cs="宋体"/>
          <w:sz w:val="24"/>
          <w:szCs w:val="24"/>
          <w:lang w:val="zh-CN"/>
        </w:rPr>
        <w:t>6.3付款方式：甲方与乙方之间通过</w:t>
      </w:r>
      <w:r>
        <w:rPr>
          <w:rFonts w:hint="eastAsia" w:ascii="宋体" w:hAnsi="宋体" w:eastAsia="宋体" w:cs="宋体"/>
          <w:sz w:val="24"/>
          <w:szCs w:val="24"/>
          <w:lang w:val="en-US" w:eastAsia="zh-CN"/>
        </w:rPr>
        <w:t>银行转账</w:t>
      </w:r>
      <w:r>
        <w:rPr>
          <w:rFonts w:hint="eastAsia" w:ascii="宋体" w:hAnsi="宋体" w:eastAsia="宋体" w:cs="宋体"/>
          <w:sz w:val="24"/>
          <w:szCs w:val="24"/>
          <w:lang w:val="zh-CN"/>
        </w:rPr>
        <w:t>方式进行结算。</w:t>
      </w:r>
    </w:p>
    <w:p w14:paraId="0ECD53F8">
      <w:pPr>
        <w:snapToGrid w:val="0"/>
        <w:spacing w:line="440" w:lineRule="exact"/>
        <w:ind w:firstLine="480" w:firstLineChars="200"/>
        <w:jc w:val="left"/>
        <w:rPr>
          <w:rFonts w:hint="eastAsia" w:ascii="宋体" w:hAnsi="宋体" w:eastAsia="宋体" w:cs="宋体"/>
          <w:sz w:val="24"/>
          <w:szCs w:val="24"/>
          <w:lang w:val="zh-CN"/>
        </w:rPr>
      </w:pPr>
      <w:r>
        <w:rPr>
          <w:rFonts w:hint="eastAsia" w:ascii="宋体" w:hAnsi="宋体" w:eastAsia="宋体" w:cs="宋体"/>
          <w:sz w:val="24"/>
          <w:szCs w:val="24"/>
          <w:lang w:val="zh-CN"/>
        </w:rPr>
        <w:t>6.4双方银行信息如下：</w:t>
      </w:r>
    </w:p>
    <w:p w14:paraId="6E0613A2">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甲方开票信息：</w:t>
      </w:r>
    </w:p>
    <w:p w14:paraId="4A4AC1A6">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 xml:space="preserve">开户行： </w:t>
      </w:r>
    </w:p>
    <w:p w14:paraId="73F5AA16">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 xml:space="preserve">账户名称： </w:t>
      </w:r>
    </w:p>
    <w:p w14:paraId="3364D481">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 xml:space="preserve">银行账号： </w:t>
      </w:r>
    </w:p>
    <w:p w14:paraId="792C5834">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 xml:space="preserve">纳税人识别号： </w:t>
      </w:r>
    </w:p>
    <w:p w14:paraId="31764BD3">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 xml:space="preserve">地址： </w:t>
      </w:r>
    </w:p>
    <w:p w14:paraId="0E715457">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 xml:space="preserve">电话： </w:t>
      </w:r>
    </w:p>
    <w:p w14:paraId="62CB7C30">
      <w:pPr>
        <w:snapToGrid w:val="0"/>
        <w:spacing w:line="440" w:lineRule="exact"/>
        <w:ind w:left="1560" w:leftChars="400" w:hanging="720" w:hangingChars="300"/>
        <w:jc w:val="left"/>
        <w:rPr>
          <w:rFonts w:hint="eastAsia" w:ascii="宋体" w:hAnsi="宋体" w:eastAsia="宋体" w:cs="宋体"/>
          <w:sz w:val="24"/>
          <w:highlight w:val="yellow"/>
        </w:rPr>
      </w:pPr>
    </w:p>
    <w:p w14:paraId="082A04FD">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乙方银行信息：</w:t>
      </w:r>
    </w:p>
    <w:p w14:paraId="6B76FAF8">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开户行：</w:t>
      </w:r>
    </w:p>
    <w:p w14:paraId="79787189">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账户名称：</w:t>
      </w:r>
    </w:p>
    <w:p w14:paraId="48F59B8B">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银行账号：</w:t>
      </w:r>
    </w:p>
    <w:p w14:paraId="1391AACF">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纳税人识别号：</w:t>
      </w:r>
    </w:p>
    <w:p w14:paraId="7723C82E">
      <w:pPr>
        <w:snapToGrid w:val="0"/>
        <w:spacing w:line="440" w:lineRule="exact"/>
        <w:ind w:left="1560" w:leftChars="400" w:hanging="720" w:hangingChars="300"/>
        <w:jc w:val="left"/>
        <w:rPr>
          <w:rFonts w:hint="eastAsia" w:ascii="宋体" w:hAnsi="宋体" w:eastAsia="宋体" w:cs="宋体"/>
          <w:sz w:val="24"/>
        </w:rPr>
      </w:pPr>
      <w:r>
        <w:rPr>
          <w:rFonts w:hint="eastAsia" w:ascii="宋体" w:hAnsi="宋体" w:eastAsia="宋体" w:cs="宋体"/>
          <w:sz w:val="24"/>
        </w:rPr>
        <w:t>银行联行号：</w:t>
      </w:r>
    </w:p>
    <w:p w14:paraId="77FE4B53">
      <w:pPr>
        <w:tabs>
          <w:tab w:val="left" w:pos="855"/>
        </w:tabs>
        <w:spacing w:after="120" w:line="440" w:lineRule="exact"/>
        <w:ind w:firstLine="480" w:firstLineChars="200"/>
        <w:jc w:val="left"/>
        <w:rPr>
          <w:rFonts w:hint="eastAsia" w:ascii="宋体" w:hAnsi="宋体" w:eastAsia="宋体" w:cs="宋体"/>
          <w:sz w:val="24"/>
          <w:szCs w:val="24"/>
          <w:lang w:val="zh-CN"/>
        </w:rPr>
      </w:pPr>
      <w:r>
        <w:rPr>
          <w:rFonts w:hint="eastAsia" w:ascii="宋体" w:hAnsi="宋体" w:eastAsia="宋体" w:cs="宋体"/>
          <w:sz w:val="24"/>
          <w:szCs w:val="24"/>
          <w:lang w:val="zh-CN"/>
        </w:rPr>
        <w:t>6.5 如乙方提供的增值税发票不符合法律法规要求或本合同约定，或不能通过税务认证的，甲方有权拒收或于发现问题后退回，乙方应及时更换。</w:t>
      </w:r>
    </w:p>
    <w:p w14:paraId="52DA427E">
      <w:pPr>
        <w:pStyle w:val="4"/>
        <w:ind w:firstLine="482"/>
        <w:rPr>
          <w:rFonts w:hint="eastAsia" w:ascii="宋体" w:hAnsi="宋体" w:eastAsia="宋体" w:cs="宋体"/>
          <w:b/>
        </w:rPr>
      </w:pPr>
      <w:r>
        <w:rPr>
          <w:rFonts w:hint="eastAsia" w:ascii="宋体" w:hAnsi="宋体" w:eastAsia="宋体" w:cs="宋体"/>
          <w:b/>
        </w:rPr>
        <w:t>第七条 权利和义务</w:t>
      </w:r>
    </w:p>
    <w:p w14:paraId="65FC0A68">
      <w:pPr>
        <w:spacing w:line="360" w:lineRule="auto"/>
        <w:ind w:firstLine="480" w:firstLineChars="200"/>
        <w:rPr>
          <w:rFonts w:hint="eastAsia" w:ascii="宋体" w:hAnsi="宋体" w:eastAsia="宋体" w:cs="宋体"/>
          <w:sz w:val="24"/>
        </w:rPr>
      </w:pPr>
      <w:r>
        <w:rPr>
          <w:rFonts w:hint="eastAsia" w:ascii="宋体" w:hAnsi="宋体" w:eastAsia="宋体" w:cs="宋体"/>
          <w:sz w:val="24"/>
        </w:rPr>
        <w:t>7.1 合同约定的设备资产归属甲方，乙方提供的电源设备应符合国家相关安全、消防、节能、环保等技术规范和标准要求，甲方负责提供产品必要的安装空间和接入条件并配合现场维护。</w:t>
      </w:r>
    </w:p>
    <w:p w14:paraId="329612DB">
      <w:pPr>
        <w:spacing w:line="360" w:lineRule="auto"/>
        <w:ind w:firstLine="480" w:firstLineChars="200"/>
        <w:rPr>
          <w:rFonts w:hint="eastAsia" w:ascii="宋体" w:hAnsi="宋体" w:eastAsia="宋体" w:cs="宋体"/>
          <w:color w:val="auto"/>
          <w:sz w:val="24"/>
        </w:rPr>
      </w:pPr>
      <w:r>
        <w:rPr>
          <w:rFonts w:hint="eastAsia" w:ascii="宋体" w:hAnsi="宋体" w:eastAsia="宋体" w:cs="宋体"/>
          <w:sz w:val="24"/>
        </w:rPr>
        <w:t>7.2 甲方在保管、使用产品的过程中，应当按设备的使用要求正确操作、使用设备。</w:t>
      </w:r>
      <w:r>
        <w:rPr>
          <w:rFonts w:hint="eastAsia" w:ascii="宋体" w:hAnsi="宋体" w:eastAsia="宋体" w:cs="宋体"/>
          <w:color w:val="auto"/>
          <w:sz w:val="24"/>
        </w:rPr>
        <w:t>未经乙方许可，甲方因自行或者邀请第三方对产品进行拆卸、维修，因此给设备造成损失的由甲方自行承担，与乙方无关。如因甲方违规操作导致甲方、乙方或者第三方遭受损失, 由甲方自行对此承担全部责任。</w:t>
      </w:r>
    </w:p>
    <w:p w14:paraId="2133CC43">
      <w:pPr>
        <w:spacing w:line="360" w:lineRule="auto"/>
        <w:ind w:firstLine="480" w:firstLineChars="200"/>
        <w:rPr>
          <w:rFonts w:hint="eastAsia" w:ascii="宋体" w:hAnsi="宋体" w:eastAsia="宋体" w:cs="宋体"/>
          <w:sz w:val="24"/>
        </w:rPr>
      </w:pPr>
      <w:r>
        <w:rPr>
          <w:rFonts w:hint="eastAsia" w:ascii="宋体" w:hAnsi="宋体" w:eastAsia="宋体" w:cs="宋体"/>
          <w:sz w:val="24"/>
        </w:rPr>
        <w:t>7.3 乙方在维护工作中发现甲方环境、设备存在安全隐患的，应向甲方提出书面整改意见，并协助甲方及时完成整改。</w:t>
      </w:r>
    </w:p>
    <w:p w14:paraId="2B38C5A2">
      <w:pPr>
        <w:spacing w:line="360" w:lineRule="auto"/>
        <w:ind w:firstLine="480" w:firstLineChars="200"/>
        <w:rPr>
          <w:rFonts w:hint="eastAsia" w:ascii="宋体" w:hAnsi="宋体" w:eastAsia="宋体" w:cs="宋体"/>
          <w:sz w:val="24"/>
        </w:rPr>
      </w:pPr>
      <w:r>
        <w:rPr>
          <w:rFonts w:hint="eastAsia" w:ascii="宋体" w:hAnsi="宋体" w:eastAsia="宋体" w:cs="宋体"/>
          <w:sz w:val="24"/>
        </w:rPr>
        <w:t>7.4 乙方因产品服务需变更产品（包括拆除电源、更换接线方式、拆除或更改动力电池等）的情形，应经报备甲方后方可实施。</w:t>
      </w:r>
    </w:p>
    <w:p w14:paraId="48F99900">
      <w:pPr>
        <w:spacing w:line="360" w:lineRule="auto"/>
        <w:ind w:left="239" w:leftChars="114" w:firstLine="240" w:firstLineChars="100"/>
        <w:rPr>
          <w:rFonts w:hint="eastAsia" w:ascii="宋体" w:hAnsi="宋体" w:eastAsia="宋体" w:cs="宋体"/>
          <w:sz w:val="24"/>
        </w:rPr>
      </w:pPr>
      <w:r>
        <w:rPr>
          <w:rFonts w:hint="eastAsia" w:ascii="宋体" w:hAnsi="宋体" w:eastAsia="宋体" w:cs="宋体"/>
          <w:sz w:val="24"/>
        </w:rPr>
        <w:t>7.5 乙方负责合同签订后3年的巡检、维护工作，确保设备处于安全、正常状态，不少于每半年/一次巡检维护以及设备清理工作，如设备因自身问题出现故障，乙方负责</w:t>
      </w:r>
      <w:r>
        <w:rPr>
          <w:rFonts w:hint="eastAsia" w:ascii="宋体" w:hAnsi="宋体" w:eastAsia="宋体" w:cs="宋体"/>
          <w:sz w:val="24"/>
          <w:lang w:val="en-US" w:eastAsia="zh-CN"/>
        </w:rPr>
        <w:t>及时</w:t>
      </w:r>
      <w:r>
        <w:rPr>
          <w:rFonts w:hint="eastAsia" w:ascii="宋体" w:hAnsi="宋体" w:eastAsia="宋体" w:cs="宋体"/>
          <w:sz w:val="24"/>
        </w:rPr>
        <w:t>维修更换</w:t>
      </w:r>
      <w:r>
        <w:rPr>
          <w:rFonts w:hint="eastAsia" w:ascii="宋体" w:hAnsi="宋体" w:eastAsia="宋体" w:cs="宋体"/>
          <w:sz w:val="24"/>
          <w:lang w:eastAsia="zh-CN"/>
        </w:rPr>
        <w:t>，</w:t>
      </w:r>
      <w:r>
        <w:rPr>
          <w:rFonts w:hint="eastAsia" w:ascii="宋体" w:hAnsi="宋体" w:eastAsia="宋体" w:cs="宋体"/>
          <w:sz w:val="24"/>
          <w:lang w:val="en-US" w:eastAsia="zh-CN"/>
        </w:rPr>
        <w:t>如乙方怠于履行职责给甲方造成损失，由乙方承担责任</w:t>
      </w:r>
      <w:r>
        <w:rPr>
          <w:rFonts w:hint="eastAsia" w:ascii="宋体" w:hAnsi="宋体" w:eastAsia="宋体" w:cs="宋体"/>
          <w:sz w:val="24"/>
        </w:rPr>
        <w:t>。如因甲方违规操作、环境问题（如机房进水）等导致设备故障，产生的维修及设备更换费用由甲方承担。</w:t>
      </w:r>
    </w:p>
    <w:p w14:paraId="4EC29E0E">
      <w:pPr>
        <w:pStyle w:val="4"/>
        <w:ind w:firstLine="482"/>
        <w:rPr>
          <w:rFonts w:hint="eastAsia" w:ascii="宋体" w:hAnsi="宋体" w:eastAsia="宋体" w:cs="宋体"/>
          <w:b/>
        </w:rPr>
      </w:pPr>
      <w:r>
        <w:rPr>
          <w:rFonts w:hint="eastAsia" w:ascii="宋体" w:hAnsi="宋体" w:eastAsia="宋体" w:cs="宋体"/>
          <w:b/>
        </w:rPr>
        <w:t>第八条 法律适用和争议解决</w:t>
      </w:r>
    </w:p>
    <w:p w14:paraId="20D013F7">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8.2 因执行本合同及所有附件所发生的或者与本合同及所有附件有关的一切争议由双方当事人通过友好协商解决。如果不能协商一致的，任何一方均有权选择如下</w:t>
      </w:r>
      <w:r>
        <w:rPr>
          <w:rFonts w:hint="eastAsia" w:ascii="宋体" w:hAnsi="宋体" w:eastAsia="宋体" w:cs="宋体"/>
          <w:sz w:val="24"/>
          <w:u w:val="single"/>
        </w:rPr>
        <w:t>1</w:t>
      </w:r>
      <w:r>
        <w:rPr>
          <w:rFonts w:hint="eastAsia" w:ascii="宋体" w:hAnsi="宋体" w:eastAsia="宋体" w:cs="宋体"/>
          <w:sz w:val="24"/>
        </w:rPr>
        <w:t>种方式解决争议：</w:t>
      </w:r>
    </w:p>
    <w:p w14:paraId="640A01D9">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（1）应向（</w:t>
      </w:r>
      <w:r>
        <w:rPr>
          <w:rFonts w:hint="eastAsia" w:ascii="宋体" w:hAnsi="宋体" w:eastAsia="宋体" w:cs="宋体"/>
          <w:color w:val="auto"/>
          <w:sz w:val="24"/>
          <w:u w:val="single"/>
          <w:lang w:val="en-US" w:eastAsia="zh-CN"/>
        </w:rPr>
        <w:t>甲方</w:t>
      </w:r>
      <w:r>
        <w:rPr>
          <w:rFonts w:hint="eastAsia" w:ascii="宋体" w:hAnsi="宋体" w:eastAsia="宋体" w:cs="宋体"/>
          <w:sz w:val="24"/>
        </w:rPr>
        <w:t>）住所地有管辖权的人民法院提起诉讼。</w:t>
      </w:r>
    </w:p>
    <w:p w14:paraId="3A7BA348">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（2）将争议提交</w:t>
      </w:r>
      <w:r>
        <w:rPr>
          <w:rFonts w:hint="eastAsia" w:ascii="宋体" w:hAnsi="宋体" w:eastAsia="宋体" w:cs="宋体"/>
          <w:sz w:val="24"/>
          <w:u w:val="single"/>
        </w:rPr>
        <w:t xml:space="preserve"> / </w:t>
      </w:r>
      <w:r>
        <w:rPr>
          <w:rFonts w:hint="eastAsia" w:ascii="宋体" w:hAnsi="宋体" w:eastAsia="宋体" w:cs="宋体"/>
          <w:sz w:val="24"/>
        </w:rPr>
        <w:t>仲裁委员会，按照申请仲裁时该会的仲裁规则进行仲裁。</w:t>
      </w:r>
    </w:p>
    <w:p w14:paraId="45856A19">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8.3 诉讼/仲裁进行中，除非另有约定，双方将继续履行本合同争议部分以外义务。</w:t>
      </w:r>
    </w:p>
    <w:p w14:paraId="23701175">
      <w:pPr>
        <w:pStyle w:val="4"/>
        <w:ind w:firstLine="482"/>
        <w:rPr>
          <w:rFonts w:hint="eastAsia" w:ascii="宋体" w:hAnsi="宋体" w:eastAsia="宋体" w:cs="宋体"/>
          <w:b/>
        </w:rPr>
      </w:pPr>
      <w:r>
        <w:rPr>
          <w:rFonts w:hint="eastAsia" w:ascii="宋体" w:hAnsi="宋体" w:eastAsia="宋体" w:cs="宋体"/>
          <w:b/>
          <w:bCs/>
        </w:rPr>
        <w:t xml:space="preserve">第九条 </w:t>
      </w:r>
      <w:r>
        <w:rPr>
          <w:rFonts w:hint="eastAsia" w:ascii="宋体" w:hAnsi="宋体" w:eastAsia="宋体" w:cs="宋体"/>
          <w:b/>
        </w:rPr>
        <w:t>不可抗力</w:t>
      </w:r>
    </w:p>
    <w:p w14:paraId="2BA778E7">
      <w:pPr>
        <w:spacing w:line="420" w:lineRule="exact"/>
        <w:ind w:firstLine="480" w:firstLineChars="200"/>
        <w:rPr>
          <w:rFonts w:hint="eastAsia" w:ascii="宋体" w:hAnsi="宋体" w:eastAsia="宋体" w:cs="宋体"/>
          <w:sz w:val="24"/>
        </w:rPr>
      </w:pPr>
      <w:r>
        <w:rPr>
          <w:rFonts w:hint="eastAsia" w:ascii="宋体" w:hAnsi="宋体" w:eastAsia="宋体" w:cs="宋体"/>
          <w:sz w:val="24"/>
        </w:rPr>
        <w:t>9.1如果合同任一方因战争、火灾、洪水、台风、地震、国家政策发生重大改变等其他双方共同认同的不可抗力原因，影响了合同执行的，则可根据受影响的程度终止或顺延合同履行期限，顺延期限应相当于事故所影响的时间，并可根据情况部分或全部免予承担违约责任。</w:t>
      </w:r>
    </w:p>
    <w:p w14:paraId="6F6886D4">
      <w:pPr>
        <w:spacing w:line="420" w:lineRule="exact"/>
        <w:ind w:firstLine="480" w:firstLineChars="200"/>
        <w:rPr>
          <w:rFonts w:hint="eastAsia" w:ascii="宋体" w:hAnsi="宋体" w:eastAsia="宋体" w:cs="宋体"/>
          <w:sz w:val="24"/>
        </w:rPr>
      </w:pPr>
      <w:r>
        <w:rPr>
          <w:rFonts w:hint="eastAsia" w:ascii="宋体" w:hAnsi="宋体" w:eastAsia="宋体" w:cs="宋体"/>
          <w:sz w:val="24"/>
        </w:rPr>
        <w:t>9.2 受不可抗力影响的一方应在事件发生后，尽快以邮件或传真方式通知对方，并在</w:t>
      </w:r>
      <w:r>
        <w:rPr>
          <w:rFonts w:hint="eastAsia" w:ascii="宋体" w:hAnsi="宋体" w:eastAsia="宋体" w:cs="宋体"/>
          <w:sz w:val="24"/>
          <w:u w:val="single"/>
        </w:rPr>
        <w:t xml:space="preserve"> 7 </w:t>
      </w:r>
      <w:r>
        <w:rPr>
          <w:rFonts w:hint="eastAsia" w:ascii="宋体" w:hAnsi="宋体" w:eastAsia="宋体" w:cs="宋体"/>
          <w:sz w:val="24"/>
        </w:rPr>
        <w:t>日内将有关政府部门出具的证明文件送达另一方。不可抗力事件结束后也应尽快以邮件或传真通知对方，并随后送达相关证明文件加以确认。如果不可抗力事件后果影响合同执行超过</w:t>
      </w:r>
      <w:r>
        <w:rPr>
          <w:rFonts w:hint="eastAsia" w:ascii="宋体" w:hAnsi="宋体" w:eastAsia="宋体" w:cs="宋体"/>
          <w:sz w:val="24"/>
          <w:u w:val="single"/>
        </w:rPr>
        <w:t xml:space="preserve">30 </w:t>
      </w:r>
      <w:r>
        <w:rPr>
          <w:rFonts w:hint="eastAsia" w:ascii="宋体" w:hAnsi="宋体" w:eastAsia="宋体" w:cs="宋体"/>
          <w:sz w:val="24"/>
        </w:rPr>
        <w:t>天，双方则就未来合同的执行另行商议。</w:t>
      </w:r>
    </w:p>
    <w:p w14:paraId="3357A86C">
      <w:pPr>
        <w:spacing w:line="420" w:lineRule="exact"/>
        <w:ind w:firstLine="480" w:firstLineChars="200"/>
        <w:rPr>
          <w:rFonts w:hint="eastAsia" w:ascii="宋体" w:hAnsi="宋体" w:eastAsia="宋体" w:cs="宋体"/>
          <w:sz w:val="24"/>
        </w:rPr>
      </w:pPr>
      <w:r>
        <w:rPr>
          <w:rFonts w:hint="eastAsia" w:ascii="宋体" w:hAnsi="宋体" w:eastAsia="宋体" w:cs="宋体"/>
          <w:sz w:val="24"/>
        </w:rPr>
        <w:t>9.3 但若一方违约在先，不得以此后发生不可抗力为由免除其违约的责任。</w:t>
      </w:r>
    </w:p>
    <w:p w14:paraId="6658B25E">
      <w:pPr>
        <w:pStyle w:val="4"/>
        <w:ind w:firstLine="482"/>
        <w:rPr>
          <w:rFonts w:hint="eastAsia" w:ascii="宋体" w:hAnsi="宋体" w:eastAsia="宋体" w:cs="宋体"/>
          <w:b/>
        </w:rPr>
      </w:pPr>
      <w:r>
        <w:rPr>
          <w:rFonts w:hint="eastAsia" w:ascii="宋体" w:hAnsi="宋体" w:eastAsia="宋体" w:cs="宋体"/>
          <w:b/>
          <w:bCs/>
        </w:rPr>
        <w:t xml:space="preserve">第十条 </w:t>
      </w:r>
      <w:r>
        <w:rPr>
          <w:rFonts w:hint="eastAsia" w:ascii="宋体" w:hAnsi="宋体" w:eastAsia="宋体" w:cs="宋体"/>
          <w:b/>
        </w:rPr>
        <w:t>违约责任</w:t>
      </w:r>
    </w:p>
    <w:p w14:paraId="5EDD5302">
      <w:pPr>
        <w:spacing w:line="420" w:lineRule="exact"/>
        <w:ind w:firstLine="480" w:firstLineChars="200"/>
        <w:rPr>
          <w:rFonts w:hint="eastAsia" w:ascii="宋体" w:hAnsi="宋体" w:eastAsia="宋体" w:cs="宋体"/>
          <w:sz w:val="24"/>
        </w:rPr>
      </w:pPr>
      <w:r>
        <w:rPr>
          <w:rFonts w:hint="eastAsia" w:ascii="宋体" w:hAnsi="宋体" w:eastAsia="宋体" w:cs="宋体"/>
          <w:sz w:val="24"/>
        </w:rPr>
        <w:t>10.1 如有任何一方违约，导致不能履行或不能完全履行合同责任及承诺，违约方应承担违约责任，所造成另一方的损失由违约方承担。如双方违约，双方应根据实际情况分别承担各自的责任。</w:t>
      </w:r>
    </w:p>
    <w:p w14:paraId="7A73BDA2">
      <w:pPr>
        <w:spacing w:line="420" w:lineRule="exact"/>
        <w:ind w:firstLine="480" w:firstLineChars="200"/>
        <w:rPr>
          <w:rFonts w:hint="eastAsia" w:ascii="宋体" w:hAnsi="宋体" w:eastAsia="宋体" w:cs="宋体"/>
          <w:color w:val="FF0000"/>
          <w:sz w:val="24"/>
        </w:rPr>
      </w:pPr>
      <w:r>
        <w:rPr>
          <w:rFonts w:hint="eastAsia" w:ascii="宋体" w:hAnsi="宋体" w:eastAsia="宋体" w:cs="宋体"/>
          <w:sz w:val="24"/>
        </w:rPr>
        <w:t>10.2 合同双方如有一方在合同执行中途需要终止合同，需提前</w:t>
      </w:r>
      <w:r>
        <w:rPr>
          <w:rFonts w:hint="eastAsia" w:ascii="宋体" w:hAnsi="宋体" w:eastAsia="宋体" w:cs="宋体"/>
          <w:sz w:val="24"/>
          <w:u w:val="single"/>
        </w:rPr>
        <w:t xml:space="preserve"> 30 </w:t>
      </w:r>
      <w:r>
        <w:rPr>
          <w:rFonts w:hint="eastAsia" w:ascii="宋体" w:hAnsi="宋体" w:eastAsia="宋体" w:cs="宋体"/>
          <w:sz w:val="24"/>
        </w:rPr>
        <w:t>日书面通知对方，经双方协商一致方可解除本合同，提出终止合同的一方应赔偿由此给对方造成的损失。</w:t>
      </w:r>
    </w:p>
    <w:p w14:paraId="30707721">
      <w:pPr>
        <w:spacing w:line="420" w:lineRule="exact"/>
        <w:ind w:firstLine="480" w:firstLineChars="200"/>
        <w:rPr>
          <w:rFonts w:hint="eastAsia" w:ascii="宋体" w:hAnsi="宋体" w:eastAsia="宋体" w:cs="宋体"/>
          <w:sz w:val="24"/>
        </w:rPr>
      </w:pPr>
      <w:r>
        <w:rPr>
          <w:rFonts w:hint="eastAsia" w:ascii="宋体" w:hAnsi="宋体" w:eastAsia="宋体" w:cs="宋体"/>
          <w:sz w:val="24"/>
        </w:rPr>
        <w:t>10.3 如果由于一方的重大违约从而造成本合同不能履行或不能完全履行，违约方应承担违约责任，守约方有权向违约方发出违约警告书，在收到违约警告书后</w:t>
      </w:r>
      <w:r>
        <w:rPr>
          <w:rFonts w:hint="eastAsia" w:ascii="宋体" w:hAnsi="宋体" w:eastAsia="宋体" w:cs="宋体"/>
          <w:sz w:val="24"/>
          <w:u w:val="single"/>
        </w:rPr>
        <w:t xml:space="preserve"> 30 </w:t>
      </w:r>
      <w:r>
        <w:rPr>
          <w:rFonts w:hint="eastAsia" w:ascii="宋体" w:hAnsi="宋体" w:eastAsia="宋体" w:cs="宋体"/>
          <w:sz w:val="24"/>
        </w:rPr>
        <w:t>日内，如果该违约持续未补救，守约方有权全部或部分终止本合同，违约方应赔偿由此给守约方造成的损失。</w:t>
      </w:r>
    </w:p>
    <w:p w14:paraId="2654E1BB">
      <w:pPr>
        <w:spacing w:line="420" w:lineRule="exact"/>
        <w:ind w:firstLine="480" w:firstLineChars="200"/>
        <w:rPr>
          <w:rFonts w:hint="eastAsia" w:ascii="宋体" w:hAnsi="宋体" w:eastAsia="宋体" w:cs="宋体"/>
          <w:sz w:val="24"/>
        </w:rPr>
      </w:pPr>
      <w:r>
        <w:rPr>
          <w:rFonts w:hint="eastAsia" w:ascii="宋体" w:hAnsi="宋体" w:eastAsia="宋体" w:cs="宋体"/>
          <w:sz w:val="24"/>
        </w:rPr>
        <w:t>10.4 在守约方依据本条第3款的规定部分终止本合同的情况下，守约方可以按其认为适当的条件和方式采取补救措施，守约方为采取补救措施所支出的费用由违约方赔偿。违约方应继续执行本合同未被终止的部分。</w:t>
      </w:r>
    </w:p>
    <w:p w14:paraId="3F111F6C">
      <w:pPr>
        <w:spacing w:line="420" w:lineRule="exact"/>
        <w:ind w:firstLine="480" w:firstLineChars="200"/>
        <w:rPr>
          <w:rFonts w:hint="eastAsia" w:ascii="宋体" w:hAnsi="宋体" w:eastAsia="宋体" w:cs="宋体"/>
          <w:sz w:val="24"/>
        </w:rPr>
      </w:pPr>
      <w:r>
        <w:rPr>
          <w:rFonts w:hint="eastAsia" w:ascii="宋体" w:hAnsi="宋体" w:eastAsia="宋体" w:cs="宋体"/>
          <w:sz w:val="24"/>
        </w:rPr>
        <w:t>10.5若甲方逾期支付产品费用，每逾期一日，甲方应向乙方支付逾期款项</w:t>
      </w:r>
      <w:r>
        <w:rPr>
          <w:rFonts w:hint="eastAsia" w:ascii="宋体" w:hAnsi="宋体" w:eastAsia="宋体" w:cs="宋体"/>
          <w:sz w:val="24"/>
          <w:u w:val="single"/>
        </w:rPr>
        <w:t xml:space="preserve"> 1 </w:t>
      </w:r>
      <w:r>
        <w:rPr>
          <w:rFonts w:hint="eastAsia" w:ascii="宋体" w:hAnsi="宋体" w:eastAsia="宋体" w:cs="宋体"/>
          <w:sz w:val="24"/>
        </w:rPr>
        <w:t>%的迟延履行金直至实际支付之日，该迟延履行金超过逾期支付服务费用的</w:t>
      </w:r>
      <w:r>
        <w:rPr>
          <w:rFonts w:hint="eastAsia" w:ascii="宋体" w:hAnsi="宋体" w:eastAsia="宋体" w:cs="宋体"/>
          <w:sz w:val="24"/>
          <w:u w:val="single"/>
        </w:rPr>
        <w:t xml:space="preserve"> 15</w:t>
      </w:r>
      <w:r>
        <w:rPr>
          <w:rFonts w:hint="eastAsia" w:ascii="宋体" w:hAnsi="宋体" w:eastAsia="宋体" w:cs="宋体"/>
          <w:sz w:val="24"/>
        </w:rPr>
        <w:t>%的，乙方有权暂停提供服务直至解除本合同并追究甲方的违约责任。</w:t>
      </w:r>
    </w:p>
    <w:p w14:paraId="4B5DFDA0">
      <w:pPr>
        <w:spacing w:line="420" w:lineRule="exact"/>
        <w:ind w:firstLine="480" w:firstLineChars="200"/>
        <w:rPr>
          <w:rFonts w:hint="eastAsia" w:ascii="宋体" w:hAnsi="宋体" w:eastAsia="宋体" w:cs="宋体"/>
          <w:color w:val="FF0000"/>
          <w:sz w:val="24"/>
        </w:rPr>
      </w:pPr>
      <w:r>
        <w:rPr>
          <w:rFonts w:hint="eastAsia" w:ascii="宋体" w:hAnsi="宋体" w:eastAsia="宋体" w:cs="宋体"/>
          <w:sz w:val="24"/>
        </w:rPr>
        <w:t>10.6任何一方</w:t>
      </w:r>
      <w:r>
        <w:rPr>
          <w:rFonts w:hint="eastAsia" w:ascii="宋体" w:hAnsi="宋体" w:eastAsia="宋体" w:cs="宋体"/>
          <w:snapToGrid w:val="0"/>
          <w:kern w:val="0"/>
          <w:sz w:val="24"/>
        </w:rPr>
        <w:t>单方面解除合同或因违约方原因致守约方解除或终止合同的，违约方应按照本合同预估总金额的</w:t>
      </w:r>
      <w:r>
        <w:rPr>
          <w:rFonts w:hint="eastAsia" w:ascii="宋体" w:hAnsi="宋体" w:eastAsia="宋体" w:cs="宋体"/>
          <w:sz w:val="24"/>
          <w:u w:val="single"/>
        </w:rPr>
        <w:t xml:space="preserve"> 10</w:t>
      </w:r>
      <w:r>
        <w:rPr>
          <w:rFonts w:hint="eastAsia" w:ascii="宋体" w:hAnsi="宋体" w:eastAsia="宋体" w:cs="宋体"/>
          <w:snapToGrid w:val="0"/>
          <w:kern w:val="0"/>
          <w:sz w:val="24"/>
        </w:rPr>
        <w:t>%向守约方支付违约金。</w:t>
      </w:r>
    </w:p>
    <w:p w14:paraId="19996003">
      <w:pPr>
        <w:pStyle w:val="4"/>
        <w:ind w:firstLine="482"/>
        <w:rPr>
          <w:rFonts w:hint="eastAsia" w:ascii="宋体" w:hAnsi="宋体" w:eastAsia="宋体" w:cs="宋体"/>
          <w:b/>
          <w:bCs/>
        </w:rPr>
      </w:pPr>
      <w:r>
        <w:rPr>
          <w:rFonts w:hint="eastAsia" w:ascii="宋体" w:hAnsi="宋体" w:eastAsia="宋体" w:cs="宋体"/>
          <w:b/>
          <w:bCs/>
        </w:rPr>
        <w:t>第十一条 合同的变更和解除</w:t>
      </w:r>
    </w:p>
    <w:p w14:paraId="5EF6B254">
      <w:pPr>
        <w:adjustRightInd w:val="0"/>
        <w:snapToGrid w:val="0"/>
        <w:spacing w:line="420" w:lineRule="atLeast"/>
        <w:ind w:firstLine="480"/>
        <w:rPr>
          <w:rFonts w:hint="eastAsia" w:ascii="宋体" w:hAnsi="宋体" w:eastAsia="宋体" w:cs="宋体"/>
          <w:snapToGrid w:val="0"/>
          <w:kern w:val="0"/>
          <w:sz w:val="24"/>
        </w:rPr>
      </w:pPr>
      <w:r>
        <w:rPr>
          <w:rFonts w:hint="eastAsia" w:ascii="宋体" w:hAnsi="宋体" w:eastAsia="宋体" w:cs="宋体"/>
          <w:snapToGrid w:val="0"/>
          <w:kern w:val="0"/>
          <w:sz w:val="24"/>
        </w:rPr>
        <w:t>10.1合同期内，甲方因乙方违反本合同约定提前解除合同的，应提前</w:t>
      </w:r>
      <w:r>
        <w:rPr>
          <w:rFonts w:hint="eastAsia" w:ascii="宋体" w:hAnsi="宋体" w:eastAsia="宋体" w:cs="宋体"/>
          <w:sz w:val="24"/>
          <w:u w:val="single"/>
        </w:rPr>
        <w:t xml:space="preserve">10 </w:t>
      </w:r>
      <w:r>
        <w:rPr>
          <w:rFonts w:hint="eastAsia" w:ascii="宋体" w:hAnsi="宋体" w:eastAsia="宋体" w:cs="宋体"/>
          <w:snapToGrid w:val="0"/>
          <w:kern w:val="0"/>
          <w:sz w:val="24"/>
        </w:rPr>
        <w:t>个工作日书面通知对方。</w:t>
      </w:r>
    </w:p>
    <w:p w14:paraId="6C6EC8E1">
      <w:pPr>
        <w:adjustRightInd w:val="0"/>
        <w:snapToGrid w:val="0"/>
        <w:spacing w:line="420" w:lineRule="atLeast"/>
        <w:ind w:firstLine="480"/>
        <w:rPr>
          <w:rFonts w:hint="eastAsia" w:ascii="宋体" w:hAnsi="宋体" w:eastAsia="宋体" w:cs="宋体"/>
          <w:snapToGrid w:val="0"/>
          <w:kern w:val="0"/>
          <w:sz w:val="24"/>
        </w:rPr>
      </w:pPr>
      <w:r>
        <w:rPr>
          <w:rFonts w:hint="eastAsia" w:ascii="宋体" w:hAnsi="宋体" w:eastAsia="宋体" w:cs="宋体"/>
          <w:snapToGrid w:val="0"/>
          <w:kern w:val="0"/>
          <w:sz w:val="24"/>
        </w:rPr>
        <w:t>10.2</w:t>
      </w:r>
      <w:r>
        <w:rPr>
          <w:rFonts w:hint="eastAsia" w:ascii="宋体" w:hAnsi="宋体" w:eastAsia="宋体" w:cs="宋体"/>
          <w:sz w:val="24"/>
        </w:rPr>
        <w:t>合同终止条件：合同期满或者合同约定期限内合同执行总金额达到合同的约定，本合同终止执行，后续服务由双方另行协商，重新签订合同。</w:t>
      </w:r>
    </w:p>
    <w:p w14:paraId="1E2C5D77">
      <w:pPr>
        <w:pStyle w:val="4"/>
        <w:rPr>
          <w:rFonts w:hint="eastAsia" w:ascii="宋体" w:hAnsi="宋体" w:eastAsia="宋体" w:cs="宋体"/>
        </w:rPr>
      </w:pPr>
      <w:r>
        <w:rPr>
          <w:rFonts w:hint="eastAsia" w:ascii="宋体" w:hAnsi="宋体" w:eastAsia="宋体" w:cs="宋体"/>
        </w:rPr>
        <w:t>第十二条 保密条款</w:t>
      </w:r>
    </w:p>
    <w:p w14:paraId="2CBB4562">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11.1双方享有本合同所提供的各类技术和商业资料、规格说明、图纸、文件及专有技术 (简称保密资料)的合法所有权。</w:t>
      </w:r>
    </w:p>
    <w:p w14:paraId="1086F7F1">
      <w:pPr>
        <w:tabs>
          <w:tab w:val="left" w:pos="855"/>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11.2 任意一方未经对方同意不得透露给第三方。</w:t>
      </w:r>
    </w:p>
    <w:p w14:paraId="366391AB">
      <w:pPr>
        <w:tabs>
          <w:tab w:val="left" w:pos="1172"/>
        </w:tabs>
        <w:snapToGrid w:val="0"/>
        <w:spacing w:line="440" w:lineRule="exact"/>
        <w:ind w:firstLine="480" w:firstLineChars="200"/>
        <w:rPr>
          <w:rFonts w:hint="eastAsia" w:ascii="宋体" w:hAnsi="宋体" w:eastAsia="宋体" w:cs="宋体"/>
          <w:sz w:val="24"/>
        </w:rPr>
      </w:pPr>
      <w:r>
        <w:rPr>
          <w:rFonts w:hint="eastAsia" w:ascii="宋体" w:hAnsi="宋体" w:eastAsia="宋体" w:cs="宋体"/>
          <w:sz w:val="24"/>
        </w:rPr>
        <w:t>11.3  保密期限为本合同生效之日起</w:t>
      </w:r>
      <w:r>
        <w:rPr>
          <w:rFonts w:hint="eastAsia" w:ascii="宋体" w:hAnsi="宋体" w:eastAsia="宋体" w:cs="宋体"/>
          <w:sz w:val="24"/>
          <w:u w:val="single"/>
        </w:rPr>
        <w:t xml:space="preserve"> 贰 </w:t>
      </w:r>
      <w:r>
        <w:rPr>
          <w:rFonts w:hint="eastAsia" w:ascii="宋体" w:hAnsi="宋体" w:eastAsia="宋体" w:cs="宋体"/>
          <w:sz w:val="24"/>
        </w:rPr>
        <w:t>年。</w:t>
      </w:r>
    </w:p>
    <w:p w14:paraId="1B93A4C1">
      <w:pPr>
        <w:pStyle w:val="4"/>
        <w:ind w:firstLine="482"/>
        <w:rPr>
          <w:rFonts w:hint="eastAsia" w:ascii="宋体" w:hAnsi="宋体" w:eastAsia="宋体" w:cs="宋体"/>
          <w:b/>
        </w:rPr>
      </w:pPr>
      <w:r>
        <w:rPr>
          <w:rFonts w:hint="eastAsia" w:ascii="宋体" w:hAnsi="宋体" w:eastAsia="宋体" w:cs="宋体"/>
          <w:b/>
        </w:rPr>
        <w:t>第十二条 通知与送达</w:t>
      </w:r>
    </w:p>
    <w:p w14:paraId="0A8D61C9">
      <w:pPr>
        <w:tabs>
          <w:tab w:val="left" w:pos="855"/>
        </w:tabs>
        <w:spacing w:after="120" w:line="440" w:lineRule="exact"/>
        <w:ind w:firstLine="480" w:firstLineChars="200"/>
        <w:jc w:val="left"/>
        <w:rPr>
          <w:rFonts w:hint="eastAsia" w:ascii="宋体" w:hAnsi="宋体" w:eastAsia="宋体" w:cs="宋体"/>
          <w:bCs/>
          <w:sz w:val="24"/>
        </w:rPr>
      </w:pPr>
      <w:r>
        <w:rPr>
          <w:rFonts w:hint="eastAsia" w:ascii="宋体" w:hAnsi="宋体" w:eastAsia="宋体" w:cs="宋体"/>
          <w:bCs/>
          <w:sz w:val="24"/>
        </w:rPr>
        <w:t>12.1甲、乙双方因履行本合同而应以书面方式相互发出或者提供的所有通知、文件、资料等，均应按照以下所列明的通讯地址、传真、电子邮箱以邮寄、传真或电子邮件方式送达；如一方变更联系方式，应当书面通知对方，否则视为未变更。</w:t>
      </w:r>
    </w:p>
    <w:p w14:paraId="35619BCF">
      <w:pPr>
        <w:tabs>
          <w:tab w:val="left" w:pos="855"/>
        </w:tabs>
        <w:spacing w:after="120" w:line="440" w:lineRule="exact"/>
        <w:ind w:firstLine="480" w:firstLineChars="200"/>
        <w:jc w:val="left"/>
        <w:rPr>
          <w:rFonts w:hint="eastAsia" w:ascii="宋体" w:hAnsi="宋体" w:eastAsia="宋体" w:cs="宋体"/>
          <w:bCs/>
          <w:sz w:val="24"/>
        </w:rPr>
      </w:pPr>
      <w:r>
        <w:rPr>
          <w:rFonts w:hint="eastAsia" w:ascii="宋体" w:hAnsi="宋体" w:eastAsia="宋体" w:cs="宋体"/>
          <w:bCs/>
          <w:sz w:val="24"/>
        </w:rPr>
        <w:t>12.2除本合同另有约定外，其他与本合同有关的文件、资料以传真方式发出的，在发出传真时视为送达；以邮寄方式发出的，挂号寄出或者投邮当日视为送达；以电子邮件方式发出的，在电子邮件发送成功时视为送达。</w:t>
      </w:r>
    </w:p>
    <w:p w14:paraId="6B3A2409">
      <w:pPr>
        <w:tabs>
          <w:tab w:val="left" w:pos="855"/>
        </w:tabs>
        <w:spacing w:after="120" w:line="440" w:lineRule="exact"/>
        <w:ind w:firstLine="480" w:firstLineChars="200"/>
        <w:jc w:val="left"/>
        <w:rPr>
          <w:rFonts w:hint="eastAsia" w:ascii="宋体" w:hAnsi="宋体" w:eastAsia="宋体" w:cs="宋体"/>
          <w:bCs/>
          <w:sz w:val="24"/>
        </w:rPr>
      </w:pPr>
      <w:r>
        <w:rPr>
          <w:rFonts w:hint="eastAsia" w:ascii="宋体" w:hAnsi="宋体" w:eastAsia="宋体" w:cs="宋体"/>
          <w:bCs/>
          <w:sz w:val="24"/>
        </w:rPr>
        <w:t>12.3合同签订后，为方便高效工作，凡是关于货物设计、颜色、规格、款式以及关于送货、安装（组装）及付款通知等需甲方书面确认的事项，经上述方式通知确认后均为有效附件。</w:t>
      </w:r>
    </w:p>
    <w:p w14:paraId="3D892D31">
      <w:pPr>
        <w:pStyle w:val="4"/>
        <w:ind w:firstLine="482"/>
        <w:rPr>
          <w:rFonts w:hint="eastAsia" w:ascii="宋体" w:hAnsi="宋体" w:eastAsia="宋体" w:cs="宋体"/>
          <w:b/>
        </w:rPr>
      </w:pPr>
      <w:r>
        <w:rPr>
          <w:rFonts w:hint="eastAsia" w:ascii="宋体" w:hAnsi="宋体" w:eastAsia="宋体" w:cs="宋体"/>
          <w:b/>
        </w:rPr>
        <w:t>第十三条 采购合同的生效及其他</w:t>
      </w:r>
    </w:p>
    <w:p w14:paraId="096A6AB6">
      <w:pPr>
        <w:tabs>
          <w:tab w:val="left" w:pos="855"/>
          <w:tab w:val="left" w:pos="900"/>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13.1、本合同经双方法定代表人或授权代表签字并加盖公章之日起生效。</w:t>
      </w:r>
    </w:p>
    <w:p w14:paraId="259B0683">
      <w:pPr>
        <w:tabs>
          <w:tab w:val="left" w:pos="855"/>
          <w:tab w:val="left" w:pos="900"/>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13.2、附件为本合同不可分割的部分，如本合同附件与本合同正文有不一致之处，以本合同正文的规定为准。各附件之间中如有冲突，以附件一规定为准。</w:t>
      </w:r>
    </w:p>
    <w:p w14:paraId="29914930">
      <w:pPr>
        <w:tabs>
          <w:tab w:val="left" w:pos="855"/>
          <w:tab w:val="left" w:pos="900"/>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13.3、本合同未尽事宜由双方协商解决。</w:t>
      </w:r>
    </w:p>
    <w:p w14:paraId="440BE871">
      <w:pPr>
        <w:tabs>
          <w:tab w:val="left" w:pos="840"/>
          <w:tab w:val="left" w:pos="900"/>
        </w:tabs>
        <w:snapToGrid w:val="0"/>
        <w:spacing w:after="120" w:line="440" w:lineRule="exact"/>
        <w:ind w:firstLine="480" w:firstLineChars="200"/>
        <w:jc w:val="left"/>
        <w:rPr>
          <w:rFonts w:hint="eastAsia" w:ascii="宋体" w:hAnsi="宋体" w:eastAsia="宋体" w:cs="宋体"/>
          <w:sz w:val="24"/>
        </w:rPr>
      </w:pPr>
      <w:r>
        <w:rPr>
          <w:rFonts w:hint="eastAsia" w:ascii="宋体" w:hAnsi="宋体" w:eastAsia="宋体" w:cs="宋体"/>
          <w:sz w:val="24"/>
        </w:rPr>
        <w:t>13.4、合同一式</w:t>
      </w:r>
      <w:r>
        <w:rPr>
          <w:rFonts w:hint="eastAsia" w:ascii="宋体" w:hAnsi="宋体" w:eastAsia="宋体" w:cs="宋体"/>
          <w:sz w:val="24"/>
          <w:u w:val="single"/>
        </w:rPr>
        <w:t xml:space="preserve"> 肆</w:t>
      </w:r>
      <w:r>
        <w:rPr>
          <w:rFonts w:hint="eastAsia" w:ascii="宋体" w:hAnsi="宋体" w:eastAsia="宋体" w:cs="宋体"/>
          <w:sz w:val="24"/>
        </w:rPr>
        <w:t>份，甲乙双方各执</w:t>
      </w:r>
      <w:r>
        <w:rPr>
          <w:rFonts w:hint="eastAsia" w:ascii="宋体" w:hAnsi="宋体" w:eastAsia="宋体" w:cs="宋体"/>
          <w:sz w:val="24"/>
          <w:u w:val="single"/>
        </w:rPr>
        <w:t xml:space="preserve"> 贰 </w:t>
      </w:r>
      <w:r>
        <w:rPr>
          <w:rFonts w:hint="eastAsia" w:ascii="宋体" w:hAnsi="宋体" w:eastAsia="宋体" w:cs="宋体"/>
          <w:sz w:val="24"/>
        </w:rPr>
        <w:t>份，具有同等法律效力。</w:t>
      </w:r>
    </w:p>
    <w:p w14:paraId="187D07F8">
      <w:pPr>
        <w:tabs>
          <w:tab w:val="left" w:pos="840"/>
          <w:tab w:val="left" w:pos="900"/>
        </w:tabs>
        <w:snapToGrid w:val="0"/>
        <w:spacing w:after="120" w:line="440" w:lineRule="exact"/>
        <w:ind w:firstLine="480" w:firstLineChars="200"/>
        <w:jc w:val="left"/>
        <w:rPr>
          <w:rFonts w:hint="eastAsia" w:ascii="宋体" w:hAnsi="宋体" w:eastAsia="宋体" w:cs="宋体"/>
          <w:sz w:val="24"/>
        </w:rPr>
      </w:pPr>
    </w:p>
    <w:p w14:paraId="752765BA">
      <w:pPr>
        <w:tabs>
          <w:tab w:val="left" w:pos="840"/>
          <w:tab w:val="left" w:pos="900"/>
        </w:tabs>
        <w:snapToGrid w:val="0"/>
        <w:spacing w:after="120" w:line="440" w:lineRule="exact"/>
        <w:ind w:firstLine="480" w:firstLineChars="200"/>
        <w:jc w:val="left"/>
        <w:rPr>
          <w:rFonts w:hint="eastAsia" w:ascii="宋体" w:hAnsi="宋体" w:eastAsia="宋体" w:cs="宋体"/>
          <w:sz w:val="24"/>
        </w:rPr>
      </w:pPr>
    </w:p>
    <w:p w14:paraId="40D91497">
      <w:pPr>
        <w:spacing w:line="360" w:lineRule="auto"/>
        <w:rPr>
          <w:rFonts w:hint="eastAsia" w:ascii="宋体" w:hAnsi="宋体" w:eastAsia="宋体" w:cs="宋体"/>
          <w:sz w:val="28"/>
          <w:szCs w:val="24"/>
          <w:lang w:val="en-US" w:eastAsia="zh-CN"/>
        </w:rPr>
      </w:pPr>
      <w:r>
        <w:rPr>
          <w:rFonts w:hint="eastAsia" w:ascii="宋体" w:hAnsi="宋体" w:eastAsia="宋体" w:cs="宋体"/>
          <w:sz w:val="28"/>
          <w:szCs w:val="24"/>
        </w:rPr>
        <w:t>甲方：榆林市市委机关事务服务中心</w:t>
      </w:r>
      <w:r>
        <w:rPr>
          <w:rFonts w:hint="eastAsia" w:ascii="宋体" w:hAnsi="宋体" w:eastAsia="宋体" w:cs="宋体"/>
          <w:sz w:val="28"/>
          <w:szCs w:val="24"/>
          <w:lang w:val="en-US" w:eastAsia="zh-CN"/>
        </w:rPr>
        <w:t xml:space="preserve">    </w:t>
      </w:r>
      <w:r>
        <w:rPr>
          <w:rFonts w:hint="eastAsia" w:ascii="宋体" w:hAnsi="宋体" w:eastAsia="宋体" w:cs="宋体"/>
          <w:sz w:val="28"/>
          <w:szCs w:val="24"/>
        </w:rPr>
        <w:t>乙方：</w:t>
      </w:r>
    </w:p>
    <w:p w14:paraId="0BF61410">
      <w:pPr>
        <w:spacing w:line="360" w:lineRule="auto"/>
        <w:rPr>
          <w:rFonts w:hint="eastAsia" w:ascii="宋体" w:hAnsi="宋体" w:eastAsia="宋体" w:cs="宋体"/>
          <w:sz w:val="28"/>
          <w:szCs w:val="24"/>
          <w:lang w:val="en-US" w:eastAsia="zh-CN"/>
        </w:rPr>
      </w:pPr>
      <w:r>
        <w:rPr>
          <w:rFonts w:hint="eastAsia" w:ascii="宋体" w:hAnsi="宋体" w:eastAsia="宋体" w:cs="宋体"/>
          <w:sz w:val="28"/>
          <w:szCs w:val="24"/>
        </w:rPr>
        <w:t xml:space="preserve">地址：  </w:t>
      </w:r>
      <w:r>
        <w:rPr>
          <w:rFonts w:hint="eastAsia" w:ascii="宋体" w:hAnsi="宋体" w:eastAsia="宋体" w:cs="宋体"/>
          <w:sz w:val="28"/>
          <w:szCs w:val="24"/>
          <w:lang w:val="en-US" w:eastAsia="zh-CN"/>
        </w:rPr>
        <w:t xml:space="preserve">                            </w:t>
      </w:r>
      <w:r>
        <w:rPr>
          <w:rFonts w:hint="eastAsia" w:ascii="宋体" w:hAnsi="宋体" w:eastAsia="宋体" w:cs="宋体"/>
          <w:sz w:val="28"/>
          <w:szCs w:val="24"/>
        </w:rPr>
        <w:t>地址：</w:t>
      </w:r>
    </w:p>
    <w:p w14:paraId="703CC4D5">
      <w:pPr>
        <w:spacing w:line="360" w:lineRule="auto"/>
        <w:rPr>
          <w:rFonts w:hint="eastAsia" w:ascii="宋体" w:hAnsi="宋体" w:eastAsia="宋体" w:cs="宋体"/>
          <w:sz w:val="28"/>
          <w:szCs w:val="24"/>
          <w:lang w:val="en-US" w:eastAsia="zh-CN"/>
        </w:rPr>
      </w:pPr>
      <w:r>
        <w:rPr>
          <w:rFonts w:hint="eastAsia" w:ascii="宋体" w:hAnsi="宋体" w:eastAsia="宋体" w:cs="宋体"/>
          <w:sz w:val="28"/>
          <w:szCs w:val="24"/>
        </w:rPr>
        <w:t xml:space="preserve">法定代表人/负责人：    </w:t>
      </w:r>
      <w:r>
        <w:rPr>
          <w:rFonts w:hint="eastAsia" w:ascii="宋体" w:hAnsi="宋体" w:eastAsia="宋体" w:cs="宋体"/>
          <w:sz w:val="28"/>
          <w:szCs w:val="24"/>
          <w:lang w:val="en-US" w:eastAsia="zh-CN"/>
        </w:rPr>
        <w:t xml:space="preserve">             </w:t>
      </w:r>
      <w:r>
        <w:rPr>
          <w:rFonts w:hint="eastAsia" w:ascii="宋体" w:hAnsi="宋体" w:eastAsia="宋体" w:cs="宋体"/>
          <w:sz w:val="28"/>
          <w:szCs w:val="24"/>
        </w:rPr>
        <w:t>法定代表人/负责人：</w:t>
      </w:r>
    </w:p>
    <w:p w14:paraId="398C7AFD">
      <w:pPr>
        <w:widowControl/>
        <w:autoSpaceDE w:val="0"/>
        <w:autoSpaceDN w:val="0"/>
        <w:spacing w:line="360" w:lineRule="auto"/>
        <w:textAlignment w:val="bottom"/>
        <w:rPr>
          <w:rFonts w:hint="eastAsia" w:ascii="宋体" w:hAnsi="宋体" w:eastAsia="宋体" w:cs="宋体"/>
          <w:bCs/>
          <w:sz w:val="28"/>
          <w:szCs w:val="24"/>
          <w:lang w:val="en-US" w:eastAsia="zh-CN"/>
        </w:rPr>
      </w:pPr>
      <w:r>
        <w:rPr>
          <w:rFonts w:hint="eastAsia" w:ascii="宋体" w:hAnsi="宋体" w:eastAsia="宋体" w:cs="宋体"/>
          <w:bCs/>
          <w:sz w:val="28"/>
          <w:szCs w:val="24"/>
        </w:rPr>
        <w:t xml:space="preserve">联系人：  </w:t>
      </w:r>
      <w:r>
        <w:rPr>
          <w:rFonts w:hint="eastAsia" w:ascii="宋体" w:hAnsi="宋体" w:eastAsia="宋体" w:cs="宋体"/>
          <w:bCs/>
          <w:sz w:val="28"/>
          <w:szCs w:val="24"/>
          <w:lang w:val="en-US" w:eastAsia="zh-CN"/>
        </w:rPr>
        <w:t xml:space="preserve">                          </w:t>
      </w:r>
      <w:r>
        <w:rPr>
          <w:rFonts w:hint="eastAsia" w:ascii="宋体" w:hAnsi="宋体" w:eastAsia="宋体" w:cs="宋体"/>
          <w:bCs/>
          <w:sz w:val="28"/>
          <w:szCs w:val="24"/>
        </w:rPr>
        <w:t xml:space="preserve">联系人：  </w:t>
      </w:r>
    </w:p>
    <w:p w14:paraId="26032768">
      <w:pPr>
        <w:widowControl/>
        <w:autoSpaceDE w:val="0"/>
        <w:autoSpaceDN w:val="0"/>
        <w:spacing w:line="360" w:lineRule="auto"/>
        <w:textAlignment w:val="bottom"/>
        <w:rPr>
          <w:rFonts w:hint="eastAsia" w:ascii="宋体" w:hAnsi="宋体" w:eastAsia="宋体" w:cs="宋体"/>
          <w:bCs/>
          <w:sz w:val="28"/>
          <w:szCs w:val="24"/>
          <w:lang w:val="en-US" w:eastAsia="zh-CN"/>
        </w:rPr>
      </w:pPr>
      <w:r>
        <w:rPr>
          <w:rFonts w:hint="eastAsia" w:ascii="宋体" w:hAnsi="宋体" w:eastAsia="宋体" w:cs="宋体"/>
          <w:bCs/>
          <w:sz w:val="28"/>
          <w:szCs w:val="24"/>
        </w:rPr>
        <w:t xml:space="preserve">电话： </w:t>
      </w:r>
      <w:r>
        <w:rPr>
          <w:rFonts w:hint="eastAsia" w:ascii="宋体" w:hAnsi="宋体" w:eastAsia="宋体" w:cs="宋体"/>
          <w:bCs/>
          <w:sz w:val="28"/>
          <w:szCs w:val="24"/>
          <w:lang w:val="en-US" w:eastAsia="zh-CN"/>
        </w:rPr>
        <w:t xml:space="preserve">                             电话：</w:t>
      </w:r>
    </w:p>
    <w:p w14:paraId="641347DE">
      <w:pPr>
        <w:widowControl/>
        <w:autoSpaceDE w:val="0"/>
        <w:autoSpaceDN w:val="0"/>
        <w:spacing w:line="360" w:lineRule="auto"/>
        <w:textAlignment w:val="bottom"/>
        <w:rPr>
          <w:rFonts w:hint="eastAsia" w:ascii="宋体" w:hAnsi="宋体" w:eastAsia="宋体" w:cs="宋体"/>
          <w:sz w:val="28"/>
          <w:szCs w:val="24"/>
        </w:rPr>
      </w:pPr>
      <w:r>
        <w:rPr>
          <w:rFonts w:hint="eastAsia" w:ascii="宋体" w:hAnsi="宋体" w:eastAsia="宋体" w:cs="宋体"/>
          <w:bCs/>
          <w:sz w:val="28"/>
          <w:szCs w:val="24"/>
          <w:lang w:val="en-US" w:eastAsia="zh-CN"/>
        </w:rPr>
        <w:t>签订日期：                          签订日期：</w:t>
      </w:r>
    </w:p>
    <w:p w14:paraId="139A0879">
      <w:pPr>
        <w:spacing w:line="360" w:lineRule="auto"/>
        <w:rPr>
          <w:rFonts w:hint="eastAsia" w:ascii="宋体" w:hAnsi="宋体" w:eastAsia="宋体" w:cs="宋体"/>
          <w:sz w:val="28"/>
          <w:szCs w:val="24"/>
        </w:rPr>
      </w:pPr>
    </w:p>
    <w:p w14:paraId="5F96C2B6">
      <w:pPr>
        <w:spacing w:line="360" w:lineRule="auto"/>
        <w:rPr>
          <w:rFonts w:hint="eastAsia" w:ascii="宋体" w:hAnsi="宋体" w:eastAsia="宋体" w:cs="宋体"/>
          <w:sz w:val="28"/>
          <w:szCs w:val="24"/>
        </w:rPr>
      </w:pPr>
    </w:p>
    <w:p w14:paraId="10DFCEAE">
      <w:pPr>
        <w:widowControl/>
        <w:autoSpaceDE w:val="0"/>
        <w:autoSpaceDN w:val="0"/>
        <w:spacing w:line="360" w:lineRule="auto"/>
        <w:ind w:firstLine="4760" w:firstLineChars="1700"/>
        <w:textAlignment w:val="bottom"/>
        <w:rPr>
          <w:rFonts w:hint="eastAsia" w:ascii="宋体" w:hAnsi="宋体" w:eastAsia="宋体" w:cs="宋体"/>
          <w:bCs/>
          <w:sz w:val="28"/>
          <w:szCs w:val="24"/>
          <w:lang w:val="en-US" w:eastAsia="zh-CN"/>
        </w:rPr>
      </w:pPr>
      <w:r>
        <w:rPr>
          <w:rFonts w:hint="eastAsia" w:ascii="宋体" w:hAnsi="宋体" w:eastAsia="宋体" w:cs="宋体"/>
          <w:bCs/>
          <w:sz w:val="28"/>
          <w:szCs w:val="24"/>
          <w:lang w:val="en-US" w:eastAsia="zh-CN"/>
        </w:rPr>
        <w:t>协议签订地：榆林市</w:t>
      </w:r>
    </w:p>
    <w:p w14:paraId="22FCD4A7">
      <w:pPr>
        <w:widowControl/>
        <w:autoSpaceDE w:val="0"/>
        <w:autoSpaceDN w:val="0"/>
        <w:spacing w:line="360" w:lineRule="auto"/>
        <w:textAlignment w:val="bottom"/>
        <w:rPr>
          <w:rFonts w:hint="eastAsia" w:ascii="黑体" w:hAnsi="黑体" w:eastAsia="黑体" w:cs="黑体"/>
          <w:bCs/>
          <w:sz w:val="28"/>
          <w:szCs w:val="24"/>
          <w:lang w:val="en-US" w:eastAsia="zh-CN"/>
        </w:rPr>
      </w:pPr>
    </w:p>
    <w:p w14:paraId="011E3DB0">
      <w:pPr>
        <w:widowControl/>
        <w:autoSpaceDE w:val="0"/>
        <w:autoSpaceDN w:val="0"/>
        <w:spacing w:line="360" w:lineRule="auto"/>
        <w:textAlignment w:val="bottom"/>
        <w:rPr>
          <w:rFonts w:hint="eastAsia" w:ascii="黑体" w:hAnsi="黑体" w:eastAsia="黑体" w:cs="黑体"/>
          <w:bCs/>
          <w:sz w:val="28"/>
          <w:szCs w:val="24"/>
          <w:lang w:val="en-US" w:eastAsia="zh-CN"/>
        </w:rPr>
        <w:sectPr>
          <w:type w:val="continuous"/>
          <w:pgSz w:w="11906" w:h="16838"/>
          <w:pgMar w:top="1440" w:right="1800" w:bottom="1440" w:left="1800" w:header="851" w:footer="992" w:gutter="0"/>
          <w:pgNumType w:fmt="decimal"/>
          <w:cols w:space="425" w:num="1"/>
          <w:docGrid w:type="lines" w:linePitch="312" w:charSpace="0"/>
        </w:sectPr>
      </w:pPr>
    </w:p>
    <w:tbl>
      <w:tblPr>
        <w:tblStyle w:val="41"/>
        <w:tblW w:w="14049" w:type="dxa"/>
        <w:tblInd w:w="93" w:type="dxa"/>
        <w:tblLayout w:type="fixed"/>
        <w:tblCellMar>
          <w:top w:w="0" w:type="dxa"/>
          <w:left w:w="108" w:type="dxa"/>
          <w:bottom w:w="0" w:type="dxa"/>
          <w:right w:w="108" w:type="dxa"/>
        </w:tblCellMar>
      </w:tblPr>
      <w:tblGrid>
        <w:gridCol w:w="1716"/>
        <w:gridCol w:w="1615"/>
        <w:gridCol w:w="4470"/>
        <w:gridCol w:w="1830"/>
        <w:gridCol w:w="4418"/>
      </w:tblGrid>
      <w:tr w14:paraId="1DDDF645">
        <w:tblPrEx>
          <w:tblCellMar>
            <w:top w:w="0" w:type="dxa"/>
            <w:left w:w="108" w:type="dxa"/>
            <w:bottom w:w="0" w:type="dxa"/>
            <w:right w:w="108" w:type="dxa"/>
          </w:tblCellMar>
        </w:tblPrEx>
        <w:trPr>
          <w:trHeight w:val="705" w:hRule="atLeast"/>
        </w:trPr>
        <w:tc>
          <w:tcPr>
            <w:tcW w:w="14049" w:type="dxa"/>
            <w:gridSpan w:val="5"/>
            <w:tcBorders>
              <w:top w:val="single" w:color="auto" w:sz="4" w:space="0"/>
              <w:left w:val="single" w:color="auto" w:sz="4" w:space="0"/>
              <w:bottom w:val="single" w:color="auto" w:sz="4" w:space="0"/>
              <w:right w:val="single" w:color="auto" w:sz="4" w:space="0"/>
            </w:tcBorders>
            <w:shd w:val="clear" w:color="auto" w:fill="auto"/>
            <w:vAlign w:val="center"/>
          </w:tcPr>
          <w:p w14:paraId="6191E725">
            <w:pPr>
              <w:widowControl/>
              <w:ind w:firstLine="420"/>
              <w:jc w:val="center"/>
              <w:rPr>
                <w:rFonts w:cs="宋体" w:asciiTheme="minorEastAsia" w:hAnsiTheme="minorEastAsia"/>
                <w:b/>
                <w:bCs/>
                <w:kern w:val="0"/>
                <w:sz w:val="28"/>
                <w:szCs w:val="28"/>
              </w:rPr>
            </w:pPr>
            <w:r>
              <w:rPr>
                <w:rFonts w:asciiTheme="minorEastAsia" w:hAnsiTheme="minorEastAsia"/>
              </w:rPr>
              <w:br w:type="page"/>
            </w:r>
            <w:r>
              <w:rPr>
                <w:rFonts w:hint="eastAsia" w:cs="宋体" w:asciiTheme="minorEastAsia" w:hAnsiTheme="minorEastAsia"/>
                <w:b/>
                <w:bCs/>
                <w:kern w:val="0"/>
                <w:sz w:val="28"/>
                <w:szCs w:val="28"/>
              </w:rPr>
              <w:t>交付清单</w:t>
            </w:r>
          </w:p>
        </w:tc>
      </w:tr>
      <w:tr w14:paraId="436736FC">
        <w:tblPrEx>
          <w:tblCellMar>
            <w:top w:w="0" w:type="dxa"/>
            <w:left w:w="108" w:type="dxa"/>
            <w:bottom w:w="0" w:type="dxa"/>
            <w:right w:w="108" w:type="dxa"/>
          </w:tblCellMar>
        </w:tblPrEx>
        <w:trPr>
          <w:trHeight w:val="720" w:hRule="atLeast"/>
        </w:trPr>
        <w:tc>
          <w:tcPr>
            <w:tcW w:w="1716" w:type="dxa"/>
            <w:tcBorders>
              <w:top w:val="nil"/>
              <w:left w:val="single" w:color="auto" w:sz="4" w:space="0"/>
              <w:bottom w:val="single" w:color="auto" w:sz="4" w:space="0"/>
              <w:right w:val="single" w:color="auto" w:sz="4" w:space="0"/>
            </w:tcBorders>
            <w:shd w:val="clear" w:color="auto" w:fill="auto"/>
            <w:vAlign w:val="center"/>
          </w:tcPr>
          <w:p w14:paraId="65B1CFD3">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分公司：</w:t>
            </w:r>
          </w:p>
        </w:tc>
        <w:tc>
          <w:tcPr>
            <w:tcW w:w="6085" w:type="dxa"/>
            <w:gridSpan w:val="2"/>
            <w:tcBorders>
              <w:top w:val="single" w:color="auto" w:sz="4" w:space="0"/>
              <w:left w:val="nil"/>
              <w:bottom w:val="single" w:color="auto" w:sz="4" w:space="0"/>
              <w:right w:val="single" w:color="000000" w:sz="4" w:space="0"/>
            </w:tcBorders>
            <w:shd w:val="clear" w:color="auto" w:fill="auto"/>
            <w:vAlign w:val="center"/>
          </w:tcPr>
          <w:p w14:paraId="0558D4C2">
            <w:pPr>
              <w:widowControl/>
              <w:ind w:firstLine="400"/>
              <w:jc w:val="center"/>
              <w:rPr>
                <w:rFonts w:cs="宋体" w:asciiTheme="minorEastAsia" w:hAnsiTheme="minorEastAsia"/>
                <w:kern w:val="0"/>
                <w:sz w:val="20"/>
                <w:szCs w:val="20"/>
              </w:rPr>
            </w:pPr>
          </w:p>
        </w:tc>
        <w:tc>
          <w:tcPr>
            <w:tcW w:w="1830" w:type="dxa"/>
            <w:tcBorders>
              <w:top w:val="nil"/>
              <w:left w:val="nil"/>
              <w:bottom w:val="single" w:color="auto" w:sz="4" w:space="0"/>
              <w:right w:val="single" w:color="auto" w:sz="4" w:space="0"/>
            </w:tcBorders>
            <w:shd w:val="clear" w:color="auto" w:fill="auto"/>
            <w:vAlign w:val="center"/>
          </w:tcPr>
          <w:p w14:paraId="6128B580">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合同编号：</w:t>
            </w:r>
          </w:p>
        </w:tc>
        <w:tc>
          <w:tcPr>
            <w:tcW w:w="4418" w:type="dxa"/>
            <w:tcBorders>
              <w:top w:val="single" w:color="auto" w:sz="4" w:space="0"/>
              <w:left w:val="nil"/>
              <w:bottom w:val="single" w:color="auto" w:sz="4" w:space="0"/>
              <w:right w:val="single" w:color="auto" w:sz="4" w:space="0"/>
            </w:tcBorders>
            <w:shd w:val="clear" w:color="auto" w:fill="auto"/>
            <w:vAlign w:val="center"/>
          </w:tcPr>
          <w:p w14:paraId="2E7C632E">
            <w:pPr>
              <w:widowControl/>
              <w:ind w:firstLine="400"/>
              <w:jc w:val="center"/>
              <w:rPr>
                <w:rFonts w:cs="宋体" w:asciiTheme="minorEastAsia" w:hAnsiTheme="minorEastAsia"/>
                <w:kern w:val="0"/>
                <w:sz w:val="20"/>
                <w:szCs w:val="20"/>
              </w:rPr>
            </w:pPr>
          </w:p>
        </w:tc>
      </w:tr>
      <w:tr w14:paraId="2A7EFE60">
        <w:tblPrEx>
          <w:tblCellMar>
            <w:top w:w="0" w:type="dxa"/>
            <w:left w:w="108" w:type="dxa"/>
            <w:bottom w:w="0" w:type="dxa"/>
            <w:right w:w="108" w:type="dxa"/>
          </w:tblCellMar>
        </w:tblPrEx>
        <w:trPr>
          <w:trHeight w:val="739" w:hRule="atLeast"/>
        </w:trPr>
        <w:tc>
          <w:tcPr>
            <w:tcW w:w="1716" w:type="dxa"/>
            <w:tcBorders>
              <w:top w:val="nil"/>
              <w:left w:val="single" w:color="auto" w:sz="4" w:space="0"/>
              <w:bottom w:val="single" w:color="auto" w:sz="4" w:space="0"/>
              <w:right w:val="single" w:color="auto" w:sz="4" w:space="0"/>
            </w:tcBorders>
            <w:shd w:val="clear" w:color="auto" w:fill="auto"/>
            <w:vAlign w:val="center"/>
          </w:tcPr>
          <w:p w14:paraId="3C132D77">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合同日期：</w:t>
            </w:r>
          </w:p>
        </w:tc>
        <w:tc>
          <w:tcPr>
            <w:tcW w:w="6085" w:type="dxa"/>
            <w:gridSpan w:val="2"/>
            <w:tcBorders>
              <w:top w:val="single" w:color="auto" w:sz="4" w:space="0"/>
              <w:left w:val="nil"/>
              <w:bottom w:val="single" w:color="auto" w:sz="4" w:space="0"/>
              <w:right w:val="single" w:color="000000" w:sz="4" w:space="0"/>
            </w:tcBorders>
            <w:shd w:val="clear" w:color="auto" w:fill="auto"/>
            <w:vAlign w:val="center"/>
          </w:tcPr>
          <w:p w14:paraId="13E505EE">
            <w:pPr>
              <w:widowControl/>
              <w:ind w:firstLine="400"/>
              <w:jc w:val="center"/>
              <w:rPr>
                <w:rFonts w:cs="宋体" w:asciiTheme="minorEastAsia" w:hAnsiTheme="minorEastAsia"/>
                <w:kern w:val="0"/>
                <w:sz w:val="20"/>
                <w:szCs w:val="20"/>
              </w:rPr>
            </w:pPr>
          </w:p>
        </w:tc>
        <w:tc>
          <w:tcPr>
            <w:tcW w:w="1830" w:type="dxa"/>
            <w:tcBorders>
              <w:top w:val="nil"/>
              <w:left w:val="nil"/>
              <w:bottom w:val="single" w:color="auto" w:sz="4" w:space="0"/>
              <w:right w:val="single" w:color="auto" w:sz="4" w:space="0"/>
            </w:tcBorders>
            <w:shd w:val="clear" w:color="auto" w:fill="auto"/>
            <w:vAlign w:val="center"/>
          </w:tcPr>
          <w:p w14:paraId="33ABCC77">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验收</w:t>
            </w:r>
            <w:r>
              <w:rPr>
                <w:rFonts w:cs="宋体" w:asciiTheme="minorEastAsia" w:hAnsiTheme="minorEastAsia"/>
                <w:kern w:val="0"/>
                <w:sz w:val="20"/>
                <w:szCs w:val="20"/>
              </w:rPr>
              <w:t>日期 ：</w:t>
            </w:r>
          </w:p>
        </w:tc>
        <w:tc>
          <w:tcPr>
            <w:tcW w:w="4418" w:type="dxa"/>
            <w:tcBorders>
              <w:top w:val="single" w:color="auto" w:sz="4" w:space="0"/>
              <w:left w:val="nil"/>
              <w:bottom w:val="single" w:color="auto" w:sz="4" w:space="0"/>
              <w:right w:val="single" w:color="auto" w:sz="4" w:space="0"/>
            </w:tcBorders>
            <w:shd w:val="clear" w:color="auto" w:fill="auto"/>
            <w:vAlign w:val="center"/>
          </w:tcPr>
          <w:p w14:paraId="620F7B61">
            <w:pPr>
              <w:widowControl/>
              <w:ind w:firstLine="400"/>
              <w:jc w:val="center"/>
              <w:rPr>
                <w:rFonts w:cs="宋体" w:asciiTheme="minorEastAsia" w:hAnsiTheme="minorEastAsia"/>
                <w:kern w:val="0"/>
                <w:sz w:val="20"/>
                <w:szCs w:val="20"/>
              </w:rPr>
            </w:pPr>
          </w:p>
        </w:tc>
      </w:tr>
      <w:tr w14:paraId="66DE83B5">
        <w:tblPrEx>
          <w:tblCellMar>
            <w:top w:w="0" w:type="dxa"/>
            <w:left w:w="108" w:type="dxa"/>
            <w:bottom w:w="0" w:type="dxa"/>
            <w:right w:w="108" w:type="dxa"/>
          </w:tblCellMar>
        </w:tblPrEx>
        <w:trPr>
          <w:trHeight w:val="672" w:hRule="atLeast"/>
        </w:trPr>
        <w:tc>
          <w:tcPr>
            <w:tcW w:w="1716" w:type="dxa"/>
            <w:tcBorders>
              <w:top w:val="nil"/>
              <w:left w:val="single" w:color="auto" w:sz="4" w:space="0"/>
              <w:bottom w:val="single" w:color="auto" w:sz="4" w:space="0"/>
              <w:right w:val="single" w:color="auto" w:sz="4" w:space="0"/>
            </w:tcBorders>
            <w:shd w:val="clear" w:color="auto" w:fill="auto"/>
            <w:vAlign w:val="center"/>
          </w:tcPr>
          <w:p w14:paraId="21D2C963">
            <w:pPr>
              <w:widowControl/>
              <w:ind w:firstLine="420"/>
              <w:jc w:val="center"/>
              <w:rPr>
                <w:rFonts w:cs="宋体" w:asciiTheme="minorEastAsia" w:hAnsiTheme="minorEastAsia"/>
                <w:color w:val="000000"/>
                <w:kern w:val="0"/>
                <w:szCs w:val="21"/>
              </w:rPr>
            </w:pPr>
            <w:r>
              <w:rPr>
                <w:rFonts w:hint="eastAsia" w:cs="宋体" w:asciiTheme="minorEastAsia" w:hAnsiTheme="minorEastAsia"/>
                <w:color w:val="000000"/>
                <w:kern w:val="0"/>
                <w:szCs w:val="21"/>
              </w:rPr>
              <w:t>点位名称</w:t>
            </w:r>
          </w:p>
        </w:tc>
        <w:tc>
          <w:tcPr>
            <w:tcW w:w="1615" w:type="dxa"/>
            <w:tcBorders>
              <w:top w:val="nil"/>
              <w:left w:val="nil"/>
              <w:bottom w:val="single" w:color="auto" w:sz="4" w:space="0"/>
              <w:right w:val="single" w:color="auto" w:sz="4" w:space="0"/>
            </w:tcBorders>
            <w:shd w:val="clear" w:color="auto" w:fill="auto"/>
            <w:vAlign w:val="center"/>
          </w:tcPr>
          <w:p w14:paraId="5A3CE61E">
            <w:pPr>
              <w:widowControl/>
              <w:ind w:firstLine="420"/>
              <w:jc w:val="both"/>
              <w:rPr>
                <w:rFonts w:cs="宋体" w:asciiTheme="minorEastAsia" w:hAnsiTheme="minorEastAsia"/>
                <w:color w:val="000000"/>
                <w:kern w:val="0"/>
                <w:szCs w:val="21"/>
              </w:rPr>
            </w:pPr>
            <w:r>
              <w:rPr>
                <w:rFonts w:hint="eastAsia" w:cs="宋体" w:asciiTheme="minorEastAsia" w:hAnsiTheme="minorEastAsia"/>
                <w:color w:val="000000"/>
                <w:kern w:val="0"/>
                <w:szCs w:val="21"/>
              </w:rPr>
              <w:t>配置</w:t>
            </w:r>
          </w:p>
        </w:tc>
        <w:tc>
          <w:tcPr>
            <w:tcW w:w="4470" w:type="dxa"/>
            <w:tcBorders>
              <w:top w:val="nil"/>
              <w:left w:val="nil"/>
              <w:bottom w:val="single" w:color="auto" w:sz="4" w:space="0"/>
              <w:right w:val="single" w:color="auto" w:sz="4" w:space="0"/>
            </w:tcBorders>
            <w:shd w:val="clear" w:color="auto" w:fill="auto"/>
            <w:vAlign w:val="center"/>
          </w:tcPr>
          <w:p w14:paraId="4ED4737C">
            <w:pPr>
              <w:widowControl/>
              <w:ind w:firstLine="420"/>
              <w:jc w:val="center"/>
              <w:rPr>
                <w:rFonts w:cs="宋体" w:asciiTheme="minorEastAsia" w:hAnsiTheme="minorEastAsia"/>
                <w:color w:val="000000"/>
                <w:kern w:val="0"/>
                <w:szCs w:val="21"/>
              </w:rPr>
            </w:pPr>
            <w:r>
              <w:rPr>
                <w:rFonts w:hint="eastAsia" w:cs="宋体" w:asciiTheme="minorEastAsia" w:hAnsiTheme="minorEastAsia"/>
                <w:color w:val="000000"/>
                <w:kern w:val="0"/>
                <w:szCs w:val="21"/>
              </w:rPr>
              <w:t>设备说明</w:t>
            </w:r>
          </w:p>
        </w:tc>
        <w:tc>
          <w:tcPr>
            <w:tcW w:w="1830" w:type="dxa"/>
            <w:tcBorders>
              <w:top w:val="nil"/>
              <w:left w:val="nil"/>
              <w:bottom w:val="single" w:color="auto" w:sz="4" w:space="0"/>
              <w:right w:val="single" w:color="auto" w:sz="4" w:space="0"/>
            </w:tcBorders>
            <w:shd w:val="clear" w:color="auto" w:fill="auto"/>
            <w:vAlign w:val="center"/>
          </w:tcPr>
          <w:p w14:paraId="7A41AAB1">
            <w:pPr>
              <w:widowControl/>
              <w:jc w:val="center"/>
              <w:rPr>
                <w:rFonts w:cs="宋体" w:asciiTheme="minorEastAsia" w:hAnsiTheme="minorEastAsia"/>
                <w:color w:val="000000"/>
                <w:kern w:val="0"/>
                <w:szCs w:val="21"/>
              </w:rPr>
            </w:pPr>
            <w:r>
              <w:rPr>
                <w:rFonts w:hint="eastAsia" w:cs="宋体" w:asciiTheme="minorEastAsia" w:hAnsiTheme="minorEastAsia"/>
                <w:color w:val="000000"/>
                <w:kern w:val="0"/>
                <w:szCs w:val="21"/>
              </w:rPr>
              <w:t>数量</w:t>
            </w:r>
          </w:p>
        </w:tc>
        <w:tc>
          <w:tcPr>
            <w:tcW w:w="4418" w:type="dxa"/>
            <w:tcBorders>
              <w:top w:val="nil"/>
              <w:left w:val="nil"/>
              <w:bottom w:val="single" w:color="auto" w:sz="4" w:space="0"/>
              <w:right w:val="single" w:color="auto" w:sz="4" w:space="0"/>
            </w:tcBorders>
            <w:shd w:val="clear" w:color="auto" w:fill="auto"/>
            <w:vAlign w:val="center"/>
          </w:tcPr>
          <w:p w14:paraId="2AAB0B3E">
            <w:pPr>
              <w:widowControl/>
              <w:jc w:val="center"/>
              <w:rPr>
                <w:rFonts w:cs="宋体" w:asciiTheme="minorEastAsia" w:hAnsiTheme="minorEastAsia"/>
                <w:color w:val="000000"/>
                <w:kern w:val="0"/>
                <w:szCs w:val="21"/>
              </w:rPr>
            </w:pPr>
            <w:r>
              <w:rPr>
                <w:rFonts w:hint="eastAsia" w:cs="宋体" w:asciiTheme="minorEastAsia" w:hAnsiTheme="minorEastAsia"/>
                <w:color w:val="000000"/>
                <w:kern w:val="0"/>
                <w:szCs w:val="21"/>
              </w:rPr>
              <w:t>备注</w:t>
            </w:r>
          </w:p>
        </w:tc>
      </w:tr>
      <w:tr w14:paraId="5532E57F">
        <w:tblPrEx>
          <w:tblCellMar>
            <w:top w:w="0" w:type="dxa"/>
            <w:left w:w="108" w:type="dxa"/>
            <w:bottom w:w="0" w:type="dxa"/>
            <w:right w:w="108" w:type="dxa"/>
          </w:tblCellMar>
        </w:tblPrEx>
        <w:trPr>
          <w:trHeight w:val="885" w:hRule="atLeast"/>
        </w:trPr>
        <w:tc>
          <w:tcPr>
            <w:tcW w:w="1716" w:type="dxa"/>
            <w:vMerge w:val="restart"/>
            <w:tcBorders>
              <w:top w:val="nil"/>
              <w:left w:val="single" w:color="auto" w:sz="4" w:space="0"/>
              <w:bottom w:val="single" w:color="auto" w:sz="4" w:space="0"/>
              <w:right w:val="single" w:color="auto" w:sz="4" w:space="0"/>
            </w:tcBorders>
            <w:shd w:val="clear" w:color="auto" w:fill="auto"/>
            <w:vAlign w:val="center"/>
          </w:tcPr>
          <w:p w14:paraId="637A4090">
            <w:pPr>
              <w:widowControl/>
              <w:ind w:firstLine="420"/>
              <w:jc w:val="center"/>
              <w:rPr>
                <w:rFonts w:cs="宋体" w:asciiTheme="minorEastAsia" w:hAnsiTheme="minorEastAsia"/>
                <w:color w:val="000000"/>
                <w:kern w:val="0"/>
                <w:szCs w:val="21"/>
              </w:rPr>
            </w:pPr>
          </w:p>
        </w:tc>
        <w:tc>
          <w:tcPr>
            <w:tcW w:w="1615" w:type="dxa"/>
            <w:tcBorders>
              <w:top w:val="nil"/>
              <w:left w:val="nil"/>
              <w:bottom w:val="single" w:color="auto" w:sz="4" w:space="0"/>
              <w:right w:val="single" w:color="auto" w:sz="4" w:space="0"/>
            </w:tcBorders>
            <w:shd w:val="clear" w:color="auto" w:fill="auto"/>
            <w:vAlign w:val="center"/>
          </w:tcPr>
          <w:p w14:paraId="727C317B">
            <w:pPr>
              <w:widowControl/>
              <w:jc w:val="center"/>
              <w:rPr>
                <w:rFonts w:cs="宋体" w:asciiTheme="minorEastAsia" w:hAnsiTheme="minorEastAsia"/>
                <w:color w:val="000000"/>
                <w:kern w:val="0"/>
                <w:szCs w:val="21"/>
              </w:rPr>
            </w:pPr>
            <w:r>
              <w:rPr>
                <w:rFonts w:hint="eastAsia" w:cs="宋体" w:asciiTheme="minorEastAsia" w:hAnsiTheme="minorEastAsia"/>
                <w:color w:val="000000"/>
                <w:kern w:val="0"/>
                <w:szCs w:val="21"/>
              </w:rPr>
              <w:t>如：</w:t>
            </w:r>
            <w:r>
              <w:rPr>
                <w:rFonts w:cs="宋体" w:asciiTheme="minorEastAsia" w:hAnsiTheme="minorEastAsia"/>
                <w:color w:val="000000"/>
                <w:kern w:val="0"/>
                <w:szCs w:val="21"/>
              </w:rPr>
              <w:t>UPS+锂电+监控</w:t>
            </w:r>
          </w:p>
        </w:tc>
        <w:tc>
          <w:tcPr>
            <w:tcW w:w="4470" w:type="dxa"/>
            <w:tcBorders>
              <w:top w:val="nil"/>
              <w:left w:val="nil"/>
              <w:bottom w:val="single" w:color="auto" w:sz="4" w:space="0"/>
              <w:right w:val="single" w:color="auto" w:sz="4" w:space="0"/>
            </w:tcBorders>
            <w:shd w:val="clear" w:color="auto" w:fill="auto"/>
            <w:vAlign w:val="center"/>
          </w:tcPr>
          <w:p w14:paraId="524BC679">
            <w:pPr>
              <w:widowControl/>
              <w:ind w:firstLine="420"/>
              <w:jc w:val="center"/>
              <w:rPr>
                <w:rFonts w:cs="宋体" w:asciiTheme="minorEastAsia" w:hAnsiTheme="minorEastAsia"/>
                <w:color w:val="000000"/>
                <w:kern w:val="0"/>
                <w:szCs w:val="21"/>
              </w:rPr>
            </w:pPr>
          </w:p>
          <w:p w14:paraId="3591FE21">
            <w:pPr>
              <w:widowControl/>
              <w:ind w:firstLine="420"/>
              <w:jc w:val="center"/>
              <w:rPr>
                <w:rFonts w:cs="宋体" w:asciiTheme="minorEastAsia" w:hAnsiTheme="minorEastAsia"/>
                <w:color w:val="000000"/>
                <w:kern w:val="0"/>
                <w:szCs w:val="21"/>
              </w:rPr>
            </w:pPr>
          </w:p>
        </w:tc>
        <w:tc>
          <w:tcPr>
            <w:tcW w:w="1830" w:type="dxa"/>
            <w:tcBorders>
              <w:top w:val="nil"/>
              <w:left w:val="nil"/>
              <w:bottom w:val="single" w:color="auto" w:sz="4" w:space="0"/>
              <w:right w:val="single" w:color="auto" w:sz="4" w:space="0"/>
            </w:tcBorders>
            <w:shd w:val="clear" w:color="auto" w:fill="auto"/>
            <w:vAlign w:val="center"/>
          </w:tcPr>
          <w:p w14:paraId="00DD06F9">
            <w:pPr>
              <w:widowControl/>
              <w:ind w:firstLine="420"/>
              <w:jc w:val="center"/>
              <w:rPr>
                <w:rFonts w:cs="宋体" w:asciiTheme="minorEastAsia" w:hAnsiTheme="minorEastAsia"/>
                <w:color w:val="000000"/>
                <w:kern w:val="0"/>
                <w:szCs w:val="21"/>
              </w:rPr>
            </w:pPr>
          </w:p>
        </w:tc>
        <w:tc>
          <w:tcPr>
            <w:tcW w:w="4418" w:type="dxa"/>
            <w:tcBorders>
              <w:top w:val="nil"/>
              <w:left w:val="nil"/>
              <w:bottom w:val="single" w:color="auto" w:sz="4" w:space="0"/>
              <w:right w:val="single" w:color="auto" w:sz="4" w:space="0"/>
            </w:tcBorders>
            <w:shd w:val="clear" w:color="auto" w:fill="auto"/>
            <w:vAlign w:val="center"/>
          </w:tcPr>
          <w:p w14:paraId="3621D510">
            <w:pPr>
              <w:widowControl/>
              <w:ind w:firstLine="420"/>
              <w:jc w:val="center"/>
              <w:rPr>
                <w:rFonts w:cs="宋体" w:asciiTheme="minorEastAsia" w:hAnsiTheme="minorEastAsia"/>
                <w:color w:val="000000"/>
                <w:kern w:val="0"/>
                <w:szCs w:val="21"/>
              </w:rPr>
            </w:pPr>
          </w:p>
        </w:tc>
      </w:tr>
      <w:tr w14:paraId="0D57397C">
        <w:tblPrEx>
          <w:tblCellMar>
            <w:top w:w="0" w:type="dxa"/>
            <w:left w:w="108" w:type="dxa"/>
            <w:bottom w:w="0" w:type="dxa"/>
            <w:right w:w="108" w:type="dxa"/>
          </w:tblCellMar>
        </w:tblPrEx>
        <w:trPr>
          <w:trHeight w:val="885" w:hRule="atLeast"/>
        </w:trPr>
        <w:tc>
          <w:tcPr>
            <w:tcW w:w="1716" w:type="dxa"/>
            <w:vMerge w:val="continue"/>
            <w:tcBorders>
              <w:top w:val="nil"/>
              <w:left w:val="single" w:color="auto" w:sz="4" w:space="0"/>
              <w:bottom w:val="single" w:color="auto" w:sz="4" w:space="0"/>
              <w:right w:val="single" w:color="auto" w:sz="4" w:space="0"/>
            </w:tcBorders>
            <w:vAlign w:val="center"/>
          </w:tcPr>
          <w:p w14:paraId="2B771A6F">
            <w:pPr>
              <w:widowControl/>
              <w:ind w:firstLine="420"/>
              <w:jc w:val="center"/>
              <w:rPr>
                <w:rFonts w:cs="宋体" w:asciiTheme="minorEastAsia" w:hAnsiTheme="minorEastAsia"/>
                <w:color w:val="000000"/>
                <w:kern w:val="0"/>
                <w:szCs w:val="21"/>
              </w:rPr>
            </w:pPr>
          </w:p>
        </w:tc>
        <w:tc>
          <w:tcPr>
            <w:tcW w:w="1615" w:type="dxa"/>
            <w:tcBorders>
              <w:top w:val="nil"/>
              <w:left w:val="nil"/>
              <w:bottom w:val="single" w:color="auto" w:sz="4" w:space="0"/>
              <w:right w:val="single" w:color="auto" w:sz="4" w:space="0"/>
            </w:tcBorders>
            <w:shd w:val="clear" w:color="auto" w:fill="auto"/>
            <w:vAlign w:val="center"/>
          </w:tcPr>
          <w:p w14:paraId="0A8813F1">
            <w:pPr>
              <w:widowControl/>
              <w:ind w:firstLine="420"/>
              <w:jc w:val="center"/>
              <w:rPr>
                <w:rFonts w:cs="宋体" w:asciiTheme="minorEastAsia" w:hAnsiTheme="minorEastAsia"/>
                <w:color w:val="000000"/>
                <w:kern w:val="0"/>
                <w:szCs w:val="21"/>
              </w:rPr>
            </w:pPr>
          </w:p>
        </w:tc>
        <w:tc>
          <w:tcPr>
            <w:tcW w:w="4470" w:type="dxa"/>
            <w:tcBorders>
              <w:top w:val="nil"/>
              <w:left w:val="nil"/>
              <w:bottom w:val="single" w:color="auto" w:sz="4" w:space="0"/>
              <w:right w:val="single" w:color="auto" w:sz="4" w:space="0"/>
            </w:tcBorders>
            <w:shd w:val="clear" w:color="auto" w:fill="auto"/>
            <w:vAlign w:val="center"/>
          </w:tcPr>
          <w:p w14:paraId="2441D37B">
            <w:pPr>
              <w:widowControl/>
              <w:ind w:firstLine="420"/>
              <w:jc w:val="center"/>
              <w:rPr>
                <w:rFonts w:cs="宋体" w:asciiTheme="minorEastAsia" w:hAnsiTheme="minorEastAsia"/>
                <w:color w:val="000000"/>
                <w:kern w:val="0"/>
                <w:szCs w:val="21"/>
              </w:rPr>
            </w:pPr>
          </w:p>
          <w:p w14:paraId="2A6EE5C1">
            <w:pPr>
              <w:widowControl/>
              <w:ind w:firstLine="420"/>
              <w:jc w:val="center"/>
              <w:rPr>
                <w:rFonts w:cs="宋体" w:asciiTheme="minorEastAsia" w:hAnsiTheme="minorEastAsia"/>
                <w:color w:val="000000"/>
                <w:kern w:val="0"/>
                <w:szCs w:val="21"/>
              </w:rPr>
            </w:pPr>
          </w:p>
        </w:tc>
        <w:tc>
          <w:tcPr>
            <w:tcW w:w="1830" w:type="dxa"/>
            <w:tcBorders>
              <w:top w:val="nil"/>
              <w:left w:val="nil"/>
              <w:bottom w:val="single" w:color="auto" w:sz="4" w:space="0"/>
              <w:right w:val="single" w:color="auto" w:sz="4" w:space="0"/>
            </w:tcBorders>
            <w:shd w:val="clear" w:color="auto" w:fill="auto"/>
            <w:vAlign w:val="center"/>
          </w:tcPr>
          <w:p w14:paraId="68ABBDDF">
            <w:pPr>
              <w:widowControl/>
              <w:ind w:firstLine="420"/>
              <w:jc w:val="center"/>
              <w:rPr>
                <w:rFonts w:cs="宋体" w:asciiTheme="minorEastAsia" w:hAnsiTheme="minorEastAsia"/>
                <w:color w:val="000000"/>
                <w:kern w:val="0"/>
                <w:szCs w:val="21"/>
              </w:rPr>
            </w:pPr>
          </w:p>
        </w:tc>
        <w:tc>
          <w:tcPr>
            <w:tcW w:w="4418" w:type="dxa"/>
            <w:tcBorders>
              <w:top w:val="nil"/>
              <w:left w:val="nil"/>
              <w:bottom w:val="single" w:color="auto" w:sz="4" w:space="0"/>
              <w:right w:val="single" w:color="auto" w:sz="4" w:space="0"/>
            </w:tcBorders>
            <w:shd w:val="clear" w:color="auto" w:fill="auto"/>
            <w:vAlign w:val="center"/>
          </w:tcPr>
          <w:p w14:paraId="26282AD3">
            <w:pPr>
              <w:widowControl/>
              <w:ind w:firstLine="420"/>
              <w:jc w:val="center"/>
              <w:rPr>
                <w:rFonts w:cs="宋体" w:asciiTheme="minorEastAsia" w:hAnsiTheme="minorEastAsia"/>
                <w:color w:val="000000"/>
                <w:kern w:val="0"/>
                <w:szCs w:val="21"/>
              </w:rPr>
            </w:pPr>
          </w:p>
        </w:tc>
      </w:tr>
      <w:tr w14:paraId="11578765">
        <w:tblPrEx>
          <w:tblCellMar>
            <w:top w:w="0" w:type="dxa"/>
            <w:left w:w="108" w:type="dxa"/>
            <w:bottom w:w="0" w:type="dxa"/>
            <w:right w:w="108" w:type="dxa"/>
          </w:tblCellMar>
        </w:tblPrEx>
        <w:trPr>
          <w:trHeight w:val="885" w:hRule="atLeast"/>
        </w:trPr>
        <w:tc>
          <w:tcPr>
            <w:tcW w:w="1716" w:type="dxa"/>
            <w:vMerge w:val="continue"/>
            <w:tcBorders>
              <w:top w:val="nil"/>
              <w:left w:val="single" w:color="auto" w:sz="4" w:space="0"/>
              <w:bottom w:val="single" w:color="auto" w:sz="4" w:space="0"/>
              <w:right w:val="single" w:color="auto" w:sz="4" w:space="0"/>
            </w:tcBorders>
            <w:vAlign w:val="center"/>
          </w:tcPr>
          <w:p w14:paraId="1FBD0E06">
            <w:pPr>
              <w:widowControl/>
              <w:ind w:firstLine="420"/>
              <w:jc w:val="center"/>
              <w:rPr>
                <w:rFonts w:cs="宋体" w:asciiTheme="minorEastAsia" w:hAnsiTheme="minorEastAsia"/>
                <w:color w:val="000000"/>
                <w:kern w:val="0"/>
                <w:szCs w:val="21"/>
              </w:rPr>
            </w:pPr>
          </w:p>
        </w:tc>
        <w:tc>
          <w:tcPr>
            <w:tcW w:w="1615" w:type="dxa"/>
            <w:tcBorders>
              <w:top w:val="nil"/>
              <w:left w:val="nil"/>
              <w:bottom w:val="single" w:color="auto" w:sz="4" w:space="0"/>
              <w:right w:val="single" w:color="auto" w:sz="4" w:space="0"/>
            </w:tcBorders>
            <w:shd w:val="clear" w:color="auto" w:fill="auto"/>
            <w:vAlign w:val="center"/>
          </w:tcPr>
          <w:p w14:paraId="3227571D">
            <w:pPr>
              <w:widowControl/>
              <w:ind w:firstLine="420"/>
              <w:jc w:val="center"/>
              <w:rPr>
                <w:rFonts w:cs="宋体" w:asciiTheme="minorEastAsia" w:hAnsiTheme="minorEastAsia"/>
                <w:color w:val="000000"/>
                <w:kern w:val="0"/>
                <w:szCs w:val="21"/>
              </w:rPr>
            </w:pPr>
          </w:p>
        </w:tc>
        <w:tc>
          <w:tcPr>
            <w:tcW w:w="4470" w:type="dxa"/>
            <w:tcBorders>
              <w:top w:val="nil"/>
              <w:left w:val="nil"/>
              <w:bottom w:val="single" w:color="auto" w:sz="4" w:space="0"/>
              <w:right w:val="single" w:color="auto" w:sz="4" w:space="0"/>
            </w:tcBorders>
            <w:shd w:val="clear" w:color="auto" w:fill="auto"/>
            <w:vAlign w:val="center"/>
          </w:tcPr>
          <w:p w14:paraId="21E72DC6">
            <w:pPr>
              <w:widowControl/>
              <w:ind w:firstLine="420"/>
              <w:jc w:val="center"/>
              <w:rPr>
                <w:rFonts w:cs="宋体" w:asciiTheme="minorEastAsia" w:hAnsiTheme="minorEastAsia"/>
                <w:color w:val="000000"/>
                <w:kern w:val="0"/>
                <w:szCs w:val="21"/>
              </w:rPr>
            </w:pPr>
          </w:p>
          <w:p w14:paraId="5C2E20E8">
            <w:pPr>
              <w:widowControl/>
              <w:ind w:firstLine="420"/>
              <w:jc w:val="center"/>
              <w:rPr>
                <w:rFonts w:cs="宋体" w:asciiTheme="minorEastAsia" w:hAnsiTheme="minorEastAsia"/>
                <w:color w:val="000000"/>
                <w:kern w:val="0"/>
                <w:szCs w:val="21"/>
              </w:rPr>
            </w:pPr>
          </w:p>
        </w:tc>
        <w:tc>
          <w:tcPr>
            <w:tcW w:w="1830" w:type="dxa"/>
            <w:tcBorders>
              <w:top w:val="nil"/>
              <w:left w:val="nil"/>
              <w:bottom w:val="single" w:color="auto" w:sz="4" w:space="0"/>
              <w:right w:val="single" w:color="auto" w:sz="4" w:space="0"/>
            </w:tcBorders>
            <w:shd w:val="clear" w:color="auto" w:fill="auto"/>
            <w:vAlign w:val="center"/>
          </w:tcPr>
          <w:p w14:paraId="77295925">
            <w:pPr>
              <w:widowControl/>
              <w:ind w:firstLine="420"/>
              <w:jc w:val="center"/>
              <w:rPr>
                <w:rFonts w:cs="宋体" w:asciiTheme="minorEastAsia" w:hAnsiTheme="minorEastAsia"/>
                <w:color w:val="000000"/>
                <w:kern w:val="0"/>
                <w:szCs w:val="21"/>
              </w:rPr>
            </w:pPr>
          </w:p>
        </w:tc>
        <w:tc>
          <w:tcPr>
            <w:tcW w:w="4418" w:type="dxa"/>
            <w:tcBorders>
              <w:top w:val="nil"/>
              <w:left w:val="nil"/>
              <w:bottom w:val="single" w:color="auto" w:sz="4" w:space="0"/>
              <w:right w:val="single" w:color="auto" w:sz="4" w:space="0"/>
            </w:tcBorders>
            <w:shd w:val="clear" w:color="auto" w:fill="auto"/>
            <w:vAlign w:val="center"/>
          </w:tcPr>
          <w:p w14:paraId="1EC70619">
            <w:pPr>
              <w:widowControl/>
              <w:ind w:firstLine="420"/>
              <w:jc w:val="center"/>
              <w:rPr>
                <w:rFonts w:cs="宋体" w:asciiTheme="minorEastAsia" w:hAnsiTheme="minorEastAsia"/>
                <w:color w:val="000000"/>
                <w:kern w:val="0"/>
                <w:szCs w:val="21"/>
              </w:rPr>
            </w:pPr>
          </w:p>
        </w:tc>
      </w:tr>
      <w:tr w14:paraId="30E6BB47">
        <w:tblPrEx>
          <w:tblCellMar>
            <w:top w:w="0" w:type="dxa"/>
            <w:left w:w="108" w:type="dxa"/>
            <w:bottom w:w="0" w:type="dxa"/>
            <w:right w:w="108" w:type="dxa"/>
          </w:tblCellMar>
        </w:tblPrEx>
        <w:trPr>
          <w:trHeight w:val="743" w:hRule="atLeast"/>
        </w:trPr>
        <w:tc>
          <w:tcPr>
            <w:tcW w:w="1716" w:type="dxa"/>
            <w:tcBorders>
              <w:top w:val="nil"/>
              <w:left w:val="single" w:color="auto" w:sz="4" w:space="0"/>
              <w:bottom w:val="single" w:color="auto" w:sz="4" w:space="0"/>
              <w:right w:val="single" w:color="auto" w:sz="4" w:space="0"/>
            </w:tcBorders>
            <w:shd w:val="clear" w:color="auto" w:fill="auto"/>
            <w:vAlign w:val="center"/>
          </w:tcPr>
          <w:p w14:paraId="055178F9">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买方</w:t>
            </w:r>
            <w:r>
              <w:rPr>
                <w:rFonts w:cs="宋体" w:asciiTheme="minorEastAsia" w:hAnsiTheme="minorEastAsia"/>
                <w:kern w:val="0"/>
                <w:sz w:val="20"/>
                <w:szCs w:val="20"/>
              </w:rPr>
              <w:t>(盖章)：</w:t>
            </w:r>
          </w:p>
        </w:tc>
        <w:tc>
          <w:tcPr>
            <w:tcW w:w="6085" w:type="dxa"/>
            <w:gridSpan w:val="2"/>
            <w:tcBorders>
              <w:top w:val="single" w:color="auto" w:sz="4" w:space="0"/>
              <w:left w:val="nil"/>
              <w:bottom w:val="single" w:color="auto" w:sz="4" w:space="0"/>
              <w:right w:val="single" w:color="000000" w:sz="4" w:space="0"/>
            </w:tcBorders>
            <w:shd w:val="clear" w:color="auto" w:fill="auto"/>
            <w:vAlign w:val="center"/>
          </w:tcPr>
          <w:p w14:paraId="26500C9E">
            <w:pPr>
              <w:widowControl/>
              <w:ind w:firstLine="400"/>
              <w:jc w:val="center"/>
              <w:rPr>
                <w:rFonts w:cs="宋体" w:asciiTheme="minorEastAsia" w:hAnsiTheme="minorEastAsia"/>
                <w:kern w:val="0"/>
                <w:sz w:val="20"/>
                <w:szCs w:val="20"/>
              </w:rPr>
            </w:pPr>
          </w:p>
        </w:tc>
        <w:tc>
          <w:tcPr>
            <w:tcW w:w="1830" w:type="dxa"/>
            <w:tcBorders>
              <w:top w:val="nil"/>
              <w:left w:val="nil"/>
              <w:bottom w:val="single" w:color="auto" w:sz="4" w:space="0"/>
              <w:right w:val="single" w:color="auto" w:sz="4" w:space="0"/>
            </w:tcBorders>
            <w:shd w:val="clear" w:color="auto" w:fill="auto"/>
            <w:vAlign w:val="center"/>
          </w:tcPr>
          <w:p w14:paraId="6F487C54">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卖方（盖章）：</w:t>
            </w:r>
          </w:p>
        </w:tc>
        <w:tc>
          <w:tcPr>
            <w:tcW w:w="4418" w:type="dxa"/>
            <w:tcBorders>
              <w:top w:val="single" w:color="auto" w:sz="4" w:space="0"/>
              <w:left w:val="nil"/>
              <w:bottom w:val="single" w:color="auto" w:sz="4" w:space="0"/>
              <w:right w:val="single" w:color="000000" w:sz="4" w:space="0"/>
            </w:tcBorders>
            <w:shd w:val="clear" w:color="auto" w:fill="auto"/>
            <w:vAlign w:val="center"/>
          </w:tcPr>
          <w:p w14:paraId="37B5B8AF">
            <w:pPr>
              <w:widowControl/>
              <w:ind w:firstLine="400"/>
              <w:jc w:val="center"/>
              <w:rPr>
                <w:rFonts w:cs="宋体" w:asciiTheme="minorEastAsia" w:hAnsiTheme="minorEastAsia"/>
                <w:kern w:val="0"/>
                <w:sz w:val="20"/>
                <w:szCs w:val="20"/>
              </w:rPr>
            </w:pPr>
            <w:r>
              <w:rPr>
                <w:rFonts w:hint="eastAsia" w:cs="宋体" w:asciiTheme="minorEastAsia" w:hAnsiTheme="minorEastAsia"/>
                <w:kern w:val="0"/>
                <w:sz w:val="20"/>
                <w:szCs w:val="20"/>
              </w:rPr>
              <w:t>　</w:t>
            </w:r>
          </w:p>
        </w:tc>
      </w:tr>
      <w:tr w14:paraId="63605F31">
        <w:tblPrEx>
          <w:tblCellMar>
            <w:top w:w="0" w:type="dxa"/>
            <w:left w:w="108" w:type="dxa"/>
            <w:bottom w:w="0" w:type="dxa"/>
            <w:right w:w="108" w:type="dxa"/>
          </w:tblCellMar>
        </w:tblPrEx>
        <w:trPr>
          <w:trHeight w:val="702" w:hRule="atLeast"/>
        </w:trPr>
        <w:tc>
          <w:tcPr>
            <w:tcW w:w="1716" w:type="dxa"/>
            <w:tcBorders>
              <w:top w:val="nil"/>
              <w:left w:val="single" w:color="auto" w:sz="4" w:space="0"/>
              <w:bottom w:val="single" w:color="auto" w:sz="4" w:space="0"/>
              <w:right w:val="single" w:color="auto" w:sz="4" w:space="0"/>
            </w:tcBorders>
            <w:shd w:val="clear" w:color="auto" w:fill="auto"/>
            <w:vAlign w:val="center"/>
          </w:tcPr>
          <w:p w14:paraId="6A3CF53D">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授权代表（签字）：</w:t>
            </w:r>
          </w:p>
        </w:tc>
        <w:tc>
          <w:tcPr>
            <w:tcW w:w="6085" w:type="dxa"/>
            <w:gridSpan w:val="2"/>
            <w:tcBorders>
              <w:top w:val="single" w:color="auto" w:sz="4" w:space="0"/>
              <w:left w:val="nil"/>
              <w:bottom w:val="single" w:color="auto" w:sz="4" w:space="0"/>
              <w:right w:val="single" w:color="000000" w:sz="4" w:space="0"/>
            </w:tcBorders>
            <w:shd w:val="clear" w:color="auto" w:fill="auto"/>
            <w:vAlign w:val="center"/>
          </w:tcPr>
          <w:p w14:paraId="7D88D9ED">
            <w:pPr>
              <w:widowControl/>
              <w:ind w:firstLine="400"/>
              <w:jc w:val="center"/>
              <w:rPr>
                <w:rFonts w:cs="宋体" w:asciiTheme="minorEastAsia" w:hAnsiTheme="minorEastAsia"/>
                <w:kern w:val="0"/>
                <w:sz w:val="20"/>
                <w:szCs w:val="20"/>
              </w:rPr>
            </w:pPr>
          </w:p>
        </w:tc>
        <w:tc>
          <w:tcPr>
            <w:tcW w:w="1830" w:type="dxa"/>
            <w:tcBorders>
              <w:top w:val="nil"/>
              <w:left w:val="nil"/>
              <w:bottom w:val="single" w:color="auto" w:sz="4" w:space="0"/>
              <w:right w:val="single" w:color="auto" w:sz="4" w:space="0"/>
            </w:tcBorders>
            <w:shd w:val="clear" w:color="auto" w:fill="auto"/>
            <w:vAlign w:val="center"/>
          </w:tcPr>
          <w:p w14:paraId="3F41D86C">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授权代表（签字）：</w:t>
            </w:r>
          </w:p>
        </w:tc>
        <w:tc>
          <w:tcPr>
            <w:tcW w:w="4418" w:type="dxa"/>
            <w:tcBorders>
              <w:top w:val="single" w:color="auto" w:sz="4" w:space="0"/>
              <w:left w:val="nil"/>
              <w:bottom w:val="single" w:color="auto" w:sz="4" w:space="0"/>
              <w:right w:val="single" w:color="000000" w:sz="4" w:space="0"/>
            </w:tcBorders>
            <w:shd w:val="clear" w:color="auto" w:fill="auto"/>
            <w:vAlign w:val="center"/>
          </w:tcPr>
          <w:p w14:paraId="54965186">
            <w:pPr>
              <w:widowControl/>
              <w:ind w:firstLine="400"/>
              <w:jc w:val="center"/>
              <w:rPr>
                <w:rFonts w:cs="宋体" w:asciiTheme="minorEastAsia" w:hAnsiTheme="minorEastAsia"/>
                <w:kern w:val="0"/>
                <w:sz w:val="20"/>
                <w:szCs w:val="20"/>
              </w:rPr>
            </w:pPr>
            <w:r>
              <w:rPr>
                <w:rFonts w:hint="eastAsia" w:cs="宋体" w:asciiTheme="minorEastAsia" w:hAnsiTheme="minorEastAsia"/>
                <w:kern w:val="0"/>
                <w:sz w:val="20"/>
                <w:szCs w:val="20"/>
              </w:rPr>
              <w:t>　</w:t>
            </w:r>
          </w:p>
        </w:tc>
      </w:tr>
      <w:tr w14:paraId="0C1ECFB3">
        <w:tblPrEx>
          <w:tblCellMar>
            <w:top w:w="0" w:type="dxa"/>
            <w:left w:w="108" w:type="dxa"/>
            <w:bottom w:w="0" w:type="dxa"/>
            <w:right w:w="108" w:type="dxa"/>
          </w:tblCellMar>
        </w:tblPrEx>
        <w:trPr>
          <w:trHeight w:val="671" w:hRule="atLeast"/>
        </w:trPr>
        <w:tc>
          <w:tcPr>
            <w:tcW w:w="1716" w:type="dxa"/>
            <w:tcBorders>
              <w:top w:val="nil"/>
              <w:left w:val="single" w:color="auto" w:sz="4" w:space="0"/>
              <w:bottom w:val="single" w:color="auto" w:sz="4" w:space="0"/>
              <w:right w:val="single" w:color="auto" w:sz="4" w:space="0"/>
            </w:tcBorders>
            <w:shd w:val="clear" w:color="auto" w:fill="auto"/>
            <w:vAlign w:val="center"/>
          </w:tcPr>
          <w:p w14:paraId="70029AC0">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日期：</w:t>
            </w:r>
          </w:p>
        </w:tc>
        <w:tc>
          <w:tcPr>
            <w:tcW w:w="6085" w:type="dxa"/>
            <w:gridSpan w:val="2"/>
            <w:tcBorders>
              <w:top w:val="single" w:color="auto" w:sz="4" w:space="0"/>
              <w:left w:val="nil"/>
              <w:bottom w:val="single" w:color="auto" w:sz="4" w:space="0"/>
              <w:right w:val="single" w:color="000000" w:sz="4" w:space="0"/>
            </w:tcBorders>
            <w:shd w:val="clear" w:color="auto" w:fill="auto"/>
            <w:vAlign w:val="center"/>
          </w:tcPr>
          <w:p w14:paraId="30E59FE7">
            <w:pPr>
              <w:widowControl/>
              <w:ind w:firstLine="400"/>
              <w:jc w:val="center"/>
              <w:rPr>
                <w:rFonts w:cs="宋体" w:asciiTheme="minorEastAsia" w:hAnsiTheme="minorEastAsia"/>
                <w:kern w:val="0"/>
                <w:sz w:val="20"/>
                <w:szCs w:val="20"/>
              </w:rPr>
            </w:pPr>
          </w:p>
        </w:tc>
        <w:tc>
          <w:tcPr>
            <w:tcW w:w="1830" w:type="dxa"/>
            <w:tcBorders>
              <w:top w:val="nil"/>
              <w:left w:val="nil"/>
              <w:bottom w:val="single" w:color="auto" w:sz="4" w:space="0"/>
              <w:right w:val="single" w:color="auto" w:sz="4" w:space="0"/>
            </w:tcBorders>
            <w:shd w:val="clear" w:color="auto" w:fill="auto"/>
            <w:vAlign w:val="center"/>
          </w:tcPr>
          <w:p w14:paraId="0F47FC1A">
            <w:pPr>
              <w:widowControl/>
              <w:jc w:val="center"/>
              <w:rPr>
                <w:rFonts w:cs="宋体" w:asciiTheme="minorEastAsia" w:hAnsiTheme="minorEastAsia"/>
                <w:kern w:val="0"/>
                <w:sz w:val="20"/>
                <w:szCs w:val="20"/>
              </w:rPr>
            </w:pPr>
            <w:r>
              <w:rPr>
                <w:rFonts w:hint="eastAsia" w:cs="宋体" w:asciiTheme="minorEastAsia" w:hAnsiTheme="minorEastAsia"/>
                <w:kern w:val="0"/>
                <w:sz w:val="20"/>
                <w:szCs w:val="20"/>
              </w:rPr>
              <w:t>日期：</w:t>
            </w:r>
          </w:p>
        </w:tc>
        <w:tc>
          <w:tcPr>
            <w:tcW w:w="4418" w:type="dxa"/>
            <w:tcBorders>
              <w:top w:val="single" w:color="auto" w:sz="4" w:space="0"/>
              <w:left w:val="nil"/>
              <w:bottom w:val="single" w:color="auto" w:sz="4" w:space="0"/>
              <w:right w:val="single" w:color="000000" w:sz="4" w:space="0"/>
            </w:tcBorders>
            <w:shd w:val="clear" w:color="auto" w:fill="auto"/>
            <w:vAlign w:val="center"/>
          </w:tcPr>
          <w:p w14:paraId="47FC1566">
            <w:pPr>
              <w:widowControl/>
              <w:ind w:firstLine="400"/>
              <w:jc w:val="center"/>
              <w:rPr>
                <w:rFonts w:cs="宋体" w:asciiTheme="minorEastAsia" w:hAnsiTheme="minorEastAsia"/>
                <w:kern w:val="0"/>
                <w:sz w:val="20"/>
                <w:szCs w:val="20"/>
              </w:rPr>
            </w:pPr>
            <w:r>
              <w:rPr>
                <w:rFonts w:hint="eastAsia" w:cs="宋体" w:asciiTheme="minorEastAsia" w:hAnsiTheme="minorEastAsia"/>
                <w:kern w:val="0"/>
                <w:sz w:val="20"/>
                <w:szCs w:val="20"/>
              </w:rPr>
              <w:t>　</w:t>
            </w:r>
          </w:p>
        </w:tc>
      </w:tr>
    </w:tbl>
    <w:p w14:paraId="453D8380">
      <w:pPr>
        <w:widowControl/>
        <w:autoSpaceDE w:val="0"/>
        <w:autoSpaceDN w:val="0"/>
        <w:spacing w:line="360" w:lineRule="auto"/>
        <w:textAlignment w:val="bottom"/>
        <w:rPr>
          <w:rFonts w:hint="eastAsia" w:ascii="黑体" w:hAnsi="黑体" w:eastAsia="黑体" w:cs="黑体"/>
          <w:bCs/>
          <w:sz w:val="28"/>
          <w:szCs w:val="24"/>
          <w:lang w:val="en-US" w:eastAsia="zh-CN"/>
        </w:rPr>
        <w:sectPr>
          <w:pgSz w:w="16838" w:h="11906" w:orient="landscape"/>
          <w:pgMar w:top="1800" w:right="1440" w:bottom="1800" w:left="1440" w:header="851" w:footer="992" w:gutter="0"/>
          <w:pgNumType w:fmt="decimal"/>
          <w:cols w:space="425" w:num="1"/>
          <w:docGrid w:type="lines" w:linePitch="312" w:charSpace="0"/>
        </w:sectPr>
      </w:pPr>
    </w:p>
    <w:p w14:paraId="1F0DFB36">
      <w:pPr>
        <w:pStyle w:val="2"/>
        <w:shd w:val="clear"/>
        <w:rPr>
          <w:rFonts w:hint="default"/>
          <w:highlight w:val="none"/>
        </w:rPr>
      </w:pPr>
      <w:bookmarkStart w:id="59" w:name="_Toc12826"/>
      <w:bookmarkStart w:id="60" w:name="_Toc22901"/>
      <w:r>
        <w:rPr>
          <w:highlight w:val="none"/>
        </w:rPr>
        <w:t>第五章 采购内容及技术要求</w:t>
      </w:r>
      <w:bookmarkEnd w:id="59"/>
      <w:bookmarkEnd w:id="60"/>
    </w:p>
    <w:bookmarkEnd w:id="43"/>
    <w:bookmarkEnd w:id="44"/>
    <w:bookmarkEnd w:id="45"/>
    <w:bookmarkEnd w:id="46"/>
    <w:bookmarkEnd w:id="47"/>
    <w:bookmarkEnd w:id="48"/>
    <w:bookmarkEnd w:id="49"/>
    <w:p w14:paraId="55C729AF">
      <w:pPr>
        <w:spacing w:line="360" w:lineRule="auto"/>
        <w:rPr>
          <w:rFonts w:hint="default" w:asciiTheme="minorEastAsia" w:hAnsiTheme="minorEastAsia" w:eastAsiaTheme="minorEastAsia" w:cstheme="minorEastAsia"/>
          <w:b/>
          <w:bCs/>
          <w:sz w:val="24"/>
          <w:szCs w:val="24"/>
          <w:highlight w:val="none"/>
          <w:lang w:val="en-US"/>
        </w:rPr>
      </w:pPr>
      <w:bookmarkStart w:id="61" w:name="_Toc23856"/>
      <w:bookmarkStart w:id="62" w:name="_Toc20481"/>
      <w:bookmarkStart w:id="63" w:name="_Toc4053"/>
      <w:bookmarkStart w:id="64" w:name="_Toc389582038"/>
      <w:bookmarkStart w:id="65" w:name="_Toc13466"/>
      <w:bookmarkStart w:id="66" w:name="_Toc1025"/>
      <w:bookmarkStart w:id="67" w:name="_Toc13760"/>
      <w:bookmarkStart w:id="68" w:name="_Toc2711"/>
      <w:bookmarkStart w:id="69" w:name="_Toc11450"/>
      <w:r>
        <w:rPr>
          <w:rFonts w:hint="eastAsia" w:asciiTheme="minorEastAsia" w:hAnsiTheme="minorEastAsia" w:eastAsiaTheme="minorEastAsia" w:cstheme="minorEastAsia"/>
          <w:b/>
          <w:bCs/>
          <w:sz w:val="24"/>
          <w:szCs w:val="24"/>
          <w:highlight w:val="none"/>
          <w:lang w:val="en-US" w:eastAsia="zh-CN"/>
        </w:rPr>
        <w:t>一、</w:t>
      </w:r>
      <w:r>
        <w:rPr>
          <w:rFonts w:hint="eastAsia" w:asciiTheme="minorEastAsia" w:hAnsiTheme="minorEastAsia" w:cstheme="minorEastAsia"/>
          <w:b/>
          <w:bCs/>
          <w:sz w:val="24"/>
          <w:szCs w:val="24"/>
          <w:highlight w:val="none"/>
          <w:lang w:val="en-US" w:eastAsia="zh-CN"/>
        </w:rPr>
        <w:t>项目概况</w:t>
      </w:r>
    </w:p>
    <w:p w14:paraId="1ED13A5B">
      <w:pPr>
        <w:spacing w:line="360" w:lineRule="auto"/>
        <w:ind w:firstLine="480" w:firstLineChars="200"/>
        <w:rPr>
          <w:rFonts w:hint="eastAsia" w:asciiTheme="minorEastAsia" w:hAnsiTheme="minorEastAsia" w:eastAsiaTheme="minorEastAsia" w:cstheme="minorEastAsia"/>
          <w:sz w:val="24"/>
          <w:szCs w:val="24"/>
          <w:highlight w:val="none"/>
          <w:lang w:eastAsia="zh-CN"/>
        </w:rPr>
      </w:pPr>
      <w:r>
        <w:rPr>
          <w:rFonts w:hint="eastAsia" w:asciiTheme="minorEastAsia" w:hAnsiTheme="minorEastAsia" w:eastAsiaTheme="minorEastAsia" w:cstheme="minorEastAsia"/>
          <w:sz w:val="24"/>
          <w:szCs w:val="24"/>
          <w:highlight w:val="none"/>
        </w:rPr>
        <w:t>为了保障市委机关日常办公及各类会议的正常召开，防止发生断电损害，做好应急保障工作，拟对市委机关大院会议中心及办公大楼加装2套应急柴油发电机组，计划实施市委机关大院应急柴油发电机组及应急备电工程项目。主要采购内容包括：配电系统、配电柜、600KVA UPS主机、铅酸蓄电池、空调新排风系统、精密空调等备电设备，预算金额：705.09万元，共设1个标段。</w:t>
      </w:r>
    </w:p>
    <w:p w14:paraId="2C7A6956">
      <w:pPr>
        <w:keepNext w:val="0"/>
        <w:keepLines w:val="0"/>
        <w:pageBreakBefore w:val="0"/>
        <w:widowControl w:val="0"/>
        <w:kinsoku/>
        <w:wordWrap/>
        <w:overflowPunct/>
        <w:topLinePunct w:val="0"/>
        <w:autoSpaceDE/>
        <w:autoSpaceDN/>
        <w:bidi w:val="0"/>
        <w:spacing w:line="360" w:lineRule="auto"/>
        <w:contextualSpacing/>
        <w:jc w:val="left"/>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二、编制依据</w:t>
      </w:r>
    </w:p>
    <w:p w14:paraId="70AF16F1">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1.2009年《陕西省建设工程工程量清单计价规则》；</w:t>
      </w:r>
    </w:p>
    <w:p w14:paraId="705E0BBF">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2.2009年《陕西省园林绿化工程价目表》；</w:t>
      </w:r>
    </w:p>
    <w:p w14:paraId="4E0731B1">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3.2009年《陕西省市政工程价目表》；</w:t>
      </w:r>
    </w:p>
    <w:p w14:paraId="1DB06379">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4.2004年《陕西省市政工程耗量定额》；</w:t>
      </w:r>
    </w:p>
    <w:p w14:paraId="34DE376A">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5.2004年《陕西省园林绿化工程消耗量定额》；</w:t>
      </w:r>
    </w:p>
    <w:p w14:paraId="7A3272AD">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6.2004年《陕西省建筑、安装工程消耗量定额》；</w:t>
      </w:r>
    </w:p>
    <w:p w14:paraId="024E09C8">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7.2009年《陕西省建筑工程、装饰工程、安装工程、园林绿化工程参考费率》；</w:t>
      </w:r>
    </w:p>
    <w:p w14:paraId="6C779797">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8.《关于建筑施工安全生产责任保险费用计价的通知》陕建发[2020]1097号；</w:t>
      </w:r>
    </w:p>
    <w:p w14:paraId="632E1DD5">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9.人工费按照依据《关于调整房屋建筑和市政基础设施工程工程量清单计价综合人工单价的通知》陕建发[202111097号文件执行；</w:t>
      </w:r>
    </w:p>
    <w:p w14:paraId="498DCD43">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10.税金依据《关于调整我省建设工程计价依据的通知》陕建发[2019]45号文执行；</w:t>
      </w:r>
    </w:p>
    <w:p w14:paraId="34859198">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11.陕建发[2009]3号《陕西省建设厅主要建筑材料风险约定及调整通知》:</w:t>
      </w:r>
    </w:p>
    <w:p w14:paraId="589B9F66">
      <w:pPr>
        <w:keepNext w:val="0"/>
        <w:keepLines w:val="0"/>
        <w:pageBreakBefore w:val="0"/>
        <w:widowControl w:val="0"/>
        <w:tabs>
          <w:tab w:val="left" w:pos="900"/>
          <w:tab w:val="left" w:pos="8595"/>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12.养老保险执行陕建发[2021]1021号文件；</w:t>
      </w:r>
    </w:p>
    <w:p w14:paraId="701CEB57">
      <w:pPr>
        <w:keepNext w:val="0"/>
        <w:keepLines w:val="0"/>
        <w:pageBreakBefore w:val="0"/>
        <w:widowControl w:val="0"/>
        <w:shd w:val="clear"/>
        <w:kinsoku/>
        <w:wordWrap/>
        <w:overflowPunct/>
        <w:topLinePunct w:val="0"/>
        <w:autoSpaceDE/>
        <w:autoSpaceDN/>
        <w:bidi w:val="0"/>
        <w:snapToGrid w:val="0"/>
        <w:spacing w:line="360" w:lineRule="auto"/>
        <w:ind w:firstLine="482" w:firstLineChars="200"/>
        <w:jc w:val="left"/>
        <w:textAlignment w:val="auto"/>
        <w:rPr>
          <w:rFonts w:hint="eastAsia" w:asciiTheme="minorEastAsia" w:hAnsiTheme="minorEastAsia" w:eastAsiaTheme="minorEastAsia" w:cstheme="minorEastAsia"/>
          <w:b/>
          <w:bCs w:val="0"/>
          <w:sz w:val="24"/>
          <w:highlight w:val="none"/>
          <w:lang w:val="en-US" w:eastAsia="zh-CN" w:bidi="ar"/>
        </w:rPr>
      </w:pPr>
      <w:r>
        <w:rPr>
          <w:rFonts w:hint="eastAsia" w:asciiTheme="minorEastAsia" w:hAnsiTheme="minorEastAsia" w:cstheme="minorEastAsia"/>
          <w:b/>
          <w:bCs w:val="0"/>
          <w:sz w:val="24"/>
          <w:highlight w:val="none"/>
          <w:lang w:val="en-US" w:eastAsia="zh-CN" w:bidi="ar"/>
        </w:rPr>
        <w:t>本项目</w:t>
      </w:r>
      <w:r>
        <w:rPr>
          <w:rFonts w:hint="eastAsia" w:asciiTheme="minorEastAsia" w:hAnsiTheme="minorEastAsia" w:cstheme="minorEastAsia"/>
          <w:b/>
          <w:bCs w:val="0"/>
          <w:sz w:val="24"/>
          <w:highlight w:val="none"/>
          <w:lang w:bidi="ar"/>
        </w:rPr>
        <w:t>暂列金额：336,000.00</w:t>
      </w:r>
      <w:r>
        <w:rPr>
          <w:rFonts w:hint="eastAsia" w:asciiTheme="minorEastAsia" w:hAnsiTheme="minorEastAsia" w:cstheme="minorEastAsia"/>
          <w:b/>
          <w:bCs w:val="0"/>
          <w:sz w:val="24"/>
          <w:highlight w:val="none"/>
          <w:lang w:val="en-US" w:eastAsia="zh-CN" w:bidi="ar"/>
        </w:rPr>
        <w:t>元；</w:t>
      </w:r>
    </w:p>
    <w:p w14:paraId="00F5B289">
      <w:pPr>
        <w:keepNext w:val="0"/>
        <w:keepLines w:val="0"/>
        <w:pageBreakBefore w:val="0"/>
        <w:widowControl w:val="0"/>
        <w:numPr>
          <w:ilvl w:val="0"/>
          <w:numId w:val="0"/>
        </w:numPr>
        <w:kinsoku/>
        <w:wordWrap/>
        <w:overflowPunct/>
        <w:topLinePunct w:val="0"/>
        <w:autoSpaceDE/>
        <w:autoSpaceDN/>
        <w:bidi w:val="0"/>
        <w:spacing w:line="360" w:lineRule="auto"/>
        <w:contextualSpacing/>
        <w:jc w:val="left"/>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三、工程量清单</w:t>
      </w:r>
    </w:p>
    <w:p w14:paraId="7101A357">
      <w:pPr>
        <w:numPr>
          <w:ilvl w:val="0"/>
          <w:numId w:val="0"/>
        </w:numPr>
        <w:spacing w:line="360" w:lineRule="auto"/>
        <w:ind w:leftChars="0"/>
        <w:contextualSpacing/>
        <w:rPr>
          <w:rFonts w:hint="eastAsia" w:ascii="宋体" w:hAnsi="宋体" w:eastAsia="宋体" w:cs="宋体"/>
          <w:spacing w:val="6"/>
          <w:sz w:val="24"/>
          <w:szCs w:val="32"/>
          <w:lang w:eastAsia="zh-CN"/>
        </w:rPr>
      </w:pPr>
      <w:r>
        <w:rPr>
          <w:rFonts w:hint="eastAsia" w:ascii="宋体" w:hAnsi="宋体" w:eastAsia="宋体" w:cs="宋体"/>
          <w:spacing w:val="6"/>
          <w:sz w:val="24"/>
          <w:szCs w:val="32"/>
          <w:lang w:eastAsia="zh-CN"/>
        </w:rPr>
        <w:drawing>
          <wp:inline distT="0" distB="0" distL="114300" distR="114300">
            <wp:extent cx="5467350" cy="7715885"/>
            <wp:effectExtent l="0" t="0" r="0" b="18415"/>
            <wp:docPr id="64" name="图片 64" descr="工程量清单--榆林市市委机关事务服务中心市委机关大院应急柴油发电机组及应急备电货物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工程量清单--榆林市市委机关事务服务中心市委机关大院应急柴油发电机组及应急备电货物项目_01"/>
                    <pic:cNvPicPr>
                      <a:picLocks noChangeAspect="1"/>
                    </pic:cNvPicPr>
                  </pic:nvPicPr>
                  <pic:blipFill>
                    <a:blip r:embed="rId11"/>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63" name="图片 63" descr="工程量清单--榆林市市委机关事务服务中心市委机关大院应急柴油发电机组及应急备电货物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工程量清单--榆林市市委机关事务服务中心市委机关大院应急柴油发电机组及应急备电货物项目_02"/>
                    <pic:cNvPicPr>
                      <a:picLocks noChangeAspect="1"/>
                    </pic:cNvPicPr>
                  </pic:nvPicPr>
                  <pic:blipFill>
                    <a:blip r:embed="rId12"/>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62" name="图片 62" descr="工程量清单--榆林市市委机关事务服务中心市委机关大院应急柴油发电机组及应急备电货物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工程量清单--榆林市市委机关事务服务中心市委机关大院应急柴油发电机组及应急备电货物项目_03"/>
                    <pic:cNvPicPr>
                      <a:picLocks noChangeAspect="1"/>
                    </pic:cNvPicPr>
                  </pic:nvPicPr>
                  <pic:blipFill>
                    <a:blip r:embed="rId13"/>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61" name="图片 61" descr="工程量清单--榆林市市委机关事务服务中心市委机关大院应急柴油发电机组及应急备电货物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工程量清单--榆林市市委机关事务服务中心市委机关大院应急柴油发电机组及应急备电货物项目_04"/>
                    <pic:cNvPicPr>
                      <a:picLocks noChangeAspect="1"/>
                    </pic:cNvPicPr>
                  </pic:nvPicPr>
                  <pic:blipFill>
                    <a:blip r:embed="rId14"/>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60" name="图片 60" descr="工程量清单--榆林市市委机关事务服务中心市委机关大院应急柴油发电机组及应急备电货物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工程量清单--榆林市市委机关事务服务中心市委机关大院应急柴油发电机组及应急备电货物项目_05"/>
                    <pic:cNvPicPr>
                      <a:picLocks noChangeAspect="1"/>
                    </pic:cNvPicPr>
                  </pic:nvPicPr>
                  <pic:blipFill>
                    <a:blip r:embed="rId15"/>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9" name="图片 59" descr="工程量清单--榆林市市委机关事务服务中心市委机关大院应急柴油发电机组及应急备电货物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工程量清单--榆林市市委机关事务服务中心市委机关大院应急柴油发电机组及应急备电货物项目_06"/>
                    <pic:cNvPicPr>
                      <a:picLocks noChangeAspect="1"/>
                    </pic:cNvPicPr>
                  </pic:nvPicPr>
                  <pic:blipFill>
                    <a:blip r:embed="rId16"/>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8" name="图片 58" descr="工程量清单--榆林市市委机关事务服务中心市委机关大院应急柴油发电机组及应急备电货物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工程量清单--榆林市市委机关事务服务中心市委机关大院应急柴油发电机组及应急备电货物项目_07"/>
                    <pic:cNvPicPr>
                      <a:picLocks noChangeAspect="1"/>
                    </pic:cNvPicPr>
                  </pic:nvPicPr>
                  <pic:blipFill>
                    <a:blip r:embed="rId17"/>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7" name="图片 57" descr="工程量清单--榆林市市委机关事务服务中心市委机关大院应急柴油发电机组及应急备电货物项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工程量清单--榆林市市委机关事务服务中心市委机关大院应急柴油发电机组及应急备电货物项目_08"/>
                    <pic:cNvPicPr>
                      <a:picLocks noChangeAspect="1"/>
                    </pic:cNvPicPr>
                  </pic:nvPicPr>
                  <pic:blipFill>
                    <a:blip r:embed="rId18"/>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6" name="图片 56" descr="工程量清单--榆林市市委机关事务服务中心市委机关大院应急柴油发电机组及应急备电货物项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工程量清单--榆林市市委机关事务服务中心市委机关大院应急柴油发电机组及应急备电货物项目_09"/>
                    <pic:cNvPicPr>
                      <a:picLocks noChangeAspect="1"/>
                    </pic:cNvPicPr>
                  </pic:nvPicPr>
                  <pic:blipFill>
                    <a:blip r:embed="rId19"/>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5" name="图片 55" descr="工程量清单--榆林市市委机关事务服务中心市委机关大院应急柴油发电机组及应急备电货物项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工程量清单--榆林市市委机关事务服务中心市委机关大院应急柴油发电机组及应急备电货物项目_10"/>
                    <pic:cNvPicPr>
                      <a:picLocks noChangeAspect="1"/>
                    </pic:cNvPicPr>
                  </pic:nvPicPr>
                  <pic:blipFill>
                    <a:blip r:embed="rId20"/>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4" name="图片 54" descr="工程量清单--榆林市市委机关事务服务中心市委机关大院应急柴油发电机组及应急备电货物项目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工程量清单--榆林市市委机关事务服务中心市委机关大院应急柴油发电机组及应急备电货物项目_11"/>
                    <pic:cNvPicPr>
                      <a:picLocks noChangeAspect="1"/>
                    </pic:cNvPicPr>
                  </pic:nvPicPr>
                  <pic:blipFill>
                    <a:blip r:embed="rId21"/>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3" name="图片 53" descr="工程量清单--榆林市市委机关事务服务中心市委机关大院应急柴油发电机组及应急备电货物项目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工程量清单--榆林市市委机关事务服务中心市委机关大院应急柴油发电机组及应急备电货物项目_12"/>
                    <pic:cNvPicPr>
                      <a:picLocks noChangeAspect="1"/>
                    </pic:cNvPicPr>
                  </pic:nvPicPr>
                  <pic:blipFill>
                    <a:blip r:embed="rId22"/>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2" name="图片 52" descr="工程量清单--榆林市市委机关事务服务中心市委机关大院应急柴油发电机组及应急备电货物项目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工程量清单--榆林市市委机关事务服务中心市委机关大院应急柴油发电机组及应急备电货物项目_13"/>
                    <pic:cNvPicPr>
                      <a:picLocks noChangeAspect="1"/>
                    </pic:cNvPicPr>
                  </pic:nvPicPr>
                  <pic:blipFill>
                    <a:blip r:embed="rId23"/>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1" name="图片 51" descr="工程量清单--榆林市市委机关事务服务中心市委机关大院应急柴油发电机组及应急备电货物项目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工程量清单--榆林市市委机关事务服务中心市委机关大院应急柴油发电机组及应急备电货物项目_14"/>
                    <pic:cNvPicPr>
                      <a:picLocks noChangeAspect="1"/>
                    </pic:cNvPicPr>
                  </pic:nvPicPr>
                  <pic:blipFill>
                    <a:blip r:embed="rId24"/>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50" name="图片 50" descr="工程量清单--榆林市市委机关事务服务中心市委机关大院应急柴油发电机组及应急备电货物项目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工程量清单--榆林市市委机关事务服务中心市委机关大院应急柴油发电机组及应急备电货物项目_15"/>
                    <pic:cNvPicPr>
                      <a:picLocks noChangeAspect="1"/>
                    </pic:cNvPicPr>
                  </pic:nvPicPr>
                  <pic:blipFill>
                    <a:blip r:embed="rId25"/>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9" name="图片 49" descr="工程量清单--榆林市市委机关事务服务中心市委机关大院应急柴油发电机组及应急备电货物项目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工程量清单--榆林市市委机关事务服务中心市委机关大院应急柴油发电机组及应急备电货物项目_16"/>
                    <pic:cNvPicPr>
                      <a:picLocks noChangeAspect="1"/>
                    </pic:cNvPicPr>
                  </pic:nvPicPr>
                  <pic:blipFill>
                    <a:blip r:embed="rId26"/>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8" name="图片 48" descr="工程量清单--榆林市市委机关事务服务中心市委机关大院应急柴油发电机组及应急备电货物项目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工程量清单--榆林市市委机关事务服务中心市委机关大院应急柴油发电机组及应急备电货物项目_17"/>
                    <pic:cNvPicPr>
                      <a:picLocks noChangeAspect="1"/>
                    </pic:cNvPicPr>
                  </pic:nvPicPr>
                  <pic:blipFill>
                    <a:blip r:embed="rId27"/>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7" name="图片 47" descr="工程量清单--榆林市市委机关事务服务中心市委机关大院应急柴油发电机组及应急备电货物项目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工程量清单--榆林市市委机关事务服务中心市委机关大院应急柴油发电机组及应急备电货物项目_18"/>
                    <pic:cNvPicPr>
                      <a:picLocks noChangeAspect="1"/>
                    </pic:cNvPicPr>
                  </pic:nvPicPr>
                  <pic:blipFill>
                    <a:blip r:embed="rId28"/>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6" name="图片 46" descr="工程量清单--榆林市市委机关事务服务中心市委机关大院应急柴油发电机组及应急备电货物项目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工程量清单--榆林市市委机关事务服务中心市委机关大院应急柴油发电机组及应急备电货物项目_19"/>
                    <pic:cNvPicPr>
                      <a:picLocks noChangeAspect="1"/>
                    </pic:cNvPicPr>
                  </pic:nvPicPr>
                  <pic:blipFill>
                    <a:blip r:embed="rId29"/>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5" name="图片 45" descr="工程量清单--榆林市市委机关事务服务中心市委机关大院应急柴油发电机组及应急备电货物项目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工程量清单--榆林市市委机关事务服务中心市委机关大院应急柴油发电机组及应急备电货物项目_20"/>
                    <pic:cNvPicPr>
                      <a:picLocks noChangeAspect="1"/>
                    </pic:cNvPicPr>
                  </pic:nvPicPr>
                  <pic:blipFill>
                    <a:blip r:embed="rId30"/>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4" name="图片 44" descr="工程量清单--榆林市市委机关事务服务中心市委机关大院应急柴油发电机组及应急备电货物项目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工程量清单--榆林市市委机关事务服务中心市委机关大院应急柴油发电机组及应急备电货物项目_21"/>
                    <pic:cNvPicPr>
                      <a:picLocks noChangeAspect="1"/>
                    </pic:cNvPicPr>
                  </pic:nvPicPr>
                  <pic:blipFill>
                    <a:blip r:embed="rId31"/>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3" name="图片 43" descr="工程量清单--榆林市市委机关事务服务中心市委机关大院应急柴油发电机组及应急备电货物项目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工程量清单--榆林市市委机关事务服务中心市委机关大院应急柴油发电机组及应急备电货物项目_22"/>
                    <pic:cNvPicPr>
                      <a:picLocks noChangeAspect="1"/>
                    </pic:cNvPicPr>
                  </pic:nvPicPr>
                  <pic:blipFill>
                    <a:blip r:embed="rId32"/>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2" name="图片 42" descr="工程量清单--榆林市市委机关事务服务中心市委机关大院应急柴油发电机组及应急备电货物项目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工程量清单--榆林市市委机关事务服务中心市委机关大院应急柴油发电机组及应急备电货物项目_23"/>
                    <pic:cNvPicPr>
                      <a:picLocks noChangeAspect="1"/>
                    </pic:cNvPicPr>
                  </pic:nvPicPr>
                  <pic:blipFill>
                    <a:blip r:embed="rId33"/>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1" name="图片 41" descr="工程量清单--榆林市市委机关事务服务中心市委机关大院应急柴油发电机组及应急备电货物项目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工程量清单--榆林市市委机关事务服务中心市委机关大院应急柴油发电机组及应急备电货物项目_24"/>
                    <pic:cNvPicPr>
                      <a:picLocks noChangeAspect="1"/>
                    </pic:cNvPicPr>
                  </pic:nvPicPr>
                  <pic:blipFill>
                    <a:blip r:embed="rId34"/>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40" name="图片 40" descr="工程量清单--榆林市市委机关事务服务中心市委机关大院应急柴油发电机组及应急备电货物项目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工程量清单--榆林市市委机关事务服务中心市委机关大院应急柴油发电机组及应急备电货物项目_25"/>
                    <pic:cNvPicPr>
                      <a:picLocks noChangeAspect="1"/>
                    </pic:cNvPicPr>
                  </pic:nvPicPr>
                  <pic:blipFill>
                    <a:blip r:embed="rId35"/>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39" name="图片 39" descr="工程量清单--榆林市市委机关事务服务中心市委机关大院应急柴油发电机组及应急备电货物项目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工程量清单--榆林市市委机关事务服务中心市委机关大院应急柴油发电机组及应急备电货物项目_26"/>
                    <pic:cNvPicPr>
                      <a:picLocks noChangeAspect="1"/>
                    </pic:cNvPicPr>
                  </pic:nvPicPr>
                  <pic:blipFill>
                    <a:blip r:embed="rId36"/>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38" name="图片 38" descr="工程量清单--榆林市市委机关事务服务中心市委机关大院应急柴油发电机组及应急备电货物项目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工程量清单--榆林市市委机关事务服务中心市委机关大院应急柴油发电机组及应急备电货物项目_27"/>
                    <pic:cNvPicPr>
                      <a:picLocks noChangeAspect="1"/>
                    </pic:cNvPicPr>
                  </pic:nvPicPr>
                  <pic:blipFill>
                    <a:blip r:embed="rId37"/>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37" name="图片 37" descr="工程量清单--榆林市市委机关事务服务中心市委机关大院应急柴油发电机组及应急备电货物项目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工程量清单--榆林市市委机关事务服务中心市委机关大院应急柴油发电机组及应急备电货物项目_28"/>
                    <pic:cNvPicPr>
                      <a:picLocks noChangeAspect="1"/>
                    </pic:cNvPicPr>
                  </pic:nvPicPr>
                  <pic:blipFill>
                    <a:blip r:embed="rId38"/>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36" name="图片 36" descr="工程量清单--榆林市市委机关事务服务中心市委机关大院应急柴油发电机组及应急备电货物项目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工程量清单--榆林市市委机关事务服务中心市委机关大院应急柴油发电机组及应急备电货物项目_29"/>
                    <pic:cNvPicPr>
                      <a:picLocks noChangeAspect="1"/>
                    </pic:cNvPicPr>
                  </pic:nvPicPr>
                  <pic:blipFill>
                    <a:blip r:embed="rId39"/>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31" name="图片 31" descr="工程量清单--榆林市市委机关事务服务中心市委机关大院应急柴油发电机组及应急备电货物项目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工程量清单--榆林市市委机关事务服务中心市委机关大院应急柴油发电机组及应急备电货物项目_30"/>
                    <pic:cNvPicPr>
                      <a:picLocks noChangeAspect="1"/>
                    </pic:cNvPicPr>
                  </pic:nvPicPr>
                  <pic:blipFill>
                    <a:blip r:embed="rId40"/>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30" name="图片 30" descr="工程量清单--榆林市市委机关事务服务中心市委机关大院应急柴油发电机组及应急备电货物项目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工程量清单--榆林市市委机关事务服务中心市委机关大院应急柴油发电机组及应急备电货物项目_31"/>
                    <pic:cNvPicPr>
                      <a:picLocks noChangeAspect="1"/>
                    </pic:cNvPicPr>
                  </pic:nvPicPr>
                  <pic:blipFill>
                    <a:blip r:embed="rId41"/>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29" name="图片 29" descr="工程量清单--榆林市市委机关事务服务中心市委机关大院应急柴油发电机组及应急备电货物项目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工程量清单--榆林市市委机关事务服务中心市委机关大院应急柴油发电机组及应急备电货物项目_32"/>
                    <pic:cNvPicPr>
                      <a:picLocks noChangeAspect="1"/>
                    </pic:cNvPicPr>
                  </pic:nvPicPr>
                  <pic:blipFill>
                    <a:blip r:embed="rId42"/>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28" name="图片 28" descr="工程量清单--榆林市市委机关事务服务中心市委机关大院应急柴油发电机组及应急备电货物项目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工程量清单--榆林市市委机关事务服务中心市委机关大院应急柴油发电机组及应急备电货物项目_33"/>
                    <pic:cNvPicPr>
                      <a:picLocks noChangeAspect="1"/>
                    </pic:cNvPicPr>
                  </pic:nvPicPr>
                  <pic:blipFill>
                    <a:blip r:embed="rId43"/>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17" name="图片 17" descr="工程量清单--榆林市市委机关事务服务中心市委机关大院应急柴油发电机组及应急备电货物项目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工程量清单--榆林市市委机关事务服务中心市委机关大院应急柴油发电机组及应急备电货物项目_34"/>
                    <pic:cNvPicPr>
                      <a:picLocks noChangeAspect="1"/>
                    </pic:cNvPicPr>
                  </pic:nvPicPr>
                  <pic:blipFill>
                    <a:blip r:embed="rId44"/>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14" name="图片 14" descr="工程量清单--榆林市市委机关事务服务中心市委机关大院应急柴油发电机组及应急备电货物项目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工程量清单--榆林市市委机关事务服务中心市委机关大院应急柴油发电机组及应急备电货物项目_35"/>
                    <pic:cNvPicPr>
                      <a:picLocks noChangeAspect="1"/>
                    </pic:cNvPicPr>
                  </pic:nvPicPr>
                  <pic:blipFill>
                    <a:blip r:embed="rId45"/>
                    <a:stretch>
                      <a:fillRect/>
                    </a:stretch>
                  </pic:blipFill>
                  <pic:spPr>
                    <a:xfrm>
                      <a:off x="0" y="0"/>
                      <a:ext cx="5467350" cy="7715885"/>
                    </a:xfrm>
                    <a:prstGeom prst="rect">
                      <a:avLst/>
                    </a:prstGeom>
                  </pic:spPr>
                </pic:pic>
              </a:graphicData>
            </a:graphic>
          </wp:inline>
        </w:drawing>
      </w:r>
      <w:r>
        <w:rPr>
          <w:rFonts w:hint="eastAsia" w:ascii="宋体" w:hAnsi="宋体" w:eastAsia="宋体" w:cs="宋体"/>
          <w:spacing w:val="6"/>
          <w:sz w:val="24"/>
          <w:szCs w:val="32"/>
          <w:lang w:eastAsia="zh-CN"/>
        </w:rPr>
        <w:drawing>
          <wp:inline distT="0" distB="0" distL="114300" distR="114300">
            <wp:extent cx="5467350" cy="7715885"/>
            <wp:effectExtent l="0" t="0" r="0" b="18415"/>
            <wp:docPr id="1" name="图片 1" descr="工程量清单--榆林市市委机关事务服务中心市委机关大院应急柴油发电机组及应急备电货物项目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工程量清单--榆林市市委机关事务服务中心市委机关大院应急柴油发电机组及应急备电货物项目_36"/>
                    <pic:cNvPicPr>
                      <a:picLocks noChangeAspect="1"/>
                    </pic:cNvPicPr>
                  </pic:nvPicPr>
                  <pic:blipFill>
                    <a:blip r:embed="rId46"/>
                    <a:stretch>
                      <a:fillRect/>
                    </a:stretch>
                  </pic:blipFill>
                  <pic:spPr>
                    <a:xfrm>
                      <a:off x="0" y="0"/>
                      <a:ext cx="5467350" cy="7715885"/>
                    </a:xfrm>
                    <a:prstGeom prst="rect">
                      <a:avLst/>
                    </a:prstGeom>
                  </pic:spPr>
                </pic:pic>
              </a:graphicData>
            </a:graphic>
          </wp:inline>
        </w:drawing>
      </w:r>
    </w:p>
    <w:p w14:paraId="7D65B750">
      <w:pPr>
        <w:numPr>
          <w:ilvl w:val="0"/>
          <w:numId w:val="0"/>
        </w:numPr>
        <w:spacing w:line="360" w:lineRule="auto"/>
        <w:ind w:leftChars="0"/>
        <w:contextualSpacing/>
        <w:rPr>
          <w:rFonts w:hint="eastAsia" w:ascii="宋体" w:hAnsi="宋体" w:eastAsia="宋体" w:cs="宋体"/>
          <w:spacing w:val="6"/>
          <w:sz w:val="24"/>
          <w:szCs w:val="32"/>
        </w:rPr>
      </w:pPr>
    </w:p>
    <w:p w14:paraId="0FE93E5D">
      <w:pPr>
        <w:spacing w:line="240" w:lineRule="auto"/>
        <w:rPr>
          <w:rFonts w:hint="eastAsia" w:asciiTheme="minorEastAsia" w:hAnsiTheme="minorEastAsia" w:eastAsiaTheme="minorEastAsia" w:cstheme="minorEastAsia"/>
          <w:sz w:val="24"/>
          <w:szCs w:val="24"/>
        </w:rPr>
      </w:pPr>
    </w:p>
    <w:p w14:paraId="6551898A">
      <w:pPr>
        <w:spacing w:line="240" w:lineRule="auto"/>
        <w:rPr>
          <w:rFonts w:hint="eastAsia" w:asciiTheme="minorEastAsia" w:hAnsiTheme="minorEastAsia" w:eastAsiaTheme="minorEastAsia" w:cstheme="minorEastAsia"/>
          <w:sz w:val="24"/>
          <w:szCs w:val="24"/>
        </w:rPr>
      </w:pPr>
    </w:p>
    <w:p w14:paraId="70751F87">
      <w:pPr>
        <w:spacing w:line="360" w:lineRule="auto"/>
        <w:ind w:right="-29" w:rightChars="-14"/>
        <w:jc w:val="both"/>
        <w:rPr>
          <w:rFonts w:hint="eastAsia" w:ascii="宋体" w:hAnsi="宋体" w:eastAsia="宋体" w:cs="宋体"/>
          <w:b/>
          <w:bCs/>
          <w:sz w:val="24"/>
          <w:szCs w:val="24"/>
        </w:rPr>
      </w:pPr>
      <w:bookmarkStart w:id="70" w:name="_Toc9709"/>
      <w:r>
        <w:rPr>
          <w:rFonts w:hint="eastAsia" w:asciiTheme="minorEastAsia" w:hAnsiTheme="minorEastAsia" w:cstheme="minorEastAsia"/>
          <w:b/>
          <w:bCs w:val="0"/>
          <w:sz w:val="24"/>
          <w:highlight w:val="none"/>
          <w:lang w:val="en-US" w:eastAsia="zh-CN" w:bidi="ar"/>
        </w:rPr>
        <w:t>四</w:t>
      </w:r>
      <w:r>
        <w:rPr>
          <w:rFonts w:hint="eastAsia" w:asciiTheme="minorEastAsia" w:hAnsiTheme="minorEastAsia" w:cstheme="minorEastAsia"/>
          <w:b/>
          <w:bCs w:val="0"/>
          <w:sz w:val="24"/>
          <w:highlight w:val="none"/>
          <w:lang w:bidi="ar"/>
        </w:rPr>
        <w:t>、</w:t>
      </w:r>
      <w:r>
        <w:rPr>
          <w:rFonts w:hint="eastAsia" w:ascii="宋体" w:hAnsi="宋体" w:eastAsia="宋体" w:cs="宋体"/>
          <w:b/>
          <w:bCs/>
          <w:sz w:val="24"/>
          <w:szCs w:val="24"/>
        </w:rPr>
        <w:t>市委机关大院应急柴油发电机组及应急备电项目技术规范书</w:t>
      </w:r>
    </w:p>
    <w:p w14:paraId="51DCE70A">
      <w:pPr>
        <w:pStyle w:val="2"/>
        <w:spacing w:line="360" w:lineRule="auto"/>
        <w:rPr>
          <w:rFonts w:hint="eastAsia" w:ascii="宋体" w:hAnsi="宋体" w:eastAsia="宋体" w:cs="宋体"/>
          <w:b/>
          <w:sz w:val="24"/>
          <w:szCs w:val="24"/>
        </w:rPr>
      </w:pPr>
      <w:r>
        <w:rPr>
          <w:rFonts w:hint="eastAsia" w:ascii="宋体" w:hAnsi="宋体" w:eastAsia="宋体" w:cs="宋体"/>
          <w:b/>
          <w:sz w:val="24"/>
          <w:szCs w:val="24"/>
        </w:rPr>
        <w:t>范围</w:t>
      </w:r>
    </w:p>
    <w:p w14:paraId="5103E8C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本技术规范书为市委机关大院应急柴油发电机组及应急备电项目的技术要求和供货要求，提供给供应商进行技术应答和报价之用。</w:t>
      </w:r>
    </w:p>
    <w:p w14:paraId="5DF97BAD">
      <w:pPr>
        <w:pStyle w:val="62"/>
        <w:spacing w:line="360" w:lineRule="auto"/>
        <w:ind w:firstLineChars="0"/>
        <w:rPr>
          <w:rFonts w:hint="eastAsia" w:ascii="宋体" w:hAnsi="宋体" w:eastAsia="宋体" w:cs="宋体"/>
          <w:sz w:val="24"/>
          <w:szCs w:val="24"/>
        </w:rPr>
      </w:pPr>
      <w:bookmarkStart w:id="71" w:name="_Hlk167874703"/>
      <w:r>
        <w:rPr>
          <w:rFonts w:hint="eastAsia" w:ascii="宋体" w:hAnsi="宋体" w:eastAsia="宋体" w:cs="宋体"/>
          <w:sz w:val="24"/>
          <w:szCs w:val="24"/>
        </w:rPr>
        <w:t>供应商提供的产品和服务包括</w:t>
      </w:r>
      <w:bookmarkEnd w:id="71"/>
      <w:r>
        <w:rPr>
          <w:rFonts w:hint="eastAsia" w:ascii="宋体" w:hAnsi="宋体" w:eastAsia="宋体" w:cs="宋体"/>
          <w:sz w:val="24"/>
          <w:szCs w:val="24"/>
          <w:lang w:val="en-US" w:eastAsia="zh-CN"/>
        </w:rPr>
        <w:t>土建改造、基础装修、配电系统</w:t>
      </w:r>
      <w:r>
        <w:rPr>
          <w:rFonts w:hint="eastAsia" w:ascii="宋体" w:hAnsi="宋体" w:eastAsia="宋体" w:cs="宋体"/>
          <w:color w:val="000000"/>
          <w:sz w:val="24"/>
          <w:szCs w:val="24"/>
          <w:lang w:val="en-US" w:eastAsia="zh-CN"/>
        </w:rPr>
        <w:t>、空调新排风系统、消防系统</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动环监控系统及室内柴油发电机等</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具体</w:t>
      </w:r>
      <w:r>
        <w:rPr>
          <w:rFonts w:hint="eastAsia" w:ascii="宋体" w:hAnsi="宋体" w:eastAsia="宋体" w:cs="宋体"/>
          <w:color w:val="000000"/>
          <w:sz w:val="24"/>
          <w:szCs w:val="24"/>
        </w:rPr>
        <w:t>以</w:t>
      </w:r>
      <w:r>
        <w:rPr>
          <w:rFonts w:hint="eastAsia" w:ascii="宋体" w:hAnsi="宋体" w:eastAsia="宋体" w:cs="宋体"/>
          <w:color w:val="000000"/>
          <w:sz w:val="24"/>
          <w:szCs w:val="24"/>
          <w:lang w:val="en-US" w:eastAsia="zh-CN"/>
        </w:rPr>
        <w:t>本项目</w:t>
      </w:r>
      <w:r>
        <w:rPr>
          <w:rFonts w:hint="eastAsia" w:ascii="宋体" w:hAnsi="宋体" w:eastAsia="宋体" w:cs="宋体"/>
          <w:color w:val="000000"/>
          <w:sz w:val="24"/>
          <w:szCs w:val="24"/>
        </w:rPr>
        <w:t>的技术要求和供货</w:t>
      </w:r>
      <w:r>
        <w:rPr>
          <w:rFonts w:hint="eastAsia" w:ascii="宋体" w:hAnsi="宋体" w:eastAsia="宋体" w:cs="宋体"/>
          <w:color w:val="000000"/>
          <w:sz w:val="24"/>
          <w:szCs w:val="24"/>
          <w:lang w:val="en-US" w:eastAsia="zh-CN"/>
        </w:rPr>
        <w:t>清单</w:t>
      </w:r>
      <w:r>
        <w:rPr>
          <w:rFonts w:hint="eastAsia" w:ascii="宋体" w:hAnsi="宋体" w:eastAsia="宋体" w:cs="宋体"/>
          <w:color w:val="000000"/>
          <w:sz w:val="24"/>
          <w:szCs w:val="24"/>
        </w:rPr>
        <w:t>为准。</w:t>
      </w:r>
    </w:p>
    <w:p w14:paraId="3A03EA75">
      <w:pPr>
        <w:pStyle w:val="2"/>
        <w:spacing w:line="360" w:lineRule="auto"/>
        <w:rPr>
          <w:rFonts w:hint="eastAsia" w:ascii="宋体" w:hAnsi="宋体" w:eastAsia="宋体" w:cs="宋体"/>
          <w:b/>
          <w:bCs/>
          <w:sz w:val="24"/>
          <w:szCs w:val="24"/>
        </w:rPr>
      </w:pPr>
      <w:r>
        <w:rPr>
          <w:rFonts w:hint="eastAsia" w:ascii="宋体" w:hAnsi="宋体" w:eastAsia="宋体" w:cs="宋体"/>
          <w:b/>
          <w:bCs/>
          <w:sz w:val="24"/>
          <w:szCs w:val="24"/>
        </w:rPr>
        <w:t>遵循规范</w:t>
      </w:r>
    </w:p>
    <w:p w14:paraId="537DD75E">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sz w:val="24"/>
          <w:szCs w:val="24"/>
        </w:rPr>
        <w:t>供应商</w:t>
      </w:r>
      <w:r>
        <w:rPr>
          <w:rFonts w:hint="eastAsia" w:ascii="宋体" w:hAnsi="宋体" w:eastAsia="宋体" w:cs="宋体"/>
          <w:color w:val="000000"/>
          <w:sz w:val="24"/>
          <w:szCs w:val="24"/>
        </w:rPr>
        <w:t>提供的设备、辅材及服务须符合以下技术标准，下列标准有更新或有替代版本时以最新标准为准，对于以下标准及规范未涵盖的内容应符合相应国家标准、行业标准。本技术规范提出的具体要求如与下述文件及补充规范有不一致的地方，以本技术规范为准。</w:t>
      </w:r>
    </w:p>
    <w:p w14:paraId="6E1C18C5">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《智能建筑设计标准》（GB 50314-2015）；</w:t>
      </w:r>
    </w:p>
    <w:p w14:paraId="16B6C4BB">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《智能建筑工程质量验收规范》（GB 50339-2013）；</w:t>
      </w:r>
    </w:p>
    <w:p w14:paraId="21BC0F7E">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《建筑设计防火规范》（GB 50016-2014）2018修订版</w:t>
      </w:r>
    </w:p>
    <w:p w14:paraId="084DCFA3">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《建筑内部装修设计防火规范》(GB 50222-2017)</w:t>
      </w:r>
    </w:p>
    <w:p w14:paraId="677716E0">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《建筑内部装修防火施工及验收规范》（GB 50354-2005）</w:t>
      </w:r>
    </w:p>
    <w:p w14:paraId="437C20CB">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《建筑物防雷设计规范》(GB 50057-2010)；</w:t>
      </w:r>
    </w:p>
    <w:p w14:paraId="575FFFE0">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《建筑物电子信息系统防雷技术规范》(GB 50343-2012)；</w:t>
      </w:r>
    </w:p>
    <w:p w14:paraId="0D96F620">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《出入口控制系统工程设计规范》(GB 50396-2007)</w:t>
      </w:r>
    </w:p>
    <w:p w14:paraId="06D048AC">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《防火门》(GB 12955-2008)；</w:t>
      </w:r>
    </w:p>
    <w:p w14:paraId="1E2EE77F">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《低压配电设计规范》（GB 50054-2011）</w:t>
      </w:r>
    </w:p>
    <w:p w14:paraId="49AAB06D">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《供配电系统设计规范》（GB 50052—2009）</w:t>
      </w:r>
    </w:p>
    <w:p w14:paraId="5120F71D">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《信息技术设备用不间断电源通用规范》（GB/T 14715-2017）</w:t>
      </w:r>
    </w:p>
    <w:p w14:paraId="181C759F">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《通用用电设备配电设计规范》（GB 50055-2011）</w:t>
      </w:r>
    </w:p>
    <w:p w14:paraId="61442571">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《通信用交流不间断电源（UPS）》</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 xml:space="preserve">（YDT 1095-2018) </w:t>
      </w:r>
    </w:p>
    <w:p w14:paraId="2ADACEEB">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《民用铅酸蓄电池安全技术规范》</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（GB/T 32504-2016)</w:t>
      </w:r>
    </w:p>
    <w:p w14:paraId="1CCE338D">
      <w:pPr>
        <w:widowControl/>
        <w:spacing w:line="360" w:lineRule="auto"/>
        <w:ind w:firstLine="480" w:firstLineChars="200"/>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rPr>
        <w:t>《柴油发电机安装规范》</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GB</w:t>
      </w:r>
      <w:r>
        <w:rPr>
          <w:rFonts w:hint="eastAsia" w:ascii="宋体" w:hAnsi="宋体" w:eastAsia="宋体" w:cs="宋体"/>
          <w:color w:val="000000"/>
          <w:sz w:val="24"/>
          <w:szCs w:val="24"/>
        </w:rPr>
        <w:t>29750-2012)</w:t>
      </w:r>
    </w:p>
    <w:p w14:paraId="677F905E">
      <w:pPr>
        <w:widowControl/>
        <w:spacing w:line="360" w:lineRule="auto"/>
        <w:ind w:firstLine="480" w:firstLineChars="200"/>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rPr>
        <w:t>《通信用发电机组标准》</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（GB2820-1997)</w:t>
      </w:r>
    </w:p>
    <w:p w14:paraId="4583927C">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《电力工程电缆设计标准》（GB 50217-2018）</w:t>
      </w:r>
    </w:p>
    <w:p w14:paraId="320E0E0F">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《建筑电气工程施工质量验收规范》（GB 50303-2015）</w:t>
      </w:r>
    </w:p>
    <w:p w14:paraId="768BE761">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《电气装置安装工程接地装置施工及验收规范》（GB 50169-2016）</w:t>
      </w:r>
    </w:p>
    <w:p w14:paraId="7CD0928D">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《电气装置安装工程电缆线路施工及验收标准》（GB 50168-2018）</w:t>
      </w:r>
    </w:p>
    <w:p w14:paraId="5C1A7C44">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《电气装置安装工程低压电器施工及验收规范》（GB 50254-2014）</w:t>
      </w:r>
    </w:p>
    <w:p w14:paraId="43CEE065">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《电气装置安装工程接地装置、施工及验收规范》（GB／T50169-2016）</w:t>
      </w:r>
    </w:p>
    <w:p w14:paraId="58E8FE3E">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《电气装置安装工程蓄电池施工及验收规范》（GB 50172-2012）</w:t>
      </w:r>
    </w:p>
    <w:p w14:paraId="00A2663D">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《民用建筑电气设计标准》(GB 51348-2019)</w:t>
      </w:r>
    </w:p>
    <w:p w14:paraId="74359080">
      <w:pPr>
        <w:widowControl/>
        <w:spacing w:line="360" w:lineRule="auto"/>
        <w:ind w:firstLine="960" w:firstLineChars="400"/>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rPr>
        <w:t>《供配电系统设计规范》</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(GB 50052-2009)</w:t>
      </w:r>
    </w:p>
    <w:p w14:paraId="1FD2A9CC">
      <w:pPr>
        <w:widowControl/>
        <w:spacing w:line="360" w:lineRule="auto"/>
        <w:ind w:firstLine="960" w:firstLineChars="400"/>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rPr>
        <w:t>《低压配电设计规范》</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(GB 50054-2011)</w:t>
      </w:r>
    </w:p>
    <w:p w14:paraId="71E14736">
      <w:pPr>
        <w:widowControl/>
        <w:spacing w:line="360" w:lineRule="auto"/>
        <w:ind w:firstLine="960" w:firstLineChars="400"/>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rPr>
        <w:t>《建筑电气工程施工质量验收规范》</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(GB 50303-2015)</w:t>
      </w:r>
    </w:p>
    <w:p w14:paraId="33C4A968">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《建筑照明设计标准》(GB 50034-2013)</w:t>
      </w:r>
    </w:p>
    <w:p w14:paraId="5D44762F">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《安全防范工程技术标准》（GB50348-2018）</w:t>
      </w:r>
    </w:p>
    <w:p w14:paraId="248C4603">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《视频安防监控系统工程设计规范》（GB 50395-2007）</w:t>
      </w:r>
    </w:p>
    <w:p w14:paraId="19E44EC5">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《火灾自动报警系统设计规范》（GB 50116-2013）</w:t>
      </w:r>
    </w:p>
    <w:p w14:paraId="18FC596A">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《气体灭火系统设计规范》（GB 50370-2005）</w:t>
      </w:r>
    </w:p>
    <w:p w14:paraId="60ECE616">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《火灾自动报警系统施工及验收规范》（GB 50166—2007）</w:t>
      </w:r>
    </w:p>
    <w:p w14:paraId="0176B7AC">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《气体灭火系统施工及验收规范》（GB 50263-2007）</w:t>
      </w:r>
    </w:p>
    <w:p w14:paraId="3304DBD5">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w:t>
      </w:r>
      <w:bookmarkStart w:id="72" w:name="OLE_LINK1"/>
      <w:r>
        <w:rPr>
          <w:rFonts w:hint="eastAsia" w:ascii="宋体" w:hAnsi="宋体" w:eastAsia="宋体" w:cs="宋体"/>
          <w:color w:val="000000"/>
          <w:sz w:val="24"/>
          <w:szCs w:val="24"/>
        </w:rPr>
        <w:t>数据中心监控系统技术白皮书</w:t>
      </w:r>
      <w:bookmarkEnd w:id="72"/>
      <w:r>
        <w:rPr>
          <w:rFonts w:hint="eastAsia" w:ascii="宋体" w:hAnsi="宋体" w:eastAsia="宋体" w:cs="宋体"/>
          <w:color w:val="000000"/>
          <w:sz w:val="24"/>
          <w:szCs w:val="24"/>
        </w:rPr>
        <w:t>》</w:t>
      </w:r>
    </w:p>
    <w:p w14:paraId="04DE64E2">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《民用建筑供暖通风与空气调节设计规范》（GB 50736-2012）</w:t>
      </w:r>
    </w:p>
    <w:p w14:paraId="50F9BF69">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《民用建筑新风系统工程技术规程》（CECS 439-2016）</w:t>
      </w:r>
    </w:p>
    <w:p w14:paraId="51EEB007">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《建筑防烟排烟系统技术标准》（GB 51251-2017）</w:t>
      </w:r>
    </w:p>
    <w:p w14:paraId="1CBBE445">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ab/>
      </w:r>
      <w:r>
        <w:rPr>
          <w:rFonts w:hint="eastAsia" w:ascii="宋体" w:hAnsi="宋体" w:eastAsia="宋体" w:cs="宋体"/>
          <w:color w:val="000000"/>
          <w:sz w:val="24"/>
          <w:szCs w:val="24"/>
        </w:rPr>
        <w:t>《通风与空调工程施工质量验收规范》（GB 50243-2016）</w:t>
      </w:r>
    </w:p>
    <w:p w14:paraId="4DB7C0E1">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《通风与空调工程施工规范》（GB 50738-2011）</w:t>
      </w:r>
    </w:p>
    <w:p w14:paraId="7EFB2BD4">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《建筑通风和排烟系统用防火阀门》(GB 15930-2007)；</w:t>
      </w:r>
    </w:p>
    <w:p w14:paraId="1704E2FB">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《工业建筑供暖通风与空气调节设计规范》(GB 50019-2015)</w:t>
      </w:r>
    </w:p>
    <w:p w14:paraId="214BE3EC">
      <w:pPr>
        <w:widowControl/>
        <w:spacing w:line="360" w:lineRule="auto"/>
        <w:ind w:firstLine="960" w:firstLineChars="400"/>
        <w:rPr>
          <w:rFonts w:hint="eastAsia" w:ascii="宋体" w:hAnsi="宋体" w:eastAsia="宋体" w:cs="宋体"/>
          <w:color w:val="000000"/>
          <w:sz w:val="24"/>
          <w:szCs w:val="24"/>
        </w:rPr>
      </w:pPr>
      <w:r>
        <w:rPr>
          <w:rFonts w:hint="eastAsia" w:ascii="宋体" w:hAnsi="宋体" w:eastAsia="宋体" w:cs="宋体"/>
          <w:color w:val="000000"/>
          <w:sz w:val="24"/>
          <w:szCs w:val="24"/>
        </w:rPr>
        <w:t>其他涉及本工程的国家、行业、地方等标准规范。</w:t>
      </w:r>
    </w:p>
    <w:p w14:paraId="17F99B66">
      <w:pPr>
        <w:widowControl/>
        <w:spacing w:line="360" w:lineRule="auto"/>
        <w:ind w:firstLine="480" w:firstLineChars="200"/>
        <w:rPr>
          <w:rFonts w:hint="eastAsia" w:ascii="宋体" w:hAnsi="宋体" w:eastAsia="宋体" w:cs="宋体"/>
          <w:color w:val="000000"/>
          <w:sz w:val="24"/>
          <w:szCs w:val="24"/>
        </w:rPr>
        <w:sectPr>
          <w:footerReference r:id="rId7" w:type="default"/>
          <w:pgSz w:w="11906" w:h="16838"/>
          <w:pgMar w:top="1440" w:right="1080" w:bottom="1440" w:left="1080" w:header="851" w:footer="992" w:gutter="0"/>
          <w:pgNumType w:fmt="decimal"/>
          <w:cols w:space="720" w:num="1"/>
          <w:docGrid w:type="lines" w:linePitch="312" w:charSpace="0"/>
        </w:sectPr>
      </w:pPr>
    </w:p>
    <w:p w14:paraId="7DEB9751">
      <w:pPr>
        <w:pStyle w:val="2"/>
        <w:rPr>
          <w:rFonts w:ascii="宋体" w:hAnsi="宋体" w:eastAsia="宋体"/>
          <w:b/>
          <w:bCs/>
          <w:szCs w:val="24"/>
        </w:rPr>
      </w:pPr>
      <w:r>
        <w:rPr>
          <w:rFonts w:hint="eastAsia" w:ascii="宋体" w:hAnsi="宋体" w:eastAsia="宋体"/>
          <w:b/>
          <w:bCs/>
          <w:szCs w:val="24"/>
        </w:rPr>
        <w:t>技术要求</w:t>
      </w:r>
    </w:p>
    <w:p w14:paraId="0BDE95A1">
      <w:pPr>
        <w:pStyle w:val="3"/>
        <w:spacing w:line="360" w:lineRule="auto"/>
        <w:rPr>
          <w:rFonts w:hint="eastAsia" w:ascii="宋体" w:hAnsi="宋体" w:eastAsia="宋体" w:cs="宋体"/>
          <w:b/>
          <w:sz w:val="24"/>
          <w:szCs w:val="24"/>
        </w:rPr>
      </w:pPr>
      <w:r>
        <w:rPr>
          <w:rFonts w:hint="eastAsia" w:ascii="宋体" w:hAnsi="宋体" w:eastAsia="宋体" w:cs="宋体"/>
          <w:b/>
          <w:sz w:val="24"/>
          <w:szCs w:val="24"/>
        </w:rPr>
        <w:t>土建改造</w:t>
      </w:r>
    </w:p>
    <w:p w14:paraId="29BC3D15">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rPr>
        <w:t>配电间</w:t>
      </w:r>
      <w:r>
        <w:rPr>
          <w:rFonts w:hint="eastAsia" w:ascii="宋体" w:hAnsi="宋体" w:eastAsia="宋体" w:cs="宋体"/>
          <w:b/>
          <w:sz w:val="24"/>
          <w:szCs w:val="24"/>
          <w:lang w:val="en-US" w:eastAsia="zh-CN"/>
        </w:rPr>
        <w:t>土建改造</w:t>
      </w:r>
    </w:p>
    <w:p w14:paraId="1FF356CB">
      <w:pPr>
        <w:pStyle w:val="216"/>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拟建的配电间位置在大楼地下1层车库，现为一个库房，面积大约48平米（长度7.32米、宽度6.69米、高度3.5米），新建配电间需在靠近走道的一侧，用砖新砌一面墙，同时安装一樘双开甲级防火门。配电间内可以放置配电设备，例如UPS主机、蓄电池组、配电柜、精密空调等设备。</w:t>
      </w:r>
    </w:p>
    <w:p w14:paraId="5C828D74">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柴油发电机房土建改造</w:t>
      </w:r>
    </w:p>
    <w:p w14:paraId="2ECB9DB3">
      <w:pPr>
        <w:pStyle w:val="216"/>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拟建的柴油发电机房位置在大楼地下1层车库，现为停车位，面积大约48平米（长度7.32米、宽度6.69米、高度3.5米），新建柴油发电机房需在靠近走道的一侧及东侧，用砖新砌一面墙，同时安装一樘双开甲级防火门。考虑到柴油发电机油箱需单独放置，面积大概4平米（长度2米、宽度2米、高度3.5米）柴油发电机房内可以放置1台500KW柴油发电机，储油间放置1个600L油箱。</w:t>
      </w:r>
    </w:p>
    <w:p w14:paraId="4DDF9A59">
      <w:pPr>
        <w:pStyle w:val="3"/>
        <w:spacing w:line="360" w:lineRule="auto"/>
        <w:rPr>
          <w:rFonts w:hint="eastAsia" w:ascii="宋体" w:hAnsi="宋体" w:eastAsia="宋体" w:cs="宋体"/>
          <w:b/>
          <w:sz w:val="24"/>
          <w:szCs w:val="24"/>
          <w:lang w:val="en-US" w:eastAsia="zh-CN"/>
        </w:rPr>
      </w:pPr>
      <w:bookmarkStart w:id="73" w:name="_Toc15553"/>
      <w:r>
        <w:rPr>
          <w:rFonts w:hint="eastAsia" w:ascii="宋体" w:hAnsi="宋体" w:eastAsia="宋体" w:cs="宋体"/>
          <w:b/>
          <w:sz w:val="24"/>
          <w:szCs w:val="24"/>
          <w:lang w:val="en-US" w:eastAsia="zh-CN"/>
        </w:rPr>
        <w:t>基础装修</w:t>
      </w:r>
      <w:bookmarkEnd w:id="73"/>
    </w:p>
    <w:p w14:paraId="49F825EF">
      <w:pPr>
        <w:pStyle w:val="4"/>
        <w:bidi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rPr>
        <w:t>配电间装饰装修</w:t>
      </w:r>
    </w:p>
    <w:p w14:paraId="42CC06D8">
      <w:pPr>
        <w:pStyle w:val="216"/>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1、在配电间装饰装修前，配电间内的配件材料需先整理并搬离、简易墙需拆除完成。另外配电间内的灯具、烟感探测器拆除，顶部消防喷淋需拆除或移除（配电间内不能有水）。</w:t>
      </w:r>
    </w:p>
    <w:p w14:paraId="6FC405E4">
      <w:pPr>
        <w:pStyle w:val="216"/>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t>2、在配电间</w:t>
      </w:r>
      <w:r>
        <w:rPr>
          <w:rFonts w:hint="eastAsia" w:ascii="宋体" w:hAnsi="宋体" w:eastAsia="宋体" w:cs="宋体"/>
          <w:sz w:val="24"/>
          <w:szCs w:val="24"/>
        </w:rPr>
        <w:t>装饰装修工程主要包括</w:t>
      </w:r>
      <w:r>
        <w:rPr>
          <w:rFonts w:hint="eastAsia" w:ascii="宋体" w:hAnsi="宋体" w:eastAsia="宋体" w:cs="宋体"/>
          <w:sz w:val="24"/>
          <w:szCs w:val="24"/>
          <w:lang w:val="en-US" w:eastAsia="zh-CN"/>
        </w:rPr>
        <w:t>地面</w:t>
      </w:r>
      <w:r>
        <w:rPr>
          <w:rFonts w:hint="eastAsia" w:ascii="宋体" w:hAnsi="宋体" w:eastAsia="宋体" w:cs="宋体"/>
          <w:sz w:val="24"/>
          <w:szCs w:val="24"/>
        </w:rPr>
        <w:t>、墙柱面、吊顶、门窗、防尘处理、</w:t>
      </w:r>
      <w:r>
        <w:rPr>
          <w:rFonts w:hint="eastAsia" w:ascii="宋体" w:hAnsi="宋体" w:eastAsia="宋体" w:cs="宋体"/>
          <w:sz w:val="24"/>
          <w:szCs w:val="24"/>
          <w:lang w:val="en-US" w:eastAsia="zh-CN"/>
        </w:rPr>
        <w:t>防水、</w:t>
      </w:r>
      <w:r>
        <w:rPr>
          <w:rFonts w:hint="eastAsia" w:ascii="宋体" w:hAnsi="宋体" w:eastAsia="宋体" w:cs="宋体"/>
          <w:sz w:val="24"/>
          <w:szCs w:val="24"/>
        </w:rPr>
        <w:t>防火处理。</w:t>
      </w:r>
    </w:p>
    <w:p w14:paraId="04F1602D">
      <w:pPr>
        <w:pStyle w:val="216"/>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t>3、在</w:t>
      </w:r>
      <w:r>
        <w:rPr>
          <w:rFonts w:hint="eastAsia" w:ascii="宋体" w:hAnsi="宋体" w:eastAsia="宋体" w:cs="宋体"/>
          <w:sz w:val="24"/>
          <w:szCs w:val="24"/>
        </w:rPr>
        <w:t>主材选择原则：</w:t>
      </w:r>
      <w:r>
        <w:rPr>
          <w:rFonts w:hint="eastAsia" w:ascii="宋体" w:hAnsi="宋体" w:eastAsia="宋体" w:cs="宋体"/>
          <w:sz w:val="24"/>
          <w:szCs w:val="24"/>
          <w:lang w:val="en-US" w:eastAsia="zh-CN"/>
        </w:rPr>
        <w:t>配电间</w:t>
      </w:r>
      <w:r>
        <w:rPr>
          <w:rFonts w:hint="eastAsia" w:ascii="宋体" w:hAnsi="宋体" w:eastAsia="宋体" w:cs="宋体"/>
          <w:sz w:val="24"/>
          <w:szCs w:val="24"/>
        </w:rPr>
        <w:t>对防火的要求较高，在选择装修材料时必需考虑到防火的要求。由于</w:t>
      </w:r>
      <w:r>
        <w:rPr>
          <w:rFonts w:hint="eastAsia" w:ascii="宋体" w:hAnsi="宋体" w:eastAsia="宋体" w:cs="宋体"/>
          <w:sz w:val="24"/>
          <w:szCs w:val="24"/>
          <w:lang w:val="en-US" w:eastAsia="zh-CN"/>
        </w:rPr>
        <w:t>配电</w:t>
      </w:r>
      <w:r>
        <w:rPr>
          <w:rFonts w:hint="eastAsia" w:ascii="宋体" w:hAnsi="宋体" w:eastAsia="宋体" w:cs="宋体"/>
          <w:sz w:val="24"/>
          <w:szCs w:val="24"/>
        </w:rPr>
        <w:t>设备对周围环境要求高，选用的装饰材料还应满足气密性好、不起尘、易清洁、防火性好、并在温、湿度变化作用下变形小等条件。</w:t>
      </w:r>
    </w:p>
    <w:p w14:paraId="6C8AFD4A">
      <w:pPr>
        <w:pStyle w:val="216"/>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4、在配电间</w:t>
      </w:r>
      <w:r>
        <w:rPr>
          <w:rFonts w:hint="eastAsia" w:ascii="宋体" w:hAnsi="宋体" w:eastAsia="宋体" w:cs="宋体"/>
          <w:sz w:val="24"/>
          <w:szCs w:val="24"/>
        </w:rPr>
        <w:t>地面</w:t>
      </w:r>
      <w:r>
        <w:rPr>
          <w:rFonts w:hint="eastAsia" w:ascii="宋体" w:hAnsi="宋体" w:eastAsia="宋体" w:cs="宋体"/>
          <w:sz w:val="24"/>
          <w:szCs w:val="24"/>
          <w:lang w:val="en-US" w:eastAsia="zh-CN"/>
        </w:rPr>
        <w:t>采用原有的环氧树脂自流平，局部修补与原地面颜色接近。</w:t>
      </w:r>
    </w:p>
    <w:p w14:paraId="38AB71A5">
      <w:pPr>
        <w:pStyle w:val="216"/>
        <w:spacing w:line="360" w:lineRule="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5、在新砌</w:t>
      </w:r>
      <w:r>
        <w:rPr>
          <w:rFonts w:hint="eastAsia" w:ascii="宋体" w:hAnsi="宋体" w:eastAsia="宋体" w:cs="宋体"/>
          <w:sz w:val="24"/>
          <w:szCs w:val="24"/>
        </w:rPr>
        <w:t>墙</w:t>
      </w:r>
      <w:r>
        <w:rPr>
          <w:rFonts w:hint="eastAsia" w:ascii="宋体" w:hAnsi="宋体" w:eastAsia="宋体" w:cs="宋体"/>
          <w:sz w:val="24"/>
          <w:szCs w:val="24"/>
          <w:lang w:val="en-US" w:eastAsia="zh-CN"/>
        </w:rPr>
        <w:t>面首先</w:t>
      </w:r>
      <w:r>
        <w:rPr>
          <w:rFonts w:hint="eastAsia" w:ascii="宋体" w:hAnsi="宋体" w:eastAsia="宋体" w:cs="宋体"/>
          <w:sz w:val="24"/>
          <w:szCs w:val="24"/>
        </w:rPr>
        <w:t>摸灰修补并刷白色乳胶漆</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并保持与原有墙面颜色接近</w:t>
      </w:r>
      <w:r>
        <w:rPr>
          <w:rFonts w:hint="eastAsia" w:ascii="宋体" w:hAnsi="宋体" w:eastAsia="宋体" w:cs="宋体"/>
          <w:sz w:val="24"/>
          <w:szCs w:val="24"/>
          <w:lang w:eastAsia="zh-CN"/>
        </w:rPr>
        <w:t>。</w:t>
      </w:r>
    </w:p>
    <w:p w14:paraId="47A0D879">
      <w:pPr>
        <w:pStyle w:val="216"/>
        <w:spacing w:line="360" w:lineRule="auto"/>
        <w:rPr>
          <w:rFonts w:hint="eastAsia" w:ascii="宋体" w:hAnsi="宋体" w:eastAsia="宋体" w:cs="宋体"/>
          <w:sz w:val="24"/>
          <w:szCs w:val="24"/>
          <w:lang w:val="en-US" w:eastAsia="zh-CN" w:bidi="mn-Mong-CN"/>
        </w:rPr>
      </w:pPr>
      <w:r>
        <w:rPr>
          <w:rFonts w:hint="eastAsia" w:ascii="宋体" w:hAnsi="宋体" w:eastAsia="宋体" w:cs="宋体"/>
          <w:sz w:val="24"/>
          <w:szCs w:val="24"/>
          <w:lang w:val="en-US" w:eastAsia="zh-CN"/>
        </w:rPr>
        <w:t>6、在</w:t>
      </w:r>
      <w:r>
        <w:rPr>
          <w:rFonts w:hint="eastAsia" w:ascii="宋体" w:hAnsi="宋体" w:eastAsia="宋体" w:cs="宋体"/>
          <w:sz w:val="24"/>
          <w:szCs w:val="24"/>
          <w:lang w:val="en-US" w:eastAsia="zh-CN" w:bidi="mn-Mong-CN"/>
        </w:rPr>
        <w:t>顶面局部修补，保持原有顶面颜色。</w:t>
      </w:r>
    </w:p>
    <w:p w14:paraId="713240DC">
      <w:pPr>
        <w:pStyle w:val="216"/>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t>7、在配电间</w:t>
      </w:r>
      <w:r>
        <w:rPr>
          <w:rFonts w:hint="eastAsia" w:ascii="宋体" w:hAnsi="宋体" w:eastAsia="宋体" w:cs="宋体"/>
          <w:sz w:val="24"/>
          <w:szCs w:val="24"/>
        </w:rPr>
        <w:t>出入口安装</w:t>
      </w:r>
      <w:r>
        <w:rPr>
          <w:rFonts w:hint="eastAsia" w:ascii="宋体" w:hAnsi="宋体" w:eastAsia="宋体" w:cs="宋体"/>
          <w:sz w:val="24"/>
          <w:szCs w:val="24"/>
          <w:lang w:val="en-US" w:eastAsia="zh-CN"/>
        </w:rPr>
        <w:t>1樘双开甲级</w:t>
      </w:r>
      <w:r>
        <w:rPr>
          <w:rFonts w:hint="eastAsia" w:ascii="宋体" w:hAnsi="宋体" w:eastAsia="宋体" w:cs="宋体"/>
          <w:sz w:val="24"/>
          <w:szCs w:val="24"/>
        </w:rPr>
        <w:t>防火门，</w:t>
      </w:r>
      <w:r>
        <w:rPr>
          <w:rFonts w:hint="eastAsia" w:ascii="宋体" w:hAnsi="宋体" w:eastAsia="宋体" w:cs="宋体"/>
          <w:sz w:val="24"/>
          <w:szCs w:val="24"/>
          <w:lang w:val="en-US" w:eastAsia="zh-CN"/>
        </w:rPr>
        <w:t>建议尺寸1500*2300mm，方便设备进入，防火门</w:t>
      </w:r>
      <w:r>
        <w:rPr>
          <w:rFonts w:hint="eastAsia" w:ascii="宋体" w:hAnsi="宋体" w:eastAsia="宋体" w:cs="宋体"/>
          <w:sz w:val="24"/>
          <w:szCs w:val="24"/>
        </w:rPr>
        <w:t>配置</w:t>
      </w:r>
      <w:r>
        <w:rPr>
          <w:rFonts w:hint="eastAsia" w:ascii="宋体" w:hAnsi="宋体" w:eastAsia="宋体" w:cs="宋体"/>
          <w:sz w:val="24"/>
          <w:szCs w:val="24"/>
          <w:lang w:val="en-US" w:eastAsia="zh-CN"/>
        </w:rPr>
        <w:t>人脸识别</w:t>
      </w:r>
      <w:r>
        <w:rPr>
          <w:rFonts w:hint="eastAsia" w:ascii="宋体" w:hAnsi="宋体" w:eastAsia="宋体" w:cs="宋体"/>
          <w:sz w:val="24"/>
          <w:szCs w:val="24"/>
        </w:rPr>
        <w:t>门禁系统，可以对人员进出进行控制及记录。门禁系统接入动环</w:t>
      </w:r>
      <w:r>
        <w:rPr>
          <w:rFonts w:hint="eastAsia" w:ascii="宋体" w:hAnsi="宋体" w:eastAsia="宋体" w:cs="宋体"/>
          <w:sz w:val="24"/>
          <w:szCs w:val="24"/>
          <w:lang w:val="en-US" w:eastAsia="zh-CN"/>
        </w:rPr>
        <w:t>监控管理系统</w:t>
      </w:r>
      <w:r>
        <w:rPr>
          <w:rFonts w:hint="eastAsia" w:ascii="宋体" w:hAnsi="宋体" w:eastAsia="宋体" w:cs="宋体"/>
          <w:sz w:val="24"/>
          <w:szCs w:val="24"/>
        </w:rPr>
        <w:t>，与消防</w:t>
      </w:r>
      <w:r>
        <w:rPr>
          <w:rFonts w:hint="eastAsia" w:ascii="宋体" w:hAnsi="宋体" w:eastAsia="宋体" w:cs="宋体"/>
          <w:sz w:val="24"/>
          <w:szCs w:val="24"/>
          <w:lang w:val="en-US" w:eastAsia="zh-CN"/>
        </w:rPr>
        <w:t>系统</w:t>
      </w:r>
      <w:r>
        <w:rPr>
          <w:rFonts w:hint="eastAsia" w:ascii="宋体" w:hAnsi="宋体" w:eastAsia="宋体" w:cs="宋体"/>
          <w:sz w:val="24"/>
          <w:szCs w:val="24"/>
        </w:rPr>
        <w:t>联动。</w:t>
      </w:r>
    </w:p>
    <w:p w14:paraId="51B004BC">
      <w:pPr>
        <w:pStyle w:val="216"/>
        <w:spacing w:line="360" w:lineRule="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val="en-US" w:eastAsia="zh-CN"/>
        </w:rPr>
        <w:t>8、配电间</w:t>
      </w:r>
      <w:r>
        <w:rPr>
          <w:rFonts w:hint="eastAsia" w:ascii="宋体" w:hAnsi="宋体" w:eastAsia="宋体" w:cs="宋体"/>
          <w:b w:val="0"/>
          <w:bCs w:val="0"/>
          <w:sz w:val="24"/>
          <w:szCs w:val="24"/>
        </w:rPr>
        <w:t>防护措施</w:t>
      </w:r>
    </w:p>
    <w:p w14:paraId="15445DE6">
      <w:pPr>
        <w:pStyle w:val="217"/>
        <w:spacing w:line="360" w:lineRule="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1）、</w:t>
      </w:r>
      <w:r>
        <w:rPr>
          <w:rFonts w:hint="eastAsia" w:ascii="宋体" w:hAnsi="宋体" w:eastAsia="宋体" w:cs="宋体"/>
          <w:b w:val="0"/>
          <w:bCs w:val="0"/>
          <w:sz w:val="24"/>
          <w:szCs w:val="24"/>
        </w:rPr>
        <w:t>防水措施</w:t>
      </w:r>
    </w:p>
    <w:p w14:paraId="6C0A8966">
      <w:pPr>
        <w:pStyle w:val="217"/>
        <w:spacing w:line="360" w:lineRule="auto"/>
        <w:rPr>
          <w:rFonts w:hint="eastAsia" w:ascii="宋体" w:hAnsi="宋体" w:eastAsia="宋体" w:cs="宋体"/>
          <w:sz w:val="24"/>
          <w:szCs w:val="24"/>
        </w:rPr>
      </w:pPr>
      <w:r>
        <w:rPr>
          <w:rFonts w:hint="eastAsia" w:ascii="宋体" w:hAnsi="宋体" w:eastAsia="宋体" w:cs="宋体"/>
          <w:sz w:val="24"/>
          <w:szCs w:val="24"/>
        </w:rPr>
        <w:t>在</w:t>
      </w:r>
      <w:r>
        <w:rPr>
          <w:rFonts w:hint="eastAsia" w:ascii="宋体" w:hAnsi="宋体" w:eastAsia="宋体" w:cs="宋体"/>
          <w:sz w:val="24"/>
          <w:szCs w:val="24"/>
          <w:lang w:val="en-US" w:eastAsia="zh-CN"/>
        </w:rPr>
        <w:t>精密</w:t>
      </w:r>
      <w:r>
        <w:rPr>
          <w:rFonts w:hint="eastAsia" w:ascii="宋体" w:hAnsi="宋体" w:eastAsia="宋体" w:cs="宋体"/>
          <w:sz w:val="24"/>
          <w:szCs w:val="24"/>
        </w:rPr>
        <w:t>空调与</w:t>
      </w:r>
      <w:r>
        <w:rPr>
          <w:rFonts w:hint="eastAsia" w:ascii="宋体" w:hAnsi="宋体" w:eastAsia="宋体" w:cs="宋体"/>
          <w:sz w:val="24"/>
          <w:szCs w:val="24"/>
          <w:lang w:val="en-US" w:eastAsia="zh-CN"/>
        </w:rPr>
        <w:t>配电柜</w:t>
      </w:r>
      <w:r>
        <w:rPr>
          <w:rFonts w:hint="eastAsia" w:ascii="宋体" w:hAnsi="宋体" w:eastAsia="宋体" w:cs="宋体"/>
          <w:sz w:val="24"/>
          <w:szCs w:val="24"/>
        </w:rPr>
        <w:t>之间砌起一道</w:t>
      </w:r>
      <w:r>
        <w:rPr>
          <w:rFonts w:hint="eastAsia" w:ascii="宋体" w:hAnsi="宋体" w:eastAsia="宋体" w:cs="宋体"/>
          <w:sz w:val="24"/>
          <w:szCs w:val="24"/>
          <w:lang w:val="en-US" w:eastAsia="zh-CN"/>
        </w:rPr>
        <w:t>10</w:t>
      </w:r>
      <w:r>
        <w:rPr>
          <w:rFonts w:hint="eastAsia" w:ascii="宋体" w:hAnsi="宋体" w:eastAsia="宋体" w:cs="宋体"/>
          <w:sz w:val="24"/>
          <w:szCs w:val="24"/>
        </w:rPr>
        <w:t>0mm高挡水</w:t>
      </w:r>
      <w:r>
        <w:rPr>
          <w:rFonts w:hint="eastAsia" w:ascii="宋体" w:hAnsi="宋体" w:eastAsia="宋体" w:cs="宋体"/>
          <w:sz w:val="24"/>
          <w:szCs w:val="24"/>
          <w:lang w:val="en-US" w:eastAsia="zh-CN"/>
        </w:rPr>
        <w:t>台</w:t>
      </w:r>
      <w:r>
        <w:rPr>
          <w:rFonts w:hint="eastAsia" w:ascii="宋体" w:hAnsi="宋体" w:eastAsia="宋体" w:cs="宋体"/>
          <w:sz w:val="24"/>
          <w:szCs w:val="24"/>
        </w:rPr>
        <w:t>，防止因空调漏水导致</w:t>
      </w:r>
      <w:r>
        <w:rPr>
          <w:rFonts w:hint="eastAsia" w:ascii="宋体" w:hAnsi="宋体" w:eastAsia="宋体" w:cs="宋体"/>
          <w:sz w:val="24"/>
          <w:szCs w:val="24"/>
          <w:lang w:val="en-US" w:eastAsia="zh-CN"/>
        </w:rPr>
        <w:t>配电间</w:t>
      </w:r>
      <w:r>
        <w:rPr>
          <w:rFonts w:hint="eastAsia" w:ascii="宋体" w:hAnsi="宋体" w:eastAsia="宋体" w:cs="宋体"/>
          <w:sz w:val="24"/>
          <w:szCs w:val="24"/>
        </w:rPr>
        <w:t>内设备故障，并在该区域做防水处理。</w:t>
      </w:r>
    </w:p>
    <w:p w14:paraId="126397DF">
      <w:pPr>
        <w:pStyle w:val="217"/>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另外在配电间门口砌筑500mm高挡水台，防止室外雨水流入配电室。</w:t>
      </w:r>
    </w:p>
    <w:p w14:paraId="5FB3D9BF">
      <w:pPr>
        <w:pStyle w:val="217"/>
        <w:numPr>
          <w:ilvl w:val="0"/>
          <w:numId w:val="2"/>
        </w:numPr>
        <w:spacing w:line="360" w:lineRule="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w:t>
      </w:r>
      <w:r>
        <w:rPr>
          <w:rFonts w:hint="eastAsia" w:ascii="宋体" w:hAnsi="宋体" w:eastAsia="宋体" w:cs="宋体"/>
          <w:b w:val="0"/>
          <w:bCs w:val="0"/>
          <w:sz w:val="24"/>
          <w:szCs w:val="24"/>
        </w:rPr>
        <w:t>防火措施</w:t>
      </w:r>
    </w:p>
    <w:p w14:paraId="5210FDDC">
      <w:pPr>
        <w:pStyle w:val="217"/>
        <w:spacing w:line="360" w:lineRule="auto"/>
        <w:rPr>
          <w:rFonts w:hint="eastAsia" w:ascii="宋体" w:hAnsi="宋体" w:eastAsia="宋体" w:cs="宋体"/>
          <w:sz w:val="24"/>
          <w:szCs w:val="24"/>
        </w:rPr>
      </w:pPr>
      <w:r>
        <w:rPr>
          <w:rFonts w:hint="eastAsia" w:ascii="宋体" w:hAnsi="宋体" w:eastAsia="宋体" w:cs="宋体"/>
          <w:sz w:val="24"/>
          <w:szCs w:val="24"/>
        </w:rPr>
        <w:t>配电间装饰材料均应采用A级装饰材料；主材选用非燃性或难燃性材料外，其它材料尽可能选用难燃性材料。</w:t>
      </w:r>
    </w:p>
    <w:p w14:paraId="3E4D3290">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柴油发电机房</w:t>
      </w:r>
      <w:r>
        <w:rPr>
          <w:rFonts w:hint="eastAsia" w:ascii="宋体" w:hAnsi="宋体" w:eastAsia="宋体" w:cs="宋体"/>
          <w:b/>
          <w:sz w:val="24"/>
          <w:szCs w:val="24"/>
        </w:rPr>
        <w:t>装饰装修</w:t>
      </w:r>
    </w:p>
    <w:p w14:paraId="74DF130D">
      <w:pPr>
        <w:pStyle w:val="216"/>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1、在柴油发电机房装饰装修前，柴油发电机房区域顶部的风管、喷淋需拆除完成。另外配电间内的灯具、烟感探测器拆除，顶部消防喷淋需拆除或移除。</w:t>
      </w:r>
    </w:p>
    <w:p w14:paraId="6EF48CEC">
      <w:pPr>
        <w:pStyle w:val="216"/>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t>2、柴油发电机房</w:t>
      </w:r>
      <w:r>
        <w:rPr>
          <w:rFonts w:hint="eastAsia" w:ascii="宋体" w:hAnsi="宋体" w:eastAsia="宋体" w:cs="宋体"/>
          <w:sz w:val="24"/>
          <w:szCs w:val="24"/>
        </w:rPr>
        <w:t>装饰装修工程主要包括</w:t>
      </w:r>
      <w:r>
        <w:rPr>
          <w:rFonts w:hint="eastAsia" w:ascii="宋体" w:hAnsi="宋体" w:eastAsia="宋体" w:cs="宋体"/>
          <w:sz w:val="24"/>
          <w:szCs w:val="24"/>
          <w:lang w:val="en-US" w:eastAsia="zh-CN"/>
        </w:rPr>
        <w:t>地面</w:t>
      </w:r>
      <w:r>
        <w:rPr>
          <w:rFonts w:hint="eastAsia" w:ascii="宋体" w:hAnsi="宋体" w:eastAsia="宋体" w:cs="宋体"/>
          <w:sz w:val="24"/>
          <w:szCs w:val="24"/>
        </w:rPr>
        <w:t>、墙柱面、吊顶、门窗、防尘处理、</w:t>
      </w:r>
      <w:r>
        <w:rPr>
          <w:rFonts w:hint="eastAsia" w:ascii="宋体" w:hAnsi="宋体" w:eastAsia="宋体" w:cs="宋体"/>
          <w:sz w:val="24"/>
          <w:szCs w:val="24"/>
          <w:lang w:val="en-US" w:eastAsia="zh-CN"/>
        </w:rPr>
        <w:t>防水、</w:t>
      </w:r>
      <w:r>
        <w:rPr>
          <w:rFonts w:hint="eastAsia" w:ascii="宋体" w:hAnsi="宋体" w:eastAsia="宋体" w:cs="宋体"/>
          <w:sz w:val="24"/>
          <w:szCs w:val="24"/>
        </w:rPr>
        <w:t>防火处理。</w:t>
      </w:r>
    </w:p>
    <w:p w14:paraId="7D4CA66D">
      <w:pPr>
        <w:pStyle w:val="216"/>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主材选择原则：</w:t>
      </w:r>
      <w:r>
        <w:rPr>
          <w:rFonts w:hint="eastAsia" w:ascii="宋体" w:hAnsi="宋体" w:eastAsia="宋体" w:cs="宋体"/>
          <w:sz w:val="24"/>
          <w:szCs w:val="24"/>
          <w:lang w:val="en-US" w:eastAsia="zh-CN"/>
        </w:rPr>
        <w:t>配电间</w:t>
      </w:r>
      <w:r>
        <w:rPr>
          <w:rFonts w:hint="eastAsia" w:ascii="宋体" w:hAnsi="宋体" w:eastAsia="宋体" w:cs="宋体"/>
          <w:sz w:val="24"/>
          <w:szCs w:val="24"/>
        </w:rPr>
        <w:t>对防火的要求较高，在选择装修材料时必需考虑到防火的要求。由于</w:t>
      </w:r>
      <w:r>
        <w:rPr>
          <w:rFonts w:hint="eastAsia" w:ascii="宋体" w:hAnsi="宋体" w:eastAsia="宋体" w:cs="宋体"/>
          <w:sz w:val="24"/>
          <w:szCs w:val="24"/>
          <w:lang w:val="en-US" w:eastAsia="zh-CN"/>
        </w:rPr>
        <w:t>配电</w:t>
      </w:r>
      <w:r>
        <w:rPr>
          <w:rFonts w:hint="eastAsia" w:ascii="宋体" w:hAnsi="宋体" w:eastAsia="宋体" w:cs="宋体"/>
          <w:sz w:val="24"/>
          <w:szCs w:val="24"/>
        </w:rPr>
        <w:t>设备对周围环境要求高，选用的装饰材料还应满足气密性好、不起尘、易清洁、防火性好、并在温、湿度变化作用下变形小等条件。</w:t>
      </w:r>
    </w:p>
    <w:p w14:paraId="425F305B">
      <w:pPr>
        <w:pStyle w:val="216"/>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4、柴油发电机房</w:t>
      </w:r>
      <w:r>
        <w:rPr>
          <w:rFonts w:hint="eastAsia" w:ascii="宋体" w:hAnsi="宋体" w:eastAsia="宋体" w:cs="宋体"/>
          <w:sz w:val="24"/>
          <w:szCs w:val="24"/>
        </w:rPr>
        <w:t>地面</w:t>
      </w:r>
      <w:r>
        <w:rPr>
          <w:rFonts w:hint="eastAsia" w:ascii="宋体" w:hAnsi="宋体" w:eastAsia="宋体" w:cs="宋体"/>
          <w:sz w:val="24"/>
          <w:szCs w:val="24"/>
          <w:lang w:val="en-US" w:eastAsia="zh-CN"/>
        </w:rPr>
        <w:t>采用原有的环氧树脂自流平，局部修补与原地面颜色接近。</w:t>
      </w:r>
    </w:p>
    <w:p w14:paraId="482864E4">
      <w:pPr>
        <w:pStyle w:val="216"/>
        <w:spacing w:line="360" w:lineRule="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5、新砌</w:t>
      </w:r>
      <w:r>
        <w:rPr>
          <w:rFonts w:hint="eastAsia" w:ascii="宋体" w:hAnsi="宋体" w:eastAsia="宋体" w:cs="宋体"/>
          <w:sz w:val="24"/>
          <w:szCs w:val="24"/>
        </w:rPr>
        <w:t>墙</w:t>
      </w:r>
      <w:r>
        <w:rPr>
          <w:rFonts w:hint="eastAsia" w:ascii="宋体" w:hAnsi="宋体" w:eastAsia="宋体" w:cs="宋体"/>
          <w:sz w:val="24"/>
          <w:szCs w:val="24"/>
          <w:lang w:val="en-US" w:eastAsia="zh-CN"/>
        </w:rPr>
        <w:t>面首先</w:t>
      </w:r>
      <w:r>
        <w:rPr>
          <w:rFonts w:hint="eastAsia" w:ascii="宋体" w:hAnsi="宋体" w:eastAsia="宋体" w:cs="宋体"/>
          <w:sz w:val="24"/>
          <w:szCs w:val="24"/>
        </w:rPr>
        <w:t>摸灰修补并刷白色乳胶漆</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并保持与原有墙面颜色接近</w:t>
      </w:r>
      <w:r>
        <w:rPr>
          <w:rFonts w:hint="eastAsia" w:ascii="宋体" w:hAnsi="宋体" w:eastAsia="宋体" w:cs="宋体"/>
          <w:sz w:val="24"/>
          <w:szCs w:val="24"/>
          <w:lang w:eastAsia="zh-CN"/>
        </w:rPr>
        <w:t>。</w:t>
      </w:r>
    </w:p>
    <w:p w14:paraId="079215B4">
      <w:pPr>
        <w:pStyle w:val="216"/>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6、由于柴油发电机在启动运行时，会产生很大噪声，在柴油发电机房装修各面墙均贴装微孔吸声板，对柴油发电机房内的噪声进行吸声处理。</w:t>
      </w:r>
    </w:p>
    <w:p w14:paraId="2BAF5B92">
      <w:pPr>
        <w:pStyle w:val="216"/>
        <w:spacing w:line="360" w:lineRule="auto"/>
        <w:rPr>
          <w:rFonts w:hint="eastAsia" w:ascii="宋体" w:hAnsi="宋体" w:eastAsia="宋体" w:cs="宋体"/>
          <w:sz w:val="24"/>
          <w:szCs w:val="24"/>
          <w:lang w:val="en-US" w:eastAsia="zh-CN" w:bidi="mn-Mong-CN"/>
        </w:rPr>
      </w:pPr>
      <w:r>
        <w:rPr>
          <w:rFonts w:hint="eastAsia" w:ascii="宋体" w:hAnsi="宋体" w:eastAsia="宋体" w:cs="宋体"/>
          <w:sz w:val="24"/>
          <w:szCs w:val="24"/>
          <w:lang w:val="en-US" w:eastAsia="zh-CN" w:bidi="mn-Mong-CN"/>
        </w:rPr>
        <w:t>7、顶面局部修补，保持原有顶面颜色。</w:t>
      </w:r>
    </w:p>
    <w:p w14:paraId="3AADA321">
      <w:pPr>
        <w:pStyle w:val="216"/>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t>8、柴油发电机房</w:t>
      </w:r>
      <w:r>
        <w:rPr>
          <w:rFonts w:hint="eastAsia" w:ascii="宋体" w:hAnsi="宋体" w:eastAsia="宋体" w:cs="宋体"/>
          <w:sz w:val="24"/>
          <w:szCs w:val="24"/>
        </w:rPr>
        <w:t>出入口安装</w:t>
      </w:r>
      <w:r>
        <w:rPr>
          <w:rFonts w:hint="eastAsia" w:ascii="宋体" w:hAnsi="宋体" w:eastAsia="宋体" w:cs="宋体"/>
          <w:sz w:val="24"/>
          <w:szCs w:val="24"/>
          <w:lang w:val="en-US" w:eastAsia="zh-CN"/>
        </w:rPr>
        <w:t>1樘双开甲级</w:t>
      </w:r>
      <w:r>
        <w:rPr>
          <w:rFonts w:hint="eastAsia" w:ascii="宋体" w:hAnsi="宋体" w:eastAsia="宋体" w:cs="宋体"/>
          <w:sz w:val="24"/>
          <w:szCs w:val="24"/>
        </w:rPr>
        <w:t>防火门，</w:t>
      </w:r>
      <w:r>
        <w:rPr>
          <w:rFonts w:hint="eastAsia" w:ascii="宋体" w:hAnsi="宋体" w:eastAsia="宋体" w:cs="宋体"/>
          <w:sz w:val="24"/>
          <w:szCs w:val="24"/>
          <w:lang w:val="en-US" w:eastAsia="zh-CN"/>
        </w:rPr>
        <w:t>建议尺寸1500*2300mm，方便设备进入，防火门</w:t>
      </w:r>
      <w:r>
        <w:rPr>
          <w:rFonts w:hint="eastAsia" w:ascii="宋体" w:hAnsi="宋体" w:eastAsia="宋体" w:cs="宋体"/>
          <w:sz w:val="24"/>
          <w:szCs w:val="24"/>
        </w:rPr>
        <w:t>配置</w:t>
      </w:r>
      <w:r>
        <w:rPr>
          <w:rFonts w:hint="eastAsia" w:ascii="宋体" w:hAnsi="宋体" w:eastAsia="宋体" w:cs="宋体"/>
          <w:sz w:val="24"/>
          <w:szCs w:val="24"/>
          <w:lang w:val="en-US" w:eastAsia="zh-CN"/>
        </w:rPr>
        <w:t>人脸识别</w:t>
      </w:r>
      <w:r>
        <w:rPr>
          <w:rFonts w:hint="eastAsia" w:ascii="宋体" w:hAnsi="宋体" w:eastAsia="宋体" w:cs="宋体"/>
          <w:sz w:val="24"/>
          <w:szCs w:val="24"/>
        </w:rPr>
        <w:t>门禁系统，可以对人员进出进行控制及记录。门禁系统接入动环</w:t>
      </w:r>
      <w:r>
        <w:rPr>
          <w:rFonts w:hint="eastAsia" w:ascii="宋体" w:hAnsi="宋体" w:eastAsia="宋体" w:cs="宋体"/>
          <w:sz w:val="24"/>
          <w:szCs w:val="24"/>
          <w:lang w:val="en-US" w:eastAsia="zh-CN"/>
        </w:rPr>
        <w:t>监控管理系统</w:t>
      </w:r>
      <w:r>
        <w:rPr>
          <w:rFonts w:hint="eastAsia" w:ascii="宋体" w:hAnsi="宋体" w:eastAsia="宋体" w:cs="宋体"/>
          <w:sz w:val="24"/>
          <w:szCs w:val="24"/>
        </w:rPr>
        <w:t>，与消防</w:t>
      </w:r>
      <w:r>
        <w:rPr>
          <w:rFonts w:hint="eastAsia" w:ascii="宋体" w:hAnsi="宋体" w:eastAsia="宋体" w:cs="宋体"/>
          <w:sz w:val="24"/>
          <w:szCs w:val="24"/>
          <w:lang w:val="en-US" w:eastAsia="zh-CN"/>
        </w:rPr>
        <w:t>系统</w:t>
      </w:r>
      <w:r>
        <w:rPr>
          <w:rFonts w:hint="eastAsia" w:ascii="宋体" w:hAnsi="宋体" w:eastAsia="宋体" w:cs="宋体"/>
          <w:sz w:val="24"/>
          <w:szCs w:val="24"/>
        </w:rPr>
        <w:t>联动。</w:t>
      </w:r>
    </w:p>
    <w:p w14:paraId="57C672F4">
      <w:pPr>
        <w:pStyle w:val="216"/>
        <w:spacing w:line="360" w:lineRule="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val="en-US" w:eastAsia="zh-CN"/>
        </w:rPr>
        <w:t>9、</w:t>
      </w:r>
      <w:r>
        <w:rPr>
          <w:rFonts w:hint="eastAsia" w:ascii="宋体" w:hAnsi="宋体" w:eastAsia="宋体" w:cs="宋体"/>
          <w:b w:val="0"/>
          <w:bCs w:val="0"/>
          <w:sz w:val="24"/>
          <w:szCs w:val="24"/>
        </w:rPr>
        <w:t>柴油发电机房防护措施</w:t>
      </w:r>
    </w:p>
    <w:p w14:paraId="38ED2C04">
      <w:pPr>
        <w:pStyle w:val="217"/>
        <w:spacing w:line="360" w:lineRule="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1）、</w:t>
      </w:r>
      <w:r>
        <w:rPr>
          <w:rFonts w:hint="eastAsia" w:ascii="宋体" w:hAnsi="宋体" w:eastAsia="宋体" w:cs="宋体"/>
          <w:b w:val="0"/>
          <w:bCs w:val="0"/>
          <w:sz w:val="24"/>
          <w:szCs w:val="24"/>
        </w:rPr>
        <w:t>防水措施</w:t>
      </w:r>
    </w:p>
    <w:p w14:paraId="3397B570">
      <w:pPr>
        <w:pStyle w:val="217"/>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在柴油发电机房门口砌筑500mm高挡水台，防止室外雨水流入配电室。</w:t>
      </w:r>
    </w:p>
    <w:p w14:paraId="7118DB31">
      <w:pPr>
        <w:pStyle w:val="217"/>
        <w:numPr>
          <w:ilvl w:val="0"/>
          <w:numId w:val="2"/>
        </w:numPr>
        <w:spacing w:line="360" w:lineRule="auto"/>
        <w:ind w:left="0" w:leftChars="0" w:firstLine="480" w:firstLineChars="200"/>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w:t>
      </w:r>
      <w:r>
        <w:rPr>
          <w:rFonts w:hint="eastAsia" w:ascii="宋体" w:hAnsi="宋体" w:eastAsia="宋体" w:cs="宋体"/>
          <w:b w:val="0"/>
          <w:bCs w:val="0"/>
          <w:sz w:val="24"/>
          <w:szCs w:val="24"/>
        </w:rPr>
        <w:t>防火措施</w:t>
      </w:r>
    </w:p>
    <w:p w14:paraId="1A18E9B7">
      <w:pPr>
        <w:pStyle w:val="216"/>
        <w:spacing w:line="360" w:lineRule="auto"/>
        <w:rPr>
          <w:rFonts w:hint="eastAsia" w:ascii="宋体" w:hAnsi="宋体" w:eastAsia="宋体" w:cs="宋体"/>
          <w:sz w:val="24"/>
          <w:szCs w:val="24"/>
        </w:rPr>
      </w:pPr>
      <w:r>
        <w:rPr>
          <w:rFonts w:hint="eastAsia" w:ascii="宋体" w:hAnsi="宋体" w:eastAsia="宋体" w:cs="宋体"/>
          <w:sz w:val="24"/>
          <w:szCs w:val="24"/>
        </w:rPr>
        <w:t>配电间装饰材料均应采用A级装饰材料；主材选用非燃性或难燃性材料外，其它材料尽可能选用难燃性材料。</w:t>
      </w:r>
    </w:p>
    <w:p w14:paraId="41460F54">
      <w:pPr>
        <w:pStyle w:val="3"/>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配电系统</w:t>
      </w:r>
    </w:p>
    <w:p w14:paraId="1DB1C7FF">
      <w:pPr>
        <w:pStyle w:val="4"/>
        <w:bidi w:val="0"/>
        <w:spacing w:line="360" w:lineRule="auto"/>
        <w:rPr>
          <w:rFonts w:hint="eastAsia" w:ascii="宋体" w:hAnsi="宋体" w:eastAsia="宋体" w:cs="宋体"/>
          <w:sz w:val="24"/>
          <w:szCs w:val="24"/>
          <w:lang w:val="en-US" w:eastAsia="zh-CN"/>
        </w:rPr>
      </w:pPr>
      <w:bookmarkStart w:id="74" w:name="_Toc294385516"/>
      <w:bookmarkStart w:id="75" w:name="_Toc239156411"/>
      <w:bookmarkStart w:id="76" w:name="_Toc310861159"/>
      <w:r>
        <w:rPr>
          <w:rFonts w:hint="eastAsia" w:ascii="宋体" w:hAnsi="宋体" w:eastAsia="宋体" w:cs="宋体"/>
          <w:sz w:val="24"/>
          <w:szCs w:val="24"/>
          <w:lang w:val="en-US" w:eastAsia="zh-CN"/>
        </w:rPr>
        <w:t>低压配电柜</w:t>
      </w:r>
      <w:bookmarkEnd w:id="74"/>
      <w:bookmarkEnd w:id="75"/>
      <w:bookmarkEnd w:id="76"/>
    </w:p>
    <w:p w14:paraId="3B0F861D">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rPr>
        <w:t>本项目低压配电柜包括：ATS切换柜</w:t>
      </w:r>
      <w:r>
        <w:rPr>
          <w:rFonts w:hint="eastAsia" w:ascii="宋体" w:hAnsi="宋体" w:eastAsia="宋体" w:cs="宋体"/>
          <w:sz w:val="24"/>
          <w:szCs w:val="24"/>
          <w:lang w:val="en-US" w:eastAsia="zh-CN"/>
        </w:rPr>
        <w:t>A1 1台、</w:t>
      </w:r>
      <w:r>
        <w:rPr>
          <w:rFonts w:hint="eastAsia" w:ascii="宋体" w:hAnsi="宋体" w:eastAsia="宋体" w:cs="宋体"/>
          <w:sz w:val="24"/>
          <w:szCs w:val="24"/>
        </w:rPr>
        <w:t>ATS切换柜</w:t>
      </w:r>
      <w:r>
        <w:rPr>
          <w:rFonts w:hint="eastAsia" w:ascii="宋体" w:hAnsi="宋体" w:eastAsia="宋体" w:cs="宋体"/>
          <w:sz w:val="24"/>
          <w:szCs w:val="24"/>
          <w:lang w:val="en-US" w:eastAsia="zh-CN"/>
        </w:rPr>
        <w:t>B1 1台、UPS输入输出柜（兼旁路柜） 1台</w:t>
      </w:r>
      <w:r>
        <w:rPr>
          <w:rFonts w:hint="eastAsia" w:ascii="宋体" w:hAnsi="宋体" w:eastAsia="宋体" w:cs="宋体"/>
          <w:sz w:val="24"/>
          <w:szCs w:val="24"/>
        </w:rPr>
        <w:t>、输出柜</w:t>
      </w:r>
      <w:r>
        <w:rPr>
          <w:rFonts w:hint="eastAsia" w:ascii="宋体" w:hAnsi="宋体" w:eastAsia="宋体" w:cs="宋体"/>
          <w:sz w:val="24"/>
          <w:szCs w:val="24"/>
          <w:lang w:val="en-US" w:eastAsia="zh-CN"/>
        </w:rPr>
        <w:t>A1、UPS输入输出柜（兼旁路柜）B1 1台及油机馈线柜 1台，每台配电柜具体配置详见</w:t>
      </w:r>
      <w:r>
        <w:rPr>
          <w:rFonts w:hint="eastAsia" w:ascii="宋体" w:hAnsi="宋体" w:eastAsia="宋体" w:cs="宋体"/>
          <w:color w:val="000000"/>
          <w:sz w:val="24"/>
          <w:szCs w:val="24"/>
        </w:rPr>
        <w:t>供货</w:t>
      </w:r>
      <w:r>
        <w:rPr>
          <w:rFonts w:hint="eastAsia" w:ascii="宋体" w:hAnsi="宋体" w:eastAsia="宋体" w:cs="宋体"/>
          <w:color w:val="000000"/>
          <w:sz w:val="24"/>
          <w:szCs w:val="24"/>
          <w:lang w:val="en-US" w:eastAsia="zh-CN"/>
        </w:rPr>
        <w:t>清单的技术要求</w:t>
      </w:r>
      <w:r>
        <w:rPr>
          <w:rFonts w:hint="eastAsia" w:ascii="宋体" w:hAnsi="宋体" w:eastAsia="宋体" w:cs="宋体"/>
          <w:sz w:val="24"/>
          <w:szCs w:val="24"/>
        </w:rPr>
        <w:t>。</w:t>
      </w:r>
    </w:p>
    <w:p w14:paraId="38E5EE57">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满足本工程设计图纸要求，符合现行国家标准、技术标准和规范。</w:t>
      </w:r>
    </w:p>
    <w:p w14:paraId="58FBD8C1">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进出线方式：</w:t>
      </w:r>
      <w:r>
        <w:rPr>
          <w:rFonts w:hint="eastAsia" w:ascii="宋体" w:hAnsi="宋体" w:eastAsia="宋体" w:cs="宋体"/>
          <w:sz w:val="24"/>
          <w:szCs w:val="24"/>
          <w:lang w:val="en-US" w:eastAsia="zh-CN"/>
        </w:rPr>
        <w:t>上进上出</w:t>
      </w:r>
      <w:r>
        <w:rPr>
          <w:rFonts w:hint="eastAsia" w:ascii="宋体" w:hAnsi="宋体" w:eastAsia="宋体" w:cs="宋体"/>
          <w:sz w:val="24"/>
          <w:szCs w:val="24"/>
        </w:rPr>
        <w:t>，满足设计要求。</w:t>
      </w:r>
    </w:p>
    <w:p w14:paraId="36E5EB24">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柜体防护等级：IP30。</w:t>
      </w:r>
    </w:p>
    <w:p w14:paraId="78FC84F1">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4、</w:t>
      </w:r>
      <w:r>
        <w:rPr>
          <w:rFonts w:hint="eastAsia" w:ascii="宋体" w:hAnsi="宋体" w:eastAsia="宋体" w:cs="宋体"/>
          <w:sz w:val="24"/>
          <w:szCs w:val="24"/>
        </w:rPr>
        <w:t>维护方式：低压柜能够进行双面维护。</w:t>
      </w:r>
    </w:p>
    <w:p w14:paraId="690991D2">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5、</w:t>
      </w:r>
      <w:r>
        <w:rPr>
          <w:rFonts w:hint="eastAsia" w:ascii="宋体" w:hAnsi="宋体" w:eastAsia="宋体" w:cs="宋体"/>
          <w:sz w:val="24"/>
          <w:szCs w:val="24"/>
        </w:rPr>
        <w:t>气候环境：满足当地市气候环境要求。</w:t>
      </w:r>
    </w:p>
    <w:p w14:paraId="0A118252">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6、</w:t>
      </w:r>
      <w:r>
        <w:rPr>
          <w:rFonts w:hint="eastAsia" w:ascii="宋体" w:hAnsi="宋体" w:eastAsia="宋体" w:cs="宋体"/>
          <w:sz w:val="24"/>
          <w:szCs w:val="24"/>
        </w:rPr>
        <w:t>断路器部分：配电柜内部断路器应全部采用</w:t>
      </w:r>
      <w:r>
        <w:rPr>
          <w:rFonts w:hint="eastAsia" w:ascii="宋体" w:hAnsi="宋体" w:eastAsia="宋体" w:cs="宋体"/>
          <w:sz w:val="24"/>
          <w:szCs w:val="24"/>
          <w:lang w:val="en-US" w:eastAsia="zh-CN"/>
        </w:rPr>
        <w:t>优质产品</w:t>
      </w:r>
      <w:r>
        <w:rPr>
          <w:rFonts w:hint="eastAsia" w:ascii="宋体" w:hAnsi="宋体" w:eastAsia="宋体" w:cs="宋体"/>
          <w:sz w:val="24"/>
          <w:szCs w:val="24"/>
        </w:rPr>
        <w:t>。</w:t>
      </w:r>
    </w:p>
    <w:p w14:paraId="17E803AA">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7、</w:t>
      </w:r>
      <w:r>
        <w:rPr>
          <w:rFonts w:hint="eastAsia" w:ascii="宋体" w:hAnsi="宋体" w:eastAsia="宋体" w:cs="宋体"/>
          <w:sz w:val="24"/>
          <w:szCs w:val="24"/>
        </w:rPr>
        <w:t>柜体</w:t>
      </w:r>
      <w:r>
        <w:rPr>
          <w:rFonts w:hint="eastAsia" w:ascii="宋体" w:hAnsi="宋体" w:eastAsia="宋体" w:cs="宋体"/>
          <w:sz w:val="24"/>
          <w:szCs w:val="24"/>
          <w:lang w:val="en-US" w:eastAsia="zh-CN"/>
        </w:rPr>
        <w:t>采用国产常用的柜体，</w:t>
      </w:r>
      <w:r>
        <w:rPr>
          <w:rFonts w:hint="eastAsia" w:ascii="宋体" w:hAnsi="宋体" w:eastAsia="宋体" w:cs="宋体"/>
          <w:sz w:val="24"/>
          <w:szCs w:val="24"/>
        </w:rPr>
        <w:t>采用优质覆铝锌板材，板材厚度不小于2.0毫米，且组装牢固</w:t>
      </w:r>
      <w:r>
        <w:rPr>
          <w:rFonts w:hint="eastAsia" w:ascii="宋体" w:hAnsi="宋体" w:eastAsia="宋体" w:cs="宋体"/>
          <w:sz w:val="24"/>
          <w:szCs w:val="24"/>
          <w:lang w:eastAsia="zh-CN"/>
        </w:rPr>
        <w:t>，金属板必须可靠接地</w:t>
      </w:r>
      <w:r>
        <w:rPr>
          <w:rFonts w:hint="eastAsia" w:ascii="宋体" w:hAnsi="宋体" w:eastAsia="宋体" w:cs="宋体"/>
          <w:sz w:val="24"/>
          <w:szCs w:val="24"/>
        </w:rPr>
        <w:t>；柜体的前、后门为网孔状通风散热，柜体必须为全封闭型，柜体正面柜门应安装钢质隔板，柜门上须装防尘垫，安装锁。</w:t>
      </w:r>
    </w:p>
    <w:p w14:paraId="42DC5DB7">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8、</w:t>
      </w:r>
      <w:r>
        <w:rPr>
          <w:rFonts w:hint="eastAsia" w:ascii="宋体" w:hAnsi="宋体" w:eastAsia="宋体" w:cs="宋体"/>
          <w:sz w:val="24"/>
          <w:szCs w:val="24"/>
        </w:rPr>
        <w:t>柜体的前后门及其外表面均应进行环氧粉末喷涂处理，喷涂厚度不小于50微米，涂层应美观、牢固、耐腐蚀、抗冲击、不反光。所有柜内的零件、螺钉、电缆攀附的支架等均应镀锌，并达到耐盐雾腐蚀的标准。</w:t>
      </w:r>
    </w:p>
    <w:p w14:paraId="7F33C58B">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9、</w:t>
      </w:r>
      <w:r>
        <w:rPr>
          <w:rFonts w:hint="eastAsia" w:ascii="宋体" w:hAnsi="宋体" w:eastAsia="宋体" w:cs="宋体"/>
          <w:sz w:val="24"/>
          <w:szCs w:val="24"/>
        </w:rPr>
        <w:t>柜体设计强度应保证电气部件之后，表面应采用环氧树脂粉末抗静电喷涂的处理方式，备表面应喷涂无炫目反光的覆盖层，表面光洁、色泽均匀、无流挂、无露底；金属件无毛刺、无锈蚀，柜体不得出现变形、撕裂、脱落等缺隙，边角应进行到边倒角处理，颜色</w:t>
      </w:r>
      <w:r>
        <w:rPr>
          <w:rFonts w:hint="eastAsia" w:ascii="宋体" w:hAnsi="宋体" w:eastAsia="宋体" w:cs="宋体"/>
          <w:sz w:val="24"/>
          <w:szCs w:val="24"/>
          <w:lang w:val="en-US" w:eastAsia="zh-CN"/>
        </w:rPr>
        <w:t>黑色</w:t>
      </w:r>
      <w:r>
        <w:rPr>
          <w:rFonts w:hint="eastAsia" w:ascii="宋体" w:hAnsi="宋体" w:eastAsia="宋体" w:cs="宋体"/>
          <w:sz w:val="24"/>
          <w:szCs w:val="24"/>
        </w:rPr>
        <w:t>。</w:t>
      </w:r>
    </w:p>
    <w:p w14:paraId="098BF020">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10、</w:t>
      </w:r>
      <w:r>
        <w:rPr>
          <w:rFonts w:hint="eastAsia" w:ascii="宋体" w:hAnsi="宋体" w:eastAsia="宋体" w:cs="宋体"/>
          <w:sz w:val="24"/>
          <w:szCs w:val="24"/>
        </w:rPr>
        <w:t>柜体联屏母线应采用独立全绝缘、高导电率铜制导体。柜体内一、二次连接铜排的电解铜含量大于99.9%以上。母排表面应光洁并进行防氧化处理。柜内N排的截面积规格要求和相排一致，PE排须为相排50%的载流量。所有母排支架和绝缘件均具有防潮、阻燃、自熄灭性能，且无毒害。</w:t>
      </w:r>
    </w:p>
    <w:p w14:paraId="3CD16A8C">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11、</w:t>
      </w:r>
      <w:r>
        <w:rPr>
          <w:rFonts w:hint="eastAsia" w:ascii="宋体" w:hAnsi="宋体" w:eastAsia="宋体" w:cs="宋体"/>
          <w:sz w:val="24"/>
          <w:szCs w:val="24"/>
        </w:rPr>
        <w:t>柜内相线铜排应有清晰的相线标识指示，开关柜前后门头应标明柜型、柜号、柜名，每个回路的出线均应标注回路名称，且不易掉落、污损，便于运行操作人员观察。</w:t>
      </w:r>
    </w:p>
    <w:p w14:paraId="7E9A12E3">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12、</w:t>
      </w:r>
      <w:r>
        <w:rPr>
          <w:rFonts w:hint="eastAsia" w:ascii="宋体" w:hAnsi="宋体" w:eastAsia="宋体" w:cs="宋体"/>
          <w:sz w:val="24"/>
          <w:szCs w:val="24"/>
        </w:rPr>
        <w:t>配置</w:t>
      </w:r>
      <w:r>
        <w:rPr>
          <w:rFonts w:hint="eastAsia" w:ascii="宋体" w:hAnsi="宋体" w:eastAsia="宋体" w:cs="宋体"/>
          <w:sz w:val="24"/>
          <w:szCs w:val="24"/>
          <w:lang w:val="en-US" w:eastAsia="zh-CN"/>
        </w:rPr>
        <w:t>智能仪表</w:t>
      </w:r>
      <w:r>
        <w:rPr>
          <w:rFonts w:hint="eastAsia" w:ascii="宋体" w:hAnsi="宋体" w:eastAsia="宋体" w:cs="宋体"/>
          <w:sz w:val="24"/>
          <w:szCs w:val="24"/>
        </w:rPr>
        <w:t>，用于集中监测电压、电流、频率、功率等电量参数；有电源指示灯，电量仪具有声光报警和远程通讯监控接口（RS-232与RS-485）、MODBUS标准协议，方便进行网络通讯，可接入</w:t>
      </w:r>
      <w:r>
        <w:rPr>
          <w:rFonts w:hint="eastAsia" w:ascii="宋体" w:hAnsi="宋体" w:eastAsia="宋体" w:cs="宋体"/>
          <w:sz w:val="24"/>
          <w:szCs w:val="24"/>
          <w:lang w:val="en-US" w:eastAsia="zh-CN"/>
        </w:rPr>
        <w:t>动环</w:t>
      </w:r>
      <w:r>
        <w:rPr>
          <w:rFonts w:hint="eastAsia" w:ascii="宋体" w:hAnsi="宋体" w:eastAsia="宋体" w:cs="宋体"/>
          <w:sz w:val="24"/>
          <w:szCs w:val="24"/>
        </w:rPr>
        <w:t>监控系统。</w:t>
      </w:r>
    </w:p>
    <w:p w14:paraId="751A781A">
      <w:pPr>
        <w:pStyle w:val="220"/>
        <w:spacing w:afterLines="0" w:line="360" w:lineRule="auto"/>
        <w:ind w:firstLine="48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highlight w:val="none"/>
          <w:lang w:val="en-US" w:eastAsia="zh-CN"/>
        </w:rPr>
        <w:t>3、一</w:t>
      </w:r>
      <w:r>
        <w:rPr>
          <w:rFonts w:hint="eastAsia" w:ascii="宋体" w:hAnsi="宋体" w:eastAsia="宋体" w:cs="宋体"/>
          <w:sz w:val="24"/>
          <w:szCs w:val="24"/>
          <w:highlight w:val="none"/>
        </w:rPr>
        <w:t>年质保。</w:t>
      </w:r>
    </w:p>
    <w:p w14:paraId="45BFB6E7">
      <w:pPr>
        <w:pStyle w:val="4"/>
        <w:bidi w:val="0"/>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t xml:space="preserve">600KVA </w:t>
      </w:r>
      <w:r>
        <w:rPr>
          <w:rFonts w:hint="eastAsia" w:ascii="宋体" w:hAnsi="宋体" w:eastAsia="宋体" w:cs="宋体"/>
          <w:sz w:val="24"/>
          <w:szCs w:val="24"/>
        </w:rPr>
        <w:t>UPS主机</w:t>
      </w:r>
    </w:p>
    <w:p w14:paraId="33236574">
      <w:pPr>
        <w:widowControl/>
        <w:spacing w:line="360" w:lineRule="auto"/>
        <w:ind w:firstLine="480" w:firstLineChars="200"/>
        <w:rPr>
          <w:rFonts w:hint="eastAsia" w:ascii="宋体" w:hAnsi="宋体" w:eastAsia="宋体" w:cs="宋体"/>
          <w:color w:val="000000"/>
          <w:sz w:val="24"/>
          <w:szCs w:val="24"/>
          <w:lang w:val="en-US"/>
        </w:rPr>
      </w:pPr>
      <w:r>
        <w:rPr>
          <w:rFonts w:hint="eastAsia" w:ascii="宋体" w:hAnsi="宋体" w:eastAsia="宋体" w:cs="宋体"/>
          <w:sz w:val="24"/>
          <w:szCs w:val="24"/>
          <w:lang w:val="en-US" w:eastAsia="zh-CN"/>
        </w:rPr>
        <w:t>配电间</w:t>
      </w:r>
      <w:r>
        <w:rPr>
          <w:rFonts w:hint="eastAsia" w:ascii="宋体" w:hAnsi="宋体" w:eastAsia="宋体" w:cs="宋体"/>
          <w:color w:val="000000"/>
          <w:sz w:val="24"/>
          <w:szCs w:val="24"/>
          <w:lang w:val="en-US" w:eastAsia="zh-CN"/>
        </w:rPr>
        <w:t>内安装1套UPS系统，主要包含1台600KVA UPS主机、4组蓄电池组（</w:t>
      </w:r>
      <w:r>
        <w:rPr>
          <w:rFonts w:hint="eastAsia" w:ascii="宋体" w:hAnsi="宋体" w:eastAsia="宋体" w:cs="宋体"/>
          <w:color w:val="000000"/>
          <w:kern w:val="0"/>
          <w:sz w:val="24"/>
          <w:szCs w:val="24"/>
          <w:lang w:val="en-US" w:eastAsia="zh-CN"/>
        </w:rPr>
        <w:t>4组</w:t>
      </w:r>
      <w:r>
        <w:rPr>
          <w:rFonts w:hint="eastAsia" w:ascii="宋体" w:hAnsi="宋体" w:eastAsia="宋体" w:cs="宋体"/>
          <w:color w:val="000000"/>
          <w:kern w:val="0"/>
          <w:sz w:val="24"/>
          <w:szCs w:val="24"/>
        </w:rPr>
        <w:t>12V</w:t>
      </w:r>
      <w:r>
        <w:rPr>
          <w:rFonts w:hint="eastAsia" w:ascii="宋体" w:hAnsi="宋体" w:eastAsia="宋体" w:cs="宋体"/>
          <w:color w:val="000000"/>
          <w:kern w:val="0"/>
          <w:sz w:val="24"/>
          <w:szCs w:val="24"/>
          <w:lang w:val="en-US" w:eastAsia="zh-CN"/>
        </w:rPr>
        <w:t xml:space="preserve"> 25</w:t>
      </w:r>
      <w:r>
        <w:rPr>
          <w:rFonts w:hint="eastAsia" w:ascii="宋体" w:hAnsi="宋体" w:eastAsia="宋体" w:cs="宋体"/>
          <w:color w:val="000000"/>
          <w:kern w:val="0"/>
          <w:sz w:val="24"/>
          <w:szCs w:val="24"/>
        </w:rPr>
        <w:t>0Ah铅酸</w:t>
      </w:r>
      <w:r>
        <w:rPr>
          <w:rFonts w:hint="eastAsia" w:ascii="宋体" w:hAnsi="宋体" w:eastAsia="宋体" w:cs="宋体"/>
          <w:color w:val="000000"/>
          <w:kern w:val="0"/>
          <w:sz w:val="24"/>
          <w:szCs w:val="24"/>
          <w:lang w:val="en-US" w:eastAsia="zh-CN"/>
        </w:rPr>
        <w:t>蓄电池，每组40节</w:t>
      </w:r>
      <w:r>
        <w:rPr>
          <w:rFonts w:hint="eastAsia" w:ascii="宋体" w:hAnsi="宋体" w:eastAsia="宋体" w:cs="宋体"/>
          <w:color w:val="000000"/>
          <w:sz w:val="24"/>
          <w:szCs w:val="24"/>
          <w:lang w:val="en-US" w:eastAsia="zh-CN"/>
        </w:rPr>
        <w:t>），用于大楼公共区域照明及办公室照明插座供电。</w:t>
      </w:r>
    </w:p>
    <w:p w14:paraId="7D5A5BEA">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★600KVA 模块化UPS，标配1个主输入开关，1个旁路输入开关，1个输出开关，1个维修旁路开关；要求采用不低于7英寸的彩色触摸屏。具备中英文显示，可显示UPS运行状态和相关数据，便于日常维护。</w:t>
      </w:r>
    </w:p>
    <w:p w14:paraId="30EA4DA7">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★为了确保UPS系统的高品质和高可靠性，UPS严禁采用OEM或ODM方式；UPS的核心器件（如整流器和逆变器）必须由原厂制造，严禁采用OEM或ODM方式。需提供</w:t>
      </w:r>
      <w:r>
        <w:rPr>
          <w:rFonts w:hint="eastAsia" w:ascii="宋体" w:hAnsi="宋体" w:eastAsia="宋体" w:cs="宋体"/>
          <w:color w:val="000000"/>
          <w:sz w:val="24"/>
          <w:szCs w:val="24"/>
          <w:lang w:val="en-US" w:eastAsia="zh-CN"/>
        </w:rPr>
        <w:t>国家权威认证</w:t>
      </w:r>
      <w:r>
        <w:rPr>
          <w:rFonts w:hint="eastAsia" w:ascii="宋体" w:hAnsi="宋体" w:eastAsia="宋体" w:cs="宋体"/>
          <w:color w:val="000000"/>
          <w:sz w:val="24"/>
          <w:szCs w:val="24"/>
        </w:rPr>
        <w:t>检测报告。</w:t>
      </w:r>
    </w:p>
    <w:p w14:paraId="760A0C61">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★投标UPS型号在市场经过充分验证，上市时间不小于4年，以</w:t>
      </w:r>
      <w:r>
        <w:rPr>
          <w:rFonts w:hint="eastAsia" w:ascii="宋体" w:hAnsi="宋体" w:eastAsia="宋体" w:cs="宋体"/>
          <w:color w:val="000000"/>
          <w:sz w:val="24"/>
          <w:szCs w:val="24"/>
          <w:lang w:val="en-US" w:eastAsia="zh-CN"/>
        </w:rPr>
        <w:t>国家权威认证</w:t>
      </w:r>
      <w:r>
        <w:rPr>
          <w:rFonts w:hint="eastAsia" w:ascii="宋体" w:hAnsi="宋体" w:eastAsia="宋体" w:cs="宋体"/>
          <w:color w:val="000000"/>
          <w:sz w:val="24"/>
          <w:szCs w:val="24"/>
        </w:rPr>
        <w:t>证书首次颁证日期为准（截至到投标日期），</w:t>
      </w:r>
      <w:r>
        <w:rPr>
          <w:rFonts w:hint="eastAsia" w:ascii="宋体" w:hAnsi="宋体" w:eastAsia="宋体" w:cs="宋体"/>
          <w:color w:val="000000"/>
          <w:sz w:val="24"/>
          <w:szCs w:val="24"/>
          <w:lang w:val="en-US" w:eastAsia="zh-CN"/>
        </w:rPr>
        <w:t>需</w:t>
      </w:r>
      <w:r>
        <w:rPr>
          <w:rFonts w:hint="eastAsia" w:ascii="宋体" w:hAnsi="宋体" w:eastAsia="宋体" w:cs="宋体"/>
          <w:color w:val="000000"/>
          <w:sz w:val="24"/>
          <w:szCs w:val="24"/>
        </w:rPr>
        <w:t>提供</w:t>
      </w:r>
      <w:r>
        <w:rPr>
          <w:rFonts w:hint="eastAsia" w:ascii="宋体" w:hAnsi="宋体" w:eastAsia="宋体" w:cs="宋体"/>
          <w:color w:val="000000"/>
          <w:sz w:val="24"/>
          <w:szCs w:val="24"/>
          <w:lang w:val="en-US" w:eastAsia="zh-CN"/>
        </w:rPr>
        <w:t>国家权威认证</w:t>
      </w:r>
      <w:r>
        <w:rPr>
          <w:rFonts w:hint="eastAsia" w:ascii="宋体" w:hAnsi="宋体" w:eastAsia="宋体" w:cs="宋体"/>
          <w:color w:val="000000"/>
          <w:sz w:val="24"/>
          <w:szCs w:val="24"/>
        </w:rPr>
        <w:t>证书截图作为依据。</w:t>
      </w:r>
    </w:p>
    <w:p w14:paraId="41A16559">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★UPS投标型号及照片应与</w:t>
      </w:r>
      <w:r>
        <w:rPr>
          <w:rFonts w:hint="eastAsia" w:ascii="宋体" w:hAnsi="宋体" w:eastAsia="宋体" w:cs="宋体"/>
          <w:color w:val="000000"/>
          <w:sz w:val="24"/>
          <w:szCs w:val="24"/>
          <w:lang w:val="en-US" w:eastAsia="zh-CN"/>
        </w:rPr>
        <w:t>国家权威认证中心</w:t>
      </w:r>
      <w:r>
        <w:rPr>
          <w:rFonts w:hint="eastAsia" w:ascii="宋体" w:hAnsi="宋体" w:eastAsia="宋体" w:cs="宋体"/>
          <w:color w:val="000000"/>
          <w:sz w:val="24"/>
          <w:szCs w:val="24"/>
        </w:rPr>
        <w:t>检测报告样品信息照片一致，不接受投标型号一致照片不一致的情况。</w:t>
      </w:r>
      <w:r>
        <w:rPr>
          <w:rFonts w:hint="eastAsia" w:ascii="宋体" w:hAnsi="宋体" w:eastAsia="宋体" w:cs="宋体"/>
          <w:color w:val="000000"/>
          <w:sz w:val="24"/>
          <w:szCs w:val="24"/>
          <w:lang w:val="en-US" w:eastAsia="zh-CN"/>
        </w:rPr>
        <w:t>需</w:t>
      </w:r>
      <w:r>
        <w:rPr>
          <w:rFonts w:hint="eastAsia" w:ascii="宋体" w:hAnsi="宋体" w:eastAsia="宋体" w:cs="宋体"/>
          <w:color w:val="000000"/>
          <w:sz w:val="24"/>
          <w:szCs w:val="24"/>
        </w:rPr>
        <w:t>提供官方彩页照片和</w:t>
      </w:r>
      <w:r>
        <w:rPr>
          <w:rFonts w:hint="eastAsia" w:ascii="宋体" w:hAnsi="宋体" w:eastAsia="宋体" w:cs="宋体"/>
          <w:color w:val="000000"/>
          <w:sz w:val="24"/>
          <w:szCs w:val="24"/>
          <w:lang w:val="en-US" w:eastAsia="zh-CN"/>
        </w:rPr>
        <w:t>国家权威认证</w:t>
      </w:r>
      <w:r>
        <w:rPr>
          <w:rFonts w:hint="eastAsia" w:ascii="宋体" w:hAnsi="宋体" w:eastAsia="宋体" w:cs="宋体"/>
          <w:color w:val="000000"/>
          <w:sz w:val="24"/>
          <w:szCs w:val="24"/>
        </w:rPr>
        <w:t>检测报告样品信息截图作为依据。</w:t>
      </w:r>
    </w:p>
    <w:p w14:paraId="1145AE6F">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rPr>
        <w:t>★此次设备为IGBT整流/IGBT逆变型不间断电源设备，三相交流引入、三相交流输出。</w:t>
      </w:r>
    </w:p>
    <w:p w14:paraId="68C374C1">
      <w:pPr>
        <w:widowControl/>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000000"/>
          <w:sz w:val="24"/>
          <w:szCs w:val="24"/>
          <w:lang w:val="en-US" w:eastAsia="zh-CN"/>
        </w:rPr>
        <w:t>6、</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w:t>
      </w:r>
      <w:r>
        <w:rPr>
          <w:rFonts w:hint="eastAsia" w:ascii="宋体" w:hAnsi="宋体" w:eastAsia="宋体" w:cs="宋体"/>
          <w:color w:val="auto"/>
          <w:sz w:val="24"/>
          <w:szCs w:val="24"/>
          <w:highlight w:val="none"/>
        </w:rPr>
        <w:t>为保证系统的可用性和先进性，要求采用模块化UPS，符合YD/T 2165-2017标准；考虑功率模块“颗粒度”对系统可靠性和运行容量的影响，UPS主机配置不小于</w:t>
      </w:r>
      <w:r>
        <w:rPr>
          <w:rFonts w:hint="eastAsia" w:ascii="宋体" w:hAnsi="宋体" w:eastAsia="宋体" w:cs="宋体"/>
          <w:color w:val="auto"/>
          <w:sz w:val="24"/>
          <w:szCs w:val="24"/>
          <w:highlight w:val="none"/>
          <w:lang w:val="en-US" w:eastAsia="zh-CN"/>
        </w:rPr>
        <w:t>600</w:t>
      </w:r>
      <w:r>
        <w:rPr>
          <w:rFonts w:hint="eastAsia" w:ascii="宋体" w:hAnsi="宋体" w:eastAsia="宋体" w:cs="宋体"/>
          <w:color w:val="auto"/>
          <w:sz w:val="24"/>
          <w:szCs w:val="24"/>
          <w:highlight w:val="none"/>
        </w:rPr>
        <w:t>KW的机框，</w:t>
      </w:r>
      <w:r>
        <w:rPr>
          <w:rFonts w:hint="eastAsia" w:ascii="宋体" w:hAnsi="宋体" w:eastAsia="宋体" w:cs="宋体"/>
          <w:color w:val="auto"/>
          <w:sz w:val="24"/>
          <w:szCs w:val="24"/>
          <w:highlight w:val="none"/>
          <w:lang w:val="en-US" w:eastAsia="zh-CN"/>
        </w:rPr>
        <w:t>按500KW负载配置</w:t>
      </w:r>
      <w:r>
        <w:rPr>
          <w:rFonts w:hint="eastAsia" w:ascii="宋体" w:hAnsi="宋体" w:eastAsia="宋体" w:cs="宋体"/>
          <w:color w:val="auto"/>
          <w:sz w:val="24"/>
          <w:szCs w:val="24"/>
          <w:highlight w:val="none"/>
        </w:rPr>
        <w:t>功率模块</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要求单个功率模块容量不小于50kW。</w:t>
      </w:r>
    </w:p>
    <w:p w14:paraId="4BF7CBEA">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 xml:space="preserve">7、 </w:t>
      </w:r>
      <w:r>
        <w:rPr>
          <w:rFonts w:hint="eastAsia" w:ascii="宋体" w:hAnsi="宋体" w:eastAsia="宋体" w:cs="宋体"/>
          <w:color w:val="000000"/>
          <w:sz w:val="24"/>
          <w:szCs w:val="24"/>
        </w:rPr>
        <w:t>每个功率模块具有独立的运行能力，即UPS系统内，一个功率模块故障，其他功率模块仍然可正常工作，不会导致整个UPS系统输出中断，以提高系统可用性。</w:t>
      </w:r>
    </w:p>
    <w:p w14:paraId="679D5103">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8、</w:t>
      </w:r>
      <w:r>
        <w:rPr>
          <w:rFonts w:hint="eastAsia" w:ascii="宋体" w:hAnsi="宋体" w:eastAsia="宋体" w:cs="宋体"/>
          <w:color w:val="000000"/>
          <w:sz w:val="24"/>
          <w:szCs w:val="24"/>
        </w:rPr>
        <w:t>系统运行中，如果功率模块、监控模块或旁路模块发生故障，故障模块应自动退出运行，不影响系统输出。</w:t>
      </w:r>
      <w:r>
        <w:rPr>
          <w:rFonts w:hint="eastAsia" w:ascii="宋体" w:hAnsi="宋体" w:eastAsia="宋体" w:cs="宋体"/>
          <w:color w:val="000000"/>
          <w:sz w:val="24"/>
          <w:szCs w:val="24"/>
          <w:lang w:val="en-US" w:eastAsia="zh-CN"/>
        </w:rPr>
        <w:t>需</w:t>
      </w:r>
      <w:r>
        <w:rPr>
          <w:rFonts w:hint="eastAsia" w:ascii="宋体" w:hAnsi="宋体" w:eastAsia="宋体" w:cs="宋体"/>
          <w:color w:val="000000"/>
          <w:sz w:val="24"/>
          <w:szCs w:val="24"/>
        </w:rPr>
        <w:t>提供第三方检测报告以作说明。</w:t>
      </w:r>
    </w:p>
    <w:p w14:paraId="38249E2A">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UPS单机可通过扩展功率模块来增加UPS容量。功率模块具有休眠功能，可根据负载量，自动实现休眠，以实现最佳带载量，提高系统效率，降低能耗。</w:t>
      </w:r>
    </w:p>
    <w:p w14:paraId="608BA06C">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功率模块、集中静态旁路模块、监控模块须具有热插拔功能，可在线插拔维护，无需停电或转旁路；模块插入或拔出后应不影响系统其它部件的正常运行（提供第三方检测报告以作说明）。因集中静态旁路功率大，体积大，重量高，要求静态旁路具备省力且可靠的插拔机构，确保接触可靠且插拔轻松。</w:t>
      </w:r>
    </w:p>
    <w:p w14:paraId="4B097EE3">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★为便于本地操作和维护，UPS机架内须内置输入/输出/旁路/维修旁路等完整的四套开关，如内部无完整的开关可外置柜体。</w:t>
      </w:r>
    </w:p>
    <w:p w14:paraId="0DBAB29D">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★由于配电间的面积等因素，本项目采用的UPS占地面积应尽量小， UPS整体宽度（含外置开关柜，如有）尺寸不能大于1200mm。</w:t>
      </w:r>
    </w:p>
    <w:p w14:paraId="0BFC6C19">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13、</w:t>
      </w:r>
      <w:r>
        <w:rPr>
          <w:rFonts w:hint="eastAsia" w:ascii="宋体" w:hAnsi="宋体" w:eastAsia="宋体" w:cs="宋体"/>
          <w:color w:val="000000"/>
          <w:sz w:val="24"/>
          <w:szCs w:val="24"/>
        </w:rPr>
        <w:t>★为了提高运行安全性，也为了方便电池接线管理以及降低建设成本，UPS的电池连接须采用无中线设计，只需连接正极和负极2线即可。</w:t>
      </w:r>
    </w:p>
    <w:p w14:paraId="566B1B60">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14、</w:t>
      </w:r>
      <w:r>
        <w:rPr>
          <w:rFonts w:hint="eastAsia" w:ascii="宋体" w:hAnsi="宋体" w:eastAsia="宋体" w:cs="宋体"/>
          <w:color w:val="000000"/>
          <w:sz w:val="24"/>
          <w:szCs w:val="24"/>
        </w:rPr>
        <w:t>考虑将来系统变化的需要，要求UPS并机系统可共用电池组。。</w:t>
      </w:r>
    </w:p>
    <w:p w14:paraId="4FECF8E7">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15、</w:t>
      </w:r>
      <w:r>
        <w:rPr>
          <w:rFonts w:hint="eastAsia" w:ascii="宋体" w:hAnsi="宋体" w:eastAsia="宋体" w:cs="宋体"/>
          <w:color w:val="000000"/>
          <w:sz w:val="24"/>
          <w:szCs w:val="24"/>
        </w:rPr>
        <w:t>为了能直观展示UPS的运行状况，要求UPS正面具备可变色LED指示灯条，通过不同颜色的指示可以远距离直观识别系统的运行状态。</w:t>
      </w:r>
    </w:p>
    <w:p w14:paraId="19436830">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16、</w:t>
      </w:r>
      <w:r>
        <w:rPr>
          <w:rFonts w:hint="eastAsia" w:ascii="宋体" w:hAnsi="宋体" w:eastAsia="宋体" w:cs="宋体"/>
          <w:color w:val="000000"/>
          <w:sz w:val="24"/>
          <w:szCs w:val="24"/>
        </w:rPr>
        <w:t>★因干式塑壳薄膜电容器存在失效时冒烟或起火等安全隐患，要求功率模块内的滤波电容采用安全易维护的油浸式长寿命铝壳电容器且额定工作电压不低于300V。</w:t>
      </w:r>
      <w:r>
        <w:rPr>
          <w:rFonts w:hint="eastAsia" w:ascii="宋体" w:hAnsi="宋体" w:eastAsia="宋体" w:cs="宋体"/>
          <w:color w:val="000000"/>
          <w:sz w:val="24"/>
          <w:szCs w:val="24"/>
          <w:lang w:val="en-US" w:eastAsia="zh-CN"/>
        </w:rPr>
        <w:t>需</w:t>
      </w:r>
      <w:r>
        <w:rPr>
          <w:rFonts w:hint="eastAsia" w:ascii="宋体" w:hAnsi="宋体" w:eastAsia="宋体" w:cs="宋体"/>
          <w:color w:val="000000"/>
          <w:sz w:val="24"/>
          <w:szCs w:val="24"/>
        </w:rPr>
        <w:t>明确说明投标机型的滤波电容器类型以及额定工作电压等级，并详细说明电容器的安全保护措施。</w:t>
      </w:r>
    </w:p>
    <w:p w14:paraId="2667792A">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17、</w:t>
      </w:r>
      <w:r>
        <w:rPr>
          <w:rFonts w:hint="eastAsia" w:ascii="宋体" w:hAnsi="宋体" w:eastAsia="宋体" w:cs="宋体"/>
          <w:color w:val="000000"/>
          <w:sz w:val="24"/>
          <w:szCs w:val="24"/>
        </w:rPr>
        <w:t>★为体现节能和技术先进性，本项目优先选用具有先进技术的碳化硅混合型制程的IGBT。</w:t>
      </w:r>
      <w:r>
        <w:rPr>
          <w:rFonts w:hint="eastAsia" w:ascii="宋体" w:hAnsi="宋体" w:eastAsia="宋体" w:cs="宋体"/>
          <w:color w:val="000000"/>
          <w:sz w:val="24"/>
          <w:szCs w:val="24"/>
          <w:lang w:val="en-US" w:eastAsia="zh-CN"/>
        </w:rPr>
        <w:t>需</w:t>
      </w:r>
      <w:r>
        <w:rPr>
          <w:rFonts w:hint="eastAsia" w:ascii="宋体" w:hAnsi="宋体" w:eastAsia="宋体" w:cs="宋体"/>
          <w:color w:val="000000"/>
          <w:sz w:val="24"/>
          <w:szCs w:val="24"/>
        </w:rPr>
        <w:t>提供公开彩页等证明材料。</w:t>
      </w:r>
    </w:p>
    <w:p w14:paraId="0BF41C42">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18、</w:t>
      </w:r>
      <w:r>
        <w:rPr>
          <w:rFonts w:hint="eastAsia" w:ascii="宋体" w:hAnsi="宋体" w:eastAsia="宋体" w:cs="宋体"/>
          <w:color w:val="000000"/>
          <w:sz w:val="24"/>
          <w:szCs w:val="24"/>
        </w:rPr>
        <w:t>UPS应为在线式双转换设备。为了提高系统运行效率，也为了实现备件的简化，要求UPS整流器和逆变器均需要采用三电平或更高电平的整流技术和逆变技术。需明确说明所投标产品的整流器和逆变器采用何种电平拓扑结构。</w:t>
      </w:r>
    </w:p>
    <w:p w14:paraId="053FA60C">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19、</w:t>
      </w:r>
      <w:r>
        <w:rPr>
          <w:rFonts w:hint="eastAsia" w:ascii="宋体" w:hAnsi="宋体" w:eastAsia="宋体" w:cs="宋体"/>
          <w:color w:val="000000"/>
          <w:sz w:val="24"/>
          <w:szCs w:val="24"/>
        </w:rPr>
        <w:t>抗震性能：不间断电源设备应满足设备安装地点的抗震设防要求。</w:t>
      </w:r>
      <w:r>
        <w:rPr>
          <w:rFonts w:hint="eastAsia" w:ascii="宋体" w:hAnsi="宋体" w:eastAsia="宋体" w:cs="宋体"/>
          <w:color w:val="000000"/>
          <w:sz w:val="24"/>
          <w:szCs w:val="24"/>
          <w:lang w:val="en-US" w:eastAsia="zh-CN"/>
        </w:rPr>
        <w:t>需</w:t>
      </w:r>
      <w:r>
        <w:rPr>
          <w:rFonts w:hint="eastAsia" w:ascii="宋体" w:hAnsi="宋体" w:eastAsia="宋体" w:cs="宋体"/>
          <w:color w:val="000000"/>
          <w:sz w:val="24"/>
          <w:szCs w:val="24"/>
        </w:rPr>
        <w:t>提供设备的抗震检测报告。</w:t>
      </w:r>
    </w:p>
    <w:p w14:paraId="3B851122">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20、</w:t>
      </w:r>
      <w:r>
        <w:rPr>
          <w:rFonts w:hint="eastAsia" w:ascii="宋体" w:hAnsi="宋体" w:eastAsia="宋体" w:cs="宋体"/>
          <w:color w:val="000000"/>
          <w:sz w:val="24"/>
          <w:szCs w:val="24"/>
        </w:rPr>
        <w:t>效率：</w:t>
      </w:r>
    </w:p>
    <w:p w14:paraId="5B135F77">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★50%额定负载时的整机效率应≥97%，提供</w:t>
      </w:r>
      <w:r>
        <w:rPr>
          <w:rFonts w:hint="eastAsia" w:ascii="宋体" w:hAnsi="宋体" w:eastAsia="宋体" w:cs="宋体"/>
          <w:color w:val="000000"/>
          <w:sz w:val="24"/>
          <w:szCs w:val="24"/>
          <w:lang w:val="en-US" w:eastAsia="zh-CN"/>
        </w:rPr>
        <w:t>国家权威认证</w:t>
      </w:r>
      <w:r>
        <w:rPr>
          <w:rFonts w:hint="eastAsia" w:ascii="宋体" w:hAnsi="宋体" w:eastAsia="宋体" w:cs="宋体"/>
          <w:color w:val="000000"/>
          <w:sz w:val="24"/>
          <w:szCs w:val="24"/>
        </w:rPr>
        <w:t>检测报告。</w:t>
      </w:r>
    </w:p>
    <w:p w14:paraId="67A388A7">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2</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★设备需具有节能运行模式（ECO），效率≥99%。设备在并机工作模式，也需具备节能运行模式（ECO）。</w:t>
      </w:r>
    </w:p>
    <w:p w14:paraId="72EFB6D7">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21、</w:t>
      </w:r>
      <w:r>
        <w:rPr>
          <w:rFonts w:hint="eastAsia" w:ascii="宋体" w:hAnsi="宋体" w:eastAsia="宋体" w:cs="宋体"/>
          <w:color w:val="000000"/>
          <w:sz w:val="24"/>
          <w:szCs w:val="24"/>
        </w:rPr>
        <w:t>★UPS设备需要同时具备RS485通讯接口（MODUBS通信协议）和RJ45通讯接口（以太网通讯协议），并免费提供对应通讯协议。</w:t>
      </w:r>
    </w:p>
    <w:p w14:paraId="73B9EB2D">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22、</w:t>
      </w:r>
      <w:r>
        <w:rPr>
          <w:rFonts w:hint="eastAsia" w:ascii="宋体" w:hAnsi="宋体" w:eastAsia="宋体" w:cs="宋体"/>
          <w:sz w:val="24"/>
          <w:szCs w:val="24"/>
          <w:lang w:val="en-US" w:eastAsia="zh-CN"/>
        </w:rPr>
        <w:t>一</w:t>
      </w:r>
      <w:r>
        <w:rPr>
          <w:rFonts w:hint="eastAsia" w:ascii="宋体" w:hAnsi="宋体" w:eastAsia="宋体" w:cs="宋体"/>
          <w:sz w:val="24"/>
          <w:szCs w:val="24"/>
        </w:rPr>
        <w:t>年</w:t>
      </w:r>
      <w:r>
        <w:rPr>
          <w:rFonts w:hint="eastAsia" w:ascii="宋体" w:hAnsi="宋体" w:eastAsia="宋体" w:cs="宋体"/>
          <w:sz w:val="24"/>
          <w:szCs w:val="24"/>
          <w:highlight w:val="none"/>
        </w:rPr>
        <w:t>质保</w:t>
      </w:r>
      <w:r>
        <w:rPr>
          <w:rFonts w:hint="eastAsia" w:ascii="宋体" w:hAnsi="宋体" w:eastAsia="宋体" w:cs="宋体"/>
          <w:sz w:val="24"/>
          <w:szCs w:val="24"/>
        </w:rPr>
        <w:t>。</w:t>
      </w:r>
    </w:p>
    <w:p w14:paraId="0643437E">
      <w:pPr>
        <w:pStyle w:val="4"/>
        <w:bidi w:val="0"/>
        <w:spacing w:line="360" w:lineRule="auto"/>
        <w:rPr>
          <w:rFonts w:hint="eastAsia" w:ascii="宋体" w:hAnsi="宋体" w:eastAsia="宋体" w:cs="宋体"/>
          <w:b/>
          <w:sz w:val="24"/>
          <w:szCs w:val="24"/>
        </w:rPr>
      </w:pPr>
      <w:bookmarkStart w:id="77" w:name="_Toc450642028"/>
      <w:bookmarkStart w:id="78" w:name="_Toc450740281"/>
      <w:bookmarkStart w:id="79" w:name="_Toc22671"/>
      <w:bookmarkStart w:id="80" w:name="_Toc11446"/>
      <w:bookmarkStart w:id="81" w:name="_Toc451346366"/>
      <w:r>
        <w:rPr>
          <w:rFonts w:hint="eastAsia" w:ascii="宋体" w:hAnsi="宋体" w:eastAsia="宋体" w:cs="宋体"/>
          <w:b/>
          <w:sz w:val="24"/>
          <w:szCs w:val="24"/>
          <w:lang w:val="en-US" w:eastAsia="zh-CN"/>
        </w:rPr>
        <w:t xml:space="preserve">300KVA </w:t>
      </w:r>
      <w:r>
        <w:rPr>
          <w:rFonts w:hint="eastAsia" w:ascii="宋体" w:hAnsi="宋体" w:eastAsia="宋体" w:cs="宋体"/>
          <w:b/>
          <w:sz w:val="24"/>
          <w:szCs w:val="24"/>
        </w:rPr>
        <w:t>UPS主机</w:t>
      </w:r>
    </w:p>
    <w:p w14:paraId="3C726DA6">
      <w:pPr>
        <w:widowControl/>
        <w:spacing w:line="360" w:lineRule="auto"/>
        <w:ind w:firstLine="480" w:firstLineChars="200"/>
        <w:rPr>
          <w:rFonts w:hint="eastAsia" w:ascii="宋体" w:hAnsi="宋体" w:eastAsia="宋体" w:cs="宋体"/>
          <w:color w:val="000000"/>
          <w:sz w:val="24"/>
          <w:szCs w:val="24"/>
          <w:lang w:val="en-US"/>
        </w:rPr>
      </w:pPr>
      <w:r>
        <w:rPr>
          <w:rFonts w:hint="eastAsia" w:ascii="宋体" w:hAnsi="宋体" w:eastAsia="宋体" w:cs="宋体"/>
          <w:sz w:val="24"/>
          <w:szCs w:val="24"/>
          <w:lang w:val="en-US" w:eastAsia="zh-CN"/>
        </w:rPr>
        <w:t>配电间</w:t>
      </w:r>
      <w:r>
        <w:rPr>
          <w:rFonts w:hint="eastAsia" w:ascii="宋体" w:hAnsi="宋体" w:eastAsia="宋体" w:cs="宋体"/>
          <w:color w:val="000000"/>
          <w:sz w:val="24"/>
          <w:szCs w:val="24"/>
          <w:lang w:val="en-US" w:eastAsia="zh-CN"/>
        </w:rPr>
        <w:t>内安装1套UPS系统，主要包含1台300KVA UPS主机、1组蓄电池组（</w:t>
      </w:r>
      <w:r>
        <w:rPr>
          <w:rFonts w:hint="eastAsia" w:ascii="宋体" w:hAnsi="宋体" w:eastAsia="宋体" w:cs="宋体"/>
          <w:color w:val="000000"/>
          <w:kern w:val="0"/>
          <w:sz w:val="24"/>
          <w:szCs w:val="24"/>
          <w:lang w:val="en-US" w:eastAsia="zh-CN"/>
        </w:rPr>
        <w:t>1组</w:t>
      </w:r>
      <w:r>
        <w:rPr>
          <w:rFonts w:hint="eastAsia" w:ascii="宋体" w:hAnsi="宋体" w:eastAsia="宋体" w:cs="宋体"/>
          <w:color w:val="000000"/>
          <w:kern w:val="0"/>
          <w:sz w:val="24"/>
          <w:szCs w:val="24"/>
        </w:rPr>
        <w:t>12V</w:t>
      </w:r>
      <w:r>
        <w:rPr>
          <w:rFonts w:hint="eastAsia" w:ascii="宋体" w:hAnsi="宋体" w:eastAsia="宋体" w:cs="宋体"/>
          <w:color w:val="000000"/>
          <w:kern w:val="0"/>
          <w:sz w:val="24"/>
          <w:szCs w:val="24"/>
          <w:lang w:val="en-US" w:eastAsia="zh-CN"/>
        </w:rPr>
        <w:t xml:space="preserve"> 25</w:t>
      </w:r>
      <w:r>
        <w:rPr>
          <w:rFonts w:hint="eastAsia" w:ascii="宋体" w:hAnsi="宋体" w:eastAsia="宋体" w:cs="宋体"/>
          <w:color w:val="000000"/>
          <w:kern w:val="0"/>
          <w:sz w:val="24"/>
          <w:szCs w:val="24"/>
        </w:rPr>
        <w:t>0Ah铅酸</w:t>
      </w:r>
      <w:r>
        <w:rPr>
          <w:rFonts w:hint="eastAsia" w:ascii="宋体" w:hAnsi="宋体" w:eastAsia="宋体" w:cs="宋体"/>
          <w:color w:val="000000"/>
          <w:kern w:val="0"/>
          <w:sz w:val="24"/>
          <w:szCs w:val="24"/>
          <w:lang w:val="en-US" w:eastAsia="zh-CN"/>
        </w:rPr>
        <w:t>蓄电池，每组40节</w:t>
      </w:r>
      <w:r>
        <w:rPr>
          <w:rFonts w:hint="eastAsia" w:ascii="宋体" w:hAnsi="宋体" w:eastAsia="宋体" w:cs="宋体"/>
          <w:color w:val="000000"/>
          <w:sz w:val="24"/>
          <w:szCs w:val="24"/>
          <w:lang w:val="en-US" w:eastAsia="zh-CN"/>
        </w:rPr>
        <w:t>），</w:t>
      </w:r>
      <w:r>
        <w:rPr>
          <w:rFonts w:hint="eastAsia" w:ascii="宋体" w:hAnsi="宋体" w:eastAsia="宋体" w:cs="宋体"/>
          <w:sz w:val="24"/>
          <w:szCs w:val="24"/>
          <w:lang w:val="en-US" w:eastAsia="zh-CN"/>
        </w:rPr>
        <w:t>用于会议中心设备供电</w:t>
      </w:r>
      <w:r>
        <w:rPr>
          <w:rFonts w:hint="eastAsia" w:ascii="宋体" w:hAnsi="宋体" w:eastAsia="宋体" w:cs="宋体"/>
          <w:color w:val="000000"/>
          <w:sz w:val="24"/>
          <w:szCs w:val="24"/>
          <w:lang w:val="en-US" w:eastAsia="zh-CN"/>
        </w:rPr>
        <w:t>。</w:t>
      </w:r>
    </w:p>
    <w:p w14:paraId="07E8B27F">
      <w:pPr>
        <w:widowControl/>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300KVA 模块化UPS，包含1个主输入开关，1个旁路输入开关，1个输出开关，1个维修旁路开关</w:t>
      </w:r>
      <w:r>
        <w:rPr>
          <w:rFonts w:hint="eastAsia" w:ascii="宋体" w:hAnsi="宋体" w:eastAsia="宋体" w:cs="宋体"/>
          <w:sz w:val="24"/>
          <w:szCs w:val="24"/>
          <w:lang w:eastAsia="zh-CN"/>
        </w:rPr>
        <w:t>；</w:t>
      </w:r>
      <w:r>
        <w:rPr>
          <w:rFonts w:hint="eastAsia" w:ascii="宋体" w:hAnsi="宋体" w:eastAsia="宋体" w:cs="宋体"/>
          <w:color w:val="000000"/>
          <w:sz w:val="24"/>
          <w:szCs w:val="24"/>
        </w:rPr>
        <w:t>要求采用不低于7英寸的彩色触摸屏。具备中英文显示，可显示UPS运行状态和相关数据，便于日常维护。</w:t>
      </w:r>
    </w:p>
    <w:p w14:paraId="0F00068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★为了确保UPS系统的高品质和高可靠性，UPS严禁采用OEM或ODM方式；UPS的核心器件（如整流器和逆变器）必须由原厂制造，严禁采用OEM或ODM方式。需提供</w:t>
      </w:r>
      <w:r>
        <w:rPr>
          <w:rFonts w:hint="eastAsia" w:ascii="宋体" w:hAnsi="宋体" w:eastAsia="宋体" w:cs="宋体"/>
          <w:color w:val="000000"/>
          <w:sz w:val="24"/>
          <w:szCs w:val="24"/>
          <w:lang w:val="en-US" w:eastAsia="zh-CN"/>
        </w:rPr>
        <w:t>国家权威认证</w:t>
      </w:r>
      <w:r>
        <w:rPr>
          <w:rFonts w:hint="eastAsia" w:ascii="宋体" w:hAnsi="宋体" w:eastAsia="宋体" w:cs="宋体"/>
          <w:sz w:val="24"/>
          <w:szCs w:val="24"/>
        </w:rPr>
        <w:t>检测报告。</w:t>
      </w:r>
    </w:p>
    <w:p w14:paraId="14848F9A">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★投标UPS型号在市场经过充分验证，上市时间不小于4年，以</w:t>
      </w:r>
      <w:r>
        <w:rPr>
          <w:rFonts w:hint="eastAsia" w:ascii="宋体" w:hAnsi="宋体" w:eastAsia="宋体" w:cs="宋体"/>
          <w:color w:val="000000"/>
          <w:sz w:val="24"/>
          <w:szCs w:val="24"/>
          <w:lang w:val="en-US" w:eastAsia="zh-CN"/>
        </w:rPr>
        <w:t>家权威认证中心认证</w:t>
      </w:r>
      <w:r>
        <w:rPr>
          <w:rFonts w:hint="eastAsia" w:ascii="宋体" w:hAnsi="宋体" w:eastAsia="宋体" w:cs="宋体"/>
          <w:sz w:val="24"/>
          <w:szCs w:val="24"/>
        </w:rPr>
        <w:t>证书首次颁证日期为准（截至到投标日期），需提供</w:t>
      </w:r>
      <w:r>
        <w:rPr>
          <w:rFonts w:hint="eastAsia" w:ascii="宋体" w:hAnsi="宋体" w:eastAsia="宋体" w:cs="宋体"/>
          <w:color w:val="000000"/>
          <w:sz w:val="24"/>
          <w:szCs w:val="24"/>
          <w:lang w:val="en-US" w:eastAsia="zh-CN"/>
        </w:rPr>
        <w:t>家权威认证</w:t>
      </w:r>
      <w:r>
        <w:rPr>
          <w:rFonts w:hint="eastAsia" w:ascii="宋体" w:hAnsi="宋体" w:eastAsia="宋体" w:cs="宋体"/>
          <w:color w:val="000000"/>
          <w:sz w:val="24"/>
          <w:szCs w:val="24"/>
        </w:rPr>
        <w:t>证书</w:t>
      </w:r>
      <w:r>
        <w:rPr>
          <w:rFonts w:hint="eastAsia" w:ascii="宋体" w:hAnsi="宋体" w:eastAsia="宋体" w:cs="宋体"/>
          <w:sz w:val="24"/>
          <w:szCs w:val="24"/>
        </w:rPr>
        <w:t>截图作为依据。</w:t>
      </w:r>
    </w:p>
    <w:p w14:paraId="759C44DB">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4、</w:t>
      </w:r>
      <w:r>
        <w:rPr>
          <w:rFonts w:hint="eastAsia" w:ascii="宋体" w:hAnsi="宋体" w:eastAsia="宋体" w:cs="宋体"/>
          <w:color w:val="auto"/>
          <w:sz w:val="24"/>
          <w:szCs w:val="24"/>
        </w:rPr>
        <w:t>★本项目为热插拔模块化UPS主机，配置不小于300KW的机框</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负载按100KW配置功率模块，</w:t>
      </w:r>
      <w:r>
        <w:rPr>
          <w:rFonts w:hint="eastAsia" w:ascii="宋体" w:hAnsi="宋体" w:eastAsia="宋体" w:cs="宋体"/>
          <w:sz w:val="24"/>
          <w:szCs w:val="24"/>
        </w:rPr>
        <w:t>要求单个功率模块容量不小于50kW</w:t>
      </w:r>
      <w:r>
        <w:rPr>
          <w:rFonts w:hint="eastAsia" w:ascii="宋体" w:hAnsi="宋体" w:eastAsia="宋体" w:cs="宋体"/>
          <w:color w:val="auto"/>
          <w:sz w:val="24"/>
          <w:szCs w:val="24"/>
          <w:lang w:eastAsia="zh-CN"/>
        </w:rPr>
        <w:t>。</w:t>
      </w:r>
    </w:p>
    <w:p w14:paraId="081749B4">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5、</w:t>
      </w:r>
      <w:r>
        <w:rPr>
          <w:rFonts w:hint="eastAsia" w:ascii="宋体" w:hAnsi="宋体" w:eastAsia="宋体" w:cs="宋体"/>
          <w:sz w:val="24"/>
          <w:szCs w:val="24"/>
        </w:rPr>
        <w:t>此次设备为IGBT整流/IGBT逆变型不间断电源设备，三相交流引入、三相交流输出。</w:t>
      </w:r>
    </w:p>
    <w:p w14:paraId="23B9E944">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6、</w:t>
      </w:r>
      <w:r>
        <w:rPr>
          <w:rFonts w:hint="eastAsia" w:ascii="宋体" w:hAnsi="宋体" w:eastAsia="宋体" w:cs="宋体"/>
          <w:sz w:val="24"/>
          <w:szCs w:val="24"/>
        </w:rPr>
        <w:t>★为保证系统的可用性和先进性，要求采用模块化UPS；考虑功率模块“颗粒度”对系统可靠性和运行容量的影响，要求单个功率模块容量不小于50kW。</w:t>
      </w:r>
    </w:p>
    <w:p w14:paraId="2DF1688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 xml:space="preserve">7、 </w:t>
      </w:r>
      <w:r>
        <w:rPr>
          <w:rFonts w:hint="eastAsia" w:ascii="宋体" w:hAnsi="宋体" w:eastAsia="宋体" w:cs="宋体"/>
          <w:sz w:val="24"/>
          <w:szCs w:val="24"/>
        </w:rPr>
        <w:t>每个功率模块具有独立的运行能力，即UPS系统内，一个功率模块故障，其他功率模块仍然可正常工作，不会导致整个UPS系统输出中断，以提高系统可用性。</w:t>
      </w:r>
    </w:p>
    <w:p w14:paraId="577845AD">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8、</w:t>
      </w:r>
      <w:r>
        <w:rPr>
          <w:rFonts w:hint="eastAsia" w:ascii="宋体" w:hAnsi="宋体" w:eastAsia="宋体" w:cs="宋体"/>
          <w:sz w:val="24"/>
          <w:szCs w:val="24"/>
        </w:rPr>
        <w:t>系统运行中，如果功率模块、监控模块或旁路模块发生故障，故障模块应自动退出运行，不影响系统输出。需提供第三方检测报告以作说明。</w:t>
      </w:r>
    </w:p>
    <w:p w14:paraId="78DD1AD0">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9、</w:t>
      </w:r>
      <w:r>
        <w:rPr>
          <w:rFonts w:hint="eastAsia" w:ascii="宋体" w:hAnsi="宋体" w:eastAsia="宋体" w:cs="宋体"/>
          <w:sz w:val="24"/>
          <w:szCs w:val="24"/>
        </w:rPr>
        <w:t>UPS单机可通过扩展功率模块，来增加UPS容量。功率模块具有休眠功能，可根据负载量，自动实现休眠，以实现最佳带载量，提高系统效率，降低能耗。</w:t>
      </w:r>
    </w:p>
    <w:p w14:paraId="42732BDD">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10、</w:t>
      </w:r>
      <w:r>
        <w:rPr>
          <w:rFonts w:hint="eastAsia" w:ascii="宋体" w:hAnsi="宋体" w:eastAsia="宋体" w:cs="宋体"/>
          <w:sz w:val="24"/>
          <w:szCs w:val="24"/>
        </w:rPr>
        <w:t>功率模块、集中静态旁路模块、监控模块须具有热插拔功能，可在线插拔维护，无需停电或转旁路；模块插入或拔出后应不影响系统其它部件的正常运行（提供第三方检测报告以作说明）。因集中静态旁路功率大，体积大，重量高，要求静态旁路具备省力且可靠的插拔机构，确保接触可靠且插拔轻松。</w:t>
      </w:r>
    </w:p>
    <w:p w14:paraId="563E1E10">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11、</w:t>
      </w:r>
      <w:r>
        <w:rPr>
          <w:rFonts w:hint="eastAsia" w:ascii="宋体" w:hAnsi="宋体" w:eastAsia="宋体" w:cs="宋体"/>
          <w:sz w:val="24"/>
          <w:szCs w:val="24"/>
        </w:rPr>
        <w:t>★为便于本地操作和维护，UPS机架内须内置输入/输出/旁路/维修旁路等完整的四套开关，如内部无完整的开关可外置柜体。</w:t>
      </w:r>
    </w:p>
    <w:p w14:paraId="1CBDA603">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12、</w:t>
      </w:r>
      <w:r>
        <w:rPr>
          <w:rFonts w:hint="eastAsia" w:ascii="宋体" w:hAnsi="宋体" w:eastAsia="宋体" w:cs="宋体"/>
          <w:sz w:val="24"/>
          <w:szCs w:val="24"/>
        </w:rPr>
        <w:t>★由于机房的面积和承重等因素，本项目采用的UPS占地面积应尽量小，UPS宽度尺寸≤600mm。</w:t>
      </w:r>
    </w:p>
    <w:p w14:paraId="31C1A28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13、</w:t>
      </w:r>
      <w:r>
        <w:rPr>
          <w:rFonts w:hint="eastAsia" w:ascii="宋体" w:hAnsi="宋体" w:eastAsia="宋体" w:cs="宋体"/>
          <w:sz w:val="24"/>
          <w:szCs w:val="24"/>
        </w:rPr>
        <w:t>★为了提高运行安全性，也为了方便电池接线管理以及降低建设成本，UPS的电池连接须采用无中线设计，只需连接正极和负极2线即可。</w:t>
      </w:r>
    </w:p>
    <w:p w14:paraId="6D78A121">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14、</w:t>
      </w:r>
      <w:r>
        <w:rPr>
          <w:rFonts w:hint="eastAsia" w:ascii="宋体" w:hAnsi="宋体" w:eastAsia="宋体" w:cs="宋体"/>
          <w:sz w:val="24"/>
          <w:szCs w:val="24"/>
        </w:rPr>
        <w:t>考虑将来系统变化的需要，要求UPS并机系统可共用电池组。。</w:t>
      </w:r>
    </w:p>
    <w:p w14:paraId="13BE22D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 xml:space="preserve">15、 </w:t>
      </w:r>
      <w:r>
        <w:rPr>
          <w:rFonts w:hint="eastAsia" w:ascii="宋体" w:hAnsi="宋体" w:eastAsia="宋体" w:cs="宋体"/>
          <w:sz w:val="24"/>
          <w:szCs w:val="24"/>
        </w:rPr>
        <w:t>★为了能直观展示UPS 的运行状况，要求UPS正面具备可变色LED指示灯条，通过不同颜色的指示可以远距离直观识别系统的运行状态。</w:t>
      </w:r>
    </w:p>
    <w:p w14:paraId="5FC2383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16、</w:t>
      </w:r>
      <w:r>
        <w:rPr>
          <w:rFonts w:hint="eastAsia" w:ascii="宋体" w:hAnsi="宋体" w:eastAsia="宋体" w:cs="宋体"/>
          <w:sz w:val="24"/>
          <w:szCs w:val="24"/>
        </w:rPr>
        <w:t>★因干式塑壳薄膜电容器存在失效时冒烟或起火等安全隐患，要求功率模块内的滤波电容采用安全易维护的油浸式长寿命铝壳电容器且额定工作电压不低于300V。</w:t>
      </w:r>
      <w:r>
        <w:rPr>
          <w:rFonts w:hint="eastAsia" w:ascii="宋体" w:hAnsi="宋体" w:eastAsia="宋体" w:cs="宋体"/>
          <w:sz w:val="24"/>
          <w:szCs w:val="24"/>
          <w:lang w:val="en-US" w:eastAsia="zh-CN"/>
        </w:rPr>
        <w:t>需</w:t>
      </w:r>
      <w:r>
        <w:rPr>
          <w:rFonts w:hint="eastAsia" w:ascii="宋体" w:hAnsi="宋体" w:eastAsia="宋体" w:cs="宋体"/>
          <w:sz w:val="24"/>
          <w:szCs w:val="24"/>
        </w:rPr>
        <w:t>明确说明投标机型的滤波电容器类型以及额定工作电压等级，并详细说明电容器的安全保护措施。</w:t>
      </w:r>
    </w:p>
    <w:p w14:paraId="22426FC8">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17、</w:t>
      </w:r>
      <w:r>
        <w:rPr>
          <w:rFonts w:hint="eastAsia" w:ascii="宋体" w:hAnsi="宋体" w:eastAsia="宋体" w:cs="宋体"/>
          <w:sz w:val="24"/>
          <w:szCs w:val="24"/>
        </w:rPr>
        <w:t>★ UPS应为在线式双转换设备。为了提高系统运行效率，也为了实现备件的简化，要求UPS整流器和逆变器均需要采用三电平或更高电平的整流技术和逆变技术。需明确说明所投标产品的整流器和逆变器采用何种电平拓扑结构。</w:t>
      </w:r>
    </w:p>
    <w:p w14:paraId="4ACF119D">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 xml:space="preserve">18、 </w:t>
      </w:r>
      <w:r>
        <w:rPr>
          <w:rFonts w:hint="eastAsia" w:ascii="宋体" w:hAnsi="宋体" w:eastAsia="宋体" w:cs="宋体"/>
          <w:sz w:val="24"/>
          <w:szCs w:val="24"/>
        </w:rPr>
        <w:t>效率：</w:t>
      </w:r>
    </w:p>
    <w:p w14:paraId="332EA7E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eastAsia="zh-CN"/>
        </w:rPr>
        <w:t>）、</w:t>
      </w:r>
      <w:r>
        <w:rPr>
          <w:rFonts w:hint="eastAsia" w:ascii="宋体" w:hAnsi="宋体" w:eastAsia="宋体" w:cs="宋体"/>
          <w:sz w:val="24"/>
          <w:szCs w:val="24"/>
        </w:rPr>
        <w:t>★50%额定负载时的整机效率应≥97%，提供</w:t>
      </w:r>
      <w:r>
        <w:rPr>
          <w:rFonts w:hint="eastAsia" w:ascii="宋体" w:hAnsi="宋体" w:eastAsia="宋体" w:cs="宋体"/>
          <w:color w:val="000000"/>
          <w:sz w:val="24"/>
          <w:szCs w:val="24"/>
          <w:lang w:val="en-US" w:eastAsia="zh-CN"/>
        </w:rPr>
        <w:t>国家权威认证</w:t>
      </w:r>
      <w:r>
        <w:rPr>
          <w:rFonts w:hint="eastAsia" w:ascii="宋体" w:hAnsi="宋体" w:eastAsia="宋体" w:cs="宋体"/>
          <w:sz w:val="24"/>
          <w:szCs w:val="24"/>
        </w:rPr>
        <w:t>检测报告。</w:t>
      </w:r>
    </w:p>
    <w:p w14:paraId="70FA9545">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sz w:val="24"/>
          <w:szCs w:val="24"/>
          <w:lang w:eastAsia="zh-CN"/>
        </w:rPr>
        <w:t>）、</w:t>
      </w:r>
      <w:r>
        <w:rPr>
          <w:rFonts w:hint="eastAsia" w:ascii="宋体" w:hAnsi="宋体" w:eastAsia="宋体" w:cs="宋体"/>
          <w:sz w:val="24"/>
          <w:szCs w:val="24"/>
        </w:rPr>
        <w:t>★设备需具有节能运行模式（ECO），效率≥99%。设备在并机工作模式，也需具备节能运行模式（ECO）。</w:t>
      </w:r>
    </w:p>
    <w:p w14:paraId="5F086E0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19、</w:t>
      </w:r>
      <w:r>
        <w:rPr>
          <w:rFonts w:hint="eastAsia" w:ascii="宋体" w:hAnsi="宋体" w:eastAsia="宋体" w:cs="宋体"/>
          <w:sz w:val="24"/>
          <w:szCs w:val="24"/>
        </w:rPr>
        <w:t>UPS设备需要同时具备RS485通讯接口（MODUBS通信协议）和RJ45通讯接口（以太网通讯协议），并免费提供对应通讯协议。</w:t>
      </w:r>
    </w:p>
    <w:p w14:paraId="39A328F6">
      <w:pPr>
        <w:spacing w:line="360" w:lineRule="auto"/>
        <w:ind w:firstLine="480" w:firstLineChars="200"/>
        <w:rPr>
          <w:rFonts w:hint="eastAsia" w:ascii="宋体" w:hAnsi="宋体" w:eastAsia="宋体" w:cs="宋体"/>
          <w:sz w:val="24"/>
          <w:szCs w:val="24"/>
          <w:highlight w:val="yellow"/>
        </w:rPr>
      </w:pPr>
      <w:r>
        <w:rPr>
          <w:rFonts w:hint="eastAsia" w:ascii="宋体" w:hAnsi="宋体" w:eastAsia="宋体" w:cs="宋体"/>
          <w:sz w:val="24"/>
          <w:szCs w:val="24"/>
          <w:highlight w:val="none"/>
          <w:lang w:val="en-US" w:eastAsia="zh-CN"/>
        </w:rPr>
        <w:t>20、一</w:t>
      </w:r>
      <w:r>
        <w:rPr>
          <w:rFonts w:hint="eastAsia" w:ascii="宋体" w:hAnsi="宋体" w:eastAsia="宋体" w:cs="宋体"/>
          <w:sz w:val="24"/>
          <w:szCs w:val="24"/>
          <w:highlight w:val="none"/>
        </w:rPr>
        <w:t>年质保</w:t>
      </w:r>
      <w:r>
        <w:rPr>
          <w:rFonts w:hint="eastAsia" w:ascii="宋体" w:hAnsi="宋体" w:eastAsia="宋体" w:cs="宋体"/>
          <w:sz w:val="24"/>
          <w:szCs w:val="24"/>
        </w:rPr>
        <w:t>。</w:t>
      </w:r>
    </w:p>
    <w:bookmarkEnd w:id="77"/>
    <w:bookmarkEnd w:id="78"/>
    <w:bookmarkEnd w:id="79"/>
    <w:bookmarkEnd w:id="80"/>
    <w:bookmarkEnd w:id="81"/>
    <w:p w14:paraId="3CC1E437">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铅酸蓄电池</w:t>
      </w:r>
    </w:p>
    <w:p w14:paraId="22C4B415">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本次</w:t>
      </w:r>
      <w:r>
        <w:rPr>
          <w:rFonts w:hint="eastAsia" w:ascii="宋体" w:hAnsi="宋体" w:eastAsia="宋体" w:cs="宋体"/>
          <w:sz w:val="24"/>
          <w:szCs w:val="24"/>
        </w:rPr>
        <w:t>提供</w:t>
      </w:r>
      <w:r>
        <w:rPr>
          <w:rFonts w:hint="eastAsia" w:ascii="宋体" w:hAnsi="宋体" w:eastAsia="宋体" w:cs="宋体"/>
          <w:sz w:val="24"/>
          <w:szCs w:val="24"/>
          <w:lang w:val="en-US" w:eastAsia="zh-CN"/>
        </w:rPr>
        <w:t>200节</w:t>
      </w:r>
      <w:r>
        <w:rPr>
          <w:rFonts w:hint="eastAsia" w:ascii="宋体" w:hAnsi="宋体" w:eastAsia="宋体" w:cs="宋体"/>
          <w:color w:val="000000"/>
          <w:kern w:val="0"/>
          <w:sz w:val="24"/>
          <w:szCs w:val="24"/>
          <w:lang w:val="en-US" w:eastAsia="zh-CN"/>
        </w:rPr>
        <w:t>24</w:t>
      </w:r>
      <w:r>
        <w:rPr>
          <w:rFonts w:hint="eastAsia" w:ascii="宋体" w:hAnsi="宋体" w:eastAsia="宋体" w:cs="宋体"/>
          <w:color w:val="000000"/>
          <w:kern w:val="0"/>
          <w:sz w:val="24"/>
          <w:szCs w:val="24"/>
        </w:rPr>
        <w:t>V</w:t>
      </w:r>
      <w:r>
        <w:rPr>
          <w:rFonts w:hint="eastAsia" w:ascii="宋体" w:hAnsi="宋体" w:eastAsia="宋体" w:cs="宋体"/>
          <w:color w:val="000000"/>
          <w:kern w:val="0"/>
          <w:sz w:val="24"/>
          <w:szCs w:val="24"/>
          <w:lang w:val="en-US" w:eastAsia="zh-CN"/>
        </w:rPr>
        <w:t xml:space="preserve"> 25</w:t>
      </w:r>
      <w:r>
        <w:rPr>
          <w:rFonts w:hint="eastAsia" w:ascii="宋体" w:hAnsi="宋体" w:eastAsia="宋体" w:cs="宋体"/>
          <w:color w:val="000000"/>
          <w:kern w:val="0"/>
          <w:sz w:val="24"/>
          <w:szCs w:val="24"/>
        </w:rPr>
        <w:t>0Ah铅酸蓄电池组（12V</w:t>
      </w:r>
      <w:r>
        <w:rPr>
          <w:rFonts w:hint="eastAsia" w:ascii="宋体" w:hAnsi="宋体" w:eastAsia="宋体" w:cs="宋体"/>
          <w:color w:val="000000"/>
          <w:kern w:val="0"/>
          <w:sz w:val="24"/>
          <w:szCs w:val="24"/>
          <w:lang w:val="en-US" w:eastAsia="zh-CN"/>
        </w:rPr>
        <w:t xml:space="preserve"> 25</w:t>
      </w:r>
      <w:r>
        <w:rPr>
          <w:rFonts w:hint="eastAsia" w:ascii="宋体" w:hAnsi="宋体" w:eastAsia="宋体" w:cs="宋体"/>
          <w:color w:val="000000"/>
          <w:kern w:val="0"/>
          <w:sz w:val="24"/>
          <w:szCs w:val="24"/>
        </w:rPr>
        <w:t>0Ah×4</w:t>
      </w:r>
      <w:r>
        <w:rPr>
          <w:rFonts w:hint="eastAsia" w:ascii="宋体" w:hAnsi="宋体" w:eastAsia="宋体" w:cs="宋体"/>
          <w:color w:val="000000"/>
          <w:kern w:val="0"/>
          <w:sz w:val="24"/>
          <w:szCs w:val="24"/>
          <w:lang w:val="en-US" w:eastAsia="zh-CN"/>
        </w:rPr>
        <w:t>0节</w:t>
      </w:r>
      <w:r>
        <w:rPr>
          <w:rFonts w:hint="eastAsia" w:ascii="宋体" w:hAnsi="宋体" w:eastAsia="宋体" w:cs="宋体"/>
          <w:color w:val="000000"/>
          <w:kern w:val="0"/>
          <w:sz w:val="24"/>
          <w:szCs w:val="24"/>
        </w:rPr>
        <w:t>为一组）</w:t>
      </w:r>
      <w:r>
        <w:rPr>
          <w:rFonts w:hint="eastAsia" w:ascii="宋体" w:hAnsi="宋体" w:eastAsia="宋体" w:cs="宋体"/>
          <w:color w:val="000000"/>
          <w:kern w:val="0"/>
          <w:sz w:val="24"/>
          <w:szCs w:val="24"/>
          <w:lang w:eastAsia="zh-CN"/>
        </w:rPr>
        <w:t>，</w:t>
      </w:r>
      <w:r>
        <w:rPr>
          <w:rFonts w:hint="eastAsia" w:ascii="宋体" w:hAnsi="宋体" w:eastAsia="宋体" w:cs="宋体"/>
          <w:color w:val="000000"/>
          <w:kern w:val="0"/>
          <w:sz w:val="24"/>
          <w:szCs w:val="24"/>
          <w:lang w:val="en-US" w:eastAsia="zh-CN"/>
        </w:rPr>
        <w:t>其中600KVA UPS主机配4组160节</w:t>
      </w:r>
      <w:r>
        <w:rPr>
          <w:rFonts w:hint="eastAsia" w:ascii="宋体" w:hAnsi="宋体" w:eastAsia="宋体" w:cs="宋体"/>
          <w:color w:val="000000"/>
          <w:kern w:val="0"/>
          <w:sz w:val="24"/>
          <w:szCs w:val="24"/>
        </w:rPr>
        <w:t>12V</w:t>
      </w:r>
      <w:r>
        <w:rPr>
          <w:rFonts w:hint="eastAsia" w:ascii="宋体" w:hAnsi="宋体" w:eastAsia="宋体" w:cs="宋体"/>
          <w:color w:val="000000"/>
          <w:kern w:val="0"/>
          <w:sz w:val="24"/>
          <w:szCs w:val="24"/>
          <w:lang w:val="en-US" w:eastAsia="zh-CN"/>
        </w:rPr>
        <w:t xml:space="preserve"> 25</w:t>
      </w:r>
      <w:r>
        <w:rPr>
          <w:rFonts w:hint="eastAsia" w:ascii="宋体" w:hAnsi="宋体" w:eastAsia="宋体" w:cs="宋体"/>
          <w:color w:val="000000"/>
          <w:kern w:val="0"/>
          <w:sz w:val="24"/>
          <w:szCs w:val="24"/>
        </w:rPr>
        <w:t>0Ah铅酸</w:t>
      </w:r>
      <w:r>
        <w:rPr>
          <w:rFonts w:hint="eastAsia" w:ascii="宋体" w:hAnsi="宋体" w:eastAsia="宋体" w:cs="宋体"/>
          <w:color w:val="000000"/>
          <w:kern w:val="0"/>
          <w:sz w:val="24"/>
          <w:szCs w:val="24"/>
          <w:lang w:val="en-US" w:eastAsia="zh-CN"/>
        </w:rPr>
        <w:t>蓄电池；300KVA UPS主机配1组40节</w:t>
      </w:r>
      <w:r>
        <w:rPr>
          <w:rFonts w:hint="eastAsia" w:ascii="宋体" w:hAnsi="宋体" w:eastAsia="宋体" w:cs="宋体"/>
          <w:color w:val="000000"/>
          <w:kern w:val="0"/>
          <w:sz w:val="24"/>
          <w:szCs w:val="24"/>
        </w:rPr>
        <w:t>12V</w:t>
      </w:r>
      <w:r>
        <w:rPr>
          <w:rFonts w:hint="eastAsia" w:ascii="宋体" w:hAnsi="宋体" w:eastAsia="宋体" w:cs="宋体"/>
          <w:color w:val="000000"/>
          <w:kern w:val="0"/>
          <w:sz w:val="24"/>
          <w:szCs w:val="24"/>
          <w:lang w:val="en-US" w:eastAsia="zh-CN"/>
        </w:rPr>
        <w:t xml:space="preserve"> 25</w:t>
      </w:r>
      <w:r>
        <w:rPr>
          <w:rFonts w:hint="eastAsia" w:ascii="宋体" w:hAnsi="宋体" w:eastAsia="宋体" w:cs="宋体"/>
          <w:color w:val="000000"/>
          <w:kern w:val="0"/>
          <w:sz w:val="24"/>
          <w:szCs w:val="24"/>
        </w:rPr>
        <w:t>0Ah铅酸</w:t>
      </w:r>
      <w:r>
        <w:rPr>
          <w:rFonts w:hint="eastAsia" w:ascii="宋体" w:hAnsi="宋体" w:eastAsia="宋体" w:cs="宋体"/>
          <w:color w:val="000000"/>
          <w:kern w:val="0"/>
          <w:sz w:val="24"/>
          <w:szCs w:val="24"/>
          <w:lang w:val="en-US" w:eastAsia="zh-CN"/>
        </w:rPr>
        <w:t>蓄电池</w:t>
      </w:r>
      <w:r>
        <w:rPr>
          <w:rFonts w:hint="eastAsia" w:ascii="宋体" w:hAnsi="宋体" w:eastAsia="宋体" w:cs="宋体"/>
          <w:sz w:val="24"/>
          <w:szCs w:val="24"/>
        </w:rPr>
        <w:t>。</w:t>
      </w:r>
    </w:p>
    <w:p w14:paraId="19125C5B">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采用高性能、高可靠性的全密封阀控式免维护铅酸蓄电池，单体蓄电池容量不小于</w:t>
      </w:r>
      <w:r>
        <w:rPr>
          <w:rFonts w:hint="eastAsia" w:ascii="宋体" w:hAnsi="宋体" w:eastAsia="宋体" w:cs="宋体"/>
          <w:sz w:val="24"/>
          <w:szCs w:val="24"/>
          <w:lang w:val="en-US" w:eastAsia="zh-CN"/>
        </w:rPr>
        <w:t>25</w:t>
      </w:r>
      <w:r>
        <w:rPr>
          <w:rFonts w:hint="eastAsia" w:ascii="宋体" w:hAnsi="宋体" w:eastAsia="宋体" w:cs="宋体"/>
          <w:sz w:val="24"/>
          <w:szCs w:val="24"/>
        </w:rPr>
        <w:t>0A</w:t>
      </w:r>
      <w:r>
        <w:rPr>
          <w:rFonts w:hint="eastAsia" w:ascii="宋体" w:hAnsi="宋体" w:eastAsia="宋体" w:cs="宋体"/>
          <w:sz w:val="24"/>
          <w:szCs w:val="24"/>
          <w:lang w:val="en-US" w:eastAsia="zh-CN"/>
        </w:rPr>
        <w:t>H</w:t>
      </w:r>
      <w:r>
        <w:rPr>
          <w:rFonts w:hint="eastAsia" w:ascii="宋体" w:hAnsi="宋体" w:eastAsia="宋体" w:cs="宋体"/>
          <w:sz w:val="24"/>
          <w:szCs w:val="24"/>
        </w:rPr>
        <w:t>(C20,1.75V/cell)，额定电压12V</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由于配电间尺寸有限，蓄电池尺寸建议不大于522*240*218mm（长宽高）</w:t>
      </w:r>
      <w:r>
        <w:rPr>
          <w:rFonts w:hint="eastAsia" w:ascii="宋体" w:hAnsi="宋体" w:eastAsia="宋体" w:cs="宋体"/>
          <w:sz w:val="24"/>
          <w:szCs w:val="24"/>
        </w:rPr>
        <w:t>。</w:t>
      </w:r>
    </w:p>
    <w:p w14:paraId="1715E96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知名品牌：环境温度20℃～25℃，浮充设计寿命≥12年。</w:t>
      </w:r>
    </w:p>
    <w:p w14:paraId="461B363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采用ABS阻燃材料，符合UL94V-0标准。</w:t>
      </w:r>
    </w:p>
    <w:p w14:paraId="0A256961">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4、</w:t>
      </w:r>
      <w:r>
        <w:rPr>
          <w:rFonts w:hint="eastAsia" w:ascii="宋体" w:hAnsi="宋体" w:eastAsia="宋体" w:cs="宋体"/>
          <w:sz w:val="24"/>
          <w:szCs w:val="24"/>
        </w:rPr>
        <w:t>温度范围：工作温度0℃～+40℃；储运温度-15℃～+50℃； 浮/均充充电：浮充电压值：13.50V；均充电电压值及范围：14.10V～14.40V 。</w:t>
      </w:r>
    </w:p>
    <w:p w14:paraId="1F70855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5、</w:t>
      </w:r>
      <w:r>
        <w:rPr>
          <w:rFonts w:hint="eastAsia" w:ascii="宋体" w:hAnsi="宋体" w:eastAsia="宋体" w:cs="宋体"/>
          <w:sz w:val="24"/>
          <w:szCs w:val="24"/>
        </w:rPr>
        <w:t>★蓄电池要便于存储，自放电率每月不大于3%。完全充电的蓄电池，在25±5℃的环境中，静置28天后，其容量保持率应在96.7％以上。</w:t>
      </w:r>
    </w:p>
    <w:p w14:paraId="33E55A3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6、</w:t>
      </w:r>
      <w:r>
        <w:rPr>
          <w:rFonts w:hint="eastAsia" w:ascii="宋体" w:hAnsi="宋体" w:eastAsia="宋体" w:cs="宋体"/>
          <w:sz w:val="24"/>
          <w:szCs w:val="24"/>
        </w:rPr>
        <w:t>蓄电池外壳无变型、裂纹、漏液及污渍；极性正确；大电流放电性能卓越，电池内阻稳定，均衡性好，且不会产生腐蚀气体。</w:t>
      </w:r>
    </w:p>
    <w:p w14:paraId="472543F7">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7、</w:t>
      </w:r>
      <w:r>
        <w:rPr>
          <w:rFonts w:hint="eastAsia" w:ascii="宋体" w:hAnsi="宋体" w:eastAsia="宋体" w:cs="宋体"/>
          <w:sz w:val="24"/>
          <w:szCs w:val="24"/>
        </w:rPr>
        <w:t>正负极性及端子有明显标志，便于连接。</w:t>
      </w:r>
    </w:p>
    <w:p w14:paraId="1DFD67DC">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8、</w:t>
      </w:r>
      <w:r>
        <w:rPr>
          <w:rFonts w:hint="eastAsia" w:ascii="宋体" w:hAnsi="宋体" w:eastAsia="宋体" w:cs="宋体"/>
          <w:sz w:val="24"/>
          <w:szCs w:val="24"/>
        </w:rPr>
        <w:t>蓄电池能承受50kPa正压或负压而不破裂、不开胶，压力释放后壳体无残余变形。</w:t>
      </w:r>
    </w:p>
    <w:p w14:paraId="7342A7F1">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9、</w:t>
      </w:r>
      <w:r>
        <w:rPr>
          <w:rFonts w:hint="eastAsia" w:ascii="宋体" w:hAnsi="宋体" w:eastAsia="宋体" w:cs="宋体"/>
          <w:sz w:val="24"/>
          <w:szCs w:val="24"/>
        </w:rPr>
        <w:t>★蓄电池内阻值应不大于</w:t>
      </w:r>
      <w:r>
        <w:rPr>
          <w:rFonts w:hint="eastAsia" w:ascii="宋体" w:hAnsi="宋体" w:eastAsia="宋体" w:cs="宋体"/>
          <w:sz w:val="24"/>
          <w:szCs w:val="24"/>
          <w:lang w:val="en-US" w:eastAsia="zh-CN"/>
        </w:rPr>
        <w:t>5.5</w:t>
      </w:r>
      <w:r>
        <w:rPr>
          <w:rFonts w:hint="eastAsia" w:ascii="宋体" w:hAnsi="宋体" w:eastAsia="宋体" w:cs="宋体"/>
          <w:sz w:val="24"/>
          <w:szCs w:val="24"/>
        </w:rPr>
        <w:t>mΩ，同组蓄电池内阻偏差应小于12%。</w:t>
      </w:r>
    </w:p>
    <w:p w14:paraId="590903C3">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10、</w:t>
      </w:r>
      <w:r>
        <w:rPr>
          <w:rFonts w:hint="eastAsia" w:ascii="宋体" w:hAnsi="宋体" w:eastAsia="宋体" w:cs="宋体"/>
          <w:sz w:val="24"/>
          <w:szCs w:val="24"/>
        </w:rPr>
        <w:t>★蓄电池密封反应效率应不低于96.5。</w:t>
      </w:r>
    </w:p>
    <w:p w14:paraId="5C83908C">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11、</w:t>
      </w:r>
      <w:r>
        <w:rPr>
          <w:rFonts w:hint="eastAsia" w:ascii="宋体" w:hAnsi="宋体" w:eastAsia="宋体" w:cs="宋体"/>
          <w:sz w:val="24"/>
          <w:szCs w:val="24"/>
        </w:rPr>
        <w:t>蓄电池间连接电压降△U≤5mV。</w:t>
      </w:r>
    </w:p>
    <w:p w14:paraId="0FE64024">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12、</w:t>
      </w:r>
      <w:r>
        <w:rPr>
          <w:rFonts w:hint="eastAsia" w:ascii="宋体" w:hAnsi="宋体" w:eastAsia="宋体" w:cs="宋体"/>
          <w:sz w:val="24"/>
          <w:szCs w:val="24"/>
        </w:rPr>
        <w:t>蓄电池工作过程中，无酸雾逸出，无漏液、渗液、爬液和膨胀现象；在充电过程中遇有明火，内部应不引燃、不引爆。</w:t>
      </w:r>
    </w:p>
    <w:p w14:paraId="1F8C880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13、</w:t>
      </w:r>
      <w:r>
        <w:rPr>
          <w:rFonts w:hint="eastAsia" w:ascii="宋体" w:hAnsi="宋体" w:eastAsia="宋体" w:cs="宋体"/>
          <w:sz w:val="24"/>
          <w:szCs w:val="24"/>
        </w:rPr>
        <w:t>蓄电池以30I10放电3min，极柱不应熔断,内部汇流排不应熔断,其外观不得出现异常。</w:t>
      </w:r>
    </w:p>
    <w:p w14:paraId="4BCA1447">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14、</w:t>
      </w:r>
      <w:r>
        <w:rPr>
          <w:rFonts w:hint="eastAsia" w:ascii="宋体" w:hAnsi="宋体" w:eastAsia="宋体" w:cs="宋体"/>
          <w:sz w:val="24"/>
          <w:szCs w:val="24"/>
        </w:rPr>
        <w:t>蓄电池组单体间的开路电压最高与最低差值不大于50mV；进入浮充状态24h后，各蓄电池间的浮充电压最高值与最低值之差不大于110mV。</w:t>
      </w:r>
    </w:p>
    <w:p w14:paraId="28CE3CC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15、</w:t>
      </w:r>
      <w:r>
        <w:rPr>
          <w:rFonts w:hint="eastAsia" w:ascii="宋体" w:hAnsi="宋体" w:eastAsia="宋体" w:cs="宋体"/>
          <w:sz w:val="24"/>
          <w:szCs w:val="24"/>
        </w:rPr>
        <w:t>蓄电池使用期间安全阀应自动开启闭合，闭阀压力应在1kPa～20kPa范围内，开阀压力应在10kPa～40kPa范围内。</w:t>
      </w:r>
    </w:p>
    <w:p w14:paraId="23A43D5A">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16、</w:t>
      </w:r>
      <w:r>
        <w:rPr>
          <w:rFonts w:hint="eastAsia" w:ascii="宋体" w:hAnsi="宋体" w:eastAsia="宋体" w:cs="宋体"/>
          <w:sz w:val="24"/>
          <w:szCs w:val="24"/>
        </w:rPr>
        <w:t>★蓄电池要求最少有一个关键零部件是</w:t>
      </w:r>
      <w:r>
        <w:rPr>
          <w:rFonts w:hint="eastAsia" w:ascii="宋体" w:hAnsi="宋体" w:eastAsia="宋体" w:cs="宋体"/>
          <w:sz w:val="24"/>
          <w:szCs w:val="24"/>
          <w:lang w:val="en-US" w:eastAsia="zh-CN"/>
        </w:rPr>
        <w:t>制造商</w:t>
      </w:r>
      <w:r>
        <w:rPr>
          <w:rFonts w:hint="eastAsia" w:ascii="宋体" w:hAnsi="宋体" w:eastAsia="宋体" w:cs="宋体"/>
          <w:sz w:val="24"/>
          <w:szCs w:val="24"/>
        </w:rPr>
        <w:t>自主生产并提供TLC证书证明。</w:t>
      </w:r>
    </w:p>
    <w:p w14:paraId="5426428E">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17、</w:t>
      </w:r>
      <w:r>
        <w:rPr>
          <w:rFonts w:hint="eastAsia" w:ascii="宋体" w:hAnsi="宋体" w:eastAsia="宋体" w:cs="宋体"/>
          <w:sz w:val="24"/>
          <w:szCs w:val="24"/>
        </w:rPr>
        <w:t>★</w:t>
      </w:r>
      <w:r>
        <w:rPr>
          <w:rFonts w:hint="eastAsia" w:ascii="宋体" w:hAnsi="宋体" w:eastAsia="宋体" w:cs="宋体"/>
          <w:sz w:val="24"/>
          <w:szCs w:val="24"/>
          <w:lang w:val="en-US" w:eastAsia="zh-CN"/>
        </w:rPr>
        <w:t>同系列</w:t>
      </w:r>
      <w:r>
        <w:rPr>
          <w:rFonts w:hint="eastAsia" w:ascii="宋体" w:hAnsi="宋体" w:eastAsia="宋体" w:cs="宋体"/>
          <w:sz w:val="24"/>
          <w:szCs w:val="24"/>
        </w:rPr>
        <w:t>电池通过抗震性能测试并提供抗震检验报告。</w:t>
      </w:r>
    </w:p>
    <w:p w14:paraId="5F544584">
      <w:pPr>
        <w:pStyle w:val="4"/>
        <w:bidi w:val="0"/>
        <w:spacing w:line="360" w:lineRule="auto"/>
        <w:ind w:firstLine="480" w:firstLineChars="200"/>
        <w:jc w:val="both"/>
        <w:rPr>
          <w:rFonts w:hint="eastAsia" w:ascii="宋体" w:hAnsi="宋体" w:eastAsia="宋体" w:cs="宋体"/>
          <w:sz w:val="24"/>
          <w:szCs w:val="24"/>
        </w:rPr>
      </w:pPr>
      <w:r>
        <w:rPr>
          <w:rFonts w:hint="eastAsia" w:ascii="宋体" w:hAnsi="宋体" w:eastAsia="宋体" w:cs="宋体"/>
          <w:b w:val="0"/>
          <w:bCs/>
          <w:sz w:val="24"/>
          <w:szCs w:val="24"/>
          <w:lang w:val="en-US" w:eastAsia="zh-CN"/>
        </w:rPr>
        <w:t>18、</w:t>
      </w:r>
      <w:r>
        <w:rPr>
          <w:rFonts w:hint="eastAsia" w:ascii="宋体" w:hAnsi="宋体" w:eastAsia="宋体" w:cs="宋体"/>
          <w:b w:val="0"/>
          <w:kern w:val="2"/>
          <w:sz w:val="24"/>
          <w:szCs w:val="24"/>
          <w:lang w:val="en-US" w:eastAsia="zh-CN" w:bidi="ar-SA"/>
        </w:rPr>
        <w:t>一年质保。</w:t>
      </w:r>
    </w:p>
    <w:p w14:paraId="5D470E1D">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10KVA UPS</w:t>
      </w:r>
    </w:p>
    <w:p w14:paraId="010B6B6A">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1、10KVA UPS主机，三相输入，单相输出。</w:t>
      </w:r>
    </w:p>
    <w:p w14:paraId="14BDAF8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2、单独配置16节12V 65AH</w:t>
      </w:r>
      <w:r>
        <w:rPr>
          <w:rFonts w:hint="eastAsia" w:ascii="宋体" w:hAnsi="宋体" w:eastAsia="宋体" w:cs="宋体"/>
          <w:color w:val="000000"/>
          <w:kern w:val="0"/>
          <w:sz w:val="24"/>
          <w:szCs w:val="24"/>
        </w:rPr>
        <w:t>铅酸</w:t>
      </w:r>
      <w:r>
        <w:rPr>
          <w:rFonts w:hint="eastAsia" w:ascii="宋体" w:hAnsi="宋体" w:eastAsia="宋体" w:cs="宋体"/>
          <w:sz w:val="24"/>
          <w:szCs w:val="24"/>
          <w:lang w:val="en-US" w:eastAsia="zh-CN"/>
        </w:rPr>
        <w:t>蓄电池（配置电池开关、电池连接线），另外配置1个16节电池柜。</w:t>
      </w:r>
    </w:p>
    <w:p w14:paraId="33A8500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r>
        <w:rPr>
          <w:rFonts w:hint="eastAsia" w:ascii="宋体" w:hAnsi="宋体" w:eastAsia="宋体" w:cs="宋体"/>
          <w:sz w:val="24"/>
          <w:szCs w:val="24"/>
          <w:highlight w:val="none"/>
          <w:lang w:val="en-US" w:eastAsia="zh-CN"/>
        </w:rPr>
        <w:t>一</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质保</w:t>
      </w:r>
      <w:r>
        <w:rPr>
          <w:rFonts w:hint="eastAsia" w:ascii="宋体" w:hAnsi="宋体" w:eastAsia="宋体" w:cs="宋体"/>
          <w:sz w:val="24"/>
          <w:szCs w:val="24"/>
          <w:lang w:val="en-US" w:eastAsia="zh-CN"/>
        </w:rPr>
        <w:t>。</w:t>
      </w:r>
    </w:p>
    <w:p w14:paraId="3E48E342">
      <w:pPr>
        <w:pStyle w:val="3"/>
        <w:spacing w:line="360" w:lineRule="auto"/>
        <w:jc w:val="left"/>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空调新排风系统</w:t>
      </w:r>
    </w:p>
    <w:p w14:paraId="4F59C5C5">
      <w:pPr>
        <w:pStyle w:val="4"/>
        <w:bidi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精密空调</w:t>
      </w:r>
    </w:p>
    <w:p w14:paraId="2E2F8697">
      <w:pPr>
        <w:pStyle w:val="217"/>
        <w:spacing w:line="360" w:lineRule="auto"/>
        <w:rPr>
          <w:rFonts w:hint="eastAsia" w:ascii="宋体" w:hAnsi="宋体" w:eastAsia="宋体" w:cs="宋体"/>
          <w:sz w:val="24"/>
          <w:szCs w:val="24"/>
        </w:rPr>
      </w:pPr>
      <w:bookmarkStart w:id="82" w:name="_Hlk137029437"/>
      <w:r>
        <w:rPr>
          <w:rFonts w:hint="eastAsia" w:ascii="宋体" w:hAnsi="宋体" w:eastAsia="宋体" w:cs="宋体"/>
          <w:sz w:val="24"/>
          <w:szCs w:val="24"/>
          <w:lang w:val="en-US" w:eastAsia="zh-CN"/>
        </w:rPr>
        <w:t>配电间</w:t>
      </w:r>
      <w:r>
        <w:rPr>
          <w:rFonts w:hint="eastAsia" w:ascii="宋体" w:hAnsi="宋体" w:eastAsia="宋体" w:cs="宋体"/>
          <w:sz w:val="24"/>
          <w:szCs w:val="24"/>
        </w:rPr>
        <w:t>配置</w:t>
      </w:r>
      <w:r>
        <w:rPr>
          <w:rFonts w:hint="eastAsia" w:ascii="宋体" w:hAnsi="宋体" w:eastAsia="宋体" w:cs="宋体"/>
          <w:sz w:val="24"/>
          <w:szCs w:val="24"/>
          <w:lang w:val="en-US" w:eastAsia="zh-CN"/>
        </w:rPr>
        <w:t>1</w:t>
      </w:r>
      <w:r>
        <w:rPr>
          <w:rFonts w:hint="eastAsia" w:ascii="宋体" w:hAnsi="宋体" w:eastAsia="宋体" w:cs="宋体"/>
          <w:sz w:val="24"/>
          <w:szCs w:val="24"/>
        </w:rPr>
        <w:t>台</w:t>
      </w:r>
      <w:r>
        <w:rPr>
          <w:rFonts w:hint="eastAsia" w:ascii="宋体" w:hAnsi="宋体" w:eastAsia="宋体" w:cs="宋体"/>
          <w:sz w:val="24"/>
          <w:szCs w:val="24"/>
          <w:lang w:val="en-US" w:eastAsia="zh-CN"/>
        </w:rPr>
        <w:t>40kw</w:t>
      </w:r>
      <w:r>
        <w:rPr>
          <w:rFonts w:hint="eastAsia" w:ascii="宋体" w:hAnsi="宋体" w:eastAsia="宋体" w:cs="宋体"/>
          <w:sz w:val="24"/>
          <w:szCs w:val="24"/>
        </w:rPr>
        <w:t>精密空调，单台设备</w:t>
      </w:r>
      <w:r>
        <w:rPr>
          <w:rFonts w:hint="eastAsia" w:ascii="宋体" w:hAnsi="宋体" w:eastAsia="宋体" w:cs="宋体"/>
          <w:sz w:val="24"/>
          <w:szCs w:val="24"/>
          <w:lang w:val="en-US" w:eastAsia="zh-CN"/>
        </w:rPr>
        <w:t>制冷</w:t>
      </w:r>
      <w:r>
        <w:rPr>
          <w:rFonts w:hint="eastAsia" w:ascii="宋体" w:hAnsi="宋体" w:eastAsia="宋体" w:cs="宋体"/>
          <w:sz w:val="24"/>
          <w:szCs w:val="24"/>
        </w:rPr>
        <w:t>量40KW的</w:t>
      </w:r>
      <w:r>
        <w:rPr>
          <w:rFonts w:hint="eastAsia" w:ascii="宋体" w:hAnsi="宋体" w:eastAsia="宋体" w:cs="宋体"/>
          <w:sz w:val="24"/>
          <w:szCs w:val="24"/>
          <w:lang w:val="en-US" w:eastAsia="zh-CN"/>
        </w:rPr>
        <w:t>房间级</w:t>
      </w:r>
      <w:r>
        <w:rPr>
          <w:rFonts w:hint="eastAsia" w:ascii="宋体" w:hAnsi="宋体" w:eastAsia="宋体" w:cs="宋体"/>
          <w:sz w:val="24"/>
          <w:szCs w:val="24"/>
        </w:rPr>
        <w:t>精密空调，精密空调采用水平前送风</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顶回风，含室内机、室外机、铜管及排水管，</w:t>
      </w:r>
      <w:r>
        <w:rPr>
          <w:rFonts w:hint="eastAsia" w:ascii="宋体" w:hAnsi="宋体" w:eastAsia="宋体" w:cs="宋体"/>
          <w:sz w:val="24"/>
          <w:szCs w:val="24"/>
        </w:rPr>
        <w:t>精密空调配置RS485通信接口，通信协议满足</w:t>
      </w:r>
      <w:r>
        <w:rPr>
          <w:rFonts w:hint="eastAsia" w:ascii="宋体" w:hAnsi="宋体" w:eastAsia="宋体" w:cs="宋体"/>
          <w:sz w:val="24"/>
          <w:szCs w:val="24"/>
          <w:lang w:val="en-US" w:eastAsia="zh-CN"/>
        </w:rPr>
        <w:t>动环</w:t>
      </w:r>
      <w:r>
        <w:rPr>
          <w:rFonts w:hint="eastAsia" w:ascii="宋体" w:hAnsi="宋体" w:eastAsia="宋体" w:cs="宋体"/>
          <w:sz w:val="24"/>
          <w:szCs w:val="24"/>
        </w:rPr>
        <w:t>监控系统的要求。</w:t>
      </w:r>
    </w:p>
    <w:p w14:paraId="63E7A257">
      <w:pPr>
        <w:pStyle w:val="217"/>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rPr>
        <w:t>精密空调</w:t>
      </w:r>
      <w:r>
        <w:rPr>
          <w:rFonts w:hint="eastAsia" w:ascii="宋体" w:hAnsi="宋体" w:eastAsia="宋体" w:cs="宋体"/>
          <w:sz w:val="24"/>
          <w:szCs w:val="24"/>
          <w:lang w:val="en-US" w:eastAsia="zh-CN"/>
        </w:rPr>
        <w:t>技术指标要求如下表：</w:t>
      </w:r>
    </w:p>
    <w:tbl>
      <w:tblPr>
        <w:tblStyle w:val="41"/>
        <w:tblW w:w="103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245"/>
        <w:gridCol w:w="1328"/>
        <w:gridCol w:w="1423"/>
        <w:gridCol w:w="2337"/>
        <w:gridCol w:w="1272"/>
        <w:gridCol w:w="2021"/>
      </w:tblGrid>
      <w:tr w14:paraId="597C5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blHeader/>
          <w:jc w:val="center"/>
        </w:trPr>
        <w:tc>
          <w:tcPr>
            <w:tcW w:w="706" w:type="dxa"/>
            <w:noWrap w:val="0"/>
            <w:vAlign w:val="center"/>
          </w:tcPr>
          <w:p w14:paraId="26B796DC">
            <w:pPr>
              <w:bidi w:val="0"/>
              <w:jc w:val="center"/>
              <w:rPr>
                <w:rFonts w:hint="eastAsia" w:ascii="宋体" w:hAnsi="宋体" w:eastAsia="宋体" w:cs="宋体"/>
                <w:sz w:val="24"/>
                <w:szCs w:val="32"/>
              </w:rPr>
            </w:pPr>
            <w:r>
              <w:rPr>
                <w:rFonts w:hint="eastAsia" w:ascii="宋体" w:hAnsi="宋体" w:eastAsia="宋体" w:cs="宋体"/>
                <w:sz w:val="24"/>
                <w:szCs w:val="32"/>
              </w:rPr>
              <w:t>序号</w:t>
            </w:r>
          </w:p>
        </w:tc>
        <w:tc>
          <w:tcPr>
            <w:tcW w:w="1245" w:type="dxa"/>
            <w:noWrap w:val="0"/>
            <w:vAlign w:val="center"/>
          </w:tcPr>
          <w:p w14:paraId="59E9DB7B">
            <w:pPr>
              <w:bidi w:val="0"/>
              <w:jc w:val="center"/>
              <w:rPr>
                <w:rFonts w:hint="eastAsia" w:ascii="宋体" w:hAnsi="宋体" w:eastAsia="宋体" w:cs="宋体"/>
                <w:sz w:val="24"/>
                <w:szCs w:val="32"/>
              </w:rPr>
            </w:pPr>
            <w:r>
              <w:rPr>
                <w:rFonts w:hint="eastAsia" w:ascii="宋体" w:hAnsi="宋体" w:eastAsia="宋体" w:cs="宋体"/>
                <w:sz w:val="24"/>
                <w:szCs w:val="32"/>
              </w:rPr>
              <w:t>制冷量（kW）</w:t>
            </w:r>
          </w:p>
        </w:tc>
        <w:tc>
          <w:tcPr>
            <w:tcW w:w="1328" w:type="dxa"/>
            <w:noWrap w:val="0"/>
            <w:vAlign w:val="center"/>
          </w:tcPr>
          <w:p w14:paraId="789DABB7">
            <w:pPr>
              <w:bidi w:val="0"/>
              <w:jc w:val="center"/>
              <w:rPr>
                <w:rFonts w:hint="eastAsia" w:ascii="宋体" w:hAnsi="宋体" w:eastAsia="宋体" w:cs="宋体"/>
                <w:sz w:val="24"/>
                <w:szCs w:val="32"/>
              </w:rPr>
            </w:pPr>
            <w:r>
              <w:rPr>
                <w:rFonts w:hint="eastAsia" w:ascii="宋体" w:hAnsi="宋体" w:eastAsia="宋体" w:cs="宋体"/>
                <w:sz w:val="24"/>
                <w:szCs w:val="32"/>
              </w:rPr>
              <w:t>风量（m3/h）</w:t>
            </w:r>
          </w:p>
        </w:tc>
        <w:tc>
          <w:tcPr>
            <w:tcW w:w="1423" w:type="dxa"/>
            <w:noWrap w:val="0"/>
            <w:vAlign w:val="center"/>
          </w:tcPr>
          <w:p w14:paraId="02441E19">
            <w:pPr>
              <w:bidi w:val="0"/>
              <w:jc w:val="center"/>
              <w:rPr>
                <w:rFonts w:hint="eastAsia" w:ascii="宋体" w:hAnsi="宋体" w:eastAsia="宋体" w:cs="宋体"/>
                <w:sz w:val="24"/>
                <w:szCs w:val="32"/>
              </w:rPr>
            </w:pPr>
            <w:r>
              <w:rPr>
                <w:rFonts w:hint="eastAsia" w:ascii="宋体" w:hAnsi="宋体" w:eastAsia="宋体" w:cs="宋体"/>
                <w:sz w:val="24"/>
                <w:szCs w:val="32"/>
              </w:rPr>
              <w:t>电源模式</w:t>
            </w:r>
          </w:p>
        </w:tc>
        <w:tc>
          <w:tcPr>
            <w:tcW w:w="2337" w:type="dxa"/>
            <w:noWrap w:val="0"/>
            <w:vAlign w:val="center"/>
          </w:tcPr>
          <w:p w14:paraId="50D714BC">
            <w:pPr>
              <w:bidi w:val="0"/>
              <w:jc w:val="center"/>
              <w:rPr>
                <w:rFonts w:hint="eastAsia" w:ascii="宋体" w:hAnsi="宋体" w:eastAsia="宋体" w:cs="宋体"/>
                <w:sz w:val="24"/>
                <w:szCs w:val="32"/>
              </w:rPr>
            </w:pPr>
            <w:r>
              <w:rPr>
                <w:rFonts w:hint="eastAsia" w:ascii="宋体" w:hAnsi="宋体" w:eastAsia="宋体" w:cs="宋体"/>
                <w:sz w:val="24"/>
                <w:szCs w:val="32"/>
              </w:rPr>
              <w:t>功能类型</w:t>
            </w:r>
          </w:p>
        </w:tc>
        <w:tc>
          <w:tcPr>
            <w:tcW w:w="1272" w:type="dxa"/>
            <w:noWrap w:val="0"/>
            <w:vAlign w:val="center"/>
          </w:tcPr>
          <w:p w14:paraId="7F17952A">
            <w:pPr>
              <w:bidi w:val="0"/>
              <w:jc w:val="center"/>
              <w:rPr>
                <w:rFonts w:hint="eastAsia" w:ascii="宋体" w:hAnsi="宋体" w:eastAsia="宋体" w:cs="宋体"/>
                <w:sz w:val="24"/>
                <w:szCs w:val="32"/>
              </w:rPr>
            </w:pPr>
            <w:r>
              <w:rPr>
                <w:rFonts w:hint="eastAsia" w:ascii="宋体" w:hAnsi="宋体" w:eastAsia="宋体" w:cs="宋体"/>
                <w:sz w:val="24"/>
                <w:szCs w:val="32"/>
              </w:rPr>
              <w:t>送风型式</w:t>
            </w:r>
          </w:p>
        </w:tc>
        <w:tc>
          <w:tcPr>
            <w:tcW w:w="2021" w:type="dxa"/>
            <w:noWrap w:val="0"/>
            <w:vAlign w:val="center"/>
          </w:tcPr>
          <w:p w14:paraId="7BB862FC">
            <w:pPr>
              <w:bidi w:val="0"/>
              <w:jc w:val="center"/>
              <w:rPr>
                <w:rFonts w:hint="eastAsia" w:ascii="宋体" w:hAnsi="宋体" w:eastAsia="宋体" w:cs="宋体"/>
                <w:sz w:val="24"/>
                <w:szCs w:val="32"/>
              </w:rPr>
            </w:pPr>
            <w:r>
              <w:rPr>
                <w:rFonts w:hint="eastAsia" w:ascii="宋体" w:hAnsi="宋体" w:eastAsia="宋体" w:cs="宋体"/>
                <w:sz w:val="24"/>
                <w:szCs w:val="32"/>
              </w:rPr>
              <w:t>尺寸（长*宽*高mm）</w:t>
            </w:r>
          </w:p>
        </w:tc>
      </w:tr>
      <w:tr w14:paraId="7CADD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tblHeader/>
          <w:jc w:val="center"/>
        </w:trPr>
        <w:tc>
          <w:tcPr>
            <w:tcW w:w="706" w:type="dxa"/>
            <w:noWrap w:val="0"/>
            <w:vAlign w:val="center"/>
          </w:tcPr>
          <w:p w14:paraId="2DFED9FA">
            <w:pPr>
              <w:bidi w:val="0"/>
              <w:jc w:val="center"/>
              <w:rPr>
                <w:rFonts w:hint="eastAsia" w:ascii="宋体" w:hAnsi="宋体" w:eastAsia="宋体" w:cs="宋体"/>
                <w:sz w:val="24"/>
                <w:szCs w:val="32"/>
              </w:rPr>
            </w:pPr>
            <w:r>
              <w:rPr>
                <w:rFonts w:hint="eastAsia" w:ascii="宋体" w:hAnsi="宋体" w:eastAsia="宋体" w:cs="宋体"/>
                <w:sz w:val="24"/>
                <w:szCs w:val="32"/>
              </w:rPr>
              <w:t>1</w:t>
            </w:r>
          </w:p>
        </w:tc>
        <w:tc>
          <w:tcPr>
            <w:tcW w:w="1245" w:type="dxa"/>
            <w:noWrap w:val="0"/>
            <w:vAlign w:val="center"/>
          </w:tcPr>
          <w:p w14:paraId="289F09A8">
            <w:pPr>
              <w:bidi w:val="0"/>
              <w:jc w:val="center"/>
              <w:rPr>
                <w:rFonts w:hint="eastAsia" w:ascii="宋体" w:hAnsi="宋体" w:eastAsia="宋体" w:cs="宋体"/>
                <w:sz w:val="24"/>
                <w:szCs w:val="32"/>
              </w:rPr>
            </w:pPr>
            <w:r>
              <w:rPr>
                <w:rFonts w:hint="eastAsia" w:ascii="宋体" w:hAnsi="宋体" w:eastAsia="宋体" w:cs="宋体"/>
                <w:sz w:val="24"/>
                <w:szCs w:val="32"/>
              </w:rPr>
              <w:t>≥40</w:t>
            </w:r>
          </w:p>
        </w:tc>
        <w:tc>
          <w:tcPr>
            <w:tcW w:w="1328" w:type="dxa"/>
            <w:noWrap w:val="0"/>
            <w:vAlign w:val="center"/>
          </w:tcPr>
          <w:p w14:paraId="15509081">
            <w:pPr>
              <w:bidi w:val="0"/>
              <w:jc w:val="center"/>
              <w:rPr>
                <w:rFonts w:hint="eastAsia" w:ascii="宋体" w:hAnsi="宋体" w:eastAsia="宋体" w:cs="宋体"/>
                <w:sz w:val="24"/>
                <w:szCs w:val="32"/>
              </w:rPr>
            </w:pPr>
            <w:r>
              <w:rPr>
                <w:rFonts w:hint="eastAsia" w:ascii="宋体" w:hAnsi="宋体" w:eastAsia="宋体" w:cs="宋体"/>
                <w:sz w:val="24"/>
                <w:szCs w:val="32"/>
              </w:rPr>
              <w:t>≥11000</w:t>
            </w:r>
          </w:p>
        </w:tc>
        <w:tc>
          <w:tcPr>
            <w:tcW w:w="1423" w:type="dxa"/>
            <w:noWrap w:val="0"/>
            <w:vAlign w:val="center"/>
          </w:tcPr>
          <w:p w14:paraId="19938AC2">
            <w:pPr>
              <w:bidi w:val="0"/>
              <w:jc w:val="center"/>
              <w:rPr>
                <w:rFonts w:hint="eastAsia" w:ascii="宋体" w:hAnsi="宋体" w:eastAsia="宋体" w:cs="宋体"/>
                <w:sz w:val="24"/>
                <w:szCs w:val="32"/>
              </w:rPr>
            </w:pPr>
            <w:r>
              <w:rPr>
                <w:rFonts w:hint="eastAsia" w:ascii="宋体" w:hAnsi="宋体" w:eastAsia="宋体" w:cs="宋体"/>
                <w:sz w:val="24"/>
                <w:szCs w:val="32"/>
              </w:rPr>
              <w:t>三相380V/50Hz</w:t>
            </w:r>
          </w:p>
        </w:tc>
        <w:tc>
          <w:tcPr>
            <w:tcW w:w="2337" w:type="dxa"/>
            <w:noWrap w:val="0"/>
            <w:vAlign w:val="center"/>
          </w:tcPr>
          <w:p w14:paraId="6D9EA3E0">
            <w:pPr>
              <w:bidi w:val="0"/>
              <w:jc w:val="center"/>
              <w:rPr>
                <w:rFonts w:hint="eastAsia" w:ascii="宋体" w:hAnsi="宋体" w:eastAsia="宋体" w:cs="宋体"/>
                <w:sz w:val="24"/>
                <w:szCs w:val="32"/>
                <w:lang w:eastAsia="zh-CN"/>
              </w:rPr>
            </w:pPr>
            <w:r>
              <w:rPr>
                <w:rFonts w:hint="eastAsia" w:ascii="宋体" w:hAnsi="宋体" w:eastAsia="宋体" w:cs="宋体"/>
                <w:sz w:val="24"/>
                <w:szCs w:val="32"/>
              </w:rPr>
              <w:t>恒温恒湿</w:t>
            </w:r>
            <w:r>
              <w:rPr>
                <w:rFonts w:hint="eastAsia" w:ascii="宋体" w:hAnsi="宋体" w:eastAsia="宋体" w:cs="宋体"/>
                <w:sz w:val="24"/>
                <w:szCs w:val="32"/>
                <w:lang w:eastAsia="zh-CN"/>
              </w:rPr>
              <w:t>，</w:t>
            </w:r>
            <w:r>
              <w:rPr>
                <w:rFonts w:hint="eastAsia" w:ascii="宋体" w:hAnsi="宋体" w:eastAsia="宋体" w:cs="宋体"/>
                <w:sz w:val="24"/>
                <w:szCs w:val="32"/>
              </w:rPr>
              <w:t>电加热：9kW 加湿量：8kg/H</w:t>
            </w:r>
          </w:p>
        </w:tc>
        <w:tc>
          <w:tcPr>
            <w:tcW w:w="1272" w:type="dxa"/>
            <w:noWrap w:val="0"/>
            <w:vAlign w:val="center"/>
          </w:tcPr>
          <w:p w14:paraId="6DD12B3E">
            <w:pPr>
              <w:bidi w:val="0"/>
              <w:jc w:val="center"/>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前送风，顶回风</w:t>
            </w:r>
          </w:p>
        </w:tc>
        <w:tc>
          <w:tcPr>
            <w:tcW w:w="2021" w:type="dxa"/>
            <w:noWrap w:val="0"/>
            <w:vAlign w:val="center"/>
          </w:tcPr>
          <w:p w14:paraId="73CDCD9A">
            <w:pPr>
              <w:bidi w:val="0"/>
              <w:jc w:val="center"/>
              <w:rPr>
                <w:rFonts w:hint="eastAsia" w:ascii="宋体" w:hAnsi="宋体" w:eastAsia="宋体" w:cs="宋体"/>
                <w:sz w:val="24"/>
                <w:szCs w:val="32"/>
              </w:rPr>
            </w:pPr>
            <w:r>
              <w:rPr>
                <w:rFonts w:hint="eastAsia" w:ascii="宋体" w:hAnsi="宋体" w:eastAsia="宋体" w:cs="宋体"/>
                <w:sz w:val="24"/>
                <w:szCs w:val="32"/>
              </w:rPr>
              <w:t>≤930*998*1975</w:t>
            </w:r>
          </w:p>
        </w:tc>
      </w:tr>
    </w:tbl>
    <w:p w14:paraId="7F9D143B">
      <w:pPr>
        <w:pStyle w:val="220"/>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注：</w:t>
      </w:r>
      <w:r>
        <w:rPr>
          <w:rFonts w:hint="eastAsia" w:ascii="宋体" w:hAnsi="宋体" w:eastAsia="宋体" w:cs="宋体"/>
          <w:sz w:val="24"/>
          <w:szCs w:val="24"/>
          <w:lang w:val="en-US" w:eastAsia="zh-CN"/>
        </w:rPr>
        <w:t xml:space="preserve">测试条件：机组的制冷量是在室内24℃/50%，室外环境温度35℃条件下测定的。 </w:t>
      </w:r>
    </w:p>
    <w:p w14:paraId="18F7538C">
      <w:pPr>
        <w:pStyle w:val="220"/>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1、精密空调的节能性能</w:t>
      </w:r>
    </w:p>
    <w:p w14:paraId="705D56AA">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精密空调</w:t>
      </w:r>
      <w:r>
        <w:rPr>
          <w:rFonts w:hint="eastAsia" w:ascii="宋体" w:hAnsi="宋体" w:eastAsia="宋体" w:cs="宋体"/>
          <w:sz w:val="24"/>
          <w:szCs w:val="24"/>
        </w:rPr>
        <w:t>应为节能型产品，按照GB19576-2019等效等级指标和GB/T19413-2010检验方法，全年能效比AEER≥4.2；</w:t>
      </w:r>
      <w:r>
        <w:rPr>
          <w:rFonts w:hint="eastAsia" w:ascii="宋体" w:hAnsi="宋体" w:eastAsia="宋体" w:cs="宋体"/>
          <w:sz w:val="24"/>
          <w:szCs w:val="24"/>
          <w:lang w:val="en-US" w:eastAsia="zh-CN"/>
        </w:rPr>
        <w:t>需</w:t>
      </w:r>
      <w:r>
        <w:rPr>
          <w:rFonts w:hint="eastAsia" w:ascii="宋体" w:hAnsi="宋体" w:eastAsia="宋体" w:cs="宋体"/>
          <w:sz w:val="24"/>
          <w:szCs w:val="24"/>
        </w:rPr>
        <w:t>提供投标产品节能产品认证报告；且在出厂设备显著位置粘贴一级能效标识，</w:t>
      </w:r>
      <w:r>
        <w:rPr>
          <w:rFonts w:hint="eastAsia" w:ascii="宋体" w:hAnsi="宋体" w:eastAsia="宋体" w:cs="宋体"/>
          <w:sz w:val="24"/>
          <w:szCs w:val="24"/>
          <w:lang w:val="en-US" w:eastAsia="zh-CN"/>
        </w:rPr>
        <w:t>需</w:t>
      </w:r>
      <w:r>
        <w:rPr>
          <w:rFonts w:hint="eastAsia" w:ascii="宋体" w:hAnsi="宋体" w:eastAsia="宋体" w:cs="宋体"/>
          <w:sz w:val="24"/>
          <w:szCs w:val="24"/>
        </w:rPr>
        <w:t>提供投标产品能效标识照片。</w:t>
      </w:r>
    </w:p>
    <w:p w14:paraId="2EFC618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2、精密空调机组性能</w:t>
      </w:r>
    </w:p>
    <w:p w14:paraId="333D2BB2">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w:t>
      </w:r>
      <w:r>
        <w:rPr>
          <w:rFonts w:hint="eastAsia" w:ascii="宋体" w:hAnsi="宋体" w:eastAsia="宋体" w:cs="宋体"/>
          <w:sz w:val="24"/>
          <w:szCs w:val="24"/>
        </w:rPr>
        <w:t>为了保证机组的安全运行及质量可靠，要求膨胀阀必须采用控制更为精确的电子膨胀阀。</w:t>
      </w:r>
    </w:p>
    <w:p w14:paraId="7624205C">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w:t>
      </w:r>
      <w:r>
        <w:rPr>
          <w:rFonts w:hint="eastAsia" w:ascii="宋体" w:hAnsi="宋体" w:eastAsia="宋体" w:cs="宋体"/>
          <w:sz w:val="24"/>
          <w:szCs w:val="24"/>
        </w:rPr>
        <w:t>★为了保证机组的安全运行及质量可靠，要求空调室内风机必须采用可调速EC风机。机组的室内风机系统应能够方便的从机组正面取出进行现场维修,提高系统的维护性。</w:t>
      </w:r>
    </w:p>
    <w:p w14:paraId="4D0752D7">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★蒸发器形式：需采用“V”型。请投标方提供各机型蒸发器型式。应采用铜管套冲缝型亲水铝翘片式蒸发器盘管。应具备较大的迎风面积和蒸发面积（㎡）。</w:t>
      </w:r>
    </w:p>
    <w:p w14:paraId="3BBBF971">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精密空调</w:t>
      </w:r>
      <w:r>
        <w:rPr>
          <w:rFonts w:hint="eastAsia" w:ascii="宋体" w:hAnsi="宋体" w:eastAsia="宋体" w:cs="宋体"/>
          <w:sz w:val="24"/>
          <w:szCs w:val="24"/>
        </w:rPr>
        <w:t>应具有高效节能性，压缩机具有较高的能效比，推荐采用谷轮、丹佛斯或同等档次压缩机。</w:t>
      </w:r>
    </w:p>
    <w:p w14:paraId="700464F8">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EC风机应具有风速可调功能，采用电机风机共轴设计，减少传动损耗。若采用下送风方式的，风机系统应下沉式设计，以减少机组导流弯对风量的阻碍，延长送风系统的使用寿命。室内风机需选用EBM、施乐百或同等档次的EC风机。</w:t>
      </w:r>
    </w:p>
    <w:p w14:paraId="625FD2CC">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精密空调系统</w:t>
      </w:r>
      <w:r>
        <w:rPr>
          <w:rFonts w:hint="eastAsia" w:ascii="宋体" w:hAnsi="宋体" w:eastAsia="宋体" w:cs="宋体"/>
          <w:sz w:val="24"/>
          <w:szCs w:val="24"/>
        </w:rPr>
        <w:t>应具有高可靠性，要求机组平均无故障时间MTBF≥10万小时。</w:t>
      </w:r>
    </w:p>
    <w:p w14:paraId="0BA59CCF">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精密空调</w:t>
      </w:r>
      <w:r>
        <w:rPr>
          <w:rFonts w:hint="eastAsia" w:ascii="宋体" w:hAnsi="宋体" w:eastAsia="宋体" w:cs="宋体"/>
          <w:sz w:val="24"/>
          <w:szCs w:val="24"/>
        </w:rPr>
        <w:t>系统应采用R410a环保制冷剂的机组。</w:t>
      </w:r>
    </w:p>
    <w:p w14:paraId="2B9FBE85">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w:t>
      </w:r>
      <w:r>
        <w:rPr>
          <w:rFonts w:hint="eastAsia" w:ascii="宋体" w:hAnsi="宋体" w:eastAsia="宋体" w:cs="宋体"/>
          <w:sz w:val="24"/>
          <w:szCs w:val="24"/>
          <w:lang w:val="en-US" w:eastAsia="zh-CN"/>
        </w:rPr>
        <w:t>精密空调</w:t>
      </w:r>
      <w:r>
        <w:rPr>
          <w:rFonts w:hint="eastAsia" w:ascii="宋体" w:hAnsi="宋体" w:eastAsia="宋体" w:cs="宋体"/>
          <w:sz w:val="24"/>
          <w:szCs w:val="24"/>
        </w:rPr>
        <w:t>的加热性能：应采用 PTC 正温度系数陶瓷式电热器，具备多级过温保护；采用三相平衡设计（三相380V供电机组），且选用耐高温电缆避免电缆因高温而老化。</w:t>
      </w:r>
    </w:p>
    <w:p w14:paraId="49CD6555">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精密空调</w:t>
      </w:r>
      <w:r>
        <w:rPr>
          <w:rFonts w:hint="eastAsia" w:ascii="宋体" w:hAnsi="宋体" w:eastAsia="宋体" w:cs="宋体"/>
          <w:sz w:val="24"/>
          <w:szCs w:val="24"/>
        </w:rPr>
        <w:t>的加湿性能：加湿蒸汽应能直接送到风机进风口，确保湿蒸汽充分混合，避免出风口的凝露情况，要求空调机组采用高效节能的可拆卸式电极式加湿系统，加湿罐应可拆卸，可调节，可单独更换电极。要求加湿速度快，加湿效率高，不接受红外加湿方式。</w:t>
      </w:r>
    </w:p>
    <w:p w14:paraId="406B3B89">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w:t>
      </w:r>
      <w:r>
        <w:rPr>
          <w:rFonts w:hint="eastAsia" w:ascii="宋体" w:hAnsi="宋体" w:eastAsia="宋体" w:cs="宋体"/>
          <w:sz w:val="24"/>
          <w:szCs w:val="24"/>
          <w:lang w:val="en-US" w:eastAsia="zh-CN"/>
        </w:rPr>
        <w:t>精密空调</w:t>
      </w:r>
      <w:r>
        <w:rPr>
          <w:rFonts w:hint="eastAsia" w:ascii="宋体" w:hAnsi="宋体" w:eastAsia="宋体" w:cs="宋体"/>
          <w:sz w:val="24"/>
          <w:szCs w:val="24"/>
        </w:rPr>
        <w:t>的绝缘性能：机组要求绝缘电阻不低于220 MΩ，机组接地端子与机组电源输入端的泄漏电流不大于5.5mA，并提供同系列投标产品权威第三方检测报告证明。</w:t>
      </w:r>
    </w:p>
    <w:p w14:paraId="61EDC9C5">
      <w:pPr>
        <w:numPr>
          <w:ilvl w:val="0"/>
          <w:numId w:val="4"/>
        </w:numPr>
        <w:spacing w:line="360" w:lineRule="auto"/>
        <w:ind w:left="0"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精密空调机组监控性能</w:t>
      </w:r>
    </w:p>
    <w:p w14:paraId="4560F1E4">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应具有先进的微处理控制器；</w:t>
      </w:r>
    </w:p>
    <w:p w14:paraId="71976647">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应采用先进的PID调节技术；</w:t>
      </w:r>
    </w:p>
    <w:p w14:paraId="0116F2FB">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★应采用不小于7</w:t>
      </w:r>
      <w:r>
        <w:rPr>
          <w:rFonts w:hint="eastAsia" w:ascii="宋体" w:hAnsi="宋体" w:eastAsia="宋体" w:cs="宋体"/>
          <w:sz w:val="24"/>
          <w:szCs w:val="24"/>
          <w:lang w:val="en-US" w:eastAsia="zh-CN"/>
        </w:rPr>
        <w:t>英寸</w:t>
      </w:r>
      <w:r>
        <w:rPr>
          <w:rFonts w:hint="eastAsia" w:ascii="宋体" w:hAnsi="宋体" w:eastAsia="宋体" w:cs="宋体"/>
          <w:sz w:val="24"/>
          <w:szCs w:val="24"/>
        </w:rPr>
        <w:t>彩色触摸中文控制屏，能显示温湿度曲线，具有图形显示机组内各组件的运行状态的功能；</w:t>
      </w:r>
    </w:p>
    <w:p w14:paraId="17E02C08">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应具有大容量的故障报警记录储存的功能，</w:t>
      </w:r>
      <w:bookmarkStart w:id="83" w:name="OLE_LINK3"/>
      <w:r>
        <w:rPr>
          <w:rFonts w:hint="eastAsia" w:ascii="宋体" w:hAnsi="宋体" w:eastAsia="宋体" w:cs="宋体"/>
          <w:sz w:val="24"/>
          <w:szCs w:val="24"/>
        </w:rPr>
        <w:t>存储历史告警信息不小于500条</w:t>
      </w:r>
      <w:bookmarkEnd w:id="83"/>
      <w:r>
        <w:rPr>
          <w:rFonts w:hint="eastAsia" w:ascii="宋体" w:hAnsi="宋体" w:eastAsia="宋体" w:cs="宋体"/>
          <w:sz w:val="24"/>
          <w:szCs w:val="24"/>
        </w:rPr>
        <w:t>；</w:t>
      </w:r>
    </w:p>
    <w:p w14:paraId="5B544723">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机组应具有过压 、欠压等报警及故障诊断，告警记录功能，自动保护，自动恢复，自动重启动等功能；</w:t>
      </w:r>
    </w:p>
    <w:p w14:paraId="6A0DEA8E">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控制系统应具有多级密码保护功能。</w:t>
      </w:r>
    </w:p>
    <w:p w14:paraId="725BD860">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每台机组都应具有独立的控制系统、显示器、加热器、加湿器、独立的温湿度传感器。以保证每台机组的正常运行及高精度运行。</w:t>
      </w:r>
    </w:p>
    <w:p w14:paraId="63334963">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每台机组应标配漏水探测器，实时监测漏水情况，探知到漏水发生时，声光告警并自动关闭加湿系统。</w:t>
      </w:r>
    </w:p>
    <w:p w14:paraId="58E4F466">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★每台机组应标配空气过滤器压差开关和气流丢失压差开关两个气压差开关，实时监测气流情况，具备气流故障告警和滤网堵塞告警，应提供实物安装照片，并提供同系列投标产品权威第三方检测报告证明。</w:t>
      </w:r>
    </w:p>
    <w:p w14:paraId="398C9C44">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w:t>
      </w:r>
      <w:r>
        <w:rPr>
          <w:rFonts w:hint="eastAsia" w:ascii="宋体" w:hAnsi="宋体" w:eastAsia="宋体" w:cs="宋体"/>
          <w:sz w:val="24"/>
          <w:szCs w:val="24"/>
        </w:rPr>
        <w:t>考虑到对于环境的保护以及产品绿色节能化要求，机组应采用环保型制冷剂R410A制冷剂，不允许使用非环保制冷剂R22或其他替代制冷剂。</w:t>
      </w:r>
    </w:p>
    <w:p w14:paraId="4987804B">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w:t>
      </w:r>
      <w:r>
        <w:rPr>
          <w:rFonts w:hint="eastAsia" w:ascii="宋体" w:hAnsi="宋体" w:eastAsia="宋体" w:cs="宋体"/>
          <w:sz w:val="24"/>
          <w:szCs w:val="24"/>
        </w:rPr>
        <w:t>★投标系列机型应具有抑制谐波电流的性能。按GB17625.1进行测试，应不超过该标准中规定</w:t>
      </w:r>
      <w:r>
        <w:rPr>
          <w:rFonts w:hint="eastAsia" w:ascii="宋体" w:hAnsi="宋体" w:eastAsia="宋体" w:cs="宋体"/>
          <w:sz w:val="24"/>
          <w:szCs w:val="24"/>
          <w:lang w:val="en-US" w:eastAsia="zh-CN"/>
        </w:rPr>
        <w:t>A</w:t>
      </w:r>
      <w:r>
        <w:rPr>
          <w:rFonts w:hint="eastAsia" w:ascii="宋体" w:hAnsi="宋体" w:eastAsia="宋体" w:cs="宋体"/>
          <w:sz w:val="24"/>
          <w:szCs w:val="24"/>
        </w:rPr>
        <w:t>类设备的谐波电流限值，设备输入总谐波电流成分要求小于5％。需提供同系列投标产品权威第三方检测报告。</w:t>
      </w:r>
      <w:bookmarkEnd w:id="82"/>
    </w:p>
    <w:p w14:paraId="09A1A425">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其它要求</w:t>
      </w:r>
    </w:p>
    <w:p w14:paraId="4A67CBA6">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★精密空调设备需同一品牌，要求品牌、制造商、生产单位一致。本项目不接受OEM或ODM产品，必须由制造商自主研发生产。</w:t>
      </w:r>
    </w:p>
    <w:p w14:paraId="5B43E987">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highlight w:val="none"/>
        </w:rPr>
        <w:t>★</w:t>
      </w:r>
      <w:r>
        <w:rPr>
          <w:rFonts w:hint="eastAsia" w:ascii="宋体" w:hAnsi="宋体" w:eastAsia="宋体" w:cs="宋体"/>
          <w:sz w:val="24"/>
          <w:szCs w:val="24"/>
          <w:highlight w:val="none"/>
          <w:lang w:val="en-US" w:eastAsia="zh-CN"/>
        </w:rPr>
        <w:t>投标人</w:t>
      </w:r>
      <w:r>
        <w:rPr>
          <w:rFonts w:hint="eastAsia" w:ascii="宋体" w:hAnsi="宋体" w:eastAsia="宋体" w:cs="宋体"/>
          <w:sz w:val="24"/>
          <w:szCs w:val="24"/>
          <w:highlight w:val="none"/>
        </w:rPr>
        <w:t>需提</w:t>
      </w:r>
      <w:r>
        <w:rPr>
          <w:rFonts w:hint="eastAsia" w:ascii="宋体" w:hAnsi="宋体" w:eastAsia="宋体" w:cs="宋体"/>
          <w:sz w:val="24"/>
          <w:szCs w:val="24"/>
        </w:rPr>
        <w:t>供投标产品同系列9烈度抗震认证证书。</w:t>
      </w:r>
    </w:p>
    <w:p w14:paraId="4CEE372C">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bookmarkStart w:id="84" w:name="OLE_LINK2"/>
      <w:r>
        <w:rPr>
          <w:rFonts w:hint="eastAsia" w:ascii="宋体" w:hAnsi="宋体" w:eastAsia="宋体" w:cs="宋体"/>
          <w:sz w:val="24"/>
          <w:szCs w:val="24"/>
          <w:lang w:val="en-US" w:eastAsia="zh-CN"/>
        </w:rPr>
        <w:t>一</w:t>
      </w:r>
      <w:r>
        <w:rPr>
          <w:rFonts w:hint="eastAsia" w:ascii="宋体" w:hAnsi="宋体" w:eastAsia="宋体" w:cs="宋体"/>
          <w:sz w:val="24"/>
          <w:szCs w:val="24"/>
        </w:rPr>
        <w:t>年</w:t>
      </w:r>
      <w:r>
        <w:rPr>
          <w:rFonts w:hint="eastAsia" w:ascii="宋体" w:hAnsi="宋体" w:eastAsia="宋体" w:cs="宋体"/>
          <w:sz w:val="24"/>
          <w:szCs w:val="24"/>
          <w:lang w:val="en-US" w:eastAsia="zh-CN"/>
        </w:rPr>
        <w:t>质保。</w:t>
      </w:r>
      <w:bookmarkEnd w:id="84"/>
    </w:p>
    <w:p w14:paraId="4A6B60EE">
      <w:pPr>
        <w:pStyle w:val="217"/>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t>配电间设计</w:t>
      </w:r>
      <w:r>
        <w:rPr>
          <w:rFonts w:hint="eastAsia" w:ascii="宋体" w:hAnsi="宋体" w:eastAsia="宋体" w:cs="宋体"/>
          <w:sz w:val="24"/>
          <w:szCs w:val="24"/>
        </w:rPr>
        <w:t>新风系统，包括以下内容：</w:t>
      </w:r>
    </w:p>
    <w:p w14:paraId="0FBB446E">
      <w:pPr>
        <w:pStyle w:val="217"/>
        <w:spacing w:line="360" w:lineRule="auto"/>
        <w:rPr>
          <w:rFonts w:hint="eastAsia" w:ascii="宋体" w:hAnsi="宋体" w:eastAsia="宋体" w:cs="宋体"/>
          <w:sz w:val="24"/>
          <w:szCs w:val="24"/>
        </w:rPr>
      </w:pPr>
      <w:r>
        <w:rPr>
          <w:rFonts w:hint="eastAsia" w:ascii="宋体" w:hAnsi="宋体" w:eastAsia="宋体" w:cs="宋体"/>
          <w:sz w:val="24"/>
          <w:szCs w:val="24"/>
        </w:rPr>
        <w:t>空调系统新风量依据设计规范的计算及选型按以下三项中的最大值取：</w:t>
      </w:r>
    </w:p>
    <w:p w14:paraId="54BDA800">
      <w:pPr>
        <w:pStyle w:val="217"/>
        <w:spacing w:line="360" w:lineRule="auto"/>
        <w:rPr>
          <w:rFonts w:hint="eastAsia" w:ascii="宋体" w:hAnsi="宋体" w:eastAsia="宋体" w:cs="宋体"/>
          <w:sz w:val="24"/>
          <w:szCs w:val="24"/>
        </w:rPr>
      </w:pPr>
      <w:r>
        <w:rPr>
          <w:rFonts w:hint="eastAsia" w:ascii="宋体" w:hAnsi="宋体" w:eastAsia="宋体" w:cs="宋体"/>
          <w:sz w:val="24"/>
          <w:szCs w:val="24"/>
        </w:rPr>
        <w:t>A、室内总送风量的5%；</w:t>
      </w:r>
    </w:p>
    <w:p w14:paraId="6178B224">
      <w:pPr>
        <w:pStyle w:val="217"/>
        <w:spacing w:line="360" w:lineRule="auto"/>
        <w:rPr>
          <w:rFonts w:hint="eastAsia" w:ascii="宋体" w:hAnsi="宋体" w:eastAsia="宋体" w:cs="宋体"/>
          <w:sz w:val="24"/>
          <w:szCs w:val="24"/>
        </w:rPr>
      </w:pPr>
      <w:r>
        <w:rPr>
          <w:rFonts w:hint="eastAsia" w:ascii="宋体" w:hAnsi="宋体" w:eastAsia="宋体" w:cs="宋体"/>
          <w:sz w:val="24"/>
          <w:szCs w:val="24"/>
        </w:rPr>
        <w:t>B、保证工作人员每人40M3/H；</w:t>
      </w:r>
    </w:p>
    <w:p w14:paraId="40BEC14F">
      <w:pPr>
        <w:pStyle w:val="217"/>
        <w:spacing w:line="360" w:lineRule="auto"/>
        <w:rPr>
          <w:rFonts w:hint="eastAsia" w:ascii="宋体" w:hAnsi="宋体" w:eastAsia="宋体" w:cs="宋体"/>
          <w:sz w:val="24"/>
          <w:szCs w:val="24"/>
        </w:rPr>
      </w:pPr>
      <w:r>
        <w:rPr>
          <w:rFonts w:hint="eastAsia" w:ascii="宋体" w:hAnsi="宋体" w:eastAsia="宋体" w:cs="宋体"/>
          <w:sz w:val="24"/>
          <w:szCs w:val="24"/>
        </w:rPr>
        <w:t>C、维持室内正压，即</w:t>
      </w:r>
      <w:r>
        <w:rPr>
          <w:rFonts w:hint="eastAsia" w:ascii="宋体" w:hAnsi="宋体" w:eastAsia="宋体" w:cs="宋体"/>
          <w:sz w:val="24"/>
          <w:szCs w:val="24"/>
          <w:lang w:val="en-US" w:eastAsia="zh-CN"/>
        </w:rPr>
        <w:t>配电间</w:t>
      </w:r>
      <w:r>
        <w:rPr>
          <w:rFonts w:hint="eastAsia" w:ascii="宋体" w:hAnsi="宋体" w:eastAsia="宋体" w:cs="宋体"/>
          <w:sz w:val="24"/>
          <w:szCs w:val="24"/>
        </w:rPr>
        <w:t>相对于室外9.8pa，其他房间相对于室外4.9pa。</w:t>
      </w:r>
    </w:p>
    <w:p w14:paraId="79E6B928">
      <w:pPr>
        <w:pStyle w:val="217"/>
        <w:spacing w:line="360" w:lineRule="auto"/>
        <w:ind w:firstLine="0" w:firstLineChars="0"/>
        <w:rPr>
          <w:rFonts w:hint="eastAsia" w:ascii="宋体" w:hAnsi="宋体" w:eastAsia="宋体" w:cs="宋体"/>
          <w:sz w:val="24"/>
          <w:szCs w:val="24"/>
        </w:rPr>
      </w:pPr>
      <w:r>
        <w:rPr>
          <w:rFonts w:hint="eastAsia" w:ascii="宋体" w:hAnsi="宋体" w:eastAsia="宋体" w:cs="宋体"/>
          <w:sz w:val="24"/>
          <w:szCs w:val="24"/>
          <w:lang w:val="en-US" w:eastAsia="zh-CN"/>
        </w:rPr>
        <w:t>配电室</w:t>
      </w:r>
      <w:r>
        <w:rPr>
          <w:rFonts w:hint="eastAsia" w:ascii="宋体" w:hAnsi="宋体" w:eastAsia="宋体" w:cs="宋体"/>
          <w:sz w:val="24"/>
          <w:szCs w:val="24"/>
        </w:rPr>
        <w:t>中2次/小时新风量系数能够较好的满足人员的需要</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故配置1台400</w:t>
      </w:r>
      <w:r>
        <w:rPr>
          <w:rFonts w:hint="eastAsia" w:ascii="宋体" w:hAnsi="宋体" w:eastAsia="宋体" w:cs="宋体"/>
          <w:sz w:val="24"/>
          <w:szCs w:val="24"/>
        </w:rPr>
        <w:t>m3/h</w:t>
      </w:r>
      <w:r>
        <w:rPr>
          <w:rFonts w:hint="eastAsia" w:ascii="宋体" w:hAnsi="宋体" w:eastAsia="宋体" w:cs="宋体"/>
          <w:sz w:val="24"/>
          <w:szCs w:val="24"/>
          <w:lang w:val="en-US" w:eastAsia="zh-CN"/>
        </w:rPr>
        <w:t>风量吊顶式新风机</w:t>
      </w:r>
      <w:r>
        <w:rPr>
          <w:rFonts w:hint="eastAsia" w:ascii="宋体" w:hAnsi="宋体" w:eastAsia="宋体" w:cs="宋体"/>
          <w:sz w:val="24"/>
          <w:szCs w:val="24"/>
        </w:rPr>
        <w:t>。</w:t>
      </w:r>
    </w:p>
    <w:p w14:paraId="1666CBF9">
      <w:pPr>
        <w:pStyle w:val="216"/>
        <w:spacing w:line="360" w:lineRule="auto"/>
        <w:rPr>
          <w:rFonts w:hint="eastAsia" w:ascii="宋体" w:hAnsi="宋体" w:eastAsia="宋体" w:cs="宋体"/>
          <w:sz w:val="24"/>
          <w:szCs w:val="24"/>
        </w:rPr>
      </w:pPr>
      <w:r>
        <w:rPr>
          <w:rFonts w:hint="eastAsia" w:ascii="宋体" w:hAnsi="宋体" w:eastAsia="宋体" w:cs="宋体"/>
          <w:sz w:val="24"/>
          <w:szCs w:val="24"/>
        </w:rPr>
        <w:t>新风机与消防系统进行联动，当某一消防保护区发生火警，经消防系统确认后，在气体喷放前将该保护区内的新风机切断电源，新风机组停机。</w:t>
      </w:r>
    </w:p>
    <w:p w14:paraId="647F705E">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排风系统</w:t>
      </w:r>
    </w:p>
    <w:p w14:paraId="6657E882">
      <w:pPr>
        <w:pStyle w:val="222"/>
        <w:spacing w:line="360" w:lineRule="auto"/>
        <w:rPr>
          <w:rFonts w:hint="eastAsia" w:ascii="宋体" w:hAnsi="宋体" w:eastAsia="宋体" w:cs="宋体"/>
          <w:color w:val="FF0000"/>
          <w:sz w:val="24"/>
          <w:szCs w:val="24"/>
        </w:rPr>
      </w:pPr>
      <w:r>
        <w:rPr>
          <w:rFonts w:hint="eastAsia" w:ascii="宋体" w:hAnsi="宋体" w:eastAsia="宋体" w:cs="宋体"/>
          <w:sz w:val="24"/>
          <w:szCs w:val="24"/>
        </w:rPr>
        <w:t>由于</w:t>
      </w:r>
      <w:r>
        <w:rPr>
          <w:rFonts w:hint="eastAsia" w:ascii="宋体" w:hAnsi="宋体" w:eastAsia="宋体" w:cs="宋体"/>
          <w:sz w:val="24"/>
          <w:szCs w:val="24"/>
          <w:lang w:val="en-US" w:eastAsia="zh-CN"/>
        </w:rPr>
        <w:t>配电间</w:t>
      </w:r>
      <w:r>
        <w:rPr>
          <w:rFonts w:hint="eastAsia" w:ascii="宋体" w:hAnsi="宋体" w:eastAsia="宋体" w:cs="宋体"/>
          <w:sz w:val="24"/>
          <w:szCs w:val="24"/>
        </w:rPr>
        <w:t>采用的是气体消防，所以需设置事故排烟系统。在气体灭火喷雾以后排出灭火区的烟雾和消防气体。排风机只在发生火灾，气体消防喷洒之后排风时使用。</w:t>
      </w:r>
      <w:r>
        <w:rPr>
          <w:rFonts w:hint="eastAsia" w:ascii="宋体" w:hAnsi="宋体" w:eastAsia="宋体" w:cs="宋体"/>
          <w:sz w:val="24"/>
          <w:szCs w:val="24"/>
          <w:lang w:val="en-US" w:eastAsia="zh-CN"/>
        </w:rPr>
        <w:t>配电间及柴油发电机房</w:t>
      </w:r>
      <w:r>
        <w:rPr>
          <w:rFonts w:hint="eastAsia" w:ascii="宋体" w:hAnsi="宋体" w:eastAsia="宋体" w:cs="宋体"/>
          <w:sz w:val="24"/>
          <w:szCs w:val="24"/>
        </w:rPr>
        <w:t>内</w:t>
      </w:r>
      <w:r>
        <w:rPr>
          <w:rFonts w:hint="eastAsia" w:ascii="宋体" w:hAnsi="宋体" w:eastAsia="宋体" w:cs="宋体"/>
          <w:sz w:val="24"/>
          <w:szCs w:val="24"/>
          <w:lang w:val="en-US" w:eastAsia="zh-CN"/>
        </w:rPr>
        <w:t>各</w:t>
      </w:r>
      <w:r>
        <w:rPr>
          <w:rFonts w:hint="eastAsia" w:ascii="宋体" w:hAnsi="宋体" w:eastAsia="宋体" w:cs="宋体"/>
          <w:sz w:val="24"/>
          <w:szCs w:val="24"/>
        </w:rPr>
        <w:t>设置</w:t>
      </w:r>
      <w:r>
        <w:rPr>
          <w:rFonts w:hint="eastAsia" w:ascii="宋体" w:hAnsi="宋体" w:eastAsia="宋体" w:cs="宋体"/>
          <w:sz w:val="24"/>
          <w:szCs w:val="24"/>
          <w:lang w:val="en-US" w:eastAsia="zh-CN"/>
        </w:rPr>
        <w:t>1台</w:t>
      </w:r>
      <w:r>
        <w:rPr>
          <w:rFonts w:hint="eastAsia" w:ascii="宋体" w:hAnsi="宋体" w:eastAsia="宋体" w:cs="宋体"/>
          <w:sz w:val="24"/>
          <w:szCs w:val="24"/>
        </w:rPr>
        <w:t>双速风机，低速用于日常通风换气需要，高速用于消防灾后清空。</w:t>
      </w:r>
    </w:p>
    <w:p w14:paraId="69B904B3">
      <w:pPr>
        <w:pStyle w:val="216"/>
        <w:spacing w:line="360" w:lineRule="auto"/>
        <w:rPr>
          <w:rFonts w:hint="eastAsia" w:ascii="宋体" w:hAnsi="宋体" w:eastAsia="宋体" w:cs="宋体"/>
          <w:sz w:val="24"/>
          <w:szCs w:val="24"/>
        </w:rPr>
      </w:pPr>
      <w:r>
        <w:rPr>
          <w:rFonts w:hint="eastAsia" w:ascii="宋体" w:hAnsi="宋体" w:eastAsia="宋体" w:cs="宋体"/>
          <w:sz w:val="24"/>
          <w:szCs w:val="24"/>
        </w:rPr>
        <w:t>排风机按照最大消防区域，每小时换气5次以上计算。</w:t>
      </w:r>
      <w:r>
        <w:rPr>
          <w:rFonts w:hint="eastAsia" w:ascii="宋体" w:hAnsi="宋体" w:eastAsia="宋体" w:cs="宋体"/>
          <w:sz w:val="24"/>
          <w:szCs w:val="24"/>
        </w:rPr>
        <w:tab/>
      </w:r>
      <w:r>
        <w:rPr>
          <w:rFonts w:hint="eastAsia" w:ascii="宋体" w:hAnsi="宋体" w:eastAsia="宋体" w:cs="宋体"/>
          <w:sz w:val="24"/>
          <w:szCs w:val="24"/>
        </w:rPr>
        <w:t>事故排风量=最大灭火分区面积×空间层高×5次/小时，采用一台1</w:t>
      </w:r>
      <w:r>
        <w:rPr>
          <w:rFonts w:hint="eastAsia" w:ascii="宋体" w:hAnsi="宋体" w:eastAsia="宋体" w:cs="宋体"/>
          <w:sz w:val="24"/>
          <w:szCs w:val="24"/>
          <w:lang w:val="en-US" w:eastAsia="zh-CN"/>
        </w:rPr>
        <w:t>2</w:t>
      </w:r>
      <w:r>
        <w:rPr>
          <w:rFonts w:hint="eastAsia" w:ascii="宋体" w:hAnsi="宋体" w:eastAsia="宋体" w:cs="宋体"/>
          <w:sz w:val="24"/>
          <w:szCs w:val="24"/>
        </w:rPr>
        <w:t>00m3/h的</w:t>
      </w:r>
      <w:r>
        <w:rPr>
          <w:rFonts w:hint="eastAsia" w:ascii="宋体" w:hAnsi="宋体" w:eastAsia="宋体" w:cs="宋体"/>
          <w:sz w:val="24"/>
          <w:szCs w:val="24"/>
          <w:lang w:val="en-US" w:eastAsia="zh-CN"/>
        </w:rPr>
        <w:t>吊顶式</w:t>
      </w:r>
      <w:r>
        <w:rPr>
          <w:rFonts w:hint="eastAsia" w:ascii="宋体" w:hAnsi="宋体" w:eastAsia="宋体" w:cs="宋体"/>
          <w:sz w:val="24"/>
          <w:szCs w:val="24"/>
        </w:rPr>
        <w:t>事故排风机。</w:t>
      </w:r>
    </w:p>
    <w:p w14:paraId="1F5B04DA">
      <w:pPr>
        <w:pStyle w:val="3"/>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消防系统</w:t>
      </w:r>
    </w:p>
    <w:p w14:paraId="64D1EB29">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灾报警系统</w:t>
      </w:r>
    </w:p>
    <w:p w14:paraId="04ADB39A">
      <w:pPr>
        <w:pStyle w:val="222"/>
        <w:spacing w:line="360" w:lineRule="auto"/>
        <w:rPr>
          <w:rStyle w:val="223"/>
          <w:rFonts w:hint="eastAsia" w:ascii="宋体" w:hAnsi="宋体" w:eastAsia="宋体" w:cs="宋体"/>
          <w:sz w:val="24"/>
          <w:szCs w:val="24"/>
        </w:rPr>
      </w:pPr>
      <w:r>
        <w:rPr>
          <w:rFonts w:hint="eastAsia" w:ascii="宋体" w:hAnsi="宋体" w:eastAsia="宋体" w:cs="宋体"/>
          <w:sz w:val="24"/>
          <w:szCs w:val="24"/>
        </w:rPr>
        <w:t>火灾自动报警系统是由触发器件、火灾报警装置、火灾警报装置以及具有其它辅助功能的装置组成的火灾报警系统。它能够在火灾初期，将燃烧产生的烟雾、热量和光辐射等物理量，通过感温、感烟和感光等火灾探测器变成电信号，传输到火灾报警控制器，并同时显示出火灾发生的部位，记录火灾发生的时间。</w:t>
      </w:r>
    </w:p>
    <w:p w14:paraId="7BBBBBE3">
      <w:pPr>
        <w:pStyle w:val="216"/>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在配电间门口安装1台火灾报警主机，配电间内顶面安装2个烟感探测器及2个温感探测器；在柴发机房顶面安装2个烟感探测器及2个温感探测器。</w:t>
      </w:r>
    </w:p>
    <w:p w14:paraId="229A8288">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火灾报警系统</w:t>
      </w:r>
    </w:p>
    <w:p w14:paraId="03294E3F">
      <w:pPr>
        <w:pStyle w:val="222"/>
        <w:spacing w:line="360" w:lineRule="auto"/>
        <w:rPr>
          <w:rFonts w:hint="eastAsia" w:ascii="宋体" w:hAnsi="宋体" w:eastAsia="宋体" w:cs="宋体"/>
          <w:sz w:val="24"/>
          <w:szCs w:val="24"/>
        </w:rPr>
      </w:pPr>
      <w:r>
        <w:rPr>
          <w:rFonts w:hint="eastAsia" w:ascii="宋体" w:hAnsi="宋体" w:eastAsia="宋体" w:cs="宋体"/>
          <w:sz w:val="24"/>
          <w:szCs w:val="24"/>
        </w:rPr>
        <w:t>灭火系统：主要由灭火控制盘、放气显示灯、声光报警器（火警和启动两种不同声光信号）七氟丙烷灭火装置，手动启停开关组成。承担接收火灾报警系发出的灭火指令，并自动启动七氟丙烷实施灭火，并反馈预启动和已启动灭火信号给火灾报警系统，同时联动空调和防排烟风机在灭火时自动关闭。</w:t>
      </w:r>
    </w:p>
    <w:p w14:paraId="2EF2B3CF">
      <w:pPr>
        <w:pStyle w:val="218"/>
        <w:spacing w:line="360" w:lineRule="auto"/>
        <w:rPr>
          <w:rFonts w:hint="eastAsia" w:ascii="宋体" w:hAnsi="宋体" w:eastAsia="宋体" w:cs="宋体"/>
          <w:b/>
          <w:bCs/>
          <w:sz w:val="24"/>
          <w:szCs w:val="24"/>
        </w:rPr>
      </w:pPr>
      <w:r>
        <w:rPr>
          <w:rFonts w:hint="eastAsia" w:ascii="宋体" w:hAnsi="宋体" w:eastAsia="宋体" w:cs="宋体"/>
          <w:b/>
          <w:bCs/>
          <w:sz w:val="24"/>
          <w:szCs w:val="24"/>
        </w:rPr>
        <w:t>工作原理：</w:t>
      </w:r>
    </w:p>
    <w:p w14:paraId="09224DC9">
      <w:pPr>
        <w:pStyle w:val="218"/>
        <w:spacing w:line="360" w:lineRule="auto"/>
        <w:rPr>
          <w:rFonts w:hint="eastAsia" w:ascii="宋体" w:hAnsi="宋体" w:eastAsia="宋体" w:cs="宋体"/>
          <w:sz w:val="24"/>
          <w:szCs w:val="24"/>
        </w:rPr>
      </w:pPr>
      <w:r>
        <w:rPr>
          <w:rFonts w:hint="eastAsia" w:ascii="宋体" w:hAnsi="宋体" w:eastAsia="宋体" w:cs="宋体"/>
          <w:sz w:val="24"/>
          <w:szCs w:val="24"/>
        </w:rPr>
        <w:t>每一个防护区各有一路感烟探测器和一路感温探测器，火灾报警控制器在编程时采用双路确认模式,当单路探测器报警时，火灾报警控制器发出预警信号，同时将信号传给该防区的声光报警器，只有当两个回路的探测器都报警时，此时控制器一方面输出声光火灾报警信号，另一方面输出火灾启动信号给该防区气体灭火控制盘，该气体灭火控制盘发出延时启动信号,同时关闭空调等通风设施，延时30秒倒计时完毕，即启动七氟丙烷灭火装置实施灭火，释放灯亮，提示人们切勿进入防区。</w:t>
      </w:r>
    </w:p>
    <w:p w14:paraId="73D2A1D5">
      <w:pPr>
        <w:pStyle w:val="218"/>
        <w:spacing w:line="360" w:lineRule="auto"/>
        <w:rPr>
          <w:rFonts w:hint="eastAsia" w:ascii="宋体" w:hAnsi="宋体" w:eastAsia="宋体" w:cs="宋体"/>
          <w:sz w:val="24"/>
          <w:szCs w:val="24"/>
        </w:rPr>
      </w:pPr>
      <w:r>
        <w:rPr>
          <w:rFonts w:hint="eastAsia" w:ascii="宋体" w:hAnsi="宋体" w:eastAsia="宋体" w:cs="宋体"/>
          <w:sz w:val="24"/>
          <w:szCs w:val="24"/>
          <w:lang w:val="en-US" w:eastAsia="zh-CN"/>
        </w:rPr>
        <w:t>配电间</w:t>
      </w:r>
      <w:r>
        <w:rPr>
          <w:rFonts w:hint="eastAsia" w:ascii="宋体" w:hAnsi="宋体" w:eastAsia="宋体" w:cs="宋体"/>
          <w:sz w:val="24"/>
          <w:szCs w:val="24"/>
        </w:rPr>
        <w:t>采用一套无管网全淹没七氟丙烷气体灭火系统，以满足</w:t>
      </w:r>
      <w:r>
        <w:rPr>
          <w:rFonts w:hint="eastAsia" w:ascii="宋体" w:hAnsi="宋体" w:eastAsia="宋体" w:cs="宋体"/>
          <w:sz w:val="24"/>
          <w:szCs w:val="24"/>
          <w:lang w:val="en-US" w:eastAsia="zh-CN"/>
        </w:rPr>
        <w:t>配电间</w:t>
      </w:r>
      <w:r>
        <w:rPr>
          <w:rFonts w:hint="eastAsia" w:ascii="宋体" w:hAnsi="宋体" w:eastAsia="宋体" w:cs="宋体"/>
          <w:sz w:val="24"/>
          <w:szCs w:val="24"/>
        </w:rPr>
        <w:t>消防规范及相关的消防验收。采用一套</w:t>
      </w:r>
      <w:r>
        <w:rPr>
          <w:rFonts w:hint="eastAsia" w:ascii="宋体" w:hAnsi="宋体" w:eastAsia="宋体" w:cs="宋体"/>
          <w:sz w:val="24"/>
          <w:szCs w:val="24"/>
          <w:lang w:val="en-US" w:eastAsia="zh-CN"/>
        </w:rPr>
        <w:t>四</w:t>
      </w:r>
      <w:r>
        <w:rPr>
          <w:rFonts w:hint="eastAsia" w:ascii="宋体" w:hAnsi="宋体" w:eastAsia="宋体" w:cs="宋体"/>
          <w:sz w:val="24"/>
          <w:szCs w:val="24"/>
        </w:rPr>
        <w:t>区</w:t>
      </w:r>
      <w:r>
        <w:rPr>
          <w:rFonts w:hint="eastAsia" w:ascii="宋体" w:hAnsi="宋体" w:eastAsia="宋体" w:cs="宋体"/>
          <w:sz w:val="24"/>
          <w:szCs w:val="24"/>
          <w:lang w:val="en-US" w:eastAsia="zh-CN"/>
        </w:rPr>
        <w:t>灭火</w:t>
      </w:r>
      <w:r>
        <w:rPr>
          <w:rFonts w:hint="eastAsia" w:ascii="宋体" w:hAnsi="宋体" w:eastAsia="宋体" w:cs="宋体"/>
          <w:sz w:val="24"/>
          <w:szCs w:val="24"/>
        </w:rPr>
        <w:t>控制器，</w:t>
      </w:r>
      <w:r>
        <w:rPr>
          <w:rFonts w:hint="eastAsia" w:ascii="宋体" w:hAnsi="宋体" w:eastAsia="宋体" w:cs="宋体"/>
          <w:sz w:val="24"/>
          <w:szCs w:val="24"/>
          <w:lang w:val="en-US" w:eastAsia="zh-CN"/>
        </w:rPr>
        <w:t>气体灭火</w:t>
      </w:r>
      <w:r>
        <w:rPr>
          <w:rFonts w:hint="eastAsia" w:ascii="宋体" w:hAnsi="宋体" w:eastAsia="宋体" w:cs="宋体"/>
          <w:sz w:val="24"/>
          <w:szCs w:val="24"/>
        </w:rPr>
        <w:t>控制器</w:t>
      </w:r>
      <w:r>
        <w:rPr>
          <w:rFonts w:hint="eastAsia" w:ascii="宋体" w:hAnsi="宋体" w:eastAsia="宋体" w:cs="宋体"/>
          <w:sz w:val="24"/>
          <w:szCs w:val="24"/>
          <w:lang w:val="en-US" w:eastAsia="zh-CN"/>
        </w:rPr>
        <w:t>安装在配电间门口</w:t>
      </w:r>
      <w:r>
        <w:rPr>
          <w:rFonts w:hint="eastAsia" w:ascii="宋体" w:hAnsi="宋体" w:eastAsia="宋体" w:cs="宋体"/>
          <w:sz w:val="24"/>
          <w:szCs w:val="24"/>
        </w:rPr>
        <w:t>墙面上，本次分为</w:t>
      </w:r>
      <w:r>
        <w:rPr>
          <w:rFonts w:hint="eastAsia" w:ascii="宋体" w:hAnsi="宋体" w:eastAsia="宋体" w:cs="宋体"/>
          <w:sz w:val="24"/>
          <w:szCs w:val="24"/>
          <w:lang w:val="en-US" w:eastAsia="zh-CN"/>
        </w:rPr>
        <w:t>两</w:t>
      </w:r>
      <w:r>
        <w:rPr>
          <w:rFonts w:hint="eastAsia" w:ascii="宋体" w:hAnsi="宋体" w:eastAsia="宋体" w:cs="宋体"/>
          <w:sz w:val="24"/>
          <w:szCs w:val="24"/>
        </w:rPr>
        <w:t>个灭火</w:t>
      </w:r>
      <w:r>
        <w:rPr>
          <w:rFonts w:hint="eastAsia" w:ascii="宋体" w:hAnsi="宋体" w:eastAsia="宋体" w:cs="宋体"/>
          <w:sz w:val="24"/>
          <w:szCs w:val="24"/>
          <w:lang w:val="en-US" w:eastAsia="zh-CN"/>
        </w:rPr>
        <w:t>分</w:t>
      </w:r>
      <w:r>
        <w:rPr>
          <w:rFonts w:hint="eastAsia" w:ascii="宋体" w:hAnsi="宋体" w:eastAsia="宋体" w:cs="宋体"/>
          <w:sz w:val="24"/>
          <w:szCs w:val="24"/>
        </w:rPr>
        <w:t>区（</w:t>
      </w:r>
      <w:r>
        <w:rPr>
          <w:rFonts w:hint="eastAsia" w:ascii="宋体" w:hAnsi="宋体" w:eastAsia="宋体" w:cs="宋体"/>
          <w:sz w:val="24"/>
          <w:szCs w:val="24"/>
          <w:lang w:val="en-US" w:eastAsia="zh-CN"/>
        </w:rPr>
        <w:t>配电间、柴油发电机房</w:t>
      </w:r>
      <w:r>
        <w:rPr>
          <w:rFonts w:hint="eastAsia" w:ascii="宋体" w:hAnsi="宋体" w:eastAsia="宋体" w:cs="宋体"/>
          <w:sz w:val="24"/>
          <w:szCs w:val="24"/>
        </w:rPr>
        <w:t>）。在</w:t>
      </w:r>
      <w:r>
        <w:rPr>
          <w:rFonts w:hint="eastAsia" w:ascii="宋体" w:hAnsi="宋体" w:eastAsia="宋体" w:cs="宋体"/>
          <w:sz w:val="24"/>
          <w:szCs w:val="24"/>
          <w:lang w:val="en-US" w:eastAsia="zh-CN"/>
        </w:rPr>
        <w:t>配电间及柴油发电机房各</w:t>
      </w:r>
      <w:r>
        <w:rPr>
          <w:rFonts w:hint="eastAsia" w:ascii="宋体" w:hAnsi="宋体" w:eastAsia="宋体" w:cs="宋体"/>
          <w:sz w:val="24"/>
          <w:szCs w:val="24"/>
        </w:rPr>
        <w:t>配置</w:t>
      </w:r>
      <w:r>
        <w:rPr>
          <w:rFonts w:hint="eastAsia" w:ascii="宋体" w:hAnsi="宋体" w:eastAsia="宋体" w:cs="宋体"/>
          <w:sz w:val="24"/>
          <w:szCs w:val="24"/>
          <w:lang w:val="en-US" w:eastAsia="zh-CN"/>
        </w:rPr>
        <w:t>1</w:t>
      </w:r>
      <w:r>
        <w:rPr>
          <w:rFonts w:hint="eastAsia" w:ascii="宋体" w:hAnsi="宋体" w:eastAsia="宋体" w:cs="宋体"/>
          <w:sz w:val="24"/>
          <w:szCs w:val="24"/>
        </w:rPr>
        <w:t>个</w:t>
      </w:r>
      <w:r>
        <w:rPr>
          <w:rFonts w:hint="eastAsia" w:ascii="宋体" w:hAnsi="宋体" w:eastAsia="宋体" w:cs="宋体"/>
          <w:sz w:val="24"/>
          <w:szCs w:val="24"/>
          <w:lang w:val="en-US" w:eastAsia="zh-CN"/>
        </w:rPr>
        <w:t>120</w:t>
      </w:r>
      <w:r>
        <w:rPr>
          <w:rFonts w:hint="eastAsia" w:ascii="宋体" w:hAnsi="宋体" w:eastAsia="宋体" w:cs="宋体"/>
          <w:sz w:val="24"/>
          <w:szCs w:val="24"/>
        </w:rPr>
        <w:t>L消防钢瓶。</w:t>
      </w:r>
    </w:p>
    <w:p w14:paraId="49645929">
      <w:pPr>
        <w:pStyle w:val="222"/>
        <w:spacing w:line="360" w:lineRule="auto"/>
        <w:rPr>
          <w:rFonts w:hint="eastAsia" w:ascii="宋体" w:hAnsi="宋体" w:eastAsia="宋体" w:cs="宋体"/>
          <w:sz w:val="24"/>
          <w:szCs w:val="24"/>
        </w:rPr>
      </w:pPr>
      <w:r>
        <w:rPr>
          <w:rFonts w:hint="eastAsia" w:ascii="宋体" w:hAnsi="宋体" w:eastAsia="宋体" w:cs="宋体"/>
          <w:sz w:val="24"/>
          <w:szCs w:val="24"/>
        </w:rPr>
        <w:t>气体灭火系统应设计有：自动控制、手动控制、机械应急操作三种启动方式。</w:t>
      </w:r>
    </w:p>
    <w:p w14:paraId="22C334A7">
      <w:pPr>
        <w:pStyle w:val="222"/>
        <w:spacing w:line="360" w:lineRule="auto"/>
        <w:rPr>
          <w:rFonts w:hint="eastAsia" w:ascii="宋体" w:hAnsi="宋体" w:eastAsia="宋体" w:cs="宋体"/>
          <w:sz w:val="24"/>
          <w:szCs w:val="24"/>
        </w:rPr>
      </w:pPr>
      <w:r>
        <w:rPr>
          <w:rFonts w:hint="eastAsia" w:ascii="宋体" w:hAnsi="宋体" w:eastAsia="宋体" w:cs="宋体"/>
          <w:sz w:val="24"/>
          <w:szCs w:val="24"/>
        </w:rPr>
        <w:t>消防灭火分区：</w:t>
      </w:r>
      <w:r>
        <w:rPr>
          <w:rFonts w:hint="eastAsia" w:ascii="宋体" w:hAnsi="宋体" w:eastAsia="宋体" w:cs="宋体"/>
          <w:sz w:val="24"/>
          <w:szCs w:val="24"/>
          <w:lang w:val="en-US" w:eastAsia="zh-CN"/>
        </w:rPr>
        <w:t>配电间、柴油发电机房</w:t>
      </w:r>
      <w:r>
        <w:rPr>
          <w:rFonts w:hint="eastAsia" w:ascii="宋体" w:hAnsi="宋体" w:eastAsia="宋体" w:cs="宋体"/>
          <w:sz w:val="24"/>
          <w:szCs w:val="24"/>
        </w:rPr>
        <w:t>。</w:t>
      </w:r>
    </w:p>
    <w:p w14:paraId="44172E28">
      <w:pPr>
        <w:pStyle w:val="222"/>
        <w:spacing w:line="360" w:lineRule="auto"/>
        <w:rPr>
          <w:rFonts w:hint="eastAsia" w:ascii="宋体" w:hAnsi="宋体" w:eastAsia="宋体" w:cs="宋体"/>
          <w:sz w:val="24"/>
          <w:szCs w:val="24"/>
        </w:rPr>
      </w:pPr>
      <w:r>
        <w:rPr>
          <w:rFonts w:hint="eastAsia" w:ascii="宋体" w:hAnsi="宋体" w:eastAsia="宋体" w:cs="宋体"/>
          <w:sz w:val="24"/>
          <w:szCs w:val="24"/>
        </w:rPr>
        <w:t>消防报警分区：</w:t>
      </w:r>
      <w:r>
        <w:rPr>
          <w:rFonts w:hint="eastAsia" w:ascii="宋体" w:hAnsi="宋体" w:eastAsia="宋体" w:cs="宋体"/>
          <w:sz w:val="24"/>
          <w:szCs w:val="24"/>
          <w:lang w:val="en-US" w:eastAsia="zh-CN"/>
        </w:rPr>
        <w:t>配电间、柴油发电机房</w:t>
      </w:r>
      <w:r>
        <w:rPr>
          <w:rFonts w:hint="eastAsia" w:ascii="宋体" w:hAnsi="宋体" w:eastAsia="宋体" w:cs="宋体"/>
          <w:sz w:val="24"/>
          <w:szCs w:val="24"/>
        </w:rPr>
        <w:t>。</w:t>
      </w:r>
    </w:p>
    <w:p w14:paraId="16D61B28">
      <w:pPr>
        <w:pStyle w:val="222"/>
        <w:spacing w:line="360" w:lineRule="auto"/>
        <w:rPr>
          <w:rFonts w:hint="eastAsia" w:ascii="宋体" w:hAnsi="宋体" w:eastAsia="宋体" w:cs="宋体"/>
          <w:sz w:val="24"/>
          <w:szCs w:val="24"/>
        </w:rPr>
      </w:pPr>
      <w:r>
        <w:rPr>
          <w:rFonts w:hint="eastAsia" w:ascii="宋体" w:hAnsi="宋体" w:eastAsia="宋体" w:cs="宋体"/>
          <w:sz w:val="24"/>
          <w:szCs w:val="24"/>
        </w:rPr>
        <w:t>根据消防规范在灭火防护区设计安全出口灯及逃生方向指示灯。</w:t>
      </w:r>
    </w:p>
    <w:p w14:paraId="7C5F0D4A">
      <w:pPr>
        <w:pStyle w:val="222"/>
        <w:spacing w:line="360" w:lineRule="auto"/>
        <w:rPr>
          <w:rFonts w:hint="eastAsia" w:ascii="宋体" w:hAnsi="宋体" w:eastAsia="宋体" w:cs="宋体"/>
          <w:sz w:val="24"/>
          <w:szCs w:val="24"/>
        </w:rPr>
      </w:pPr>
      <w:r>
        <w:rPr>
          <w:rFonts w:hint="eastAsia" w:ascii="宋体" w:hAnsi="宋体" w:eastAsia="宋体" w:cs="宋体"/>
          <w:sz w:val="24"/>
          <w:szCs w:val="24"/>
        </w:rPr>
        <w:t>在消防灭火区域按照规范要求设置消防泄压装置。</w:t>
      </w:r>
    </w:p>
    <w:p w14:paraId="3DE40FA4">
      <w:pPr>
        <w:pStyle w:val="3"/>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动环监控系统</w:t>
      </w:r>
    </w:p>
    <w:p w14:paraId="55FD00E8">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本项目实际情况，需要一套成熟的动环监控系统，为实现配电间设备运行状况的自动化、可视化跟踪监测，配电间设置动环监控系统，监控对象包括：UPS主机监测、蓄电池内阻监测、配电柜监测、精密空调监测、漏水检测、温湿度监测、H2监测、新风机监测、消防系统监测、门禁监控系统监测及柴油发电机监测等，可实现7×24小时的全面集中实时监控和管理，保障配电间环境及设备安全高效运行。</w:t>
      </w:r>
    </w:p>
    <w:p w14:paraId="3875F2CE">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UPS主机监测</w:t>
      </w:r>
    </w:p>
    <w:p w14:paraId="6CF941B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1、状态监测：对UPS各部件（如：UPS整流器、逆变器、电池、旁路、负载）的运行状态正常与否进行实时监测和显示；</w:t>
      </w:r>
    </w:p>
    <w:p w14:paraId="5B09548F">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2、参数监测：对UPS各运行参数（(如：UPS输入/输出电压、输出电流、输出/入频率)进行实时监测和显示；</w:t>
      </w:r>
    </w:p>
    <w:p w14:paraId="4D2A5A31">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3、监测报警：系统一旦监测到有报警或参数越限（可设置），用户可以选择选择多种报警模式：短信通知、进行告警，以便及时处理。</w:t>
      </w:r>
    </w:p>
    <w:p w14:paraId="3B1B3E4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4、图形显示：对重要参数（例如：UPS输入/输出电压、输出电流）可作曲线记录，用户可通过曲线记录，直观地看到UPS的运行品质；</w:t>
      </w:r>
    </w:p>
    <w:p w14:paraId="35EBC13B">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5、事件查询与报表生成：对UPS产生的报警事件，可以进行查询及输出；</w:t>
      </w:r>
    </w:p>
    <w:p w14:paraId="14B3C862">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6、需由UPS主机设备厂商提供标准监控通讯接口及通信协议。通过设备的监控通讯接口及通信协议集成到动环监控平台软件，由动环监控平台软件进行实时监测。</w:t>
      </w:r>
    </w:p>
    <w:p w14:paraId="28F22245">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蓄电池组每节电池内阻监测</w:t>
      </w:r>
    </w:p>
    <w:p w14:paraId="513483EE">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测试电池电压、内阻、温度参数，通过 X-BUS总线送出数据。</w:t>
      </w:r>
    </w:p>
    <w:p w14:paraId="552C8FC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1.在线监测每节电池的电压、极柱温度、内阻与电池纹波，电池组组压、充放电电流、环境温度；模块自供电，带接反、过压及光电隔离保护功能。</w:t>
      </w:r>
    </w:p>
    <w:p w14:paraId="00CC234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2.自动获取每节电池的基准内阻值并固化，分析判断电池性能。</w:t>
      </w:r>
    </w:p>
    <w:p w14:paraId="311B09A8">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3.具备电池纹波、热失控、单体内阻、单体电压、电池温度、组压、充放电电流、环境温度超限自动告警且阀值可设置。</w:t>
      </w:r>
    </w:p>
    <w:p w14:paraId="157F9C4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4.应带RS485口、网络口及USB口，必须同时支持MODBUS/RTU、MODBUS/TCP、SNMP、TCP/IP协议。</w:t>
      </w:r>
    </w:p>
    <w:p w14:paraId="0FE292E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5.需监控电池数量为200块（12V）。</w:t>
      </w:r>
    </w:p>
    <w:p w14:paraId="086F8F52">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6.工作电压范围 5V~25V    0.8V~5.5V     单体模块最大功耗 0.3W，电压测量范围 5.00V~15.00V  ，0.80V~5.50V   ），电压测量精度 ±0.5%，阻抗测量范围 0.05~100mΩ，阻抗测量精度 ±2%，温度测量范围 -40℃~+70℃，温度测量精度 ±1℃，通讯波特率 9600bps，支持通讯接口 RJ11， 获得了国家权威机构认证检查报告及CE认证。</w:t>
      </w:r>
    </w:p>
    <w:p w14:paraId="4C6AAE79">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1、实现电池数据的收集，协议转换功能，蓄电池监测主机将收集上来的数据通过 RS232（或 RS485）输出，可上传至动环监控平台软件，每台UPS主机配置1台；</w:t>
      </w:r>
    </w:p>
    <w:p w14:paraId="1B5D4E8F">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2、输入电压范围：AC 100~240VAC；</w:t>
      </w:r>
    </w:p>
    <w:p w14:paraId="748DA131">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3、输入电流：1.1A/115VAC 0.65A/230VAC；</w:t>
      </w:r>
    </w:p>
    <w:p w14:paraId="2C89432F">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4、提供接口：RS485、继电器输出；</w:t>
      </w:r>
    </w:p>
    <w:p w14:paraId="6049C2AD">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5、每台蓄电池监测主机监控最大电池数：300节；</w:t>
      </w:r>
    </w:p>
    <w:p w14:paraId="68DD2B75">
      <w:pPr>
        <w:pStyle w:val="4"/>
        <w:bidi w:val="0"/>
        <w:spacing w:line="360" w:lineRule="auto"/>
        <w:rPr>
          <w:rFonts w:hint="eastAsia" w:ascii="宋体" w:hAnsi="宋体" w:eastAsia="宋体" w:cs="宋体"/>
          <w:b/>
          <w:sz w:val="24"/>
          <w:szCs w:val="24"/>
          <w:lang w:val="en-US" w:eastAsia="zh-CN"/>
        </w:rPr>
      </w:pPr>
      <w:r>
        <w:rPr>
          <w:rFonts w:hint="eastAsia" w:ascii="宋体" w:hAnsi="宋体" w:cs="宋体"/>
          <w:b/>
          <w:sz w:val="24"/>
          <w:szCs w:val="24"/>
          <w:lang w:val="en-US" w:eastAsia="zh-CN"/>
        </w:rPr>
        <w:t>电</w:t>
      </w:r>
      <w:r>
        <w:rPr>
          <w:rFonts w:hint="eastAsia" w:ascii="宋体" w:hAnsi="宋体" w:eastAsia="宋体" w:cs="宋体"/>
          <w:b/>
          <w:sz w:val="24"/>
          <w:szCs w:val="24"/>
          <w:lang w:val="en-US" w:eastAsia="zh-CN"/>
        </w:rPr>
        <w:t>流采样模块</w:t>
      </w:r>
    </w:p>
    <w:p w14:paraId="64E6525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1、处理电流传感器测得电流信号，通过 X-BUS总线送出数据，每组电池配置1台；</w:t>
      </w:r>
    </w:p>
    <w:p w14:paraId="6E187D7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2、传感器输入电压：12V</w:t>
      </w:r>
    </w:p>
    <w:p w14:paraId="236F9B1D">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3、电流测量范围：0~±1000A；</w:t>
      </w:r>
    </w:p>
    <w:p w14:paraId="58AAF148">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4、电流测量精度：±1%</w:t>
      </w:r>
    </w:p>
    <w:p w14:paraId="1FFDF866">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配电柜监测</w:t>
      </w:r>
    </w:p>
    <w:p w14:paraId="298B5745">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1、监测配电柜的配电参数及状态：包括开关分合状态、三相相电压、线电压、三相相电流、输出功率等参数。</w:t>
      </w:r>
    </w:p>
    <w:p w14:paraId="72C3CEE5">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2、需由配电柜厂商提供智能仪表的标准监控通讯接口及通信协议。通过设备的监控通讯接口及通信协议集成到动环监控平台软件，由动环监控平台软件进行实时监测。</w:t>
      </w:r>
    </w:p>
    <w:p w14:paraId="30BD5F61">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温湿度监测</w:t>
      </w:r>
    </w:p>
    <w:p w14:paraId="0F19E931">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1、安装2只温湿度传感器，实时监测配电室环境的温度及湿度值，温湿度传感器额定电压 DC12V；额定电流 5mA(峰值电流10 mA)；测量范围 温度：-20℃~70℃湿度：0~100%rh；测量精度 温度：±0.5℃湿度：±3%RH；输出范围 RS485输出；温度：LCD显示-20℃~70℃；湿度：LCD显示0~100%rh；RS485输出 多点，双工位（静态及动态变量）；</w:t>
      </w:r>
    </w:p>
    <w:p w14:paraId="180641B5">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2、在配电间安装智能温湿度传感器。温湿度传感器将环境中的温度量、湿度量转换成电信号，通过设备的RS232 /RS485 /SNMP监控通讯接口及通信协议集成动环监控平台，由动环监控平台软件实时监测。同时智能温湿度传感器自带液晶显示屏，可在监测现场查看当前的温度、湿度数值。</w:t>
      </w:r>
    </w:p>
    <w:p w14:paraId="7A313C46">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H2监测</w:t>
      </w:r>
    </w:p>
    <w:p w14:paraId="46CF6783">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1、在配电间电池安装区域安装2只H2传感器，实时检测H2浓度值；检测原理 电化学，检测方式 在线监测、扩散式，T90响应时间 &lt;30秒，调试方式 红外遥控器，信号输出 RS485，兼容性 可与昆仑海岸的所有分线制气体报警控制器配套使用，也可直接接入DCS系统或PLC，防护等级 IP66，工作环境温度 (-30~+50)℃，工作环境湿度 (10%~95%)RH无凝露；</w:t>
      </w:r>
    </w:p>
    <w:p w14:paraId="71BCDD8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2、工作电压 24VDC（12~28VDC），最大工作电流 50mA监测氢气浓度值，设备自带监控通讯接口及通信协议集成动环监控平台，由动环监控平台软件实时监测。</w:t>
      </w:r>
    </w:p>
    <w:p w14:paraId="07E00213">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精密空调监测</w:t>
      </w:r>
    </w:p>
    <w:p w14:paraId="27BF13D7">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监测精密空调运行参数及状态：如精密空调开、关状态、送风温度/湿度、回风温度/湿度参数等。实现对空调进行远程控制：如远程控制其开、关机等。需由精密空调设备厂商提供标准监控通讯接口及通信协议。通过设备的监控通讯接口及通信协议集成到动环监控平台软件，由动环监控平台软件进行实时监测。</w:t>
      </w:r>
    </w:p>
    <w:p w14:paraId="79AC44FC">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监测配电间内有空调区域的漏水情况。需在机房空调区域敷设漏水感应绳，每条漏水感应绳需单独连接至1台漏水控制器。当漏水发生时，漏水控制模块通过检测及处理漏水感应绳电子信号的变化产生报警信号，再经由智能采集模块上传至监控平台进行实时监测。</w:t>
      </w:r>
    </w:p>
    <w:p w14:paraId="38E5FB9E">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新风机监测</w:t>
      </w:r>
    </w:p>
    <w:p w14:paraId="35DD684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监测新风机设备启停状态、过滤网压差状态（新风机专属）。</w:t>
      </w:r>
    </w:p>
    <w:p w14:paraId="4F640BF8">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r>
        <w:rPr>
          <w:rFonts w:hint="eastAsia" w:ascii="宋体" w:hAnsi="宋体" w:eastAsia="宋体" w:cs="宋体"/>
          <w:sz w:val="24"/>
          <w:szCs w:val="24"/>
        </w:rPr>
        <w:t>实现远程控制其开、关机，在动环监控平台软件实时显示新风机运行状态</w:t>
      </w:r>
      <w:r>
        <w:rPr>
          <w:rFonts w:hint="eastAsia" w:ascii="宋体" w:hAnsi="宋体" w:eastAsia="宋体" w:cs="宋体"/>
          <w:sz w:val="24"/>
          <w:szCs w:val="24"/>
          <w:lang w:eastAsia="zh-CN"/>
        </w:rPr>
        <w:t>。</w:t>
      </w:r>
    </w:p>
    <w:p w14:paraId="363BFC12">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消防系统监测</w:t>
      </w:r>
    </w:p>
    <w:p w14:paraId="3E0C4688">
      <w:pPr>
        <w:numPr>
          <w:ilvl w:val="0"/>
          <w:numId w:val="7"/>
        </w:num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rPr>
        <w:t>监测消防系统的各消防防区报警状态</w:t>
      </w:r>
      <w:r>
        <w:rPr>
          <w:rFonts w:hint="eastAsia" w:ascii="宋体" w:hAnsi="宋体" w:eastAsia="宋体" w:cs="宋体"/>
          <w:sz w:val="24"/>
          <w:szCs w:val="24"/>
          <w:lang w:eastAsia="zh-CN"/>
        </w:rPr>
        <w:t>；</w:t>
      </w:r>
    </w:p>
    <w:p w14:paraId="4142D1F8">
      <w:pPr>
        <w:numPr>
          <w:ilvl w:val="0"/>
          <w:numId w:val="7"/>
        </w:num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需由消防报警主机设备厂商提供标准监控通讯接口及通信协议。通过设备的监控通讯接口及通信协议集成到动环监控平台软件，由动环监控平台软件进行实时监测。</w:t>
      </w:r>
    </w:p>
    <w:p w14:paraId="161E23C4">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门禁监控系统监测</w:t>
      </w:r>
    </w:p>
    <w:p w14:paraId="798374DD">
      <w:pPr>
        <w:numPr>
          <w:ilvl w:val="0"/>
          <w:numId w:val="8"/>
        </w:num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rPr>
        <w:t>视频监控配置2台400万枪机+1台硬盘录像机+2套人脸识别门禁</w:t>
      </w:r>
      <w:r>
        <w:rPr>
          <w:rFonts w:hint="eastAsia" w:ascii="宋体" w:hAnsi="宋体" w:eastAsia="宋体" w:cs="宋体"/>
          <w:sz w:val="24"/>
          <w:szCs w:val="24"/>
          <w:lang w:eastAsia="zh-CN"/>
        </w:rPr>
        <w:t>；</w:t>
      </w:r>
    </w:p>
    <w:p w14:paraId="4EA3B499">
      <w:pPr>
        <w:numPr>
          <w:ilvl w:val="0"/>
          <w:numId w:val="8"/>
        </w:num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视频监控提供及门禁系统提供标准监控通讯接口及通信协议集成到动环监控平台，动环监控平台软件的实时监控，可以远程控制门开、关，监测门开关状态；实时监视各路视频图像，通过在电子地图上点击相应的图标即可查看该摄像机的当前画面。</w:t>
      </w:r>
    </w:p>
    <w:p w14:paraId="0133DFFD">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柴油发电机监测</w:t>
      </w:r>
    </w:p>
    <w:p w14:paraId="4513020B">
      <w:pPr>
        <w:numPr>
          <w:ilvl w:val="0"/>
          <w:numId w:val="9"/>
        </w:num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需由柴发设备厂商提供标准监控通讯接口及通信协议。</w:t>
      </w:r>
    </w:p>
    <w:p w14:paraId="6738EE2A">
      <w:pPr>
        <w:numPr>
          <w:ilvl w:val="0"/>
          <w:numId w:val="9"/>
        </w:num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通过设备的监控通讯接口及通信协议集成到动环监控平台软件，由动环监控平台软件进行实时监测。开发发电机通信协议，满足平台接口，能够对发电机进行监测。</w:t>
      </w:r>
    </w:p>
    <w:p w14:paraId="078303A8">
      <w:pPr>
        <w:pStyle w:val="4"/>
        <w:bidi w:val="0"/>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动环监测主机及软件</w:t>
      </w:r>
    </w:p>
    <w:p w14:paraId="3A1863C9">
      <w:pPr>
        <w:numPr>
          <w:ilvl w:val="0"/>
          <w:numId w:val="10"/>
        </w:num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动环监测主机</w:t>
      </w:r>
    </w:p>
    <w:p w14:paraId="14998CE7">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动环监测主机采用ARM Cortex A9处理器，四核 主频高达1.0GHz；</w:t>
      </w:r>
    </w:p>
    <w:p w14:paraId="3BEA001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内存：2G，存储不小于16GB，支持扩展，可扩展到128G；</w:t>
      </w:r>
    </w:p>
    <w:p w14:paraId="049F8940">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串口不少于8路RS485，其中4路支持RS232/485智能切换；</w:t>
      </w:r>
    </w:p>
    <w:p w14:paraId="6B29900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4）、</w:t>
      </w:r>
      <w:r>
        <w:rPr>
          <w:rFonts w:hint="eastAsia" w:ascii="宋体" w:hAnsi="宋体" w:eastAsia="宋体" w:cs="宋体"/>
          <w:sz w:val="24"/>
          <w:szCs w:val="24"/>
        </w:rPr>
        <w:t>8路AI/DI，4路DO、4路以太网口、1路USB2.0接口；</w:t>
      </w:r>
    </w:p>
    <w:p w14:paraId="25FBA9E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5）、</w:t>
      </w:r>
      <w:r>
        <w:rPr>
          <w:rFonts w:hint="eastAsia" w:ascii="宋体" w:hAnsi="宋体" w:eastAsia="宋体" w:cs="宋体"/>
          <w:sz w:val="24"/>
          <w:szCs w:val="24"/>
        </w:rPr>
        <w:t>支持双路交流电源输入；</w:t>
      </w:r>
    </w:p>
    <w:p w14:paraId="693F9B8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6）、</w:t>
      </w:r>
      <w:r>
        <w:rPr>
          <w:rFonts w:hint="eastAsia" w:ascii="宋体" w:hAnsi="宋体" w:eastAsia="宋体" w:cs="宋体"/>
          <w:sz w:val="24"/>
          <w:szCs w:val="24"/>
        </w:rPr>
        <w:t>防雷防护能力：2KA/3KA(差模/共模）；</w:t>
      </w:r>
    </w:p>
    <w:p w14:paraId="427ED847">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7）、</w:t>
      </w:r>
      <w:r>
        <w:rPr>
          <w:rFonts w:hint="eastAsia" w:ascii="宋体" w:hAnsi="宋体" w:eastAsia="宋体" w:cs="宋体"/>
          <w:sz w:val="24"/>
          <w:szCs w:val="24"/>
        </w:rPr>
        <w:t>安装：1U标准机架安装</w:t>
      </w:r>
      <w:r>
        <w:rPr>
          <w:rFonts w:hint="eastAsia" w:ascii="宋体" w:hAnsi="宋体" w:eastAsia="宋体" w:cs="宋体"/>
          <w:sz w:val="24"/>
          <w:szCs w:val="24"/>
          <w:lang w:eastAsia="zh-CN"/>
        </w:rPr>
        <w:t>；</w:t>
      </w:r>
    </w:p>
    <w:p w14:paraId="1C8F4763">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8）、</w:t>
      </w:r>
      <w:r>
        <w:rPr>
          <w:rFonts w:hint="eastAsia" w:ascii="宋体" w:hAnsi="宋体" w:eastAsia="宋体" w:cs="宋体"/>
          <w:sz w:val="24"/>
          <w:szCs w:val="24"/>
        </w:rPr>
        <w:t>要求产品具备3C认证、CE认证、第三方可靠性检测报告、第三方防雷检测报告</w:t>
      </w:r>
      <w:r>
        <w:rPr>
          <w:rFonts w:hint="eastAsia" w:ascii="宋体" w:hAnsi="宋体" w:eastAsia="宋体" w:cs="宋体"/>
          <w:sz w:val="24"/>
          <w:szCs w:val="24"/>
          <w:lang w:eastAsia="zh-CN"/>
        </w:rPr>
        <w:t>；</w:t>
      </w:r>
    </w:p>
    <w:p w14:paraId="0CE25DCD">
      <w:pPr>
        <w:numPr>
          <w:ilvl w:val="0"/>
          <w:numId w:val="10"/>
        </w:num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动环软件</w:t>
      </w:r>
    </w:p>
    <w:p w14:paraId="4FC0934F">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软件界面展示功能：系统要求采用友好的中文操作界面，支持3D展示，图形化设计，具备电子地图功能。界面的结构、层次清晰明了，页面风格简洁，能够实时直观地显示设备的运行数据和运行状态，3D场景仿真。</w:t>
      </w:r>
    </w:p>
    <w:p w14:paraId="6448AFC8">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系统应采用B/S架构，无需任何插件，直接通过WEB浏览器进行访问、浏览和操作。</w:t>
      </w:r>
    </w:p>
    <w:p w14:paraId="4BBE44CE">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应支持矢量化缩放，并具备分辨率自适应能力，可适用于不同的展示终端。</w:t>
      </w:r>
    </w:p>
    <w:p w14:paraId="029CBE1B">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4）、</w:t>
      </w:r>
      <w:r>
        <w:rPr>
          <w:rFonts w:hint="eastAsia" w:ascii="宋体" w:hAnsi="宋体" w:eastAsia="宋体" w:cs="宋体"/>
          <w:sz w:val="24"/>
          <w:szCs w:val="24"/>
        </w:rPr>
        <w:t>系统界面应可直观显示子空间/设备的主要运行数据及状态，支持通过动态颜色变化关联告警情况。</w:t>
      </w:r>
    </w:p>
    <w:p w14:paraId="14D36D1C">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5）、</w:t>
      </w:r>
      <w:r>
        <w:rPr>
          <w:rFonts w:hint="eastAsia" w:ascii="宋体" w:hAnsi="宋体" w:eastAsia="宋体" w:cs="宋体"/>
          <w:sz w:val="24"/>
          <w:szCs w:val="24"/>
        </w:rPr>
        <w:t>系统平台需支持将同类设备集中在一个页面进行展示，便于运维人员根据个人的权限范围及业务职责进行查看。</w:t>
      </w:r>
    </w:p>
    <w:p w14:paraId="24E157FD">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6）、</w:t>
      </w:r>
      <w:r>
        <w:rPr>
          <w:rFonts w:hint="eastAsia" w:ascii="宋体" w:hAnsi="宋体" w:eastAsia="宋体" w:cs="宋体"/>
          <w:sz w:val="24"/>
          <w:szCs w:val="24"/>
        </w:rPr>
        <w:t>系统应具备页面导航栏，提供页面的跳转路径查看，并支持返回、操作记忆及模糊搜索等快捷便利的操作，以便简化繁琐的运维工作。</w:t>
      </w:r>
    </w:p>
    <w:p w14:paraId="2FBD928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7）、</w:t>
      </w:r>
      <w:r>
        <w:rPr>
          <w:rFonts w:hint="eastAsia" w:ascii="宋体" w:hAnsi="宋体" w:eastAsia="宋体" w:cs="宋体"/>
          <w:sz w:val="24"/>
          <w:szCs w:val="24"/>
        </w:rPr>
        <w:t>系统应具备空间及设备树型结构，运维人员可通过树形结构查看数据中心空间、设备页面间的跳转逻辑关系及运行状态，并可实现页面的快速跳转，应具备空间、设备、测点的模糊搜索功能。</w:t>
      </w:r>
    </w:p>
    <w:p w14:paraId="35A41900">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8）、</w:t>
      </w:r>
      <w:r>
        <w:rPr>
          <w:rFonts w:hint="eastAsia" w:ascii="宋体" w:hAnsi="宋体" w:eastAsia="宋体" w:cs="宋体"/>
          <w:sz w:val="24"/>
          <w:szCs w:val="24"/>
        </w:rPr>
        <w:t>系统应提供标准的设备页面，展示设备运行拓扑、运行参数、运行状态、资产信息及控制内容，并支持在页面中查看所有测点的实时及历史曲线。</w:t>
      </w:r>
    </w:p>
    <w:p w14:paraId="751A630B">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9）、</w:t>
      </w:r>
      <w:r>
        <w:rPr>
          <w:rFonts w:hint="eastAsia" w:ascii="宋体" w:hAnsi="宋体" w:eastAsia="宋体" w:cs="宋体"/>
          <w:sz w:val="24"/>
          <w:szCs w:val="24"/>
        </w:rPr>
        <w:t>系统应可在任何页面提供告警信息窗口，支持不同维度（包括但不限于空间、系统、等级、类型等）的告警信息筛选、统计及展示，展示内容包括但不限于告警等级、告警来源、告警设备、告警内容、产生时间等，应支持运维人员在窗口进行告警的受理及确认</w:t>
      </w:r>
      <w:r>
        <w:rPr>
          <w:rFonts w:hint="eastAsia" w:ascii="宋体" w:hAnsi="宋体" w:eastAsia="宋体" w:cs="宋体"/>
          <w:sz w:val="24"/>
          <w:szCs w:val="24"/>
          <w:lang w:eastAsia="zh-CN"/>
        </w:rPr>
        <w:t>。</w:t>
      </w:r>
    </w:p>
    <w:p w14:paraId="6721B013">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10）、</w:t>
      </w:r>
      <w:r>
        <w:rPr>
          <w:rFonts w:hint="eastAsia" w:ascii="宋体" w:hAnsi="宋体" w:eastAsia="宋体" w:cs="宋体"/>
          <w:sz w:val="24"/>
          <w:szCs w:val="24"/>
        </w:rPr>
        <w:t>组态功能：系统应支持分层分级创建设备模板，并可根据实际的设备情况创建运行拓扑图。可提供常用设备（如发电机组、UPS、精密空调、蓄电池、配电柜等）的页面展示模板和设备驱动模板。</w:t>
      </w:r>
    </w:p>
    <w:p w14:paraId="3ABC137B">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11）、</w:t>
      </w:r>
      <w:r>
        <w:rPr>
          <w:rFonts w:hint="eastAsia" w:ascii="宋体" w:hAnsi="宋体" w:eastAsia="宋体" w:cs="宋体"/>
          <w:sz w:val="24"/>
          <w:szCs w:val="24"/>
        </w:rPr>
        <w:t>系统应可通过组态方式设计系统页面，内置丰富的标准化图元，包括但不限于文本图元、按钮图元、图片图元、指示灯图元、管线图元、图形图元、供配电系统图元、空调环境系统图元、安全防范图元、消防图元、报表图元等。并具备丰富灵活的操作及属性配置方式，实现快速便捷的页面组态设计，提供动态美观的页面效果。</w:t>
      </w:r>
    </w:p>
    <w:p w14:paraId="3B1D626E">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12）、</w:t>
      </w:r>
      <w:r>
        <w:rPr>
          <w:rFonts w:hint="eastAsia" w:ascii="宋体" w:hAnsi="宋体" w:eastAsia="宋体" w:cs="宋体"/>
          <w:sz w:val="24"/>
          <w:szCs w:val="24"/>
        </w:rPr>
        <w:t>告警管理功能：系统应具备界面弹窗、短信通知、电话语音、移动终端等多种告警告知方式。</w:t>
      </w:r>
    </w:p>
    <w:p w14:paraId="52CD648E">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13）、</w:t>
      </w:r>
      <w:r>
        <w:rPr>
          <w:rFonts w:hint="eastAsia" w:ascii="宋体" w:hAnsi="宋体" w:eastAsia="宋体" w:cs="宋体"/>
          <w:sz w:val="24"/>
          <w:szCs w:val="24"/>
        </w:rPr>
        <w:t>系统应具备告警发送任务的全生命周期管理功能，支持对发送任务的跟踪、记录、查询及导出功能，查询维度包括但不限于告警源、告警发送内容、告警发送方式、接收用户设置、发送时间、发送状态等。</w:t>
      </w:r>
    </w:p>
    <w:p w14:paraId="61D6DA91">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14）、</w:t>
      </w:r>
      <w:r>
        <w:rPr>
          <w:rFonts w:hint="eastAsia" w:ascii="宋体" w:hAnsi="宋体" w:eastAsia="宋体" w:cs="宋体"/>
          <w:sz w:val="24"/>
          <w:szCs w:val="24"/>
        </w:rPr>
        <w:t>★系统应默认提供五级告警管理（满足ITIL的定义要求：紧急、严重、重要、次要、预警），并可根据业务需要扩展到不少于十级的分级管理功能，不同等级的告警可配置不同的显示颜色及发送方式</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需</w:t>
      </w:r>
      <w:r>
        <w:rPr>
          <w:rFonts w:hint="eastAsia" w:ascii="宋体" w:hAnsi="宋体" w:eastAsia="宋体" w:cs="宋体"/>
          <w:sz w:val="24"/>
          <w:szCs w:val="24"/>
        </w:rPr>
        <w:t>提供系统页面截图证明。</w:t>
      </w:r>
    </w:p>
    <w:p w14:paraId="7CFB3C1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15）、</w:t>
      </w:r>
      <w:r>
        <w:rPr>
          <w:rFonts w:hint="eastAsia" w:ascii="宋体" w:hAnsi="宋体" w:eastAsia="宋体" w:cs="宋体"/>
          <w:sz w:val="24"/>
          <w:szCs w:val="24"/>
        </w:rPr>
        <w:t>★系统应具备告警受理及确认功能，在告警受理及确认过程中，可填写告警现象、原因等文本内容，同时，应支持单条或批量操作，并提供典型的告警分类以供选择</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需</w:t>
      </w:r>
      <w:r>
        <w:rPr>
          <w:rFonts w:hint="eastAsia" w:ascii="宋体" w:hAnsi="宋体" w:eastAsia="宋体" w:cs="宋体"/>
          <w:sz w:val="24"/>
          <w:szCs w:val="24"/>
        </w:rPr>
        <w:t>提供系统页面截图证明。</w:t>
      </w:r>
    </w:p>
    <w:p w14:paraId="4AEA51F5">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16）、</w:t>
      </w:r>
      <w:r>
        <w:rPr>
          <w:rFonts w:hint="eastAsia" w:ascii="宋体" w:hAnsi="宋体" w:eastAsia="宋体" w:cs="宋体"/>
          <w:sz w:val="24"/>
          <w:szCs w:val="24"/>
        </w:rPr>
        <w:t>告警过滤功能：系统应具备告警过滤功能，有效过滤掉瞬时参数跳变及数据频繁波动引起的冗余告警信息。</w:t>
      </w:r>
    </w:p>
    <w:p w14:paraId="34D608E7">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17）、</w:t>
      </w:r>
      <w:r>
        <w:rPr>
          <w:rFonts w:hint="eastAsia" w:ascii="宋体" w:hAnsi="宋体" w:eastAsia="宋体" w:cs="宋体"/>
          <w:sz w:val="24"/>
          <w:szCs w:val="24"/>
        </w:rPr>
        <w:t>告警屏蔽功能：系统应可结合实际业务需要配置告警屏蔽策略（空间/设备/测点/告警等级/告警类型/时间段），屏蔽掉不重要及无需体现的报警信息，并支持设置安全时段，可在系统页面上管理告警屏蔽策略，实现启动、禁用、模糊搜索、新增、删除、修改等操作。</w:t>
      </w:r>
    </w:p>
    <w:p w14:paraId="67C85D90">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18）、</w:t>
      </w:r>
      <w:r>
        <w:rPr>
          <w:rFonts w:hint="eastAsia" w:ascii="宋体" w:hAnsi="宋体" w:eastAsia="宋体" w:cs="宋体"/>
          <w:sz w:val="24"/>
          <w:szCs w:val="24"/>
        </w:rPr>
        <w:t>权限管理功能：用户权限应能够按照区域、部门、职能等业务模式进行灵活的组合配置，具备多层多级的权限配置，保证系统使用安全性。可将权限相同的用户放置于一个组内，进行集中的权限管理。支持按照多维度（包括但不限于空间维度、设备维度、页面维度、菜单维度和操作维度等）进行权限授权。应具备模糊搜索功能，可进行用户、角色、部门的快速查找及定位。可对用户模板下载、批量导出、批量导入。</w:t>
      </w:r>
    </w:p>
    <w:p w14:paraId="3DD30D3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19）、</w:t>
      </w:r>
      <w:r>
        <w:rPr>
          <w:rFonts w:hint="eastAsia" w:ascii="宋体" w:hAnsi="宋体" w:eastAsia="宋体" w:cs="宋体"/>
          <w:sz w:val="24"/>
          <w:szCs w:val="24"/>
        </w:rPr>
        <w:t>报表管理功能：系统应提供统一的报表展示门户，用户可通过B/S访问方式，按不同维度（包括但不限于报表范围、业务类型、报表周期、创建时间等）进行报表的浏览、查询、查看、导出等操作。</w:t>
      </w:r>
    </w:p>
    <w:p w14:paraId="10B13E6B">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20）、</w:t>
      </w:r>
      <w:r>
        <w:rPr>
          <w:rFonts w:hint="eastAsia" w:ascii="宋体" w:hAnsi="宋体" w:eastAsia="宋体" w:cs="宋体"/>
          <w:sz w:val="24"/>
          <w:szCs w:val="24"/>
        </w:rPr>
        <w:t>系统应提供查询报表功能，可提供告警事件、事件生命周期、数据信息的查询和导出功能。</w:t>
      </w:r>
    </w:p>
    <w:p w14:paraId="6ADA09B3">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21）、</w:t>
      </w:r>
      <w:r>
        <w:rPr>
          <w:rFonts w:hint="eastAsia" w:ascii="宋体" w:hAnsi="宋体" w:eastAsia="宋体" w:cs="宋体"/>
          <w:sz w:val="24"/>
          <w:szCs w:val="24"/>
        </w:rPr>
        <w:t>系统应具备告警事件生命周期的管理功能，支持进行跟踪、记录和查询。</w:t>
      </w:r>
    </w:p>
    <w:p w14:paraId="1ECDB338">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22）、</w:t>
      </w:r>
      <w:r>
        <w:rPr>
          <w:rFonts w:hint="eastAsia" w:ascii="宋体" w:hAnsi="宋体" w:eastAsia="宋体" w:cs="宋体"/>
          <w:sz w:val="24"/>
          <w:szCs w:val="24"/>
        </w:rPr>
        <w:t>系统应支持根据业务需求自动/手动生成报表，并可以导出EXCEL、PDF。</w:t>
      </w:r>
    </w:p>
    <w:p w14:paraId="1B997E41">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23）、</w:t>
      </w:r>
      <w:r>
        <w:rPr>
          <w:rFonts w:hint="eastAsia" w:ascii="宋体" w:hAnsi="宋体" w:eastAsia="宋体" w:cs="宋体"/>
          <w:sz w:val="24"/>
          <w:szCs w:val="24"/>
        </w:rPr>
        <w:t>应具备报表订阅功能，用户可以根据自己的需求进行个性化的报表订阅与退订。</w:t>
      </w:r>
    </w:p>
    <w:p w14:paraId="2C66D106">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24）、</w:t>
      </w:r>
      <w:r>
        <w:rPr>
          <w:rFonts w:hint="eastAsia" w:ascii="宋体" w:hAnsi="宋体" w:eastAsia="宋体" w:cs="宋体"/>
          <w:sz w:val="24"/>
          <w:szCs w:val="24"/>
        </w:rPr>
        <w:t>系统需提供常用的日报表、月报表、年报表样式等供用户选择</w:t>
      </w:r>
      <w:r>
        <w:rPr>
          <w:rFonts w:hint="eastAsia" w:ascii="宋体" w:hAnsi="宋体" w:eastAsia="宋体" w:cs="宋体"/>
          <w:sz w:val="24"/>
          <w:szCs w:val="24"/>
          <w:lang w:eastAsia="zh-CN"/>
        </w:rPr>
        <w:t>。</w:t>
      </w:r>
    </w:p>
    <w:p w14:paraId="5DAB4154">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25）、</w:t>
      </w:r>
      <w:r>
        <w:rPr>
          <w:rFonts w:hint="eastAsia" w:ascii="宋体" w:hAnsi="宋体" w:eastAsia="宋体" w:cs="宋体"/>
          <w:sz w:val="24"/>
          <w:szCs w:val="24"/>
        </w:rPr>
        <w:t>基本要求：系统应采用Linux操作系统，并内置MySQL数据库。</w:t>
      </w:r>
    </w:p>
    <w:p w14:paraId="5EB97F8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26）、</w:t>
      </w:r>
      <w:r>
        <w:rPr>
          <w:rFonts w:hint="eastAsia" w:ascii="宋体" w:hAnsi="宋体" w:eastAsia="宋体" w:cs="宋体"/>
          <w:sz w:val="24"/>
          <w:szCs w:val="24"/>
        </w:rPr>
        <w:t>系统应具备硬件加密授权功能，避免非法软件运行，保障系统安全性。</w:t>
      </w:r>
    </w:p>
    <w:p w14:paraId="41D57663">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27）、</w:t>
      </w:r>
      <w:r>
        <w:rPr>
          <w:rFonts w:hint="eastAsia" w:ascii="宋体" w:hAnsi="宋体" w:eastAsia="宋体" w:cs="宋体"/>
          <w:sz w:val="24"/>
          <w:szCs w:val="24"/>
        </w:rPr>
        <w:t>★系统应通过业内主流漏洞扫描软件和防病毒软件检测，可以有效避免黑客攻击行为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需</w:t>
      </w:r>
      <w:r>
        <w:rPr>
          <w:rFonts w:hint="eastAsia" w:ascii="宋体" w:hAnsi="宋体" w:eastAsia="宋体" w:cs="宋体"/>
          <w:sz w:val="24"/>
          <w:szCs w:val="24"/>
        </w:rPr>
        <w:t>提供系统安全评测报告。</w:t>
      </w:r>
    </w:p>
    <w:p w14:paraId="4BAAE9E3">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28）、</w:t>
      </w:r>
      <w:r>
        <w:rPr>
          <w:rFonts w:hint="eastAsia" w:ascii="宋体" w:hAnsi="宋体" w:eastAsia="宋体" w:cs="宋体"/>
          <w:sz w:val="24"/>
          <w:szCs w:val="24"/>
        </w:rPr>
        <w:t>系统应具备本地维护和远程维护能力，支持升级、全量备份、增量备份及还原。系统应支持NTP时钟校正功能，保障全网时间准确统一。</w:t>
      </w:r>
    </w:p>
    <w:p w14:paraId="0295F22A">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29）、</w:t>
      </w:r>
      <w:r>
        <w:rPr>
          <w:rFonts w:hint="eastAsia" w:ascii="宋体" w:hAnsi="宋体" w:eastAsia="宋体" w:cs="宋体"/>
          <w:sz w:val="24"/>
          <w:szCs w:val="24"/>
        </w:rPr>
        <w:t>★</w:t>
      </w:r>
      <w:r>
        <w:rPr>
          <w:rFonts w:hint="eastAsia" w:ascii="宋体" w:hAnsi="宋体" w:eastAsia="宋体" w:cs="宋体"/>
          <w:sz w:val="24"/>
          <w:szCs w:val="24"/>
          <w:lang w:val="en-US" w:eastAsia="zh-CN"/>
        </w:rPr>
        <w:t>动环</w:t>
      </w:r>
      <w:r>
        <w:rPr>
          <w:rFonts w:hint="eastAsia" w:ascii="宋体" w:hAnsi="宋体" w:eastAsia="宋体" w:cs="宋体"/>
          <w:sz w:val="24"/>
          <w:szCs w:val="24"/>
        </w:rPr>
        <w:t>监控系统需提供</w:t>
      </w:r>
      <w:r>
        <w:rPr>
          <w:rFonts w:hint="eastAsia" w:ascii="宋体" w:hAnsi="宋体" w:eastAsia="宋体" w:cs="宋体"/>
          <w:sz w:val="24"/>
          <w:szCs w:val="24"/>
          <w:lang w:val="en-US" w:eastAsia="zh-CN"/>
        </w:rPr>
        <w:t>制造商</w:t>
      </w:r>
      <w:r>
        <w:rPr>
          <w:rFonts w:hint="eastAsia" w:ascii="宋体" w:hAnsi="宋体" w:eastAsia="宋体" w:cs="宋体"/>
          <w:sz w:val="24"/>
          <w:szCs w:val="24"/>
        </w:rPr>
        <w:t>软件著作权证书及软件检测报告</w:t>
      </w:r>
      <w:r>
        <w:rPr>
          <w:rFonts w:hint="eastAsia" w:ascii="宋体" w:hAnsi="宋体" w:eastAsia="宋体" w:cs="宋体"/>
          <w:sz w:val="24"/>
          <w:szCs w:val="24"/>
          <w:lang w:eastAsia="zh-CN"/>
        </w:rPr>
        <w:t>。</w:t>
      </w:r>
    </w:p>
    <w:p w14:paraId="3E4469D3">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30）、一</w:t>
      </w:r>
      <w:r>
        <w:rPr>
          <w:rFonts w:hint="eastAsia" w:ascii="宋体" w:hAnsi="宋体" w:eastAsia="宋体" w:cs="宋体"/>
          <w:sz w:val="24"/>
          <w:szCs w:val="24"/>
        </w:rPr>
        <w:t>年</w:t>
      </w:r>
      <w:r>
        <w:rPr>
          <w:rFonts w:hint="eastAsia" w:ascii="宋体" w:hAnsi="宋体" w:eastAsia="宋体" w:cs="宋体"/>
          <w:color w:val="000000"/>
          <w:sz w:val="24"/>
          <w:szCs w:val="24"/>
          <w:lang w:val="en-US" w:eastAsia="zh-CN"/>
        </w:rPr>
        <w:t>质保。</w:t>
      </w:r>
    </w:p>
    <w:p w14:paraId="227C0CC3">
      <w:pPr>
        <w:pStyle w:val="3"/>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500KW柴油发电机组</w:t>
      </w:r>
    </w:p>
    <w:p w14:paraId="376A056D">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 500KW柴油发电机，包含发动机、发电机、控制柜及配套所需附件（例如排气直通管，弯管，散热器护罩）；</w:t>
      </w:r>
    </w:p>
    <w:p w14:paraId="4A2EE45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2、机组标配</w:t>
      </w:r>
    </w:p>
    <w:p w14:paraId="6C6FB53E">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进气系统：空气滤清器；</w:t>
      </w:r>
    </w:p>
    <w:p w14:paraId="2650E4DD">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冷却系统：闭环冷却散热器；</w:t>
      </w:r>
    </w:p>
    <w:p w14:paraId="6309D62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排烟系统：膨胀管，消音器和配合法兰；</w:t>
      </w:r>
    </w:p>
    <w:p w14:paraId="43EDE67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燃油系统：进油口回油连接器，燃油滤清器；</w:t>
      </w:r>
    </w:p>
    <w:p w14:paraId="6DF86CDE">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润滑系统：油底壳，油过滤器；</w:t>
      </w:r>
    </w:p>
    <w:p w14:paraId="296ADD7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减振系统：橡胶减振器；</w:t>
      </w:r>
    </w:p>
    <w:p w14:paraId="38E80672">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电气系统：控制屏幕和开关柜；</w:t>
      </w:r>
    </w:p>
    <w:p w14:paraId="499B0C5A">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3、发电机组</w:t>
      </w:r>
    </w:p>
    <w:p w14:paraId="1853EBD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sz w:val="24"/>
          <w:szCs w:val="24"/>
        </w:rPr>
        <w:t>★</w:t>
      </w:r>
      <w:r>
        <w:rPr>
          <w:rFonts w:hint="eastAsia" w:ascii="宋体" w:hAnsi="宋体" w:eastAsia="宋体" w:cs="宋体"/>
          <w:sz w:val="24"/>
          <w:szCs w:val="24"/>
          <w:lang w:val="en-US" w:eastAsia="zh-CN"/>
        </w:rPr>
        <w:t>常用功率：500KW（主用额定功率）；</w:t>
      </w:r>
    </w:p>
    <w:p w14:paraId="2B8AB33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sz w:val="24"/>
          <w:szCs w:val="24"/>
        </w:rPr>
        <w:t>★</w:t>
      </w:r>
      <w:r>
        <w:rPr>
          <w:rFonts w:hint="eastAsia" w:ascii="宋体" w:hAnsi="宋体" w:eastAsia="宋体" w:cs="宋体"/>
          <w:sz w:val="24"/>
          <w:szCs w:val="24"/>
          <w:lang w:val="en-US" w:eastAsia="zh-CN"/>
        </w:rPr>
        <w:t>备用功率：550KW；</w:t>
      </w:r>
    </w:p>
    <w:p w14:paraId="28E03809">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功率因素：0.8(滞后)；</w:t>
      </w:r>
    </w:p>
    <w:p w14:paraId="7D8109A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额定电压：400/230V；</w:t>
      </w:r>
    </w:p>
    <w:p w14:paraId="25C6018E">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频率：50HZ；</w:t>
      </w:r>
    </w:p>
    <w:p w14:paraId="679A9345">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相数：3；</w:t>
      </w:r>
    </w:p>
    <w:p w14:paraId="513E2D0B">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发电机组性能等级：ISO 8528-5 G2；</w:t>
      </w:r>
    </w:p>
    <w:p w14:paraId="2155701E">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稳定电压偏差：≤±2.5%；</w:t>
      </w:r>
    </w:p>
    <w:p w14:paraId="4B39E1FA">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瞬态电压偏差（100%突减/突加功率）：≤+25% ；≤-20%；</w:t>
      </w:r>
    </w:p>
    <w:p w14:paraId="040C3485">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稳态频率带：≤1.5%；</w:t>
      </w:r>
    </w:p>
    <w:p w14:paraId="4C5C507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瞬态频率偏差（100%突减/突加功率）：≤+12%；≤-10%；</w:t>
      </w:r>
    </w:p>
    <w:p w14:paraId="778C0D4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4、发动机技术参数</w:t>
      </w:r>
    </w:p>
    <w:p w14:paraId="795E840E">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额定转速：1500r/min；</w:t>
      </w:r>
    </w:p>
    <w:p w14:paraId="77C51BD5">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常用功率：575KW；</w:t>
      </w:r>
    </w:p>
    <w:p w14:paraId="4A7DDCB3">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超负荷功率：633KW；</w:t>
      </w:r>
    </w:p>
    <w:p w14:paraId="3A39B57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冷却方式：风扇闭式水冷；</w:t>
      </w:r>
    </w:p>
    <w:p w14:paraId="77E1DF2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调速方式：电子调速；</w:t>
      </w:r>
    </w:p>
    <w:p w14:paraId="40E555FD">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进气方式：增压中冷；</w:t>
      </w:r>
    </w:p>
    <w:p w14:paraId="6DE05C0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形式：6 缸、直列；</w:t>
      </w:r>
    </w:p>
    <w:p w14:paraId="096AE3C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启动系统：24VDC；</w:t>
      </w:r>
    </w:p>
    <w:p w14:paraId="1FFF79E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冷却系统空气流量：783.3（m³/min）；</w:t>
      </w:r>
    </w:p>
    <w:p w14:paraId="611D174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2×DC12V 启动蓄电池；</w:t>
      </w:r>
    </w:p>
    <w:p w14:paraId="3F84D90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5、发电机技术参数</w:t>
      </w:r>
    </w:p>
    <w:p w14:paraId="7C0DDF5A">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励磁系统：无刷自励；</w:t>
      </w:r>
    </w:p>
    <w:p w14:paraId="6D79AB92">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防护等级：IP23；</w:t>
      </w:r>
    </w:p>
    <w:p w14:paraId="6F9BDB4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电压调整范围：≤±1%；</w:t>
      </w:r>
    </w:p>
    <w:p w14:paraId="1944967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绝缘等级：H；</w:t>
      </w:r>
    </w:p>
    <w:p w14:paraId="4CF7F8FE">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绕组节距：2/3；</w:t>
      </w:r>
    </w:p>
    <w:p w14:paraId="03EB10CF">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支撑方式：单轴承；</w:t>
      </w:r>
    </w:p>
    <w:p w14:paraId="7AAEDF9E">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6、控制模块</w:t>
      </w:r>
    </w:p>
    <w:p w14:paraId="40873D58">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市电失效自启动控制模块；</w:t>
      </w:r>
    </w:p>
    <w:p w14:paraId="32F6A13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LCD 背光显示屏；</w:t>
      </w:r>
    </w:p>
    <w:p w14:paraId="7ADA36B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发电机和市电；</w:t>
      </w:r>
    </w:p>
    <w:p w14:paraId="2CC2510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三相电压检测；</w:t>
      </w:r>
    </w:p>
    <w:p w14:paraId="4D085C4B">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检测转速、频率、电压、电流、油压、水温和燃油油位；</w:t>
      </w:r>
    </w:p>
    <w:p w14:paraId="60F7D6DB">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显示发电机组停机和报警的原因；</w:t>
      </w:r>
    </w:p>
    <w:p w14:paraId="73EF3242">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发动机运行小时数提供准确监控和保养信息；</w:t>
      </w:r>
    </w:p>
    <w:p w14:paraId="4500FD1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7、发电机组含机油、防冻液等；</w:t>
      </w:r>
    </w:p>
    <w:p w14:paraId="311A8D8D">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8、燃油箱容量：600L；</w:t>
      </w:r>
    </w:p>
    <w:p w14:paraId="1D6AC38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9、一</w:t>
      </w:r>
      <w:r>
        <w:rPr>
          <w:rFonts w:hint="eastAsia" w:ascii="宋体" w:hAnsi="宋体" w:eastAsia="宋体" w:cs="宋体"/>
          <w:sz w:val="24"/>
          <w:szCs w:val="24"/>
        </w:rPr>
        <w:t>年</w:t>
      </w:r>
      <w:r>
        <w:rPr>
          <w:rFonts w:hint="eastAsia" w:ascii="宋体" w:hAnsi="宋体" w:eastAsia="宋体" w:cs="宋体"/>
          <w:sz w:val="24"/>
          <w:szCs w:val="24"/>
          <w:lang w:val="en-US" w:eastAsia="zh-CN"/>
        </w:rPr>
        <w:t>质保。</w:t>
      </w:r>
    </w:p>
    <w:p w14:paraId="09E8002E">
      <w:pPr>
        <w:spacing w:line="360" w:lineRule="auto"/>
        <w:ind w:firstLine="480" w:firstLineChars="200"/>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10、在室内安装柴油发电机，配套设施其它要求</w:t>
      </w:r>
    </w:p>
    <w:p w14:paraId="7C1744A2">
      <w:pPr>
        <w:pStyle w:val="216"/>
        <w:spacing w:line="360" w:lineRule="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1）、</w:t>
      </w:r>
      <w:r>
        <w:rPr>
          <w:rFonts w:hint="eastAsia" w:ascii="宋体" w:hAnsi="宋体" w:eastAsia="宋体" w:cs="宋体"/>
          <w:b w:val="0"/>
          <w:bCs w:val="0"/>
          <w:sz w:val="24"/>
          <w:szCs w:val="24"/>
        </w:rPr>
        <w:t>排风</w:t>
      </w:r>
    </w:p>
    <w:p w14:paraId="1178DEF5">
      <w:pPr>
        <w:pStyle w:val="216"/>
        <w:spacing w:line="360" w:lineRule="auto"/>
        <w:rPr>
          <w:rFonts w:hint="eastAsia" w:ascii="宋体" w:hAnsi="宋体" w:eastAsia="宋体" w:cs="宋体"/>
          <w:sz w:val="24"/>
          <w:szCs w:val="24"/>
          <w:lang w:val="en-US"/>
        </w:rPr>
      </w:pPr>
      <w:r>
        <w:rPr>
          <w:rFonts w:hint="eastAsia" w:ascii="宋体" w:hAnsi="宋体" w:eastAsia="宋体" w:cs="宋体"/>
          <w:sz w:val="24"/>
          <w:szCs w:val="24"/>
        </w:rPr>
        <w:t>发电机房的热风主要通过风扇散热器来散热，机房的布置和设施应将热风引到机房外，通常利用门洞或墙洞，再加上可拆移的风罩将热风引出机房，若利用墙洞固定引风罩可采用帆布管罩缓冲隔振，其墙洞面积应为水箱散热器芯子迎风正面积加大25%，而发电机噪音主要由排风道传出，因此设计时需预留降噪位置，方便以后降噪施工。</w:t>
      </w:r>
      <w:r>
        <w:rPr>
          <w:rFonts w:hint="eastAsia" w:ascii="宋体" w:hAnsi="宋体" w:eastAsia="宋体" w:cs="宋体"/>
          <w:b w:val="0"/>
          <w:bCs w:val="0"/>
          <w:sz w:val="24"/>
          <w:szCs w:val="24"/>
          <w:lang w:val="en-US" w:eastAsia="zh-CN"/>
        </w:rPr>
        <w:t>故本次需在柴油发电机房南侧室外靠墙位置进行土方开挖（5000*1200*3000mm），新砌筑1个排风井和新风井，井口最上面加盖，四周安装百叶窗，同时在柴发机房南墙开1500*1500mm洞口（排风口），柴油发</w:t>
      </w:r>
      <w:r>
        <w:rPr>
          <w:rFonts w:hint="eastAsia" w:ascii="宋体" w:hAnsi="宋体" w:eastAsia="宋体" w:cs="宋体"/>
          <w:sz w:val="24"/>
          <w:szCs w:val="24"/>
          <w:lang w:val="en-US" w:eastAsia="zh-CN"/>
        </w:rPr>
        <w:t>电机组排风通过制作导风罩与排风口软连接，将机组散热风扇与排风井进行连接。</w:t>
      </w:r>
    </w:p>
    <w:p w14:paraId="0595CEA2">
      <w:pPr>
        <w:pStyle w:val="216"/>
        <w:spacing w:line="360" w:lineRule="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val="en-US" w:eastAsia="zh-CN"/>
        </w:rPr>
        <w:t>2）、</w:t>
      </w:r>
      <w:r>
        <w:rPr>
          <w:rFonts w:hint="eastAsia" w:ascii="宋体" w:hAnsi="宋体" w:eastAsia="宋体" w:cs="宋体"/>
          <w:b w:val="0"/>
          <w:bCs w:val="0"/>
          <w:sz w:val="24"/>
          <w:szCs w:val="24"/>
        </w:rPr>
        <w:t>进风</w:t>
      </w:r>
    </w:p>
    <w:p w14:paraId="58A07B00">
      <w:pPr>
        <w:pStyle w:val="216"/>
        <w:spacing w:line="360" w:lineRule="auto"/>
        <w:rPr>
          <w:rFonts w:hint="eastAsia" w:ascii="宋体" w:hAnsi="宋体" w:eastAsia="宋体" w:cs="宋体"/>
          <w:sz w:val="24"/>
          <w:szCs w:val="24"/>
        </w:rPr>
      </w:pPr>
      <w:r>
        <w:rPr>
          <w:rFonts w:hint="eastAsia" w:ascii="宋体" w:hAnsi="宋体" w:eastAsia="宋体" w:cs="宋体"/>
          <w:sz w:val="24"/>
          <w:szCs w:val="24"/>
        </w:rPr>
        <w:t>发动机的进气温度应该低于 40ºC。如果进气温度持续高于此值，发动机的输出功率将会降低，因此必须及时从机房外引入新鲜空气来给发动机提供进气。</w:t>
      </w:r>
    </w:p>
    <w:p w14:paraId="7D7F85F1">
      <w:pPr>
        <w:pStyle w:val="216"/>
        <w:spacing w:line="360" w:lineRule="auto"/>
        <w:rPr>
          <w:rFonts w:hint="eastAsia" w:ascii="宋体" w:hAnsi="宋体" w:eastAsia="宋体" w:cs="宋体"/>
          <w:sz w:val="24"/>
          <w:szCs w:val="24"/>
          <w:lang w:eastAsia="zh-CN"/>
        </w:rPr>
      </w:pPr>
      <w:r>
        <w:rPr>
          <w:rFonts w:hint="eastAsia" w:ascii="宋体" w:hAnsi="宋体" w:eastAsia="宋体" w:cs="宋体"/>
          <w:sz w:val="24"/>
          <w:szCs w:val="24"/>
        </w:rPr>
        <w:t>发电机房进风主要靠机房内产生的负压来完成进风，为了今后降噪施工方便，须预留降噪位置。</w:t>
      </w:r>
      <w:r>
        <w:rPr>
          <w:rFonts w:hint="eastAsia" w:ascii="宋体" w:hAnsi="宋体" w:eastAsia="宋体" w:cs="宋体"/>
          <w:b w:val="0"/>
          <w:bCs w:val="0"/>
          <w:sz w:val="24"/>
          <w:szCs w:val="24"/>
          <w:lang w:val="en-US" w:eastAsia="zh-CN"/>
        </w:rPr>
        <w:t>在柴发机房南墙开800*800mm洞口（新风口），</w:t>
      </w:r>
      <w:r>
        <w:rPr>
          <w:rFonts w:hint="eastAsia" w:ascii="宋体" w:hAnsi="宋体" w:eastAsia="宋体" w:cs="宋体"/>
          <w:b w:val="0"/>
          <w:bCs w:val="0"/>
          <w:sz w:val="24"/>
          <w:szCs w:val="24"/>
        </w:rPr>
        <w:t>在发电机房天花板预</w:t>
      </w:r>
      <w:r>
        <w:rPr>
          <w:rFonts w:hint="eastAsia" w:ascii="宋体" w:hAnsi="宋体" w:eastAsia="宋体" w:cs="宋体"/>
          <w:sz w:val="24"/>
          <w:szCs w:val="24"/>
        </w:rPr>
        <w:t>留的风井下方设置风管和轴流风机，风管按照机组需要，延伸到各台油机机组正上方，通过进风风机进风</w:t>
      </w:r>
      <w:r>
        <w:rPr>
          <w:rFonts w:hint="eastAsia" w:ascii="宋体" w:hAnsi="宋体" w:eastAsia="宋体" w:cs="宋体"/>
          <w:sz w:val="24"/>
          <w:szCs w:val="24"/>
          <w:lang w:eastAsia="zh-CN"/>
        </w:rPr>
        <w:t>。</w:t>
      </w:r>
    </w:p>
    <w:p w14:paraId="59B5499A">
      <w:pPr>
        <w:pStyle w:val="216"/>
        <w:spacing w:line="360" w:lineRule="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val="en-US" w:eastAsia="zh-CN"/>
        </w:rPr>
        <w:t>3）、</w:t>
      </w:r>
      <w:r>
        <w:rPr>
          <w:rFonts w:hint="eastAsia" w:ascii="宋体" w:hAnsi="宋体" w:eastAsia="宋体" w:cs="宋体"/>
          <w:b w:val="0"/>
          <w:bCs w:val="0"/>
          <w:sz w:val="24"/>
          <w:szCs w:val="24"/>
        </w:rPr>
        <w:t>排气</w:t>
      </w:r>
    </w:p>
    <w:p w14:paraId="083921D2">
      <w:pPr>
        <w:pStyle w:val="216"/>
        <w:spacing w:line="360" w:lineRule="auto"/>
        <w:rPr>
          <w:rFonts w:hint="eastAsia" w:ascii="宋体" w:hAnsi="宋体" w:eastAsia="宋体" w:cs="宋体"/>
          <w:sz w:val="24"/>
          <w:szCs w:val="24"/>
        </w:rPr>
      </w:pPr>
      <w:r>
        <w:rPr>
          <w:rFonts w:hint="eastAsia" w:ascii="宋体" w:hAnsi="宋体" w:eastAsia="宋体" w:cs="宋体"/>
          <w:sz w:val="24"/>
          <w:szCs w:val="24"/>
        </w:rPr>
        <w:t>发电机组的排气也称排烟，在排烟系统中加装消音器来降低噪音，并将柴油机的排烟引至排风井中一起排到机房外。</w:t>
      </w:r>
    </w:p>
    <w:p w14:paraId="6CD48304">
      <w:pPr>
        <w:pStyle w:val="216"/>
        <w:spacing w:line="360" w:lineRule="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4）、排烟降噪</w:t>
      </w:r>
    </w:p>
    <w:p w14:paraId="1F55C230">
      <w:pPr>
        <w:pStyle w:val="216"/>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排烟管加装消声器，降低发电机组的排烟噪声。</w:t>
      </w:r>
    </w:p>
    <w:p w14:paraId="375199DF">
      <w:pPr>
        <w:pStyle w:val="216"/>
        <w:spacing w:line="360" w:lineRule="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5）、设备基础</w:t>
      </w:r>
    </w:p>
    <w:p w14:paraId="6402B76D">
      <w:pPr>
        <w:pStyle w:val="216"/>
        <w:spacing w:line="360" w:lineRule="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设备安装前，先做水泥基础，尺寸根据设备尺寸进行提前预制，混凝土强度C25。</w:t>
      </w:r>
    </w:p>
    <w:p w14:paraId="1E9C94C5">
      <w:pPr>
        <w:pStyle w:val="216"/>
        <w:spacing w:line="360" w:lineRule="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6）、减震</w:t>
      </w:r>
    </w:p>
    <w:p w14:paraId="16DA1548">
      <w:pPr>
        <w:pStyle w:val="216"/>
        <w:spacing w:line="360" w:lineRule="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根据机组底盘上的安装孔，正确地将机组通过减震器置于平整坚固的基础上(减震器仅需用膨胀螺栓紧固在混凝土基础上)，这样可以有效地减少机组运行时对建筑物产生的震动及冲击，排烟管通过机组成套提供的波纹减震管连接；排风道、燃油进油管、回油管、配电电缆等亦要通过柔性连接，这样才能最大限度地减少因机组运行而对周围物体产生的震动。</w:t>
      </w:r>
    </w:p>
    <w:p w14:paraId="029E21C9">
      <w:pPr>
        <w:pStyle w:val="2"/>
        <w:rPr>
          <w:rFonts w:hint="eastAsia" w:ascii="宋体" w:hAnsi="宋体" w:eastAsia="宋体"/>
          <w:b/>
          <w:bCs/>
          <w:sz w:val="24"/>
          <w:szCs w:val="21"/>
        </w:rPr>
      </w:pPr>
      <w:r>
        <w:rPr>
          <w:rFonts w:hint="eastAsia" w:ascii="宋体" w:hAnsi="宋体" w:eastAsia="宋体"/>
          <w:b/>
          <w:bCs/>
          <w:sz w:val="24"/>
          <w:szCs w:val="21"/>
        </w:rPr>
        <w:t>供货资料及要求</w:t>
      </w:r>
    </w:p>
    <w:p w14:paraId="24A7D4A7">
      <w:pPr>
        <w:numPr>
          <w:ilvl w:val="0"/>
          <w:numId w:val="11"/>
        </w:numPr>
        <w:spacing w:line="360" w:lineRule="auto"/>
        <w:ind w:left="624" w:hanging="624"/>
        <w:contextualSpacing/>
        <w:rPr>
          <w:rFonts w:ascii="宋体" w:hAnsi="宋体" w:cs="宋体"/>
          <w:spacing w:val="6"/>
          <w:sz w:val="24"/>
          <w:szCs w:val="32"/>
        </w:rPr>
      </w:pPr>
      <w:r>
        <w:rPr>
          <w:rFonts w:hint="eastAsia" w:ascii="宋体" w:hAnsi="宋体" w:cs="宋体"/>
          <w:spacing w:val="6"/>
          <w:sz w:val="24"/>
          <w:szCs w:val="32"/>
        </w:rPr>
        <w:t>供货设备应随机提供如下资料：</w:t>
      </w:r>
    </w:p>
    <w:p w14:paraId="21AA15BE">
      <w:pPr>
        <w:spacing w:line="360" w:lineRule="auto"/>
        <w:ind w:firstLine="480" w:firstLineChars="200"/>
        <w:rPr>
          <w:rFonts w:ascii="宋体" w:hAnsi="宋体"/>
          <w:sz w:val="24"/>
          <w:szCs w:val="32"/>
        </w:rPr>
      </w:pPr>
      <w:r>
        <w:rPr>
          <w:rFonts w:hint="eastAsia" w:ascii="宋体" w:hAnsi="宋体"/>
          <w:sz w:val="24"/>
          <w:szCs w:val="32"/>
        </w:rPr>
        <w:t>设备一次接线图、安装图纸、产品说明书（用户操作手册或产品使用说明书）、产品合格证、产品出厂测试报告、装箱清单、其它有关资料等。</w:t>
      </w:r>
    </w:p>
    <w:p w14:paraId="5A72390E">
      <w:pPr>
        <w:numPr>
          <w:ilvl w:val="0"/>
          <w:numId w:val="11"/>
        </w:numPr>
        <w:spacing w:line="360" w:lineRule="auto"/>
        <w:ind w:left="624" w:hanging="624"/>
        <w:contextualSpacing/>
        <w:rPr>
          <w:rFonts w:hint="eastAsia" w:ascii="宋体" w:hAnsi="宋体" w:cs="宋体"/>
          <w:spacing w:val="6"/>
          <w:sz w:val="24"/>
          <w:szCs w:val="32"/>
        </w:rPr>
      </w:pPr>
      <w:r>
        <w:rPr>
          <w:rFonts w:hint="eastAsia" w:ascii="宋体" w:hAnsi="宋体" w:cs="宋体"/>
          <w:spacing w:val="6"/>
          <w:sz w:val="24"/>
          <w:szCs w:val="32"/>
        </w:rPr>
        <w:t>供货范围</w:t>
      </w:r>
    </w:p>
    <w:p w14:paraId="1E02B9B7">
      <w:pPr>
        <w:spacing w:line="360" w:lineRule="auto"/>
        <w:ind w:firstLine="480" w:firstLineChars="200"/>
        <w:rPr>
          <w:rFonts w:hint="eastAsia" w:ascii="宋体" w:hAnsi="宋体"/>
          <w:sz w:val="24"/>
          <w:szCs w:val="32"/>
        </w:rPr>
      </w:pPr>
      <w:r>
        <w:rPr>
          <w:rFonts w:hint="eastAsia" w:ascii="宋体" w:hAnsi="宋体"/>
          <w:color w:val="000000"/>
          <w:sz w:val="24"/>
          <w:szCs w:val="32"/>
          <w:lang w:val="en-US" w:eastAsia="zh-CN"/>
        </w:rPr>
        <w:t>投标人</w:t>
      </w:r>
      <w:r>
        <w:rPr>
          <w:rFonts w:hint="eastAsia" w:ascii="宋体" w:hAnsi="宋体"/>
          <w:sz w:val="24"/>
          <w:szCs w:val="32"/>
        </w:rPr>
        <w:t>的报价中应包括所供设备、辅材及其投运所必需的相关机械、搬运、装卸、辅材、安装调试、现场安全防护、环境保护等所有费用。</w:t>
      </w:r>
    </w:p>
    <w:p w14:paraId="56607F64">
      <w:pPr>
        <w:pStyle w:val="2"/>
        <w:rPr>
          <w:rFonts w:hint="eastAsia" w:ascii="宋体" w:hAnsi="宋体" w:eastAsia="宋体" w:cs="Times New Roman"/>
          <w:b/>
          <w:bCs/>
          <w:sz w:val="24"/>
          <w:szCs w:val="21"/>
        </w:rPr>
      </w:pPr>
      <w:r>
        <w:rPr>
          <w:rFonts w:hint="eastAsia" w:ascii="宋体" w:hAnsi="宋体" w:eastAsia="宋体" w:cs="Times New Roman"/>
          <w:b/>
          <w:bCs/>
          <w:sz w:val="24"/>
          <w:szCs w:val="21"/>
        </w:rPr>
        <w:t>标志、包装</w:t>
      </w:r>
    </w:p>
    <w:p w14:paraId="7D06073C">
      <w:pPr>
        <w:pStyle w:val="2"/>
        <w:spacing w:line="360" w:lineRule="auto"/>
        <w:jc w:val="both"/>
        <w:rPr>
          <w:rFonts w:hint="eastAsia" w:ascii="宋体" w:hAnsi="宋体" w:eastAsia="宋体" w:cs="Times New Roman"/>
          <w:b/>
          <w:bCs/>
          <w:sz w:val="24"/>
          <w:szCs w:val="21"/>
        </w:rPr>
      </w:pPr>
      <w:r>
        <w:rPr>
          <w:rFonts w:hint="eastAsia" w:ascii="宋体" w:hAnsi="宋体" w:eastAsia="宋体" w:cs="Times New Roman"/>
          <w:b/>
          <w:bCs/>
          <w:sz w:val="24"/>
          <w:szCs w:val="21"/>
        </w:rPr>
        <w:t>标志</w:t>
      </w:r>
    </w:p>
    <w:p w14:paraId="5803F99C">
      <w:pPr>
        <w:numPr>
          <w:ilvl w:val="0"/>
          <w:numId w:val="12"/>
        </w:numPr>
        <w:spacing w:line="360" w:lineRule="auto"/>
        <w:ind w:left="624" w:hanging="624"/>
        <w:contextualSpacing/>
        <w:rPr>
          <w:rFonts w:hint="eastAsia" w:ascii="宋体" w:hAnsi="宋体" w:eastAsia="宋体" w:cs="宋体"/>
          <w:spacing w:val="6"/>
          <w:sz w:val="24"/>
          <w:szCs w:val="32"/>
        </w:rPr>
      </w:pPr>
      <w:r>
        <w:rPr>
          <w:rFonts w:hint="eastAsia" w:ascii="宋体" w:hAnsi="宋体" w:eastAsia="宋体" w:cs="宋体"/>
          <w:spacing w:val="6"/>
          <w:sz w:val="24"/>
          <w:szCs w:val="32"/>
        </w:rPr>
        <w:t>在产品的表面的适当位置应有产品标志。标志内容应包括：产品名称、型号、主要参数、产品执行标准号、生产批号或生产日期、生产单位全名等。</w:t>
      </w:r>
    </w:p>
    <w:p w14:paraId="333748C8">
      <w:pPr>
        <w:numPr>
          <w:ilvl w:val="0"/>
          <w:numId w:val="12"/>
        </w:numPr>
        <w:spacing w:line="360" w:lineRule="auto"/>
        <w:ind w:left="624" w:hanging="624"/>
        <w:contextualSpacing/>
        <w:rPr>
          <w:rFonts w:hint="eastAsia" w:ascii="宋体" w:hAnsi="宋体" w:eastAsia="宋体" w:cs="宋体"/>
          <w:spacing w:val="6"/>
          <w:sz w:val="24"/>
          <w:szCs w:val="32"/>
        </w:rPr>
      </w:pPr>
      <w:r>
        <w:rPr>
          <w:rFonts w:hint="eastAsia" w:ascii="宋体" w:hAnsi="宋体" w:eastAsia="宋体" w:cs="宋体"/>
          <w:spacing w:val="6"/>
          <w:sz w:val="24"/>
          <w:szCs w:val="32"/>
        </w:rPr>
        <w:t>产品外包装箱上应有标志，其内容为：名称、型号、毛重、产品执行标准号、生产日期、箱体外形尺寸、生产单位全名、地址等。</w:t>
      </w:r>
    </w:p>
    <w:p w14:paraId="2E226FCB">
      <w:pPr>
        <w:numPr>
          <w:ilvl w:val="0"/>
          <w:numId w:val="12"/>
        </w:numPr>
        <w:spacing w:line="360" w:lineRule="auto"/>
        <w:ind w:left="624" w:hanging="624"/>
        <w:contextualSpacing/>
        <w:rPr>
          <w:rFonts w:hint="eastAsia" w:ascii="宋体" w:hAnsi="宋体" w:eastAsia="宋体" w:cs="宋体"/>
          <w:spacing w:val="6"/>
          <w:sz w:val="24"/>
          <w:szCs w:val="32"/>
        </w:rPr>
      </w:pPr>
      <w:r>
        <w:rPr>
          <w:rFonts w:hint="eastAsia" w:ascii="宋体" w:hAnsi="宋体" w:eastAsia="宋体" w:cs="宋体"/>
          <w:spacing w:val="6"/>
          <w:sz w:val="24"/>
          <w:szCs w:val="32"/>
        </w:rPr>
        <w:t>产品外包装箱上应有防雨、防震、防潮等储运图示，图示符合GB191的规定。</w:t>
      </w:r>
    </w:p>
    <w:p w14:paraId="0291D12E">
      <w:pPr>
        <w:pStyle w:val="2"/>
        <w:spacing w:line="360" w:lineRule="auto"/>
        <w:jc w:val="both"/>
        <w:rPr>
          <w:rFonts w:hint="eastAsia" w:ascii="宋体" w:hAnsi="宋体" w:eastAsia="宋体" w:cs="Times New Roman"/>
          <w:b/>
          <w:bCs/>
          <w:sz w:val="24"/>
          <w:szCs w:val="21"/>
        </w:rPr>
      </w:pPr>
      <w:r>
        <w:rPr>
          <w:rFonts w:hint="eastAsia" w:ascii="宋体" w:hAnsi="宋体" w:eastAsia="宋体" w:cs="Times New Roman"/>
          <w:b/>
          <w:bCs/>
          <w:sz w:val="24"/>
          <w:szCs w:val="21"/>
        </w:rPr>
        <w:t>包装</w:t>
      </w:r>
    </w:p>
    <w:p w14:paraId="564CE45C">
      <w:pPr>
        <w:spacing w:line="360" w:lineRule="auto"/>
        <w:ind w:firstLine="504" w:firstLineChars="200"/>
        <w:contextualSpacing/>
        <w:rPr>
          <w:rFonts w:hint="eastAsia" w:ascii="宋体" w:hAnsi="宋体" w:eastAsia="宋体" w:cs="宋体"/>
          <w:spacing w:val="6"/>
          <w:sz w:val="24"/>
          <w:szCs w:val="32"/>
        </w:rPr>
      </w:pPr>
      <w:r>
        <w:rPr>
          <w:rFonts w:hint="eastAsia" w:ascii="宋体" w:hAnsi="宋体" w:eastAsia="宋体" w:cs="宋体"/>
          <w:spacing w:val="6"/>
          <w:sz w:val="24"/>
          <w:szCs w:val="32"/>
        </w:rPr>
        <w:t>产品包装应防潮、防振，包装的技术要求应按GB/T3873的有关规定执行。</w:t>
      </w:r>
    </w:p>
    <w:p w14:paraId="610A3939">
      <w:pPr>
        <w:pStyle w:val="2"/>
        <w:spacing w:line="360" w:lineRule="auto"/>
        <w:rPr>
          <w:rFonts w:hint="eastAsia" w:ascii="宋体" w:hAnsi="宋体" w:eastAsia="宋体" w:cs="Times New Roman"/>
          <w:b/>
          <w:bCs/>
          <w:sz w:val="24"/>
          <w:szCs w:val="21"/>
        </w:rPr>
      </w:pPr>
      <w:r>
        <w:rPr>
          <w:rFonts w:hint="eastAsia" w:ascii="宋体" w:hAnsi="宋体" w:eastAsia="宋体" w:cs="Times New Roman"/>
          <w:b/>
          <w:bCs/>
          <w:sz w:val="24"/>
          <w:szCs w:val="21"/>
        </w:rPr>
        <w:t>其他要求</w:t>
      </w:r>
    </w:p>
    <w:p w14:paraId="6002C676">
      <w:pPr>
        <w:pStyle w:val="2"/>
        <w:spacing w:line="360" w:lineRule="auto"/>
        <w:jc w:val="both"/>
        <w:rPr>
          <w:rFonts w:hint="eastAsia" w:ascii="宋体" w:hAnsi="宋体" w:eastAsia="宋体" w:cs="Times New Roman"/>
          <w:b/>
          <w:bCs/>
          <w:sz w:val="24"/>
          <w:szCs w:val="21"/>
        </w:rPr>
      </w:pPr>
      <w:r>
        <w:rPr>
          <w:rFonts w:hint="eastAsia" w:ascii="宋体" w:hAnsi="宋体" w:eastAsia="宋体" w:cs="Times New Roman"/>
          <w:b/>
          <w:bCs/>
          <w:sz w:val="24"/>
          <w:szCs w:val="21"/>
        </w:rPr>
        <w:t>售后服务</w:t>
      </w:r>
    </w:p>
    <w:p w14:paraId="733FA819">
      <w:pPr>
        <w:numPr>
          <w:ilvl w:val="0"/>
          <w:numId w:val="13"/>
        </w:numPr>
        <w:spacing w:line="360" w:lineRule="auto"/>
        <w:ind w:left="624" w:hanging="624"/>
        <w:contextualSpacing/>
        <w:rPr>
          <w:rFonts w:hint="eastAsia" w:ascii="宋体" w:hAnsi="宋体" w:eastAsia="宋体" w:cs="宋体"/>
          <w:spacing w:val="6"/>
          <w:sz w:val="24"/>
          <w:szCs w:val="32"/>
        </w:rPr>
      </w:pPr>
      <w:r>
        <w:rPr>
          <w:rFonts w:hint="eastAsia" w:ascii="宋体" w:hAnsi="宋体" w:eastAsia="宋体" w:cs="宋体"/>
          <w:spacing w:val="6"/>
          <w:sz w:val="24"/>
          <w:szCs w:val="32"/>
          <w:lang w:val="en-US" w:eastAsia="zh-CN"/>
        </w:rPr>
        <w:t>供应商</w:t>
      </w:r>
      <w:r>
        <w:rPr>
          <w:rFonts w:hint="eastAsia" w:ascii="宋体" w:hAnsi="宋体" w:eastAsia="宋体" w:cs="宋体"/>
          <w:spacing w:val="6"/>
          <w:sz w:val="24"/>
          <w:szCs w:val="32"/>
        </w:rPr>
        <w:t>应提出专为本项目提供售后服务的完整方案及售后服务承诺，应</w:t>
      </w:r>
    </w:p>
    <w:p w14:paraId="41B5AC17">
      <w:pPr>
        <w:numPr>
          <w:ilvl w:val="0"/>
          <w:numId w:val="0"/>
        </w:numPr>
        <w:spacing w:line="360" w:lineRule="auto"/>
        <w:ind w:leftChars="0"/>
        <w:contextualSpacing/>
        <w:rPr>
          <w:rFonts w:hint="eastAsia" w:ascii="宋体" w:hAnsi="宋体" w:eastAsia="宋体" w:cs="宋体"/>
          <w:spacing w:val="6"/>
          <w:sz w:val="24"/>
          <w:szCs w:val="32"/>
        </w:rPr>
      </w:pPr>
      <w:r>
        <w:rPr>
          <w:rFonts w:hint="eastAsia" w:ascii="宋体" w:hAnsi="宋体" w:eastAsia="宋体" w:cs="宋体"/>
          <w:spacing w:val="6"/>
          <w:sz w:val="24"/>
          <w:szCs w:val="32"/>
        </w:rPr>
        <w:t>有确定的售后服务人员和服务热线电话，并提供7×24小时全天候服务。</w:t>
      </w:r>
    </w:p>
    <w:p w14:paraId="19F7EF5E">
      <w:pPr>
        <w:numPr>
          <w:ilvl w:val="0"/>
          <w:numId w:val="13"/>
        </w:numPr>
        <w:spacing w:line="360" w:lineRule="auto"/>
        <w:ind w:left="624" w:hanging="624"/>
        <w:contextualSpacing/>
        <w:rPr>
          <w:rFonts w:hint="eastAsia" w:ascii="宋体" w:hAnsi="宋体" w:eastAsia="宋体" w:cs="宋体"/>
          <w:spacing w:val="6"/>
          <w:sz w:val="24"/>
          <w:szCs w:val="32"/>
        </w:rPr>
      </w:pPr>
      <w:r>
        <w:rPr>
          <w:rFonts w:hint="eastAsia" w:ascii="宋体" w:hAnsi="宋体" w:eastAsia="宋体" w:cs="宋体"/>
          <w:spacing w:val="6"/>
          <w:sz w:val="24"/>
          <w:szCs w:val="32"/>
        </w:rPr>
        <w:t>售后服务响应时间要求：对</w:t>
      </w:r>
      <w:r>
        <w:rPr>
          <w:rFonts w:hint="eastAsia" w:ascii="宋体" w:hAnsi="宋体" w:eastAsia="宋体" w:cs="宋体"/>
          <w:spacing w:val="6"/>
          <w:sz w:val="24"/>
          <w:szCs w:val="32"/>
          <w:lang w:val="en-US" w:eastAsia="zh-CN"/>
        </w:rPr>
        <w:t>供应商</w:t>
      </w:r>
      <w:r>
        <w:rPr>
          <w:rFonts w:hint="eastAsia" w:ascii="宋体" w:hAnsi="宋体" w:eastAsia="宋体" w:cs="宋体"/>
          <w:spacing w:val="6"/>
          <w:sz w:val="24"/>
          <w:szCs w:val="32"/>
        </w:rPr>
        <w:t>在接到问题派单后，必须1小时内给</w:t>
      </w:r>
    </w:p>
    <w:p w14:paraId="705AA371">
      <w:pPr>
        <w:numPr>
          <w:ilvl w:val="0"/>
          <w:numId w:val="0"/>
        </w:numPr>
        <w:spacing w:line="360" w:lineRule="auto"/>
        <w:ind w:leftChars="0"/>
        <w:contextualSpacing/>
        <w:rPr>
          <w:rFonts w:hint="eastAsia" w:ascii="宋体" w:hAnsi="宋体" w:eastAsia="宋体" w:cs="宋体"/>
          <w:spacing w:val="6"/>
          <w:sz w:val="24"/>
          <w:szCs w:val="32"/>
        </w:rPr>
      </w:pPr>
      <w:r>
        <w:rPr>
          <w:rFonts w:hint="eastAsia" w:ascii="宋体" w:hAnsi="宋体" w:eastAsia="宋体" w:cs="宋体"/>
          <w:spacing w:val="6"/>
          <w:sz w:val="24"/>
          <w:szCs w:val="32"/>
        </w:rPr>
        <w:t>出响应，可优先通过热线电话远程解决，如通过电话解决不了，则</w:t>
      </w:r>
      <w:r>
        <w:rPr>
          <w:rFonts w:hint="eastAsia" w:ascii="宋体" w:hAnsi="宋体" w:eastAsia="宋体" w:cs="宋体"/>
          <w:spacing w:val="6"/>
          <w:sz w:val="24"/>
          <w:szCs w:val="32"/>
          <w:lang w:val="en-US" w:eastAsia="zh-CN"/>
        </w:rPr>
        <w:t>供应商</w:t>
      </w:r>
      <w:r>
        <w:rPr>
          <w:rFonts w:hint="eastAsia" w:ascii="宋体" w:hAnsi="宋体" w:eastAsia="宋体" w:cs="宋体"/>
          <w:spacing w:val="6"/>
          <w:sz w:val="24"/>
          <w:szCs w:val="32"/>
        </w:rPr>
        <w:t>应到现场解决。</w:t>
      </w:r>
    </w:p>
    <w:p w14:paraId="018C4EA4">
      <w:pPr>
        <w:pStyle w:val="2"/>
        <w:spacing w:line="360" w:lineRule="auto"/>
        <w:jc w:val="both"/>
        <w:rPr>
          <w:rFonts w:hint="eastAsia" w:ascii="宋体" w:hAnsi="宋体" w:eastAsia="宋体" w:cs="Times New Roman"/>
          <w:b/>
          <w:bCs/>
          <w:sz w:val="24"/>
          <w:szCs w:val="21"/>
        </w:rPr>
      </w:pPr>
      <w:r>
        <w:rPr>
          <w:rFonts w:hint="eastAsia" w:ascii="宋体" w:hAnsi="宋体" w:eastAsia="宋体" w:cs="Times New Roman"/>
          <w:b/>
          <w:bCs/>
          <w:sz w:val="24"/>
          <w:szCs w:val="21"/>
        </w:rPr>
        <w:t>培训</w:t>
      </w:r>
    </w:p>
    <w:p w14:paraId="33516642">
      <w:pPr>
        <w:numPr>
          <w:ilvl w:val="0"/>
          <w:numId w:val="14"/>
        </w:numPr>
        <w:spacing w:line="360" w:lineRule="auto"/>
        <w:contextualSpacing/>
        <w:rPr>
          <w:rFonts w:ascii="宋体" w:hAnsi="宋体" w:cs="宋体"/>
          <w:spacing w:val="6"/>
          <w:sz w:val="24"/>
          <w:szCs w:val="32"/>
        </w:rPr>
      </w:pPr>
      <w:r>
        <w:rPr>
          <w:rFonts w:hint="eastAsia" w:ascii="宋体" w:hAnsi="宋体" w:cs="宋体"/>
          <w:spacing w:val="6"/>
          <w:sz w:val="24"/>
          <w:szCs w:val="32"/>
        </w:rPr>
        <w:t>由</w:t>
      </w:r>
      <w:r>
        <w:rPr>
          <w:rFonts w:hint="eastAsia" w:ascii="宋体" w:hAnsi="宋体"/>
          <w:color w:val="000000"/>
          <w:sz w:val="24"/>
          <w:szCs w:val="32"/>
          <w:lang w:val="en-US" w:eastAsia="zh-CN"/>
        </w:rPr>
        <w:t>供应商</w:t>
      </w:r>
      <w:r>
        <w:rPr>
          <w:rFonts w:hint="eastAsia" w:ascii="宋体" w:hAnsi="宋体" w:cs="宋体"/>
          <w:spacing w:val="6"/>
          <w:sz w:val="24"/>
          <w:szCs w:val="32"/>
        </w:rPr>
        <w:t>免费提供维护保养规程、安全操作规程、工作原理等技术培训。</w:t>
      </w:r>
    </w:p>
    <w:p w14:paraId="35CEC051">
      <w:pPr>
        <w:numPr>
          <w:ilvl w:val="0"/>
          <w:numId w:val="14"/>
        </w:numPr>
        <w:spacing w:line="360" w:lineRule="auto"/>
        <w:ind w:left="624" w:hanging="624"/>
        <w:contextualSpacing/>
        <w:rPr>
          <w:rFonts w:hint="eastAsia" w:ascii="宋体" w:hAnsi="宋体" w:cs="宋体"/>
          <w:spacing w:val="6"/>
          <w:sz w:val="24"/>
          <w:szCs w:val="32"/>
        </w:rPr>
      </w:pPr>
      <w:r>
        <w:rPr>
          <w:rFonts w:hint="eastAsia" w:ascii="宋体" w:hAnsi="宋体" w:cs="宋体"/>
          <w:spacing w:val="6"/>
          <w:sz w:val="24"/>
          <w:szCs w:val="32"/>
        </w:rPr>
        <w:t>由</w:t>
      </w:r>
      <w:r>
        <w:rPr>
          <w:rFonts w:hint="eastAsia" w:ascii="宋体" w:hAnsi="宋体"/>
          <w:color w:val="000000"/>
          <w:sz w:val="24"/>
          <w:szCs w:val="32"/>
          <w:lang w:val="en-US" w:eastAsia="zh-CN"/>
        </w:rPr>
        <w:t>供应商</w:t>
      </w:r>
      <w:r>
        <w:rPr>
          <w:rFonts w:hint="eastAsia" w:ascii="宋体" w:hAnsi="宋体" w:cs="宋体"/>
          <w:spacing w:val="6"/>
          <w:sz w:val="24"/>
          <w:szCs w:val="32"/>
        </w:rPr>
        <w:t>免费提供远程操作系统（如有）的操作、维护等培训。</w:t>
      </w:r>
    </w:p>
    <w:p w14:paraId="34E55D94">
      <w:pPr>
        <w:numPr>
          <w:ilvl w:val="0"/>
          <w:numId w:val="14"/>
        </w:numPr>
        <w:spacing w:line="360" w:lineRule="auto"/>
        <w:contextualSpacing/>
        <w:rPr>
          <w:rFonts w:hint="eastAsia" w:ascii="宋体" w:hAnsi="宋体" w:cs="宋体"/>
          <w:spacing w:val="6"/>
          <w:sz w:val="24"/>
          <w:szCs w:val="32"/>
        </w:rPr>
      </w:pPr>
      <w:r>
        <w:rPr>
          <w:rFonts w:hint="eastAsia" w:ascii="宋体" w:hAnsi="宋体" w:cs="宋体"/>
          <w:spacing w:val="6"/>
          <w:sz w:val="24"/>
          <w:szCs w:val="32"/>
        </w:rPr>
        <w:t>培训方式：现场授课＋实地讲解＋操作演示＋最终客户实际操作。</w:t>
      </w:r>
    </w:p>
    <w:p w14:paraId="44FD07D2">
      <w:pPr>
        <w:numPr>
          <w:ilvl w:val="0"/>
          <w:numId w:val="14"/>
        </w:numPr>
        <w:spacing w:line="360" w:lineRule="auto"/>
        <w:contextualSpacing/>
        <w:rPr>
          <w:rFonts w:hint="eastAsia" w:ascii="宋体" w:hAnsi="宋体" w:cs="宋体"/>
          <w:spacing w:val="6"/>
          <w:sz w:val="24"/>
          <w:szCs w:val="32"/>
        </w:rPr>
      </w:pPr>
      <w:r>
        <w:rPr>
          <w:rFonts w:hint="eastAsia" w:ascii="宋体" w:hAnsi="宋体" w:cs="宋体"/>
          <w:spacing w:val="6"/>
          <w:sz w:val="24"/>
          <w:szCs w:val="32"/>
        </w:rPr>
        <w:t>培训内容：原理、装置实物介绍、操作培训、使用注意事项以及常见故</w:t>
      </w:r>
    </w:p>
    <w:p w14:paraId="7B75E89A">
      <w:pPr>
        <w:numPr>
          <w:ilvl w:val="0"/>
          <w:numId w:val="0"/>
        </w:numPr>
        <w:spacing w:line="360" w:lineRule="auto"/>
        <w:ind w:leftChars="0"/>
        <w:contextualSpacing/>
        <w:rPr>
          <w:rFonts w:hint="eastAsia" w:ascii="宋体" w:hAnsi="宋体" w:cs="宋体"/>
          <w:spacing w:val="6"/>
          <w:sz w:val="24"/>
          <w:szCs w:val="32"/>
        </w:rPr>
      </w:pPr>
      <w:r>
        <w:rPr>
          <w:rFonts w:hint="eastAsia" w:ascii="宋体" w:hAnsi="宋体" w:cs="宋体"/>
          <w:spacing w:val="6"/>
          <w:sz w:val="24"/>
          <w:szCs w:val="32"/>
        </w:rPr>
        <w:t>障处理。</w:t>
      </w:r>
    </w:p>
    <w:p w14:paraId="3596F1A2">
      <w:pPr>
        <w:pStyle w:val="2"/>
        <w:jc w:val="center"/>
        <w:rPr>
          <w:rFonts w:hint="eastAsia" w:ascii="宋体" w:hAnsi="宋体" w:eastAsia="宋体" w:cs="Times New Roman"/>
          <w:b/>
          <w:bCs/>
          <w:sz w:val="24"/>
          <w:szCs w:val="21"/>
        </w:rPr>
      </w:pPr>
      <w:r>
        <w:rPr>
          <w:rFonts w:hint="eastAsia" w:ascii="宋体" w:hAnsi="宋体" w:eastAsia="宋体" w:cs="Times New Roman"/>
          <w:b/>
          <w:bCs/>
          <w:sz w:val="24"/>
          <w:szCs w:val="21"/>
        </w:rPr>
        <w:t>其它</w:t>
      </w:r>
    </w:p>
    <w:p w14:paraId="1A70C124">
      <w:pPr>
        <w:spacing w:line="360" w:lineRule="auto"/>
        <w:ind w:firstLine="480" w:firstLineChars="200"/>
        <w:rPr>
          <w:rFonts w:hint="eastAsia" w:ascii="宋体" w:hAnsi="宋体" w:eastAsia="宋体" w:cs="宋体"/>
          <w:color w:val="000000"/>
          <w:sz w:val="24"/>
          <w:szCs w:val="32"/>
        </w:rPr>
      </w:pPr>
      <w:r>
        <w:rPr>
          <w:rFonts w:hint="eastAsia" w:ascii="宋体" w:hAnsi="宋体" w:eastAsia="宋体" w:cs="宋体"/>
          <w:color w:val="000000"/>
          <w:sz w:val="24"/>
          <w:szCs w:val="32"/>
          <w:lang w:val="en-US" w:eastAsia="zh-CN"/>
        </w:rPr>
        <w:t>供应商</w:t>
      </w:r>
      <w:r>
        <w:rPr>
          <w:rFonts w:hint="eastAsia" w:ascii="宋体" w:hAnsi="宋体" w:eastAsia="宋体" w:cs="宋体"/>
          <w:color w:val="000000"/>
          <w:sz w:val="24"/>
          <w:szCs w:val="32"/>
        </w:rPr>
        <w:t>提供本项目相关的如下服务：</w:t>
      </w:r>
    </w:p>
    <w:p w14:paraId="58BCFA8F">
      <w:pPr>
        <w:numPr>
          <w:ilvl w:val="0"/>
          <w:numId w:val="15"/>
        </w:numPr>
        <w:spacing w:line="360" w:lineRule="auto"/>
        <w:contextualSpacing/>
        <w:rPr>
          <w:rFonts w:hint="eastAsia" w:ascii="宋体" w:hAnsi="宋体" w:eastAsia="宋体" w:cs="宋体"/>
          <w:spacing w:val="6"/>
          <w:sz w:val="24"/>
          <w:szCs w:val="32"/>
        </w:rPr>
      </w:pPr>
      <w:r>
        <w:rPr>
          <w:rFonts w:hint="eastAsia" w:ascii="宋体" w:hAnsi="宋体" w:eastAsia="宋体" w:cs="宋体"/>
          <w:spacing w:val="6"/>
          <w:sz w:val="24"/>
          <w:szCs w:val="32"/>
        </w:rPr>
        <w:t>服务期：1年；</w:t>
      </w:r>
    </w:p>
    <w:p w14:paraId="2CCE9C8C">
      <w:pPr>
        <w:numPr>
          <w:ilvl w:val="0"/>
          <w:numId w:val="15"/>
        </w:numPr>
        <w:spacing w:line="360" w:lineRule="auto"/>
        <w:ind w:left="624" w:hanging="624"/>
        <w:contextualSpacing/>
        <w:rPr>
          <w:rFonts w:hint="eastAsia" w:ascii="宋体" w:hAnsi="宋体" w:eastAsia="宋体" w:cs="宋体"/>
          <w:spacing w:val="6"/>
          <w:sz w:val="24"/>
          <w:szCs w:val="32"/>
        </w:rPr>
      </w:pPr>
      <w:r>
        <w:rPr>
          <w:rFonts w:hint="eastAsia" w:ascii="宋体" w:hAnsi="宋体" w:eastAsia="宋体" w:cs="宋体"/>
          <w:spacing w:val="6"/>
          <w:sz w:val="24"/>
          <w:szCs w:val="32"/>
        </w:rPr>
        <w:t>质保期：1年（质保期自项目终验合格之日算起）</w:t>
      </w:r>
    </w:p>
    <w:p w14:paraId="07DF208A">
      <w:pPr>
        <w:numPr>
          <w:ilvl w:val="0"/>
          <w:numId w:val="15"/>
        </w:numPr>
        <w:spacing w:line="360" w:lineRule="auto"/>
        <w:ind w:left="624" w:hanging="624"/>
        <w:contextualSpacing/>
        <w:rPr>
          <w:rFonts w:hint="eastAsia" w:ascii="宋体" w:hAnsi="宋体" w:eastAsia="宋体" w:cs="宋体"/>
          <w:spacing w:val="6"/>
          <w:sz w:val="24"/>
          <w:szCs w:val="32"/>
        </w:rPr>
      </w:pPr>
      <w:r>
        <w:rPr>
          <w:rFonts w:hint="eastAsia" w:ascii="宋体" w:hAnsi="宋体" w:eastAsia="宋体" w:cs="宋体"/>
          <w:spacing w:val="6"/>
          <w:sz w:val="24"/>
          <w:szCs w:val="32"/>
        </w:rPr>
        <w:t>验收要求：设备安装调试完成后，验收质量达到合格，满足施工规范及</w:t>
      </w:r>
    </w:p>
    <w:p w14:paraId="5E9B681B">
      <w:pPr>
        <w:numPr>
          <w:ilvl w:val="0"/>
          <w:numId w:val="0"/>
        </w:numPr>
        <w:spacing w:line="360" w:lineRule="auto"/>
        <w:ind w:leftChars="0"/>
        <w:contextualSpacing/>
        <w:rPr>
          <w:rFonts w:hint="eastAsia" w:ascii="宋体" w:hAnsi="宋体" w:eastAsia="宋体" w:cs="宋体"/>
          <w:spacing w:val="6"/>
          <w:sz w:val="24"/>
          <w:szCs w:val="32"/>
        </w:rPr>
      </w:pPr>
      <w:r>
        <w:rPr>
          <w:rFonts w:hint="eastAsia" w:ascii="宋体" w:hAnsi="宋体" w:eastAsia="宋体" w:cs="宋体"/>
          <w:spacing w:val="6"/>
          <w:sz w:val="24"/>
          <w:szCs w:val="32"/>
        </w:rPr>
        <w:t>验收规范要求</w:t>
      </w:r>
    </w:p>
    <w:p w14:paraId="6DBF2175">
      <w:pPr>
        <w:numPr>
          <w:ilvl w:val="0"/>
          <w:numId w:val="15"/>
        </w:numPr>
        <w:spacing w:line="360" w:lineRule="auto"/>
        <w:ind w:left="624" w:hanging="624"/>
        <w:contextualSpacing/>
        <w:rPr>
          <w:rFonts w:hint="eastAsia" w:ascii="宋体" w:hAnsi="宋体" w:eastAsia="宋体" w:cs="宋体"/>
          <w:spacing w:val="6"/>
          <w:sz w:val="24"/>
          <w:szCs w:val="32"/>
        </w:rPr>
      </w:pPr>
      <w:r>
        <w:rPr>
          <w:rFonts w:hint="eastAsia" w:ascii="宋体" w:hAnsi="宋体" w:eastAsia="宋体" w:cs="宋体"/>
          <w:spacing w:val="6"/>
          <w:sz w:val="24"/>
          <w:szCs w:val="32"/>
        </w:rPr>
        <w:t>设备及配套线缆、辅材的运输、二次搬运、安装、调试、系统联调、验</w:t>
      </w:r>
    </w:p>
    <w:p w14:paraId="79498B03">
      <w:pPr>
        <w:numPr>
          <w:ilvl w:val="0"/>
          <w:numId w:val="0"/>
        </w:numPr>
        <w:spacing w:line="360" w:lineRule="auto"/>
        <w:ind w:leftChars="0"/>
        <w:contextualSpacing/>
        <w:rPr>
          <w:rFonts w:hint="eastAsia" w:ascii="宋体" w:hAnsi="宋体" w:eastAsia="宋体" w:cs="宋体"/>
          <w:spacing w:val="6"/>
          <w:sz w:val="24"/>
          <w:szCs w:val="32"/>
        </w:rPr>
      </w:pPr>
      <w:r>
        <w:rPr>
          <w:rFonts w:hint="eastAsia" w:ascii="宋体" w:hAnsi="宋体" w:eastAsia="宋体" w:cs="宋体"/>
          <w:spacing w:val="6"/>
          <w:sz w:val="24"/>
          <w:szCs w:val="32"/>
        </w:rPr>
        <w:t>收、故障处理等服务。</w:t>
      </w:r>
    </w:p>
    <w:p w14:paraId="4D839A53">
      <w:pPr>
        <w:keepNext w:val="0"/>
        <w:keepLines w:val="0"/>
        <w:pageBreakBefore w:val="0"/>
        <w:widowControl w:val="0"/>
        <w:shd w:val="clear"/>
        <w:kinsoku/>
        <w:wordWrap/>
        <w:overflowPunct/>
        <w:topLinePunct w:val="0"/>
        <w:autoSpaceDE/>
        <w:autoSpaceDN/>
        <w:bidi w:val="0"/>
        <w:snapToGrid w:val="0"/>
        <w:spacing w:line="360" w:lineRule="auto"/>
        <w:jc w:val="left"/>
        <w:textAlignment w:val="auto"/>
        <w:rPr>
          <w:rFonts w:hint="eastAsia" w:asciiTheme="minorEastAsia" w:hAnsiTheme="minorEastAsia" w:cstheme="minorEastAsia"/>
          <w:b/>
          <w:bCs w:val="0"/>
          <w:sz w:val="24"/>
          <w:highlight w:val="none"/>
          <w:lang w:bidi="ar"/>
        </w:rPr>
      </w:pPr>
      <w:r>
        <w:rPr>
          <w:rFonts w:hint="eastAsia" w:asciiTheme="minorEastAsia" w:hAnsiTheme="minorEastAsia" w:cstheme="minorEastAsia"/>
          <w:b/>
          <w:bCs w:val="0"/>
          <w:sz w:val="24"/>
          <w:highlight w:val="none"/>
          <w:lang w:val="en-US" w:eastAsia="zh-CN" w:bidi="ar"/>
        </w:rPr>
        <w:t>五、</w:t>
      </w:r>
      <w:r>
        <w:rPr>
          <w:rFonts w:hint="eastAsia" w:asciiTheme="minorEastAsia" w:hAnsiTheme="minorEastAsia" w:cstheme="minorEastAsia"/>
          <w:b/>
          <w:bCs w:val="0"/>
          <w:sz w:val="24"/>
          <w:highlight w:val="none"/>
          <w:lang w:bidi="ar"/>
        </w:rPr>
        <w:t>其他要求</w:t>
      </w:r>
    </w:p>
    <w:p w14:paraId="70B86E29">
      <w:pPr>
        <w:keepNext w:val="0"/>
        <w:keepLines w:val="0"/>
        <w:pageBreakBefore w:val="0"/>
        <w:widowControl w:val="0"/>
        <w:shd w:val="clear"/>
        <w:kinsoku/>
        <w:wordWrap/>
        <w:overflowPunct/>
        <w:topLinePunct w:val="0"/>
        <w:autoSpaceDE/>
        <w:autoSpaceDN/>
        <w:bidi w:val="0"/>
        <w:snapToGrid w:val="0"/>
        <w:spacing w:line="360" w:lineRule="auto"/>
        <w:ind w:firstLine="480" w:firstLineChars="200"/>
        <w:jc w:val="left"/>
        <w:textAlignment w:val="auto"/>
        <w:rPr>
          <w:rFonts w:hint="eastAsia" w:asciiTheme="minorEastAsia" w:hAnsiTheme="minorEastAsia" w:cstheme="minorEastAsia"/>
          <w:bCs/>
          <w:sz w:val="24"/>
          <w:highlight w:val="none"/>
          <w:lang w:eastAsia="zh-CN" w:bidi="ar"/>
        </w:rPr>
      </w:pPr>
      <w:r>
        <w:rPr>
          <w:rFonts w:hint="eastAsia" w:asciiTheme="minorEastAsia" w:hAnsiTheme="minorEastAsia" w:cstheme="minorEastAsia"/>
          <w:bCs/>
          <w:sz w:val="24"/>
          <w:highlight w:val="none"/>
          <w:lang w:bidi="ar"/>
        </w:rPr>
        <w:t>1、本项目核心产品为：配电柜、UPS、蓄电池、柴油发电机组</w:t>
      </w:r>
      <w:r>
        <w:rPr>
          <w:rFonts w:hint="eastAsia" w:asciiTheme="minorEastAsia" w:hAnsiTheme="minorEastAsia" w:cstheme="minorEastAsia"/>
          <w:bCs/>
          <w:sz w:val="24"/>
          <w:highlight w:val="none"/>
          <w:lang w:eastAsia="zh-CN" w:bidi="ar"/>
        </w:rPr>
        <w:t>。</w:t>
      </w:r>
    </w:p>
    <w:p w14:paraId="62E0DD14">
      <w:pPr>
        <w:keepNext w:val="0"/>
        <w:keepLines w:val="0"/>
        <w:pageBreakBefore w:val="0"/>
        <w:widowControl w:val="0"/>
        <w:shd w:val="clear"/>
        <w:kinsoku/>
        <w:wordWrap/>
        <w:overflowPunct/>
        <w:topLinePunct w:val="0"/>
        <w:autoSpaceDE/>
        <w:autoSpaceDN/>
        <w:bidi w:val="0"/>
        <w:snapToGrid w:val="0"/>
        <w:spacing w:line="360" w:lineRule="auto"/>
        <w:ind w:firstLine="480" w:firstLineChars="200"/>
        <w:jc w:val="left"/>
        <w:textAlignment w:val="auto"/>
        <w:rPr>
          <w:rFonts w:hint="eastAsia" w:asciiTheme="minorEastAsia" w:hAnsiTheme="minorEastAsia" w:cstheme="minorEastAsia"/>
          <w:bCs/>
          <w:sz w:val="24"/>
          <w:highlight w:val="none"/>
          <w:lang w:bidi="ar"/>
        </w:rPr>
      </w:pPr>
      <w:r>
        <w:rPr>
          <w:rFonts w:hint="eastAsia" w:asciiTheme="minorEastAsia" w:hAnsiTheme="minorEastAsia" w:cstheme="minorEastAsia"/>
          <w:bCs/>
          <w:sz w:val="24"/>
          <w:highlight w:val="none"/>
          <w:lang w:val="en-US" w:eastAsia="zh-CN" w:bidi="ar"/>
        </w:rPr>
        <w:t>2、</w:t>
      </w:r>
      <w:r>
        <w:rPr>
          <w:rFonts w:hint="eastAsia" w:asciiTheme="minorEastAsia" w:hAnsiTheme="minorEastAsia" w:cstheme="minorEastAsia"/>
          <w:bCs/>
          <w:sz w:val="24"/>
          <w:highlight w:val="none"/>
          <w:lang w:bidi="ar"/>
        </w:rPr>
        <w:t>投标人须提供</w:t>
      </w:r>
      <w:r>
        <w:rPr>
          <w:rFonts w:hint="eastAsia" w:asciiTheme="minorEastAsia" w:hAnsiTheme="minorEastAsia" w:cstheme="minorEastAsia"/>
          <w:bCs/>
          <w:sz w:val="24"/>
          <w:highlight w:val="none"/>
          <w:lang w:val="en-US" w:eastAsia="zh-CN" w:bidi="ar"/>
        </w:rPr>
        <w:t>核心</w:t>
      </w:r>
      <w:r>
        <w:rPr>
          <w:rFonts w:hint="eastAsia" w:asciiTheme="minorEastAsia" w:hAnsiTheme="minorEastAsia" w:cstheme="minorEastAsia"/>
          <w:bCs/>
          <w:sz w:val="24"/>
          <w:highlight w:val="none"/>
          <w:lang w:bidi="ar"/>
        </w:rPr>
        <w:t>产品来源渠道</w:t>
      </w:r>
      <w:r>
        <w:rPr>
          <w:rFonts w:hint="eastAsia" w:asciiTheme="minorEastAsia" w:hAnsiTheme="minorEastAsia" w:cstheme="minorEastAsia"/>
          <w:bCs/>
          <w:sz w:val="24"/>
          <w:highlight w:val="none"/>
          <w:lang w:eastAsia="zh-CN" w:bidi="ar"/>
        </w:rPr>
        <w:t>正规</w:t>
      </w:r>
      <w:r>
        <w:rPr>
          <w:rFonts w:hint="eastAsia" w:asciiTheme="minorEastAsia" w:hAnsiTheme="minorEastAsia" w:cstheme="minorEastAsia"/>
          <w:bCs/>
          <w:sz w:val="24"/>
          <w:highlight w:val="none"/>
          <w:lang w:bidi="ar"/>
        </w:rPr>
        <w:t>合法</w:t>
      </w:r>
      <w:r>
        <w:rPr>
          <w:rFonts w:hint="eastAsia" w:asciiTheme="minorEastAsia" w:hAnsiTheme="minorEastAsia" w:cstheme="minorEastAsia"/>
          <w:bCs/>
          <w:sz w:val="24"/>
          <w:highlight w:val="none"/>
          <w:lang w:eastAsia="zh-CN" w:bidi="ar"/>
        </w:rPr>
        <w:t>的</w:t>
      </w:r>
      <w:r>
        <w:rPr>
          <w:rFonts w:hint="eastAsia" w:asciiTheme="minorEastAsia" w:hAnsiTheme="minorEastAsia" w:cstheme="minorEastAsia"/>
          <w:bCs/>
          <w:sz w:val="24"/>
          <w:highlight w:val="none"/>
          <w:lang w:bidi="ar"/>
        </w:rPr>
        <w:t>证明材料</w:t>
      </w:r>
      <w:r>
        <w:rPr>
          <w:rFonts w:hint="eastAsia" w:asciiTheme="minorEastAsia" w:hAnsiTheme="minorEastAsia" w:cstheme="minorEastAsia"/>
          <w:bCs/>
          <w:sz w:val="24"/>
          <w:highlight w:val="none"/>
          <w:lang w:eastAsia="zh-CN" w:bidi="ar"/>
        </w:rPr>
        <w:t>及</w:t>
      </w:r>
      <w:r>
        <w:rPr>
          <w:rFonts w:hint="eastAsia" w:asciiTheme="minorEastAsia" w:hAnsiTheme="minorEastAsia" w:cstheme="minorEastAsia"/>
          <w:bCs/>
          <w:sz w:val="24"/>
          <w:highlight w:val="none"/>
          <w:lang w:val="en-US" w:eastAsia="zh-CN" w:bidi="ar"/>
        </w:rPr>
        <w:t>所投标</w:t>
      </w:r>
      <w:r>
        <w:rPr>
          <w:rFonts w:hint="eastAsia" w:asciiTheme="minorEastAsia" w:hAnsiTheme="minorEastAsia" w:cstheme="minorEastAsia"/>
          <w:bCs/>
          <w:sz w:val="24"/>
          <w:highlight w:val="none"/>
          <w:lang w:eastAsia="zh-CN" w:bidi="ar"/>
        </w:rPr>
        <w:t>产品质量保证</w:t>
      </w:r>
      <w:r>
        <w:rPr>
          <w:rFonts w:hint="eastAsia" w:asciiTheme="minorEastAsia" w:hAnsiTheme="minorEastAsia" w:cstheme="minorEastAsia"/>
          <w:bCs/>
          <w:sz w:val="24"/>
          <w:highlight w:val="none"/>
          <w:lang w:val="en-US" w:eastAsia="zh-CN" w:bidi="ar"/>
        </w:rPr>
        <w:t>承诺书</w:t>
      </w:r>
      <w:r>
        <w:rPr>
          <w:rFonts w:hint="eastAsia" w:asciiTheme="minorEastAsia" w:hAnsiTheme="minorEastAsia" w:cstheme="minorEastAsia"/>
          <w:bCs/>
          <w:sz w:val="24"/>
          <w:highlight w:val="none"/>
          <w:lang w:bidi="ar"/>
        </w:rPr>
        <w:t>；</w:t>
      </w:r>
    </w:p>
    <w:p w14:paraId="309C4574">
      <w:pPr>
        <w:keepNext w:val="0"/>
        <w:keepLines w:val="0"/>
        <w:pageBreakBefore w:val="0"/>
        <w:widowControl w:val="0"/>
        <w:shd w:val="clear"/>
        <w:kinsoku/>
        <w:wordWrap/>
        <w:overflowPunct/>
        <w:topLinePunct w:val="0"/>
        <w:autoSpaceDE/>
        <w:autoSpaceDN/>
        <w:bidi w:val="0"/>
        <w:snapToGrid w:val="0"/>
        <w:spacing w:line="360" w:lineRule="auto"/>
        <w:ind w:firstLine="480" w:firstLineChars="200"/>
        <w:jc w:val="left"/>
        <w:textAlignment w:val="auto"/>
        <w:rPr>
          <w:rFonts w:hint="eastAsia" w:asciiTheme="minorEastAsia" w:hAnsiTheme="minorEastAsia" w:eastAsiaTheme="minorEastAsia" w:cstheme="minorEastAsia"/>
          <w:bCs/>
          <w:sz w:val="24"/>
          <w:highlight w:val="none"/>
          <w:lang w:eastAsia="zh-CN" w:bidi="ar"/>
        </w:rPr>
      </w:pPr>
      <w:r>
        <w:rPr>
          <w:rFonts w:hint="eastAsia" w:asciiTheme="minorEastAsia" w:hAnsiTheme="minorEastAsia" w:cstheme="minorEastAsia"/>
          <w:bCs/>
          <w:sz w:val="24"/>
          <w:highlight w:val="none"/>
          <w:lang w:val="en-US" w:eastAsia="zh-CN" w:bidi="ar"/>
        </w:rPr>
        <w:t>3</w:t>
      </w:r>
      <w:r>
        <w:rPr>
          <w:rFonts w:hint="eastAsia" w:asciiTheme="minorEastAsia" w:hAnsiTheme="minorEastAsia" w:cstheme="minorEastAsia"/>
          <w:bCs/>
          <w:sz w:val="24"/>
          <w:highlight w:val="none"/>
          <w:lang w:bidi="ar"/>
        </w:rPr>
        <w:t>、提供核心产品为相同品牌产品且通过资格审查、符合性审查的不同投标人参加同一合同项下投标的，按一家投标人计算，评审后得分最高的同品牌投标人获得中标候选人推荐资格；评审得分相同的，由采购人或者采购人委托评标委员会按照招标文件规定的方式确定一个投标人获得中标人推荐资格，招标文件未规定的采取随机抽取方式确定，其他同品牌投标人不作为中标候选人</w:t>
      </w:r>
      <w:r>
        <w:rPr>
          <w:rFonts w:hint="eastAsia" w:asciiTheme="minorEastAsia" w:hAnsiTheme="minorEastAsia" w:cstheme="minorEastAsia"/>
          <w:bCs/>
          <w:sz w:val="24"/>
          <w:highlight w:val="none"/>
          <w:lang w:eastAsia="zh-CN" w:bidi="ar"/>
        </w:rPr>
        <w:t>；</w:t>
      </w:r>
    </w:p>
    <w:p w14:paraId="04FDD1F7">
      <w:pPr>
        <w:keepNext w:val="0"/>
        <w:keepLines w:val="0"/>
        <w:pageBreakBefore w:val="0"/>
        <w:widowControl w:val="0"/>
        <w:shd w:val="clear"/>
        <w:kinsoku/>
        <w:wordWrap/>
        <w:overflowPunct/>
        <w:topLinePunct w:val="0"/>
        <w:autoSpaceDE/>
        <w:autoSpaceDN/>
        <w:bidi w:val="0"/>
        <w:snapToGrid w:val="0"/>
        <w:spacing w:line="360" w:lineRule="auto"/>
        <w:ind w:firstLine="480" w:firstLineChars="200"/>
        <w:jc w:val="left"/>
        <w:textAlignment w:val="auto"/>
        <w:rPr>
          <w:rFonts w:hint="eastAsia" w:asciiTheme="minorEastAsia" w:hAnsiTheme="minorEastAsia" w:cstheme="minorEastAsia"/>
          <w:bCs/>
          <w:sz w:val="24"/>
          <w:highlight w:val="none"/>
          <w:lang w:bidi="ar"/>
        </w:rPr>
      </w:pPr>
      <w:r>
        <w:rPr>
          <w:rFonts w:hint="eastAsia" w:asciiTheme="minorEastAsia" w:hAnsiTheme="minorEastAsia" w:cstheme="minorEastAsia"/>
          <w:bCs/>
          <w:sz w:val="24"/>
          <w:highlight w:val="none"/>
          <w:lang w:val="en-US" w:eastAsia="zh-CN" w:bidi="ar"/>
        </w:rPr>
        <w:t>4、</w:t>
      </w:r>
      <w:r>
        <w:rPr>
          <w:rFonts w:hint="eastAsia" w:asciiTheme="minorEastAsia" w:hAnsiTheme="minorEastAsia" w:cstheme="minorEastAsia"/>
          <w:bCs/>
          <w:sz w:val="24"/>
          <w:highlight w:val="none"/>
          <w:lang w:bidi="ar"/>
        </w:rPr>
        <w:t>采购标的：本次采购内容中的成熟产品</w:t>
      </w:r>
      <w:r>
        <w:rPr>
          <w:rFonts w:hint="eastAsia" w:asciiTheme="minorEastAsia" w:hAnsiTheme="minorEastAsia" w:cstheme="minorEastAsia"/>
          <w:bCs/>
          <w:sz w:val="24"/>
          <w:highlight w:val="none"/>
          <w:lang w:eastAsia="zh-CN" w:bidi="ar"/>
        </w:rPr>
        <w:t>，</w:t>
      </w:r>
      <w:r>
        <w:rPr>
          <w:rFonts w:hint="eastAsia" w:asciiTheme="minorEastAsia" w:hAnsiTheme="minorEastAsia" w:cstheme="minorEastAsia"/>
          <w:bCs/>
          <w:sz w:val="24"/>
          <w:highlight w:val="none"/>
          <w:lang w:bidi="ar"/>
        </w:rPr>
        <w:t>辅材</w:t>
      </w:r>
      <w:r>
        <w:rPr>
          <w:rFonts w:hint="eastAsia" w:asciiTheme="minorEastAsia" w:hAnsiTheme="minorEastAsia" w:cstheme="minorEastAsia"/>
          <w:bCs/>
          <w:sz w:val="24"/>
          <w:highlight w:val="none"/>
          <w:lang w:eastAsia="zh-CN" w:bidi="ar"/>
        </w:rPr>
        <w:t>（</w:t>
      </w:r>
      <w:r>
        <w:rPr>
          <w:rFonts w:hint="eastAsia" w:asciiTheme="minorEastAsia" w:hAnsiTheme="minorEastAsia" w:cstheme="minorEastAsia"/>
          <w:bCs/>
          <w:sz w:val="24"/>
          <w:highlight w:val="none"/>
          <w:lang w:val="en-US" w:eastAsia="zh-CN" w:bidi="ar"/>
        </w:rPr>
        <w:t>主材</w:t>
      </w:r>
      <w:r>
        <w:rPr>
          <w:rFonts w:hint="eastAsia" w:asciiTheme="minorEastAsia" w:hAnsiTheme="minorEastAsia" w:cstheme="minorEastAsia"/>
          <w:bCs/>
          <w:sz w:val="24"/>
          <w:highlight w:val="none"/>
          <w:lang w:eastAsia="zh-CN" w:bidi="ar"/>
        </w:rPr>
        <w:t>）</w:t>
      </w:r>
      <w:r>
        <w:rPr>
          <w:rFonts w:hint="eastAsia" w:asciiTheme="minorEastAsia" w:hAnsiTheme="minorEastAsia" w:cstheme="minorEastAsia"/>
          <w:bCs/>
          <w:sz w:val="24"/>
          <w:highlight w:val="none"/>
          <w:lang w:bidi="ar"/>
        </w:rPr>
        <w:t>除外。</w:t>
      </w:r>
    </w:p>
    <w:p w14:paraId="00B1FE3E">
      <w:pPr>
        <w:keepNext w:val="0"/>
        <w:keepLines w:val="0"/>
        <w:pageBreakBefore w:val="0"/>
        <w:widowControl w:val="0"/>
        <w:shd w:val="clear"/>
        <w:kinsoku/>
        <w:wordWrap/>
        <w:overflowPunct/>
        <w:topLinePunct w:val="0"/>
        <w:autoSpaceDE/>
        <w:autoSpaceDN/>
        <w:bidi w:val="0"/>
        <w:snapToGrid w:val="0"/>
        <w:spacing w:line="360" w:lineRule="auto"/>
        <w:jc w:val="left"/>
        <w:textAlignment w:val="auto"/>
        <w:rPr>
          <w:rFonts w:hint="eastAsia" w:asciiTheme="minorEastAsia" w:hAnsiTheme="minorEastAsia" w:cstheme="minorEastAsia"/>
          <w:b/>
          <w:bCs w:val="0"/>
          <w:sz w:val="24"/>
          <w:highlight w:val="none"/>
          <w:lang w:bidi="ar"/>
        </w:rPr>
      </w:pPr>
      <w:r>
        <w:rPr>
          <w:rFonts w:hint="eastAsia" w:asciiTheme="minorEastAsia" w:hAnsiTheme="minorEastAsia" w:cstheme="minorEastAsia"/>
          <w:b/>
          <w:bCs w:val="0"/>
          <w:sz w:val="24"/>
          <w:highlight w:val="none"/>
          <w:lang w:val="en-US" w:eastAsia="zh-CN" w:bidi="ar"/>
        </w:rPr>
        <w:t>六</w:t>
      </w:r>
      <w:r>
        <w:rPr>
          <w:rFonts w:hint="eastAsia" w:asciiTheme="minorEastAsia" w:hAnsiTheme="minorEastAsia" w:cstheme="minorEastAsia"/>
          <w:b/>
          <w:bCs w:val="0"/>
          <w:sz w:val="24"/>
          <w:highlight w:val="none"/>
          <w:lang w:bidi="ar"/>
        </w:rPr>
        <w:t>、运输要求：</w:t>
      </w:r>
    </w:p>
    <w:p w14:paraId="440E82CB">
      <w:pPr>
        <w:keepNext w:val="0"/>
        <w:keepLines w:val="0"/>
        <w:pageBreakBefore w:val="0"/>
        <w:widowControl w:val="0"/>
        <w:shd w:val="clear"/>
        <w:kinsoku/>
        <w:wordWrap/>
        <w:overflowPunct/>
        <w:topLinePunct w:val="0"/>
        <w:autoSpaceDE/>
        <w:autoSpaceDN/>
        <w:bidi w:val="0"/>
        <w:snapToGrid w:val="0"/>
        <w:spacing w:line="360" w:lineRule="auto"/>
        <w:ind w:firstLine="480" w:firstLineChars="200"/>
        <w:jc w:val="left"/>
        <w:textAlignment w:val="auto"/>
        <w:rPr>
          <w:rFonts w:hint="eastAsia" w:asciiTheme="minorEastAsia" w:hAnsiTheme="minorEastAsia" w:cstheme="minorEastAsia"/>
          <w:bCs/>
          <w:sz w:val="24"/>
          <w:highlight w:val="none"/>
          <w:lang w:bidi="ar"/>
        </w:rPr>
      </w:pPr>
      <w:r>
        <w:rPr>
          <w:rFonts w:hint="eastAsia" w:asciiTheme="minorEastAsia" w:hAnsiTheme="minorEastAsia" w:cstheme="minorEastAsia"/>
          <w:bCs/>
          <w:sz w:val="24"/>
          <w:highlight w:val="none"/>
          <w:lang w:bidi="ar"/>
        </w:rPr>
        <w:t>选择运输风险小、运费低、距离短的运输路线。运杂费一次包死在总价内，包括生产厂</w:t>
      </w:r>
      <w:r>
        <w:rPr>
          <w:rFonts w:hint="eastAsia" w:asciiTheme="minorEastAsia" w:hAnsiTheme="minorEastAsia" w:cstheme="minorEastAsia"/>
          <w:bCs/>
          <w:sz w:val="24"/>
          <w:highlight w:val="none"/>
          <w:lang w:eastAsia="zh-CN" w:bidi="ar"/>
        </w:rPr>
        <w:t>地</w:t>
      </w:r>
      <w:r>
        <w:rPr>
          <w:rFonts w:hint="eastAsia" w:asciiTheme="minorEastAsia" w:hAnsiTheme="minorEastAsia" w:cstheme="minorEastAsia"/>
          <w:bCs/>
          <w:sz w:val="24"/>
          <w:highlight w:val="none"/>
          <w:lang w:bidi="ar"/>
        </w:rPr>
        <w:t>到</w:t>
      </w:r>
      <w:r>
        <w:rPr>
          <w:rFonts w:hint="eastAsia" w:asciiTheme="minorEastAsia" w:hAnsiTheme="minorEastAsia" w:cstheme="minorEastAsia"/>
          <w:bCs/>
          <w:sz w:val="24"/>
          <w:highlight w:val="none"/>
          <w:lang w:eastAsia="zh-CN" w:bidi="ar"/>
        </w:rPr>
        <w:t>采购人指定的供货地点</w:t>
      </w:r>
      <w:r>
        <w:rPr>
          <w:rFonts w:hint="eastAsia" w:asciiTheme="minorEastAsia" w:hAnsiTheme="minorEastAsia" w:cstheme="minorEastAsia"/>
          <w:bCs/>
          <w:sz w:val="24"/>
          <w:highlight w:val="none"/>
          <w:lang w:bidi="ar"/>
        </w:rPr>
        <w:t>所需的装卸、运输费、保险费、现场保管费、二次倒运费、吊装费等费用。</w:t>
      </w:r>
    </w:p>
    <w:p w14:paraId="19702E42">
      <w:pPr>
        <w:keepNext w:val="0"/>
        <w:keepLines w:val="0"/>
        <w:pageBreakBefore w:val="0"/>
        <w:widowControl w:val="0"/>
        <w:shd w:val="clear"/>
        <w:kinsoku/>
        <w:wordWrap/>
        <w:overflowPunct/>
        <w:topLinePunct w:val="0"/>
        <w:autoSpaceDE/>
        <w:autoSpaceDN/>
        <w:bidi w:val="0"/>
        <w:spacing w:line="360" w:lineRule="auto"/>
        <w:textAlignment w:val="auto"/>
        <w:rPr>
          <w:rFonts w:ascii="宋体" w:hAnsi="宋体" w:eastAsia="宋体" w:cs="宋体"/>
          <w:b/>
          <w:sz w:val="24"/>
          <w:highlight w:val="none"/>
          <w:lang w:bidi="ar"/>
        </w:rPr>
      </w:pPr>
      <w:r>
        <w:rPr>
          <w:rFonts w:hint="eastAsia" w:ascii="宋体" w:hAnsi="宋体" w:eastAsia="宋体" w:cs="宋体"/>
          <w:b/>
          <w:sz w:val="24"/>
          <w:highlight w:val="none"/>
          <w:lang w:val="en-US" w:eastAsia="zh-CN" w:bidi="ar"/>
        </w:rPr>
        <w:t>七</w:t>
      </w:r>
      <w:r>
        <w:rPr>
          <w:rFonts w:hint="eastAsia" w:ascii="宋体" w:hAnsi="宋体" w:eastAsia="宋体" w:cs="宋体"/>
          <w:b/>
          <w:sz w:val="24"/>
          <w:highlight w:val="none"/>
          <w:lang w:bidi="ar"/>
        </w:rPr>
        <w:t>、质量保证</w:t>
      </w:r>
    </w:p>
    <w:p w14:paraId="2FB10576">
      <w:pPr>
        <w:keepNext w:val="0"/>
        <w:keepLines w:val="0"/>
        <w:pageBreakBefore w:val="0"/>
        <w:widowControl w:val="0"/>
        <w:shd w:val="clear"/>
        <w:kinsoku/>
        <w:wordWrap/>
        <w:overflowPunct/>
        <w:topLinePunct w:val="0"/>
        <w:autoSpaceDE/>
        <w:autoSpaceDN/>
        <w:bidi w:val="0"/>
        <w:adjustRightInd w:val="0"/>
        <w:snapToGrid w:val="0"/>
        <w:spacing w:line="360" w:lineRule="auto"/>
        <w:ind w:firstLine="470" w:firstLineChars="196"/>
        <w:textAlignment w:val="auto"/>
        <w:rPr>
          <w:rFonts w:hint="eastAsia" w:ascii="宋体" w:hAnsi="宋体" w:eastAsia="宋体" w:cs="宋体"/>
          <w:kern w:val="0"/>
          <w:sz w:val="24"/>
          <w:highlight w:val="none"/>
        </w:rPr>
      </w:pPr>
      <w:r>
        <w:rPr>
          <w:rFonts w:hint="eastAsia" w:ascii="宋体" w:hAnsi="宋体" w:eastAsia="宋体" w:cs="宋体"/>
          <w:bCs/>
          <w:sz w:val="24"/>
          <w:highlight w:val="none"/>
        </w:rPr>
        <w:t>1、</w:t>
      </w:r>
      <w:r>
        <w:rPr>
          <w:rFonts w:hint="eastAsia" w:ascii="宋体" w:hAnsi="宋体" w:eastAsia="宋体" w:cs="宋体"/>
          <w:kern w:val="0"/>
          <w:sz w:val="24"/>
          <w:highlight w:val="none"/>
        </w:rPr>
        <w:t>所有产品质量必须符合国家有关规范和相关政策及招标文件的要求。所有产品必须是未使用过的新产品，质量优良、渠道正当，满足采购要求。</w:t>
      </w:r>
    </w:p>
    <w:p w14:paraId="7B377C2D">
      <w:pPr>
        <w:pStyle w:val="27"/>
        <w:keepNext w:val="0"/>
        <w:keepLines w:val="0"/>
        <w:pageBreakBefore w:val="0"/>
        <w:widowControl w:val="0"/>
        <w:numPr>
          <w:ilvl w:val="0"/>
          <w:numId w:val="0"/>
        </w:numPr>
        <w:shd w:val="clear"/>
        <w:kinsoku/>
        <w:wordWrap/>
        <w:overflowPunct/>
        <w:topLinePunct w:val="0"/>
        <w:autoSpaceDE/>
        <w:autoSpaceDN/>
        <w:bidi w:val="0"/>
        <w:adjustRightInd/>
        <w:spacing w:line="360" w:lineRule="auto"/>
        <w:ind w:right="0" w:rightChars="0" w:firstLine="480" w:firstLineChars="200"/>
        <w:textAlignment w:val="auto"/>
        <w:rPr>
          <w:rFonts w:hint="default"/>
          <w:color w:val="0000FF"/>
          <w:highlight w:val="none"/>
        </w:rPr>
        <w:sectPr>
          <w:footerReference r:id="rId8" w:type="default"/>
          <w:pgSz w:w="11906" w:h="16838"/>
          <w:pgMar w:top="1440" w:right="1486" w:bottom="1440" w:left="1800" w:header="1135" w:footer="1135" w:gutter="0"/>
          <w:pgNumType w:fmt="decimal"/>
          <w:cols w:space="425" w:num="1"/>
          <w:docGrid w:type="lines" w:linePitch="312" w:charSpace="0"/>
        </w:sectPr>
      </w:pPr>
      <w:r>
        <w:rPr>
          <w:rFonts w:hint="eastAsia" w:ascii="宋体" w:hAnsi="宋体" w:eastAsia="宋体" w:cs="宋体"/>
          <w:kern w:val="0"/>
          <w:sz w:val="24"/>
          <w:highlight w:val="none"/>
        </w:rPr>
        <w:t>2、若质量不合格，甲方有权拒付所有货款；若产品因运输等原因造成质量问题，一切损失由</w:t>
      </w:r>
      <w:r>
        <w:rPr>
          <w:rFonts w:hint="eastAsia" w:ascii="宋体" w:hAnsi="宋体" w:eastAsia="宋体" w:cs="宋体"/>
          <w:kern w:val="0"/>
          <w:sz w:val="24"/>
          <w:highlight w:val="none"/>
          <w:lang w:val="en-US" w:eastAsia="zh-CN"/>
        </w:rPr>
        <w:t>供应商</w:t>
      </w:r>
      <w:r>
        <w:rPr>
          <w:rFonts w:hint="eastAsia" w:ascii="宋体" w:hAnsi="宋体" w:eastAsia="宋体" w:cs="宋体"/>
          <w:kern w:val="0"/>
          <w:sz w:val="24"/>
          <w:highlight w:val="none"/>
        </w:rPr>
        <w:t>承担</w:t>
      </w:r>
      <w:r>
        <w:rPr>
          <w:rFonts w:hint="eastAsia" w:ascii="宋体" w:hAnsi="宋体" w:eastAsia="宋体" w:cs="宋体"/>
          <w:kern w:val="0"/>
          <w:sz w:val="24"/>
          <w:highlight w:val="none"/>
          <w:lang w:bidi="ar"/>
        </w:rPr>
        <w:t>。</w:t>
      </w:r>
    </w:p>
    <w:p w14:paraId="79506A2D">
      <w:pPr>
        <w:pStyle w:val="2"/>
        <w:shd w:val="clear"/>
        <w:spacing w:line="360" w:lineRule="auto"/>
        <w:rPr>
          <w:rFonts w:hint="default"/>
          <w:highlight w:val="none"/>
        </w:rPr>
      </w:pPr>
      <w:r>
        <w:rPr>
          <w:highlight w:val="none"/>
        </w:rPr>
        <w:t>第六章 评标方法</w:t>
      </w:r>
      <w:bookmarkEnd w:id="70"/>
    </w:p>
    <w:p w14:paraId="5C123766">
      <w:pPr>
        <w:shd w:val="clear"/>
        <w:spacing w:line="360" w:lineRule="auto"/>
        <w:rPr>
          <w:rFonts w:ascii="宋体" w:hAnsi="宋体" w:eastAsia="宋体" w:cs="宋体"/>
          <w:b/>
          <w:spacing w:val="4"/>
          <w:sz w:val="24"/>
          <w:highlight w:val="none"/>
        </w:rPr>
      </w:pPr>
      <w:r>
        <w:rPr>
          <w:rFonts w:hint="eastAsia" w:ascii="宋体" w:hAnsi="宋体" w:eastAsia="宋体" w:cs="宋体"/>
          <w:b/>
          <w:spacing w:val="4"/>
          <w:sz w:val="24"/>
          <w:highlight w:val="none"/>
          <w:lang w:bidi="ar"/>
        </w:rPr>
        <w:t>一．评标方法</w:t>
      </w:r>
    </w:p>
    <w:p w14:paraId="04DE9FCB">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按照《中华人民共和国政府采购法》、中华人民共和国2015年第658号国务院令--《中华人民共和国政府采购法实施条例》和中华人民共和国财政部2017年第87号部长令--《政府采购货物和服务招标投标管理办法》的规定，</w:t>
      </w:r>
      <w:r>
        <w:rPr>
          <w:rFonts w:hint="eastAsia" w:ascii="宋体" w:hAnsi="宋体" w:eastAsia="宋体" w:cs="宋体"/>
          <w:spacing w:val="4"/>
          <w:sz w:val="24"/>
          <w:highlight w:val="none"/>
          <w:lang w:bidi="ar"/>
        </w:rPr>
        <w:t>本次评标采用</w:t>
      </w:r>
      <w:r>
        <w:rPr>
          <w:rFonts w:hint="eastAsia" w:ascii="宋体" w:hAnsi="宋体" w:eastAsia="宋体" w:cs="宋体"/>
          <w:b/>
          <w:spacing w:val="4"/>
          <w:sz w:val="24"/>
          <w:highlight w:val="none"/>
          <w:lang w:bidi="ar"/>
        </w:rPr>
        <w:t>综合评分法</w:t>
      </w:r>
      <w:r>
        <w:rPr>
          <w:rFonts w:hint="eastAsia" w:ascii="宋体" w:hAnsi="宋体" w:eastAsia="宋体" w:cs="宋体"/>
          <w:spacing w:val="4"/>
          <w:sz w:val="24"/>
          <w:highlight w:val="none"/>
          <w:lang w:bidi="ar"/>
        </w:rPr>
        <w:t>，即在最大限度地满足招标文件实质性要求前提下，按照招标文件中规定的各项因素和相应的权重分值进行综合评审后，</w:t>
      </w:r>
      <w:r>
        <w:rPr>
          <w:rFonts w:hint="eastAsia" w:ascii="宋体" w:hAnsi="宋体" w:eastAsia="宋体" w:cs="宋体"/>
          <w:sz w:val="24"/>
          <w:highlight w:val="none"/>
          <w:lang w:bidi="ar"/>
        </w:rPr>
        <w:t>以总得分最高的投标人作为中标候选投标人并依次排序。</w:t>
      </w:r>
    </w:p>
    <w:p w14:paraId="418189A7">
      <w:pPr>
        <w:shd w:val="clear"/>
        <w:spacing w:line="360" w:lineRule="auto"/>
        <w:rPr>
          <w:rFonts w:ascii="宋体" w:hAnsi="宋体" w:eastAsia="宋体" w:cs="宋体"/>
          <w:b/>
          <w:spacing w:val="4"/>
          <w:sz w:val="24"/>
          <w:highlight w:val="none"/>
        </w:rPr>
      </w:pPr>
      <w:r>
        <w:rPr>
          <w:rFonts w:hint="eastAsia" w:ascii="宋体" w:hAnsi="宋体" w:eastAsia="宋体" w:cs="宋体"/>
          <w:b/>
          <w:spacing w:val="4"/>
          <w:sz w:val="24"/>
          <w:highlight w:val="none"/>
          <w:lang w:bidi="ar"/>
        </w:rPr>
        <w:t>二．评标程序</w:t>
      </w:r>
    </w:p>
    <w:p w14:paraId="1AA4EB41">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按照投标人资格审查、投标文件符合性审查、澄清有关问题、比较与评价、推荐中标候选投标人名单的工作程序进行评标。</w:t>
      </w:r>
    </w:p>
    <w:p w14:paraId="34F95D7E">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1、投标人符合性检查。分别按照以下内容对投标文件进行检查，一项不合格即按照无效投标处理。</w:t>
      </w:r>
    </w:p>
    <w:p w14:paraId="05923A03">
      <w:pPr>
        <w:shd w:val="clear"/>
        <w:kinsoku w:val="0"/>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lang w:bidi="ar"/>
        </w:rPr>
        <w:t>1）投标人的投标报价未超过采购预算；</w:t>
      </w:r>
    </w:p>
    <w:p w14:paraId="63B6F63F">
      <w:pPr>
        <w:shd w:val="clear"/>
        <w:kinsoku w:val="0"/>
        <w:spacing w:line="360" w:lineRule="auto"/>
        <w:ind w:firstLine="480" w:firstLineChars="200"/>
        <w:rPr>
          <w:rFonts w:ascii="宋体" w:hAnsi="宋体" w:eastAsia="宋体" w:cs="宋体"/>
          <w:spacing w:val="-6"/>
          <w:sz w:val="24"/>
          <w:szCs w:val="20"/>
          <w:highlight w:val="none"/>
        </w:rPr>
      </w:pPr>
      <w:r>
        <w:rPr>
          <w:rFonts w:hint="eastAsia" w:ascii="宋体" w:hAnsi="宋体" w:eastAsia="宋体" w:cs="宋体"/>
          <w:sz w:val="24"/>
          <w:szCs w:val="20"/>
          <w:highlight w:val="none"/>
          <w:lang w:bidi="ar"/>
        </w:rPr>
        <w:t>2）投标</w:t>
      </w:r>
      <w:r>
        <w:rPr>
          <w:rFonts w:hint="eastAsia" w:ascii="宋体" w:hAnsi="宋体" w:eastAsia="宋体" w:cs="宋体"/>
          <w:spacing w:val="-6"/>
          <w:sz w:val="24"/>
          <w:szCs w:val="20"/>
          <w:highlight w:val="none"/>
          <w:lang w:bidi="ar"/>
        </w:rPr>
        <w:t>文件</w:t>
      </w:r>
      <w:r>
        <w:rPr>
          <w:rFonts w:hint="eastAsia" w:ascii="宋体" w:hAnsi="宋体" w:eastAsia="宋体" w:cs="宋体"/>
          <w:sz w:val="24"/>
          <w:szCs w:val="20"/>
          <w:highlight w:val="none"/>
          <w:lang w:bidi="ar"/>
        </w:rPr>
        <w:t>按招标文件要求签署、盖章；</w:t>
      </w:r>
    </w:p>
    <w:p w14:paraId="4BE87D29">
      <w:pPr>
        <w:shd w:val="clear"/>
        <w:tabs>
          <w:tab w:val="left" w:pos="1260"/>
        </w:tabs>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3）</w:t>
      </w:r>
      <w:r>
        <w:rPr>
          <w:rFonts w:hint="eastAsia" w:ascii="宋体" w:hAnsi="宋体" w:eastAsia="宋体" w:cs="宋体"/>
          <w:spacing w:val="-6"/>
          <w:sz w:val="24"/>
          <w:szCs w:val="20"/>
          <w:highlight w:val="none"/>
          <w:lang w:bidi="ar"/>
        </w:rPr>
        <w:t>投标有效期满足招标文件要求</w:t>
      </w:r>
      <w:r>
        <w:rPr>
          <w:rFonts w:hint="eastAsia" w:ascii="宋体" w:hAnsi="宋体" w:eastAsia="宋体" w:cs="宋体"/>
          <w:sz w:val="24"/>
          <w:highlight w:val="none"/>
          <w:lang w:bidi="ar"/>
        </w:rPr>
        <w:t>；</w:t>
      </w:r>
    </w:p>
    <w:p w14:paraId="783BF5A9">
      <w:pPr>
        <w:shd w:val="clear"/>
        <w:tabs>
          <w:tab w:val="left" w:pos="1260"/>
        </w:tabs>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4）</w:t>
      </w:r>
      <w:r>
        <w:rPr>
          <w:rFonts w:hint="eastAsia" w:ascii="宋体" w:hAnsi="宋体" w:cs="宋体"/>
          <w:spacing w:val="4"/>
          <w:sz w:val="24"/>
          <w:highlight w:val="none"/>
        </w:rPr>
        <w:t>投标人在同一份投标文件中，未有两个或多个报价</w:t>
      </w:r>
      <w:r>
        <w:rPr>
          <w:rFonts w:hint="eastAsia" w:ascii="宋体" w:hAnsi="宋体" w:eastAsia="宋体" w:cs="宋体"/>
          <w:sz w:val="24"/>
          <w:highlight w:val="none"/>
          <w:lang w:bidi="ar"/>
        </w:rPr>
        <w:t>；</w:t>
      </w:r>
    </w:p>
    <w:p w14:paraId="1FA18E33">
      <w:pPr>
        <w:shd w:val="clear"/>
        <w:tabs>
          <w:tab w:val="left" w:pos="1260"/>
        </w:tabs>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5）</w:t>
      </w:r>
      <w:r>
        <w:rPr>
          <w:rFonts w:hint="eastAsia" w:ascii="宋体" w:hAnsi="宋体" w:eastAsia="宋体" w:cs="宋体"/>
          <w:spacing w:val="4"/>
          <w:sz w:val="24"/>
          <w:highlight w:val="none"/>
        </w:rPr>
        <w:t>未存在单位负责人为同一人或者不存在直接控股、管理关系的不同投标人，参加本项目政府采购活动；</w:t>
      </w:r>
    </w:p>
    <w:p w14:paraId="2A32E630">
      <w:pPr>
        <w:widowControl/>
        <w:shd w:val="clear"/>
        <w:wordWrap w:val="0"/>
        <w:spacing w:line="360" w:lineRule="auto"/>
        <w:ind w:firstLine="496" w:firstLineChars="200"/>
        <w:jc w:val="left"/>
        <w:rPr>
          <w:rFonts w:ascii="宋体" w:hAnsi="宋体" w:eastAsia="宋体" w:cs="宋体"/>
          <w:spacing w:val="4"/>
          <w:kern w:val="0"/>
          <w:sz w:val="24"/>
          <w:highlight w:val="none"/>
          <w:lang w:bidi="ar"/>
        </w:rPr>
      </w:pPr>
      <w:r>
        <w:rPr>
          <w:rFonts w:hint="eastAsia" w:ascii="宋体" w:hAnsi="宋体" w:eastAsia="宋体" w:cs="宋体"/>
          <w:spacing w:val="4"/>
          <w:kern w:val="0"/>
          <w:sz w:val="24"/>
          <w:highlight w:val="none"/>
          <w:lang w:bidi="ar"/>
        </w:rPr>
        <w:t>6）</w:t>
      </w:r>
      <w:r>
        <w:rPr>
          <w:rFonts w:hint="eastAsia" w:ascii="宋体" w:hAnsi="宋体" w:eastAsia="宋体" w:cs="宋体"/>
          <w:sz w:val="24"/>
          <w:highlight w:val="none"/>
          <w:lang w:bidi="ar"/>
        </w:rPr>
        <w:t>付款方式及</w:t>
      </w:r>
      <w:r>
        <w:rPr>
          <w:rFonts w:hint="eastAsia" w:ascii="宋体" w:hAnsi="宋体" w:eastAsia="宋体" w:cs="宋体"/>
          <w:sz w:val="24"/>
          <w:highlight w:val="none"/>
          <w:lang w:eastAsia="zh-CN" w:bidi="ar"/>
        </w:rPr>
        <w:t>交货安装期</w:t>
      </w:r>
      <w:r>
        <w:rPr>
          <w:rFonts w:hint="eastAsia" w:ascii="宋体" w:hAnsi="宋体" w:eastAsia="宋体" w:cs="宋体"/>
          <w:sz w:val="24"/>
          <w:highlight w:val="none"/>
          <w:lang w:bidi="ar"/>
        </w:rPr>
        <w:t>、质保期符合招标文件；</w:t>
      </w:r>
    </w:p>
    <w:p w14:paraId="43D0DBA2">
      <w:pPr>
        <w:shd w:val="clear"/>
        <w:kinsoku w:val="0"/>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7）</w:t>
      </w:r>
      <w:r>
        <w:rPr>
          <w:rFonts w:hint="eastAsia" w:ascii="宋体" w:hAnsi="宋体" w:cs="宋体"/>
          <w:spacing w:val="4"/>
          <w:sz w:val="24"/>
          <w:highlight w:val="none"/>
        </w:rPr>
        <w:t>投标单位针对同一项目未递交两份或多份内容不同的投标文件</w:t>
      </w:r>
      <w:r>
        <w:rPr>
          <w:rFonts w:hint="eastAsia" w:ascii="宋体" w:hAnsi="宋体" w:eastAsia="宋体" w:cs="宋体"/>
          <w:sz w:val="24"/>
          <w:highlight w:val="none"/>
          <w:lang w:bidi="ar"/>
        </w:rPr>
        <w:t>；</w:t>
      </w:r>
    </w:p>
    <w:p w14:paraId="18C986D8">
      <w:pPr>
        <w:shd w:val="clear"/>
        <w:kinsoku w:val="0"/>
        <w:spacing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8）投标文件不存在有缺漏项；</w:t>
      </w:r>
    </w:p>
    <w:p w14:paraId="1E854F90">
      <w:pPr>
        <w:widowControl/>
        <w:shd w:val="clear"/>
        <w:wordWrap w:val="0"/>
        <w:spacing w:line="360" w:lineRule="auto"/>
        <w:ind w:firstLine="496" w:firstLineChars="200"/>
        <w:jc w:val="left"/>
        <w:rPr>
          <w:rFonts w:ascii="宋体" w:hAnsi="宋体" w:eastAsia="宋体" w:cs="宋体"/>
          <w:spacing w:val="4"/>
          <w:kern w:val="0"/>
          <w:sz w:val="24"/>
          <w:highlight w:val="none"/>
          <w:lang w:bidi="ar"/>
        </w:rPr>
      </w:pPr>
      <w:r>
        <w:rPr>
          <w:rFonts w:hint="eastAsia" w:ascii="宋体" w:hAnsi="宋体" w:eastAsia="宋体" w:cs="宋体"/>
          <w:spacing w:val="4"/>
          <w:kern w:val="0"/>
          <w:sz w:val="24"/>
          <w:highlight w:val="none"/>
          <w:lang w:bidi="ar"/>
        </w:rPr>
        <w:t>9）投标文件实质性响应招标文件要求；</w:t>
      </w:r>
    </w:p>
    <w:p w14:paraId="5D655CD4">
      <w:pPr>
        <w:widowControl/>
        <w:shd w:val="clear"/>
        <w:wordWrap w:val="0"/>
        <w:spacing w:line="360" w:lineRule="auto"/>
        <w:ind w:firstLine="496" w:firstLineChars="200"/>
        <w:jc w:val="left"/>
        <w:rPr>
          <w:rFonts w:ascii="宋体" w:hAnsi="宋体" w:cs="宋体"/>
          <w:spacing w:val="4"/>
          <w:kern w:val="0"/>
          <w:sz w:val="24"/>
          <w:highlight w:val="none"/>
          <w:lang w:bidi="ar"/>
        </w:rPr>
      </w:pPr>
      <w:r>
        <w:rPr>
          <w:rFonts w:hint="eastAsia" w:ascii="宋体" w:hAnsi="宋体" w:eastAsia="宋体" w:cs="宋体"/>
          <w:spacing w:val="4"/>
          <w:kern w:val="0"/>
          <w:sz w:val="24"/>
          <w:highlight w:val="none"/>
          <w:lang w:bidi="ar"/>
        </w:rPr>
        <w:t>10）</w:t>
      </w:r>
      <w:r>
        <w:rPr>
          <w:rFonts w:hint="eastAsia" w:ascii="宋体" w:hAnsi="宋体" w:cs="宋体"/>
          <w:sz w:val="24"/>
          <w:highlight w:val="none"/>
        </w:rPr>
        <w:t>商务要求逐条响应并满足招标文件要求；</w:t>
      </w:r>
    </w:p>
    <w:p w14:paraId="48049E15">
      <w:pPr>
        <w:widowControl/>
        <w:shd w:val="clear"/>
        <w:wordWrap w:val="0"/>
        <w:spacing w:line="360" w:lineRule="auto"/>
        <w:ind w:firstLine="496" w:firstLineChars="200"/>
        <w:jc w:val="left"/>
        <w:rPr>
          <w:rFonts w:ascii="宋体" w:hAnsi="宋体" w:eastAsia="宋体" w:cs="宋体"/>
          <w:spacing w:val="4"/>
          <w:kern w:val="0"/>
          <w:sz w:val="24"/>
          <w:highlight w:val="none"/>
          <w:lang w:bidi="ar"/>
        </w:rPr>
      </w:pPr>
      <w:r>
        <w:rPr>
          <w:rFonts w:hint="eastAsia" w:ascii="宋体" w:hAnsi="宋体" w:eastAsia="宋体" w:cs="宋体"/>
          <w:spacing w:val="4"/>
          <w:kern w:val="0"/>
          <w:sz w:val="24"/>
          <w:highlight w:val="none"/>
          <w:lang w:bidi="ar"/>
        </w:rPr>
        <w:t>11）</w:t>
      </w:r>
      <w:r>
        <w:rPr>
          <w:rFonts w:hint="eastAsia" w:ascii="宋体" w:hAnsi="宋体" w:eastAsia="宋体" w:cs="宋体"/>
          <w:sz w:val="24"/>
          <w:highlight w:val="none"/>
          <w:lang w:bidi="ar"/>
        </w:rPr>
        <w:t>法律、法规和招标文件规定的其他情形。</w:t>
      </w:r>
    </w:p>
    <w:p w14:paraId="7542AFA5">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2、澄清有关问题：</w:t>
      </w:r>
    </w:p>
    <w:p w14:paraId="190C4385">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2.1对于可能出现的投标报价不一致和文字文本差异按以下方法确认更正。</w:t>
      </w:r>
    </w:p>
    <w:p w14:paraId="352702E5">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2.1.1开标时，大写金额和小写金额不一致的，以大写金额为准；总价金额与按单价汇总金额不一致的，以单价金额计算结果为准；单价金额小数点有明显错位的，应以总价为准，并修改单价；对不同文字文本投标文件的解释发生异议的，以中文文本为准。</w:t>
      </w:r>
    </w:p>
    <w:p w14:paraId="660E736A">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2.1.2评委会将按照上述原则修正投标文件中的投标报价，修正后的价格对投标人具有约束力。如果投标人不接受修正后的价格，其投标按照无效投标处理。</w:t>
      </w:r>
    </w:p>
    <w:p w14:paraId="46EAA8F6">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2.2对于投标文件中的偏离，如果出现含义不明确、同类问题表述不一致或者有明显文字和计算错误的内容，评标委员会可以书面形式（由评标委员会专家签字）要求投标人作出必要的澄清、说明或者纠正。投标人的澄清、说明或者补正应当采用书面形式，由其授权的投标代表签字，并不得超出投标文件的范围或者改变投标文件的实质性内容。</w:t>
      </w:r>
    </w:p>
    <w:p w14:paraId="33574B39">
      <w:pPr>
        <w:shd w:val="clear"/>
        <w:spacing w:line="360" w:lineRule="auto"/>
        <w:rPr>
          <w:rFonts w:ascii="宋体" w:hAnsi="宋体" w:eastAsia="宋体" w:cs="宋体"/>
          <w:b/>
          <w:bCs/>
          <w:spacing w:val="4"/>
          <w:sz w:val="24"/>
          <w:highlight w:val="none"/>
        </w:rPr>
      </w:pPr>
      <w:r>
        <w:rPr>
          <w:rFonts w:hint="eastAsia" w:ascii="宋体" w:hAnsi="宋体" w:eastAsia="宋体" w:cs="宋体"/>
          <w:b/>
          <w:bCs/>
          <w:spacing w:val="4"/>
          <w:sz w:val="24"/>
          <w:highlight w:val="none"/>
        </w:rPr>
        <w:t>三、享受的政府采购政策</w:t>
      </w:r>
    </w:p>
    <w:p w14:paraId="7EE5F73C">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Times New Roman"/>
          <w:color w:val="000000"/>
          <w:sz w:val="24"/>
          <w:szCs w:val="20"/>
          <w:highlight w:val="none"/>
        </w:rPr>
        <w:t>1、落实政府采购政策：落实</w:t>
      </w:r>
      <w:r>
        <w:rPr>
          <w:rFonts w:hint="eastAsia" w:ascii="宋体" w:hAnsi="宋体" w:eastAsia="宋体" w:cs="宋体"/>
          <w:sz w:val="24"/>
          <w:szCs w:val="20"/>
          <w:highlight w:val="none"/>
        </w:rPr>
        <w:t>促进支持中小企业、监狱企业、残疾人福利性单位发展、脱贫攻坚工作的政策。</w:t>
      </w:r>
    </w:p>
    <w:p w14:paraId="5E1FA8E3">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rPr>
        <w:t>1.1针对中小型企业的说明：</w:t>
      </w:r>
    </w:p>
    <w:p w14:paraId="1ABAAF51">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rPr>
        <w:t>根据《政府采购促进中小企业发展管理办法》（财库〔2020〕46号）及《中小企业划型标准规定》（工信部联企业〔2011〕300号）</w:t>
      </w:r>
      <w:r>
        <w:rPr>
          <w:rFonts w:hint="eastAsia" w:ascii="宋体" w:hAnsi="宋体" w:eastAsia="宋体" w:cs="宋体"/>
          <w:b/>
          <w:bCs/>
          <w:spacing w:val="4"/>
          <w:sz w:val="24"/>
          <w:highlight w:val="none"/>
        </w:rPr>
        <w:t>。</w:t>
      </w:r>
      <w:r>
        <w:rPr>
          <w:rFonts w:hint="eastAsia" w:ascii="宋体" w:hAnsi="宋体" w:eastAsia="宋体" w:cs="宋体"/>
          <w:spacing w:val="4"/>
          <w:sz w:val="24"/>
          <w:highlight w:val="none"/>
        </w:rPr>
        <w:t>不允许大型及以上企业参与投标,响应单位不再享受价格分优惠。中小微企业在响应文件中,必须提供《中小企业声明函》。未在响应文件中提供《中小企业声明函》,其响应文件为不实质响应采购文件,为无效响应。</w:t>
      </w:r>
    </w:p>
    <w:p w14:paraId="35556987">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rPr>
        <w:t>小微企业在投标文件中必须提供《中小企业声明函》并加盖公章，未提交则不享受相关小微企业价格扣除政策；监狱企业必须提供由省级以上监狱管理局、戒毒管理局（含新疆生产建设兵团）出具的属于监狱企业的证明文件；残疾人福利性单位必须提供《残疾人福利性单位声明函》，供应商提供的《残疾人福利性单位声明函》与事实不符的，依照《政府采购法》第七十七条第一款的规定追究法律责任。在投标文件中未提供相关材料、资料的，不享受评审优惠政策。</w:t>
      </w:r>
    </w:p>
    <w:p w14:paraId="65CB1E18">
      <w:pPr>
        <w:shd w:val="clear"/>
        <w:spacing w:line="360" w:lineRule="auto"/>
        <w:ind w:firstLine="496" w:firstLineChars="200"/>
        <w:rPr>
          <w:rFonts w:ascii="Times New Roman" w:hAnsi="Times New Roman" w:eastAsia="宋体" w:cs="Times New Roman"/>
          <w:szCs w:val="20"/>
          <w:highlight w:val="none"/>
        </w:rPr>
      </w:pPr>
      <w:r>
        <w:rPr>
          <w:rFonts w:hint="eastAsia" w:ascii="宋体" w:hAnsi="宋体" w:eastAsia="宋体" w:cs="宋体"/>
          <w:spacing w:val="4"/>
          <w:sz w:val="24"/>
          <w:highlight w:val="none"/>
        </w:rPr>
        <w:t>如投标人提供虚假材料，将按“政府采购法”相关规定处理并由政府监管部门给予严肃处理。</w:t>
      </w:r>
    </w:p>
    <w:p w14:paraId="2D44B7E5">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Times New Roman"/>
          <w:color w:val="000000"/>
          <w:sz w:val="24"/>
          <w:szCs w:val="20"/>
          <w:highlight w:val="none"/>
        </w:rPr>
        <w:t>1.2、落实政府采购政策：落实</w:t>
      </w:r>
      <w:r>
        <w:rPr>
          <w:rFonts w:hint="eastAsia" w:ascii="宋体" w:hAnsi="宋体" w:eastAsia="宋体" w:cs="宋体"/>
          <w:sz w:val="24"/>
          <w:szCs w:val="20"/>
          <w:highlight w:val="none"/>
        </w:rPr>
        <w:t>促进支持中小企业、监狱企业、残疾人福利性单位发展、脱贫攻坚工作的政策(</w:t>
      </w:r>
      <w:r>
        <w:rPr>
          <w:rFonts w:hint="eastAsia" w:ascii="宋体" w:hAnsi="宋体" w:eastAsia="宋体" w:cs="宋体"/>
          <w:b/>
          <w:bCs/>
          <w:sz w:val="24"/>
          <w:szCs w:val="20"/>
          <w:highlight w:val="none"/>
        </w:rPr>
        <w:t>不专门面向中小企业的采购项目（或采购包），执行以下条款</w:t>
      </w:r>
      <w:r>
        <w:rPr>
          <w:rFonts w:hint="eastAsia" w:ascii="宋体" w:hAnsi="宋体" w:eastAsia="宋体" w:cs="宋体"/>
          <w:sz w:val="24"/>
          <w:szCs w:val="20"/>
          <w:highlight w:val="none"/>
        </w:rPr>
        <w:t>)</w:t>
      </w:r>
      <w:r>
        <w:rPr>
          <w:rFonts w:hint="eastAsia" w:ascii="宋体" w:hAnsi="宋体" w:eastAsia="宋体" w:cs="宋体"/>
          <w:b/>
          <w:bCs/>
          <w:sz w:val="24"/>
          <w:szCs w:val="20"/>
          <w:highlight w:val="none"/>
        </w:rPr>
        <w:t>。</w:t>
      </w:r>
    </w:p>
    <w:p w14:paraId="1A8C8A99">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1.2.1《政府采购促进中小企业发展管理办法》（财库〔2020〕46号）</w:t>
      </w:r>
    </w:p>
    <w:p w14:paraId="54322C0E">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在政府采购活动中，供应商提供的货物、工程或者服务符合下列情形的，享受《办法》规定的中小企业扶持政策:</w:t>
      </w:r>
    </w:p>
    <w:p w14:paraId="21C94E7A">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(一)在货物采购项目中，货物由中小企业制造，即货物由中小企业生产且使用该中小企业商号或者注册商标；</w:t>
      </w:r>
    </w:p>
    <w:p w14:paraId="3AA0A7A5">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(二)在工程采购项目中，工程由中小企业承建，即工程施工单位为中小企业；</w:t>
      </w:r>
    </w:p>
    <w:p w14:paraId="243C4D91">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(三)在服务采购项目中，服务由中小企业承接，即提供服务的人员为中小企业依照《中华人民共和国民法典》订立劳动合同的从业人员。</w:t>
      </w:r>
    </w:p>
    <w:p w14:paraId="38B18A67">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在货物采购项目中，供应商提供的货物既有中小企业制造货物，也有大型企业制造货物的，不享受《办法》规定的中小企业扶持政策。</w:t>
      </w:r>
    </w:p>
    <w:p w14:paraId="56A7E3EB">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以联合体形式参加政府采购活动，联合体各方均为中小企业的，联合体视同中小企业。其中，联合体各方均为小微企业的，联合体视同小微企业。</w:t>
      </w:r>
    </w:p>
    <w:p w14:paraId="4E1D7E84">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依据《办法》规定享受扶持政策获得政府采购合同的，小微企业不得将合同分包给大中型企业，中型企业不得将合同分包给大型企业。</w:t>
      </w:r>
    </w:p>
    <w:p w14:paraId="23B3416E">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根据《政府采购促进中小企业发展管理办法》的通知（财库〔2020〕46号）规定，参加政府采购活动的中小企业应当提供《中小企业声明函》。供应商提供的《中小企业声明函》原件必须真实，否则，按照有关规定予以处理。</w:t>
      </w:r>
    </w:p>
    <w:p w14:paraId="27E66249">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根据《政府采购促进中小企业发展管理办法》（财库〔2020〕46号）及《关于进一步加大政府采购支持中小企业力度的通知》财库〔2022〕19号的相关规定，货物服务小微企业报价给予20%的扣除，用扣除后的价格参加评审。适用招标投标法的政府采购工程建设项目，采用综合评分法但未采用低价优先法计算价格分的，评标时应当在采用原报价进行评分的基础上增加其价格得分的3%作为其价格分。</w:t>
      </w:r>
    </w:p>
    <w:p w14:paraId="744811DB">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接受大中型企业与小微企业组成联合体或者允许大中型企业向一家或者多家小微企业分包的采购项目，对于联合协议或者分包意向协议约定小微企业的合同份额占到合同总金额30%以上的，对联合体或者大中型企业的报价给予6%的扣除，用扣除后的价格参加评审。适用招标投标法的政府采购工程建设项目，采用综合评分法但未采用低价优先法计算价格分的，评标时应当在采用原报价进行评分的基础上增加其价格得分的1%作为其价格分。组成联合体或者接受分包的小微企业与联合体内其他企业、分包企业之间存在直接控股、管理关系的，不享受价格扣除优惠政策。</w:t>
      </w:r>
    </w:p>
    <w:p w14:paraId="32CDC29C">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1.2.2《财政部 司法部关于政府采购支持监狱企业发展有关问题的通知》（财库〔2014〕68号）</w:t>
      </w:r>
    </w:p>
    <w:p w14:paraId="5E1D5EB6">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监狱企业参加政府采购活动时，应当提供由省级以上监狱管理局、戒毒管理局（含新疆生产建设兵团）出具的属于监狱企业的证明文件。在政府采购活动中，监狱企业视同小型、微型企业。</w:t>
      </w:r>
    </w:p>
    <w:p w14:paraId="4453CB3D">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1.2.3《三部门联合发布关于促进残疾人就业政府采购政策的通知》（财库〔2017〕141号）；</w:t>
      </w:r>
    </w:p>
    <w:p w14:paraId="4583BEA5">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 xml:space="preserve">符合条件的残疾人福利性单位在参加政府采购活动时，应当提供本通知规定的《残疾人福利性单位声明函》，并对声明的真实性负责。在政府采购活动中，残疾人福利性单位视同小型、微型企业，享受预留份额。  </w:t>
      </w:r>
    </w:p>
    <w:p w14:paraId="630EDA3E">
      <w:pPr>
        <w:shd w:val="clear"/>
        <w:tabs>
          <w:tab w:val="left" w:pos="7665"/>
        </w:tabs>
        <w:spacing w:line="360" w:lineRule="auto"/>
        <w:ind w:firstLine="482" w:firstLineChars="200"/>
        <w:rPr>
          <w:rFonts w:ascii="Times New Roman" w:hAnsi="Times New Roman" w:eastAsia="宋体" w:cs="Times New Roman"/>
          <w:szCs w:val="20"/>
          <w:highlight w:val="none"/>
        </w:rPr>
      </w:pPr>
      <w:r>
        <w:rPr>
          <w:rFonts w:hint="eastAsia" w:ascii="宋体" w:hAnsi="宋体" w:eastAsia="宋体" w:cs="宋体"/>
          <w:b/>
          <w:bCs/>
          <w:sz w:val="24"/>
          <w:szCs w:val="20"/>
          <w:highlight w:val="none"/>
        </w:rPr>
        <w:t>残疾人福利性单位属于小型、微型企业的，不重复享受政策。</w:t>
      </w:r>
    </w:p>
    <w:p w14:paraId="53DD0FBF">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2、落实优先采购节能、环保产品的政策（所投产品满足以下文件要求中任意一条（及以上），其价格给予3%的扣除，用扣除后价格参与评审。</w:t>
      </w:r>
    </w:p>
    <w:p w14:paraId="70141299">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2.1 根据《财政部 国家发展改革委关于印发〈节能产品政府采购实施意见〉的通知》（财库〔2004〕185号）规定“政府采购属于节能产品品目清单的，在技术、服务等指标同等条件下，应当优先采购节能品目清单的节能产品。”</w:t>
      </w:r>
    </w:p>
    <w:p w14:paraId="4D6A6C62">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2.2 根据《财政部环保总局关于环境标志产品政府采购实施的意见》（财库〔2006〕90号）规定“采购人采购的产品属于环境标志产品政府采购清单中品目的，在性能、技术、服务等指标同等条件下，应当优先采购清单中的产品”。</w:t>
      </w:r>
    </w:p>
    <w:p w14:paraId="08DA96D3">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2.3 根据《国务院办公厅关于建立政府强制采购节能产品制度的通知》（国办发〔2007〕51号）有关要求，“使用财政性资金进行政府采购活动时，在技术、服务等指标满足采购需求的前提下，要优先采购节能产品，对部分节能效果、性能等达到要求的产品，实行强制采购，以促进节约能源，保护环境，降低政府机构能源费用开支。”</w:t>
      </w:r>
    </w:p>
    <w:p w14:paraId="30BF02EA">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2.4根据《财政部 发展改革委 生态环境部 市场监管总局关于调整优化节能产品、环境标志产品政府采购执行机制的通知》（财库〔2019〕9号）有关要求，采购人拟采购的产品属于品目清单范围的，采购人及其委托的采购代理机构应当依据国家确定的认证机构出具的、处于有效期之内的节能产品、环境标志产品认证证书，对获得证书的产品实施政府优先采购或强制采购。</w:t>
      </w:r>
    </w:p>
    <w:p w14:paraId="4AD423AA">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2.5 所有投标产品进入 “节能产品政府采购品目清单”的，应提供相关证书复印件，相关证书的颁发机构应来自《参与实施政府采购节能产品认证机构名录》。</w:t>
      </w:r>
    </w:p>
    <w:p w14:paraId="27D021CD">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2.6 所有投标产品进入“环境标志产品政府采购品目清单”的，应提供相关证书复印件，相关证书的颁发机构应来自《参与实施政府采购环境标志产品认证机构名录》。</w:t>
      </w:r>
    </w:p>
    <w:p w14:paraId="40DD8D7A">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2.7对于已列入品目清单的产品类别，采购人可在采购需求中提出更高的节约资源和保护环境要求，对符合条件的获证产品给予优先待遇。</w:t>
      </w:r>
    </w:p>
    <w:p w14:paraId="1E98D3DC">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2.8投标供应商在投标文件中对所投标产品为节能、环保、环境标志产品清单中的产品，在投标报价时必须对此类产品单独分项报价，计算出小计金额。未提供节能、环保、环境标志产品计分明细表的不给予计分。</w:t>
      </w:r>
    </w:p>
    <w:p w14:paraId="7627E09B">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2.9若节能、环保、环境标志清单内的产品仅是构成投标产品的部件、组件或零件的，则该投标产品不享受鼓励优惠政策。</w:t>
      </w:r>
    </w:p>
    <w:p w14:paraId="3CC3A500">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2.10同一标段的节能、环保、环境标志产品部分计分只对属于清单内的非强制类产品进行计分，强制类产品不给予计分。</w:t>
      </w:r>
    </w:p>
    <w:p w14:paraId="24885BC3">
      <w:pPr>
        <w:shd w:val="clear"/>
        <w:tabs>
          <w:tab w:val="left" w:pos="7665"/>
        </w:tabs>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rPr>
        <w:t>2.11节能、环保、环境标志产品不重复计分；同时列入国家级清单和省级清单的产品不重复计分。</w:t>
      </w:r>
    </w:p>
    <w:p w14:paraId="0DD59AA0">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四、比较与评价：</w:t>
      </w:r>
    </w:p>
    <w:p w14:paraId="3265AE45">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对所有有效投标进行了评标价确认之后，</w:t>
      </w:r>
      <w:r>
        <w:rPr>
          <w:rFonts w:hint="eastAsia" w:ascii="宋体" w:hAnsi="宋体" w:eastAsia="宋体" w:cs="宋体"/>
          <w:spacing w:val="4"/>
          <w:sz w:val="24"/>
          <w:highlight w:val="none"/>
          <w:lang w:bidi="ar"/>
        </w:rPr>
        <w:t>由</w:t>
      </w:r>
      <w:r>
        <w:rPr>
          <w:rFonts w:hint="eastAsia" w:ascii="宋体" w:hAnsi="宋体" w:eastAsia="宋体" w:cs="宋体"/>
          <w:sz w:val="24"/>
          <w:highlight w:val="none"/>
          <w:lang w:bidi="ar"/>
        </w:rPr>
        <w:t>评委会各成员按照下列《评标因素及权重分解表》规定的内容独立进行综合比较、评价打分。</w:t>
      </w:r>
    </w:p>
    <w:p w14:paraId="3D2C9862">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五、提供相同品牌产品（核心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14:paraId="195E5911">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六、推荐中标候选投标人名单：</w:t>
      </w:r>
    </w:p>
    <w:p w14:paraId="23CBD83E">
      <w:pPr>
        <w:shd w:val="clear"/>
        <w:spacing w:line="360" w:lineRule="auto"/>
        <w:ind w:firstLine="480" w:firstLineChars="200"/>
        <w:rPr>
          <w:rFonts w:ascii="宋体" w:hAnsi="宋体" w:eastAsia="宋体" w:cs="宋体"/>
          <w:spacing w:val="4"/>
          <w:sz w:val="24"/>
          <w:highlight w:val="none"/>
        </w:rPr>
      </w:pPr>
      <w:r>
        <w:rPr>
          <w:rFonts w:hint="eastAsia" w:ascii="宋体" w:hAnsi="宋体" w:eastAsia="宋体" w:cs="宋体"/>
          <w:sz w:val="24"/>
          <w:highlight w:val="none"/>
          <w:lang w:bidi="ar"/>
        </w:rPr>
        <w:t>汇总全体评委对每个投标人的赋分，计算出每个投标人的综合得分，</w:t>
      </w:r>
      <w:r>
        <w:rPr>
          <w:rFonts w:hint="eastAsia" w:ascii="宋体" w:hAnsi="宋体" w:eastAsia="宋体" w:cs="宋体"/>
          <w:spacing w:val="4"/>
          <w:sz w:val="24"/>
          <w:highlight w:val="none"/>
          <w:lang w:bidi="ar"/>
        </w:rPr>
        <w:t>从高到低依次排序，推荐前三名为中标候选人。</w:t>
      </w:r>
    </w:p>
    <w:p w14:paraId="087ED479">
      <w:pPr>
        <w:shd w:val="clear"/>
        <w:spacing w:line="360" w:lineRule="auto"/>
        <w:jc w:val="center"/>
        <w:rPr>
          <w:rFonts w:ascii="宋体" w:hAnsi="宋体" w:eastAsia="宋体" w:cs="宋体"/>
          <w:b/>
          <w:sz w:val="32"/>
          <w:szCs w:val="32"/>
          <w:highlight w:val="none"/>
        </w:rPr>
      </w:pPr>
      <w:r>
        <w:rPr>
          <w:rFonts w:hint="eastAsia" w:ascii="宋体" w:hAnsi="宋体" w:eastAsia="宋体" w:cs="宋体"/>
          <w:b/>
          <w:sz w:val="32"/>
          <w:szCs w:val="32"/>
          <w:highlight w:val="none"/>
          <w:lang w:bidi="ar"/>
        </w:rPr>
        <w:t>评标因素及权重分值表</w:t>
      </w:r>
    </w:p>
    <w:p w14:paraId="3A6B34AB">
      <w:pPr>
        <w:keepNext w:val="0"/>
        <w:keepLines w:val="0"/>
        <w:pageBreakBefore w:val="0"/>
        <w:widowControl w:val="0"/>
        <w:suppressLineNumbers w:val="0"/>
        <w:shd w:val="clear"/>
        <w:overflowPunct/>
        <w:topLinePunct w:val="0"/>
        <w:autoSpaceDE/>
        <w:autoSpaceDN/>
        <w:bidi w:val="0"/>
        <w:adjustRightInd/>
        <w:snapToGrid/>
        <w:spacing w:before="0" w:beforeAutospacing="0" w:afterAutospacing="0" w:line="360" w:lineRule="auto"/>
        <w:ind w:left="0" w:right="0" w:firstLine="496" w:firstLineChars="200"/>
        <w:jc w:val="both"/>
        <w:textAlignment w:val="auto"/>
        <w:rPr>
          <w:rFonts w:hint="eastAsia" w:asciiTheme="minorEastAsia" w:hAnsiTheme="minorEastAsia" w:eastAsiaTheme="minorEastAsia" w:cstheme="minorEastAsia"/>
          <w:color w:val="auto"/>
          <w:spacing w:val="4"/>
          <w:kern w:val="2"/>
          <w:sz w:val="24"/>
          <w:szCs w:val="24"/>
          <w:highlight w:val="none"/>
          <w:lang w:val="en-US" w:eastAsia="zh-CN" w:bidi="ar"/>
        </w:rPr>
      </w:pPr>
      <w:r>
        <w:rPr>
          <w:rFonts w:hint="eastAsia" w:ascii="宋体" w:hAnsi="宋体" w:eastAsia="宋体" w:cs="宋体"/>
          <w:color w:val="auto"/>
          <w:spacing w:val="4"/>
          <w:kern w:val="2"/>
          <w:sz w:val="24"/>
          <w:szCs w:val="24"/>
          <w:highlight w:val="none"/>
          <w:lang w:val="en-US" w:eastAsia="zh-CN" w:bidi="ar"/>
        </w:rPr>
        <w:t>评价和比较以投标文件为依据，从“投标报价”、“技术指标评审”、“实施方案”、“来源渠道”、“质量保证”、“应急处理服务”、</w:t>
      </w:r>
      <w:r>
        <w:rPr>
          <w:rFonts w:hint="eastAsia" w:ascii="宋体" w:hAnsi="宋体" w:eastAsia="宋体" w:cs="宋体"/>
          <w:color w:val="auto"/>
          <w:kern w:val="2"/>
          <w:sz w:val="24"/>
          <w:szCs w:val="24"/>
          <w:highlight w:val="none"/>
          <w:lang w:val="en-US" w:eastAsia="zh-CN" w:bidi="ar"/>
        </w:rPr>
        <w:t>“培训方案”、</w:t>
      </w:r>
      <w:r>
        <w:rPr>
          <w:rFonts w:hint="eastAsia" w:ascii="宋体" w:hAnsi="宋体" w:eastAsia="宋体" w:cs="宋体"/>
          <w:color w:val="auto"/>
          <w:spacing w:val="4"/>
          <w:kern w:val="2"/>
          <w:sz w:val="24"/>
          <w:szCs w:val="24"/>
          <w:highlight w:val="none"/>
          <w:lang w:val="en-US" w:eastAsia="zh-CN" w:bidi="ar"/>
        </w:rPr>
        <w:t>“项目团队”、</w:t>
      </w:r>
      <w:r>
        <w:rPr>
          <w:rFonts w:hint="eastAsia" w:ascii="宋体" w:hAnsi="宋体" w:eastAsia="宋体" w:cs="宋体"/>
          <w:color w:val="auto"/>
          <w:kern w:val="2"/>
          <w:sz w:val="24"/>
          <w:szCs w:val="24"/>
          <w:highlight w:val="none"/>
          <w:lang w:val="en-US" w:eastAsia="zh-CN" w:bidi="ar"/>
        </w:rPr>
        <w:t>“售后服务方案”</w:t>
      </w:r>
      <w:r>
        <w:rPr>
          <w:rFonts w:hint="eastAsia" w:ascii="宋体" w:hAnsi="宋体" w:eastAsia="宋体" w:cs="宋体"/>
          <w:color w:val="auto"/>
          <w:spacing w:val="4"/>
          <w:kern w:val="2"/>
          <w:sz w:val="24"/>
          <w:szCs w:val="24"/>
          <w:highlight w:val="none"/>
          <w:lang w:val="en-US" w:eastAsia="zh-CN" w:bidi="ar"/>
        </w:rPr>
        <w:t>等方面进行评审并按</w:t>
      </w:r>
      <w:r>
        <w:rPr>
          <w:rFonts w:hint="eastAsia" w:asciiTheme="minorEastAsia" w:hAnsiTheme="minorEastAsia" w:eastAsiaTheme="minorEastAsia" w:cstheme="minorEastAsia"/>
          <w:color w:val="auto"/>
          <w:spacing w:val="4"/>
          <w:kern w:val="2"/>
          <w:sz w:val="24"/>
          <w:szCs w:val="24"/>
          <w:highlight w:val="none"/>
          <w:lang w:val="en-US" w:eastAsia="zh-CN" w:bidi="ar"/>
        </w:rPr>
        <w:t>照评标因素及权重分值表进行赋分。</w:t>
      </w:r>
    </w:p>
    <w:tbl>
      <w:tblPr>
        <w:tblStyle w:val="208"/>
        <w:tblpPr w:leftFromText="180" w:rightFromText="180" w:vertAnchor="text" w:horzAnchor="page" w:tblpX="1293" w:tblpY="64"/>
        <w:tblOverlap w:val="never"/>
        <w:tblW w:w="94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64"/>
        <w:gridCol w:w="7996"/>
      </w:tblGrid>
      <w:tr w14:paraId="231E8F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0" w:hRule="atLeast"/>
        </w:trPr>
        <w:tc>
          <w:tcPr>
            <w:tcW w:w="1464" w:type="dxa"/>
            <w:vAlign w:val="center"/>
          </w:tcPr>
          <w:p w14:paraId="2E87DE9E">
            <w:pPr>
              <w:bidi w:val="0"/>
              <w:spacing w:line="360" w:lineRule="auto"/>
              <w:jc w:val="center"/>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评审内容</w:t>
            </w:r>
          </w:p>
        </w:tc>
        <w:tc>
          <w:tcPr>
            <w:tcW w:w="7996" w:type="dxa"/>
            <w:vAlign w:val="center"/>
          </w:tcPr>
          <w:p w14:paraId="0F047303">
            <w:pPr>
              <w:bidi w:val="0"/>
              <w:spacing w:line="360" w:lineRule="auto"/>
              <w:jc w:val="center"/>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b/>
                <w:bCs/>
                <w:snapToGrid w:val="0"/>
                <w:color w:val="000000"/>
                <w:sz w:val="24"/>
                <w:szCs w:val="24"/>
              </w:rPr>
              <w:t>评审细则</w:t>
            </w:r>
          </w:p>
        </w:tc>
      </w:tr>
      <w:tr w14:paraId="392576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6" w:hRule="atLeast"/>
        </w:trPr>
        <w:tc>
          <w:tcPr>
            <w:tcW w:w="1464" w:type="dxa"/>
            <w:vAlign w:val="center"/>
          </w:tcPr>
          <w:p w14:paraId="40B77BF8">
            <w:pPr>
              <w:bidi w:val="0"/>
              <w:spacing w:line="360" w:lineRule="auto"/>
              <w:jc w:val="center"/>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lang w:val="en-US" w:eastAsia="zh-CN"/>
              </w:rPr>
              <w:t>投</w:t>
            </w:r>
            <w:r>
              <w:rPr>
                <w:rFonts w:hint="eastAsia" w:asciiTheme="minorEastAsia" w:hAnsiTheme="minorEastAsia" w:eastAsiaTheme="minorEastAsia" w:cstheme="minorEastAsia"/>
                <w:b/>
                <w:bCs/>
                <w:snapToGrid w:val="0"/>
                <w:color w:val="000000"/>
                <w:sz w:val="24"/>
                <w:szCs w:val="24"/>
              </w:rPr>
              <w:t>标报价</w:t>
            </w:r>
          </w:p>
          <w:p w14:paraId="1339FB33">
            <w:pPr>
              <w:bidi w:val="0"/>
              <w:spacing w:line="360" w:lineRule="auto"/>
              <w:jc w:val="center"/>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（30分）</w:t>
            </w:r>
          </w:p>
        </w:tc>
        <w:tc>
          <w:tcPr>
            <w:tcW w:w="7996" w:type="dxa"/>
            <w:vAlign w:val="center"/>
          </w:tcPr>
          <w:p w14:paraId="75D1B01C">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价格评分满分为30分，以实质性满足招标文件商务和技术要求的最低投标价格为基准值，投标报价得分=（评标基准价/投标报价）×30</w:t>
            </w:r>
          </w:p>
          <w:p w14:paraId="0A49AC01">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备注：计算分数时四舍五入取小数点后两位。</w:t>
            </w:r>
          </w:p>
          <w:p w14:paraId="4DB9CB93">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tc>
      </w:tr>
      <w:tr w14:paraId="70718C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464" w:type="dxa"/>
            <w:shd w:val="clear" w:color="auto" w:fill="auto"/>
            <w:vAlign w:val="center"/>
          </w:tcPr>
          <w:p w14:paraId="73403009">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技术指标评审（1</w:t>
            </w:r>
            <w:r>
              <w:rPr>
                <w:rFonts w:hint="eastAsia" w:asciiTheme="minorEastAsia" w:hAnsiTheme="minorEastAsia" w:cstheme="minorEastAsia"/>
                <w:b/>
                <w:bCs/>
                <w:snapToGrid w:val="0"/>
                <w:color w:val="000000"/>
                <w:sz w:val="24"/>
                <w:szCs w:val="24"/>
                <w:lang w:val="en-US" w:eastAsia="zh-CN"/>
              </w:rPr>
              <w:t>9</w:t>
            </w:r>
            <w:r>
              <w:rPr>
                <w:rFonts w:hint="eastAsia" w:asciiTheme="minorEastAsia" w:hAnsiTheme="minorEastAsia" w:eastAsiaTheme="minorEastAsia" w:cstheme="minorEastAsia"/>
                <w:b/>
                <w:bCs/>
                <w:snapToGrid w:val="0"/>
                <w:color w:val="000000"/>
                <w:sz w:val="24"/>
                <w:szCs w:val="24"/>
                <w:lang w:val="en-US" w:eastAsia="zh-CN"/>
              </w:rPr>
              <w:t>分）</w:t>
            </w:r>
          </w:p>
        </w:tc>
        <w:tc>
          <w:tcPr>
            <w:tcW w:w="7996" w:type="dxa"/>
            <w:shd w:val="clear" w:color="auto" w:fill="auto"/>
            <w:vAlign w:val="center"/>
          </w:tcPr>
          <w:p w14:paraId="52C000D2">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投标人所投标产品</w:t>
            </w:r>
            <w:r>
              <w:rPr>
                <w:rFonts w:hint="eastAsia" w:ascii="宋体" w:hAnsi="宋体" w:cs="宋体"/>
                <w:snapToGrid w:val="0"/>
                <w:color w:val="000000"/>
                <w:kern w:val="0"/>
                <w:sz w:val="24"/>
                <w:szCs w:val="24"/>
                <w:lang w:bidi="ar"/>
              </w:rPr>
              <w:t>技术参数清晰</w:t>
            </w:r>
            <w:r>
              <w:rPr>
                <w:rFonts w:hint="eastAsia" w:ascii="宋体" w:hAnsi="宋体" w:cs="宋体"/>
                <w:snapToGrid w:val="0"/>
                <w:color w:val="auto"/>
                <w:kern w:val="0"/>
                <w:sz w:val="24"/>
                <w:szCs w:val="24"/>
                <w:lang w:bidi="ar"/>
              </w:rPr>
              <w:t>明确</w:t>
            </w:r>
            <w:r>
              <w:rPr>
                <w:rFonts w:hint="eastAsia" w:ascii="宋体" w:hAnsi="宋体" w:cs="宋体"/>
                <w:snapToGrid w:val="0"/>
                <w:color w:val="auto"/>
                <w:kern w:val="0"/>
                <w:sz w:val="24"/>
                <w:szCs w:val="24"/>
                <w:lang w:eastAsia="zh-CN" w:bidi="ar"/>
              </w:rPr>
              <w:t>，</w:t>
            </w:r>
            <w:r>
              <w:rPr>
                <w:rFonts w:hint="eastAsia" w:ascii="宋体" w:hAnsi="宋体" w:cs="宋体"/>
                <w:snapToGrid w:val="0"/>
                <w:color w:val="auto"/>
                <w:kern w:val="0"/>
                <w:sz w:val="24"/>
                <w:szCs w:val="24"/>
                <w:lang w:val="en-US" w:eastAsia="zh-CN" w:bidi="ar"/>
              </w:rPr>
              <w:t>UPS系统具有</w:t>
            </w:r>
            <w:r>
              <w:rPr>
                <w:rFonts w:hint="eastAsia" w:ascii="宋体" w:hAnsi="宋体" w:eastAsia="宋体" w:cs="宋体"/>
                <w:snapToGrid w:val="0"/>
                <w:color w:val="auto"/>
                <w:kern w:val="0"/>
                <w:sz w:val="24"/>
                <w:szCs w:val="24"/>
                <w:lang w:val="en-US" w:eastAsia="zh-CN" w:bidi="ar"/>
              </w:rPr>
              <w:t>高可靠性、高可用性、稳定性、高效率、可扩容性，</w:t>
            </w:r>
            <w:r>
              <w:rPr>
                <w:rFonts w:hint="eastAsia" w:ascii="宋体" w:hAnsi="宋体" w:cs="宋体"/>
                <w:snapToGrid w:val="0"/>
                <w:color w:val="auto"/>
                <w:kern w:val="0"/>
                <w:sz w:val="24"/>
                <w:szCs w:val="24"/>
                <w:lang w:bidi="ar"/>
              </w:rPr>
              <w:t>满足使用要求，</w:t>
            </w:r>
            <w:r>
              <w:rPr>
                <w:rFonts w:hint="eastAsia" w:ascii="宋体" w:hAnsi="宋体" w:cs="宋体"/>
                <w:snapToGrid w:val="0"/>
                <w:color w:val="000000"/>
                <w:kern w:val="0"/>
                <w:sz w:val="24"/>
                <w:szCs w:val="24"/>
                <w:lang w:bidi="ar"/>
              </w:rPr>
              <w:t>技术指标和性能优于或</w:t>
            </w:r>
            <w:r>
              <w:rPr>
                <w:rFonts w:hint="eastAsia" w:asciiTheme="minorEastAsia" w:hAnsiTheme="minorEastAsia" w:eastAsiaTheme="minorEastAsia" w:cstheme="minorEastAsia"/>
                <w:snapToGrid w:val="0"/>
                <w:color w:val="000000"/>
                <w:sz w:val="24"/>
                <w:szCs w:val="24"/>
              </w:rPr>
              <w:t>完全满足招标文件技术参数要求</w:t>
            </w:r>
            <w:r>
              <w:rPr>
                <w:rFonts w:hint="eastAsia" w:asciiTheme="minorEastAsia" w:hAnsiTheme="minorEastAsia" w:cstheme="minorEastAsia"/>
                <w:snapToGrid w:val="0"/>
                <w:color w:val="000000"/>
                <w:sz w:val="24"/>
                <w:szCs w:val="24"/>
                <w:lang w:eastAsia="zh-CN"/>
              </w:rPr>
              <w:t>，</w:t>
            </w:r>
            <w:r>
              <w:rPr>
                <w:rFonts w:hint="eastAsia" w:ascii="宋体" w:hAnsi="宋体" w:cs="宋体"/>
                <w:snapToGrid w:val="0"/>
                <w:color w:val="000000"/>
                <w:kern w:val="0"/>
                <w:sz w:val="24"/>
                <w:szCs w:val="24"/>
                <w:lang w:bidi="ar"/>
              </w:rPr>
              <w:t>没有负偏离</w:t>
            </w:r>
            <w:r>
              <w:rPr>
                <w:rStyle w:val="209"/>
                <w:rFonts w:hAnsi="宋体"/>
                <w:snapToGrid w:val="0"/>
                <w:color w:val="000000"/>
                <w:szCs w:val="24"/>
              </w:rPr>
              <w:t>计</w:t>
            </w:r>
            <w:r>
              <w:rPr>
                <w:rFonts w:hint="eastAsia" w:ascii="宋体" w:hAnsi="宋体" w:cs="宋体"/>
                <w:snapToGrid w:val="0"/>
                <w:color w:val="000000"/>
                <w:kern w:val="0"/>
                <w:sz w:val="24"/>
                <w:szCs w:val="24"/>
                <w:lang w:val="en-US" w:eastAsia="zh-CN" w:bidi="ar"/>
              </w:rPr>
              <w:t>5</w:t>
            </w:r>
            <w:r>
              <w:rPr>
                <w:rFonts w:hint="eastAsia" w:ascii="宋体" w:hAnsi="宋体" w:cs="宋体"/>
                <w:snapToGrid w:val="0"/>
                <w:color w:val="000000"/>
                <w:kern w:val="0"/>
                <w:sz w:val="24"/>
                <w:szCs w:val="24"/>
                <w:lang w:bidi="ar"/>
              </w:rPr>
              <w:t>分。</w:t>
            </w:r>
          </w:p>
          <w:p w14:paraId="05026684">
            <w:pPr>
              <w:bidi w:val="0"/>
              <w:spacing w:line="360" w:lineRule="auto"/>
              <w:ind w:firstLine="480" w:firstLineChars="200"/>
              <w:rPr>
                <w:rFonts w:hint="eastAsia" w:asciiTheme="minorEastAsia" w:hAnsiTheme="minorEastAsia" w:eastAsiaTheme="minorEastAsia" w:cstheme="minorEastAsia"/>
                <w:snapToGrid w:val="0"/>
                <w:color w:val="auto"/>
                <w:sz w:val="24"/>
                <w:szCs w:val="24"/>
                <w:lang w:val="en-US" w:eastAsia="zh-CN"/>
              </w:rPr>
            </w:pPr>
            <w:r>
              <w:rPr>
                <w:rFonts w:hint="eastAsia" w:asciiTheme="minorEastAsia" w:hAnsiTheme="minorEastAsia" w:eastAsiaTheme="minorEastAsia" w:cstheme="minorEastAsia"/>
                <w:snapToGrid w:val="0"/>
                <w:color w:val="auto"/>
                <w:sz w:val="24"/>
                <w:szCs w:val="24"/>
              </w:rPr>
              <w:t>参数中</w:t>
            </w:r>
            <w:r>
              <w:rPr>
                <w:rFonts w:hint="eastAsia" w:asciiTheme="minorEastAsia" w:hAnsiTheme="minorEastAsia" w:eastAsiaTheme="minorEastAsia" w:cstheme="minorEastAsia"/>
                <w:snapToGrid w:val="0"/>
                <w:color w:val="auto"/>
                <w:sz w:val="24"/>
                <w:szCs w:val="24"/>
                <w:lang w:eastAsia="zh-CN"/>
              </w:rPr>
              <w:t>“</w:t>
            </w:r>
            <w:r>
              <w:rPr>
                <w:rFonts w:hint="eastAsia" w:asciiTheme="minorEastAsia" w:hAnsiTheme="minorEastAsia" w:eastAsiaTheme="minorEastAsia" w:cstheme="minorEastAsia"/>
                <w:i w:val="0"/>
                <w:iCs w:val="0"/>
                <w:snapToGrid w:val="0"/>
                <w:color w:val="auto"/>
                <w:kern w:val="0"/>
                <w:sz w:val="24"/>
                <w:szCs w:val="24"/>
                <w:u w:val="none"/>
                <w:lang w:val="en-US" w:eastAsia="zh-CN" w:bidi="ar"/>
              </w:rPr>
              <w:t>★</w:t>
            </w:r>
            <w:r>
              <w:rPr>
                <w:rFonts w:hint="eastAsia" w:asciiTheme="minorEastAsia" w:hAnsiTheme="minorEastAsia" w:eastAsiaTheme="minorEastAsia" w:cstheme="minorEastAsia"/>
                <w:snapToGrid w:val="0"/>
                <w:color w:val="auto"/>
                <w:sz w:val="24"/>
                <w:szCs w:val="24"/>
                <w:lang w:eastAsia="zh-CN"/>
              </w:rPr>
              <w:t>”</w:t>
            </w:r>
            <w:r>
              <w:rPr>
                <w:rFonts w:hint="eastAsia" w:asciiTheme="minorEastAsia" w:hAnsiTheme="minorEastAsia" w:eastAsiaTheme="minorEastAsia" w:cstheme="minorEastAsia"/>
                <w:snapToGrid w:val="0"/>
                <w:color w:val="auto"/>
                <w:sz w:val="24"/>
                <w:szCs w:val="24"/>
                <w:lang w:val="en-US" w:eastAsia="zh-CN"/>
              </w:rPr>
              <w:t>项为重要指标，</w:t>
            </w:r>
            <w:r>
              <w:rPr>
                <w:rFonts w:hint="eastAsia" w:asciiTheme="minorEastAsia" w:hAnsiTheme="minorEastAsia" w:eastAsiaTheme="minorEastAsia" w:cstheme="minorEastAsia"/>
                <w:snapToGrid w:val="0"/>
                <w:color w:val="auto"/>
                <w:sz w:val="24"/>
                <w:szCs w:val="24"/>
              </w:rPr>
              <w:t>每有一条技术</w:t>
            </w:r>
            <w:r>
              <w:rPr>
                <w:rFonts w:hint="eastAsia" w:asciiTheme="minorEastAsia" w:hAnsiTheme="minorEastAsia" w:eastAsiaTheme="minorEastAsia" w:cstheme="minorEastAsia"/>
                <w:snapToGrid w:val="0"/>
                <w:color w:val="auto"/>
                <w:sz w:val="24"/>
                <w:szCs w:val="24"/>
                <w:lang w:val="en-US" w:eastAsia="zh-CN"/>
              </w:rPr>
              <w:t>指标提供</w:t>
            </w:r>
            <w:r>
              <w:rPr>
                <w:rFonts w:hint="eastAsia" w:asciiTheme="minorEastAsia" w:hAnsiTheme="minorEastAsia" w:eastAsiaTheme="minorEastAsia" w:cstheme="minorEastAsia"/>
                <w:snapToGrid w:val="0"/>
                <w:color w:val="auto"/>
                <w:sz w:val="24"/>
                <w:szCs w:val="24"/>
              </w:rPr>
              <w:t>佐证</w:t>
            </w:r>
            <w:r>
              <w:rPr>
                <w:rFonts w:hint="eastAsia" w:asciiTheme="minorEastAsia" w:hAnsiTheme="minorEastAsia" w:eastAsiaTheme="minorEastAsia" w:cstheme="minorEastAsia"/>
                <w:snapToGrid w:val="0"/>
                <w:color w:val="auto"/>
                <w:sz w:val="24"/>
                <w:szCs w:val="24"/>
                <w:lang w:val="en-US" w:eastAsia="zh-CN"/>
              </w:rPr>
              <w:t>材料</w:t>
            </w:r>
            <w:r>
              <w:rPr>
                <w:rFonts w:hint="eastAsia" w:asciiTheme="minorEastAsia" w:hAnsiTheme="minorEastAsia" w:eastAsiaTheme="minorEastAsia" w:cstheme="minorEastAsia"/>
                <w:snapToGrid w:val="0"/>
                <w:color w:val="auto"/>
                <w:sz w:val="24"/>
                <w:szCs w:val="24"/>
              </w:rPr>
              <w:t>的计</w:t>
            </w:r>
            <w:r>
              <w:rPr>
                <w:rFonts w:hint="eastAsia" w:asciiTheme="minorEastAsia" w:hAnsiTheme="minorEastAsia" w:cstheme="minorEastAsia"/>
                <w:snapToGrid w:val="0"/>
                <w:color w:val="auto"/>
                <w:sz w:val="24"/>
                <w:szCs w:val="24"/>
                <w:lang w:val="en-US" w:eastAsia="zh-CN"/>
              </w:rPr>
              <w:t>0.3</w:t>
            </w:r>
            <w:r>
              <w:rPr>
                <w:rFonts w:hint="eastAsia" w:asciiTheme="minorEastAsia" w:hAnsiTheme="minorEastAsia" w:eastAsiaTheme="minorEastAsia" w:cstheme="minorEastAsia"/>
                <w:snapToGrid w:val="0"/>
                <w:color w:val="auto"/>
                <w:sz w:val="24"/>
                <w:szCs w:val="24"/>
              </w:rPr>
              <w:t>分，累计不超过</w:t>
            </w:r>
            <w:r>
              <w:rPr>
                <w:rFonts w:hint="eastAsia" w:asciiTheme="minorEastAsia" w:hAnsiTheme="minorEastAsia" w:cstheme="minorEastAsia"/>
                <w:snapToGrid w:val="0"/>
                <w:color w:val="auto"/>
                <w:sz w:val="24"/>
                <w:szCs w:val="24"/>
                <w:lang w:val="en-US" w:eastAsia="zh-CN"/>
              </w:rPr>
              <w:t>14</w:t>
            </w:r>
            <w:r>
              <w:rPr>
                <w:rFonts w:hint="eastAsia" w:asciiTheme="minorEastAsia" w:hAnsiTheme="minorEastAsia" w:eastAsiaTheme="minorEastAsia" w:cstheme="minorEastAsia"/>
                <w:snapToGrid w:val="0"/>
                <w:color w:val="auto"/>
                <w:sz w:val="24"/>
                <w:szCs w:val="24"/>
              </w:rPr>
              <w:t>分</w:t>
            </w:r>
            <w:r>
              <w:rPr>
                <w:rFonts w:hint="eastAsia" w:asciiTheme="minorEastAsia" w:hAnsiTheme="minorEastAsia" w:eastAsiaTheme="minorEastAsia" w:cstheme="minorEastAsia"/>
                <w:snapToGrid w:val="0"/>
                <w:color w:val="auto"/>
                <w:sz w:val="24"/>
                <w:szCs w:val="24"/>
                <w:lang w:eastAsia="zh-CN"/>
              </w:rPr>
              <w:t>；</w:t>
            </w:r>
          </w:p>
          <w:p w14:paraId="4F599452">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注：</w:t>
            </w:r>
            <w:r>
              <w:rPr>
                <w:rFonts w:hint="eastAsia" w:ascii="宋体" w:hAnsi="宋体" w:cs="宋体"/>
                <w:snapToGrid w:val="0"/>
                <w:color w:val="000000"/>
                <w:kern w:val="0"/>
                <w:sz w:val="24"/>
                <w:szCs w:val="24"/>
                <w:lang w:bidi="ar"/>
              </w:rPr>
              <w:t>对于需要验证的参数，必须提供与产品对应的功能及性能佐证材料。佐证材料包括但不限于产品检测报告、产品彩页、产品说明书、官网和功能截图等，并加盖投标人鲜章，</w:t>
            </w:r>
            <w:r>
              <w:rPr>
                <w:rFonts w:hint="eastAsia" w:asciiTheme="minorEastAsia" w:hAnsiTheme="minorEastAsia" w:eastAsiaTheme="minorEastAsia" w:cstheme="minorEastAsia"/>
                <w:snapToGrid w:val="0"/>
                <w:color w:val="000000"/>
                <w:sz w:val="24"/>
                <w:szCs w:val="24"/>
              </w:rPr>
              <w:t>予以证明其技术参数的响应性。</w:t>
            </w:r>
          </w:p>
        </w:tc>
      </w:tr>
      <w:tr w14:paraId="0B6324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464" w:type="dxa"/>
            <w:vAlign w:val="center"/>
          </w:tcPr>
          <w:p w14:paraId="180A39A0">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cstheme="minorEastAsia"/>
                <w:b/>
                <w:bCs/>
                <w:snapToGrid w:val="0"/>
                <w:color w:val="000000"/>
                <w:sz w:val="24"/>
                <w:szCs w:val="24"/>
                <w:lang w:val="en-US" w:eastAsia="zh-CN"/>
              </w:rPr>
              <w:t>实施</w:t>
            </w:r>
            <w:r>
              <w:rPr>
                <w:rFonts w:hint="eastAsia" w:asciiTheme="minorEastAsia" w:hAnsiTheme="minorEastAsia" w:eastAsiaTheme="minorEastAsia" w:cstheme="minorEastAsia"/>
                <w:b/>
                <w:bCs/>
                <w:snapToGrid w:val="0"/>
                <w:color w:val="000000"/>
                <w:sz w:val="24"/>
                <w:szCs w:val="24"/>
                <w:lang w:val="en-US" w:eastAsia="zh-CN"/>
              </w:rPr>
              <w:t>方案</w:t>
            </w:r>
          </w:p>
          <w:p w14:paraId="0CD8440D">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w:t>
            </w:r>
            <w:r>
              <w:rPr>
                <w:rFonts w:hint="eastAsia" w:asciiTheme="minorEastAsia" w:hAnsiTheme="minorEastAsia" w:cstheme="minorEastAsia"/>
                <w:b/>
                <w:bCs/>
                <w:snapToGrid w:val="0"/>
                <w:color w:val="000000"/>
                <w:sz w:val="24"/>
                <w:szCs w:val="24"/>
                <w:lang w:val="en-US" w:eastAsia="zh-CN"/>
              </w:rPr>
              <w:t>9</w:t>
            </w:r>
            <w:r>
              <w:rPr>
                <w:rFonts w:hint="eastAsia" w:asciiTheme="minorEastAsia" w:hAnsiTheme="minorEastAsia" w:eastAsiaTheme="minorEastAsia" w:cstheme="minorEastAsia"/>
                <w:b/>
                <w:bCs/>
                <w:snapToGrid w:val="0"/>
                <w:color w:val="000000"/>
                <w:sz w:val="24"/>
                <w:szCs w:val="24"/>
                <w:lang w:val="en-US" w:eastAsia="zh-CN"/>
              </w:rPr>
              <w:t>分）</w:t>
            </w:r>
          </w:p>
        </w:tc>
        <w:tc>
          <w:tcPr>
            <w:tcW w:w="7996" w:type="dxa"/>
            <w:vAlign w:val="center"/>
          </w:tcPr>
          <w:p w14:paraId="2363AA0F">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一、评审内容</w:t>
            </w:r>
          </w:p>
          <w:p w14:paraId="12B5159E">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投标人针对本项目提供的</w:t>
            </w:r>
            <w:r>
              <w:rPr>
                <w:rFonts w:hint="eastAsia" w:asciiTheme="minorEastAsia" w:hAnsiTheme="minorEastAsia" w:cstheme="minorEastAsia"/>
                <w:snapToGrid w:val="0"/>
                <w:color w:val="000000"/>
                <w:sz w:val="24"/>
                <w:szCs w:val="24"/>
                <w:lang w:val="en-US" w:eastAsia="zh-CN"/>
              </w:rPr>
              <w:t>技术方案描述清晰，设备组成完整，选型合理、功能描述详细，有使用经验，从而实</w:t>
            </w:r>
            <w:r>
              <w:rPr>
                <w:rFonts w:hint="eastAsia" w:asciiTheme="minorEastAsia" w:hAnsiTheme="minorEastAsia" w:eastAsiaTheme="minorEastAsia" w:cstheme="minorEastAsia"/>
                <w:snapToGrid w:val="0"/>
                <w:color w:val="000000"/>
                <w:sz w:val="24"/>
                <w:szCs w:val="24"/>
              </w:rPr>
              <w:t>现保质保量按期供货、完工。方案包含①供货及物流运输②安装及调试③</w:t>
            </w:r>
            <w:r>
              <w:rPr>
                <w:rFonts w:hint="eastAsia" w:asciiTheme="minorEastAsia" w:hAnsiTheme="minorEastAsia" w:eastAsiaTheme="minorEastAsia" w:cstheme="minorEastAsia"/>
                <w:snapToGrid w:val="0"/>
                <w:color w:val="000000"/>
                <w:sz w:val="24"/>
                <w:szCs w:val="24"/>
                <w:lang w:val="en-US" w:eastAsia="zh-CN"/>
              </w:rPr>
              <w:t>进度保证</w:t>
            </w:r>
            <w:r>
              <w:rPr>
                <w:rFonts w:hint="eastAsia" w:asciiTheme="minorEastAsia" w:hAnsiTheme="minorEastAsia" w:eastAsiaTheme="minorEastAsia" w:cstheme="minorEastAsia"/>
                <w:snapToGrid w:val="0"/>
                <w:color w:val="000000"/>
                <w:sz w:val="24"/>
                <w:szCs w:val="24"/>
              </w:rPr>
              <w:t>措施。</w:t>
            </w:r>
          </w:p>
          <w:p w14:paraId="4EB08C96">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二、评审标准</w:t>
            </w:r>
          </w:p>
          <w:p w14:paraId="143BE3D4">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1、方案须全面</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lang w:val="en-US" w:eastAsia="zh-CN"/>
              </w:rPr>
              <w:t>完整</w:t>
            </w:r>
            <w:r>
              <w:rPr>
                <w:rFonts w:hint="eastAsia" w:asciiTheme="minorEastAsia" w:hAnsiTheme="minorEastAsia" w:eastAsiaTheme="minorEastAsia" w:cstheme="minorEastAsia"/>
                <w:snapToGrid w:val="0"/>
                <w:color w:val="000000"/>
                <w:sz w:val="24"/>
                <w:szCs w:val="24"/>
              </w:rPr>
              <w:t>，对评审内容中的各项要求有详细描述；</w:t>
            </w:r>
          </w:p>
          <w:p w14:paraId="115CC96A">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2、方案能够紧扣</w:t>
            </w:r>
            <w:r>
              <w:rPr>
                <w:rFonts w:hint="eastAsia" w:asciiTheme="minorEastAsia" w:hAnsiTheme="minorEastAsia" w:eastAsiaTheme="minorEastAsia" w:cstheme="minorEastAsia"/>
                <w:snapToGrid w:val="0"/>
                <w:color w:val="000000"/>
                <w:sz w:val="24"/>
                <w:szCs w:val="24"/>
                <w:lang w:val="en-US" w:eastAsia="zh-CN"/>
              </w:rPr>
              <w:t>本</w:t>
            </w:r>
            <w:r>
              <w:rPr>
                <w:rFonts w:hint="eastAsia" w:asciiTheme="minorEastAsia" w:hAnsiTheme="minorEastAsia" w:eastAsiaTheme="minorEastAsia" w:cstheme="minorEastAsia"/>
                <w:snapToGrid w:val="0"/>
                <w:color w:val="000000"/>
                <w:sz w:val="24"/>
                <w:szCs w:val="24"/>
              </w:rPr>
              <w:t>项目实际情况，</w:t>
            </w:r>
            <w:r>
              <w:rPr>
                <w:rFonts w:hint="eastAsia" w:asciiTheme="minorEastAsia" w:hAnsiTheme="minorEastAsia" w:eastAsiaTheme="minorEastAsia" w:cstheme="minorEastAsia"/>
                <w:snapToGrid w:val="0"/>
                <w:color w:val="000000"/>
                <w:sz w:val="24"/>
                <w:szCs w:val="24"/>
                <w:lang w:val="en-US" w:eastAsia="zh-CN"/>
              </w:rPr>
              <w:t>针对本项目</w:t>
            </w:r>
            <w:r>
              <w:rPr>
                <w:rFonts w:hint="eastAsia" w:asciiTheme="minorEastAsia" w:hAnsiTheme="minorEastAsia" w:eastAsiaTheme="minorEastAsia" w:cstheme="minorEastAsia"/>
                <w:snapToGrid w:val="0"/>
                <w:color w:val="000000"/>
                <w:sz w:val="24"/>
                <w:szCs w:val="24"/>
              </w:rPr>
              <w:t>内容</w:t>
            </w:r>
            <w:r>
              <w:rPr>
                <w:rFonts w:hint="eastAsia" w:asciiTheme="minorEastAsia" w:hAnsiTheme="minorEastAsia" w:eastAsiaTheme="minorEastAsia" w:cstheme="minorEastAsia"/>
                <w:snapToGrid w:val="0"/>
                <w:color w:val="000000"/>
                <w:sz w:val="24"/>
                <w:szCs w:val="24"/>
                <w:lang w:val="en-US" w:eastAsia="zh-CN"/>
              </w:rPr>
              <w:t>编写</w:t>
            </w:r>
            <w:r>
              <w:rPr>
                <w:rFonts w:hint="eastAsia" w:asciiTheme="minorEastAsia" w:hAnsiTheme="minorEastAsia" w:eastAsiaTheme="minorEastAsia" w:cstheme="minorEastAsia"/>
                <w:snapToGrid w:val="0"/>
                <w:color w:val="000000"/>
                <w:sz w:val="24"/>
                <w:szCs w:val="24"/>
              </w:rPr>
              <w:t>。</w:t>
            </w:r>
          </w:p>
          <w:p w14:paraId="59820B94">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三、赋分依据（满分</w:t>
            </w:r>
            <w:r>
              <w:rPr>
                <w:rFonts w:hint="eastAsia" w:asciiTheme="minorEastAsia" w:hAnsiTheme="minorEastAsia" w:cstheme="minorEastAsia"/>
                <w:b/>
                <w:bCs/>
                <w:snapToGrid w:val="0"/>
                <w:color w:val="000000"/>
                <w:sz w:val="24"/>
                <w:szCs w:val="24"/>
                <w:lang w:val="en-US" w:eastAsia="zh-CN"/>
              </w:rPr>
              <w:t>9</w:t>
            </w:r>
            <w:r>
              <w:rPr>
                <w:rFonts w:hint="eastAsia" w:asciiTheme="minorEastAsia" w:hAnsiTheme="minorEastAsia" w:eastAsiaTheme="minorEastAsia" w:cstheme="minorEastAsia"/>
                <w:b/>
                <w:bCs/>
                <w:snapToGrid w:val="0"/>
                <w:color w:val="000000"/>
                <w:sz w:val="24"/>
                <w:szCs w:val="24"/>
              </w:rPr>
              <w:t>分）</w:t>
            </w:r>
          </w:p>
          <w:p w14:paraId="2E47D347">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①供货及物流运输：每完全满足一个评审标准得</w:t>
            </w:r>
            <w:r>
              <w:rPr>
                <w:rFonts w:hint="eastAsia" w:asciiTheme="minorEastAsia" w:hAnsiTheme="minorEastAsia" w:cstheme="minorEastAsia"/>
                <w:snapToGrid w:val="0"/>
                <w:color w:val="000000"/>
                <w:sz w:val="24"/>
                <w:szCs w:val="24"/>
                <w:lang w:val="en-US" w:eastAsia="zh-CN"/>
              </w:rPr>
              <w:t>1.5</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3</w:t>
            </w:r>
            <w:r>
              <w:rPr>
                <w:rFonts w:hint="eastAsia" w:asciiTheme="minorEastAsia" w:hAnsiTheme="minorEastAsia" w:eastAsiaTheme="minorEastAsia" w:cstheme="minorEastAsia"/>
                <w:snapToGrid w:val="0"/>
                <w:color w:val="000000"/>
                <w:sz w:val="24"/>
                <w:szCs w:val="24"/>
              </w:rPr>
              <w:t>分；</w:t>
            </w:r>
          </w:p>
          <w:p w14:paraId="52D318C7">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②安装及调试:每完全满足一个评审标准得</w:t>
            </w:r>
            <w:r>
              <w:rPr>
                <w:rFonts w:hint="eastAsia" w:asciiTheme="minorEastAsia" w:hAnsiTheme="minorEastAsia" w:cstheme="minorEastAsia"/>
                <w:snapToGrid w:val="0"/>
                <w:color w:val="000000"/>
                <w:sz w:val="24"/>
                <w:szCs w:val="24"/>
                <w:lang w:val="en-US" w:eastAsia="zh-CN"/>
              </w:rPr>
              <w:t>1.5</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3</w:t>
            </w:r>
            <w:r>
              <w:rPr>
                <w:rFonts w:hint="eastAsia" w:asciiTheme="minorEastAsia" w:hAnsiTheme="minorEastAsia" w:eastAsiaTheme="minorEastAsia" w:cstheme="minorEastAsia"/>
                <w:snapToGrid w:val="0"/>
                <w:color w:val="000000"/>
                <w:sz w:val="24"/>
                <w:szCs w:val="24"/>
              </w:rPr>
              <w:t>分；</w:t>
            </w:r>
          </w:p>
          <w:p w14:paraId="430F4843">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③</w:t>
            </w:r>
            <w:r>
              <w:rPr>
                <w:rFonts w:hint="eastAsia" w:asciiTheme="minorEastAsia" w:hAnsiTheme="minorEastAsia" w:eastAsiaTheme="minorEastAsia" w:cstheme="minorEastAsia"/>
                <w:snapToGrid w:val="0"/>
                <w:color w:val="000000"/>
                <w:sz w:val="24"/>
                <w:szCs w:val="24"/>
                <w:lang w:val="en-US" w:eastAsia="zh-CN"/>
              </w:rPr>
              <w:t>进度保证</w:t>
            </w:r>
            <w:r>
              <w:rPr>
                <w:rFonts w:hint="eastAsia" w:asciiTheme="minorEastAsia" w:hAnsiTheme="minorEastAsia" w:eastAsiaTheme="minorEastAsia" w:cstheme="minorEastAsia"/>
                <w:snapToGrid w:val="0"/>
                <w:color w:val="000000"/>
                <w:sz w:val="24"/>
                <w:szCs w:val="24"/>
              </w:rPr>
              <w:t>措施：每完全满足一个评审标准得1</w:t>
            </w:r>
            <w:r>
              <w:rPr>
                <w:rFonts w:hint="eastAsia" w:asciiTheme="minorEastAsia" w:hAnsiTheme="minorEastAsia" w:eastAsiaTheme="minorEastAsia" w:cstheme="minorEastAsia"/>
                <w:snapToGrid w:val="0"/>
                <w:color w:val="000000"/>
                <w:sz w:val="24"/>
                <w:szCs w:val="24"/>
                <w:lang w:val="en-US" w:eastAsia="zh-CN"/>
              </w:rPr>
              <w:t>.5</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eastAsiaTheme="minorEastAsia" w:cstheme="minorEastAsia"/>
                <w:snapToGrid w:val="0"/>
                <w:color w:val="000000"/>
                <w:sz w:val="24"/>
                <w:szCs w:val="24"/>
                <w:lang w:val="en-US" w:eastAsia="zh-CN"/>
              </w:rPr>
              <w:t>3</w:t>
            </w:r>
            <w:r>
              <w:rPr>
                <w:rFonts w:hint="eastAsia" w:asciiTheme="minorEastAsia" w:hAnsiTheme="minorEastAsia" w:eastAsiaTheme="minorEastAsia" w:cstheme="minorEastAsia"/>
                <w:snapToGrid w:val="0"/>
                <w:color w:val="000000"/>
                <w:sz w:val="24"/>
                <w:szCs w:val="24"/>
              </w:rPr>
              <w:t>分</w:t>
            </w:r>
            <w:r>
              <w:rPr>
                <w:rFonts w:hint="eastAsia" w:asciiTheme="minorEastAsia" w:hAnsiTheme="minorEastAsia" w:eastAsiaTheme="minorEastAsia" w:cstheme="minorEastAsia"/>
                <w:snapToGrid w:val="0"/>
                <w:color w:val="000000"/>
                <w:sz w:val="24"/>
                <w:szCs w:val="24"/>
                <w:lang w:eastAsia="zh-CN"/>
              </w:rPr>
              <w:t>。</w:t>
            </w:r>
          </w:p>
        </w:tc>
      </w:tr>
      <w:tr w14:paraId="3807CD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464" w:type="dxa"/>
            <w:vAlign w:val="center"/>
          </w:tcPr>
          <w:p w14:paraId="38F91B15">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宋体" w:hAnsi="宋体" w:cs="宋体"/>
                <w:b/>
                <w:bCs/>
                <w:snapToGrid w:val="0"/>
                <w:color w:val="000000"/>
                <w:kern w:val="0"/>
                <w:sz w:val="24"/>
                <w:szCs w:val="24"/>
                <w:lang w:bidi="ar"/>
              </w:rPr>
              <w:t>施工组织方案</w:t>
            </w:r>
            <w:r>
              <w:rPr>
                <w:rFonts w:hint="eastAsia" w:ascii="宋体" w:hAnsi="宋体" w:cs="宋体"/>
                <w:b/>
                <w:bCs/>
                <w:snapToGrid w:val="0"/>
                <w:color w:val="000000"/>
                <w:kern w:val="0"/>
                <w:sz w:val="24"/>
                <w:szCs w:val="24"/>
                <w:lang w:eastAsia="zh-CN" w:bidi="ar"/>
              </w:rPr>
              <w:t>（</w:t>
            </w:r>
            <w:r>
              <w:rPr>
                <w:rFonts w:hint="eastAsia" w:ascii="宋体" w:hAnsi="宋体" w:cs="宋体"/>
                <w:b/>
                <w:bCs/>
                <w:snapToGrid w:val="0"/>
                <w:color w:val="000000"/>
                <w:kern w:val="0"/>
                <w:sz w:val="24"/>
                <w:szCs w:val="24"/>
                <w:lang w:val="en-US" w:eastAsia="zh-CN" w:bidi="ar"/>
              </w:rPr>
              <w:t>8</w:t>
            </w:r>
            <w:r>
              <w:rPr>
                <w:rFonts w:hint="eastAsia" w:ascii="宋体" w:hAnsi="宋体" w:cs="宋体"/>
                <w:b/>
                <w:bCs/>
                <w:snapToGrid w:val="0"/>
                <w:color w:val="000000"/>
                <w:kern w:val="0"/>
                <w:sz w:val="24"/>
                <w:szCs w:val="24"/>
                <w:lang w:eastAsia="zh-CN" w:bidi="ar"/>
              </w:rPr>
              <w:t>）</w:t>
            </w:r>
          </w:p>
        </w:tc>
        <w:tc>
          <w:tcPr>
            <w:tcW w:w="7996" w:type="dxa"/>
            <w:vAlign w:val="center"/>
          </w:tcPr>
          <w:p w14:paraId="3C4C8075">
            <w:pPr>
              <w:numPr>
                <w:ilvl w:val="0"/>
                <w:numId w:val="16"/>
              </w:numPr>
              <w:spacing w:line="500" w:lineRule="exact"/>
              <w:ind w:firstLine="240" w:firstLineChars="100"/>
              <w:textAlignment w:val="baseline"/>
              <w:rPr>
                <w:rFonts w:hint="eastAsia" w:ascii="宋体" w:hAnsi="宋体" w:cs="宋体"/>
                <w:snapToGrid w:val="0"/>
                <w:color w:val="000000"/>
                <w:kern w:val="0"/>
                <w:sz w:val="24"/>
                <w:szCs w:val="24"/>
                <w:lang w:bidi="ar"/>
              </w:rPr>
            </w:pPr>
            <w:r>
              <w:rPr>
                <w:rFonts w:hint="eastAsia" w:ascii="宋体" w:hAnsi="宋体" w:cs="宋体"/>
                <w:snapToGrid w:val="0"/>
                <w:color w:val="000000"/>
                <w:kern w:val="0"/>
                <w:sz w:val="24"/>
                <w:szCs w:val="24"/>
                <w:lang w:bidi="ar"/>
              </w:rPr>
              <w:t>施工质量保证措施是否完善，根据完善程度计1-</w:t>
            </w:r>
            <w:r>
              <w:rPr>
                <w:rFonts w:hint="eastAsia" w:ascii="宋体" w:hAnsi="宋体" w:cs="宋体"/>
                <w:snapToGrid w:val="0"/>
                <w:color w:val="000000"/>
                <w:kern w:val="0"/>
                <w:sz w:val="24"/>
                <w:szCs w:val="24"/>
                <w:lang w:val="en-US" w:eastAsia="zh-CN" w:bidi="ar"/>
              </w:rPr>
              <w:t>2</w:t>
            </w:r>
            <w:r>
              <w:rPr>
                <w:rFonts w:hint="eastAsia" w:ascii="宋体" w:hAnsi="宋体" w:cs="宋体"/>
                <w:snapToGrid w:val="0"/>
                <w:color w:val="000000"/>
                <w:kern w:val="0"/>
                <w:sz w:val="24"/>
                <w:szCs w:val="24"/>
                <w:lang w:bidi="ar"/>
              </w:rPr>
              <w:t>分</w:t>
            </w:r>
            <w:r>
              <w:rPr>
                <w:rFonts w:hint="eastAsia" w:ascii="宋体" w:hAnsi="宋体" w:cs="宋体"/>
                <w:snapToGrid w:val="0"/>
                <w:color w:val="000000"/>
                <w:kern w:val="0"/>
                <w:sz w:val="24"/>
                <w:szCs w:val="24"/>
                <w:lang w:eastAsia="zh-CN" w:bidi="ar"/>
              </w:rPr>
              <w:t>；</w:t>
            </w:r>
            <w:r>
              <w:rPr>
                <w:rFonts w:hint="eastAsia" w:ascii="宋体" w:hAnsi="宋体" w:cs="宋体"/>
                <w:snapToGrid w:val="0"/>
                <w:color w:val="000000"/>
                <w:kern w:val="0"/>
                <w:sz w:val="24"/>
                <w:szCs w:val="24"/>
                <w:lang w:bidi="ar"/>
              </w:rPr>
              <w:br w:type="textWrapping"/>
            </w:r>
            <w:r>
              <w:rPr>
                <w:rFonts w:hint="eastAsia" w:ascii="宋体" w:hAnsi="宋体" w:cs="宋体"/>
                <w:snapToGrid w:val="0"/>
                <w:color w:val="000000"/>
                <w:kern w:val="0"/>
                <w:sz w:val="24"/>
                <w:szCs w:val="24"/>
                <w:lang w:bidi="ar"/>
              </w:rPr>
              <w:t xml:space="preserve">  2、施工进度安排及工期计划是否合理可行，根据合理程度计1-</w:t>
            </w:r>
            <w:r>
              <w:rPr>
                <w:rFonts w:hint="eastAsia" w:ascii="宋体" w:hAnsi="宋体" w:cs="宋体"/>
                <w:snapToGrid w:val="0"/>
                <w:color w:val="000000"/>
                <w:kern w:val="0"/>
                <w:sz w:val="24"/>
                <w:szCs w:val="24"/>
                <w:lang w:val="en-US" w:eastAsia="zh-CN" w:bidi="ar"/>
              </w:rPr>
              <w:t>2</w:t>
            </w:r>
            <w:r>
              <w:rPr>
                <w:rFonts w:hint="eastAsia" w:ascii="宋体" w:hAnsi="宋体" w:cs="宋体"/>
                <w:snapToGrid w:val="0"/>
                <w:color w:val="000000"/>
                <w:kern w:val="0"/>
                <w:sz w:val="24"/>
                <w:szCs w:val="24"/>
                <w:lang w:bidi="ar"/>
              </w:rPr>
              <w:t xml:space="preserve">分； </w:t>
            </w:r>
          </w:p>
          <w:p w14:paraId="1EFC152D">
            <w:pPr>
              <w:numPr>
                <w:ilvl w:val="0"/>
                <w:numId w:val="16"/>
              </w:numPr>
              <w:bidi w:val="0"/>
              <w:spacing w:line="360" w:lineRule="auto"/>
              <w:ind w:left="0" w:leftChars="0" w:firstLine="240" w:firstLineChars="100"/>
              <w:rPr>
                <w:rFonts w:hint="eastAsia" w:ascii="宋体" w:hAnsi="宋体" w:cs="宋体"/>
                <w:snapToGrid w:val="0"/>
                <w:color w:val="000000"/>
                <w:kern w:val="0"/>
                <w:sz w:val="24"/>
                <w:szCs w:val="24"/>
                <w:lang w:eastAsia="zh-CN" w:bidi="ar"/>
              </w:rPr>
            </w:pPr>
            <w:r>
              <w:rPr>
                <w:rFonts w:hint="eastAsia" w:ascii="宋体" w:hAnsi="宋体" w:cs="宋体"/>
                <w:snapToGrid w:val="0"/>
                <w:color w:val="000000"/>
                <w:kern w:val="0"/>
                <w:sz w:val="24"/>
                <w:szCs w:val="24"/>
                <w:lang w:bidi="ar"/>
              </w:rPr>
              <w:t>施工安全保证措施是否合理，根据合理程度计1-</w:t>
            </w:r>
            <w:r>
              <w:rPr>
                <w:rFonts w:hint="eastAsia" w:ascii="宋体" w:hAnsi="宋体" w:cs="宋体"/>
                <w:snapToGrid w:val="0"/>
                <w:color w:val="000000"/>
                <w:kern w:val="0"/>
                <w:sz w:val="24"/>
                <w:szCs w:val="24"/>
                <w:lang w:val="en-US" w:eastAsia="zh-CN" w:bidi="ar"/>
              </w:rPr>
              <w:t>2</w:t>
            </w:r>
            <w:r>
              <w:rPr>
                <w:rFonts w:hint="eastAsia" w:ascii="宋体" w:hAnsi="宋体" w:cs="宋体"/>
                <w:snapToGrid w:val="0"/>
                <w:color w:val="000000"/>
                <w:kern w:val="0"/>
                <w:sz w:val="24"/>
                <w:szCs w:val="24"/>
                <w:lang w:bidi="ar"/>
              </w:rPr>
              <w:t>分；</w:t>
            </w:r>
            <w:r>
              <w:rPr>
                <w:rFonts w:hint="eastAsia" w:ascii="宋体" w:hAnsi="宋体" w:cs="宋体"/>
                <w:snapToGrid w:val="0"/>
                <w:color w:val="000000"/>
                <w:kern w:val="0"/>
                <w:sz w:val="24"/>
                <w:szCs w:val="24"/>
                <w:lang w:bidi="ar"/>
              </w:rPr>
              <w:br w:type="textWrapping"/>
            </w:r>
            <w:r>
              <w:rPr>
                <w:rFonts w:hint="eastAsia" w:ascii="宋体" w:hAnsi="宋体" w:cs="宋体"/>
                <w:snapToGrid w:val="0"/>
                <w:color w:val="000000"/>
                <w:kern w:val="0"/>
                <w:sz w:val="24"/>
                <w:szCs w:val="24"/>
                <w:lang w:bidi="ar"/>
              </w:rPr>
              <w:t xml:space="preserve">  4、施工方案是否合理，根据合理程度计</w:t>
            </w:r>
            <w:r>
              <w:rPr>
                <w:rFonts w:hint="eastAsia" w:ascii="宋体" w:hAnsi="宋体" w:cs="宋体"/>
                <w:snapToGrid w:val="0"/>
                <w:color w:val="000000"/>
                <w:kern w:val="0"/>
                <w:sz w:val="24"/>
                <w:szCs w:val="24"/>
                <w:lang w:val="en-US" w:eastAsia="zh-CN" w:bidi="ar"/>
              </w:rPr>
              <w:t>1</w:t>
            </w:r>
            <w:r>
              <w:rPr>
                <w:rFonts w:hint="eastAsia" w:ascii="宋体" w:hAnsi="宋体" w:cs="宋体"/>
                <w:snapToGrid w:val="0"/>
                <w:color w:val="000000"/>
                <w:kern w:val="0"/>
                <w:sz w:val="24"/>
                <w:szCs w:val="24"/>
                <w:lang w:bidi="ar"/>
              </w:rPr>
              <w:t>-</w:t>
            </w:r>
            <w:r>
              <w:rPr>
                <w:rFonts w:hint="eastAsia" w:ascii="宋体" w:hAnsi="宋体" w:cs="宋体"/>
                <w:snapToGrid w:val="0"/>
                <w:color w:val="000000"/>
                <w:kern w:val="0"/>
                <w:sz w:val="24"/>
                <w:szCs w:val="24"/>
                <w:lang w:val="en-US" w:eastAsia="zh-CN" w:bidi="ar"/>
              </w:rPr>
              <w:t>2</w:t>
            </w:r>
            <w:r>
              <w:rPr>
                <w:rFonts w:hint="eastAsia" w:ascii="宋体" w:hAnsi="宋体" w:cs="宋体"/>
                <w:snapToGrid w:val="0"/>
                <w:color w:val="000000"/>
                <w:kern w:val="0"/>
                <w:sz w:val="24"/>
                <w:szCs w:val="24"/>
                <w:lang w:bidi="ar"/>
              </w:rPr>
              <w:t>分</w:t>
            </w:r>
            <w:r>
              <w:rPr>
                <w:rFonts w:hint="eastAsia" w:ascii="宋体" w:hAnsi="宋体" w:cs="宋体"/>
                <w:snapToGrid w:val="0"/>
                <w:color w:val="000000"/>
                <w:kern w:val="0"/>
                <w:sz w:val="24"/>
                <w:szCs w:val="24"/>
                <w:lang w:eastAsia="zh-CN" w:bidi="ar"/>
              </w:rPr>
              <w:t>。</w:t>
            </w:r>
          </w:p>
          <w:p w14:paraId="6F09E995">
            <w:pPr>
              <w:pStyle w:val="16"/>
              <w:numPr>
                <w:ilvl w:val="0"/>
                <w:numId w:val="0"/>
              </w:numPr>
              <w:ind w:leftChars="100"/>
              <w:rPr>
                <w:rFonts w:hint="default"/>
                <w:snapToGrid w:val="0"/>
                <w:color w:val="000000"/>
                <w:lang w:val="en-US" w:eastAsia="zh-CN"/>
              </w:rPr>
            </w:pPr>
            <w:r>
              <w:rPr>
                <w:rFonts w:hint="eastAsia"/>
                <w:b/>
                <w:bCs/>
                <w:snapToGrid w:val="0"/>
                <w:color w:val="000000"/>
                <w:lang w:val="en-US" w:eastAsia="zh-CN"/>
              </w:rPr>
              <w:t>注：不提供不得分</w:t>
            </w:r>
          </w:p>
        </w:tc>
      </w:tr>
      <w:tr w14:paraId="704702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1464" w:type="dxa"/>
            <w:vAlign w:val="center"/>
          </w:tcPr>
          <w:p w14:paraId="4BB9C849">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来源渠道</w:t>
            </w:r>
          </w:p>
          <w:p w14:paraId="761BBC26">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w:t>
            </w:r>
            <w:r>
              <w:rPr>
                <w:rFonts w:hint="eastAsia" w:asciiTheme="minorEastAsia" w:hAnsiTheme="minorEastAsia" w:cstheme="minorEastAsia"/>
                <w:b/>
                <w:bCs/>
                <w:snapToGrid w:val="0"/>
                <w:color w:val="000000"/>
                <w:sz w:val="24"/>
                <w:szCs w:val="24"/>
                <w:lang w:val="en-US" w:eastAsia="zh-CN"/>
              </w:rPr>
              <w:t>3</w:t>
            </w:r>
            <w:r>
              <w:rPr>
                <w:rFonts w:hint="eastAsia" w:asciiTheme="minorEastAsia" w:hAnsiTheme="minorEastAsia" w:eastAsiaTheme="minorEastAsia" w:cstheme="minorEastAsia"/>
                <w:b/>
                <w:bCs/>
                <w:snapToGrid w:val="0"/>
                <w:color w:val="000000"/>
                <w:sz w:val="24"/>
                <w:szCs w:val="24"/>
                <w:lang w:val="en-US" w:eastAsia="zh-CN"/>
              </w:rPr>
              <w:t>分）</w:t>
            </w:r>
          </w:p>
        </w:tc>
        <w:tc>
          <w:tcPr>
            <w:tcW w:w="7996" w:type="dxa"/>
            <w:vAlign w:val="center"/>
          </w:tcPr>
          <w:p w14:paraId="10DDD348">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lang w:eastAsia="zh-CN"/>
              </w:rPr>
              <w:t>根据投标人提供的产品合法来源渠道证明资料</w:t>
            </w:r>
            <w:r>
              <w:rPr>
                <w:rFonts w:hint="eastAsia" w:asciiTheme="minorEastAsia" w:hAnsiTheme="minorEastAsia" w:eastAsiaTheme="minorEastAsia" w:cstheme="minorEastAsia"/>
                <w:snapToGrid w:val="0"/>
                <w:color w:val="000000"/>
                <w:sz w:val="24"/>
                <w:szCs w:val="24"/>
              </w:rPr>
              <w:t>（例如：制造商授权协议，代理协议，销售协议等其中任意一种证明文件即可）</w:t>
            </w:r>
            <w:r>
              <w:rPr>
                <w:rFonts w:hint="eastAsia" w:asciiTheme="minorEastAsia" w:hAnsiTheme="minorEastAsia" w:eastAsiaTheme="minorEastAsia" w:cstheme="minorEastAsia"/>
                <w:snapToGrid w:val="0"/>
                <w:color w:val="000000"/>
                <w:sz w:val="24"/>
                <w:szCs w:val="24"/>
                <w:lang w:eastAsia="zh-CN"/>
              </w:rPr>
              <w:t>及确保产品为正规厂家生产的合格产品，有质量保证，确保无假货、水货、翻新货，技术、商务资料齐全，无产权纠纷</w:t>
            </w:r>
            <w:r>
              <w:rPr>
                <w:rFonts w:hint="eastAsia" w:asciiTheme="minorEastAsia" w:hAnsiTheme="minorEastAsia" w:eastAsiaTheme="minorEastAsia" w:cstheme="minorEastAsia"/>
                <w:snapToGrid w:val="0"/>
                <w:color w:val="000000"/>
                <w:sz w:val="24"/>
                <w:szCs w:val="24"/>
                <w:lang w:val="en-US" w:eastAsia="zh-CN"/>
              </w:rPr>
              <w:t>。</w:t>
            </w:r>
            <w:r>
              <w:rPr>
                <w:rFonts w:hint="eastAsia" w:asciiTheme="minorEastAsia" w:hAnsiTheme="minorEastAsia" w:eastAsiaTheme="minorEastAsia" w:cstheme="minorEastAsia"/>
                <w:snapToGrid w:val="0"/>
                <w:color w:val="000000"/>
                <w:sz w:val="24"/>
                <w:szCs w:val="24"/>
              </w:rPr>
              <w:t>提供一项产品的合法</w:t>
            </w:r>
            <w:r>
              <w:rPr>
                <w:rFonts w:hint="eastAsia" w:asciiTheme="minorEastAsia" w:hAnsiTheme="minorEastAsia" w:eastAsiaTheme="minorEastAsia" w:cstheme="minorEastAsia"/>
                <w:snapToGrid w:val="0"/>
                <w:color w:val="000000"/>
                <w:sz w:val="24"/>
                <w:szCs w:val="24"/>
                <w:lang w:val="en-US" w:eastAsia="zh-CN"/>
              </w:rPr>
              <w:t>来</w:t>
            </w:r>
            <w:r>
              <w:rPr>
                <w:rFonts w:hint="eastAsia" w:asciiTheme="minorEastAsia" w:hAnsiTheme="minorEastAsia" w:eastAsiaTheme="minorEastAsia" w:cstheme="minorEastAsia"/>
                <w:snapToGrid w:val="0"/>
                <w:color w:val="000000"/>
                <w:sz w:val="24"/>
                <w:szCs w:val="24"/>
              </w:rPr>
              <w:t>源证明文件得</w:t>
            </w:r>
            <w:r>
              <w:rPr>
                <w:rFonts w:hint="eastAsia" w:asciiTheme="minorEastAsia" w:hAnsiTheme="minorEastAsia" w:eastAsia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3</w:t>
            </w:r>
            <w:r>
              <w:rPr>
                <w:rFonts w:hint="eastAsia" w:asciiTheme="minorEastAsia" w:hAnsiTheme="minorEastAsia" w:eastAsiaTheme="minorEastAsia" w:cstheme="minorEastAsia"/>
                <w:snapToGrid w:val="0"/>
                <w:color w:val="000000"/>
                <w:sz w:val="24"/>
                <w:szCs w:val="24"/>
              </w:rPr>
              <w:t>分。不提供不得分。</w:t>
            </w:r>
          </w:p>
          <w:p w14:paraId="1770E780">
            <w:pPr>
              <w:bidi w:val="0"/>
              <w:spacing w:line="360" w:lineRule="auto"/>
              <w:ind w:firstLine="480" w:firstLineChars="200"/>
              <w:rPr>
                <w:rFonts w:hint="eastAsia" w:asciiTheme="minorEastAsia" w:hAnsiTheme="minorEastAsia" w:eastAsiaTheme="minorEastAsia" w:cstheme="minorEastAsia"/>
                <w:snapToGrid w:val="0"/>
                <w:color w:val="000000"/>
                <w:sz w:val="24"/>
                <w:szCs w:val="24"/>
                <w:lang w:val="en-US" w:eastAsia="zh-CN"/>
              </w:rPr>
            </w:pPr>
            <w:r>
              <w:rPr>
                <w:rFonts w:hint="eastAsia" w:asciiTheme="minorEastAsia" w:hAnsiTheme="minorEastAsia" w:eastAsiaTheme="minorEastAsia" w:cstheme="minorEastAsia"/>
                <w:snapToGrid w:val="0"/>
                <w:color w:val="000000"/>
                <w:sz w:val="24"/>
                <w:szCs w:val="24"/>
              </w:rPr>
              <w:t>备注：以加盖投标人公章的证明材料为计分依据。</w:t>
            </w:r>
          </w:p>
        </w:tc>
      </w:tr>
      <w:tr w14:paraId="12B31B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 w:hRule="atLeast"/>
        </w:trPr>
        <w:tc>
          <w:tcPr>
            <w:tcW w:w="1464" w:type="dxa"/>
            <w:vAlign w:val="center"/>
          </w:tcPr>
          <w:p w14:paraId="4BE975E7">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质量保证</w:t>
            </w:r>
          </w:p>
          <w:p w14:paraId="0021B929">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w:t>
            </w:r>
            <w:r>
              <w:rPr>
                <w:rFonts w:hint="eastAsia" w:asciiTheme="minorEastAsia" w:hAnsiTheme="minorEastAsia" w:cstheme="minorEastAsia"/>
                <w:b/>
                <w:bCs/>
                <w:snapToGrid w:val="0"/>
                <w:color w:val="000000"/>
                <w:sz w:val="24"/>
                <w:szCs w:val="24"/>
                <w:lang w:val="en-US" w:eastAsia="zh-CN"/>
              </w:rPr>
              <w:t>9</w:t>
            </w:r>
            <w:r>
              <w:rPr>
                <w:rFonts w:hint="eastAsia" w:asciiTheme="minorEastAsia" w:hAnsiTheme="minorEastAsia" w:eastAsiaTheme="minorEastAsia" w:cstheme="minorEastAsia"/>
                <w:b/>
                <w:bCs/>
                <w:snapToGrid w:val="0"/>
                <w:color w:val="000000"/>
                <w:sz w:val="24"/>
                <w:szCs w:val="24"/>
                <w:lang w:val="en-US" w:eastAsia="zh-CN"/>
              </w:rPr>
              <w:t>分）</w:t>
            </w:r>
          </w:p>
        </w:tc>
        <w:tc>
          <w:tcPr>
            <w:tcW w:w="7996" w:type="dxa"/>
            <w:vAlign w:val="center"/>
          </w:tcPr>
          <w:p w14:paraId="234B7372">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lang w:val="en-US" w:eastAsia="zh-CN"/>
              </w:rPr>
              <w:t>一、</w:t>
            </w:r>
            <w:r>
              <w:rPr>
                <w:rFonts w:hint="eastAsia" w:asciiTheme="minorEastAsia" w:hAnsiTheme="minorEastAsia" w:eastAsiaTheme="minorEastAsia" w:cstheme="minorEastAsia"/>
                <w:b/>
                <w:bCs/>
                <w:snapToGrid w:val="0"/>
                <w:color w:val="000000"/>
                <w:sz w:val="24"/>
                <w:szCs w:val="24"/>
              </w:rPr>
              <w:t>评审内容</w:t>
            </w:r>
          </w:p>
          <w:p w14:paraId="23999F3A">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结合本项目实际情况，提供质量保证方案，方案包括①产品性能②使用寿命③使用效果。</w:t>
            </w:r>
          </w:p>
          <w:p w14:paraId="031C0FF2">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二、评审标准</w:t>
            </w:r>
          </w:p>
          <w:p w14:paraId="6D740773">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1、方案须全面</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lang w:val="en-US" w:eastAsia="zh-CN"/>
              </w:rPr>
              <w:t>完整</w:t>
            </w:r>
            <w:r>
              <w:rPr>
                <w:rFonts w:hint="eastAsia" w:asciiTheme="minorEastAsia" w:hAnsiTheme="minorEastAsia" w:eastAsiaTheme="minorEastAsia" w:cstheme="minorEastAsia"/>
                <w:snapToGrid w:val="0"/>
                <w:color w:val="000000"/>
                <w:sz w:val="24"/>
                <w:szCs w:val="24"/>
              </w:rPr>
              <w:t>，对评审内容中的各项要求有详细描述；</w:t>
            </w:r>
          </w:p>
          <w:p w14:paraId="645A192D">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2、方案能够紧扣</w:t>
            </w:r>
            <w:r>
              <w:rPr>
                <w:rFonts w:hint="eastAsia" w:asciiTheme="minorEastAsia" w:hAnsiTheme="minorEastAsia" w:eastAsiaTheme="minorEastAsia" w:cstheme="minorEastAsia"/>
                <w:snapToGrid w:val="0"/>
                <w:color w:val="000000"/>
                <w:sz w:val="24"/>
                <w:szCs w:val="24"/>
                <w:lang w:val="en-US" w:eastAsia="zh-CN"/>
              </w:rPr>
              <w:t>本</w:t>
            </w:r>
            <w:r>
              <w:rPr>
                <w:rFonts w:hint="eastAsia" w:asciiTheme="minorEastAsia" w:hAnsiTheme="minorEastAsia" w:eastAsiaTheme="minorEastAsia" w:cstheme="minorEastAsia"/>
                <w:snapToGrid w:val="0"/>
                <w:color w:val="000000"/>
                <w:sz w:val="24"/>
                <w:szCs w:val="24"/>
              </w:rPr>
              <w:t>项目实际情况，</w:t>
            </w:r>
            <w:r>
              <w:rPr>
                <w:rFonts w:hint="eastAsia" w:asciiTheme="minorEastAsia" w:hAnsiTheme="minorEastAsia" w:eastAsiaTheme="minorEastAsia" w:cstheme="minorEastAsia"/>
                <w:snapToGrid w:val="0"/>
                <w:color w:val="000000"/>
                <w:sz w:val="24"/>
                <w:szCs w:val="24"/>
                <w:lang w:val="en-US" w:eastAsia="zh-CN"/>
              </w:rPr>
              <w:t>针对本项目</w:t>
            </w:r>
            <w:r>
              <w:rPr>
                <w:rFonts w:hint="eastAsia" w:asciiTheme="minorEastAsia" w:hAnsiTheme="minorEastAsia" w:eastAsiaTheme="minorEastAsia" w:cstheme="minorEastAsia"/>
                <w:snapToGrid w:val="0"/>
                <w:color w:val="000000"/>
                <w:sz w:val="24"/>
                <w:szCs w:val="24"/>
              </w:rPr>
              <w:t>内容</w:t>
            </w:r>
            <w:r>
              <w:rPr>
                <w:rFonts w:hint="eastAsia" w:asciiTheme="minorEastAsia" w:hAnsiTheme="minorEastAsia" w:eastAsiaTheme="minorEastAsia" w:cstheme="minorEastAsia"/>
                <w:snapToGrid w:val="0"/>
                <w:color w:val="000000"/>
                <w:sz w:val="24"/>
                <w:szCs w:val="24"/>
                <w:lang w:val="en-US" w:eastAsia="zh-CN"/>
              </w:rPr>
              <w:t>编写</w:t>
            </w:r>
            <w:r>
              <w:rPr>
                <w:rFonts w:hint="eastAsia" w:asciiTheme="minorEastAsia" w:hAnsiTheme="minorEastAsia" w:eastAsiaTheme="minorEastAsia" w:cstheme="minorEastAsia"/>
                <w:snapToGrid w:val="0"/>
                <w:color w:val="000000"/>
                <w:sz w:val="24"/>
                <w:szCs w:val="24"/>
              </w:rPr>
              <w:t>。</w:t>
            </w:r>
          </w:p>
          <w:p w14:paraId="11FEF411">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三、赋分标准（满分</w:t>
            </w:r>
            <w:r>
              <w:rPr>
                <w:rFonts w:hint="eastAsia" w:asciiTheme="minorEastAsia" w:hAnsiTheme="minorEastAsia" w:cstheme="minorEastAsia"/>
                <w:b/>
                <w:bCs/>
                <w:snapToGrid w:val="0"/>
                <w:color w:val="000000"/>
                <w:sz w:val="24"/>
                <w:szCs w:val="24"/>
                <w:lang w:val="en-US" w:eastAsia="zh-CN"/>
              </w:rPr>
              <w:t>9</w:t>
            </w:r>
            <w:r>
              <w:rPr>
                <w:rFonts w:hint="eastAsia" w:asciiTheme="minorEastAsia" w:hAnsiTheme="minorEastAsia" w:eastAsiaTheme="minorEastAsia" w:cstheme="minorEastAsia"/>
                <w:b/>
                <w:bCs/>
                <w:snapToGrid w:val="0"/>
                <w:color w:val="000000"/>
                <w:sz w:val="24"/>
                <w:szCs w:val="24"/>
              </w:rPr>
              <w:t>分）</w:t>
            </w:r>
          </w:p>
          <w:p w14:paraId="26C1D861">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 xml:space="preserve">①产品性能：每完全满足一个评审标准得 </w:t>
            </w:r>
            <w:r>
              <w:rPr>
                <w:rFonts w:hint="eastAsia" w:asciiTheme="minorEastAsia" w:hAnsiTheme="minorEastAsia" w:eastAsiaTheme="minorEastAsia" w:cstheme="minorEastAsia"/>
                <w:snapToGrid w:val="0"/>
                <w:color w:val="000000"/>
                <w:sz w:val="24"/>
                <w:szCs w:val="24"/>
                <w:lang w:val="en-US" w:eastAsia="zh-CN"/>
              </w:rPr>
              <w:t>1.5</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eastAsiaTheme="minorEastAsia" w:cstheme="minorEastAsia"/>
                <w:snapToGrid w:val="0"/>
                <w:color w:val="000000"/>
                <w:sz w:val="24"/>
                <w:szCs w:val="24"/>
                <w:lang w:val="en-US" w:eastAsia="zh-CN"/>
              </w:rPr>
              <w:t>3</w:t>
            </w:r>
            <w:r>
              <w:rPr>
                <w:rFonts w:hint="eastAsia" w:asciiTheme="minorEastAsia" w:hAnsiTheme="minorEastAsia" w:eastAsiaTheme="minorEastAsia" w:cstheme="minorEastAsia"/>
                <w:snapToGrid w:val="0"/>
                <w:color w:val="000000"/>
                <w:sz w:val="24"/>
                <w:szCs w:val="24"/>
              </w:rPr>
              <w:t>分；</w:t>
            </w:r>
          </w:p>
          <w:p w14:paraId="5EE35149">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②使用寿命</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rPr>
              <w:t xml:space="preserve">每完全满足一个评审标准得 </w:t>
            </w:r>
            <w:r>
              <w:rPr>
                <w:rFonts w:hint="eastAsia" w:asciiTheme="minorEastAsia" w:hAnsiTheme="minorEastAsia" w:cstheme="minorEastAsia"/>
                <w:snapToGrid w:val="0"/>
                <w:color w:val="000000"/>
                <w:sz w:val="24"/>
                <w:szCs w:val="24"/>
                <w:lang w:val="en-US" w:eastAsia="zh-CN"/>
              </w:rPr>
              <w:t>1.5</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3</w:t>
            </w:r>
            <w:r>
              <w:rPr>
                <w:rFonts w:hint="eastAsia" w:asciiTheme="minorEastAsia" w:hAnsiTheme="minorEastAsia" w:eastAsiaTheme="minorEastAsia" w:cstheme="minorEastAsia"/>
                <w:snapToGrid w:val="0"/>
                <w:color w:val="000000"/>
                <w:sz w:val="24"/>
                <w:szCs w:val="24"/>
              </w:rPr>
              <w:t>分；</w:t>
            </w:r>
          </w:p>
          <w:p w14:paraId="597D9A7B">
            <w:pPr>
              <w:bidi w:val="0"/>
              <w:spacing w:line="360" w:lineRule="auto"/>
              <w:ind w:firstLine="480" w:firstLineChars="200"/>
              <w:rPr>
                <w:rFonts w:hint="eastAsia" w:asciiTheme="minorEastAsia" w:hAnsiTheme="minorEastAsia" w:eastAsiaTheme="minorEastAsia" w:cstheme="minorEastAsia"/>
                <w:snapToGrid w:val="0"/>
                <w:color w:val="000000"/>
                <w:sz w:val="24"/>
                <w:szCs w:val="24"/>
                <w:lang w:val="en-US" w:eastAsia="zh-CN"/>
              </w:rPr>
            </w:pPr>
            <w:r>
              <w:rPr>
                <w:rFonts w:hint="eastAsia" w:asciiTheme="minorEastAsia" w:hAnsiTheme="minorEastAsia" w:eastAsiaTheme="minorEastAsia" w:cstheme="minorEastAsia"/>
                <w:snapToGrid w:val="0"/>
                <w:color w:val="000000"/>
                <w:sz w:val="24"/>
                <w:szCs w:val="24"/>
              </w:rPr>
              <w:t xml:space="preserve">③使用效果：每完全满足一个评审标准得 </w:t>
            </w:r>
            <w:r>
              <w:rPr>
                <w:rFonts w:hint="eastAsia" w:asciiTheme="minorEastAsia" w:hAnsiTheme="minorEastAsia" w:eastAsia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 xml:space="preserve"> </w:t>
            </w:r>
            <w:r>
              <w:rPr>
                <w:rFonts w:hint="eastAsia" w:asciiTheme="minorEastAsia" w:hAnsiTheme="minorEastAsia" w:eastAsiaTheme="minorEastAsia" w:cstheme="minorEastAsia"/>
                <w:snapToGrid w:val="0"/>
                <w:color w:val="000000"/>
                <w:sz w:val="24"/>
                <w:szCs w:val="24"/>
                <w:lang w:val="en-US" w:eastAsia="zh-CN"/>
              </w:rPr>
              <w:t>.5</w:t>
            </w:r>
            <w:r>
              <w:rPr>
                <w:rFonts w:hint="eastAsia" w:asciiTheme="minorEastAsia" w:hAnsiTheme="minorEastAsia" w:eastAsiaTheme="minorEastAsia" w:cstheme="minorEastAsia"/>
                <w:snapToGrid w:val="0"/>
                <w:color w:val="000000"/>
                <w:sz w:val="24"/>
                <w:szCs w:val="24"/>
              </w:rPr>
              <w:t xml:space="preserve">分，满分 </w:t>
            </w:r>
            <w:r>
              <w:rPr>
                <w:rFonts w:hint="eastAsia" w:asciiTheme="minorEastAsia" w:hAnsiTheme="minorEastAsia" w:eastAsiaTheme="minorEastAsia" w:cstheme="minorEastAsia"/>
                <w:snapToGrid w:val="0"/>
                <w:color w:val="000000"/>
                <w:sz w:val="24"/>
                <w:szCs w:val="24"/>
                <w:lang w:val="en-US" w:eastAsia="zh-CN"/>
              </w:rPr>
              <w:t>3</w:t>
            </w:r>
            <w:r>
              <w:rPr>
                <w:rFonts w:hint="eastAsia" w:asciiTheme="minorEastAsia" w:hAnsiTheme="minorEastAsia" w:eastAsiaTheme="minorEastAsia" w:cstheme="minorEastAsia"/>
                <w:snapToGrid w:val="0"/>
                <w:color w:val="000000"/>
                <w:sz w:val="24"/>
                <w:szCs w:val="24"/>
              </w:rPr>
              <w:t>分。</w:t>
            </w:r>
          </w:p>
        </w:tc>
      </w:tr>
      <w:tr w14:paraId="5F900F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 w:hRule="atLeast"/>
        </w:trPr>
        <w:tc>
          <w:tcPr>
            <w:tcW w:w="1464" w:type="dxa"/>
            <w:vAlign w:val="center"/>
          </w:tcPr>
          <w:p w14:paraId="2A7ADA00">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应急处理服务（4分）</w:t>
            </w:r>
          </w:p>
        </w:tc>
        <w:tc>
          <w:tcPr>
            <w:tcW w:w="7996" w:type="dxa"/>
            <w:vAlign w:val="center"/>
          </w:tcPr>
          <w:p w14:paraId="21893ACE">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一、评审内容</w:t>
            </w:r>
          </w:p>
          <w:p w14:paraId="6BF599E4">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针对本</w:t>
            </w:r>
            <w:r>
              <w:rPr>
                <w:rFonts w:hint="eastAsia" w:asciiTheme="minorEastAsia" w:hAnsiTheme="minorEastAsia" w:eastAsiaTheme="minorEastAsia" w:cstheme="minorEastAsia"/>
                <w:snapToGrid w:val="0"/>
                <w:color w:val="000000"/>
                <w:sz w:val="24"/>
                <w:szCs w:val="24"/>
                <w:lang w:val="en-US" w:eastAsia="zh-CN"/>
              </w:rPr>
              <w:t>项目</w:t>
            </w:r>
            <w:r>
              <w:rPr>
                <w:rFonts w:hint="eastAsia" w:asciiTheme="minorEastAsia" w:hAnsiTheme="minorEastAsia" w:eastAsiaTheme="minorEastAsia" w:cstheme="minorEastAsia"/>
                <w:snapToGrid w:val="0"/>
                <w:color w:val="000000"/>
                <w:sz w:val="24"/>
                <w:szCs w:val="24"/>
              </w:rPr>
              <w:t>制定完善的应急处理服务，内容包括：①应急处置</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rPr>
              <w:t>②响应时间：保证紧急情况下快速进行故障处理，提供具体的缩短障碍处理时间和电路倒接时间。</w:t>
            </w:r>
          </w:p>
          <w:p w14:paraId="7BFE123B">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二、评审标准</w:t>
            </w:r>
          </w:p>
          <w:p w14:paraId="6ECBBC69">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1、方案须全面</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lang w:val="en-US" w:eastAsia="zh-CN"/>
              </w:rPr>
              <w:t>完整</w:t>
            </w:r>
            <w:r>
              <w:rPr>
                <w:rFonts w:hint="eastAsia" w:asciiTheme="minorEastAsia" w:hAnsiTheme="minorEastAsia" w:eastAsiaTheme="minorEastAsia" w:cstheme="minorEastAsia"/>
                <w:snapToGrid w:val="0"/>
                <w:color w:val="000000"/>
                <w:sz w:val="24"/>
                <w:szCs w:val="24"/>
              </w:rPr>
              <w:t>，对评审内容中的各项要求有详细描述；</w:t>
            </w:r>
          </w:p>
          <w:p w14:paraId="568AF169">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2、方案能够紧扣</w:t>
            </w:r>
            <w:r>
              <w:rPr>
                <w:rFonts w:hint="eastAsia" w:asciiTheme="minorEastAsia" w:hAnsiTheme="minorEastAsia" w:eastAsiaTheme="minorEastAsia" w:cstheme="minorEastAsia"/>
                <w:snapToGrid w:val="0"/>
                <w:color w:val="000000"/>
                <w:sz w:val="24"/>
                <w:szCs w:val="24"/>
                <w:lang w:val="en-US" w:eastAsia="zh-CN"/>
              </w:rPr>
              <w:t>本</w:t>
            </w:r>
            <w:r>
              <w:rPr>
                <w:rFonts w:hint="eastAsia" w:asciiTheme="minorEastAsia" w:hAnsiTheme="minorEastAsia" w:eastAsiaTheme="minorEastAsia" w:cstheme="minorEastAsia"/>
                <w:snapToGrid w:val="0"/>
                <w:color w:val="000000"/>
                <w:sz w:val="24"/>
                <w:szCs w:val="24"/>
              </w:rPr>
              <w:t>项目实际情况，</w:t>
            </w:r>
            <w:r>
              <w:rPr>
                <w:rFonts w:hint="eastAsia" w:asciiTheme="minorEastAsia" w:hAnsiTheme="minorEastAsia" w:eastAsiaTheme="minorEastAsia" w:cstheme="minorEastAsia"/>
                <w:snapToGrid w:val="0"/>
                <w:color w:val="000000"/>
                <w:sz w:val="24"/>
                <w:szCs w:val="24"/>
                <w:lang w:val="en-US" w:eastAsia="zh-CN"/>
              </w:rPr>
              <w:t>针对本项目</w:t>
            </w:r>
            <w:r>
              <w:rPr>
                <w:rFonts w:hint="eastAsia" w:asciiTheme="minorEastAsia" w:hAnsiTheme="minorEastAsia" w:eastAsiaTheme="minorEastAsia" w:cstheme="minorEastAsia"/>
                <w:snapToGrid w:val="0"/>
                <w:color w:val="000000"/>
                <w:sz w:val="24"/>
                <w:szCs w:val="24"/>
              </w:rPr>
              <w:t>内容</w:t>
            </w:r>
            <w:r>
              <w:rPr>
                <w:rFonts w:hint="eastAsia" w:asciiTheme="minorEastAsia" w:hAnsiTheme="minorEastAsia" w:eastAsiaTheme="minorEastAsia" w:cstheme="minorEastAsia"/>
                <w:snapToGrid w:val="0"/>
                <w:color w:val="000000"/>
                <w:sz w:val="24"/>
                <w:szCs w:val="24"/>
                <w:lang w:val="en-US" w:eastAsia="zh-CN"/>
              </w:rPr>
              <w:t>编写</w:t>
            </w:r>
            <w:r>
              <w:rPr>
                <w:rFonts w:hint="eastAsia" w:asciiTheme="minorEastAsia" w:hAnsiTheme="minorEastAsia" w:eastAsiaTheme="minorEastAsia" w:cstheme="minorEastAsia"/>
                <w:snapToGrid w:val="0"/>
                <w:color w:val="000000"/>
                <w:sz w:val="24"/>
                <w:szCs w:val="24"/>
              </w:rPr>
              <w:t>。</w:t>
            </w:r>
          </w:p>
          <w:p w14:paraId="38EFF991">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三、赋分标准（满分</w:t>
            </w:r>
            <w:r>
              <w:rPr>
                <w:rFonts w:hint="eastAsia" w:asciiTheme="minorEastAsia" w:hAnsiTheme="minorEastAsia" w:eastAsiaTheme="minorEastAsia" w:cstheme="minorEastAsia"/>
                <w:b/>
                <w:bCs/>
                <w:snapToGrid w:val="0"/>
                <w:color w:val="000000"/>
                <w:sz w:val="24"/>
                <w:szCs w:val="24"/>
                <w:lang w:val="en-US" w:eastAsia="zh-CN"/>
              </w:rPr>
              <w:t>4</w:t>
            </w:r>
            <w:r>
              <w:rPr>
                <w:rFonts w:hint="eastAsia" w:asciiTheme="minorEastAsia" w:hAnsiTheme="minorEastAsia" w:eastAsiaTheme="minorEastAsia" w:cstheme="minorEastAsia"/>
                <w:b/>
                <w:bCs/>
                <w:snapToGrid w:val="0"/>
                <w:color w:val="000000"/>
                <w:sz w:val="24"/>
                <w:szCs w:val="24"/>
              </w:rPr>
              <w:t>分）</w:t>
            </w:r>
          </w:p>
          <w:p w14:paraId="0D1D1992">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①应急处置：每完全满足一个评审标准</w:t>
            </w:r>
            <w:r>
              <w:rPr>
                <w:rFonts w:hint="eastAsia" w:asciiTheme="minorEastAsia" w:hAnsiTheme="minorEastAsia" w:eastAsia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eastAsiaTheme="minorEastAsia" w:cstheme="minorEastAsia"/>
                <w:snapToGrid w:val="0"/>
                <w:color w:val="000000"/>
                <w:sz w:val="24"/>
                <w:szCs w:val="24"/>
                <w:lang w:val="en-US" w:eastAsia="zh-CN"/>
              </w:rPr>
              <w:t>2</w:t>
            </w:r>
            <w:r>
              <w:rPr>
                <w:rFonts w:hint="eastAsia" w:asciiTheme="minorEastAsia" w:hAnsiTheme="minorEastAsia" w:eastAsiaTheme="minorEastAsia" w:cstheme="minorEastAsia"/>
                <w:snapToGrid w:val="0"/>
                <w:color w:val="000000"/>
                <w:sz w:val="24"/>
                <w:szCs w:val="24"/>
              </w:rPr>
              <w:t>分；</w:t>
            </w:r>
          </w:p>
          <w:p w14:paraId="74804F64">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②响应时间:每完全满足一个评审标准得</w:t>
            </w:r>
            <w:r>
              <w:rPr>
                <w:rFonts w:hint="eastAsia" w:asciiTheme="minorEastAsia" w:hAnsiTheme="minorEastAsia" w:eastAsia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eastAsiaTheme="minorEastAsia" w:cstheme="minorEastAsia"/>
                <w:snapToGrid w:val="0"/>
                <w:color w:val="000000"/>
                <w:sz w:val="24"/>
                <w:szCs w:val="24"/>
                <w:lang w:val="en-US" w:eastAsia="zh-CN"/>
              </w:rPr>
              <w:t>2</w:t>
            </w:r>
            <w:r>
              <w:rPr>
                <w:rFonts w:hint="eastAsia" w:asciiTheme="minorEastAsia" w:hAnsiTheme="minorEastAsia" w:eastAsiaTheme="minorEastAsia" w:cstheme="minorEastAsia"/>
                <w:snapToGrid w:val="0"/>
                <w:color w:val="000000"/>
                <w:sz w:val="24"/>
                <w:szCs w:val="24"/>
              </w:rPr>
              <w:t>分。</w:t>
            </w:r>
          </w:p>
        </w:tc>
      </w:tr>
      <w:tr w14:paraId="6A2A92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 w:hRule="atLeast"/>
        </w:trPr>
        <w:tc>
          <w:tcPr>
            <w:tcW w:w="1464" w:type="dxa"/>
            <w:vAlign w:val="center"/>
          </w:tcPr>
          <w:p w14:paraId="7FCEFACF">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培训方案</w:t>
            </w:r>
          </w:p>
          <w:p w14:paraId="7220C499">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w:t>
            </w:r>
            <w:r>
              <w:rPr>
                <w:rFonts w:hint="eastAsia" w:asciiTheme="minorEastAsia" w:hAnsiTheme="minorEastAsia" w:cstheme="minorEastAsia"/>
                <w:b/>
                <w:bCs/>
                <w:snapToGrid w:val="0"/>
                <w:color w:val="000000"/>
                <w:sz w:val="24"/>
                <w:szCs w:val="24"/>
                <w:lang w:val="en-US" w:eastAsia="zh-CN"/>
              </w:rPr>
              <w:t>4</w:t>
            </w:r>
            <w:r>
              <w:rPr>
                <w:rFonts w:hint="eastAsia" w:asciiTheme="minorEastAsia" w:hAnsiTheme="minorEastAsia" w:eastAsiaTheme="minorEastAsia" w:cstheme="minorEastAsia"/>
                <w:b/>
                <w:bCs/>
                <w:snapToGrid w:val="0"/>
                <w:color w:val="000000"/>
                <w:sz w:val="24"/>
                <w:szCs w:val="24"/>
                <w:lang w:val="en-US" w:eastAsia="zh-CN"/>
              </w:rPr>
              <w:t>分）</w:t>
            </w:r>
          </w:p>
        </w:tc>
        <w:tc>
          <w:tcPr>
            <w:tcW w:w="7996" w:type="dxa"/>
            <w:vAlign w:val="center"/>
          </w:tcPr>
          <w:p w14:paraId="62C12E49">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一、评审内容</w:t>
            </w:r>
          </w:p>
          <w:p w14:paraId="4FF534CD">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针对本</w:t>
            </w:r>
            <w:r>
              <w:rPr>
                <w:rFonts w:hint="eastAsia" w:asciiTheme="minorEastAsia" w:hAnsiTheme="minorEastAsia" w:eastAsiaTheme="minorEastAsia" w:cstheme="minorEastAsia"/>
                <w:snapToGrid w:val="0"/>
                <w:color w:val="000000"/>
                <w:sz w:val="24"/>
                <w:szCs w:val="24"/>
                <w:lang w:val="en-US" w:eastAsia="zh-CN"/>
              </w:rPr>
              <w:t>项目</w:t>
            </w:r>
            <w:r>
              <w:rPr>
                <w:rFonts w:hint="eastAsia" w:asciiTheme="minorEastAsia" w:hAnsiTheme="minorEastAsia" w:eastAsiaTheme="minorEastAsia" w:cstheme="minorEastAsia"/>
                <w:snapToGrid w:val="0"/>
                <w:color w:val="000000"/>
                <w:sz w:val="24"/>
                <w:szCs w:val="24"/>
              </w:rPr>
              <w:t>制定培训方案，确保采购人能够熟练操作、维护和正常使用</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rPr>
              <w:t>方案内容包含：①培训内容及技术指导②培训方式及时间。</w:t>
            </w:r>
          </w:p>
          <w:p w14:paraId="4275CA08">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二、评审标准</w:t>
            </w:r>
          </w:p>
          <w:p w14:paraId="50A3100B">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1、方案须全面</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lang w:val="en-US" w:eastAsia="zh-CN"/>
              </w:rPr>
              <w:t>完整</w:t>
            </w:r>
            <w:r>
              <w:rPr>
                <w:rFonts w:hint="eastAsia" w:asciiTheme="minorEastAsia" w:hAnsiTheme="minorEastAsia" w:eastAsiaTheme="minorEastAsia" w:cstheme="minorEastAsia"/>
                <w:snapToGrid w:val="0"/>
                <w:color w:val="000000"/>
                <w:sz w:val="24"/>
                <w:szCs w:val="24"/>
              </w:rPr>
              <w:t>，对评审内容中的各项要求有详细描述；</w:t>
            </w:r>
          </w:p>
          <w:p w14:paraId="68A5B76A">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2、方案能够紧扣</w:t>
            </w:r>
            <w:r>
              <w:rPr>
                <w:rFonts w:hint="eastAsia" w:asciiTheme="minorEastAsia" w:hAnsiTheme="minorEastAsia" w:eastAsiaTheme="minorEastAsia" w:cstheme="minorEastAsia"/>
                <w:snapToGrid w:val="0"/>
                <w:color w:val="000000"/>
                <w:sz w:val="24"/>
                <w:szCs w:val="24"/>
                <w:lang w:val="en-US" w:eastAsia="zh-CN"/>
              </w:rPr>
              <w:t>本</w:t>
            </w:r>
            <w:r>
              <w:rPr>
                <w:rFonts w:hint="eastAsia" w:asciiTheme="minorEastAsia" w:hAnsiTheme="minorEastAsia" w:eastAsiaTheme="minorEastAsia" w:cstheme="minorEastAsia"/>
                <w:snapToGrid w:val="0"/>
                <w:color w:val="000000"/>
                <w:sz w:val="24"/>
                <w:szCs w:val="24"/>
              </w:rPr>
              <w:t>项目实际情况，</w:t>
            </w:r>
            <w:r>
              <w:rPr>
                <w:rFonts w:hint="eastAsia" w:asciiTheme="minorEastAsia" w:hAnsiTheme="minorEastAsia" w:eastAsiaTheme="minorEastAsia" w:cstheme="minorEastAsia"/>
                <w:snapToGrid w:val="0"/>
                <w:color w:val="000000"/>
                <w:sz w:val="24"/>
                <w:szCs w:val="24"/>
                <w:lang w:val="en-US" w:eastAsia="zh-CN"/>
              </w:rPr>
              <w:t>针对本项目</w:t>
            </w:r>
            <w:r>
              <w:rPr>
                <w:rFonts w:hint="eastAsia" w:asciiTheme="minorEastAsia" w:hAnsiTheme="minorEastAsia" w:eastAsiaTheme="minorEastAsia" w:cstheme="minorEastAsia"/>
                <w:snapToGrid w:val="0"/>
                <w:color w:val="000000"/>
                <w:sz w:val="24"/>
                <w:szCs w:val="24"/>
              </w:rPr>
              <w:t>内容</w:t>
            </w:r>
            <w:r>
              <w:rPr>
                <w:rFonts w:hint="eastAsia" w:asciiTheme="minorEastAsia" w:hAnsiTheme="minorEastAsia" w:eastAsiaTheme="minorEastAsia" w:cstheme="minorEastAsia"/>
                <w:snapToGrid w:val="0"/>
                <w:color w:val="000000"/>
                <w:sz w:val="24"/>
                <w:szCs w:val="24"/>
                <w:lang w:val="en-US" w:eastAsia="zh-CN"/>
              </w:rPr>
              <w:t>编写</w:t>
            </w:r>
            <w:r>
              <w:rPr>
                <w:rFonts w:hint="eastAsia" w:asciiTheme="minorEastAsia" w:hAnsiTheme="minorEastAsia" w:eastAsiaTheme="minorEastAsia" w:cstheme="minorEastAsia"/>
                <w:snapToGrid w:val="0"/>
                <w:color w:val="000000"/>
                <w:sz w:val="24"/>
                <w:szCs w:val="24"/>
              </w:rPr>
              <w:t>。</w:t>
            </w:r>
          </w:p>
          <w:p w14:paraId="5B50A1ED">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三、赋分标准（满分</w:t>
            </w:r>
            <w:r>
              <w:rPr>
                <w:rFonts w:hint="eastAsia" w:asciiTheme="minorEastAsia" w:hAnsiTheme="minorEastAsia" w:cstheme="minorEastAsia"/>
                <w:b/>
                <w:bCs/>
                <w:snapToGrid w:val="0"/>
                <w:color w:val="000000"/>
                <w:sz w:val="24"/>
                <w:szCs w:val="24"/>
                <w:lang w:val="en-US" w:eastAsia="zh-CN"/>
              </w:rPr>
              <w:t>4</w:t>
            </w:r>
            <w:r>
              <w:rPr>
                <w:rFonts w:hint="eastAsia" w:asciiTheme="minorEastAsia" w:hAnsiTheme="minorEastAsia" w:eastAsiaTheme="minorEastAsia" w:cstheme="minorEastAsia"/>
                <w:b/>
                <w:bCs/>
                <w:snapToGrid w:val="0"/>
                <w:color w:val="000000"/>
                <w:sz w:val="24"/>
                <w:szCs w:val="24"/>
              </w:rPr>
              <w:t>分）</w:t>
            </w:r>
          </w:p>
          <w:p w14:paraId="279A037B">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①培训内容及技术指导：每完全满足一个评审标准得</w:t>
            </w:r>
            <w:r>
              <w:rPr>
                <w:rFonts w:hint="eastAsia" w:asciiTheme="minorEastAsia" w:hAnsiTheme="minorEastAsia" w:eastAsia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2</w:t>
            </w:r>
            <w:r>
              <w:rPr>
                <w:rFonts w:hint="eastAsia" w:asciiTheme="minorEastAsia" w:hAnsiTheme="minorEastAsia" w:eastAsiaTheme="minorEastAsia" w:cstheme="minorEastAsia"/>
                <w:snapToGrid w:val="0"/>
                <w:color w:val="000000"/>
                <w:sz w:val="24"/>
                <w:szCs w:val="24"/>
              </w:rPr>
              <w:t>分；</w:t>
            </w:r>
          </w:p>
          <w:p w14:paraId="66379719">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②培训方式及时间：每完全满足一个评审标准得</w:t>
            </w:r>
            <w:r>
              <w:rPr>
                <w:rFonts w:hint="eastAsia" w:asciiTheme="minorEastAsia" w:hAnsiTheme="minorEastAsia" w:eastAsia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2</w:t>
            </w:r>
            <w:r>
              <w:rPr>
                <w:rFonts w:hint="eastAsia" w:asciiTheme="minorEastAsia" w:hAnsiTheme="minorEastAsia" w:eastAsiaTheme="minorEastAsia" w:cstheme="minorEastAsia"/>
                <w:snapToGrid w:val="0"/>
                <w:color w:val="000000"/>
                <w:sz w:val="24"/>
                <w:szCs w:val="24"/>
              </w:rPr>
              <w:t>分。</w:t>
            </w:r>
          </w:p>
        </w:tc>
      </w:tr>
      <w:tr w14:paraId="08D70C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 w:hRule="atLeast"/>
        </w:trPr>
        <w:tc>
          <w:tcPr>
            <w:tcW w:w="1464" w:type="dxa"/>
            <w:vAlign w:val="center"/>
          </w:tcPr>
          <w:p w14:paraId="2287F98C">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项目团队</w:t>
            </w:r>
          </w:p>
          <w:p w14:paraId="1883A61A">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（6分）</w:t>
            </w:r>
          </w:p>
        </w:tc>
        <w:tc>
          <w:tcPr>
            <w:tcW w:w="7996" w:type="dxa"/>
            <w:vAlign w:val="center"/>
          </w:tcPr>
          <w:p w14:paraId="1AD173A9">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一、评审内容</w:t>
            </w:r>
          </w:p>
          <w:p w14:paraId="20CF869D">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投标人针对本项目提供人员保障方案。方案包含①管理机构②岗位职责制度③专业技术人员投入。</w:t>
            </w:r>
          </w:p>
          <w:p w14:paraId="17AD32D4">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二、评审标准</w:t>
            </w:r>
          </w:p>
          <w:p w14:paraId="6AB47BFC">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1、方案须全面</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lang w:val="en-US" w:eastAsia="zh-CN"/>
              </w:rPr>
              <w:t>完整</w:t>
            </w:r>
            <w:r>
              <w:rPr>
                <w:rFonts w:hint="eastAsia" w:asciiTheme="minorEastAsia" w:hAnsiTheme="minorEastAsia" w:eastAsiaTheme="minorEastAsia" w:cstheme="minorEastAsia"/>
                <w:snapToGrid w:val="0"/>
                <w:color w:val="000000"/>
                <w:sz w:val="24"/>
                <w:szCs w:val="24"/>
              </w:rPr>
              <w:t>，对评审内容中的各项要求有详细描述；</w:t>
            </w:r>
          </w:p>
          <w:p w14:paraId="35E10863">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2、方案能够紧扣</w:t>
            </w:r>
            <w:r>
              <w:rPr>
                <w:rFonts w:hint="eastAsia" w:asciiTheme="minorEastAsia" w:hAnsiTheme="minorEastAsia" w:eastAsiaTheme="minorEastAsia" w:cstheme="minorEastAsia"/>
                <w:snapToGrid w:val="0"/>
                <w:color w:val="000000"/>
                <w:sz w:val="24"/>
                <w:szCs w:val="24"/>
                <w:lang w:val="en-US" w:eastAsia="zh-CN"/>
              </w:rPr>
              <w:t>本</w:t>
            </w:r>
            <w:r>
              <w:rPr>
                <w:rFonts w:hint="eastAsia" w:asciiTheme="minorEastAsia" w:hAnsiTheme="minorEastAsia" w:eastAsiaTheme="minorEastAsia" w:cstheme="minorEastAsia"/>
                <w:snapToGrid w:val="0"/>
                <w:color w:val="000000"/>
                <w:sz w:val="24"/>
                <w:szCs w:val="24"/>
              </w:rPr>
              <w:t>项目实际情况，</w:t>
            </w:r>
            <w:r>
              <w:rPr>
                <w:rFonts w:hint="eastAsia" w:asciiTheme="minorEastAsia" w:hAnsiTheme="minorEastAsia" w:eastAsiaTheme="minorEastAsia" w:cstheme="minorEastAsia"/>
                <w:snapToGrid w:val="0"/>
                <w:color w:val="000000"/>
                <w:sz w:val="24"/>
                <w:szCs w:val="24"/>
                <w:lang w:val="en-US" w:eastAsia="zh-CN"/>
              </w:rPr>
              <w:t>针对本项目</w:t>
            </w:r>
            <w:r>
              <w:rPr>
                <w:rFonts w:hint="eastAsia" w:asciiTheme="minorEastAsia" w:hAnsiTheme="minorEastAsia" w:eastAsiaTheme="minorEastAsia" w:cstheme="minorEastAsia"/>
                <w:snapToGrid w:val="0"/>
                <w:color w:val="000000"/>
                <w:sz w:val="24"/>
                <w:szCs w:val="24"/>
              </w:rPr>
              <w:t>内容</w:t>
            </w:r>
            <w:r>
              <w:rPr>
                <w:rFonts w:hint="eastAsia" w:asciiTheme="minorEastAsia" w:hAnsiTheme="minorEastAsia" w:eastAsiaTheme="minorEastAsia" w:cstheme="minorEastAsia"/>
                <w:snapToGrid w:val="0"/>
                <w:color w:val="000000"/>
                <w:sz w:val="24"/>
                <w:szCs w:val="24"/>
                <w:lang w:val="en-US" w:eastAsia="zh-CN"/>
              </w:rPr>
              <w:t>编写</w:t>
            </w:r>
            <w:r>
              <w:rPr>
                <w:rFonts w:hint="eastAsia" w:asciiTheme="minorEastAsia" w:hAnsiTheme="minorEastAsia" w:eastAsiaTheme="minorEastAsia" w:cstheme="minorEastAsia"/>
                <w:snapToGrid w:val="0"/>
                <w:color w:val="000000"/>
                <w:sz w:val="24"/>
                <w:szCs w:val="24"/>
              </w:rPr>
              <w:t>。</w:t>
            </w:r>
          </w:p>
          <w:p w14:paraId="127C6D18">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三、赋分依据（满分</w:t>
            </w:r>
            <w:r>
              <w:rPr>
                <w:rFonts w:hint="eastAsia" w:asciiTheme="minorEastAsia" w:hAnsiTheme="minorEastAsia" w:eastAsiaTheme="minorEastAsia" w:cstheme="minorEastAsia"/>
                <w:b/>
                <w:bCs/>
                <w:snapToGrid w:val="0"/>
                <w:color w:val="000000"/>
                <w:sz w:val="24"/>
                <w:szCs w:val="24"/>
                <w:lang w:val="en-US" w:eastAsia="zh-CN"/>
              </w:rPr>
              <w:t>6</w:t>
            </w:r>
            <w:r>
              <w:rPr>
                <w:rFonts w:hint="eastAsia" w:asciiTheme="minorEastAsia" w:hAnsiTheme="minorEastAsia" w:eastAsiaTheme="minorEastAsia" w:cstheme="minorEastAsia"/>
                <w:b/>
                <w:bCs/>
                <w:snapToGrid w:val="0"/>
                <w:color w:val="000000"/>
                <w:sz w:val="24"/>
                <w:szCs w:val="24"/>
              </w:rPr>
              <w:t>分）</w:t>
            </w:r>
          </w:p>
          <w:p w14:paraId="59B878A1">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①管理机构：每完全满足一个评审标准得</w:t>
            </w:r>
            <w:r>
              <w:rPr>
                <w:rFonts w:hint="eastAsia" w:asciiTheme="minorEastAsia" w:hAnsiTheme="minorEastAsia" w:eastAsia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eastAsiaTheme="minorEastAsia" w:cstheme="minorEastAsia"/>
                <w:snapToGrid w:val="0"/>
                <w:color w:val="000000"/>
                <w:sz w:val="24"/>
                <w:szCs w:val="24"/>
                <w:lang w:val="en-US" w:eastAsia="zh-CN"/>
              </w:rPr>
              <w:t>2</w:t>
            </w:r>
            <w:r>
              <w:rPr>
                <w:rFonts w:hint="eastAsia" w:asciiTheme="minorEastAsia" w:hAnsiTheme="minorEastAsia" w:eastAsiaTheme="minorEastAsia" w:cstheme="minorEastAsia"/>
                <w:snapToGrid w:val="0"/>
                <w:color w:val="000000"/>
                <w:sz w:val="24"/>
                <w:szCs w:val="24"/>
              </w:rPr>
              <w:t>分；</w:t>
            </w:r>
          </w:p>
          <w:p w14:paraId="506A1FA0">
            <w:pPr>
              <w:bidi w:val="0"/>
              <w:spacing w:line="360" w:lineRule="auto"/>
              <w:ind w:firstLine="480" w:firstLineChars="200"/>
              <w:rPr>
                <w:rFonts w:hint="eastAsia" w:asciiTheme="minorEastAsia" w:hAnsiTheme="minorEastAsia" w:eastAsiaTheme="minorEastAsia" w:cstheme="minorEastAsia"/>
                <w:snapToGrid w:val="0"/>
                <w:color w:val="000000"/>
                <w:sz w:val="24"/>
                <w:szCs w:val="24"/>
                <w:lang w:eastAsia="zh-CN"/>
              </w:rPr>
            </w:pPr>
            <w:r>
              <w:rPr>
                <w:rFonts w:hint="eastAsia" w:asciiTheme="minorEastAsia" w:hAnsiTheme="minorEastAsia" w:eastAsiaTheme="minorEastAsia" w:cstheme="minorEastAsia"/>
                <w:snapToGrid w:val="0"/>
                <w:color w:val="000000"/>
                <w:sz w:val="24"/>
                <w:szCs w:val="24"/>
              </w:rPr>
              <w:t>②岗位职责制度：每完全满足一个评审标准得</w:t>
            </w:r>
            <w:r>
              <w:rPr>
                <w:rFonts w:hint="eastAsia" w:asciiTheme="minorEastAsia" w:hAnsiTheme="minorEastAsia" w:eastAsia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eastAsiaTheme="minorEastAsia" w:cstheme="minorEastAsia"/>
                <w:snapToGrid w:val="0"/>
                <w:color w:val="000000"/>
                <w:sz w:val="24"/>
                <w:szCs w:val="24"/>
                <w:lang w:val="en-US" w:eastAsia="zh-CN"/>
              </w:rPr>
              <w:t>2</w:t>
            </w:r>
            <w:r>
              <w:rPr>
                <w:rFonts w:hint="eastAsia" w:asciiTheme="minorEastAsia" w:hAnsiTheme="minorEastAsia" w:eastAsiaTheme="minorEastAsia" w:cstheme="minorEastAsia"/>
                <w:snapToGrid w:val="0"/>
                <w:color w:val="000000"/>
                <w:sz w:val="24"/>
                <w:szCs w:val="24"/>
              </w:rPr>
              <w:t>分</w:t>
            </w:r>
            <w:r>
              <w:rPr>
                <w:rFonts w:hint="eastAsia" w:asciiTheme="minorEastAsia" w:hAnsiTheme="minorEastAsia" w:eastAsiaTheme="minorEastAsia" w:cstheme="minorEastAsia"/>
                <w:snapToGrid w:val="0"/>
                <w:color w:val="000000"/>
                <w:sz w:val="24"/>
                <w:szCs w:val="24"/>
                <w:lang w:eastAsia="zh-CN"/>
              </w:rPr>
              <w:t>；</w:t>
            </w:r>
          </w:p>
          <w:p w14:paraId="7B149C5D">
            <w:pPr>
              <w:bidi w:val="0"/>
              <w:spacing w:line="360" w:lineRule="auto"/>
              <w:ind w:firstLine="480" w:firstLineChars="200"/>
              <w:rPr>
                <w:rFonts w:hint="eastAsia" w:asciiTheme="minorEastAsia" w:hAnsiTheme="minorEastAsia" w:eastAsiaTheme="minorEastAsia" w:cstheme="minorEastAsia"/>
                <w:snapToGrid w:val="0"/>
                <w:color w:val="000000"/>
                <w:sz w:val="24"/>
                <w:szCs w:val="24"/>
                <w:lang w:eastAsia="zh-CN"/>
              </w:rPr>
            </w:pPr>
            <w:r>
              <w:rPr>
                <w:rFonts w:hint="eastAsia" w:asciiTheme="minorEastAsia" w:hAnsiTheme="minorEastAsia" w:eastAsiaTheme="minorEastAsia" w:cstheme="minorEastAsia"/>
                <w:snapToGrid w:val="0"/>
                <w:color w:val="000000"/>
                <w:sz w:val="24"/>
                <w:szCs w:val="24"/>
              </w:rPr>
              <w:t>③专业技术人员投入：每完全满足一个评审标准得</w:t>
            </w:r>
            <w:r>
              <w:rPr>
                <w:rFonts w:hint="eastAsia" w:asciiTheme="minorEastAsia" w:hAnsiTheme="minorEastAsia" w:eastAsia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eastAsiaTheme="minorEastAsia" w:cstheme="minorEastAsia"/>
                <w:snapToGrid w:val="0"/>
                <w:color w:val="000000"/>
                <w:sz w:val="24"/>
                <w:szCs w:val="24"/>
                <w:lang w:val="en-US" w:eastAsia="zh-CN"/>
              </w:rPr>
              <w:t>2</w:t>
            </w:r>
            <w:r>
              <w:rPr>
                <w:rFonts w:hint="eastAsia" w:asciiTheme="minorEastAsia" w:hAnsiTheme="minorEastAsia" w:eastAsiaTheme="minorEastAsia" w:cstheme="minorEastAsia"/>
                <w:snapToGrid w:val="0"/>
                <w:color w:val="000000"/>
                <w:sz w:val="24"/>
                <w:szCs w:val="24"/>
              </w:rPr>
              <w:t>分。</w:t>
            </w:r>
          </w:p>
        </w:tc>
      </w:tr>
      <w:tr w14:paraId="47E19E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 w:hRule="atLeast"/>
        </w:trPr>
        <w:tc>
          <w:tcPr>
            <w:tcW w:w="1464" w:type="dxa"/>
            <w:vAlign w:val="center"/>
          </w:tcPr>
          <w:p w14:paraId="5F3DBD52">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售后服务</w:t>
            </w:r>
          </w:p>
          <w:p w14:paraId="5B382665">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承诺</w:t>
            </w:r>
          </w:p>
          <w:p w14:paraId="18846D16">
            <w:pPr>
              <w:bidi w:val="0"/>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Theme="minorEastAsia" w:hAnsiTheme="minorEastAsia" w:eastAsiaTheme="minorEastAsia" w:cstheme="minorEastAsia"/>
                <w:b/>
                <w:bCs/>
                <w:snapToGrid w:val="0"/>
                <w:color w:val="000000"/>
                <w:sz w:val="24"/>
                <w:szCs w:val="24"/>
                <w:lang w:val="en-US" w:eastAsia="zh-CN"/>
              </w:rPr>
              <w:t>(</w:t>
            </w:r>
            <w:r>
              <w:rPr>
                <w:rFonts w:hint="eastAsia" w:asciiTheme="minorEastAsia" w:hAnsiTheme="minorEastAsia" w:cstheme="minorEastAsia"/>
                <w:b/>
                <w:bCs/>
                <w:snapToGrid w:val="0"/>
                <w:color w:val="000000"/>
                <w:sz w:val="24"/>
                <w:szCs w:val="24"/>
                <w:lang w:val="en-US" w:eastAsia="zh-CN"/>
              </w:rPr>
              <w:t>5</w:t>
            </w:r>
            <w:r>
              <w:rPr>
                <w:rFonts w:hint="eastAsia" w:asciiTheme="minorEastAsia" w:hAnsiTheme="minorEastAsia" w:eastAsiaTheme="minorEastAsia" w:cstheme="minorEastAsia"/>
                <w:b/>
                <w:bCs/>
                <w:snapToGrid w:val="0"/>
                <w:color w:val="000000"/>
                <w:sz w:val="24"/>
                <w:szCs w:val="24"/>
                <w:lang w:val="en-US" w:eastAsia="zh-CN"/>
              </w:rPr>
              <w:t>分)</w:t>
            </w:r>
          </w:p>
        </w:tc>
        <w:tc>
          <w:tcPr>
            <w:tcW w:w="7996" w:type="dxa"/>
            <w:vAlign w:val="top"/>
          </w:tcPr>
          <w:p w14:paraId="061912EA">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一、评审内容</w:t>
            </w:r>
          </w:p>
          <w:p w14:paraId="0DC9D3C3">
            <w:pPr>
              <w:bidi w:val="0"/>
              <w:spacing w:line="360" w:lineRule="auto"/>
              <w:ind w:firstLine="480" w:firstLineChars="200"/>
              <w:rPr>
                <w:rFonts w:hint="eastAsia" w:asciiTheme="minorEastAsia" w:hAnsiTheme="minorEastAsia" w:eastAsiaTheme="minorEastAsia" w:cstheme="minorEastAsia"/>
                <w:snapToGrid w:val="0"/>
                <w:color w:val="000000"/>
                <w:sz w:val="24"/>
                <w:szCs w:val="24"/>
                <w:lang w:eastAsia="zh-CN"/>
              </w:rPr>
            </w:pPr>
            <w:r>
              <w:rPr>
                <w:rFonts w:hint="eastAsia" w:asciiTheme="minorEastAsia" w:hAnsiTheme="minorEastAsia" w:eastAsiaTheme="minorEastAsia" w:cstheme="minorEastAsia"/>
                <w:snapToGrid w:val="0"/>
                <w:color w:val="000000"/>
                <w:sz w:val="24"/>
                <w:szCs w:val="24"/>
              </w:rPr>
              <w:t>结合本项目实际情况，提供售后服务方案，方案包括：①故障维修及应对措施②质量保证范围③拟投入售后服务人员配置情况④日常维护⑤响应时间</w:t>
            </w:r>
            <w:r>
              <w:rPr>
                <w:rFonts w:hint="eastAsia" w:asciiTheme="minorEastAsia" w:hAnsiTheme="minorEastAsia" w:eastAsiaTheme="minorEastAsia" w:cstheme="minorEastAsia"/>
                <w:snapToGrid w:val="0"/>
                <w:color w:val="000000"/>
                <w:sz w:val="24"/>
                <w:szCs w:val="24"/>
                <w:lang w:eastAsia="zh-CN"/>
              </w:rPr>
              <w:t>。</w:t>
            </w:r>
          </w:p>
          <w:p w14:paraId="6BECF9F6">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二、评审标准</w:t>
            </w:r>
          </w:p>
          <w:p w14:paraId="1B0F7546">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1、方案须全面</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lang w:val="en-US" w:eastAsia="zh-CN"/>
              </w:rPr>
              <w:t>完整</w:t>
            </w:r>
            <w:r>
              <w:rPr>
                <w:rFonts w:hint="eastAsia" w:asciiTheme="minorEastAsia" w:hAnsiTheme="minorEastAsia" w:eastAsiaTheme="minorEastAsia" w:cstheme="minorEastAsia"/>
                <w:snapToGrid w:val="0"/>
                <w:color w:val="000000"/>
                <w:sz w:val="24"/>
                <w:szCs w:val="24"/>
              </w:rPr>
              <w:t>，对评审内容中的各项要求有详细描述；</w:t>
            </w:r>
          </w:p>
          <w:p w14:paraId="5B12B6EE">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2、方案能够紧扣</w:t>
            </w:r>
            <w:r>
              <w:rPr>
                <w:rFonts w:hint="eastAsia" w:asciiTheme="minorEastAsia" w:hAnsiTheme="minorEastAsia" w:eastAsiaTheme="minorEastAsia" w:cstheme="minorEastAsia"/>
                <w:snapToGrid w:val="0"/>
                <w:color w:val="000000"/>
                <w:sz w:val="24"/>
                <w:szCs w:val="24"/>
                <w:lang w:val="en-US" w:eastAsia="zh-CN"/>
              </w:rPr>
              <w:t>本</w:t>
            </w:r>
            <w:r>
              <w:rPr>
                <w:rFonts w:hint="eastAsia" w:asciiTheme="minorEastAsia" w:hAnsiTheme="minorEastAsia" w:eastAsiaTheme="minorEastAsia" w:cstheme="minorEastAsia"/>
                <w:snapToGrid w:val="0"/>
                <w:color w:val="000000"/>
                <w:sz w:val="24"/>
                <w:szCs w:val="24"/>
              </w:rPr>
              <w:t>项目实际情况，</w:t>
            </w:r>
            <w:r>
              <w:rPr>
                <w:rFonts w:hint="eastAsia" w:asciiTheme="minorEastAsia" w:hAnsiTheme="minorEastAsia" w:eastAsiaTheme="minorEastAsia" w:cstheme="minorEastAsia"/>
                <w:snapToGrid w:val="0"/>
                <w:color w:val="000000"/>
                <w:sz w:val="24"/>
                <w:szCs w:val="24"/>
                <w:lang w:val="en-US" w:eastAsia="zh-CN"/>
              </w:rPr>
              <w:t>针对本项目</w:t>
            </w:r>
            <w:r>
              <w:rPr>
                <w:rFonts w:hint="eastAsia" w:asciiTheme="minorEastAsia" w:hAnsiTheme="minorEastAsia" w:eastAsiaTheme="minorEastAsia" w:cstheme="minorEastAsia"/>
                <w:snapToGrid w:val="0"/>
                <w:color w:val="000000"/>
                <w:sz w:val="24"/>
                <w:szCs w:val="24"/>
              </w:rPr>
              <w:t>内容</w:t>
            </w:r>
            <w:r>
              <w:rPr>
                <w:rFonts w:hint="eastAsia" w:asciiTheme="minorEastAsia" w:hAnsiTheme="minorEastAsia" w:eastAsiaTheme="minorEastAsia" w:cstheme="minorEastAsia"/>
                <w:snapToGrid w:val="0"/>
                <w:color w:val="000000"/>
                <w:sz w:val="24"/>
                <w:szCs w:val="24"/>
                <w:lang w:val="en-US" w:eastAsia="zh-CN"/>
              </w:rPr>
              <w:t>编写</w:t>
            </w:r>
            <w:r>
              <w:rPr>
                <w:rFonts w:hint="eastAsia" w:asciiTheme="minorEastAsia" w:hAnsiTheme="minorEastAsia" w:eastAsiaTheme="minorEastAsia" w:cstheme="minorEastAsia"/>
                <w:snapToGrid w:val="0"/>
                <w:color w:val="000000"/>
                <w:sz w:val="24"/>
                <w:szCs w:val="24"/>
              </w:rPr>
              <w:t>。</w:t>
            </w:r>
          </w:p>
          <w:p w14:paraId="55E8210D">
            <w:pPr>
              <w:bidi w:val="0"/>
              <w:spacing w:line="360" w:lineRule="auto"/>
              <w:ind w:firstLine="482" w:firstLineChars="200"/>
              <w:rPr>
                <w:rFonts w:hint="eastAsia" w:asciiTheme="minorEastAsia" w:hAnsiTheme="minorEastAsia" w:eastAsiaTheme="minorEastAsia" w:cstheme="minorEastAsia"/>
                <w:b/>
                <w:bCs/>
                <w:snapToGrid w:val="0"/>
                <w:color w:val="000000"/>
                <w:sz w:val="24"/>
                <w:szCs w:val="24"/>
              </w:rPr>
            </w:pPr>
            <w:r>
              <w:rPr>
                <w:rFonts w:hint="eastAsia" w:asciiTheme="minorEastAsia" w:hAnsiTheme="minorEastAsia" w:eastAsiaTheme="minorEastAsia" w:cstheme="minorEastAsia"/>
                <w:b/>
                <w:bCs/>
                <w:snapToGrid w:val="0"/>
                <w:color w:val="000000"/>
                <w:sz w:val="24"/>
                <w:szCs w:val="24"/>
              </w:rPr>
              <w:t>三、赋分标准（满分</w:t>
            </w:r>
            <w:r>
              <w:rPr>
                <w:rFonts w:hint="eastAsia" w:asciiTheme="minorEastAsia" w:hAnsiTheme="minorEastAsia" w:cstheme="minorEastAsia"/>
                <w:b/>
                <w:bCs/>
                <w:snapToGrid w:val="0"/>
                <w:color w:val="000000"/>
                <w:sz w:val="24"/>
                <w:szCs w:val="24"/>
                <w:lang w:val="en-US" w:eastAsia="zh-CN"/>
              </w:rPr>
              <w:t>5</w:t>
            </w:r>
            <w:r>
              <w:rPr>
                <w:rFonts w:hint="eastAsia" w:asciiTheme="minorEastAsia" w:hAnsiTheme="minorEastAsia" w:eastAsiaTheme="minorEastAsia" w:cstheme="minorEastAsia"/>
                <w:b/>
                <w:bCs/>
                <w:snapToGrid w:val="0"/>
                <w:color w:val="000000"/>
                <w:sz w:val="24"/>
                <w:szCs w:val="24"/>
              </w:rPr>
              <w:t>分）</w:t>
            </w:r>
          </w:p>
          <w:p w14:paraId="31D53445">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①故障维修及应对措施：每完全满足一个评审标准得</w:t>
            </w:r>
            <w:r>
              <w:rPr>
                <w:rFonts w:hint="eastAsia" w:asciiTheme="minorEastAsia" w:hAnsiTheme="minorEastAsia" w:cstheme="minorEastAsia"/>
                <w:snapToGrid w:val="0"/>
                <w:color w:val="000000"/>
                <w:sz w:val="24"/>
                <w:szCs w:val="24"/>
                <w:lang w:val="en-US" w:eastAsia="zh-CN"/>
              </w:rPr>
              <w:t>0.5</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w:t>
            </w:r>
          </w:p>
          <w:p w14:paraId="0D4E758A">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②质量保证范围</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rPr>
              <w:t>每完全满足一个评审标准得</w:t>
            </w:r>
            <w:r>
              <w:rPr>
                <w:rFonts w:hint="eastAsia" w:asciiTheme="minorEastAsia" w:hAnsiTheme="minorEastAsia" w:cstheme="minorEastAsia"/>
                <w:snapToGrid w:val="0"/>
                <w:color w:val="000000"/>
                <w:sz w:val="24"/>
                <w:szCs w:val="24"/>
                <w:lang w:val="en-US" w:eastAsia="zh-CN"/>
              </w:rPr>
              <w:t>0.5</w:t>
            </w:r>
            <w:r>
              <w:rPr>
                <w:rFonts w:hint="eastAsia" w:asciiTheme="minorEastAsia" w:hAnsiTheme="minorEastAsia" w:eastAsiaTheme="minorEastAsia" w:cstheme="minorEastAsia"/>
                <w:snapToGrid w:val="0"/>
                <w:color w:val="000000"/>
                <w:sz w:val="24"/>
                <w:szCs w:val="24"/>
              </w:rPr>
              <w:t>，满分</w:t>
            </w:r>
            <w:r>
              <w:rPr>
                <w:rFonts w:hint="eastAsia" w:asciiTheme="minorEastAsia" w:hAnsi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w:t>
            </w:r>
          </w:p>
          <w:p w14:paraId="522B52AE">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③拟投入售后服务人员配置情况</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rPr>
              <w:t>每完全满足一个评审标准得</w:t>
            </w:r>
            <w:r>
              <w:rPr>
                <w:rFonts w:hint="eastAsia" w:asciiTheme="minorEastAsia" w:hAnsiTheme="minorEastAsia" w:cstheme="minorEastAsia"/>
                <w:snapToGrid w:val="0"/>
                <w:color w:val="000000"/>
                <w:sz w:val="24"/>
                <w:szCs w:val="24"/>
                <w:lang w:val="en-US" w:eastAsia="zh-CN"/>
              </w:rPr>
              <w:t>0.5</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w:t>
            </w:r>
          </w:p>
          <w:p w14:paraId="080DA41D">
            <w:pPr>
              <w:bidi w:val="0"/>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Theme="minorEastAsia" w:hAnsiTheme="minorEastAsia" w:eastAsiaTheme="minorEastAsia" w:cstheme="minorEastAsia"/>
                <w:snapToGrid w:val="0"/>
                <w:color w:val="000000"/>
                <w:sz w:val="24"/>
                <w:szCs w:val="24"/>
              </w:rPr>
              <w:t>④日常维护</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rPr>
              <w:t>每完全满足一个评审标准得</w:t>
            </w:r>
            <w:r>
              <w:rPr>
                <w:rFonts w:hint="eastAsia" w:asciiTheme="minorEastAsia" w:hAnsiTheme="minorEastAsia" w:cstheme="minorEastAsia"/>
                <w:snapToGrid w:val="0"/>
                <w:color w:val="000000"/>
                <w:sz w:val="24"/>
                <w:szCs w:val="24"/>
                <w:lang w:val="en-US" w:eastAsia="zh-CN"/>
              </w:rPr>
              <w:t>0.5</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w:t>
            </w:r>
          </w:p>
          <w:p w14:paraId="3837B327">
            <w:pPr>
              <w:bidi w:val="0"/>
              <w:spacing w:line="360" w:lineRule="auto"/>
              <w:ind w:firstLine="480" w:firstLineChars="200"/>
              <w:rPr>
                <w:rFonts w:hint="eastAsia" w:asciiTheme="minorEastAsia" w:hAnsiTheme="minorEastAsia" w:eastAsiaTheme="minorEastAsia" w:cstheme="minorEastAsia"/>
                <w:snapToGrid w:val="0"/>
                <w:color w:val="000000"/>
                <w:sz w:val="24"/>
                <w:szCs w:val="24"/>
                <w:lang w:val="en-US" w:eastAsia="zh-CN"/>
              </w:rPr>
            </w:pPr>
            <w:r>
              <w:rPr>
                <w:rFonts w:hint="eastAsia" w:asciiTheme="minorEastAsia" w:hAnsiTheme="minorEastAsia" w:eastAsiaTheme="minorEastAsia" w:cstheme="minorEastAsia"/>
                <w:snapToGrid w:val="0"/>
                <w:color w:val="000000"/>
                <w:sz w:val="24"/>
                <w:szCs w:val="24"/>
              </w:rPr>
              <w:t>⑤响应时间</w:t>
            </w:r>
            <w:r>
              <w:rPr>
                <w:rFonts w:hint="eastAsia" w:asciiTheme="minorEastAsia" w:hAnsiTheme="minorEastAsia" w:eastAsiaTheme="minorEastAsia" w:cstheme="minorEastAsia"/>
                <w:snapToGrid w:val="0"/>
                <w:color w:val="000000"/>
                <w:sz w:val="24"/>
                <w:szCs w:val="24"/>
                <w:lang w:eastAsia="zh-CN"/>
              </w:rPr>
              <w:t>：</w:t>
            </w:r>
            <w:r>
              <w:rPr>
                <w:rFonts w:hint="eastAsia" w:asciiTheme="minorEastAsia" w:hAnsiTheme="minorEastAsia" w:eastAsiaTheme="minorEastAsia" w:cstheme="minorEastAsia"/>
                <w:snapToGrid w:val="0"/>
                <w:color w:val="000000"/>
                <w:sz w:val="24"/>
                <w:szCs w:val="24"/>
              </w:rPr>
              <w:t>每完全满足一个评审标准得</w:t>
            </w:r>
            <w:r>
              <w:rPr>
                <w:rFonts w:hint="eastAsia" w:asciiTheme="minorEastAsia" w:hAnsiTheme="minorEastAsia" w:cstheme="minorEastAsia"/>
                <w:snapToGrid w:val="0"/>
                <w:color w:val="000000"/>
                <w:sz w:val="24"/>
                <w:szCs w:val="24"/>
                <w:lang w:val="en-US" w:eastAsia="zh-CN"/>
              </w:rPr>
              <w:t>0.5</w:t>
            </w:r>
            <w:r>
              <w:rPr>
                <w:rFonts w:hint="eastAsia" w:asciiTheme="minorEastAsia" w:hAnsiTheme="minorEastAsia" w:eastAsiaTheme="minorEastAsia" w:cstheme="minorEastAsia"/>
                <w:snapToGrid w:val="0"/>
                <w:color w:val="000000"/>
                <w:sz w:val="24"/>
                <w:szCs w:val="24"/>
              </w:rPr>
              <w:t>分，满分</w:t>
            </w:r>
            <w:r>
              <w:rPr>
                <w:rFonts w:hint="eastAsia" w:asciiTheme="minorEastAsia" w:hAnsiTheme="minorEastAsia" w:cstheme="minorEastAsia"/>
                <w:snapToGrid w:val="0"/>
                <w:color w:val="000000"/>
                <w:sz w:val="24"/>
                <w:szCs w:val="24"/>
                <w:lang w:val="en-US" w:eastAsia="zh-CN"/>
              </w:rPr>
              <w:t>1</w:t>
            </w:r>
            <w:r>
              <w:rPr>
                <w:rFonts w:hint="eastAsia" w:asciiTheme="minorEastAsia" w:hAnsiTheme="minorEastAsia" w:eastAsiaTheme="minorEastAsia" w:cstheme="minorEastAsia"/>
                <w:snapToGrid w:val="0"/>
                <w:color w:val="000000"/>
                <w:sz w:val="24"/>
                <w:szCs w:val="24"/>
              </w:rPr>
              <w:t>分。</w:t>
            </w:r>
          </w:p>
        </w:tc>
      </w:tr>
      <w:tr w14:paraId="3EEB8D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 w:hRule="atLeast"/>
        </w:trPr>
        <w:tc>
          <w:tcPr>
            <w:tcW w:w="1464" w:type="dxa"/>
            <w:vAlign w:val="center"/>
          </w:tcPr>
          <w:p w14:paraId="057BC10F">
            <w:pPr>
              <w:spacing w:line="360" w:lineRule="auto"/>
              <w:jc w:val="center"/>
              <w:rPr>
                <w:rFonts w:hint="eastAsia" w:ascii="宋体" w:hAnsi="宋体" w:eastAsia="宋体" w:cs="宋体"/>
                <w:b/>
                <w:bCs/>
                <w:snapToGrid w:val="0"/>
                <w:color w:val="000000"/>
                <w:sz w:val="24"/>
              </w:rPr>
            </w:pPr>
            <w:r>
              <w:rPr>
                <w:rFonts w:ascii="宋体" w:hAnsi="宋体" w:eastAsia="宋体" w:cs="宋体"/>
                <w:b/>
                <w:bCs/>
                <w:snapToGrid w:val="0"/>
                <w:color w:val="000000"/>
                <w:sz w:val="24"/>
              </w:rPr>
              <w:t>业绩</w:t>
            </w:r>
          </w:p>
          <w:p w14:paraId="2235C102">
            <w:pPr>
              <w:spacing w:line="360" w:lineRule="auto"/>
              <w:jc w:val="center"/>
              <w:rPr>
                <w:rFonts w:hint="eastAsia" w:asciiTheme="minorEastAsia" w:hAnsiTheme="minorEastAsia" w:eastAsiaTheme="minorEastAsia" w:cstheme="minorEastAsia"/>
                <w:b/>
                <w:bCs/>
                <w:snapToGrid w:val="0"/>
                <w:color w:val="000000"/>
                <w:sz w:val="24"/>
                <w:szCs w:val="24"/>
                <w:lang w:val="en-US" w:eastAsia="zh-CN"/>
              </w:rPr>
            </w:pPr>
            <w:r>
              <w:rPr>
                <w:rFonts w:hint="eastAsia" w:ascii="宋体" w:hAnsi="宋体" w:eastAsia="宋体" w:cs="宋体"/>
                <w:b/>
                <w:bCs/>
                <w:snapToGrid w:val="0"/>
                <w:color w:val="000000"/>
                <w:sz w:val="24"/>
              </w:rPr>
              <w:t>（3分）</w:t>
            </w:r>
          </w:p>
        </w:tc>
        <w:tc>
          <w:tcPr>
            <w:tcW w:w="7996" w:type="dxa"/>
            <w:vAlign w:val="top"/>
          </w:tcPr>
          <w:p w14:paraId="0FEE4EE5">
            <w:pPr>
              <w:spacing w:line="360" w:lineRule="auto"/>
              <w:ind w:firstLine="480" w:firstLineChars="200"/>
              <w:rPr>
                <w:rFonts w:hint="eastAsia" w:ascii="宋体" w:hAnsi="宋体" w:eastAsia="宋体" w:cs="宋体"/>
                <w:snapToGrid w:val="0"/>
                <w:color w:val="000000"/>
                <w:sz w:val="24"/>
              </w:rPr>
            </w:pPr>
            <w:r>
              <w:rPr>
                <w:rFonts w:hint="eastAsia" w:ascii="宋体" w:hAnsi="宋体" w:eastAsia="宋体" w:cs="宋体"/>
                <w:snapToGrid w:val="0"/>
                <w:color w:val="000000"/>
                <w:sz w:val="24"/>
                <w:lang w:val="en-US" w:eastAsia="zh-CN"/>
              </w:rPr>
              <w:t>投标人</w:t>
            </w:r>
            <w:r>
              <w:rPr>
                <w:rFonts w:hint="eastAsia" w:ascii="宋体" w:hAnsi="宋体" w:eastAsia="宋体" w:cs="宋体"/>
                <w:snapToGrid w:val="0"/>
                <w:color w:val="000000"/>
                <w:sz w:val="24"/>
              </w:rPr>
              <w:t xml:space="preserve">具有2022年01月01日至今（以合同签订时间为准）的类似项目业绩。每提供一项得1.5分，满分3分。 </w:t>
            </w:r>
          </w:p>
          <w:p w14:paraId="6E0B27B0">
            <w:pPr>
              <w:spacing w:line="360" w:lineRule="auto"/>
              <w:ind w:firstLine="480" w:firstLineChars="200"/>
              <w:rPr>
                <w:rFonts w:hint="eastAsia" w:asciiTheme="minorEastAsia" w:hAnsiTheme="minorEastAsia" w:eastAsiaTheme="minorEastAsia" w:cstheme="minorEastAsia"/>
                <w:snapToGrid w:val="0"/>
                <w:color w:val="000000"/>
                <w:sz w:val="24"/>
                <w:szCs w:val="24"/>
              </w:rPr>
            </w:pPr>
            <w:r>
              <w:rPr>
                <w:rFonts w:hint="eastAsia" w:ascii="宋体" w:hAnsi="宋体" w:eastAsia="宋体" w:cs="宋体"/>
                <w:snapToGrid w:val="0"/>
                <w:color w:val="000000"/>
                <w:sz w:val="24"/>
              </w:rPr>
              <w:t>注：</w:t>
            </w:r>
            <w:r>
              <w:rPr>
                <w:rFonts w:hint="eastAsia" w:ascii="宋体" w:hAnsi="宋体" w:eastAsia="宋体" w:cs="宋体"/>
                <w:snapToGrid w:val="0"/>
                <w:color w:val="000000"/>
                <w:sz w:val="24"/>
                <w:lang w:val="en-US" w:eastAsia="zh-CN"/>
              </w:rPr>
              <w:t>投标</w:t>
            </w:r>
            <w:r>
              <w:rPr>
                <w:rFonts w:hint="eastAsia" w:ascii="宋体" w:hAnsi="宋体" w:eastAsia="宋体" w:cs="宋体"/>
                <w:snapToGrid w:val="0"/>
                <w:color w:val="000000"/>
                <w:sz w:val="24"/>
              </w:rPr>
              <w:t>文件中提供合同复印件加盖供应商公章。</w:t>
            </w:r>
          </w:p>
        </w:tc>
      </w:tr>
    </w:tbl>
    <w:p w14:paraId="7255074C">
      <w:pPr>
        <w:shd w:val="clear"/>
        <w:spacing w:line="360" w:lineRule="auto"/>
        <w:rPr>
          <w:rFonts w:ascii="宋体" w:hAnsi="宋体" w:eastAsia="宋体" w:cs="宋体"/>
          <w:spacing w:val="4"/>
          <w:sz w:val="24"/>
          <w:highlight w:val="none"/>
        </w:rPr>
      </w:pPr>
      <w:r>
        <w:rPr>
          <w:rFonts w:hint="eastAsia" w:ascii="宋体" w:hAnsi="宋体" w:eastAsia="宋体" w:cs="宋体"/>
          <w:sz w:val="24"/>
          <w:highlight w:val="none"/>
          <w:lang w:bidi="ar"/>
        </w:rPr>
        <w:t>备注：</w:t>
      </w:r>
    </w:p>
    <w:p w14:paraId="5A5BAEBD">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1）各评委独立打分。</w:t>
      </w:r>
    </w:p>
    <w:p w14:paraId="480E1D1F">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2）评委打分超过得分界限或未按本表规定赋分时该评委的打分作废，不计入汇总分。</w:t>
      </w:r>
    </w:p>
    <w:p w14:paraId="5AB2F69B">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3）若出现综合得分并列时，比较价格得分，此分项得分高者排序在前；若价格得分仍相同，比较技术得分，此分项得分高者排序在前；若技术得分仍相同，则由全体评标委员会成员无记名投票，得票高者排序在前。</w:t>
      </w:r>
    </w:p>
    <w:p w14:paraId="447017FC">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4）计算分数时四舍五入取小数点后两位。</w:t>
      </w:r>
    </w:p>
    <w:p w14:paraId="7517CF86">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 xml:space="preserve">5）评标过程中，若出现特殊情况时，由评标委员会决定暂停评标，并提出具体处理意见。 </w:t>
      </w:r>
    </w:p>
    <w:p w14:paraId="6D4B5033">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6）评标委员会认为投标人的报价明显低于其他通过符合性审查投标人的报价，有可能影响产品质量或者不能诚信履约的，应当要求其在评标现场合理的时间内提供书面说明，必要时递交相关证明材料，投标人不能证明其报价合理性的，评标委员会应当将其作为无效投标处理。</w:t>
      </w:r>
    </w:p>
    <w:p w14:paraId="2ED029CF">
      <w:pPr>
        <w:shd w:val="clear"/>
        <w:spacing w:line="360" w:lineRule="auto"/>
        <w:rPr>
          <w:rFonts w:ascii="宋体" w:hAnsi="宋体" w:eastAsia="宋体" w:cs="宋体"/>
          <w:b/>
          <w:spacing w:val="4"/>
          <w:sz w:val="24"/>
          <w:highlight w:val="none"/>
        </w:rPr>
      </w:pPr>
      <w:r>
        <w:rPr>
          <w:rFonts w:hint="eastAsia" w:ascii="宋体" w:hAnsi="宋体" w:eastAsia="宋体" w:cs="宋体"/>
          <w:b/>
          <w:spacing w:val="4"/>
          <w:sz w:val="24"/>
          <w:highlight w:val="none"/>
          <w:lang w:bidi="ar"/>
        </w:rPr>
        <w:t>三、定标：</w:t>
      </w:r>
    </w:p>
    <w:p w14:paraId="65FC268B">
      <w:pPr>
        <w:shd w:val="clear"/>
        <w:spacing w:line="360" w:lineRule="auto"/>
        <w:ind w:firstLine="496" w:firstLineChars="200"/>
        <w:rPr>
          <w:rFonts w:ascii="宋体" w:hAnsi="宋体" w:eastAsia="宋体" w:cs="宋体"/>
          <w:spacing w:val="4"/>
          <w:sz w:val="24"/>
          <w:highlight w:val="none"/>
        </w:rPr>
      </w:pPr>
      <w:r>
        <w:rPr>
          <w:rFonts w:hint="eastAsia" w:ascii="宋体" w:hAnsi="宋体" w:eastAsia="宋体" w:cs="宋体"/>
          <w:spacing w:val="4"/>
          <w:sz w:val="24"/>
          <w:highlight w:val="none"/>
          <w:lang w:bidi="ar"/>
        </w:rPr>
        <w:t>1、评标结果由全体</w:t>
      </w:r>
      <w:r>
        <w:rPr>
          <w:rFonts w:hint="eastAsia" w:ascii="宋体" w:hAnsi="宋体" w:eastAsia="宋体" w:cs="宋体"/>
          <w:sz w:val="24"/>
          <w:highlight w:val="none"/>
          <w:lang w:bidi="ar"/>
        </w:rPr>
        <w:t>评标委员会成员</w:t>
      </w:r>
      <w:r>
        <w:rPr>
          <w:rFonts w:hint="eastAsia" w:ascii="宋体" w:hAnsi="宋体" w:eastAsia="宋体" w:cs="宋体"/>
          <w:spacing w:val="4"/>
          <w:sz w:val="24"/>
          <w:highlight w:val="none"/>
          <w:lang w:bidi="ar"/>
        </w:rPr>
        <w:t>签字确认。</w:t>
      </w:r>
    </w:p>
    <w:p w14:paraId="16C50175">
      <w:pPr>
        <w:shd w:val="clear"/>
        <w:spacing w:line="360" w:lineRule="auto"/>
        <w:ind w:firstLine="496" w:firstLineChars="200"/>
        <w:rPr>
          <w:rFonts w:ascii="宋体" w:hAnsi="宋体" w:eastAsia="宋体" w:cs="宋体"/>
          <w:spacing w:val="4"/>
          <w:sz w:val="24"/>
          <w:highlight w:val="none"/>
          <w:lang w:bidi="ar"/>
        </w:rPr>
      </w:pPr>
      <w:r>
        <w:rPr>
          <w:rFonts w:hint="eastAsia" w:ascii="宋体" w:hAnsi="宋体" w:eastAsia="宋体" w:cs="宋体"/>
          <w:spacing w:val="4"/>
          <w:sz w:val="24"/>
          <w:highlight w:val="none"/>
          <w:lang w:bidi="ar"/>
        </w:rPr>
        <w:t>2、采购人根据评标报告中推荐的中标候选人排列顺序确定成交人，以复函通知采购代理机构。</w:t>
      </w:r>
    </w:p>
    <w:bookmarkEnd w:id="40"/>
    <w:bookmarkEnd w:id="61"/>
    <w:bookmarkEnd w:id="62"/>
    <w:bookmarkEnd w:id="63"/>
    <w:bookmarkEnd w:id="64"/>
    <w:bookmarkEnd w:id="65"/>
    <w:bookmarkEnd w:id="66"/>
    <w:bookmarkEnd w:id="67"/>
    <w:bookmarkEnd w:id="68"/>
    <w:bookmarkEnd w:id="69"/>
    <w:p w14:paraId="20C501F3">
      <w:pPr>
        <w:pStyle w:val="2"/>
        <w:shd w:val="clear"/>
        <w:rPr>
          <w:highlight w:val="none"/>
        </w:rPr>
        <w:sectPr>
          <w:pgSz w:w="11906" w:h="16838"/>
          <w:pgMar w:top="1440" w:right="1800" w:bottom="1440" w:left="1800" w:header="1135" w:footer="1135" w:gutter="0"/>
          <w:pgNumType w:fmt="decimal"/>
          <w:cols w:space="425" w:num="1"/>
          <w:docGrid w:type="lines" w:linePitch="312" w:charSpace="0"/>
        </w:sectPr>
      </w:pPr>
      <w:bookmarkStart w:id="85" w:name="_Toc7664"/>
      <w:bookmarkStart w:id="86" w:name="_Toc8457"/>
      <w:bookmarkStart w:id="87" w:name="_Toc363474025"/>
      <w:bookmarkStart w:id="88" w:name="_Toc23323"/>
    </w:p>
    <w:p w14:paraId="04AD4EAE">
      <w:pPr>
        <w:pStyle w:val="2"/>
        <w:shd w:val="clear"/>
        <w:rPr>
          <w:rFonts w:hint="default"/>
          <w:highlight w:val="none"/>
        </w:rPr>
      </w:pPr>
      <w:r>
        <w:rPr>
          <w:highlight w:val="none"/>
        </w:rPr>
        <w:t>第七章 投标文件构成及格式</w:t>
      </w:r>
      <w:bookmarkEnd w:id="85"/>
      <w:bookmarkEnd w:id="86"/>
      <w:bookmarkEnd w:id="87"/>
      <w:bookmarkEnd w:id="88"/>
    </w:p>
    <w:p w14:paraId="42FB4F23">
      <w:pPr>
        <w:shd w:val="clear"/>
        <w:rPr>
          <w:rFonts w:ascii="宋体" w:hAnsi="宋体" w:eastAsia="宋体" w:cs="宋体"/>
          <w:highlight w:val="none"/>
        </w:rPr>
      </w:pPr>
      <w:bookmarkStart w:id="89" w:name="_Toc15048"/>
      <w:bookmarkStart w:id="90" w:name="_Toc11086"/>
      <w:bookmarkStart w:id="91" w:name="_Toc10636"/>
    </w:p>
    <w:p w14:paraId="317DC837">
      <w:pPr>
        <w:shd w:val="clear"/>
        <w:ind w:firstLine="6746" w:firstLineChars="2100"/>
        <w:rPr>
          <w:rFonts w:ascii="宋体" w:hAnsi="宋体" w:eastAsia="宋体" w:cs="宋体"/>
          <w:b/>
          <w:bCs/>
          <w:sz w:val="28"/>
          <w:szCs w:val="28"/>
          <w:highlight w:val="none"/>
        </w:rPr>
      </w:pPr>
      <w:r>
        <w:rPr>
          <w:rFonts w:hint="eastAsia" w:ascii="宋体" w:hAnsi="宋体" w:eastAsia="宋体" w:cs="宋体"/>
          <w:b/>
          <w:bCs/>
          <w:sz w:val="32"/>
          <w:szCs w:val="32"/>
          <w:highlight w:val="none"/>
        </w:rPr>
        <w:t>正本/副本</w:t>
      </w:r>
    </w:p>
    <w:p w14:paraId="1F06F10F">
      <w:pPr>
        <w:pStyle w:val="198"/>
        <w:shd w:val="clear"/>
        <w:spacing w:line="240" w:lineRule="auto"/>
        <w:ind w:firstLine="0" w:firstLineChars="0"/>
        <w:rPr>
          <w:rFonts w:ascii="宋体" w:hAnsi="宋体" w:eastAsia="宋体" w:cs="宋体"/>
          <w:b/>
          <w:bCs/>
          <w:sz w:val="32"/>
          <w:szCs w:val="32"/>
          <w:highlight w:val="none"/>
        </w:rPr>
      </w:pPr>
      <w:r>
        <w:rPr>
          <w:rFonts w:hint="eastAsia" w:ascii="宋体" w:hAnsi="宋体" w:eastAsia="宋体" w:cs="宋体"/>
          <w:b/>
          <w:bCs/>
          <w:sz w:val="32"/>
          <w:szCs w:val="32"/>
          <w:highlight w:val="none"/>
        </w:rPr>
        <w:t>（项目编号：      ）</w:t>
      </w:r>
    </w:p>
    <w:p w14:paraId="33A175FF">
      <w:pPr>
        <w:pStyle w:val="198"/>
        <w:shd w:val="clear"/>
        <w:spacing w:line="240" w:lineRule="auto"/>
        <w:ind w:firstLine="0" w:firstLineChars="0"/>
        <w:rPr>
          <w:rFonts w:ascii="宋体" w:hAnsi="宋体" w:eastAsia="宋体" w:cs="宋体"/>
          <w:sz w:val="36"/>
          <w:szCs w:val="36"/>
          <w:highlight w:val="none"/>
        </w:rPr>
      </w:pPr>
    </w:p>
    <w:p w14:paraId="2AC6D392">
      <w:pPr>
        <w:pStyle w:val="63"/>
        <w:widowControl/>
        <w:shd w:val="clear"/>
        <w:jc w:val="center"/>
        <w:rPr>
          <w:rFonts w:hint="default"/>
          <w:color w:val="auto"/>
          <w:highlight w:val="none"/>
        </w:rPr>
      </w:pPr>
      <w:r>
        <w:rPr>
          <w:rFonts w:hint="eastAsia" w:asciiTheme="minorEastAsia" w:hAnsiTheme="minorEastAsia" w:eastAsiaTheme="minorEastAsia" w:cstheme="minorEastAsia"/>
          <w:b/>
          <w:bCs/>
          <w:sz w:val="48"/>
          <w:szCs w:val="48"/>
          <w:highlight w:val="none"/>
          <w:lang w:eastAsia="zh-CN"/>
        </w:rPr>
        <w:t>榆林市市委机关事务服务中心市委机关大院应急柴油发电机组及应急备电货物项目</w:t>
      </w:r>
    </w:p>
    <w:p w14:paraId="69AAABBB">
      <w:pPr>
        <w:shd w:val="clear"/>
        <w:rPr>
          <w:rFonts w:ascii="宋体" w:hAnsi="宋体" w:eastAsia="宋体" w:cs="宋体"/>
          <w:b/>
          <w:sz w:val="28"/>
          <w:highlight w:val="none"/>
        </w:rPr>
      </w:pPr>
    </w:p>
    <w:p w14:paraId="30C4B219">
      <w:pPr>
        <w:shd w:val="clear"/>
        <w:bidi w:val="0"/>
        <w:rPr>
          <w:highlight w:val="none"/>
        </w:rPr>
      </w:pPr>
    </w:p>
    <w:p w14:paraId="2AE00C8F">
      <w:pPr>
        <w:shd w:val="clear"/>
        <w:rPr>
          <w:highlight w:val="none"/>
        </w:rPr>
      </w:pPr>
    </w:p>
    <w:p w14:paraId="12680C9F">
      <w:pPr>
        <w:pStyle w:val="16"/>
        <w:shd w:val="clear"/>
        <w:rPr>
          <w:highlight w:val="none"/>
        </w:rPr>
      </w:pPr>
    </w:p>
    <w:p w14:paraId="20383D7F">
      <w:pPr>
        <w:shd w:val="clear"/>
        <w:rPr>
          <w:rFonts w:ascii="宋体" w:hAnsi="宋体" w:eastAsia="宋体" w:cs="宋体"/>
          <w:szCs w:val="20"/>
          <w:highlight w:val="none"/>
        </w:rPr>
      </w:pPr>
    </w:p>
    <w:p w14:paraId="5C4DBCF4">
      <w:pPr>
        <w:widowControl/>
        <w:shd w:val="clear"/>
        <w:jc w:val="center"/>
        <w:rPr>
          <w:rFonts w:ascii="宋体" w:hAnsi="宋体" w:eastAsia="宋体" w:cs="宋体"/>
          <w:b/>
          <w:kern w:val="0"/>
          <w:sz w:val="96"/>
          <w:szCs w:val="96"/>
          <w:highlight w:val="none"/>
        </w:rPr>
      </w:pPr>
      <w:r>
        <w:rPr>
          <w:rFonts w:hint="eastAsia" w:ascii="宋体" w:hAnsi="宋体" w:eastAsia="宋体" w:cs="宋体"/>
          <w:b/>
          <w:spacing w:val="323"/>
          <w:kern w:val="0"/>
          <w:sz w:val="96"/>
          <w:szCs w:val="96"/>
          <w:highlight w:val="none"/>
        </w:rPr>
        <w:t>投标文</w:t>
      </w:r>
      <w:r>
        <w:rPr>
          <w:rFonts w:hint="eastAsia" w:ascii="宋体" w:hAnsi="宋体" w:eastAsia="宋体" w:cs="宋体"/>
          <w:b/>
          <w:kern w:val="0"/>
          <w:sz w:val="96"/>
          <w:szCs w:val="96"/>
          <w:highlight w:val="none"/>
        </w:rPr>
        <w:t>件</w:t>
      </w:r>
    </w:p>
    <w:p w14:paraId="0703630F">
      <w:pPr>
        <w:shd w:val="clear"/>
        <w:rPr>
          <w:rFonts w:ascii="宋体" w:hAnsi="宋体" w:eastAsia="宋体" w:cs="宋体"/>
          <w:bCs/>
          <w:sz w:val="28"/>
          <w:highlight w:val="none"/>
        </w:rPr>
      </w:pPr>
    </w:p>
    <w:p w14:paraId="3C42D470">
      <w:pPr>
        <w:pStyle w:val="198"/>
        <w:shd w:val="clear"/>
        <w:spacing w:line="240" w:lineRule="auto"/>
        <w:ind w:firstLine="0" w:firstLineChars="0"/>
        <w:jc w:val="center"/>
        <w:rPr>
          <w:rFonts w:ascii="宋体" w:hAnsi="宋体" w:eastAsia="宋体" w:cs="宋体"/>
          <w:sz w:val="36"/>
          <w:highlight w:val="none"/>
        </w:rPr>
      </w:pPr>
    </w:p>
    <w:p w14:paraId="163E3793">
      <w:pPr>
        <w:pStyle w:val="198"/>
        <w:shd w:val="clear"/>
        <w:spacing w:line="240" w:lineRule="auto"/>
        <w:ind w:firstLine="0" w:firstLineChars="0"/>
        <w:rPr>
          <w:rFonts w:ascii="宋体" w:hAnsi="宋体" w:eastAsia="宋体" w:cs="宋体"/>
          <w:sz w:val="36"/>
          <w:highlight w:val="none"/>
        </w:rPr>
      </w:pPr>
    </w:p>
    <w:p w14:paraId="560B5B7F">
      <w:pPr>
        <w:pStyle w:val="198"/>
        <w:shd w:val="clear"/>
        <w:spacing w:line="240" w:lineRule="auto"/>
        <w:ind w:firstLine="0" w:firstLineChars="0"/>
        <w:rPr>
          <w:rFonts w:ascii="宋体" w:hAnsi="宋体" w:eastAsia="宋体" w:cs="宋体"/>
          <w:sz w:val="36"/>
          <w:highlight w:val="none"/>
        </w:rPr>
      </w:pPr>
    </w:p>
    <w:p w14:paraId="7445AFAD">
      <w:pPr>
        <w:pStyle w:val="198"/>
        <w:shd w:val="clear"/>
        <w:spacing w:line="240" w:lineRule="auto"/>
        <w:ind w:firstLine="0" w:firstLineChars="0"/>
        <w:rPr>
          <w:rFonts w:ascii="宋体" w:hAnsi="宋体" w:eastAsia="宋体" w:cs="宋体"/>
          <w:sz w:val="36"/>
          <w:highlight w:val="none"/>
        </w:rPr>
      </w:pPr>
    </w:p>
    <w:p w14:paraId="05D2CC1E">
      <w:pPr>
        <w:pStyle w:val="198"/>
        <w:shd w:val="clear"/>
        <w:spacing w:line="240" w:lineRule="auto"/>
        <w:ind w:firstLine="0" w:firstLineChars="0"/>
        <w:jc w:val="center"/>
        <w:rPr>
          <w:rFonts w:ascii="宋体" w:hAnsi="宋体" w:eastAsia="宋体" w:cs="宋体"/>
          <w:sz w:val="36"/>
          <w:highlight w:val="none"/>
        </w:rPr>
      </w:pPr>
    </w:p>
    <w:p w14:paraId="0CD98EF3">
      <w:pPr>
        <w:pStyle w:val="198"/>
        <w:shd w:val="clear"/>
        <w:spacing w:line="240" w:lineRule="auto"/>
        <w:ind w:firstLine="1691" w:firstLineChars="468"/>
        <w:rPr>
          <w:rFonts w:ascii="宋体" w:hAnsi="宋体" w:eastAsia="宋体" w:cs="宋体"/>
          <w:b/>
          <w:bCs/>
          <w:sz w:val="36"/>
          <w:highlight w:val="none"/>
          <w:u w:val="single"/>
        </w:rPr>
      </w:pPr>
      <w:r>
        <w:rPr>
          <w:rFonts w:hint="eastAsia" w:ascii="宋体" w:hAnsi="宋体" w:eastAsia="宋体" w:cs="宋体"/>
          <w:b/>
          <w:bCs/>
          <w:sz w:val="36"/>
          <w:highlight w:val="none"/>
        </w:rPr>
        <w:t>投标人名称：</w:t>
      </w:r>
      <w:r>
        <w:rPr>
          <w:rFonts w:hint="eastAsia" w:ascii="宋体" w:hAnsi="宋体" w:eastAsia="宋体" w:cs="宋体"/>
          <w:b/>
          <w:bCs/>
          <w:sz w:val="36"/>
          <w:highlight w:val="none"/>
          <w:u w:val="single"/>
        </w:rPr>
        <w:t xml:space="preserve">          （盖章）</w:t>
      </w:r>
    </w:p>
    <w:p w14:paraId="7658BD18">
      <w:pPr>
        <w:pStyle w:val="198"/>
        <w:shd w:val="clear"/>
        <w:spacing w:line="240" w:lineRule="auto"/>
        <w:ind w:firstLine="1691" w:firstLineChars="468"/>
        <w:rPr>
          <w:rFonts w:ascii="宋体" w:hAnsi="宋体" w:eastAsia="宋体" w:cs="宋体"/>
          <w:b/>
          <w:bCs/>
          <w:sz w:val="36"/>
          <w:highlight w:val="none"/>
          <w:u w:val="single"/>
        </w:rPr>
      </w:pPr>
      <w:r>
        <w:rPr>
          <w:rFonts w:hint="eastAsia" w:ascii="宋体" w:hAnsi="宋体" w:eastAsia="宋体" w:cs="宋体"/>
          <w:b/>
          <w:bCs/>
          <w:sz w:val="36"/>
          <w:highlight w:val="none"/>
        </w:rPr>
        <w:t>时　间：__________________</w:t>
      </w:r>
    </w:p>
    <w:p w14:paraId="6C67AFFD">
      <w:pPr>
        <w:shd w:val="clear"/>
        <w:rPr>
          <w:rFonts w:ascii="宋体" w:hAnsi="宋体" w:eastAsia="宋体" w:cs="宋体"/>
          <w:b/>
          <w:sz w:val="32"/>
          <w:szCs w:val="32"/>
          <w:highlight w:val="none"/>
        </w:rPr>
      </w:pPr>
    </w:p>
    <w:p w14:paraId="2AA6AA68">
      <w:pPr>
        <w:pStyle w:val="3"/>
        <w:shd w:val="clear"/>
        <w:jc w:val="center"/>
        <w:rPr>
          <w:highlight w:val="none"/>
        </w:rPr>
      </w:pPr>
      <w:r>
        <w:rPr>
          <w:rFonts w:hint="eastAsia"/>
          <w:highlight w:val="none"/>
        </w:rPr>
        <w:t>第一部分 资格证明文件</w:t>
      </w:r>
      <w:bookmarkEnd w:id="89"/>
      <w:bookmarkEnd w:id="90"/>
      <w:bookmarkEnd w:id="91"/>
    </w:p>
    <w:p w14:paraId="4630DCFA">
      <w:pPr>
        <w:pStyle w:val="3"/>
        <w:shd w:val="clear"/>
        <w:spacing w:before="0" w:after="0" w:line="360" w:lineRule="auto"/>
        <w:ind w:left="0" w:firstLine="241" w:firstLineChars="100"/>
        <w:rPr>
          <w:b/>
          <w:bCs w:val="0"/>
          <w:sz w:val="24"/>
          <w:szCs w:val="24"/>
          <w:highlight w:val="none"/>
        </w:rPr>
      </w:pPr>
      <w:bookmarkStart w:id="92" w:name="_Toc21626"/>
      <w:bookmarkStart w:id="93" w:name="_Toc15779"/>
      <w:r>
        <w:rPr>
          <w:rFonts w:hint="eastAsia"/>
          <w:b/>
          <w:bCs w:val="0"/>
          <w:sz w:val="24"/>
          <w:szCs w:val="24"/>
          <w:highlight w:val="none"/>
        </w:rPr>
        <w:t>一、营业执照等主体资格证明文件</w:t>
      </w:r>
      <w:bookmarkEnd w:id="92"/>
      <w:bookmarkEnd w:id="93"/>
      <w:r>
        <w:rPr>
          <w:rFonts w:hint="eastAsia"/>
          <w:b/>
          <w:bCs w:val="0"/>
          <w:sz w:val="24"/>
          <w:szCs w:val="24"/>
          <w:highlight w:val="none"/>
          <w:lang w:eastAsia="zh-CN"/>
        </w:rPr>
        <w:t>（</w:t>
      </w:r>
      <w:r>
        <w:rPr>
          <w:rFonts w:hint="eastAsia"/>
          <w:b/>
          <w:bCs w:val="0"/>
          <w:sz w:val="24"/>
          <w:szCs w:val="24"/>
          <w:highlight w:val="none"/>
          <w:lang w:val="en-US" w:eastAsia="zh-CN"/>
        </w:rPr>
        <w:t>资质证书及安全生产许可证</w:t>
      </w:r>
      <w:r>
        <w:rPr>
          <w:rFonts w:hint="eastAsia"/>
          <w:b/>
          <w:bCs w:val="0"/>
          <w:sz w:val="24"/>
          <w:szCs w:val="24"/>
          <w:highlight w:val="none"/>
          <w:lang w:eastAsia="zh-CN"/>
        </w:rPr>
        <w:t>）</w:t>
      </w:r>
      <w:r>
        <w:rPr>
          <w:rFonts w:hint="eastAsia"/>
          <w:b/>
          <w:bCs w:val="0"/>
          <w:sz w:val="24"/>
          <w:szCs w:val="24"/>
          <w:highlight w:val="none"/>
        </w:rPr>
        <w:t xml:space="preserve"> </w:t>
      </w:r>
    </w:p>
    <w:p w14:paraId="597906CF">
      <w:pPr>
        <w:pStyle w:val="3"/>
        <w:shd w:val="clear"/>
        <w:spacing w:before="0" w:after="0" w:line="360" w:lineRule="auto"/>
        <w:ind w:left="0" w:firstLine="241" w:firstLineChars="100"/>
        <w:rPr>
          <w:rFonts w:hint="eastAsia"/>
          <w:b/>
          <w:bCs w:val="0"/>
          <w:sz w:val="24"/>
          <w:szCs w:val="24"/>
          <w:highlight w:val="none"/>
        </w:rPr>
      </w:pPr>
      <w:bookmarkStart w:id="94" w:name="_Toc14790"/>
      <w:bookmarkStart w:id="95" w:name="_Toc12381"/>
      <w:r>
        <w:rPr>
          <w:rFonts w:hint="eastAsia"/>
          <w:b/>
          <w:bCs w:val="0"/>
          <w:sz w:val="24"/>
          <w:szCs w:val="24"/>
          <w:highlight w:val="none"/>
        </w:rPr>
        <w:t>二、财务状况报告</w:t>
      </w:r>
      <w:bookmarkEnd w:id="94"/>
      <w:bookmarkEnd w:id="95"/>
      <w:r>
        <w:rPr>
          <w:rFonts w:hint="eastAsia"/>
          <w:b/>
          <w:bCs w:val="0"/>
          <w:sz w:val="24"/>
          <w:szCs w:val="24"/>
          <w:highlight w:val="none"/>
        </w:rPr>
        <w:t xml:space="preserve"> </w:t>
      </w:r>
    </w:p>
    <w:p w14:paraId="3277DA53">
      <w:pPr>
        <w:pStyle w:val="3"/>
        <w:shd w:val="clear"/>
        <w:spacing w:before="0" w:after="0" w:line="360" w:lineRule="auto"/>
        <w:ind w:left="0" w:firstLine="241" w:firstLineChars="100"/>
        <w:rPr>
          <w:rFonts w:hint="eastAsia"/>
          <w:b/>
          <w:bCs w:val="0"/>
          <w:sz w:val="24"/>
          <w:szCs w:val="24"/>
          <w:highlight w:val="none"/>
        </w:rPr>
      </w:pPr>
      <w:bookmarkStart w:id="96" w:name="_Toc26719"/>
      <w:bookmarkStart w:id="97" w:name="_Toc30842"/>
      <w:r>
        <w:rPr>
          <w:rFonts w:hint="eastAsia"/>
          <w:b/>
          <w:bCs w:val="0"/>
          <w:sz w:val="24"/>
          <w:szCs w:val="24"/>
          <w:highlight w:val="none"/>
        </w:rPr>
        <w:t>三、社保缴纳证明</w:t>
      </w:r>
      <w:bookmarkEnd w:id="96"/>
      <w:bookmarkEnd w:id="97"/>
      <w:r>
        <w:rPr>
          <w:rFonts w:hint="eastAsia"/>
          <w:b/>
          <w:bCs w:val="0"/>
          <w:sz w:val="24"/>
          <w:szCs w:val="24"/>
          <w:highlight w:val="none"/>
        </w:rPr>
        <w:t xml:space="preserve"> </w:t>
      </w:r>
    </w:p>
    <w:p w14:paraId="6AD4C204">
      <w:pPr>
        <w:pStyle w:val="3"/>
        <w:shd w:val="clear"/>
        <w:spacing w:before="0" w:after="0" w:line="360" w:lineRule="auto"/>
        <w:ind w:left="0" w:firstLine="241" w:firstLineChars="100"/>
        <w:rPr>
          <w:rFonts w:hint="eastAsia"/>
          <w:b/>
          <w:bCs w:val="0"/>
          <w:sz w:val="24"/>
          <w:szCs w:val="24"/>
          <w:highlight w:val="none"/>
        </w:rPr>
      </w:pPr>
      <w:bookmarkStart w:id="98" w:name="_Toc20979"/>
      <w:bookmarkStart w:id="99" w:name="_Toc30794"/>
      <w:bookmarkStart w:id="100" w:name="_Toc14334"/>
      <w:bookmarkStart w:id="101" w:name="_Toc4067"/>
      <w:r>
        <w:rPr>
          <w:rFonts w:hint="eastAsia"/>
          <w:b/>
          <w:bCs w:val="0"/>
          <w:sz w:val="24"/>
          <w:szCs w:val="24"/>
          <w:highlight w:val="none"/>
        </w:rPr>
        <w:t>四、税收缴纳证明</w:t>
      </w:r>
      <w:bookmarkEnd w:id="98"/>
      <w:bookmarkEnd w:id="99"/>
      <w:r>
        <w:rPr>
          <w:rFonts w:hint="eastAsia"/>
          <w:b/>
          <w:bCs w:val="0"/>
          <w:sz w:val="24"/>
          <w:szCs w:val="24"/>
          <w:highlight w:val="none"/>
        </w:rPr>
        <w:t xml:space="preserve"> </w:t>
      </w:r>
    </w:p>
    <w:p w14:paraId="5561F333">
      <w:pPr>
        <w:pStyle w:val="3"/>
        <w:shd w:val="clear"/>
        <w:spacing w:before="0" w:after="0" w:line="360" w:lineRule="auto"/>
        <w:ind w:left="0" w:firstLine="241" w:firstLineChars="100"/>
        <w:rPr>
          <w:rFonts w:hint="eastAsia"/>
          <w:b/>
          <w:bCs w:val="0"/>
          <w:sz w:val="24"/>
          <w:szCs w:val="24"/>
          <w:highlight w:val="none"/>
        </w:rPr>
      </w:pPr>
      <w:r>
        <w:rPr>
          <w:rFonts w:hint="eastAsia"/>
          <w:b/>
          <w:bCs w:val="0"/>
          <w:sz w:val="24"/>
          <w:szCs w:val="24"/>
          <w:highlight w:val="none"/>
        </w:rPr>
        <w:t>五、信用查询</w:t>
      </w:r>
      <w:bookmarkEnd w:id="100"/>
      <w:bookmarkEnd w:id="101"/>
    </w:p>
    <w:p w14:paraId="01A119F5">
      <w:pPr>
        <w:pStyle w:val="3"/>
        <w:shd w:val="clear"/>
        <w:spacing w:before="0" w:after="0" w:line="360" w:lineRule="auto"/>
        <w:ind w:left="0" w:firstLine="241" w:firstLineChars="100"/>
        <w:rPr>
          <w:rFonts w:hint="eastAsia"/>
          <w:b/>
          <w:bCs w:val="0"/>
          <w:sz w:val="24"/>
          <w:szCs w:val="24"/>
          <w:highlight w:val="none"/>
        </w:rPr>
      </w:pPr>
      <w:bookmarkStart w:id="102" w:name="_Toc21735"/>
      <w:bookmarkStart w:id="103" w:name="_Toc25978"/>
      <w:r>
        <w:rPr>
          <w:rFonts w:hint="eastAsia"/>
          <w:b/>
          <w:bCs w:val="0"/>
          <w:sz w:val="24"/>
          <w:szCs w:val="24"/>
          <w:highlight w:val="none"/>
        </w:rPr>
        <w:t>六、书面声明函</w:t>
      </w:r>
      <w:bookmarkEnd w:id="102"/>
      <w:bookmarkEnd w:id="103"/>
    </w:p>
    <w:p w14:paraId="2CD3C492">
      <w:pPr>
        <w:pStyle w:val="199"/>
        <w:shd w:val="clear"/>
        <w:spacing w:line="360" w:lineRule="auto"/>
        <w:jc w:val="center"/>
        <w:outlineLvl w:val="9"/>
        <w:rPr>
          <w:rFonts w:ascii="Arial" w:hAnsi="Arial" w:eastAsia="宋体"/>
          <w:bCs w:val="0"/>
          <w:kern w:val="0"/>
          <w:sz w:val="24"/>
          <w:szCs w:val="24"/>
          <w:highlight w:val="none"/>
          <w:lang w:bidi="ar"/>
        </w:rPr>
      </w:pPr>
      <w:bookmarkStart w:id="104" w:name="_Toc27143"/>
      <w:bookmarkStart w:id="105" w:name="_Toc30781"/>
      <w:bookmarkStart w:id="106" w:name="_Toc16242"/>
      <w:bookmarkStart w:id="107" w:name="_Toc23995"/>
      <w:r>
        <w:rPr>
          <w:rFonts w:hint="eastAsia" w:ascii="Arial" w:hAnsi="Arial" w:eastAsia="宋体"/>
          <w:bCs w:val="0"/>
          <w:kern w:val="0"/>
          <w:sz w:val="24"/>
          <w:szCs w:val="24"/>
          <w:highlight w:val="none"/>
          <w:lang w:bidi="ar"/>
        </w:rPr>
        <w:t>书面声明函</w:t>
      </w:r>
      <w:bookmarkEnd w:id="104"/>
      <w:bookmarkEnd w:id="105"/>
      <w:bookmarkEnd w:id="106"/>
      <w:bookmarkEnd w:id="107"/>
    </w:p>
    <w:p w14:paraId="05E18D71">
      <w:pPr>
        <w:widowControl/>
        <w:shd w:val="clear"/>
        <w:spacing w:line="360" w:lineRule="auto"/>
        <w:rPr>
          <w:rFonts w:ascii="宋体" w:hAnsi="宋体" w:eastAsia="宋体" w:cs="宋体"/>
          <w:sz w:val="24"/>
          <w:highlight w:val="none"/>
        </w:rPr>
      </w:pPr>
      <w:r>
        <w:rPr>
          <w:rFonts w:hint="eastAsia" w:ascii="宋体" w:hAnsi="宋体" w:eastAsia="宋体" w:cs="宋体"/>
          <w:sz w:val="24"/>
          <w:highlight w:val="none"/>
        </w:rPr>
        <w:t>陕西中财招标代理有限公司：</w:t>
      </w:r>
    </w:p>
    <w:p w14:paraId="7A732D7B">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我方作为</w:t>
      </w:r>
      <w:r>
        <w:rPr>
          <w:rFonts w:hint="eastAsia" w:ascii="宋体" w:hAnsi="宋体" w:eastAsia="宋体" w:cs="宋体"/>
          <w:sz w:val="24"/>
          <w:highlight w:val="none"/>
          <w:u w:val="single"/>
          <w:lang w:val="en-US" w:eastAsia="zh-CN"/>
        </w:rPr>
        <w:t xml:space="preserve">            </w:t>
      </w:r>
      <w:r>
        <w:rPr>
          <w:rFonts w:hint="eastAsia" w:ascii="宋体" w:hAnsi="宋体" w:eastAsia="宋体" w:cs="宋体"/>
          <w:sz w:val="24"/>
          <w:highlight w:val="none"/>
        </w:rPr>
        <w:t>（项目编号：</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）的投标供应商，在此郑重声明：</w:t>
      </w:r>
    </w:p>
    <w:p w14:paraId="32FE2515">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1、在参加政府采购活动前3年内的经营活动中</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（填“没有”或“有”）重大违法记录。供应商</w:t>
      </w:r>
      <w:r>
        <w:rPr>
          <w:rFonts w:hint="eastAsia" w:ascii="宋体" w:hAnsi="宋体" w:eastAsia="宋体" w:cs="宋体"/>
          <w:b/>
          <w:bCs/>
          <w:sz w:val="24"/>
          <w:highlight w:val="none"/>
        </w:rPr>
        <w:t>在参加政府采购活动前3年内因违法经营被禁止在一定期限内参加政府采购活动，期限届满的，可以参加政府采购活动，但应提供期限届满的证明材料。</w:t>
      </w:r>
    </w:p>
    <w:p w14:paraId="5F0598F7">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2、我方</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（填“未被列入”或“被列入”）失信被执行人名单。</w:t>
      </w:r>
    </w:p>
    <w:p w14:paraId="6047A010">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3、我方</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（填“未被列入”或“被列入”）</w:t>
      </w:r>
      <w:r>
        <w:rPr>
          <w:rFonts w:hint="eastAsia" w:ascii="宋体" w:hAnsi="宋体" w:eastAsia="宋体" w:cs="宋体"/>
          <w:sz w:val="24"/>
          <w:highlight w:val="none"/>
          <w:lang w:eastAsia="zh-CN"/>
        </w:rPr>
        <w:t>重大税收违法失信主体</w:t>
      </w:r>
      <w:r>
        <w:rPr>
          <w:rFonts w:hint="eastAsia" w:ascii="宋体" w:hAnsi="宋体" w:eastAsia="宋体" w:cs="宋体"/>
          <w:sz w:val="24"/>
          <w:highlight w:val="none"/>
        </w:rPr>
        <w:t>。</w:t>
      </w:r>
    </w:p>
    <w:p w14:paraId="3034D646">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4、我方</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（填“未被列入”或“被列入”）政府采购严重违法失信行为记录名单。</w:t>
      </w:r>
    </w:p>
    <w:p w14:paraId="5D4B2968">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如有不实，我方将无条件地退出本项目的采购活动，并遵照《政府采购法》有关“提供虚假材料的规定”接受处罚。</w:t>
      </w:r>
    </w:p>
    <w:p w14:paraId="065B9D32">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特此声明。</w:t>
      </w:r>
    </w:p>
    <w:p w14:paraId="68E063DF">
      <w:pPr>
        <w:widowControl/>
        <w:shd w:val="clear"/>
        <w:spacing w:line="360" w:lineRule="auto"/>
        <w:ind w:firstLine="480" w:firstLineChars="200"/>
        <w:rPr>
          <w:rFonts w:ascii="宋体" w:hAnsi="宋体" w:eastAsia="宋体" w:cs="宋体"/>
          <w:sz w:val="24"/>
          <w:highlight w:val="none"/>
        </w:rPr>
      </w:pPr>
    </w:p>
    <w:p w14:paraId="7387CDAC">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投标人：      （盖公章）</w:t>
      </w:r>
    </w:p>
    <w:p w14:paraId="4EDCD94D">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法定代表人或授权代表：（签字或盖章）</w:t>
      </w:r>
    </w:p>
    <w:p w14:paraId="47318033">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日期：　　年　月　日</w:t>
      </w:r>
      <w:bookmarkStart w:id="108" w:name="_Toc2892"/>
      <w:bookmarkStart w:id="109" w:name="_Toc32391"/>
    </w:p>
    <w:p w14:paraId="0B8DE510">
      <w:pPr>
        <w:pStyle w:val="3"/>
        <w:shd w:val="clear"/>
        <w:spacing w:before="0" w:after="0" w:line="360" w:lineRule="auto"/>
        <w:ind w:left="0" w:firstLine="241" w:firstLineChars="100"/>
        <w:rPr>
          <w:sz w:val="24"/>
          <w:szCs w:val="24"/>
          <w:highlight w:val="none"/>
        </w:rPr>
      </w:pPr>
      <w:r>
        <w:rPr>
          <w:rFonts w:hint="eastAsia"/>
          <w:sz w:val="24"/>
          <w:szCs w:val="24"/>
          <w:highlight w:val="none"/>
        </w:rPr>
        <w:t>七、提供具有履行合同所必需的设备和专业技术能力的证明资料或承诺书；</w:t>
      </w:r>
      <w:bookmarkEnd w:id="108"/>
      <w:bookmarkEnd w:id="109"/>
    </w:p>
    <w:p w14:paraId="4015A146">
      <w:pPr>
        <w:pStyle w:val="3"/>
        <w:shd w:val="clear"/>
        <w:spacing w:before="0" w:after="0" w:line="360" w:lineRule="auto"/>
        <w:ind w:left="0" w:firstLine="241" w:firstLineChars="100"/>
        <w:rPr>
          <w:sz w:val="24"/>
          <w:szCs w:val="24"/>
          <w:highlight w:val="none"/>
        </w:rPr>
      </w:pPr>
      <w:bookmarkStart w:id="110" w:name="_Toc7758"/>
      <w:bookmarkStart w:id="111" w:name="_Toc7295"/>
      <w:r>
        <w:rPr>
          <w:rFonts w:hint="eastAsia"/>
          <w:sz w:val="24"/>
          <w:szCs w:val="24"/>
          <w:highlight w:val="none"/>
        </w:rPr>
        <w:t>八、</w:t>
      </w:r>
      <w:r>
        <w:rPr>
          <w:rFonts w:hint="eastAsia"/>
          <w:sz w:val="24"/>
          <w:szCs w:val="24"/>
          <w:highlight w:val="none"/>
          <w:lang w:eastAsia="zh-CN"/>
        </w:rPr>
        <w:t>投标信用承诺书</w:t>
      </w:r>
      <w:r>
        <w:rPr>
          <w:rFonts w:hint="eastAsia"/>
          <w:sz w:val="24"/>
          <w:szCs w:val="24"/>
          <w:highlight w:val="none"/>
        </w:rPr>
        <w:t>；</w:t>
      </w:r>
      <w:bookmarkEnd w:id="110"/>
      <w:bookmarkEnd w:id="111"/>
    </w:p>
    <w:p w14:paraId="105412C3">
      <w:pPr>
        <w:keepNext w:val="0"/>
        <w:keepLines w:val="0"/>
        <w:pageBreakBefore w:val="0"/>
        <w:widowControl/>
        <w:shd w:val="clear"/>
        <w:kinsoku/>
        <w:wordWrap/>
        <w:overflowPunct/>
        <w:topLinePunct w:val="0"/>
        <w:autoSpaceDE/>
        <w:autoSpaceDN/>
        <w:bidi w:val="0"/>
        <w:spacing w:line="360" w:lineRule="auto"/>
        <w:jc w:val="left"/>
        <w:textAlignment w:val="auto"/>
        <w:rPr>
          <w:rFonts w:ascii="宋体" w:cs="宋体"/>
          <w:kern w:val="0"/>
          <w:sz w:val="24"/>
          <w:highlight w:val="none"/>
          <w:u w:val="single"/>
        </w:rPr>
      </w:pPr>
      <w:r>
        <w:rPr>
          <w:rFonts w:hint="eastAsia" w:ascii="宋体" w:hAnsi="宋体" w:cs="宋体"/>
          <w:kern w:val="0"/>
          <w:sz w:val="24"/>
          <w:highlight w:val="none"/>
        </w:rPr>
        <w:t>项目</w:t>
      </w:r>
      <w:r>
        <w:rPr>
          <w:rFonts w:hint="eastAsia" w:ascii="宋体" w:hAnsi="宋体" w:cs="宋体"/>
          <w:kern w:val="0"/>
          <w:sz w:val="24"/>
          <w:highlight w:val="none"/>
          <w:lang w:val="en-US" w:eastAsia="zh-CN"/>
        </w:rPr>
        <w:t>名称</w:t>
      </w:r>
      <w:r>
        <w:rPr>
          <w:rFonts w:hint="eastAsia" w:ascii="宋体" w:hAnsi="宋体" w:cs="宋体"/>
          <w:kern w:val="0"/>
          <w:sz w:val="24"/>
          <w:highlight w:val="none"/>
        </w:rPr>
        <w:t>：</w:t>
      </w:r>
      <w:r>
        <w:rPr>
          <w:rFonts w:ascii="宋体" w:hAnsi="宋体" w:cs="宋体"/>
          <w:kern w:val="0"/>
          <w:sz w:val="24"/>
          <w:highlight w:val="none"/>
          <w:u w:val="single"/>
        </w:rPr>
        <w:t xml:space="preserve">     </w:t>
      </w:r>
      <w:r>
        <w:rPr>
          <w:rFonts w:hint="eastAsia" w:ascii="宋体" w:hAnsi="宋体" w:cs="宋体"/>
          <w:kern w:val="0"/>
          <w:sz w:val="24"/>
          <w:highlight w:val="none"/>
          <w:u w:val="single"/>
          <w:lang w:val="en-US" w:eastAsia="zh-CN"/>
        </w:rPr>
        <w:t xml:space="preserve">     </w:t>
      </w:r>
      <w:r>
        <w:rPr>
          <w:rFonts w:hint="eastAsia" w:ascii="宋体" w:hAnsi="宋体" w:cs="宋体"/>
          <w:kern w:val="0"/>
          <w:sz w:val="24"/>
          <w:highlight w:val="none"/>
          <w:u w:val="single"/>
          <w:lang w:eastAsia="zh-CN"/>
        </w:rPr>
        <w:t>（</w:t>
      </w:r>
      <w:r>
        <w:rPr>
          <w:rFonts w:hint="eastAsia" w:ascii="宋体" w:hAnsi="宋体" w:cs="宋体"/>
          <w:kern w:val="0"/>
          <w:sz w:val="24"/>
          <w:highlight w:val="none"/>
          <w:u w:val="single"/>
          <w:lang w:val="en-US" w:eastAsia="zh-CN"/>
        </w:rPr>
        <w:t>项目名称</w:t>
      </w:r>
      <w:r>
        <w:rPr>
          <w:rFonts w:hint="eastAsia" w:ascii="宋体" w:hAnsi="宋体" w:cs="宋体"/>
          <w:kern w:val="0"/>
          <w:sz w:val="24"/>
          <w:highlight w:val="none"/>
          <w:u w:val="single"/>
          <w:lang w:eastAsia="zh-CN"/>
        </w:rPr>
        <w:t>）</w:t>
      </w:r>
      <w:r>
        <w:rPr>
          <w:rFonts w:ascii="宋体" w:hAnsi="宋体" w:cs="宋体"/>
          <w:kern w:val="0"/>
          <w:sz w:val="24"/>
          <w:highlight w:val="none"/>
          <w:u w:val="single"/>
        </w:rPr>
        <w:t xml:space="preserve">  </w:t>
      </w:r>
      <w:r>
        <w:rPr>
          <w:rFonts w:hint="eastAsia" w:ascii="宋体" w:hAnsi="宋体" w:cs="宋体"/>
          <w:kern w:val="0"/>
          <w:sz w:val="24"/>
          <w:highlight w:val="none"/>
          <w:u w:val="single"/>
          <w:lang w:val="en-US" w:eastAsia="zh-CN"/>
        </w:rPr>
        <w:t xml:space="preserve">   </w:t>
      </w:r>
      <w:r>
        <w:rPr>
          <w:rFonts w:ascii="宋体" w:hAnsi="宋体" w:cs="宋体"/>
          <w:kern w:val="0"/>
          <w:sz w:val="24"/>
          <w:highlight w:val="none"/>
          <w:u w:val="single"/>
        </w:rPr>
        <w:t xml:space="preserve">     </w:t>
      </w:r>
    </w:p>
    <w:p w14:paraId="6FF78660">
      <w:pPr>
        <w:keepNext w:val="0"/>
        <w:keepLines w:val="0"/>
        <w:pageBreakBefore w:val="0"/>
        <w:widowControl/>
        <w:shd w:val="clear"/>
        <w:kinsoku/>
        <w:wordWrap/>
        <w:overflowPunct/>
        <w:topLinePunct w:val="0"/>
        <w:autoSpaceDE/>
        <w:autoSpaceDN/>
        <w:bidi w:val="0"/>
        <w:spacing w:line="360" w:lineRule="auto"/>
        <w:jc w:val="left"/>
        <w:textAlignment w:val="auto"/>
        <w:rPr>
          <w:rFonts w:ascii="宋体" w:hAnsi="宋体" w:cs="宋体"/>
          <w:kern w:val="0"/>
          <w:sz w:val="24"/>
          <w:highlight w:val="none"/>
          <w:u w:val="single"/>
        </w:rPr>
      </w:pPr>
      <w:r>
        <w:rPr>
          <w:rFonts w:hint="eastAsia" w:ascii="宋体" w:hAnsi="宋体" w:cs="宋体"/>
          <w:kern w:val="0"/>
          <w:sz w:val="24"/>
          <w:highlight w:val="none"/>
        </w:rPr>
        <w:t>投标人：</w:t>
      </w:r>
      <w:r>
        <w:rPr>
          <w:rFonts w:ascii="宋体" w:hAnsi="宋体" w:cs="宋体"/>
          <w:kern w:val="0"/>
          <w:sz w:val="24"/>
          <w:highlight w:val="none"/>
          <w:u w:val="single"/>
        </w:rPr>
        <w:t xml:space="preserve">                                                   </w:t>
      </w:r>
    </w:p>
    <w:p w14:paraId="0F7C32A0">
      <w:pPr>
        <w:keepNext w:val="0"/>
        <w:keepLines w:val="0"/>
        <w:pageBreakBefore w:val="0"/>
        <w:widowControl/>
        <w:shd w:val="clear"/>
        <w:kinsoku/>
        <w:wordWrap/>
        <w:overflowPunct/>
        <w:topLinePunct w:val="0"/>
        <w:autoSpaceDE/>
        <w:autoSpaceDN/>
        <w:bidi w:val="0"/>
        <w:spacing w:line="360" w:lineRule="auto"/>
        <w:jc w:val="left"/>
        <w:textAlignment w:val="auto"/>
        <w:rPr>
          <w:rFonts w:ascii="宋体" w:hAnsi="宋体" w:cs="宋体"/>
          <w:kern w:val="0"/>
          <w:sz w:val="24"/>
          <w:highlight w:val="none"/>
          <w:u w:val="single"/>
        </w:rPr>
      </w:pPr>
      <w:r>
        <w:rPr>
          <w:rFonts w:hint="eastAsia" w:ascii="宋体" w:hAnsi="宋体" w:cs="宋体"/>
          <w:kern w:val="0"/>
          <w:sz w:val="24"/>
          <w:highlight w:val="none"/>
        </w:rPr>
        <w:t>统一社会信用代码：</w:t>
      </w:r>
      <w:r>
        <w:rPr>
          <w:rFonts w:ascii="宋体" w:hAnsi="宋体" w:cs="宋体"/>
          <w:kern w:val="0"/>
          <w:sz w:val="24"/>
          <w:highlight w:val="none"/>
          <w:u w:val="single"/>
        </w:rPr>
        <w:t xml:space="preserve">                               </w:t>
      </w:r>
      <w:r>
        <w:rPr>
          <w:rFonts w:hint="eastAsia" w:ascii="宋体" w:hAnsi="宋体" w:cs="宋体"/>
          <w:kern w:val="0"/>
          <w:sz w:val="24"/>
          <w:highlight w:val="none"/>
        </w:rPr>
        <w:t>法人代表：</w:t>
      </w:r>
      <w:r>
        <w:rPr>
          <w:rFonts w:ascii="宋体" w:hAnsi="宋体" w:cs="宋体"/>
          <w:kern w:val="0"/>
          <w:sz w:val="24"/>
          <w:highlight w:val="none"/>
          <w:u w:val="single"/>
        </w:rPr>
        <w:t xml:space="preserve">                 </w:t>
      </w:r>
    </w:p>
    <w:p w14:paraId="4D7B71F9">
      <w:pPr>
        <w:keepNext w:val="0"/>
        <w:keepLines w:val="0"/>
        <w:pageBreakBefore w:val="0"/>
        <w:widowControl/>
        <w:shd w:val="clear"/>
        <w:kinsoku/>
        <w:wordWrap/>
        <w:overflowPunct/>
        <w:topLinePunct w:val="0"/>
        <w:autoSpaceDE/>
        <w:autoSpaceDN/>
        <w:bidi w:val="0"/>
        <w:adjustRightInd w:val="0"/>
        <w:snapToGrid w:val="0"/>
        <w:spacing w:line="360" w:lineRule="auto"/>
        <w:ind w:firstLine="480" w:firstLineChars="200"/>
        <w:jc w:val="left"/>
        <w:textAlignment w:val="auto"/>
        <w:rPr>
          <w:rFonts w:ascii="宋体" w:cs="宋体"/>
          <w:kern w:val="0"/>
          <w:sz w:val="24"/>
          <w:highlight w:val="none"/>
        </w:rPr>
      </w:pPr>
      <w:r>
        <w:rPr>
          <w:rFonts w:hint="eastAsia" w:ascii="宋体" w:hAnsi="宋体" w:cs="宋体"/>
          <w:kern w:val="0"/>
          <w:sz w:val="24"/>
          <w:highlight w:val="none"/>
        </w:rPr>
        <w:t>在本项目招投标活动中，我公司（单位）自愿作出以下投标信用承诺：</w:t>
      </w:r>
    </w:p>
    <w:p w14:paraId="607EA8A4">
      <w:pPr>
        <w:keepNext w:val="0"/>
        <w:keepLines w:val="0"/>
        <w:pageBreakBefore w:val="0"/>
        <w:widowControl/>
        <w:shd w:val="clear"/>
        <w:kinsoku/>
        <w:wordWrap/>
        <w:overflowPunct/>
        <w:topLinePunct w:val="0"/>
        <w:autoSpaceDE/>
        <w:autoSpaceDN/>
        <w:bidi w:val="0"/>
        <w:adjustRightInd w:val="0"/>
        <w:snapToGrid w:val="0"/>
        <w:spacing w:line="360" w:lineRule="auto"/>
        <w:ind w:firstLine="480" w:firstLineChars="200"/>
        <w:jc w:val="left"/>
        <w:textAlignment w:val="auto"/>
        <w:rPr>
          <w:rFonts w:ascii="宋体" w:hAnsi="宋体" w:cs="宋体"/>
          <w:kern w:val="0"/>
          <w:sz w:val="24"/>
          <w:highlight w:val="none"/>
        </w:rPr>
      </w:pPr>
      <w:r>
        <w:rPr>
          <w:rFonts w:hint="eastAsia" w:ascii="宋体" w:hAnsi="宋体" w:cs="宋体"/>
          <w:kern w:val="0"/>
          <w:sz w:val="24"/>
          <w:highlight w:val="none"/>
        </w:rPr>
        <w:t>（一）能严格遵守法律法规、职业道德和行业规范。</w:t>
      </w:r>
    </w:p>
    <w:p w14:paraId="6AAD3EA0">
      <w:pPr>
        <w:keepNext w:val="0"/>
        <w:keepLines w:val="0"/>
        <w:pageBreakBefore w:val="0"/>
        <w:widowControl/>
        <w:shd w:val="clear"/>
        <w:kinsoku/>
        <w:wordWrap/>
        <w:overflowPunct/>
        <w:topLinePunct w:val="0"/>
        <w:autoSpaceDE/>
        <w:autoSpaceDN/>
        <w:bidi w:val="0"/>
        <w:adjustRightInd w:val="0"/>
        <w:snapToGrid w:val="0"/>
        <w:spacing w:line="360" w:lineRule="auto"/>
        <w:ind w:firstLine="480" w:firstLineChars="200"/>
        <w:jc w:val="left"/>
        <w:textAlignment w:val="auto"/>
        <w:rPr>
          <w:rFonts w:ascii="宋体" w:cs="宋体"/>
          <w:kern w:val="0"/>
          <w:sz w:val="24"/>
          <w:highlight w:val="none"/>
        </w:rPr>
      </w:pPr>
      <w:r>
        <w:rPr>
          <w:rFonts w:hint="eastAsia" w:ascii="宋体" w:hAnsi="宋体" w:cs="宋体"/>
          <w:kern w:val="0"/>
          <w:sz w:val="24"/>
          <w:highlight w:val="none"/>
        </w:rPr>
        <w:t>（二）不得有以下违法违规行为：</w:t>
      </w:r>
      <w:r>
        <w:rPr>
          <w:rFonts w:ascii="宋体" w:hAnsi="宋体" w:cs="宋体"/>
          <w:kern w:val="0"/>
          <w:sz w:val="24"/>
          <w:highlight w:val="none"/>
        </w:rPr>
        <w:t>1.</w:t>
      </w:r>
      <w:r>
        <w:rPr>
          <w:rFonts w:hint="eastAsia" w:ascii="宋体" w:hAnsi="宋体" w:cs="宋体"/>
          <w:kern w:val="0"/>
          <w:sz w:val="24"/>
          <w:highlight w:val="none"/>
        </w:rPr>
        <w:t>围标串标；以他人名义或者其他方式弄虚作假投标；出让出租资格、资质证书供他人投标；恶意竞标、强揽工程；以暴力、威胁、利诱等手段阻止或者控制其他潜在投标人参与招投标活动。</w:t>
      </w:r>
      <w:r>
        <w:rPr>
          <w:rFonts w:ascii="宋体" w:hAnsi="宋体" w:cs="宋体"/>
          <w:kern w:val="0"/>
          <w:sz w:val="24"/>
          <w:highlight w:val="none"/>
        </w:rPr>
        <w:t>2.</w:t>
      </w:r>
      <w:r>
        <w:rPr>
          <w:rFonts w:hint="eastAsia" w:ascii="宋体" w:hAnsi="宋体" w:cs="宋体"/>
          <w:kern w:val="0"/>
          <w:sz w:val="24"/>
          <w:highlight w:val="none"/>
        </w:rPr>
        <w:t>向招投标监督部门、交易中心、招标人、招标代理机构、评审委员会及其成员等当事主体赠送财物。</w:t>
      </w:r>
      <w:r>
        <w:rPr>
          <w:rFonts w:ascii="宋体" w:hAnsi="宋体" w:cs="宋体"/>
          <w:kern w:val="0"/>
          <w:sz w:val="24"/>
          <w:highlight w:val="none"/>
        </w:rPr>
        <w:t>3.</w:t>
      </w:r>
      <w:r>
        <w:rPr>
          <w:rFonts w:hint="eastAsia" w:ascii="宋体" w:hAnsi="宋体" w:cs="宋体"/>
          <w:kern w:val="0"/>
          <w:sz w:val="24"/>
          <w:highlight w:val="none"/>
        </w:rPr>
        <w:t>投标截止后至中标人确定前，修改或者撤销投标文件。</w:t>
      </w:r>
      <w:r>
        <w:rPr>
          <w:rFonts w:ascii="宋体" w:hAnsi="宋体" w:cs="宋体"/>
          <w:kern w:val="0"/>
          <w:sz w:val="24"/>
          <w:highlight w:val="none"/>
        </w:rPr>
        <w:t>4.</w:t>
      </w:r>
      <w:r>
        <w:rPr>
          <w:rFonts w:hint="eastAsia" w:ascii="宋体" w:hAnsi="宋体" w:cs="宋体"/>
          <w:kern w:val="0"/>
          <w:sz w:val="24"/>
          <w:highlight w:val="none"/>
        </w:rPr>
        <w:t>在被确定为中标人后无正当理由：不按照招标文件和投标文件与招标人签订合同；在签订合同时向招标人提出附加条件、或者改变投标文件的实质性内容；放弃中标；不按照招标文件的规定提交履约保证金。</w:t>
      </w:r>
      <w:r>
        <w:rPr>
          <w:rFonts w:ascii="宋体" w:hAnsi="宋体" w:cs="宋体"/>
          <w:kern w:val="0"/>
          <w:sz w:val="24"/>
          <w:highlight w:val="none"/>
        </w:rPr>
        <w:t>5.</w:t>
      </w:r>
      <w:r>
        <w:rPr>
          <w:rFonts w:hint="eastAsia" w:ascii="宋体" w:hAnsi="宋体" w:cs="宋体"/>
          <w:kern w:val="0"/>
          <w:sz w:val="24"/>
          <w:highlight w:val="none"/>
        </w:rPr>
        <w:t>招投标法规定的其它违法违规行为。</w:t>
      </w:r>
    </w:p>
    <w:p w14:paraId="50321BC1">
      <w:pPr>
        <w:keepNext w:val="0"/>
        <w:keepLines w:val="0"/>
        <w:pageBreakBefore w:val="0"/>
        <w:widowControl/>
        <w:shd w:val="clear"/>
        <w:kinsoku/>
        <w:wordWrap/>
        <w:overflowPunct/>
        <w:topLinePunct w:val="0"/>
        <w:autoSpaceDE/>
        <w:autoSpaceDN/>
        <w:bidi w:val="0"/>
        <w:adjustRightInd w:val="0"/>
        <w:snapToGrid w:val="0"/>
        <w:spacing w:line="360" w:lineRule="auto"/>
        <w:ind w:firstLine="480" w:firstLineChars="200"/>
        <w:jc w:val="left"/>
        <w:textAlignment w:val="auto"/>
        <w:rPr>
          <w:rFonts w:ascii="宋体" w:cs="宋体"/>
          <w:kern w:val="0"/>
          <w:sz w:val="24"/>
          <w:highlight w:val="none"/>
        </w:rPr>
      </w:pPr>
      <w:r>
        <w:rPr>
          <w:rFonts w:hint="eastAsia" w:ascii="宋体" w:hAnsi="宋体" w:cs="宋体"/>
          <w:kern w:val="0"/>
          <w:sz w:val="24"/>
          <w:highlight w:val="none"/>
        </w:rPr>
        <w:t>（三）若我公司（单位）及相关参与人员违背以上承诺事项，即被视为失信企业（法人），依据《关于对公共资源交易领域严重失信主体开展联合惩戒的备忘录》（发改法规</w:t>
      </w:r>
      <w:r>
        <w:rPr>
          <w:rFonts w:ascii="宋体" w:hAnsi="宋体" w:cs="宋体"/>
          <w:kern w:val="0"/>
          <w:sz w:val="24"/>
          <w:highlight w:val="none"/>
        </w:rPr>
        <w:t>[2018]457</w:t>
      </w:r>
      <w:r>
        <w:rPr>
          <w:rFonts w:hint="eastAsia" w:ascii="宋体" w:hAnsi="宋体" w:cs="宋体"/>
          <w:kern w:val="0"/>
          <w:sz w:val="24"/>
          <w:highlight w:val="none"/>
        </w:rPr>
        <w:t>号），自愿接受</w:t>
      </w:r>
      <w:r>
        <w:rPr>
          <w:rFonts w:ascii="宋体" w:hAnsi="宋体" w:cs="宋体"/>
          <w:kern w:val="0"/>
          <w:sz w:val="24"/>
          <w:highlight w:val="none"/>
        </w:rPr>
        <w:t>1</w:t>
      </w:r>
      <w:r>
        <w:rPr>
          <w:rFonts w:hint="eastAsia" w:ascii="宋体" w:hAnsi="宋体" w:cs="宋体"/>
          <w:kern w:val="0"/>
          <w:sz w:val="24"/>
          <w:highlight w:val="none"/>
        </w:rPr>
        <w:t>至</w:t>
      </w:r>
      <w:r>
        <w:rPr>
          <w:rFonts w:ascii="宋体" w:hAnsi="宋体" w:cs="宋体"/>
          <w:kern w:val="0"/>
          <w:sz w:val="24"/>
          <w:highlight w:val="none"/>
        </w:rPr>
        <w:t>3</w:t>
      </w:r>
      <w:r>
        <w:rPr>
          <w:rFonts w:hint="eastAsia" w:ascii="宋体" w:hAnsi="宋体" w:cs="宋体"/>
          <w:kern w:val="0"/>
          <w:sz w:val="24"/>
          <w:highlight w:val="none"/>
        </w:rPr>
        <w:t>年内限制参与公共资源交易活动。</w:t>
      </w:r>
    </w:p>
    <w:p w14:paraId="02132CD7">
      <w:pPr>
        <w:keepNext w:val="0"/>
        <w:keepLines w:val="0"/>
        <w:pageBreakBefore w:val="0"/>
        <w:widowControl/>
        <w:shd w:val="clear"/>
        <w:tabs>
          <w:tab w:val="left" w:pos="4395"/>
        </w:tabs>
        <w:kinsoku/>
        <w:wordWrap/>
        <w:overflowPunct/>
        <w:topLinePunct w:val="0"/>
        <w:autoSpaceDE/>
        <w:autoSpaceDN/>
        <w:bidi w:val="0"/>
        <w:adjustRightInd w:val="0"/>
        <w:snapToGrid w:val="0"/>
        <w:spacing w:line="360" w:lineRule="auto"/>
        <w:ind w:firstLine="480" w:firstLineChars="200"/>
        <w:jc w:val="left"/>
        <w:textAlignment w:val="auto"/>
        <w:rPr>
          <w:rFonts w:ascii="宋体" w:cs="宋体"/>
          <w:kern w:val="0"/>
          <w:sz w:val="24"/>
          <w:highlight w:val="none"/>
        </w:rPr>
      </w:pPr>
      <w:r>
        <w:rPr>
          <w:rFonts w:hint="eastAsia" w:ascii="宋体" w:hAnsi="宋体" w:cs="宋体"/>
          <w:kern w:val="0"/>
          <w:sz w:val="24"/>
          <w:highlight w:val="none"/>
        </w:rPr>
        <w:t>法定代表人（签章）：</w:t>
      </w:r>
      <w:r>
        <w:rPr>
          <w:rFonts w:ascii="宋体" w:hAnsi="宋体" w:cs="宋体"/>
          <w:kern w:val="0"/>
          <w:sz w:val="24"/>
          <w:highlight w:val="none"/>
        </w:rPr>
        <w:t xml:space="preserve">             </w:t>
      </w:r>
      <w:r>
        <w:rPr>
          <w:rFonts w:hint="eastAsia" w:ascii="宋体" w:hAnsi="宋体" w:cs="宋体"/>
          <w:kern w:val="0"/>
          <w:sz w:val="24"/>
          <w:highlight w:val="none"/>
        </w:rPr>
        <w:t>投标人（盖章）：</w:t>
      </w:r>
    </w:p>
    <w:p w14:paraId="58F9B7B3">
      <w:pPr>
        <w:keepNext w:val="0"/>
        <w:keepLines w:val="0"/>
        <w:pageBreakBefore w:val="0"/>
        <w:shd w:val="clear"/>
        <w:kinsoku/>
        <w:wordWrap/>
        <w:overflowPunct/>
        <w:topLinePunct w:val="0"/>
        <w:autoSpaceDE/>
        <w:autoSpaceDN/>
        <w:bidi w:val="0"/>
        <w:adjustRightInd w:val="0"/>
        <w:snapToGrid w:val="0"/>
        <w:spacing w:line="360" w:lineRule="auto"/>
        <w:ind w:firstLine="4440" w:firstLineChars="1850"/>
        <w:textAlignment w:val="auto"/>
        <w:rPr>
          <w:rFonts w:ascii="宋体" w:cs="宋体"/>
          <w:kern w:val="0"/>
          <w:sz w:val="24"/>
          <w:highlight w:val="none"/>
        </w:rPr>
      </w:pPr>
      <w:r>
        <w:rPr>
          <w:rFonts w:hint="eastAsia" w:ascii="宋体" w:hAnsi="宋体" w:cs="宋体"/>
          <w:kern w:val="0"/>
          <w:sz w:val="24"/>
          <w:highlight w:val="none"/>
        </w:rPr>
        <w:t>承诺时间：</w:t>
      </w:r>
      <w:r>
        <w:rPr>
          <w:rFonts w:ascii="宋体" w:hAnsi="宋体" w:cs="宋体"/>
          <w:kern w:val="0"/>
          <w:sz w:val="24"/>
          <w:highlight w:val="none"/>
          <w:u w:val="single"/>
        </w:rPr>
        <w:t xml:space="preserve">       </w:t>
      </w:r>
      <w:r>
        <w:rPr>
          <w:rFonts w:hint="eastAsia" w:ascii="宋体" w:hAnsi="宋体" w:cs="宋体"/>
          <w:kern w:val="0"/>
          <w:sz w:val="24"/>
          <w:highlight w:val="none"/>
        </w:rPr>
        <w:t>年</w:t>
      </w:r>
      <w:r>
        <w:rPr>
          <w:rFonts w:ascii="宋体" w:hAnsi="宋体" w:cs="宋体"/>
          <w:kern w:val="0"/>
          <w:sz w:val="24"/>
          <w:highlight w:val="none"/>
          <w:u w:val="single"/>
        </w:rPr>
        <w:t xml:space="preserve">     </w:t>
      </w:r>
      <w:r>
        <w:rPr>
          <w:rFonts w:hint="eastAsia" w:ascii="宋体" w:hAnsi="宋体" w:cs="宋体"/>
          <w:kern w:val="0"/>
          <w:sz w:val="24"/>
          <w:highlight w:val="none"/>
        </w:rPr>
        <w:t>月</w:t>
      </w:r>
      <w:r>
        <w:rPr>
          <w:rFonts w:ascii="宋体" w:hAnsi="宋体" w:cs="宋体"/>
          <w:kern w:val="0"/>
          <w:sz w:val="24"/>
          <w:highlight w:val="none"/>
          <w:u w:val="single"/>
        </w:rPr>
        <w:t xml:space="preserve">     </w:t>
      </w:r>
      <w:r>
        <w:rPr>
          <w:rFonts w:hint="eastAsia" w:ascii="宋体" w:hAnsi="宋体" w:cs="宋体"/>
          <w:kern w:val="0"/>
          <w:sz w:val="24"/>
          <w:highlight w:val="none"/>
        </w:rPr>
        <w:t>日</w:t>
      </w:r>
      <w:r>
        <w:rPr>
          <w:rFonts w:hint="eastAsia" w:ascii="宋体" w:hAnsi="宋体" w:cs="宋体"/>
          <w:b/>
          <w:kern w:val="0"/>
          <w:sz w:val="24"/>
          <w:highlight w:val="none"/>
        </w:rPr>
        <w:t>说明：本承诺书效力和作用等同投标保证金，其有效期与投标有效期一致。</w:t>
      </w:r>
    </w:p>
    <w:p w14:paraId="078A7DB5">
      <w:pPr>
        <w:shd w:val="clear"/>
        <w:bidi w:val="0"/>
        <w:rPr>
          <w:highlight w:val="none"/>
        </w:rPr>
      </w:pPr>
    </w:p>
    <w:p w14:paraId="2F7C4421">
      <w:pPr>
        <w:shd w:val="clear"/>
        <w:bidi w:val="0"/>
        <w:rPr>
          <w:highlight w:val="none"/>
        </w:rPr>
      </w:pPr>
      <w:r>
        <w:rPr>
          <w:rFonts w:hint="eastAsia" w:ascii="宋体" w:hAnsi="宋体" w:eastAsia="宋体" w:cs="宋体"/>
          <w:b/>
          <w:bCs/>
          <w:sz w:val="28"/>
          <w:szCs w:val="28"/>
          <w:highlight w:val="none"/>
          <w:lang w:val="en-US" w:eastAsia="zh-CN"/>
        </w:rPr>
        <w:t>后附信用承诺上报截图</w:t>
      </w:r>
    </w:p>
    <w:p w14:paraId="33831CDD">
      <w:pPr>
        <w:shd w:val="clear"/>
        <w:bidi w:val="0"/>
        <w:rPr>
          <w:highlight w:val="none"/>
        </w:rPr>
      </w:pPr>
    </w:p>
    <w:p w14:paraId="66C00514">
      <w:pPr>
        <w:shd w:val="clear"/>
        <w:bidi w:val="0"/>
        <w:rPr>
          <w:highlight w:val="none"/>
        </w:rPr>
      </w:pPr>
    </w:p>
    <w:p w14:paraId="3CC4C43C">
      <w:pPr>
        <w:shd w:val="clear"/>
        <w:bidi w:val="0"/>
        <w:rPr>
          <w:highlight w:val="none"/>
        </w:rPr>
      </w:pPr>
    </w:p>
    <w:p w14:paraId="6699D1FC">
      <w:pPr>
        <w:shd w:val="clear"/>
        <w:bidi w:val="0"/>
        <w:rPr>
          <w:highlight w:val="none"/>
        </w:rPr>
      </w:pPr>
    </w:p>
    <w:p w14:paraId="6C56B09B">
      <w:pPr>
        <w:shd w:val="clear"/>
        <w:bidi w:val="0"/>
        <w:rPr>
          <w:highlight w:val="none"/>
        </w:rPr>
      </w:pPr>
    </w:p>
    <w:p w14:paraId="4D7851C3">
      <w:pPr>
        <w:pStyle w:val="3"/>
        <w:shd w:val="clear"/>
        <w:spacing w:before="0" w:after="0" w:line="360" w:lineRule="auto"/>
        <w:ind w:left="0" w:firstLine="241" w:firstLineChars="100"/>
        <w:rPr>
          <w:rFonts w:hint="eastAsia"/>
          <w:sz w:val="24"/>
          <w:szCs w:val="24"/>
          <w:highlight w:val="none"/>
        </w:rPr>
        <w:sectPr>
          <w:pgSz w:w="11906" w:h="16838"/>
          <w:pgMar w:top="1440" w:right="1800" w:bottom="1440" w:left="1800" w:header="1135" w:footer="1135" w:gutter="0"/>
          <w:pgNumType w:fmt="decimal"/>
          <w:cols w:space="425" w:num="1"/>
          <w:docGrid w:type="lines" w:linePitch="312" w:charSpace="0"/>
        </w:sectPr>
      </w:pPr>
      <w:bookmarkStart w:id="112" w:name="_Toc13866"/>
      <w:bookmarkStart w:id="113" w:name="_Toc27379"/>
    </w:p>
    <w:p w14:paraId="04A1AC4B">
      <w:pPr>
        <w:pStyle w:val="3"/>
        <w:shd w:val="clear"/>
        <w:spacing w:before="0" w:after="0" w:line="360" w:lineRule="auto"/>
        <w:ind w:left="0" w:firstLine="241" w:firstLineChars="100"/>
        <w:rPr>
          <w:sz w:val="24"/>
          <w:szCs w:val="24"/>
          <w:highlight w:val="none"/>
        </w:rPr>
      </w:pPr>
      <w:r>
        <w:rPr>
          <w:rFonts w:hint="eastAsia"/>
          <w:sz w:val="24"/>
          <w:szCs w:val="24"/>
          <w:highlight w:val="none"/>
        </w:rPr>
        <w:t>九、榆林市政府采购货物类项目供应商信用承诺书</w:t>
      </w:r>
    </w:p>
    <w:p w14:paraId="765BDF34">
      <w:pPr>
        <w:pStyle w:val="37"/>
        <w:shd w:val="clear"/>
        <w:spacing w:beforeAutospacing="0" w:afterAutospacing="0" w:line="360" w:lineRule="auto"/>
        <w:ind w:firstLine="480"/>
        <w:jc w:val="both"/>
        <w:rPr>
          <w:rFonts w:hint="default" w:cs="宋体"/>
          <w:highlight w:val="none"/>
          <w:u w:val="single"/>
        </w:rPr>
      </w:pPr>
      <w:r>
        <w:rPr>
          <w:rFonts w:cs="宋体"/>
          <w:highlight w:val="none"/>
          <w:shd w:val="clear" w:color="auto" w:fill="FFFFFF"/>
        </w:rPr>
        <w:t>市场主体名称：</w:t>
      </w:r>
      <w:r>
        <w:rPr>
          <w:rFonts w:cs="宋体"/>
          <w:highlight w:val="none"/>
          <w:u w:val="single"/>
          <w:shd w:val="clear" w:color="auto" w:fill="FFFFFF"/>
        </w:rPr>
        <w:t>        </w:t>
      </w:r>
    </w:p>
    <w:p w14:paraId="2844B626">
      <w:pPr>
        <w:pStyle w:val="37"/>
        <w:shd w:val="clear"/>
        <w:spacing w:beforeAutospacing="0" w:afterAutospacing="0" w:line="360" w:lineRule="auto"/>
        <w:ind w:firstLine="480"/>
        <w:jc w:val="both"/>
        <w:rPr>
          <w:rFonts w:hint="default" w:cs="宋体"/>
          <w:highlight w:val="none"/>
        </w:rPr>
      </w:pPr>
      <w:r>
        <w:rPr>
          <w:rFonts w:cs="宋体"/>
          <w:highlight w:val="none"/>
          <w:shd w:val="clear" w:color="auto" w:fill="FFFFFF"/>
        </w:rPr>
        <w:t>证件类型：统一社会信用代码</w:t>
      </w:r>
    </w:p>
    <w:p w14:paraId="75CA6265">
      <w:pPr>
        <w:pStyle w:val="37"/>
        <w:shd w:val="clear"/>
        <w:spacing w:beforeAutospacing="0" w:afterAutospacing="0" w:line="360" w:lineRule="auto"/>
        <w:ind w:firstLine="480"/>
        <w:jc w:val="both"/>
        <w:rPr>
          <w:rFonts w:hint="default" w:cs="宋体"/>
          <w:highlight w:val="none"/>
          <w:u w:val="single"/>
          <w:shd w:val="clear" w:color="auto" w:fill="FFFFFF"/>
        </w:rPr>
      </w:pPr>
      <w:r>
        <w:rPr>
          <w:rFonts w:cs="宋体"/>
          <w:highlight w:val="none"/>
          <w:shd w:val="clear" w:color="auto" w:fill="FFFFFF"/>
        </w:rPr>
        <w:t>证件号码：</w:t>
      </w:r>
      <w:r>
        <w:rPr>
          <w:rFonts w:cs="宋体"/>
          <w:highlight w:val="none"/>
          <w:u w:val="single"/>
          <w:shd w:val="clear" w:color="auto" w:fill="FFFFFF"/>
        </w:rPr>
        <w:t>          </w:t>
      </w:r>
    </w:p>
    <w:p w14:paraId="22C8F18C">
      <w:pPr>
        <w:pStyle w:val="37"/>
        <w:shd w:val="clear"/>
        <w:spacing w:beforeAutospacing="0" w:afterAutospacing="0" w:line="360" w:lineRule="auto"/>
        <w:ind w:firstLine="480"/>
        <w:jc w:val="both"/>
        <w:rPr>
          <w:rFonts w:hint="default" w:cs="宋体"/>
          <w:highlight w:val="none"/>
          <w:u w:val="single"/>
          <w:shd w:val="clear" w:color="auto" w:fill="FFFFFF"/>
        </w:rPr>
      </w:pPr>
      <w:r>
        <w:rPr>
          <w:rFonts w:cs="宋体"/>
          <w:highlight w:val="none"/>
          <w:shd w:val="clear" w:color="auto" w:fill="FFFFFF"/>
        </w:rPr>
        <w:t>法人代表：</w:t>
      </w:r>
      <w:r>
        <w:rPr>
          <w:rFonts w:cs="宋体"/>
          <w:highlight w:val="none"/>
          <w:u w:val="single"/>
          <w:shd w:val="clear" w:color="auto" w:fill="FFFFFF"/>
        </w:rPr>
        <w:t>         </w:t>
      </w:r>
    </w:p>
    <w:p w14:paraId="12018756">
      <w:pPr>
        <w:pStyle w:val="37"/>
        <w:shd w:val="clear"/>
        <w:spacing w:beforeAutospacing="0" w:afterAutospacing="0" w:line="360" w:lineRule="auto"/>
        <w:ind w:firstLine="480"/>
        <w:jc w:val="both"/>
        <w:rPr>
          <w:rFonts w:hint="default" w:cs="宋体"/>
          <w:highlight w:val="none"/>
          <w:shd w:val="clear" w:color="auto" w:fill="FFFFFF"/>
        </w:rPr>
      </w:pPr>
      <w:r>
        <w:rPr>
          <w:rFonts w:cs="宋体"/>
          <w:highlight w:val="none"/>
          <w:shd w:val="clear" w:color="auto" w:fill="FFFFFF"/>
        </w:rPr>
        <w:t>承诺有效期限：</w:t>
      </w:r>
      <w:r>
        <w:rPr>
          <w:rFonts w:cs="宋体"/>
          <w:highlight w:val="none"/>
          <w:u w:val="single"/>
          <w:shd w:val="clear" w:color="auto" w:fill="FFFFFF"/>
        </w:rPr>
        <w:t xml:space="preserve">       </w:t>
      </w:r>
      <w:r>
        <w:rPr>
          <w:rFonts w:cs="宋体"/>
          <w:highlight w:val="none"/>
          <w:shd w:val="clear" w:color="auto" w:fill="FFFFFF"/>
        </w:rPr>
        <w:t>年</w:t>
      </w:r>
      <w:r>
        <w:rPr>
          <w:rFonts w:cs="宋体"/>
          <w:highlight w:val="none"/>
          <w:u w:val="single"/>
          <w:shd w:val="clear" w:color="auto" w:fill="FFFFFF"/>
        </w:rPr>
        <w:t xml:space="preserve">     </w:t>
      </w:r>
      <w:r>
        <w:rPr>
          <w:rFonts w:cs="宋体"/>
          <w:highlight w:val="none"/>
          <w:shd w:val="clear" w:color="auto" w:fill="FFFFFF"/>
        </w:rPr>
        <w:t>月</w:t>
      </w:r>
      <w:r>
        <w:rPr>
          <w:rFonts w:cs="宋体"/>
          <w:highlight w:val="none"/>
          <w:u w:val="single"/>
          <w:shd w:val="clear" w:color="auto" w:fill="FFFFFF"/>
        </w:rPr>
        <w:t xml:space="preserve">     </w:t>
      </w:r>
      <w:r>
        <w:rPr>
          <w:rFonts w:cs="宋体"/>
          <w:highlight w:val="none"/>
          <w:shd w:val="clear" w:color="auto" w:fill="FFFFFF"/>
        </w:rPr>
        <w:t xml:space="preserve">日— </w:t>
      </w:r>
      <w:r>
        <w:rPr>
          <w:rFonts w:cs="宋体"/>
          <w:highlight w:val="none"/>
          <w:u w:val="single"/>
          <w:shd w:val="clear" w:color="auto" w:fill="FFFFFF"/>
        </w:rPr>
        <w:t xml:space="preserve">      </w:t>
      </w:r>
      <w:r>
        <w:rPr>
          <w:rFonts w:cs="宋体"/>
          <w:highlight w:val="none"/>
          <w:shd w:val="clear" w:color="auto" w:fill="FFFFFF"/>
        </w:rPr>
        <w:t>年</w:t>
      </w:r>
      <w:r>
        <w:rPr>
          <w:rFonts w:cs="宋体"/>
          <w:highlight w:val="none"/>
          <w:u w:val="single"/>
          <w:shd w:val="clear" w:color="auto" w:fill="FFFFFF"/>
        </w:rPr>
        <w:t xml:space="preserve">      </w:t>
      </w:r>
      <w:r>
        <w:rPr>
          <w:rFonts w:cs="宋体"/>
          <w:highlight w:val="none"/>
          <w:shd w:val="clear" w:color="auto" w:fill="FFFFFF"/>
        </w:rPr>
        <w:t>月</w:t>
      </w:r>
      <w:r>
        <w:rPr>
          <w:rFonts w:cs="宋体"/>
          <w:highlight w:val="none"/>
          <w:u w:val="single"/>
          <w:shd w:val="clear" w:color="auto" w:fill="FFFFFF"/>
        </w:rPr>
        <w:t xml:space="preserve">      </w:t>
      </w:r>
      <w:r>
        <w:rPr>
          <w:rFonts w:cs="宋体"/>
          <w:highlight w:val="none"/>
          <w:shd w:val="clear" w:color="auto" w:fill="FFFFFF"/>
        </w:rPr>
        <w:t>日</w:t>
      </w:r>
    </w:p>
    <w:p w14:paraId="5B3EE1E2">
      <w:pPr>
        <w:pStyle w:val="37"/>
        <w:shd w:val="clear"/>
        <w:spacing w:beforeAutospacing="0" w:afterAutospacing="0" w:line="360" w:lineRule="auto"/>
        <w:ind w:firstLine="480"/>
        <w:jc w:val="both"/>
        <w:rPr>
          <w:rFonts w:hint="default" w:cs="宋体"/>
          <w:highlight w:val="none"/>
        </w:rPr>
      </w:pPr>
      <w:r>
        <w:rPr>
          <w:rFonts w:cs="宋体"/>
          <w:highlight w:val="none"/>
          <w:shd w:val="clear" w:color="auto" w:fill="FFFFFF"/>
        </w:rPr>
        <w:t>承诺内容：</w:t>
      </w:r>
    </w:p>
    <w:p w14:paraId="4E488703">
      <w:pPr>
        <w:pStyle w:val="37"/>
        <w:shd w:val="clear"/>
        <w:spacing w:beforeAutospacing="0" w:afterAutospacing="0" w:line="360" w:lineRule="auto"/>
        <w:ind w:firstLine="640"/>
        <w:jc w:val="both"/>
        <w:rPr>
          <w:rFonts w:hint="default" w:cs="宋体"/>
          <w:highlight w:val="none"/>
        </w:rPr>
      </w:pPr>
      <w:r>
        <w:rPr>
          <w:rFonts w:cs="宋体"/>
          <w:highlight w:val="none"/>
          <w:shd w:val="clear" w:color="auto" w:fill="FFFFFF"/>
        </w:rPr>
        <w:t>为维护公开、公平、公正的政府采购市场秩序，树立诚实守信的政府采购供应商形象，本单位自愿做出以下承诺：</w:t>
      </w:r>
    </w:p>
    <w:p w14:paraId="2B4C1429">
      <w:pPr>
        <w:pStyle w:val="37"/>
        <w:shd w:val="clear"/>
        <w:spacing w:beforeAutospacing="0" w:afterAutospacing="0" w:line="360" w:lineRule="auto"/>
        <w:ind w:firstLine="640"/>
        <w:jc w:val="both"/>
        <w:rPr>
          <w:rFonts w:hint="default" w:cs="宋体"/>
          <w:highlight w:val="none"/>
        </w:rPr>
      </w:pPr>
      <w:r>
        <w:rPr>
          <w:rFonts w:cs="宋体"/>
          <w:highlight w:val="none"/>
          <w:shd w:val="clear" w:color="auto" w:fill="FFFFFF"/>
        </w:rPr>
        <w:t>一、承诺本单位严格遵守国家法律、法规和规章，全面履行应尽的责任和义务，全面做到履约守信，具备《政府采购法》第二十二条第一款规定的条件;</w:t>
      </w:r>
    </w:p>
    <w:p w14:paraId="25E772C7">
      <w:pPr>
        <w:pStyle w:val="37"/>
        <w:shd w:val="clear"/>
        <w:spacing w:beforeAutospacing="0" w:afterAutospacing="0" w:line="360" w:lineRule="auto"/>
        <w:ind w:firstLine="640"/>
        <w:jc w:val="both"/>
        <w:rPr>
          <w:rFonts w:hint="default" w:cs="宋体"/>
          <w:highlight w:val="none"/>
        </w:rPr>
      </w:pPr>
      <w:r>
        <w:rPr>
          <w:rFonts w:cs="宋体"/>
          <w:highlight w:val="none"/>
          <w:shd w:val="clear" w:color="auto" w:fill="FFFFFF"/>
        </w:rPr>
        <w:t>二、承诺本单位提供给注册登记部门、行业管理部门、司法部门、行业组织以及在政府采购活动中提交的所有资料均合法、真实、有效，无任何伪造、修改、虚假成份，并对所提供资料的真实性负责；</w:t>
      </w:r>
    </w:p>
    <w:p w14:paraId="708E5D4E">
      <w:pPr>
        <w:pStyle w:val="37"/>
        <w:shd w:val="clear"/>
        <w:spacing w:beforeAutospacing="0" w:afterAutospacing="0" w:line="360" w:lineRule="auto"/>
        <w:ind w:firstLine="640"/>
        <w:jc w:val="both"/>
        <w:rPr>
          <w:rFonts w:hint="default" w:cs="宋体"/>
          <w:highlight w:val="none"/>
        </w:rPr>
      </w:pPr>
      <w:r>
        <w:rPr>
          <w:rFonts w:cs="宋体"/>
          <w:highlight w:val="none"/>
          <w:shd w:val="clear" w:color="auto" w:fill="FFFFFF"/>
        </w:rPr>
        <w:t>三、承诺本单位严格依法开展生产经营活动，主动接受行业监管，自愿接受依法开展的日常检查；违法失信经营后将自愿接受约束和惩戒，并依法承担相应责任；</w:t>
      </w:r>
    </w:p>
    <w:p w14:paraId="595EB841">
      <w:pPr>
        <w:pStyle w:val="37"/>
        <w:shd w:val="clear"/>
        <w:spacing w:beforeAutospacing="0" w:afterAutospacing="0" w:line="360" w:lineRule="auto"/>
        <w:ind w:firstLine="640"/>
        <w:jc w:val="both"/>
        <w:rPr>
          <w:rFonts w:hint="default" w:cs="宋体"/>
          <w:highlight w:val="none"/>
        </w:rPr>
      </w:pPr>
      <w:r>
        <w:rPr>
          <w:rFonts w:cs="宋体"/>
          <w:highlight w:val="none"/>
          <w:shd w:val="clear" w:color="auto" w:fill="FFFFFF"/>
        </w:rPr>
        <w:t>四、承诺本单位自觉接受行政管理部门、行业组织、社会公众、新闻舆论的监督；</w:t>
      </w:r>
    </w:p>
    <w:p w14:paraId="309A5454">
      <w:pPr>
        <w:pStyle w:val="37"/>
        <w:shd w:val="clear"/>
        <w:spacing w:beforeAutospacing="0" w:afterAutospacing="0" w:line="360" w:lineRule="auto"/>
        <w:ind w:firstLine="640"/>
        <w:jc w:val="both"/>
        <w:rPr>
          <w:rFonts w:hint="default" w:cs="宋体"/>
          <w:highlight w:val="none"/>
        </w:rPr>
      </w:pPr>
      <w:r>
        <w:rPr>
          <w:rFonts w:cs="宋体"/>
          <w:highlight w:val="none"/>
          <w:shd w:val="clear" w:color="auto" w:fill="FFFFFF"/>
        </w:rPr>
        <w:t>五、承诺本单位自我约束、自我管理，重合同、守信用，不制假售假、商标侵权、虚假宣传、违约毁约、恶意逃债、偷税漏税、价格欺诈、垄断和不正当竞争，维护经营者、消费者的合法权益；</w:t>
      </w:r>
    </w:p>
    <w:p w14:paraId="3D2A62BE">
      <w:pPr>
        <w:pStyle w:val="37"/>
        <w:shd w:val="clear"/>
        <w:spacing w:beforeAutospacing="0" w:afterAutospacing="0" w:line="360" w:lineRule="auto"/>
        <w:ind w:firstLine="640"/>
        <w:jc w:val="both"/>
        <w:rPr>
          <w:rFonts w:hint="default" w:cs="宋体"/>
          <w:highlight w:val="none"/>
        </w:rPr>
      </w:pPr>
      <w:r>
        <w:rPr>
          <w:rFonts w:cs="宋体"/>
          <w:highlight w:val="none"/>
          <w:shd w:val="clear" w:color="auto" w:fill="FFFFFF"/>
        </w:rPr>
        <w:t>六、承诺本单位提出政府采购质疑和投诉坚持依法依规、诚实信用原则，在全国范围12个月内没有三次以上查无实据的政府采购投诉；</w:t>
      </w:r>
    </w:p>
    <w:p w14:paraId="560E1662">
      <w:pPr>
        <w:pStyle w:val="37"/>
        <w:shd w:val="clear"/>
        <w:spacing w:beforeAutospacing="0" w:afterAutospacing="0" w:line="360" w:lineRule="auto"/>
        <w:ind w:firstLine="640"/>
        <w:jc w:val="both"/>
        <w:rPr>
          <w:rFonts w:hint="default" w:cs="宋体"/>
          <w:highlight w:val="none"/>
        </w:rPr>
      </w:pPr>
      <w:r>
        <w:rPr>
          <w:rFonts w:cs="宋体"/>
          <w:highlight w:val="none"/>
          <w:shd w:val="clear" w:color="auto" w:fill="FFFFFF"/>
        </w:rPr>
        <w:t>七、根据政府采购相关法律法规的规定需要作出的其他承诺：</w:t>
      </w:r>
      <w:r>
        <w:rPr>
          <w:rFonts w:cs="宋体"/>
          <w:highlight w:val="none"/>
          <w:u w:val="single"/>
          <w:shd w:val="clear" w:color="auto" w:fill="FFFFFF"/>
        </w:rPr>
        <w:t>    </w:t>
      </w:r>
      <w:r>
        <w:rPr>
          <w:rFonts w:cs="宋体"/>
          <w:highlight w:val="none"/>
          <w:shd w:val="clear" w:color="auto" w:fill="FFFFFF"/>
        </w:rPr>
        <w:t>。</w:t>
      </w:r>
    </w:p>
    <w:p w14:paraId="57F233D1">
      <w:pPr>
        <w:pStyle w:val="37"/>
        <w:shd w:val="clear"/>
        <w:spacing w:beforeAutospacing="0" w:afterAutospacing="0" w:line="360" w:lineRule="auto"/>
        <w:ind w:firstLine="480" w:firstLineChars="200"/>
        <w:jc w:val="both"/>
        <w:rPr>
          <w:rFonts w:hint="default" w:cs="宋体"/>
          <w:highlight w:val="none"/>
        </w:rPr>
      </w:pPr>
      <w:r>
        <w:rPr>
          <w:rFonts w:cs="宋体"/>
          <w:highlight w:val="none"/>
          <w:shd w:val="clear" w:color="auto" w:fill="FFFFFF"/>
        </w:rPr>
        <w:t>八、按照信用信息管理有关要求，本单位同意将以上承诺在各级信用信息共享平台公示，接受社会监督。若违背以上承诺，同意依据相关规定记入企业信用档案和在各级信用信息共享平台公示；性质严重的，同意承担相应法律后果和责任，并依法依规列入严重失信名单。</w:t>
      </w:r>
    </w:p>
    <w:p w14:paraId="0D720A7D">
      <w:pPr>
        <w:pStyle w:val="28"/>
        <w:shd w:val="clear"/>
        <w:rPr>
          <w:rFonts w:ascii="宋体" w:hAnsi="宋体" w:eastAsia="宋体" w:cs="宋体"/>
          <w:sz w:val="24"/>
          <w:highlight w:val="none"/>
          <w:shd w:val="clear" w:color="auto" w:fill="FFFFFF"/>
        </w:rPr>
      </w:pPr>
    </w:p>
    <w:p w14:paraId="53E9294C">
      <w:pPr>
        <w:pStyle w:val="37"/>
        <w:shd w:val="clear"/>
        <w:spacing w:beforeAutospacing="0" w:after="150" w:afterAutospacing="0" w:line="360" w:lineRule="auto"/>
        <w:ind w:firstLine="640"/>
        <w:jc w:val="both"/>
        <w:rPr>
          <w:rFonts w:hint="default" w:cs="宋体"/>
          <w:highlight w:val="none"/>
        </w:rPr>
      </w:pPr>
      <w:r>
        <w:rPr>
          <w:rFonts w:cs="宋体"/>
          <w:highlight w:val="none"/>
          <w:shd w:val="clear" w:color="auto" w:fill="FFFFFF"/>
        </w:rPr>
        <w:t>            承诺单位（盖章）：</w:t>
      </w:r>
    </w:p>
    <w:p w14:paraId="2ADD5B26">
      <w:pPr>
        <w:pStyle w:val="37"/>
        <w:shd w:val="clear"/>
        <w:spacing w:beforeAutospacing="0" w:after="150" w:afterAutospacing="0" w:line="360" w:lineRule="auto"/>
        <w:ind w:firstLine="640"/>
        <w:jc w:val="both"/>
        <w:rPr>
          <w:rFonts w:hint="default" w:cs="宋体"/>
          <w:highlight w:val="none"/>
          <w:shd w:val="clear" w:color="auto" w:fill="FFFFFF"/>
        </w:rPr>
      </w:pPr>
      <w:r>
        <w:rPr>
          <w:rFonts w:cs="宋体"/>
          <w:highlight w:val="none"/>
          <w:shd w:val="clear" w:color="auto" w:fill="FFFFFF"/>
        </w:rPr>
        <w:t>            法定代表人（负责人）：</w:t>
      </w:r>
    </w:p>
    <w:p w14:paraId="3F2B57C0">
      <w:pPr>
        <w:pStyle w:val="37"/>
        <w:shd w:val="clear"/>
        <w:spacing w:beforeAutospacing="0" w:after="150" w:afterAutospacing="0" w:line="360" w:lineRule="auto"/>
        <w:ind w:firstLine="2880" w:firstLineChars="1200"/>
        <w:jc w:val="both"/>
        <w:rPr>
          <w:rFonts w:hint="default" w:cs="宋体"/>
          <w:highlight w:val="none"/>
          <w:shd w:val="clear" w:color="auto" w:fill="FFFFFF"/>
        </w:rPr>
      </w:pPr>
      <w:r>
        <w:rPr>
          <w:rFonts w:cs="宋体"/>
          <w:highlight w:val="none"/>
          <w:shd w:val="clear" w:color="auto" w:fill="FFFFFF"/>
        </w:rPr>
        <w:t>法定代表人（负责人）身份证号：</w:t>
      </w:r>
    </w:p>
    <w:p w14:paraId="5A47E5E7">
      <w:pPr>
        <w:pStyle w:val="37"/>
        <w:shd w:val="clear"/>
        <w:spacing w:beforeAutospacing="0" w:after="150" w:afterAutospacing="0" w:line="360" w:lineRule="auto"/>
        <w:ind w:firstLine="640"/>
        <w:jc w:val="both"/>
        <w:rPr>
          <w:rFonts w:hint="default" w:cs="宋体"/>
          <w:highlight w:val="none"/>
        </w:rPr>
      </w:pPr>
      <w:r>
        <w:rPr>
          <w:rFonts w:cs="宋体"/>
          <w:highlight w:val="none"/>
          <w:shd w:val="clear" w:color="auto" w:fill="FFFFFF"/>
        </w:rPr>
        <w:t>          承诺日期：</w:t>
      </w:r>
    </w:p>
    <w:p w14:paraId="658D8E36">
      <w:pPr>
        <w:shd w:val="clear"/>
        <w:spacing w:line="360" w:lineRule="auto"/>
        <w:rPr>
          <w:sz w:val="24"/>
          <w:highlight w:val="none"/>
        </w:rPr>
      </w:pPr>
      <w:r>
        <w:rPr>
          <w:rFonts w:hint="eastAsia"/>
          <w:sz w:val="24"/>
          <w:highlight w:val="none"/>
        </w:rPr>
        <w:t>注：法定代表人或负责人、主体名称发生变更的应当重新做出承诺；承诺书标题按照工程类、货物类、服务类确定。</w:t>
      </w:r>
    </w:p>
    <w:p w14:paraId="5A97B9AB">
      <w:pPr>
        <w:shd w:val="clear"/>
        <w:bidi w:val="0"/>
        <w:rPr>
          <w:highlight w:val="none"/>
        </w:rPr>
      </w:pPr>
    </w:p>
    <w:p w14:paraId="2DF37588">
      <w:pPr>
        <w:pStyle w:val="3"/>
        <w:shd w:val="clear"/>
        <w:spacing w:before="0" w:after="0" w:line="360" w:lineRule="auto"/>
        <w:ind w:left="0"/>
        <w:jc w:val="center"/>
        <w:rPr>
          <w:sz w:val="24"/>
          <w:szCs w:val="24"/>
          <w:highlight w:val="none"/>
        </w:rPr>
        <w:sectPr>
          <w:pgSz w:w="11906" w:h="16838"/>
          <w:pgMar w:top="1440" w:right="1800" w:bottom="1440" w:left="1800" w:header="1135" w:footer="1135" w:gutter="0"/>
          <w:pgNumType w:fmt="decimal"/>
          <w:cols w:space="425" w:num="1"/>
          <w:docGrid w:type="lines" w:linePitch="312" w:charSpace="0"/>
        </w:sectPr>
      </w:pPr>
      <w:r>
        <w:rPr>
          <w:rFonts w:hint="eastAsia" w:ascii="宋体" w:hAnsi="宋体" w:eastAsia="宋体" w:cs="宋体"/>
          <w:b/>
          <w:bCs/>
          <w:sz w:val="28"/>
          <w:szCs w:val="28"/>
          <w:highlight w:val="none"/>
          <w:lang w:val="en-US" w:eastAsia="zh-CN"/>
        </w:rPr>
        <w:t>后附信用承诺上报截图</w:t>
      </w:r>
    </w:p>
    <w:p w14:paraId="4AAC3E34">
      <w:pPr>
        <w:pStyle w:val="3"/>
        <w:shd w:val="clear"/>
        <w:spacing w:before="0" w:after="0" w:line="360" w:lineRule="auto"/>
        <w:ind w:left="0"/>
        <w:jc w:val="center"/>
        <w:rPr>
          <w:sz w:val="24"/>
          <w:szCs w:val="24"/>
          <w:highlight w:val="none"/>
        </w:rPr>
      </w:pPr>
      <w:r>
        <w:rPr>
          <w:rFonts w:hint="eastAsia"/>
          <w:sz w:val="24"/>
          <w:szCs w:val="24"/>
          <w:highlight w:val="none"/>
        </w:rPr>
        <w:t>十、非联合体提供非联合体声明</w:t>
      </w:r>
    </w:p>
    <w:p w14:paraId="6471EBAB">
      <w:pPr>
        <w:pStyle w:val="18"/>
        <w:shd w:val="clear"/>
        <w:rPr>
          <w:highlight w:val="none"/>
        </w:rPr>
      </w:pPr>
    </w:p>
    <w:p w14:paraId="75587E17">
      <w:pPr>
        <w:widowControl/>
        <w:shd w:val="clear"/>
        <w:spacing w:line="360" w:lineRule="auto"/>
        <w:ind w:firstLine="480" w:firstLineChars="200"/>
        <w:jc w:val="left"/>
        <w:rPr>
          <w:rFonts w:ascii="宋体" w:hAnsi="宋体" w:eastAsia="宋体" w:cs="宋体"/>
          <w:sz w:val="24"/>
          <w:highlight w:val="none"/>
        </w:rPr>
      </w:pPr>
      <w:r>
        <w:rPr>
          <w:rFonts w:hint="eastAsia" w:ascii="宋体" w:hAnsi="宋体" w:eastAsia="宋体" w:cs="宋体"/>
          <w:color w:val="000000"/>
          <w:kern w:val="0"/>
          <w:sz w:val="24"/>
          <w:highlight w:val="none"/>
          <w:lang w:bidi="ar"/>
        </w:rPr>
        <w:t>本单位郑重声明，参加陕西中财招标代理有限公司的</w:t>
      </w:r>
      <w:r>
        <w:rPr>
          <w:rFonts w:hint="eastAsia" w:ascii="宋体" w:hAnsi="宋体" w:eastAsia="宋体" w:cs="宋体"/>
          <w:color w:val="000000"/>
          <w:kern w:val="0"/>
          <w:sz w:val="24"/>
          <w:highlight w:val="none"/>
          <w:u w:val="single"/>
          <w:lang w:bidi="ar"/>
        </w:rPr>
        <w:t>项目名称</w:t>
      </w:r>
      <w:r>
        <w:rPr>
          <w:rFonts w:hint="eastAsia" w:ascii="宋体" w:hAnsi="宋体" w:eastAsia="宋体" w:cs="宋体"/>
          <w:sz w:val="24"/>
          <w:highlight w:val="none"/>
          <w:u w:val="single"/>
        </w:rPr>
        <w:t xml:space="preserve">：      </w:t>
      </w:r>
      <w:r>
        <w:rPr>
          <w:rFonts w:hint="eastAsia" w:ascii="宋体" w:hAnsi="宋体" w:eastAsia="宋体" w:cs="宋体"/>
          <w:color w:val="000000"/>
          <w:kern w:val="0"/>
          <w:sz w:val="24"/>
          <w:highlight w:val="none"/>
          <w:lang w:bidi="ar"/>
        </w:rPr>
        <w:t>（项目编号：</w:t>
      </w:r>
      <w:r>
        <w:rPr>
          <w:rFonts w:hint="eastAsia" w:ascii="宋体" w:hAnsi="宋体" w:eastAsia="宋体" w:cs="宋体"/>
          <w:color w:val="000000"/>
          <w:kern w:val="0"/>
          <w:sz w:val="24"/>
          <w:highlight w:val="none"/>
          <w:u w:val="single"/>
          <w:lang w:bidi="ar"/>
        </w:rPr>
        <w:t xml:space="preserve">              </w:t>
      </w:r>
      <w:r>
        <w:rPr>
          <w:rFonts w:hint="eastAsia" w:ascii="宋体" w:hAnsi="宋体" w:eastAsia="宋体" w:cs="宋体"/>
          <w:color w:val="000000"/>
          <w:kern w:val="0"/>
          <w:sz w:val="24"/>
          <w:highlight w:val="none"/>
          <w:lang w:bidi="ar"/>
        </w:rPr>
        <w:t xml:space="preserve">）采购活动，为非联合体投标，本项目实施过程由本单位独立承担。 </w:t>
      </w:r>
    </w:p>
    <w:p w14:paraId="496710B6">
      <w:pPr>
        <w:widowControl/>
        <w:shd w:val="clear"/>
        <w:spacing w:line="360" w:lineRule="auto"/>
        <w:ind w:firstLine="480" w:firstLineChars="200"/>
        <w:jc w:val="left"/>
        <w:rPr>
          <w:rFonts w:ascii="宋体" w:hAnsi="宋体" w:eastAsia="宋体" w:cs="宋体"/>
          <w:sz w:val="24"/>
          <w:highlight w:val="none"/>
        </w:rPr>
      </w:pPr>
      <w:r>
        <w:rPr>
          <w:rFonts w:hint="eastAsia" w:ascii="宋体" w:hAnsi="宋体" w:eastAsia="宋体" w:cs="宋体"/>
          <w:color w:val="000000"/>
          <w:kern w:val="0"/>
          <w:sz w:val="24"/>
          <w:highlight w:val="none"/>
          <w:lang w:bidi="ar"/>
        </w:rPr>
        <w:t xml:space="preserve">本单位对上述声明的真实性负责。如有虚假，将依法承担相应责任。 </w:t>
      </w:r>
    </w:p>
    <w:p w14:paraId="58AB563D">
      <w:pPr>
        <w:widowControl/>
        <w:shd w:val="clear"/>
        <w:spacing w:line="360" w:lineRule="auto"/>
        <w:ind w:firstLine="480" w:firstLineChars="200"/>
        <w:jc w:val="left"/>
        <w:rPr>
          <w:rFonts w:ascii="宋体" w:hAnsi="宋体" w:eastAsia="宋体" w:cs="宋体"/>
          <w:color w:val="000000"/>
          <w:kern w:val="0"/>
          <w:sz w:val="24"/>
          <w:highlight w:val="none"/>
          <w:lang w:bidi="ar"/>
        </w:rPr>
      </w:pPr>
    </w:p>
    <w:p w14:paraId="64B6C976">
      <w:pPr>
        <w:shd w:val="clear"/>
        <w:wordWrap w:val="0"/>
        <w:spacing w:line="360" w:lineRule="auto"/>
        <w:ind w:right="560" w:firstLine="3840" w:firstLineChars="1600"/>
        <w:rPr>
          <w:rFonts w:ascii="Times New Roman" w:hAnsi="Times New Roman" w:eastAsia="宋体" w:cs="Times New Roman"/>
          <w:szCs w:val="20"/>
          <w:highlight w:val="none"/>
          <w:lang w:bidi="ar"/>
        </w:rPr>
      </w:pPr>
      <w:r>
        <w:rPr>
          <w:rFonts w:hint="eastAsia" w:ascii="宋体" w:hAnsi="宋体" w:eastAsia="宋体" w:cs="宋体"/>
          <w:sz w:val="24"/>
          <w:szCs w:val="20"/>
          <w:highlight w:val="none"/>
          <w:lang w:bidi="ar"/>
        </w:rPr>
        <w:t>投标人：</w:t>
      </w:r>
      <w:r>
        <w:rPr>
          <w:rFonts w:ascii="Times New Roman" w:hAnsi="宋体" w:eastAsia="宋体" w:cs="宋体"/>
          <w:sz w:val="24"/>
          <w:szCs w:val="20"/>
          <w:highlight w:val="none"/>
          <w:u w:val="single"/>
          <w:lang w:bidi="ar"/>
        </w:rPr>
        <w:t xml:space="preserve">      </w:t>
      </w:r>
      <w:r>
        <w:rPr>
          <w:rFonts w:hint="eastAsia" w:ascii="宋体" w:hAnsi="宋体" w:eastAsia="宋体" w:cs="宋体"/>
          <w:sz w:val="24"/>
          <w:szCs w:val="20"/>
          <w:highlight w:val="none"/>
          <w:u w:val="single"/>
          <w:lang w:bidi="ar"/>
        </w:rPr>
        <w:t>（盖公章）</w:t>
      </w:r>
    </w:p>
    <w:p w14:paraId="5E7AC51D">
      <w:pPr>
        <w:shd w:val="clear"/>
        <w:wordWrap w:val="0"/>
        <w:spacing w:line="360" w:lineRule="auto"/>
        <w:ind w:right="560" w:firstLine="3840" w:firstLineChars="1600"/>
        <w:rPr>
          <w:rFonts w:ascii="宋体" w:hAnsi="宋体" w:eastAsia="宋体" w:cs="宋体"/>
          <w:sz w:val="24"/>
          <w:szCs w:val="20"/>
          <w:highlight w:val="none"/>
          <w:lang w:bidi="ar"/>
        </w:rPr>
      </w:pPr>
      <w:r>
        <w:rPr>
          <w:rFonts w:hint="eastAsia" w:ascii="宋体" w:hAnsi="宋体" w:eastAsia="宋体" w:cs="宋体"/>
          <w:sz w:val="24"/>
          <w:szCs w:val="20"/>
          <w:highlight w:val="none"/>
          <w:lang w:bidi="ar"/>
        </w:rPr>
        <w:t>日期：</w:t>
      </w:r>
      <w:r>
        <w:rPr>
          <w:rFonts w:ascii="Times New Roman" w:hAnsi="宋体" w:eastAsia="宋体" w:cs="宋体"/>
          <w:sz w:val="24"/>
          <w:szCs w:val="20"/>
          <w:highlight w:val="none"/>
          <w:lang w:bidi="ar"/>
        </w:rPr>
        <w:t xml:space="preserve">   </w:t>
      </w:r>
      <w:r>
        <w:rPr>
          <w:rFonts w:hint="eastAsia" w:ascii="宋体" w:hAnsi="宋体" w:eastAsia="宋体" w:cs="宋体"/>
          <w:sz w:val="24"/>
          <w:szCs w:val="20"/>
          <w:highlight w:val="none"/>
          <w:lang w:bidi="ar"/>
        </w:rPr>
        <w:t>年</w:t>
      </w:r>
      <w:r>
        <w:rPr>
          <w:rFonts w:ascii="Times New Roman" w:hAnsi="宋体" w:eastAsia="宋体" w:cs="宋体"/>
          <w:sz w:val="24"/>
          <w:szCs w:val="20"/>
          <w:highlight w:val="none"/>
          <w:lang w:bidi="ar"/>
        </w:rPr>
        <w:t xml:space="preserve">   </w:t>
      </w:r>
      <w:r>
        <w:rPr>
          <w:rFonts w:hint="eastAsia" w:ascii="宋体" w:hAnsi="宋体" w:eastAsia="宋体" w:cs="宋体"/>
          <w:sz w:val="24"/>
          <w:szCs w:val="20"/>
          <w:highlight w:val="none"/>
          <w:lang w:bidi="ar"/>
        </w:rPr>
        <w:t>月</w:t>
      </w:r>
      <w:r>
        <w:rPr>
          <w:rFonts w:ascii="Times New Roman" w:hAnsi="宋体" w:eastAsia="宋体" w:cs="宋体"/>
          <w:sz w:val="24"/>
          <w:szCs w:val="20"/>
          <w:highlight w:val="none"/>
          <w:lang w:bidi="ar"/>
        </w:rPr>
        <w:t xml:space="preserve">   </w:t>
      </w:r>
      <w:r>
        <w:rPr>
          <w:rFonts w:hint="eastAsia" w:ascii="宋体" w:hAnsi="宋体" w:eastAsia="宋体" w:cs="宋体"/>
          <w:sz w:val="24"/>
          <w:szCs w:val="20"/>
          <w:highlight w:val="none"/>
          <w:lang w:bidi="ar"/>
        </w:rPr>
        <w:t>日</w:t>
      </w:r>
    </w:p>
    <w:p w14:paraId="0FF7D28E">
      <w:pPr>
        <w:shd w:val="clear"/>
        <w:bidi w:val="0"/>
        <w:rPr>
          <w:highlight w:val="none"/>
        </w:rPr>
      </w:pPr>
    </w:p>
    <w:bookmarkEnd w:id="112"/>
    <w:bookmarkEnd w:id="113"/>
    <w:p w14:paraId="69A45FDB">
      <w:pPr>
        <w:shd w:val="clear"/>
        <w:bidi w:val="0"/>
        <w:rPr>
          <w:highlight w:val="none"/>
        </w:rPr>
      </w:pPr>
    </w:p>
    <w:p w14:paraId="275C8DC3">
      <w:pPr>
        <w:shd w:val="clear"/>
        <w:bidi w:val="0"/>
        <w:rPr>
          <w:highlight w:val="none"/>
        </w:rPr>
      </w:pPr>
    </w:p>
    <w:p w14:paraId="3AB10FAC">
      <w:pPr>
        <w:shd w:val="clear"/>
        <w:bidi w:val="0"/>
        <w:rPr>
          <w:highlight w:val="none"/>
        </w:rPr>
      </w:pPr>
    </w:p>
    <w:p w14:paraId="12EFBE2F">
      <w:pPr>
        <w:shd w:val="clear"/>
        <w:bidi w:val="0"/>
        <w:rPr>
          <w:highlight w:val="none"/>
        </w:rPr>
      </w:pPr>
    </w:p>
    <w:p w14:paraId="576CF630">
      <w:pPr>
        <w:shd w:val="clear"/>
        <w:bidi w:val="0"/>
        <w:rPr>
          <w:highlight w:val="none"/>
        </w:rPr>
      </w:pPr>
    </w:p>
    <w:p w14:paraId="4CF9A760">
      <w:pPr>
        <w:shd w:val="clear"/>
        <w:bidi w:val="0"/>
        <w:rPr>
          <w:highlight w:val="none"/>
        </w:rPr>
      </w:pPr>
    </w:p>
    <w:p w14:paraId="734D4BD2">
      <w:pPr>
        <w:shd w:val="clear"/>
        <w:bidi w:val="0"/>
        <w:rPr>
          <w:highlight w:val="none"/>
        </w:rPr>
      </w:pPr>
    </w:p>
    <w:p w14:paraId="17BA439E">
      <w:pPr>
        <w:shd w:val="clear"/>
        <w:bidi w:val="0"/>
        <w:rPr>
          <w:highlight w:val="none"/>
        </w:rPr>
      </w:pPr>
    </w:p>
    <w:p w14:paraId="7BC1B46C">
      <w:pPr>
        <w:shd w:val="clear"/>
        <w:rPr>
          <w:rFonts w:ascii="宋体" w:hAnsi="宋体" w:eastAsia="宋体" w:cs="宋体"/>
          <w:sz w:val="28"/>
          <w:szCs w:val="28"/>
          <w:highlight w:val="none"/>
        </w:rPr>
      </w:pPr>
    </w:p>
    <w:p w14:paraId="49CC2AA9">
      <w:pPr>
        <w:pStyle w:val="40"/>
        <w:shd w:val="clear"/>
        <w:rPr>
          <w:rFonts w:ascii="宋体" w:hAnsi="宋体" w:eastAsia="宋体" w:cs="宋体"/>
          <w:sz w:val="28"/>
          <w:szCs w:val="28"/>
          <w:highlight w:val="none"/>
        </w:rPr>
      </w:pPr>
    </w:p>
    <w:p w14:paraId="0391C3FB">
      <w:pPr>
        <w:pStyle w:val="16"/>
        <w:shd w:val="clear"/>
        <w:rPr>
          <w:rFonts w:ascii="宋体" w:hAnsi="宋体" w:eastAsia="宋体" w:cs="宋体"/>
          <w:sz w:val="28"/>
          <w:szCs w:val="28"/>
          <w:highlight w:val="none"/>
        </w:rPr>
      </w:pPr>
    </w:p>
    <w:p w14:paraId="33468CE9">
      <w:pPr>
        <w:shd w:val="clear"/>
        <w:rPr>
          <w:highlight w:val="none"/>
        </w:rPr>
      </w:pPr>
    </w:p>
    <w:p w14:paraId="3604CCE7">
      <w:pPr>
        <w:pStyle w:val="18"/>
        <w:shd w:val="clear"/>
        <w:ind w:firstLine="560"/>
        <w:rPr>
          <w:rFonts w:ascii="宋体" w:hAnsi="宋体" w:eastAsia="宋体" w:cs="宋体"/>
          <w:sz w:val="28"/>
          <w:szCs w:val="28"/>
          <w:highlight w:val="none"/>
        </w:rPr>
      </w:pPr>
    </w:p>
    <w:p w14:paraId="612A1EEC">
      <w:pPr>
        <w:keepNext w:val="0"/>
        <w:keepLines w:val="0"/>
        <w:pageBreakBefore w:val="0"/>
        <w:widowControl/>
        <w:suppressLineNumbers w:val="0"/>
        <w:shd w:val="clear"/>
        <w:kinsoku/>
        <w:wordWrap/>
        <w:overflowPunct/>
        <w:topLinePunct w:val="0"/>
        <w:autoSpaceDE/>
        <w:autoSpaceDN/>
        <w:bidi w:val="0"/>
        <w:adjustRightInd/>
        <w:snapToGrid/>
        <w:spacing w:before="157" w:beforeLines="50" w:after="157" w:afterLines="50" w:line="360" w:lineRule="auto"/>
        <w:jc w:val="center"/>
        <w:textAlignment w:val="auto"/>
        <w:rPr>
          <w:rFonts w:hint="eastAsia" w:ascii="Arial" w:hAnsi="Arial" w:cs="Times New Roman"/>
          <w:b/>
          <w:color w:val="auto"/>
          <w:kern w:val="0"/>
          <w:sz w:val="24"/>
          <w:szCs w:val="24"/>
          <w:highlight w:val="none"/>
          <w:lang w:val="en-US" w:eastAsia="zh-CN" w:bidi="ar"/>
        </w:rPr>
        <w:sectPr>
          <w:pgSz w:w="11906" w:h="16838"/>
          <w:pgMar w:top="1440" w:right="1800" w:bottom="1440" w:left="1800" w:header="1135" w:footer="1135" w:gutter="0"/>
          <w:pgNumType w:fmt="decimal"/>
          <w:cols w:space="425" w:num="1"/>
          <w:docGrid w:type="lines" w:linePitch="312" w:charSpace="0"/>
        </w:sectPr>
      </w:pPr>
      <w:bookmarkStart w:id="114" w:name="_Toc18990"/>
      <w:bookmarkStart w:id="115" w:name="_Toc7066"/>
      <w:bookmarkStart w:id="116" w:name="_Toc10782"/>
    </w:p>
    <w:p w14:paraId="1679FA67">
      <w:pPr>
        <w:keepNext w:val="0"/>
        <w:keepLines w:val="0"/>
        <w:pageBreakBefore w:val="0"/>
        <w:widowControl/>
        <w:suppressLineNumbers w:val="0"/>
        <w:shd w:val="clear"/>
        <w:kinsoku/>
        <w:wordWrap/>
        <w:overflowPunct/>
        <w:topLinePunct w:val="0"/>
        <w:autoSpaceDE/>
        <w:autoSpaceDN/>
        <w:bidi w:val="0"/>
        <w:adjustRightInd/>
        <w:snapToGrid/>
        <w:spacing w:before="157" w:beforeLines="50" w:after="157" w:afterLines="50" w:line="360" w:lineRule="auto"/>
        <w:jc w:val="center"/>
        <w:textAlignment w:val="auto"/>
        <w:rPr>
          <w:rFonts w:hint="eastAsia" w:ascii="Arial" w:hAnsi="Arial" w:eastAsia="宋体" w:cs="Times New Roman"/>
          <w:b/>
          <w:color w:val="auto"/>
          <w:kern w:val="0"/>
          <w:sz w:val="24"/>
          <w:szCs w:val="24"/>
          <w:highlight w:val="none"/>
          <w:lang w:val="en-US" w:eastAsia="zh-CN" w:bidi="ar"/>
        </w:rPr>
      </w:pPr>
      <w:r>
        <w:rPr>
          <w:rFonts w:hint="eastAsia" w:ascii="Arial" w:hAnsi="Arial" w:cs="Times New Roman"/>
          <w:b/>
          <w:color w:val="auto"/>
          <w:kern w:val="0"/>
          <w:sz w:val="24"/>
          <w:szCs w:val="24"/>
          <w:highlight w:val="none"/>
          <w:lang w:val="en-US" w:eastAsia="zh-CN" w:bidi="ar"/>
        </w:rPr>
        <w:t>十一、</w:t>
      </w:r>
      <w:r>
        <w:rPr>
          <w:rFonts w:hint="eastAsia" w:ascii="Arial" w:hAnsi="Arial" w:eastAsia="宋体" w:cs="Times New Roman"/>
          <w:b/>
          <w:color w:val="auto"/>
          <w:kern w:val="0"/>
          <w:sz w:val="24"/>
          <w:szCs w:val="24"/>
          <w:highlight w:val="none"/>
          <w:lang w:val="en-US" w:eastAsia="zh-CN" w:bidi="ar"/>
        </w:rPr>
        <w:t>供应商企业关系关联承诺书</w:t>
      </w:r>
    </w:p>
    <w:p w14:paraId="33E2ED51">
      <w:pPr>
        <w:pageBreakBefore w:val="0"/>
        <w:widowControl w:val="0"/>
        <w:shd w:val="clear"/>
        <w:kinsoku/>
        <w:wordWrap/>
        <w:overflowPunct/>
        <w:topLinePunct w:val="0"/>
        <w:autoSpaceDE/>
        <w:autoSpaceDN/>
        <w:bidi w:val="0"/>
        <w:adjustRightInd/>
        <w:snapToGrid/>
        <w:spacing w:line="360" w:lineRule="auto"/>
        <w:ind w:left="574"/>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4"/>
          <w:position w:val="2"/>
          <w:sz w:val="24"/>
          <w:szCs w:val="24"/>
          <w:highlight w:val="none"/>
        </w:rPr>
        <w:t>1、</w:t>
      </w:r>
      <w:r>
        <w:rPr>
          <w:rFonts w:hint="eastAsia" w:asciiTheme="minorEastAsia" w:hAnsiTheme="minorEastAsia" w:eastAsiaTheme="minorEastAsia" w:cstheme="minorEastAsia"/>
          <w:spacing w:val="-2"/>
          <w:position w:val="2"/>
          <w:sz w:val="24"/>
          <w:szCs w:val="24"/>
          <w:highlight w:val="none"/>
        </w:rPr>
        <w:t>供应商股东及股权证明</w:t>
      </w:r>
      <w:r>
        <w:rPr>
          <w:rFonts w:hint="eastAsia" w:asciiTheme="minorEastAsia" w:hAnsiTheme="minorEastAsia" w:cstheme="minorEastAsia"/>
          <w:spacing w:val="-2"/>
          <w:position w:val="2"/>
          <w:sz w:val="24"/>
          <w:szCs w:val="24"/>
          <w:highlight w:val="none"/>
          <w:lang w:eastAsia="zh-CN"/>
        </w:rPr>
        <w:t>材料</w:t>
      </w:r>
      <w:r>
        <w:rPr>
          <w:rFonts w:hint="eastAsia" w:asciiTheme="minorEastAsia" w:hAnsiTheme="minorEastAsia" w:eastAsiaTheme="minorEastAsia" w:cstheme="minorEastAsia"/>
          <w:spacing w:val="-2"/>
          <w:position w:val="2"/>
          <w:sz w:val="24"/>
          <w:szCs w:val="24"/>
          <w:highlight w:val="none"/>
        </w:rPr>
        <w:t>。</w:t>
      </w:r>
    </w:p>
    <w:p w14:paraId="090DC700">
      <w:pPr>
        <w:pageBreakBefore w:val="0"/>
        <w:widowControl w:val="0"/>
        <w:shd w:val="clear"/>
        <w:kinsoku/>
        <w:wordWrap/>
        <w:overflowPunct/>
        <w:topLinePunct w:val="0"/>
        <w:autoSpaceDE/>
        <w:autoSpaceDN/>
        <w:bidi w:val="0"/>
        <w:adjustRightInd/>
        <w:snapToGrid/>
        <w:spacing w:line="360" w:lineRule="auto"/>
        <w:ind w:firstLine="556"/>
        <w:textAlignment w:val="auto"/>
        <w:rPr>
          <w:rFonts w:hint="eastAsia" w:asciiTheme="minorEastAsia" w:hAnsiTheme="minorEastAsia" w:eastAsiaTheme="minorEastAsia" w:cstheme="minorEastAsia"/>
          <w:spacing w:val="-4"/>
          <w:sz w:val="24"/>
          <w:szCs w:val="24"/>
          <w:highlight w:val="none"/>
        </w:rPr>
      </w:pPr>
    </w:p>
    <w:p w14:paraId="794F372B">
      <w:pPr>
        <w:pageBreakBefore w:val="0"/>
        <w:widowControl w:val="0"/>
        <w:shd w:val="clear"/>
        <w:kinsoku/>
        <w:wordWrap/>
        <w:overflowPunct/>
        <w:topLinePunct w:val="0"/>
        <w:autoSpaceDE/>
        <w:autoSpaceDN/>
        <w:bidi w:val="0"/>
        <w:adjustRightInd/>
        <w:snapToGrid/>
        <w:spacing w:line="360" w:lineRule="auto"/>
        <w:ind w:firstLine="556"/>
        <w:textAlignment w:val="auto"/>
        <w:rPr>
          <w:rFonts w:hint="eastAsia" w:asciiTheme="minorEastAsia" w:hAnsiTheme="minorEastAsia" w:eastAsiaTheme="minorEastAsia" w:cstheme="minorEastAsia"/>
          <w:spacing w:val="-4"/>
          <w:sz w:val="24"/>
          <w:szCs w:val="24"/>
          <w:highlight w:val="none"/>
        </w:rPr>
      </w:pPr>
    </w:p>
    <w:p w14:paraId="19503142">
      <w:pPr>
        <w:pageBreakBefore w:val="0"/>
        <w:widowControl w:val="0"/>
        <w:shd w:val="clear"/>
        <w:kinsoku/>
        <w:wordWrap/>
        <w:overflowPunct/>
        <w:topLinePunct w:val="0"/>
        <w:autoSpaceDE/>
        <w:autoSpaceDN/>
        <w:bidi w:val="0"/>
        <w:adjustRightInd/>
        <w:snapToGrid/>
        <w:spacing w:line="360" w:lineRule="auto"/>
        <w:ind w:firstLine="556"/>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4"/>
          <w:sz w:val="24"/>
          <w:szCs w:val="24"/>
          <w:highlight w:val="none"/>
        </w:rPr>
        <w:t>2、供应</w:t>
      </w:r>
      <w:r>
        <w:rPr>
          <w:rFonts w:hint="eastAsia" w:asciiTheme="minorEastAsia" w:hAnsiTheme="minorEastAsia" w:eastAsiaTheme="minorEastAsia" w:cstheme="minorEastAsia"/>
          <w:spacing w:val="-3"/>
          <w:sz w:val="24"/>
          <w:szCs w:val="24"/>
          <w:highlight w:val="none"/>
        </w:rPr>
        <w:t>商</w:t>
      </w:r>
      <w:r>
        <w:rPr>
          <w:rFonts w:hint="eastAsia" w:asciiTheme="minorEastAsia" w:hAnsiTheme="minorEastAsia" w:eastAsiaTheme="minorEastAsia" w:cstheme="minorEastAsia"/>
          <w:spacing w:val="-2"/>
          <w:sz w:val="24"/>
          <w:szCs w:val="24"/>
          <w:highlight w:val="none"/>
        </w:rPr>
        <w:t>在本项目谈判中，不存在与其它供应商负责人为同一人，</w:t>
      </w:r>
      <w:r>
        <w:rPr>
          <w:rFonts w:hint="eastAsia" w:asciiTheme="minorEastAsia" w:hAnsiTheme="minorEastAsia" w:eastAsiaTheme="minorEastAsia" w:cstheme="minorEastAsia"/>
          <w:sz w:val="24"/>
          <w:szCs w:val="24"/>
          <w:highlight w:val="none"/>
        </w:rPr>
        <w:t xml:space="preserve"> </w:t>
      </w:r>
      <w:r>
        <w:rPr>
          <w:rFonts w:hint="eastAsia" w:asciiTheme="minorEastAsia" w:hAnsiTheme="minorEastAsia" w:eastAsiaTheme="minorEastAsia" w:cstheme="minorEastAsia"/>
          <w:spacing w:val="-2"/>
          <w:sz w:val="24"/>
          <w:szCs w:val="24"/>
          <w:highlight w:val="none"/>
        </w:rPr>
        <w:t>有</w:t>
      </w:r>
      <w:r>
        <w:rPr>
          <w:rFonts w:hint="eastAsia" w:asciiTheme="minorEastAsia" w:hAnsiTheme="minorEastAsia" w:eastAsiaTheme="minorEastAsia" w:cstheme="minorEastAsia"/>
          <w:spacing w:val="-1"/>
          <w:sz w:val="24"/>
          <w:szCs w:val="24"/>
          <w:highlight w:val="none"/>
        </w:rPr>
        <w:t>控股、管理等关联关系承诺。</w:t>
      </w:r>
    </w:p>
    <w:p w14:paraId="55523B5C">
      <w:pPr>
        <w:pageBreakBefore w:val="0"/>
        <w:widowControl w:val="0"/>
        <w:shd w:val="clear"/>
        <w:kinsoku/>
        <w:wordWrap/>
        <w:overflowPunct/>
        <w:topLinePunct w:val="0"/>
        <w:autoSpaceDE/>
        <w:autoSpaceDN/>
        <w:bidi w:val="0"/>
        <w:adjustRightInd/>
        <w:snapToGrid/>
        <w:spacing w:line="360" w:lineRule="auto"/>
        <w:ind w:left="556"/>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2"/>
          <w:position w:val="2"/>
          <w:sz w:val="24"/>
          <w:szCs w:val="24"/>
          <w:highlight w:val="none"/>
        </w:rPr>
        <w:t>2-</w:t>
      </w:r>
      <w:r>
        <w:rPr>
          <w:rFonts w:hint="eastAsia" w:asciiTheme="minorEastAsia" w:hAnsiTheme="minorEastAsia" w:eastAsiaTheme="minorEastAsia" w:cstheme="minorEastAsia"/>
          <w:spacing w:val="-1"/>
          <w:position w:val="2"/>
          <w:sz w:val="24"/>
          <w:szCs w:val="24"/>
          <w:highlight w:val="none"/>
        </w:rPr>
        <w:t>1、管理关系说明：</w:t>
      </w:r>
    </w:p>
    <w:p w14:paraId="70635EAF">
      <w:pPr>
        <w:pageBreakBefore w:val="0"/>
        <w:widowControl w:val="0"/>
        <w:shd w:val="clear"/>
        <w:kinsoku/>
        <w:wordWrap/>
        <w:overflowPunct/>
        <w:topLinePunct w:val="0"/>
        <w:autoSpaceDE/>
        <w:autoSpaceDN/>
        <w:bidi w:val="0"/>
        <w:adjustRightInd/>
        <w:snapToGrid/>
        <w:spacing w:line="360" w:lineRule="auto"/>
        <w:ind w:left="556" w:right="679" w:firstLine="15"/>
        <w:jc w:val="left"/>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6"/>
          <w:sz w:val="24"/>
          <w:szCs w:val="24"/>
          <w:highlight w:val="none"/>
        </w:rPr>
        <w:t>我单位管理的具有独立法人的下属单位有：</w:t>
      </w:r>
      <w:r>
        <w:rPr>
          <w:rFonts w:hint="eastAsia" w:asciiTheme="minorEastAsia" w:hAnsiTheme="minorEastAsia" w:eastAsiaTheme="minorEastAsia" w:cstheme="minorEastAsia"/>
          <w:spacing w:val="-6"/>
          <w:sz w:val="24"/>
          <w:szCs w:val="24"/>
          <w:highlight w:val="none"/>
          <w:u w:val="single" w:color="auto"/>
        </w:rPr>
        <w:t xml:space="preserve">               </w:t>
      </w:r>
      <w:r>
        <w:rPr>
          <w:rFonts w:hint="eastAsia" w:asciiTheme="minorEastAsia" w:hAnsiTheme="minorEastAsia" w:eastAsiaTheme="minorEastAsia" w:cstheme="minorEastAsia"/>
          <w:sz w:val="24"/>
          <w:szCs w:val="24"/>
          <w:highlight w:val="none"/>
        </w:rPr>
        <w:t xml:space="preserve">。 </w:t>
      </w:r>
      <w:r>
        <w:rPr>
          <w:rFonts w:hint="eastAsia" w:asciiTheme="minorEastAsia" w:hAnsiTheme="minorEastAsia" w:eastAsiaTheme="minorEastAsia" w:cstheme="minorEastAsia"/>
          <w:spacing w:val="1"/>
          <w:sz w:val="24"/>
          <w:szCs w:val="24"/>
          <w:highlight w:val="none"/>
        </w:rPr>
        <w:t>我单位的上级管理单位有</w:t>
      </w:r>
      <w:r>
        <w:rPr>
          <w:rFonts w:hint="eastAsia" w:asciiTheme="minorEastAsia" w:hAnsiTheme="minorEastAsia" w:eastAsiaTheme="minorEastAsia" w:cstheme="minorEastAsia"/>
          <w:spacing w:val="1"/>
          <w:sz w:val="24"/>
          <w:szCs w:val="24"/>
          <w:highlight w:val="none"/>
          <w:u w:val="single" w:color="auto"/>
        </w:rPr>
        <w:t xml:space="preserve">             </w:t>
      </w:r>
      <w:r>
        <w:rPr>
          <w:rFonts w:hint="eastAsia" w:asciiTheme="minorEastAsia" w:hAnsiTheme="minorEastAsia" w:eastAsiaTheme="minorEastAsia" w:cstheme="minorEastAsia"/>
          <w:spacing w:val="1"/>
          <w:sz w:val="24"/>
          <w:szCs w:val="24"/>
          <w:highlight w:val="none"/>
        </w:rPr>
        <w:t xml:space="preserve"> 。</w:t>
      </w:r>
      <w:r>
        <w:rPr>
          <w:rFonts w:hint="eastAsia" w:asciiTheme="minorEastAsia" w:hAnsiTheme="minorEastAsia" w:eastAsiaTheme="minorEastAsia" w:cstheme="minorEastAsia"/>
          <w:sz w:val="24"/>
          <w:szCs w:val="24"/>
          <w:highlight w:val="none"/>
        </w:rPr>
        <w:t xml:space="preserve">               </w:t>
      </w:r>
    </w:p>
    <w:p w14:paraId="161D4D8D">
      <w:pPr>
        <w:pageBreakBefore w:val="0"/>
        <w:widowControl w:val="0"/>
        <w:shd w:val="clear"/>
        <w:kinsoku/>
        <w:wordWrap/>
        <w:overflowPunct/>
        <w:topLinePunct w:val="0"/>
        <w:autoSpaceDE/>
        <w:autoSpaceDN/>
        <w:bidi w:val="0"/>
        <w:adjustRightInd/>
        <w:snapToGrid/>
        <w:spacing w:line="360" w:lineRule="auto"/>
        <w:ind w:left="556" w:right="679" w:firstLine="15"/>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2"/>
          <w:sz w:val="24"/>
          <w:szCs w:val="24"/>
          <w:highlight w:val="none"/>
        </w:rPr>
        <w:t>2-</w:t>
      </w:r>
      <w:r>
        <w:rPr>
          <w:rFonts w:hint="eastAsia" w:asciiTheme="minorEastAsia" w:hAnsiTheme="minorEastAsia" w:eastAsiaTheme="minorEastAsia" w:cstheme="minorEastAsia"/>
          <w:spacing w:val="-1"/>
          <w:sz w:val="24"/>
          <w:szCs w:val="24"/>
          <w:highlight w:val="none"/>
        </w:rPr>
        <w:t>2、股权关系说明：</w:t>
      </w:r>
    </w:p>
    <w:p w14:paraId="259AB040">
      <w:pPr>
        <w:pageBreakBefore w:val="0"/>
        <w:widowControl w:val="0"/>
        <w:shd w:val="clear"/>
        <w:kinsoku/>
        <w:wordWrap/>
        <w:overflowPunct/>
        <w:topLinePunct w:val="0"/>
        <w:autoSpaceDE/>
        <w:autoSpaceDN/>
        <w:bidi w:val="0"/>
        <w:adjustRightInd/>
        <w:snapToGrid/>
        <w:spacing w:line="360" w:lineRule="auto"/>
        <w:ind w:left="572"/>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2"/>
          <w:sz w:val="24"/>
          <w:szCs w:val="24"/>
          <w:highlight w:val="none"/>
        </w:rPr>
        <w:t>我单位控股</w:t>
      </w:r>
      <w:r>
        <w:rPr>
          <w:rFonts w:hint="eastAsia" w:asciiTheme="minorEastAsia" w:hAnsiTheme="minorEastAsia" w:eastAsiaTheme="minorEastAsia" w:cstheme="minorEastAsia"/>
          <w:spacing w:val="-1"/>
          <w:sz w:val="24"/>
          <w:szCs w:val="24"/>
          <w:highlight w:val="none"/>
        </w:rPr>
        <w:t>的单位有</w:t>
      </w:r>
      <w:r>
        <w:rPr>
          <w:rFonts w:hint="eastAsia" w:asciiTheme="minorEastAsia" w:hAnsiTheme="minorEastAsia" w:eastAsiaTheme="minorEastAsia" w:cstheme="minorEastAsia"/>
          <w:spacing w:val="-1"/>
          <w:sz w:val="24"/>
          <w:szCs w:val="24"/>
          <w:highlight w:val="none"/>
          <w:u w:val="single" w:color="auto"/>
        </w:rPr>
        <w:t xml:space="preserve">              </w:t>
      </w:r>
      <w:r>
        <w:rPr>
          <w:rFonts w:hint="eastAsia" w:asciiTheme="minorEastAsia" w:hAnsiTheme="minorEastAsia" w:eastAsiaTheme="minorEastAsia" w:cstheme="minorEastAsia"/>
          <w:spacing w:val="-1"/>
          <w:sz w:val="24"/>
          <w:szCs w:val="24"/>
          <w:highlight w:val="none"/>
        </w:rPr>
        <w:t>。</w:t>
      </w:r>
    </w:p>
    <w:p w14:paraId="37DDC748">
      <w:pPr>
        <w:pageBreakBefore w:val="0"/>
        <w:widowControl w:val="0"/>
        <w:shd w:val="clear"/>
        <w:kinsoku/>
        <w:wordWrap/>
        <w:overflowPunct/>
        <w:topLinePunct w:val="0"/>
        <w:autoSpaceDE/>
        <w:autoSpaceDN/>
        <w:bidi w:val="0"/>
        <w:adjustRightInd/>
        <w:snapToGrid/>
        <w:spacing w:line="360" w:lineRule="auto"/>
        <w:ind w:left="572"/>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7"/>
          <w:sz w:val="24"/>
          <w:szCs w:val="24"/>
          <w:highlight w:val="none"/>
        </w:rPr>
        <w:t>我单位被</w:t>
      </w:r>
      <w:r>
        <w:rPr>
          <w:rFonts w:hint="eastAsia" w:asciiTheme="minorEastAsia" w:hAnsiTheme="minorEastAsia" w:eastAsiaTheme="minorEastAsia" w:cstheme="minorEastAsia"/>
          <w:spacing w:val="-7"/>
          <w:sz w:val="24"/>
          <w:szCs w:val="24"/>
          <w:highlight w:val="none"/>
          <w:u w:val="single" w:color="auto"/>
        </w:rPr>
        <w:t xml:space="preserve">              </w:t>
      </w:r>
      <w:r>
        <w:rPr>
          <w:rFonts w:hint="eastAsia" w:asciiTheme="minorEastAsia" w:hAnsiTheme="minorEastAsia" w:eastAsiaTheme="minorEastAsia" w:cstheme="minorEastAsia"/>
          <w:spacing w:val="-7"/>
          <w:sz w:val="24"/>
          <w:szCs w:val="24"/>
          <w:highlight w:val="none"/>
        </w:rPr>
        <w:t xml:space="preserve"> 单位控股</w:t>
      </w:r>
      <w:r>
        <w:rPr>
          <w:rFonts w:hint="eastAsia" w:asciiTheme="minorEastAsia" w:hAnsiTheme="minorEastAsia" w:eastAsiaTheme="minorEastAsia" w:cstheme="minorEastAsia"/>
          <w:spacing w:val="-6"/>
          <w:sz w:val="24"/>
          <w:szCs w:val="24"/>
          <w:highlight w:val="none"/>
        </w:rPr>
        <w:t>。</w:t>
      </w:r>
    </w:p>
    <w:p w14:paraId="066BDEC3">
      <w:pPr>
        <w:pageBreakBefore w:val="0"/>
        <w:widowControl w:val="0"/>
        <w:shd w:val="clear"/>
        <w:kinsoku/>
        <w:wordWrap/>
        <w:overflowPunct/>
        <w:topLinePunct w:val="0"/>
        <w:autoSpaceDE/>
        <w:autoSpaceDN/>
        <w:bidi w:val="0"/>
        <w:adjustRightInd/>
        <w:snapToGrid/>
        <w:spacing w:line="360" w:lineRule="auto"/>
        <w:ind w:left="556"/>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2"/>
          <w:position w:val="2"/>
          <w:sz w:val="24"/>
          <w:szCs w:val="24"/>
          <w:highlight w:val="none"/>
        </w:rPr>
        <w:t>2-3、</w:t>
      </w:r>
      <w:r>
        <w:rPr>
          <w:rFonts w:hint="eastAsia" w:asciiTheme="minorEastAsia" w:hAnsiTheme="minorEastAsia" w:eastAsiaTheme="minorEastAsia" w:cstheme="minorEastAsia"/>
          <w:spacing w:val="-1"/>
          <w:position w:val="2"/>
          <w:sz w:val="24"/>
          <w:szCs w:val="24"/>
          <w:highlight w:val="none"/>
        </w:rPr>
        <w:t>单位负责人：</w:t>
      </w:r>
    </w:p>
    <w:p w14:paraId="6A7887F7">
      <w:pPr>
        <w:pageBreakBefore w:val="0"/>
        <w:widowControl w:val="0"/>
        <w:shd w:val="clear"/>
        <w:kinsoku/>
        <w:wordWrap/>
        <w:overflowPunct/>
        <w:topLinePunct w:val="0"/>
        <w:autoSpaceDE/>
        <w:autoSpaceDN/>
        <w:bidi w:val="0"/>
        <w:adjustRightInd/>
        <w:snapToGrid/>
        <w:spacing w:line="360" w:lineRule="auto"/>
        <w:ind w:left="559"/>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pacing w:val="-1"/>
          <w:sz w:val="24"/>
          <w:szCs w:val="24"/>
          <w:highlight w:val="none"/>
        </w:rPr>
        <w:t>3、其他与本项目有关的利害</w:t>
      </w:r>
      <w:r>
        <w:rPr>
          <w:rFonts w:hint="eastAsia" w:asciiTheme="minorEastAsia" w:hAnsiTheme="minorEastAsia" w:eastAsiaTheme="minorEastAsia" w:cstheme="minorEastAsia"/>
          <w:sz w:val="24"/>
          <w:szCs w:val="24"/>
          <w:highlight w:val="none"/>
        </w:rPr>
        <w:t>关系说明：</w:t>
      </w:r>
    </w:p>
    <w:p w14:paraId="353E686C">
      <w:pPr>
        <w:pageBreakBefore w:val="0"/>
        <w:widowControl w:val="0"/>
        <w:shd w:val="clear"/>
        <w:kinsoku/>
        <w:wordWrap/>
        <w:overflowPunct/>
        <w:topLinePunct w:val="0"/>
        <w:autoSpaceDE/>
        <w:autoSpaceDN/>
        <w:bidi w:val="0"/>
        <w:adjustRightInd/>
        <w:snapToGrid/>
        <w:spacing w:line="360" w:lineRule="auto"/>
        <w:ind w:left="559"/>
        <w:textAlignment w:val="auto"/>
        <w:rPr>
          <w:rFonts w:hint="eastAsia" w:asciiTheme="minorEastAsia" w:hAnsiTheme="minorEastAsia" w:eastAsiaTheme="minorEastAsia" w:cstheme="minorEastAsia"/>
          <w:sz w:val="24"/>
          <w:szCs w:val="24"/>
          <w:highlight w:val="none"/>
        </w:rPr>
      </w:pPr>
    </w:p>
    <w:p w14:paraId="215BDDBF">
      <w:pPr>
        <w:pageBreakBefore w:val="0"/>
        <w:widowControl w:val="0"/>
        <w:shd w:val="clear"/>
        <w:kinsoku/>
        <w:wordWrap/>
        <w:overflowPunct/>
        <w:topLinePunct w:val="0"/>
        <w:autoSpaceDE/>
        <w:autoSpaceDN/>
        <w:bidi w:val="0"/>
        <w:adjustRightInd/>
        <w:snapToGrid/>
        <w:spacing w:line="360" w:lineRule="auto"/>
        <w:ind w:left="559"/>
        <w:textAlignment w:val="auto"/>
        <w:rPr>
          <w:rFonts w:hint="eastAsia" w:asciiTheme="minorEastAsia" w:hAnsiTheme="minorEastAsia" w:eastAsiaTheme="minorEastAsia" w:cstheme="minorEastAsia"/>
          <w:color w:val="auto"/>
          <w:kern w:val="0"/>
          <w:sz w:val="24"/>
          <w:szCs w:val="24"/>
          <w:highlight w:val="none"/>
          <w:lang w:val="en-US" w:eastAsia="zh-CN" w:bidi="ar"/>
        </w:rPr>
      </w:pPr>
      <w:r>
        <w:rPr>
          <w:rFonts w:hint="eastAsia" w:asciiTheme="minorEastAsia" w:hAnsiTheme="minorEastAsia" w:eastAsiaTheme="minorEastAsia" w:cstheme="minorEastAsia"/>
          <w:spacing w:val="-2"/>
          <w:sz w:val="24"/>
          <w:szCs w:val="24"/>
          <w:highlight w:val="none"/>
        </w:rPr>
        <w:t>我单位承诺</w:t>
      </w:r>
      <w:r>
        <w:rPr>
          <w:rFonts w:hint="eastAsia" w:asciiTheme="minorEastAsia" w:hAnsiTheme="minorEastAsia" w:eastAsiaTheme="minorEastAsia" w:cstheme="minorEastAsia"/>
          <w:spacing w:val="-1"/>
          <w:sz w:val="24"/>
          <w:szCs w:val="24"/>
          <w:highlight w:val="none"/>
        </w:rPr>
        <w:t>以上说明真实有效，无虚假内容或隐瞒。</w:t>
      </w:r>
    </w:p>
    <w:p w14:paraId="61F72748">
      <w:pPr>
        <w:shd w:val="clear"/>
        <w:spacing w:line="360" w:lineRule="auto"/>
        <w:rPr>
          <w:rFonts w:hint="eastAsia" w:asciiTheme="minorEastAsia" w:hAnsiTheme="minorEastAsia" w:eastAsiaTheme="minorEastAsia" w:cstheme="minorEastAsia"/>
          <w:color w:val="auto"/>
          <w:kern w:val="0"/>
          <w:sz w:val="24"/>
          <w:szCs w:val="24"/>
          <w:highlight w:val="none"/>
          <w:lang w:val="en-US" w:eastAsia="zh-CN" w:bidi="ar"/>
        </w:rPr>
      </w:pPr>
    </w:p>
    <w:p w14:paraId="7B0DD6AA">
      <w:pPr>
        <w:pStyle w:val="40"/>
        <w:shd w:val="clear"/>
        <w:spacing w:line="360" w:lineRule="auto"/>
        <w:rPr>
          <w:rFonts w:hint="eastAsia" w:asciiTheme="minorEastAsia" w:hAnsiTheme="minorEastAsia" w:eastAsiaTheme="minorEastAsia" w:cstheme="minorEastAsia"/>
          <w:color w:val="auto"/>
          <w:kern w:val="0"/>
          <w:sz w:val="24"/>
          <w:szCs w:val="24"/>
          <w:highlight w:val="none"/>
          <w:lang w:val="en-US" w:eastAsia="zh-CN" w:bidi="ar"/>
        </w:rPr>
      </w:pPr>
    </w:p>
    <w:p w14:paraId="50303D69">
      <w:pPr>
        <w:pStyle w:val="16"/>
        <w:shd w:val="clear"/>
        <w:spacing w:line="360" w:lineRule="auto"/>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color w:val="auto"/>
          <w:kern w:val="0"/>
          <w:sz w:val="24"/>
          <w:szCs w:val="24"/>
          <w:highlight w:val="none"/>
          <w:lang w:val="en-US" w:eastAsia="zh-CN" w:bidi="ar"/>
        </w:rPr>
        <w:t xml:space="preserve"> </w:t>
      </w:r>
    </w:p>
    <w:p w14:paraId="2CC9EABE">
      <w:pPr>
        <w:shd w:val="clear"/>
        <w:spacing w:line="360" w:lineRule="auto"/>
        <w:ind w:right="540" w:rightChars="257"/>
        <w:jc w:val="left"/>
        <w:rPr>
          <w:rFonts w:hint="eastAsia" w:asciiTheme="minorEastAsia" w:hAnsiTheme="minorEastAsia" w:eastAsiaTheme="minorEastAsia" w:cstheme="minorEastAsia"/>
          <w:sz w:val="24"/>
          <w:szCs w:val="24"/>
          <w:highlight w:val="none"/>
          <w:u w:val="single"/>
        </w:rPr>
      </w:pPr>
      <w:r>
        <w:rPr>
          <w:rFonts w:hint="eastAsia" w:asciiTheme="minorEastAsia" w:hAnsiTheme="minorEastAsia" w:eastAsiaTheme="minorEastAsia" w:cstheme="minorEastAsia"/>
          <w:sz w:val="24"/>
          <w:szCs w:val="24"/>
          <w:highlight w:val="none"/>
        </w:rPr>
        <w:t>投标人名称：</w:t>
      </w:r>
      <w:r>
        <w:rPr>
          <w:rFonts w:hint="eastAsia" w:asciiTheme="minorEastAsia" w:hAnsiTheme="minorEastAsia" w:eastAsiaTheme="minorEastAsia" w:cstheme="minorEastAsia"/>
          <w:sz w:val="24"/>
          <w:szCs w:val="24"/>
          <w:highlight w:val="none"/>
          <w:u w:val="single"/>
        </w:rPr>
        <w:t xml:space="preserve">      （加盖单位公章）      </w:t>
      </w:r>
    </w:p>
    <w:p w14:paraId="7CCCFD48">
      <w:pPr>
        <w:shd w:val="clear"/>
        <w:spacing w:line="360" w:lineRule="auto"/>
        <w:ind w:right="540" w:rightChars="257"/>
        <w:jc w:val="left"/>
        <w:rPr>
          <w:rFonts w:hint="eastAsia" w:asciiTheme="minorEastAsia" w:hAnsiTheme="minorEastAsia" w:eastAsiaTheme="minorEastAsia" w:cstheme="minorEastAsia"/>
          <w:sz w:val="24"/>
          <w:szCs w:val="24"/>
          <w:highlight w:val="none"/>
        </w:rPr>
      </w:pPr>
    </w:p>
    <w:p w14:paraId="6A5A4F8D">
      <w:pPr>
        <w:shd w:val="clear"/>
        <w:spacing w:line="360" w:lineRule="auto"/>
        <w:ind w:right="540" w:rightChars="257"/>
        <w:jc w:val="left"/>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法定代表人/单位负责人/或被授权人签字：</w:t>
      </w:r>
    </w:p>
    <w:p w14:paraId="76EA3D91">
      <w:pPr>
        <w:shd w:val="clear"/>
        <w:bidi w:val="0"/>
        <w:rPr>
          <w:rFonts w:hint="eastAsia"/>
          <w:highlight w:val="none"/>
        </w:rPr>
      </w:pPr>
    </w:p>
    <w:p w14:paraId="4E83A39B">
      <w:pPr>
        <w:shd w:val="clear"/>
        <w:spacing w:line="36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日    期：</w:t>
      </w:r>
      <w:r>
        <w:rPr>
          <w:rFonts w:hint="eastAsia" w:asciiTheme="minorEastAsia" w:hAnsiTheme="minorEastAsia" w:eastAsiaTheme="minorEastAsia" w:cstheme="minorEastAsia"/>
          <w:sz w:val="24"/>
          <w:szCs w:val="24"/>
          <w:highlight w:val="none"/>
          <w:u w:val="single"/>
        </w:rPr>
        <w:t>          </w:t>
      </w:r>
      <w:r>
        <w:rPr>
          <w:rFonts w:hint="eastAsia" w:asciiTheme="minorEastAsia" w:hAnsiTheme="minorEastAsia" w:eastAsiaTheme="minorEastAsia" w:cstheme="minorEastAsia"/>
          <w:sz w:val="24"/>
          <w:szCs w:val="24"/>
          <w:highlight w:val="none"/>
        </w:rPr>
        <w:t> </w:t>
      </w:r>
    </w:p>
    <w:p w14:paraId="3A610698">
      <w:pPr>
        <w:pStyle w:val="3"/>
        <w:shd w:val="clear"/>
        <w:spacing w:line="360" w:lineRule="auto"/>
        <w:jc w:val="center"/>
        <w:rPr>
          <w:rFonts w:hint="eastAsia" w:asciiTheme="minorEastAsia" w:hAnsiTheme="minorEastAsia" w:eastAsiaTheme="minorEastAsia" w:cstheme="minorEastAsia"/>
          <w:sz w:val="24"/>
          <w:szCs w:val="24"/>
          <w:highlight w:val="none"/>
        </w:rPr>
        <w:sectPr>
          <w:pgSz w:w="11906" w:h="16838"/>
          <w:pgMar w:top="1440" w:right="1800" w:bottom="1440" w:left="1800" w:header="1135" w:footer="1135" w:gutter="0"/>
          <w:pgNumType w:fmt="decimal"/>
          <w:cols w:space="425" w:num="1"/>
          <w:docGrid w:type="lines" w:linePitch="312" w:charSpace="0"/>
        </w:sectPr>
      </w:pPr>
    </w:p>
    <w:p w14:paraId="56687F57">
      <w:pPr>
        <w:pStyle w:val="3"/>
        <w:shd w:val="clear"/>
        <w:jc w:val="center"/>
        <w:rPr>
          <w:highlight w:val="none"/>
        </w:rPr>
      </w:pPr>
      <w:r>
        <w:rPr>
          <w:rFonts w:hint="eastAsia"/>
          <w:highlight w:val="none"/>
        </w:rPr>
        <w:t>十</w:t>
      </w:r>
      <w:r>
        <w:rPr>
          <w:rFonts w:hint="eastAsia"/>
          <w:highlight w:val="none"/>
          <w:lang w:val="en-US" w:eastAsia="zh-CN"/>
        </w:rPr>
        <w:t>二</w:t>
      </w:r>
      <w:r>
        <w:rPr>
          <w:rFonts w:hint="eastAsia"/>
          <w:highlight w:val="none"/>
        </w:rPr>
        <w:t>、法定代表人/单位负责人身份证明书</w:t>
      </w:r>
      <w:bookmarkEnd w:id="114"/>
      <w:bookmarkEnd w:id="115"/>
      <w:bookmarkEnd w:id="116"/>
    </w:p>
    <w:p w14:paraId="5F3FD5CE">
      <w:pPr>
        <w:shd w:val="clear"/>
        <w:spacing w:line="360" w:lineRule="auto"/>
        <w:ind w:firstLine="480" w:firstLineChars="200"/>
        <w:rPr>
          <w:rFonts w:ascii="Times New Roman" w:hAnsi="宋体" w:eastAsia="宋体" w:cs="宋体"/>
          <w:sz w:val="24"/>
          <w:szCs w:val="20"/>
          <w:highlight w:val="none"/>
          <w:u w:val="single"/>
          <w:lang w:bidi="ar"/>
        </w:rPr>
      </w:pPr>
      <w:r>
        <w:rPr>
          <w:rFonts w:hint="eastAsia" w:ascii="宋体" w:hAnsi="宋体" w:eastAsia="宋体" w:cs="宋体"/>
          <w:sz w:val="24"/>
          <w:szCs w:val="20"/>
          <w:highlight w:val="none"/>
          <w:lang w:bidi="ar"/>
        </w:rPr>
        <w:t>单位名称：</w:t>
      </w:r>
      <w:r>
        <w:rPr>
          <w:rFonts w:ascii="Times New Roman" w:hAnsi="宋体" w:eastAsia="宋体" w:cs="宋体"/>
          <w:sz w:val="24"/>
          <w:szCs w:val="20"/>
          <w:highlight w:val="none"/>
          <w:u w:val="single"/>
          <w:lang w:bidi="ar"/>
        </w:rPr>
        <w:t xml:space="preserve">                                     </w:t>
      </w:r>
    </w:p>
    <w:p w14:paraId="5FD75A6B">
      <w:pPr>
        <w:shd w:val="clear"/>
        <w:rPr>
          <w:highlight w:val="none"/>
        </w:rPr>
      </w:pPr>
    </w:p>
    <w:p w14:paraId="080A0DC8">
      <w:pPr>
        <w:shd w:val="clear"/>
        <w:spacing w:line="360" w:lineRule="auto"/>
        <w:ind w:firstLine="480" w:firstLineChars="200"/>
        <w:rPr>
          <w:rFonts w:ascii="Times New Roman" w:hAnsi="宋体" w:eastAsia="宋体" w:cs="宋体"/>
          <w:sz w:val="24"/>
          <w:szCs w:val="20"/>
          <w:highlight w:val="none"/>
          <w:u w:val="single"/>
          <w:lang w:bidi="ar"/>
        </w:rPr>
      </w:pPr>
      <w:r>
        <w:rPr>
          <w:rFonts w:hint="eastAsia" w:ascii="宋体" w:hAnsi="宋体" w:eastAsia="宋体" w:cs="宋体"/>
          <w:sz w:val="24"/>
          <w:szCs w:val="20"/>
          <w:highlight w:val="none"/>
          <w:lang w:bidi="ar"/>
        </w:rPr>
        <w:t>单位性质：</w:t>
      </w:r>
      <w:r>
        <w:rPr>
          <w:rFonts w:ascii="Times New Roman" w:hAnsi="宋体" w:eastAsia="宋体" w:cs="宋体"/>
          <w:sz w:val="24"/>
          <w:szCs w:val="20"/>
          <w:highlight w:val="none"/>
          <w:u w:val="single"/>
          <w:lang w:bidi="ar"/>
        </w:rPr>
        <w:t xml:space="preserve">                                     </w:t>
      </w:r>
    </w:p>
    <w:p w14:paraId="2672F67F">
      <w:pPr>
        <w:shd w:val="clear"/>
        <w:rPr>
          <w:highlight w:val="none"/>
        </w:rPr>
      </w:pPr>
    </w:p>
    <w:p w14:paraId="3A118E5D">
      <w:pPr>
        <w:shd w:val="clear"/>
        <w:spacing w:line="360" w:lineRule="auto"/>
        <w:ind w:firstLine="480" w:firstLineChars="200"/>
        <w:rPr>
          <w:rFonts w:ascii="Times New Roman" w:hAnsi="宋体" w:eastAsia="宋体" w:cs="宋体"/>
          <w:sz w:val="24"/>
          <w:szCs w:val="20"/>
          <w:highlight w:val="none"/>
          <w:u w:val="single"/>
          <w:lang w:bidi="ar"/>
        </w:rPr>
      </w:pPr>
      <w:r>
        <w:rPr>
          <w:rFonts w:hint="eastAsia" w:ascii="宋体" w:hAnsi="宋体" w:eastAsia="宋体" w:cs="宋体"/>
          <w:sz w:val="24"/>
          <w:szCs w:val="20"/>
          <w:highlight w:val="none"/>
          <w:lang w:bidi="ar"/>
        </w:rPr>
        <w:t>地址：</w:t>
      </w:r>
      <w:r>
        <w:rPr>
          <w:rFonts w:ascii="Times New Roman" w:hAnsi="宋体" w:eastAsia="宋体" w:cs="宋体"/>
          <w:sz w:val="24"/>
          <w:szCs w:val="20"/>
          <w:highlight w:val="none"/>
          <w:u w:val="single"/>
          <w:lang w:bidi="ar"/>
        </w:rPr>
        <w:t xml:space="preserve">                                         </w:t>
      </w:r>
    </w:p>
    <w:p w14:paraId="6B73DC03">
      <w:pPr>
        <w:shd w:val="clear"/>
        <w:rPr>
          <w:highlight w:val="none"/>
        </w:rPr>
      </w:pPr>
    </w:p>
    <w:p w14:paraId="4680AB5B">
      <w:pPr>
        <w:shd w:val="clear"/>
        <w:spacing w:line="360" w:lineRule="auto"/>
        <w:ind w:firstLine="480" w:firstLineChars="200"/>
        <w:rPr>
          <w:rFonts w:ascii="宋体" w:hAnsi="宋体" w:eastAsia="宋体" w:cs="宋体"/>
          <w:sz w:val="24"/>
          <w:szCs w:val="20"/>
          <w:highlight w:val="none"/>
          <w:lang w:bidi="ar"/>
        </w:rPr>
      </w:pPr>
      <w:r>
        <w:rPr>
          <w:rFonts w:hint="eastAsia" w:ascii="宋体" w:hAnsi="宋体" w:eastAsia="宋体" w:cs="宋体"/>
          <w:sz w:val="24"/>
          <w:szCs w:val="20"/>
          <w:highlight w:val="none"/>
          <w:lang w:bidi="ar"/>
        </w:rPr>
        <w:t>成立时间：</w:t>
      </w:r>
      <w:r>
        <w:rPr>
          <w:rFonts w:ascii="Times New Roman" w:hAnsi="宋体" w:eastAsia="宋体" w:cs="宋体"/>
          <w:sz w:val="24"/>
          <w:szCs w:val="20"/>
          <w:highlight w:val="none"/>
          <w:u w:val="single"/>
          <w:lang w:bidi="ar"/>
        </w:rPr>
        <w:t xml:space="preserve">         </w:t>
      </w:r>
      <w:r>
        <w:rPr>
          <w:rFonts w:hint="eastAsia" w:ascii="宋体" w:hAnsi="宋体" w:eastAsia="宋体" w:cs="宋体"/>
          <w:sz w:val="24"/>
          <w:szCs w:val="20"/>
          <w:highlight w:val="none"/>
          <w:lang w:bidi="ar"/>
        </w:rPr>
        <w:t>年</w:t>
      </w:r>
      <w:r>
        <w:rPr>
          <w:rFonts w:ascii="Times New Roman" w:hAnsi="宋体" w:eastAsia="宋体" w:cs="宋体"/>
          <w:sz w:val="24"/>
          <w:szCs w:val="20"/>
          <w:highlight w:val="none"/>
          <w:u w:val="single"/>
          <w:lang w:bidi="ar"/>
        </w:rPr>
        <w:t xml:space="preserve">          </w:t>
      </w:r>
      <w:r>
        <w:rPr>
          <w:rFonts w:hint="eastAsia" w:ascii="宋体" w:hAnsi="宋体" w:eastAsia="宋体" w:cs="宋体"/>
          <w:sz w:val="24"/>
          <w:szCs w:val="20"/>
          <w:highlight w:val="none"/>
          <w:lang w:bidi="ar"/>
        </w:rPr>
        <w:t>月</w:t>
      </w:r>
      <w:r>
        <w:rPr>
          <w:rFonts w:ascii="Times New Roman" w:hAnsi="宋体" w:eastAsia="宋体" w:cs="宋体"/>
          <w:sz w:val="24"/>
          <w:szCs w:val="20"/>
          <w:highlight w:val="none"/>
          <w:lang w:bidi="ar"/>
        </w:rPr>
        <w:t xml:space="preserve"> </w:t>
      </w:r>
      <w:r>
        <w:rPr>
          <w:rFonts w:ascii="Times New Roman" w:hAnsi="宋体" w:eastAsia="宋体" w:cs="宋体"/>
          <w:sz w:val="24"/>
          <w:szCs w:val="20"/>
          <w:highlight w:val="none"/>
          <w:u w:val="single"/>
          <w:lang w:bidi="ar"/>
        </w:rPr>
        <w:t xml:space="preserve">           </w:t>
      </w:r>
      <w:r>
        <w:rPr>
          <w:rFonts w:hint="eastAsia" w:ascii="宋体" w:hAnsi="宋体" w:eastAsia="宋体" w:cs="宋体"/>
          <w:sz w:val="24"/>
          <w:szCs w:val="20"/>
          <w:highlight w:val="none"/>
          <w:lang w:bidi="ar"/>
        </w:rPr>
        <w:t>日</w:t>
      </w:r>
    </w:p>
    <w:p w14:paraId="252402A0">
      <w:pPr>
        <w:shd w:val="clear"/>
        <w:rPr>
          <w:highlight w:val="none"/>
        </w:rPr>
      </w:pPr>
    </w:p>
    <w:p w14:paraId="3C875B1D">
      <w:pPr>
        <w:shd w:val="clear"/>
        <w:spacing w:line="360" w:lineRule="auto"/>
        <w:ind w:firstLine="480" w:firstLineChars="200"/>
        <w:rPr>
          <w:rFonts w:ascii="Times New Roman" w:hAnsi="宋体" w:eastAsia="宋体" w:cs="宋体"/>
          <w:sz w:val="24"/>
          <w:szCs w:val="20"/>
          <w:highlight w:val="none"/>
          <w:u w:val="single"/>
          <w:lang w:bidi="ar"/>
        </w:rPr>
      </w:pPr>
      <w:r>
        <w:rPr>
          <w:rFonts w:hint="eastAsia" w:ascii="宋体" w:hAnsi="宋体" w:eastAsia="宋体" w:cs="宋体"/>
          <w:sz w:val="24"/>
          <w:szCs w:val="20"/>
          <w:highlight w:val="none"/>
          <w:lang w:bidi="ar"/>
        </w:rPr>
        <w:t>经营期限：</w:t>
      </w:r>
      <w:r>
        <w:rPr>
          <w:rFonts w:ascii="Times New Roman" w:hAnsi="宋体" w:eastAsia="宋体" w:cs="宋体"/>
          <w:sz w:val="24"/>
          <w:szCs w:val="20"/>
          <w:highlight w:val="none"/>
          <w:u w:val="single"/>
          <w:lang w:bidi="ar"/>
        </w:rPr>
        <w:t xml:space="preserve">                                     </w:t>
      </w:r>
    </w:p>
    <w:p w14:paraId="45BD996D">
      <w:pPr>
        <w:shd w:val="clear"/>
        <w:rPr>
          <w:highlight w:val="none"/>
        </w:rPr>
      </w:pPr>
    </w:p>
    <w:p w14:paraId="772E896B">
      <w:pPr>
        <w:shd w:val="clear"/>
        <w:spacing w:line="360" w:lineRule="auto"/>
        <w:ind w:firstLine="480" w:firstLineChars="200"/>
        <w:rPr>
          <w:rFonts w:ascii="Times New Roman" w:hAnsi="宋体" w:eastAsia="宋体" w:cs="宋体"/>
          <w:sz w:val="24"/>
          <w:szCs w:val="20"/>
          <w:highlight w:val="none"/>
          <w:u w:val="single"/>
          <w:lang w:bidi="ar"/>
        </w:rPr>
      </w:pPr>
      <w:r>
        <w:rPr>
          <w:rFonts w:hint="eastAsia" w:ascii="宋体" w:hAnsi="宋体" w:eastAsia="宋体" w:cs="宋体"/>
          <w:sz w:val="24"/>
          <w:szCs w:val="20"/>
          <w:highlight w:val="none"/>
          <w:lang w:bidi="ar"/>
        </w:rPr>
        <w:t>姓名：</w:t>
      </w:r>
      <w:r>
        <w:rPr>
          <w:rFonts w:ascii="Times New Roman" w:hAnsi="宋体" w:eastAsia="宋体" w:cs="宋体"/>
          <w:sz w:val="24"/>
          <w:szCs w:val="20"/>
          <w:highlight w:val="none"/>
          <w:u w:val="single"/>
          <w:lang w:bidi="ar"/>
        </w:rPr>
        <w:t xml:space="preserve"> </w:t>
      </w:r>
      <w:r>
        <w:rPr>
          <w:rFonts w:hint="eastAsia" w:ascii="Times New Roman" w:hAnsi="宋体" w:eastAsia="宋体" w:cs="宋体"/>
          <w:sz w:val="24"/>
          <w:szCs w:val="20"/>
          <w:highlight w:val="none"/>
          <w:u w:val="single"/>
          <w:lang w:bidi="ar"/>
        </w:rPr>
        <w:t xml:space="preserve">  </w:t>
      </w:r>
      <w:r>
        <w:rPr>
          <w:rFonts w:ascii="Times New Roman" w:hAnsi="宋体" w:eastAsia="宋体" w:cs="宋体"/>
          <w:sz w:val="24"/>
          <w:szCs w:val="20"/>
          <w:highlight w:val="none"/>
          <w:u w:val="single"/>
          <w:lang w:bidi="ar"/>
        </w:rPr>
        <w:t xml:space="preserve">   </w:t>
      </w:r>
      <w:r>
        <w:rPr>
          <w:rFonts w:hint="eastAsia" w:ascii="宋体" w:hAnsi="宋体" w:eastAsia="宋体" w:cs="宋体"/>
          <w:sz w:val="24"/>
          <w:szCs w:val="20"/>
          <w:highlight w:val="none"/>
          <w:lang w:bidi="ar"/>
        </w:rPr>
        <w:t>性别：</w:t>
      </w:r>
      <w:r>
        <w:rPr>
          <w:rFonts w:ascii="Times New Roman" w:hAnsi="宋体" w:eastAsia="宋体" w:cs="宋体"/>
          <w:sz w:val="24"/>
          <w:szCs w:val="20"/>
          <w:highlight w:val="none"/>
          <w:u w:val="single"/>
          <w:lang w:bidi="ar"/>
        </w:rPr>
        <w:t xml:space="preserve">  </w:t>
      </w:r>
      <w:r>
        <w:rPr>
          <w:rFonts w:hint="eastAsia" w:ascii="Times New Roman" w:hAnsi="宋体" w:eastAsia="宋体" w:cs="宋体"/>
          <w:sz w:val="24"/>
          <w:szCs w:val="20"/>
          <w:highlight w:val="none"/>
          <w:u w:val="single"/>
          <w:lang w:bidi="ar"/>
        </w:rPr>
        <w:t xml:space="preserve">  </w:t>
      </w:r>
      <w:r>
        <w:rPr>
          <w:rFonts w:ascii="Times New Roman" w:hAnsi="宋体" w:eastAsia="宋体" w:cs="宋体"/>
          <w:sz w:val="24"/>
          <w:szCs w:val="20"/>
          <w:highlight w:val="none"/>
          <w:u w:val="single"/>
          <w:lang w:bidi="ar"/>
        </w:rPr>
        <w:t xml:space="preserve">  </w:t>
      </w:r>
      <w:r>
        <w:rPr>
          <w:rFonts w:hint="eastAsia" w:ascii="宋体" w:hAnsi="宋体" w:eastAsia="宋体" w:cs="宋体"/>
          <w:sz w:val="24"/>
          <w:szCs w:val="20"/>
          <w:highlight w:val="none"/>
          <w:lang w:bidi="ar"/>
        </w:rPr>
        <w:t>年龄：</w:t>
      </w:r>
      <w:r>
        <w:rPr>
          <w:rFonts w:ascii="Times New Roman" w:hAnsi="宋体" w:eastAsia="宋体" w:cs="宋体"/>
          <w:sz w:val="24"/>
          <w:szCs w:val="20"/>
          <w:highlight w:val="none"/>
          <w:u w:val="single"/>
          <w:lang w:bidi="ar"/>
        </w:rPr>
        <w:t xml:space="preserve"> </w:t>
      </w:r>
      <w:r>
        <w:rPr>
          <w:rFonts w:hint="eastAsia" w:ascii="Times New Roman" w:hAnsi="宋体" w:eastAsia="宋体" w:cs="宋体"/>
          <w:sz w:val="24"/>
          <w:szCs w:val="20"/>
          <w:highlight w:val="none"/>
          <w:u w:val="single"/>
          <w:lang w:bidi="ar"/>
        </w:rPr>
        <w:t xml:space="preserve">   </w:t>
      </w:r>
      <w:r>
        <w:rPr>
          <w:rFonts w:ascii="Times New Roman" w:hAnsi="宋体" w:eastAsia="宋体" w:cs="宋体"/>
          <w:sz w:val="24"/>
          <w:szCs w:val="20"/>
          <w:highlight w:val="none"/>
          <w:u w:val="single"/>
          <w:lang w:bidi="ar"/>
        </w:rPr>
        <w:t xml:space="preserve">   </w:t>
      </w:r>
      <w:r>
        <w:rPr>
          <w:rFonts w:hint="eastAsia" w:ascii="宋体" w:hAnsi="宋体" w:eastAsia="宋体" w:cs="宋体"/>
          <w:sz w:val="24"/>
          <w:szCs w:val="20"/>
          <w:highlight w:val="none"/>
          <w:lang w:bidi="ar"/>
        </w:rPr>
        <w:t>职务：</w:t>
      </w:r>
      <w:r>
        <w:rPr>
          <w:rFonts w:ascii="Times New Roman" w:hAnsi="宋体" w:eastAsia="宋体" w:cs="宋体"/>
          <w:sz w:val="24"/>
          <w:szCs w:val="20"/>
          <w:highlight w:val="none"/>
          <w:u w:val="single"/>
          <w:lang w:bidi="ar"/>
        </w:rPr>
        <w:t xml:space="preserve">  </w:t>
      </w:r>
      <w:r>
        <w:rPr>
          <w:rFonts w:hint="eastAsia" w:ascii="Times New Roman" w:hAnsi="宋体" w:eastAsia="宋体" w:cs="宋体"/>
          <w:sz w:val="24"/>
          <w:szCs w:val="20"/>
          <w:highlight w:val="none"/>
          <w:u w:val="single"/>
          <w:lang w:bidi="ar"/>
        </w:rPr>
        <w:t xml:space="preserve">    </w:t>
      </w:r>
      <w:r>
        <w:rPr>
          <w:rFonts w:ascii="Times New Roman" w:hAnsi="宋体" w:eastAsia="宋体" w:cs="宋体"/>
          <w:sz w:val="24"/>
          <w:szCs w:val="20"/>
          <w:highlight w:val="none"/>
          <w:u w:val="single"/>
          <w:lang w:bidi="ar"/>
        </w:rPr>
        <w:t xml:space="preserve">  </w:t>
      </w:r>
    </w:p>
    <w:p w14:paraId="77D35C55">
      <w:pPr>
        <w:shd w:val="clear"/>
        <w:rPr>
          <w:highlight w:val="none"/>
        </w:rPr>
      </w:pPr>
    </w:p>
    <w:p w14:paraId="6B47DE66">
      <w:pPr>
        <w:shd w:val="clear"/>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lang w:bidi="ar"/>
        </w:rPr>
        <w:t>系</w:t>
      </w:r>
      <w:r>
        <w:rPr>
          <w:rFonts w:ascii="Times New Roman" w:hAnsi="宋体" w:eastAsia="宋体" w:cs="宋体"/>
          <w:sz w:val="24"/>
          <w:szCs w:val="20"/>
          <w:highlight w:val="none"/>
          <w:u w:val="single"/>
          <w:lang w:bidi="ar"/>
        </w:rPr>
        <w:t xml:space="preserve">                   </w:t>
      </w:r>
      <w:r>
        <w:rPr>
          <w:rFonts w:hint="eastAsia" w:ascii="宋体" w:hAnsi="宋体" w:eastAsia="宋体" w:cs="宋体"/>
          <w:sz w:val="24"/>
          <w:szCs w:val="20"/>
          <w:highlight w:val="none"/>
          <w:lang w:bidi="ar"/>
        </w:rPr>
        <w:t>的法定代表人/</w:t>
      </w:r>
      <w:r>
        <w:rPr>
          <w:rFonts w:hint="eastAsia" w:ascii="Times New Roman" w:hAnsi="宋体" w:eastAsia="宋体" w:cs="宋体"/>
          <w:sz w:val="24"/>
          <w:szCs w:val="20"/>
          <w:highlight w:val="none"/>
          <w:lang w:bidi="ar"/>
        </w:rPr>
        <w:t>单位</w:t>
      </w:r>
      <w:r>
        <w:rPr>
          <w:rFonts w:hint="eastAsia" w:ascii="宋体" w:hAnsi="宋体" w:eastAsia="宋体" w:cs="宋体"/>
          <w:sz w:val="24"/>
          <w:szCs w:val="20"/>
          <w:highlight w:val="none"/>
          <w:lang w:bidi="ar"/>
        </w:rPr>
        <w:t>负责人。</w:t>
      </w:r>
    </w:p>
    <w:p w14:paraId="55D98DCC">
      <w:pPr>
        <w:shd w:val="clear"/>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lang w:bidi="ar"/>
        </w:rPr>
        <w:t>特此证明。</w:t>
      </w:r>
    </w:p>
    <w:p w14:paraId="385DE39A">
      <w:pPr>
        <w:shd w:val="clear"/>
        <w:wordWrap w:val="0"/>
        <w:spacing w:line="360" w:lineRule="auto"/>
        <w:ind w:right="560"/>
        <w:rPr>
          <w:rFonts w:ascii="宋体" w:hAnsi="宋体" w:eastAsia="宋体" w:cs="宋体"/>
          <w:sz w:val="24"/>
          <w:szCs w:val="20"/>
          <w:highlight w:val="none"/>
        </w:rPr>
      </w:pPr>
    </w:p>
    <w:p w14:paraId="4C6DB811">
      <w:pPr>
        <w:shd w:val="clear"/>
        <w:wordWrap w:val="0"/>
        <w:spacing w:line="360" w:lineRule="auto"/>
        <w:ind w:right="560"/>
        <w:rPr>
          <w:rFonts w:ascii="宋体" w:hAnsi="宋体" w:eastAsia="宋体" w:cs="宋体"/>
          <w:sz w:val="24"/>
          <w:szCs w:val="20"/>
          <w:highlight w:val="none"/>
        </w:rPr>
      </w:pPr>
    </w:p>
    <w:p w14:paraId="68EE7075">
      <w:pPr>
        <w:shd w:val="clear"/>
        <w:wordWrap w:val="0"/>
        <w:spacing w:line="360" w:lineRule="auto"/>
        <w:ind w:right="560" w:firstLine="3840" w:firstLineChars="1600"/>
        <w:rPr>
          <w:rFonts w:ascii="宋体" w:hAnsi="宋体" w:eastAsia="宋体" w:cs="宋体"/>
          <w:sz w:val="24"/>
          <w:szCs w:val="20"/>
          <w:highlight w:val="none"/>
          <w:u w:val="single"/>
          <w:lang w:bidi="ar"/>
        </w:rPr>
      </w:pPr>
      <w:r>
        <w:rPr>
          <w:rFonts w:hint="eastAsia" w:ascii="宋体" w:hAnsi="宋体" w:eastAsia="宋体" w:cs="宋体"/>
          <w:sz w:val="24"/>
          <w:szCs w:val="20"/>
          <w:highlight w:val="none"/>
          <w:lang w:bidi="ar"/>
        </w:rPr>
        <w:t>投标人：</w:t>
      </w:r>
      <w:r>
        <w:rPr>
          <w:rFonts w:ascii="Times New Roman" w:hAnsi="宋体" w:eastAsia="宋体" w:cs="宋体"/>
          <w:sz w:val="24"/>
          <w:szCs w:val="20"/>
          <w:highlight w:val="none"/>
          <w:u w:val="single"/>
          <w:lang w:bidi="ar"/>
        </w:rPr>
        <w:t xml:space="preserve">      </w:t>
      </w:r>
      <w:r>
        <w:rPr>
          <w:rFonts w:hint="eastAsia" w:ascii="宋体" w:hAnsi="宋体" w:eastAsia="宋体" w:cs="宋体"/>
          <w:sz w:val="24"/>
          <w:szCs w:val="20"/>
          <w:highlight w:val="none"/>
          <w:u w:val="single"/>
          <w:lang w:bidi="ar"/>
        </w:rPr>
        <w:t>（盖公章）</w:t>
      </w:r>
    </w:p>
    <w:p w14:paraId="56C4AB2A">
      <w:pPr>
        <w:shd w:val="clear"/>
        <w:rPr>
          <w:highlight w:val="none"/>
        </w:rPr>
      </w:pPr>
    </w:p>
    <w:p w14:paraId="45BCC59D">
      <w:pPr>
        <w:shd w:val="clear"/>
        <w:wordWrap w:val="0"/>
        <w:spacing w:line="360" w:lineRule="auto"/>
        <w:ind w:right="560" w:firstLine="3840" w:firstLineChars="1600"/>
        <w:rPr>
          <w:highlight w:val="none"/>
        </w:rPr>
      </w:pPr>
      <w:r>
        <w:rPr>
          <w:rFonts w:hint="eastAsia" w:ascii="宋体" w:hAnsi="宋体" w:eastAsia="宋体" w:cs="宋体"/>
          <w:sz w:val="24"/>
          <w:szCs w:val="20"/>
          <w:highlight w:val="none"/>
          <w:lang w:bidi="ar"/>
        </w:rPr>
        <w:t>日期：</w:t>
      </w:r>
      <w:r>
        <w:rPr>
          <w:rFonts w:ascii="Times New Roman" w:hAnsi="宋体" w:eastAsia="宋体" w:cs="宋体"/>
          <w:sz w:val="24"/>
          <w:szCs w:val="20"/>
          <w:highlight w:val="none"/>
          <w:lang w:bidi="ar"/>
        </w:rPr>
        <w:t xml:space="preserve">   </w:t>
      </w:r>
      <w:r>
        <w:rPr>
          <w:rFonts w:hint="eastAsia" w:ascii="宋体" w:hAnsi="宋体" w:eastAsia="宋体" w:cs="宋体"/>
          <w:sz w:val="24"/>
          <w:szCs w:val="20"/>
          <w:highlight w:val="none"/>
          <w:lang w:bidi="ar"/>
        </w:rPr>
        <w:t>年</w:t>
      </w:r>
      <w:r>
        <w:rPr>
          <w:rFonts w:ascii="Times New Roman" w:hAnsi="宋体" w:eastAsia="宋体" w:cs="宋体"/>
          <w:sz w:val="24"/>
          <w:szCs w:val="20"/>
          <w:highlight w:val="none"/>
          <w:lang w:bidi="ar"/>
        </w:rPr>
        <w:t xml:space="preserve">   </w:t>
      </w:r>
      <w:r>
        <w:rPr>
          <w:rFonts w:hint="eastAsia" w:ascii="宋体" w:hAnsi="宋体" w:eastAsia="宋体" w:cs="宋体"/>
          <w:sz w:val="24"/>
          <w:szCs w:val="20"/>
          <w:highlight w:val="none"/>
          <w:lang w:bidi="ar"/>
        </w:rPr>
        <w:t>月</w:t>
      </w:r>
      <w:r>
        <w:rPr>
          <w:rFonts w:ascii="Times New Roman" w:hAnsi="宋体" w:eastAsia="宋体" w:cs="宋体"/>
          <w:sz w:val="24"/>
          <w:szCs w:val="20"/>
          <w:highlight w:val="none"/>
          <w:lang w:bidi="ar"/>
        </w:rPr>
        <w:t xml:space="preserve">   </w:t>
      </w:r>
      <w:r>
        <w:rPr>
          <w:rFonts w:hint="eastAsia" w:ascii="宋体" w:hAnsi="宋体" w:eastAsia="宋体" w:cs="宋体"/>
          <w:sz w:val="24"/>
          <w:szCs w:val="20"/>
          <w:highlight w:val="none"/>
          <w:lang w:bidi="ar"/>
        </w:rPr>
        <w:t>日</w:t>
      </w:r>
    </w:p>
    <w:p w14:paraId="6CF978F8">
      <w:pPr>
        <w:shd w:val="clear"/>
        <w:wordWrap w:val="0"/>
        <w:spacing w:before="240" w:line="360" w:lineRule="auto"/>
        <w:ind w:right="560"/>
        <w:rPr>
          <w:highlight w:val="none"/>
        </w:rPr>
      </w:pPr>
      <w:r>
        <w:rPr>
          <w:rFonts w:hint="eastAsia" w:ascii="宋体" w:hAnsi="宋体" w:eastAsia="宋体" w:cs="宋体"/>
          <w:b/>
          <w:sz w:val="24"/>
          <w:szCs w:val="20"/>
          <w:highlight w:val="none"/>
          <w:lang w:bidi="ar"/>
        </w:rPr>
        <w:t>附法定代表人/负责人身份证复印件</w:t>
      </w:r>
    </w:p>
    <w:p w14:paraId="5EAC9F6F">
      <w:pPr>
        <w:shd w:val="clear"/>
        <w:tabs>
          <w:tab w:val="left" w:pos="8820"/>
        </w:tabs>
        <w:spacing w:line="360" w:lineRule="auto"/>
        <w:ind w:firstLine="570"/>
        <w:rPr>
          <w:rFonts w:ascii="宋体" w:hAnsi="宋体" w:eastAsia="宋体" w:cs="宋体"/>
          <w:sz w:val="24"/>
          <w:szCs w:val="20"/>
          <w:highlight w:val="none"/>
        </w:rPr>
      </w:pPr>
    </w:p>
    <w:p w14:paraId="1E3DF623">
      <w:pPr>
        <w:pStyle w:val="3"/>
        <w:shd w:val="clear"/>
        <w:spacing w:after="0" w:line="360" w:lineRule="auto"/>
        <w:ind w:left="283"/>
        <w:jc w:val="center"/>
        <w:rPr>
          <w:highlight w:val="none"/>
        </w:rPr>
      </w:pPr>
      <w:r>
        <w:rPr>
          <w:sz w:val="28"/>
          <w:highlight w:val="none"/>
          <w:lang w:bidi="ar"/>
        </w:rPr>
        <w:br w:type="page"/>
      </w:r>
      <w:bookmarkStart w:id="117" w:name="_Toc27694"/>
      <w:bookmarkStart w:id="118" w:name="_Toc17713"/>
      <w:bookmarkStart w:id="119" w:name="_Toc16804"/>
      <w:r>
        <w:rPr>
          <w:rFonts w:hint="eastAsia" w:ascii="宋体" w:hAnsi="宋体" w:cs="宋体"/>
          <w:highlight w:val="none"/>
        </w:rPr>
        <w:t>十</w:t>
      </w:r>
      <w:r>
        <w:rPr>
          <w:rFonts w:hint="eastAsia" w:ascii="宋体" w:hAnsi="宋体" w:cs="宋体"/>
          <w:highlight w:val="none"/>
          <w:lang w:val="en-US" w:eastAsia="zh-CN"/>
        </w:rPr>
        <w:t>三</w:t>
      </w:r>
      <w:r>
        <w:rPr>
          <w:rFonts w:hint="eastAsia" w:ascii="宋体" w:hAnsi="宋体" w:cs="宋体"/>
          <w:highlight w:val="none"/>
        </w:rPr>
        <w:t>、法定代表人/单位负责人授权委托书</w:t>
      </w:r>
      <w:bookmarkEnd w:id="117"/>
      <w:bookmarkEnd w:id="118"/>
      <w:bookmarkEnd w:id="119"/>
    </w:p>
    <w:p w14:paraId="74D96D86">
      <w:pPr>
        <w:shd w:val="clear"/>
        <w:tabs>
          <w:tab w:val="left" w:pos="8820"/>
        </w:tabs>
        <w:spacing w:line="360" w:lineRule="auto"/>
        <w:ind w:firstLine="570"/>
        <w:rPr>
          <w:rFonts w:ascii="宋体" w:hAnsi="宋体" w:eastAsia="宋体" w:cs="宋体"/>
          <w:sz w:val="24"/>
          <w:szCs w:val="20"/>
          <w:highlight w:val="none"/>
          <w:u w:val="single"/>
        </w:rPr>
      </w:pPr>
      <w:bookmarkStart w:id="120" w:name="OLE_LINK7"/>
      <w:r>
        <w:rPr>
          <w:rFonts w:hint="eastAsia" w:ascii="宋体" w:hAnsi="宋体" w:cs="宋体"/>
          <w:sz w:val="24"/>
          <w:highlight w:val="none"/>
        </w:rPr>
        <w:t>本授权委托书声明：我</w:t>
      </w:r>
      <w:r>
        <w:rPr>
          <w:rFonts w:hint="eastAsia" w:ascii="宋体" w:hAnsi="宋体" w:cs="宋体"/>
          <w:sz w:val="24"/>
          <w:highlight w:val="none"/>
          <w:u w:val="single"/>
        </w:rPr>
        <w:t>（法定代表人/单位负责人姓名）</w:t>
      </w:r>
      <w:r>
        <w:rPr>
          <w:rFonts w:hint="eastAsia" w:ascii="宋体" w:hAnsi="宋体" w:cs="宋体"/>
          <w:sz w:val="24"/>
          <w:highlight w:val="none"/>
        </w:rPr>
        <w:t>系注册于</w:t>
      </w:r>
      <w:r>
        <w:rPr>
          <w:rFonts w:hint="eastAsia" w:ascii="宋体" w:hAnsi="宋体" w:cs="宋体"/>
          <w:sz w:val="24"/>
          <w:highlight w:val="none"/>
          <w:u w:val="single"/>
        </w:rPr>
        <w:t>（投标人地址）（投标人名称）</w:t>
      </w:r>
      <w:r>
        <w:rPr>
          <w:rFonts w:hint="eastAsia" w:ascii="宋体" w:hAnsi="宋体" w:cs="宋体"/>
          <w:sz w:val="24"/>
          <w:highlight w:val="none"/>
        </w:rPr>
        <w:t>的法定代表人/单位负责人，现代表公司授权下面签字的</w:t>
      </w:r>
      <w:r>
        <w:rPr>
          <w:rFonts w:hint="eastAsia" w:ascii="宋体" w:hAnsi="宋体" w:cs="宋体"/>
          <w:sz w:val="24"/>
          <w:highlight w:val="none"/>
          <w:u w:val="single"/>
        </w:rPr>
        <w:t>（被授权人的姓名、职务）</w:t>
      </w:r>
      <w:r>
        <w:rPr>
          <w:rFonts w:hint="eastAsia" w:ascii="宋体" w:hAnsi="宋体" w:cs="宋体"/>
          <w:sz w:val="24"/>
          <w:highlight w:val="none"/>
        </w:rPr>
        <w:t>为我公司合法代理人，代表本公司参加</w:t>
      </w:r>
      <w:r>
        <w:rPr>
          <w:rFonts w:hint="eastAsia" w:ascii="宋体" w:hAnsi="宋体" w:cs="宋体"/>
          <w:sz w:val="24"/>
          <w:highlight w:val="none"/>
          <w:u w:val="single"/>
        </w:rPr>
        <w:t>（采购项目名称）(采购项目编号)</w:t>
      </w:r>
      <w:r>
        <w:rPr>
          <w:rFonts w:hint="eastAsia" w:ascii="宋体" w:hAnsi="宋体" w:cs="宋体"/>
          <w:sz w:val="24"/>
          <w:highlight w:val="none"/>
        </w:rPr>
        <w:t>的招标活动。代理人在本次投标、签约中所签署的一切文件和处理的一切有关事物，我公司均予承认</w:t>
      </w:r>
      <w:r>
        <w:rPr>
          <w:rFonts w:hint="eastAsia" w:ascii="宋体" w:hAnsi="宋体" w:eastAsia="宋体" w:cs="宋体"/>
          <w:sz w:val="24"/>
          <w:szCs w:val="20"/>
          <w:highlight w:val="none"/>
          <w:lang w:bidi="ar"/>
        </w:rPr>
        <w:t>。</w:t>
      </w:r>
    </w:p>
    <w:p w14:paraId="2E279D1C">
      <w:pPr>
        <w:shd w:val="clear"/>
        <w:spacing w:line="360" w:lineRule="auto"/>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lang w:bidi="ar"/>
        </w:rPr>
        <w:t>此授权书的有效期应与投标文件有效期一致</w:t>
      </w:r>
    </w:p>
    <w:p w14:paraId="60CA955B">
      <w:pPr>
        <w:shd w:val="clear"/>
        <w:spacing w:line="360" w:lineRule="auto"/>
        <w:rPr>
          <w:rFonts w:ascii="宋体" w:hAnsi="宋体" w:eastAsia="宋体" w:cs="宋体"/>
          <w:sz w:val="24"/>
          <w:szCs w:val="20"/>
          <w:highlight w:val="none"/>
        </w:rPr>
      </w:pPr>
      <w:r>
        <w:rPr>
          <w:rFonts w:hint="eastAsia" w:ascii="宋体" w:hAnsi="宋体" w:eastAsia="宋体" w:cs="宋体"/>
          <w:szCs w:val="20"/>
          <w:highlight w:val="none"/>
          <w:lang w:bidi="ar"/>
        </w:rPr>
        <w:t xml:space="preserve">   </w:t>
      </w:r>
      <w:r>
        <w:rPr>
          <w:rFonts w:hint="eastAsia" w:ascii="宋体" w:hAnsi="宋体" w:eastAsia="宋体" w:cs="宋体"/>
          <w:sz w:val="24"/>
          <w:szCs w:val="20"/>
          <w:highlight w:val="none"/>
          <w:lang w:bidi="ar"/>
        </w:rPr>
        <w:t xml:space="preserve"> 附件：法定代表人/单位负责人身份证、被授权人身份证。</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0"/>
        <w:gridCol w:w="4790"/>
      </w:tblGrid>
      <w:tr w14:paraId="5357D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0" w:hRule="atLeast"/>
          <w:jc w:val="center"/>
        </w:trPr>
        <w:tc>
          <w:tcPr>
            <w:tcW w:w="4790" w:type="dxa"/>
            <w:tcBorders>
              <w:top w:val="single" w:color="auto" w:sz="4" w:space="0"/>
              <w:left w:val="single" w:color="auto" w:sz="4" w:space="0"/>
              <w:bottom w:val="single" w:color="auto" w:sz="4" w:space="0"/>
              <w:right w:val="single" w:color="auto" w:sz="4" w:space="0"/>
            </w:tcBorders>
            <w:shd w:val="clear" w:color="auto" w:fill="auto"/>
            <w:vAlign w:val="center"/>
          </w:tcPr>
          <w:p w14:paraId="70C1644B">
            <w:pPr>
              <w:shd w:val="clear"/>
              <w:spacing w:line="360" w:lineRule="auto"/>
              <w:jc w:val="center"/>
              <w:rPr>
                <w:rFonts w:ascii="宋体" w:hAnsi="宋体" w:eastAsia="宋体" w:cs="宋体"/>
                <w:sz w:val="24"/>
                <w:szCs w:val="20"/>
                <w:highlight w:val="none"/>
              </w:rPr>
            </w:pPr>
          </w:p>
        </w:tc>
        <w:tc>
          <w:tcPr>
            <w:tcW w:w="4790" w:type="dxa"/>
            <w:tcBorders>
              <w:top w:val="single" w:color="auto" w:sz="4" w:space="0"/>
              <w:left w:val="single" w:color="auto" w:sz="4" w:space="0"/>
              <w:bottom w:val="single" w:color="auto" w:sz="4" w:space="0"/>
              <w:right w:val="single" w:color="auto" w:sz="4" w:space="0"/>
            </w:tcBorders>
            <w:shd w:val="clear" w:color="auto" w:fill="auto"/>
            <w:vAlign w:val="center"/>
          </w:tcPr>
          <w:p w14:paraId="26A6CC74">
            <w:pPr>
              <w:shd w:val="clear"/>
              <w:spacing w:line="360" w:lineRule="auto"/>
              <w:jc w:val="center"/>
              <w:rPr>
                <w:rFonts w:ascii="宋体" w:hAnsi="宋体" w:eastAsia="宋体" w:cs="宋体"/>
                <w:sz w:val="24"/>
                <w:szCs w:val="20"/>
                <w:highlight w:val="none"/>
              </w:rPr>
            </w:pPr>
          </w:p>
        </w:tc>
      </w:tr>
      <w:tr w14:paraId="4C836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9" w:hRule="atLeast"/>
          <w:jc w:val="center"/>
        </w:trPr>
        <w:tc>
          <w:tcPr>
            <w:tcW w:w="4790" w:type="dxa"/>
            <w:tcBorders>
              <w:top w:val="single" w:color="auto" w:sz="4" w:space="0"/>
              <w:left w:val="single" w:color="auto" w:sz="4" w:space="0"/>
              <w:bottom w:val="single" w:color="auto" w:sz="4" w:space="0"/>
              <w:right w:val="single" w:color="auto" w:sz="4" w:space="0"/>
            </w:tcBorders>
            <w:shd w:val="clear" w:color="auto" w:fill="auto"/>
            <w:vAlign w:val="center"/>
          </w:tcPr>
          <w:p w14:paraId="59941157">
            <w:pPr>
              <w:shd w:val="clear"/>
              <w:spacing w:line="360" w:lineRule="auto"/>
              <w:jc w:val="center"/>
              <w:rPr>
                <w:rFonts w:ascii="宋体" w:hAnsi="宋体" w:eastAsia="宋体" w:cs="宋体"/>
                <w:sz w:val="24"/>
                <w:szCs w:val="20"/>
                <w:highlight w:val="none"/>
              </w:rPr>
            </w:pPr>
          </w:p>
        </w:tc>
        <w:tc>
          <w:tcPr>
            <w:tcW w:w="4790" w:type="dxa"/>
            <w:tcBorders>
              <w:top w:val="single" w:color="auto" w:sz="4" w:space="0"/>
              <w:left w:val="single" w:color="auto" w:sz="4" w:space="0"/>
              <w:bottom w:val="single" w:color="auto" w:sz="4" w:space="0"/>
              <w:right w:val="single" w:color="auto" w:sz="4" w:space="0"/>
            </w:tcBorders>
            <w:shd w:val="clear" w:color="auto" w:fill="auto"/>
            <w:vAlign w:val="center"/>
          </w:tcPr>
          <w:p w14:paraId="45FCAB85">
            <w:pPr>
              <w:shd w:val="clear"/>
              <w:spacing w:line="360" w:lineRule="auto"/>
              <w:jc w:val="center"/>
              <w:rPr>
                <w:rFonts w:ascii="宋体" w:hAnsi="宋体" w:eastAsia="宋体" w:cs="宋体"/>
                <w:sz w:val="24"/>
                <w:szCs w:val="20"/>
                <w:highlight w:val="none"/>
              </w:rPr>
            </w:pPr>
          </w:p>
        </w:tc>
      </w:tr>
    </w:tbl>
    <w:p w14:paraId="18BA5DBA">
      <w:pPr>
        <w:shd w:val="clear"/>
        <w:spacing w:line="360" w:lineRule="auto"/>
        <w:rPr>
          <w:rFonts w:ascii="宋体" w:hAnsi="宋体" w:eastAsia="宋体" w:cs="宋体"/>
          <w:sz w:val="24"/>
          <w:szCs w:val="20"/>
          <w:highlight w:val="none"/>
        </w:rPr>
      </w:pPr>
    </w:p>
    <w:p w14:paraId="23A9F6BD">
      <w:pPr>
        <w:shd w:val="clear"/>
        <w:spacing w:line="360" w:lineRule="auto"/>
        <w:rPr>
          <w:rFonts w:ascii="宋体" w:hAnsi="宋体" w:eastAsia="宋体" w:cs="宋体"/>
          <w:highlight w:val="none"/>
        </w:rPr>
      </w:pPr>
    </w:p>
    <w:p w14:paraId="5C415F68">
      <w:pPr>
        <w:shd w:val="clear"/>
        <w:spacing w:line="360" w:lineRule="auto"/>
        <w:rPr>
          <w:rFonts w:ascii="宋体" w:hAnsi="宋体" w:eastAsia="宋体" w:cs="宋体"/>
          <w:sz w:val="24"/>
          <w:highlight w:val="none"/>
        </w:rPr>
      </w:pPr>
      <w:r>
        <w:rPr>
          <w:rFonts w:hint="eastAsia" w:ascii="宋体" w:hAnsi="宋体" w:eastAsia="宋体" w:cs="宋体"/>
          <w:sz w:val="24"/>
          <w:highlight w:val="none"/>
          <w:lang w:bidi="ar"/>
        </w:rPr>
        <w:t>投标人：</w:t>
      </w:r>
      <w:r>
        <w:rPr>
          <w:rFonts w:hint="eastAsia" w:ascii="宋体" w:hAnsi="宋体" w:eastAsia="宋体" w:cs="宋体"/>
          <w:sz w:val="24"/>
          <w:highlight w:val="none"/>
          <w:u w:val="single"/>
          <w:lang w:bidi="ar"/>
        </w:rPr>
        <w:t xml:space="preserve">                            </w:t>
      </w:r>
      <w:r>
        <w:rPr>
          <w:rFonts w:hint="eastAsia" w:ascii="宋体" w:hAnsi="宋体" w:eastAsia="宋体" w:cs="宋体"/>
          <w:sz w:val="24"/>
          <w:highlight w:val="none"/>
          <w:lang w:bidi="ar"/>
        </w:rPr>
        <w:t>（公章）</w:t>
      </w:r>
    </w:p>
    <w:p w14:paraId="24FBFFFF">
      <w:pPr>
        <w:shd w:val="clear"/>
        <w:spacing w:line="360" w:lineRule="auto"/>
        <w:rPr>
          <w:rFonts w:ascii="宋体" w:hAnsi="宋体" w:eastAsia="宋体" w:cs="宋体"/>
          <w:sz w:val="24"/>
          <w:highlight w:val="none"/>
          <w:lang w:bidi="ar"/>
        </w:rPr>
      </w:pPr>
      <w:r>
        <w:rPr>
          <w:rFonts w:hint="eastAsia" w:ascii="宋体" w:hAnsi="宋体" w:eastAsia="宋体" w:cs="宋体"/>
          <w:sz w:val="24"/>
          <w:highlight w:val="none"/>
          <w:lang w:bidi="ar"/>
        </w:rPr>
        <w:t>法定代表人/单位负责人（签字并盖章）：</w:t>
      </w:r>
      <w:r>
        <w:rPr>
          <w:rFonts w:hint="eastAsia" w:ascii="宋体" w:hAnsi="宋体" w:eastAsia="宋体" w:cs="宋体"/>
          <w:sz w:val="24"/>
          <w:highlight w:val="none"/>
          <w:u w:val="single"/>
          <w:lang w:bidi="ar"/>
        </w:rPr>
        <w:t xml:space="preserve">        </w:t>
      </w:r>
      <w:r>
        <w:rPr>
          <w:rFonts w:hint="eastAsia" w:ascii="宋体" w:hAnsi="宋体" w:eastAsia="宋体" w:cs="宋体"/>
          <w:sz w:val="24"/>
          <w:highlight w:val="none"/>
          <w:lang w:bidi="ar"/>
        </w:rPr>
        <w:t xml:space="preserve">                            </w:t>
      </w:r>
    </w:p>
    <w:p w14:paraId="47C52391">
      <w:pPr>
        <w:shd w:val="clear"/>
        <w:spacing w:line="360" w:lineRule="auto"/>
        <w:rPr>
          <w:rFonts w:ascii="宋体" w:hAnsi="宋体" w:eastAsia="宋体" w:cs="宋体"/>
          <w:sz w:val="24"/>
          <w:highlight w:val="none"/>
          <w:lang w:bidi="ar"/>
        </w:rPr>
      </w:pPr>
      <w:r>
        <w:rPr>
          <w:rFonts w:hint="eastAsia" w:ascii="宋体" w:hAnsi="宋体" w:eastAsia="宋体" w:cs="宋体"/>
          <w:sz w:val="24"/>
          <w:highlight w:val="none"/>
          <w:lang w:bidi="ar"/>
        </w:rPr>
        <w:t>被 授 权人（签字确认）：</w:t>
      </w:r>
      <w:r>
        <w:rPr>
          <w:rFonts w:hint="eastAsia" w:ascii="宋体" w:hAnsi="宋体" w:eastAsia="宋体" w:cs="宋体"/>
          <w:sz w:val="24"/>
          <w:highlight w:val="none"/>
          <w:u w:val="single"/>
          <w:lang w:bidi="ar"/>
        </w:rPr>
        <w:t xml:space="preserve">                  </w:t>
      </w:r>
      <w:r>
        <w:rPr>
          <w:rFonts w:hint="eastAsia" w:ascii="宋体" w:hAnsi="宋体" w:eastAsia="宋体" w:cs="宋体"/>
          <w:sz w:val="24"/>
          <w:highlight w:val="none"/>
          <w:lang w:bidi="ar"/>
        </w:rPr>
        <w:t xml:space="preserve">    </w:t>
      </w:r>
      <w:bookmarkEnd w:id="120"/>
    </w:p>
    <w:p w14:paraId="74CF8BA7">
      <w:pPr>
        <w:shd w:val="clear"/>
        <w:spacing w:line="360" w:lineRule="auto"/>
        <w:rPr>
          <w:rFonts w:ascii="宋体" w:hAnsi="宋体" w:eastAsia="宋体" w:cs="宋体"/>
          <w:bCs/>
          <w:sz w:val="24"/>
          <w:highlight w:val="none"/>
          <w:u w:val="single"/>
          <w:lang w:bidi="ar"/>
        </w:rPr>
      </w:pPr>
      <w:r>
        <w:rPr>
          <w:rFonts w:hint="eastAsia" w:ascii="宋体" w:hAnsi="宋体" w:eastAsia="宋体" w:cs="宋体"/>
          <w:bCs/>
          <w:sz w:val="24"/>
          <w:highlight w:val="none"/>
          <w:lang w:bidi="ar"/>
        </w:rPr>
        <w:t>日   期：</w:t>
      </w:r>
      <w:r>
        <w:rPr>
          <w:rFonts w:hint="eastAsia" w:ascii="宋体" w:hAnsi="宋体" w:eastAsia="宋体" w:cs="宋体"/>
          <w:bCs/>
          <w:sz w:val="24"/>
          <w:highlight w:val="none"/>
          <w:u w:val="single"/>
          <w:lang w:bidi="ar"/>
        </w:rPr>
        <w:t xml:space="preserve">                        </w:t>
      </w:r>
    </w:p>
    <w:p w14:paraId="00044964">
      <w:pPr>
        <w:shd w:val="clear"/>
        <w:rPr>
          <w:rFonts w:ascii="宋体" w:hAnsi="宋体" w:eastAsia="宋体" w:cs="宋体"/>
          <w:szCs w:val="20"/>
          <w:highlight w:val="none"/>
        </w:rPr>
        <w:sectPr>
          <w:pgSz w:w="11906" w:h="16838"/>
          <w:pgMar w:top="1440" w:right="1800" w:bottom="1440" w:left="1800" w:header="1135" w:footer="1135" w:gutter="0"/>
          <w:pgNumType w:fmt="decimal"/>
          <w:cols w:space="425" w:num="1"/>
          <w:docGrid w:type="lines" w:linePitch="312" w:charSpace="0"/>
        </w:sectPr>
      </w:pPr>
    </w:p>
    <w:p w14:paraId="59DEB1AD">
      <w:pPr>
        <w:pStyle w:val="3"/>
        <w:shd w:val="clear"/>
        <w:spacing w:before="0" w:after="0" w:line="360" w:lineRule="auto"/>
        <w:ind w:left="283"/>
        <w:jc w:val="center"/>
        <w:rPr>
          <w:highlight w:val="none"/>
        </w:rPr>
      </w:pPr>
      <w:bookmarkStart w:id="121" w:name="_Toc14980"/>
      <w:bookmarkStart w:id="122" w:name="_Toc22963"/>
      <w:bookmarkStart w:id="123" w:name="_Toc28049"/>
      <w:bookmarkStart w:id="124" w:name="_Toc23881"/>
      <w:bookmarkStart w:id="125" w:name="_Toc10005"/>
      <w:bookmarkStart w:id="126" w:name="_Toc2628"/>
      <w:r>
        <w:rPr>
          <w:rFonts w:hint="eastAsia"/>
          <w:highlight w:val="none"/>
        </w:rPr>
        <w:t>第二部分 符合性证明文件</w:t>
      </w:r>
      <w:bookmarkEnd w:id="121"/>
      <w:bookmarkEnd w:id="122"/>
      <w:bookmarkEnd w:id="123"/>
    </w:p>
    <w:p w14:paraId="13047815">
      <w:pPr>
        <w:pStyle w:val="3"/>
        <w:shd w:val="clear"/>
        <w:spacing w:before="0" w:after="0" w:line="360" w:lineRule="auto"/>
        <w:ind w:left="283"/>
        <w:jc w:val="center"/>
        <w:rPr>
          <w:color w:val="auto"/>
          <w:highlight w:val="none"/>
        </w:rPr>
      </w:pPr>
      <w:bookmarkStart w:id="127" w:name="_Toc11568"/>
      <w:bookmarkStart w:id="128" w:name="_Toc549"/>
      <w:r>
        <w:rPr>
          <w:rFonts w:hint="eastAsia"/>
          <w:color w:val="auto"/>
          <w:highlight w:val="none"/>
        </w:rPr>
        <w:t>一、投标书</w:t>
      </w:r>
      <w:bookmarkEnd w:id="124"/>
      <w:bookmarkEnd w:id="125"/>
      <w:bookmarkEnd w:id="126"/>
      <w:bookmarkEnd w:id="127"/>
      <w:bookmarkEnd w:id="128"/>
    </w:p>
    <w:p w14:paraId="341CB1C5">
      <w:pPr>
        <w:shd w:val="clear"/>
        <w:spacing w:line="520" w:lineRule="exact"/>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致：（采购人名称）</w:t>
      </w:r>
    </w:p>
    <w:p w14:paraId="79E465F8">
      <w:pPr>
        <w:shd w:val="clear"/>
        <w:spacing w:line="520" w:lineRule="exact"/>
        <w:ind w:firstLine="496" w:firstLineChars="200"/>
        <w:rPr>
          <w:rFonts w:ascii="宋体" w:hAnsi="宋体" w:eastAsia="宋体" w:cs="宋体"/>
          <w:color w:val="auto"/>
          <w:spacing w:val="4"/>
          <w:sz w:val="24"/>
          <w:szCs w:val="20"/>
          <w:highlight w:val="none"/>
        </w:rPr>
      </w:pPr>
      <w:r>
        <w:rPr>
          <w:rFonts w:hint="eastAsia" w:ascii="宋体" w:hAnsi="宋体" w:cs="宋体"/>
          <w:color w:val="auto"/>
          <w:spacing w:val="4"/>
          <w:sz w:val="24"/>
          <w:highlight w:val="none"/>
        </w:rPr>
        <w:t>根据贵方“</w:t>
      </w:r>
      <w:r>
        <w:rPr>
          <w:rFonts w:hint="eastAsia" w:ascii="宋体" w:hAnsi="宋体" w:cs="宋体"/>
          <w:color w:val="auto"/>
          <w:spacing w:val="4"/>
          <w:sz w:val="24"/>
          <w:highlight w:val="none"/>
          <w:u w:val="single"/>
        </w:rPr>
        <w:t>（采购项目名称）（采购项目编号）</w:t>
      </w:r>
      <w:r>
        <w:rPr>
          <w:rFonts w:hint="eastAsia" w:ascii="宋体" w:hAnsi="宋体" w:cs="宋体"/>
          <w:color w:val="auto"/>
          <w:spacing w:val="4"/>
          <w:sz w:val="24"/>
          <w:highlight w:val="none"/>
        </w:rPr>
        <w:t>”的招标文件，下列签字代表</w:t>
      </w:r>
      <w:r>
        <w:rPr>
          <w:rFonts w:hint="eastAsia" w:ascii="宋体" w:hAnsi="宋体" w:cs="宋体"/>
          <w:color w:val="auto"/>
          <w:spacing w:val="4"/>
          <w:sz w:val="24"/>
          <w:highlight w:val="none"/>
          <w:u w:val="single"/>
        </w:rPr>
        <w:t>（全名、职务）</w:t>
      </w:r>
      <w:r>
        <w:rPr>
          <w:rFonts w:hint="eastAsia" w:ascii="宋体" w:hAnsi="宋体" w:cs="宋体"/>
          <w:color w:val="auto"/>
          <w:spacing w:val="4"/>
          <w:sz w:val="24"/>
          <w:highlight w:val="none"/>
        </w:rPr>
        <w:t>经正式授权并代表投标人</w:t>
      </w:r>
      <w:r>
        <w:rPr>
          <w:rFonts w:hint="eastAsia" w:ascii="宋体" w:hAnsi="宋体" w:cs="宋体"/>
          <w:color w:val="auto"/>
          <w:spacing w:val="4"/>
          <w:sz w:val="24"/>
          <w:highlight w:val="none"/>
          <w:u w:val="single"/>
        </w:rPr>
        <w:t>(投标人名称、地址)</w:t>
      </w:r>
      <w:r>
        <w:rPr>
          <w:rFonts w:hint="eastAsia" w:ascii="宋体" w:hAnsi="宋体" w:cs="宋体"/>
          <w:color w:val="auto"/>
          <w:spacing w:val="4"/>
          <w:sz w:val="24"/>
          <w:highlight w:val="none"/>
        </w:rPr>
        <w:t xml:space="preserve"> 提交</w:t>
      </w:r>
      <w:r>
        <w:rPr>
          <w:rFonts w:hint="eastAsia" w:ascii="宋体" w:hAnsi="宋体" w:cs="宋体"/>
          <w:color w:val="auto"/>
          <w:spacing w:val="4"/>
          <w:sz w:val="24"/>
          <w:highlight w:val="none"/>
          <w:lang w:eastAsia="zh-CN"/>
        </w:rPr>
        <w:t>电子</w:t>
      </w:r>
      <w:r>
        <w:rPr>
          <w:rFonts w:hint="eastAsia" w:ascii="宋体" w:hAnsi="宋体" w:cs="宋体"/>
          <w:color w:val="auto"/>
          <w:spacing w:val="4"/>
          <w:sz w:val="24"/>
          <w:highlight w:val="none"/>
        </w:rPr>
        <w:t>投标文件</w:t>
      </w:r>
      <w:r>
        <w:rPr>
          <w:rFonts w:hint="eastAsia" w:ascii="宋体" w:hAnsi="宋体" w:cs="宋体"/>
          <w:color w:val="auto"/>
          <w:spacing w:val="4"/>
          <w:sz w:val="24"/>
          <w:highlight w:val="none"/>
          <w:lang w:eastAsia="zh-CN"/>
        </w:rPr>
        <w:t>一</w:t>
      </w:r>
      <w:r>
        <w:rPr>
          <w:rFonts w:hint="eastAsia" w:ascii="宋体" w:hAnsi="宋体" w:cs="宋体"/>
          <w:color w:val="auto"/>
          <w:spacing w:val="4"/>
          <w:sz w:val="24"/>
          <w:highlight w:val="none"/>
        </w:rPr>
        <w:t>份</w:t>
      </w:r>
      <w:r>
        <w:rPr>
          <w:rFonts w:hint="eastAsia" w:ascii="宋体" w:hAnsi="宋体" w:eastAsia="宋体" w:cs="宋体"/>
          <w:color w:val="auto"/>
          <w:spacing w:val="4"/>
          <w:sz w:val="24"/>
          <w:szCs w:val="20"/>
          <w:highlight w:val="none"/>
          <w:lang w:bidi="ar"/>
        </w:rPr>
        <w:t>。</w:t>
      </w:r>
    </w:p>
    <w:p w14:paraId="3B6ACBAD">
      <w:pPr>
        <w:shd w:val="clear"/>
        <w:spacing w:line="520" w:lineRule="exact"/>
        <w:ind w:left="547" w:leftChars="250" w:hanging="22" w:hangingChars="9"/>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我方承诺如下：</w:t>
      </w:r>
    </w:p>
    <w:p w14:paraId="4976AC48">
      <w:pPr>
        <w:numPr>
          <w:ilvl w:val="0"/>
          <w:numId w:val="17"/>
        </w:numPr>
        <w:shd w:val="clear"/>
        <w:tabs>
          <w:tab w:val="left" w:pos="2160"/>
        </w:tabs>
        <w:spacing w:line="520" w:lineRule="exact"/>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投标总价为:大写：人民币</w:t>
      </w:r>
      <w:r>
        <w:rPr>
          <w:rFonts w:hint="eastAsia" w:ascii="宋体" w:hAnsi="宋体" w:eastAsia="宋体" w:cs="宋体"/>
          <w:color w:val="auto"/>
          <w:spacing w:val="4"/>
          <w:sz w:val="24"/>
          <w:szCs w:val="20"/>
          <w:highlight w:val="none"/>
          <w:u w:val="single"/>
          <w:lang w:bidi="ar"/>
        </w:rPr>
        <w:t xml:space="preserve">        </w:t>
      </w:r>
      <w:r>
        <w:rPr>
          <w:rFonts w:hint="eastAsia" w:ascii="宋体" w:hAnsi="宋体" w:eastAsia="宋体" w:cs="宋体"/>
          <w:color w:val="auto"/>
          <w:spacing w:val="4"/>
          <w:sz w:val="24"/>
          <w:szCs w:val="20"/>
          <w:highlight w:val="none"/>
          <w:lang w:bidi="ar"/>
        </w:rPr>
        <w:t>（小写：</w:t>
      </w:r>
      <w:r>
        <w:rPr>
          <w:rFonts w:hint="eastAsia" w:ascii="宋体" w:hAnsi="宋体" w:eastAsia="宋体" w:cs="宋体"/>
          <w:color w:val="auto"/>
          <w:spacing w:val="4"/>
          <w:sz w:val="24"/>
          <w:szCs w:val="20"/>
          <w:highlight w:val="none"/>
          <w:u w:val="single"/>
          <w:lang w:bidi="ar"/>
        </w:rPr>
        <w:t xml:space="preserve">￥         </w:t>
      </w:r>
      <w:r>
        <w:rPr>
          <w:rFonts w:hint="eastAsia" w:ascii="宋体" w:hAnsi="宋体" w:eastAsia="宋体" w:cs="宋体"/>
          <w:color w:val="auto"/>
          <w:spacing w:val="4"/>
          <w:sz w:val="24"/>
          <w:szCs w:val="20"/>
          <w:highlight w:val="none"/>
          <w:lang w:bidi="ar"/>
        </w:rPr>
        <w:t>）。</w:t>
      </w:r>
    </w:p>
    <w:p w14:paraId="3497A31E">
      <w:pPr>
        <w:numPr>
          <w:ilvl w:val="0"/>
          <w:numId w:val="17"/>
        </w:numPr>
        <w:shd w:val="clear"/>
        <w:tabs>
          <w:tab w:val="left" w:pos="2160"/>
        </w:tabs>
        <w:spacing w:line="520" w:lineRule="exact"/>
        <w:ind w:left="0" w:firstLine="0"/>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如果中标，我们根据招标文件的规定，履行合同的责任和义务。</w:t>
      </w:r>
    </w:p>
    <w:p w14:paraId="652B26D4">
      <w:pPr>
        <w:numPr>
          <w:ilvl w:val="0"/>
          <w:numId w:val="17"/>
        </w:numPr>
        <w:shd w:val="clear"/>
        <w:tabs>
          <w:tab w:val="left" w:pos="2160"/>
        </w:tabs>
        <w:spacing w:line="520" w:lineRule="exact"/>
        <w:ind w:left="0" w:firstLine="0"/>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我们已详细阅读和审核全部招标文件（含修改部分，如有的话），及有关附件，我们知道必须放弃提出含糊不清或误解的问题的权利。</w:t>
      </w:r>
    </w:p>
    <w:p w14:paraId="30BD4F26">
      <w:pPr>
        <w:numPr>
          <w:ilvl w:val="0"/>
          <w:numId w:val="17"/>
        </w:numPr>
        <w:shd w:val="clear"/>
        <w:tabs>
          <w:tab w:val="left" w:pos="2160"/>
        </w:tabs>
        <w:spacing w:line="520" w:lineRule="exact"/>
        <w:ind w:left="0" w:firstLine="0"/>
        <w:jc w:val="left"/>
        <w:rPr>
          <w:rFonts w:ascii="宋体" w:hAnsi="宋体" w:eastAsia="宋体" w:cs="宋体"/>
          <w:color w:val="auto"/>
          <w:spacing w:val="4"/>
          <w:sz w:val="24"/>
          <w:szCs w:val="20"/>
          <w:highlight w:val="none"/>
          <w:lang w:bidi="ar"/>
        </w:rPr>
      </w:pPr>
      <w:r>
        <w:rPr>
          <w:rFonts w:hint="eastAsia" w:ascii="宋体" w:hAnsi="宋体" w:eastAsia="宋体" w:cs="宋体"/>
          <w:color w:val="auto"/>
          <w:spacing w:val="4"/>
          <w:sz w:val="24"/>
          <w:szCs w:val="20"/>
          <w:highlight w:val="none"/>
          <w:lang w:bidi="ar"/>
        </w:rPr>
        <w:t>同意提供贵方可能另外要求的与本投标有关的任何证据和资料</w:t>
      </w:r>
      <w:r>
        <w:rPr>
          <w:rFonts w:hint="eastAsia" w:ascii="宋体" w:hAnsi="宋体" w:eastAsia="宋体" w:cs="宋体"/>
          <w:color w:val="auto"/>
          <w:spacing w:val="4"/>
          <w:sz w:val="24"/>
          <w:szCs w:val="20"/>
          <w:highlight w:val="none"/>
          <w:lang w:eastAsia="zh-CN" w:bidi="ar"/>
        </w:rPr>
        <w:t>。</w:t>
      </w:r>
      <w:r>
        <w:rPr>
          <w:rFonts w:hint="eastAsia" w:ascii="宋体" w:hAnsi="宋体" w:eastAsia="宋体" w:cs="宋体"/>
          <w:color w:val="auto"/>
          <w:spacing w:val="4"/>
          <w:kern w:val="2"/>
          <w:sz w:val="24"/>
          <w:szCs w:val="20"/>
          <w:highlight w:val="none"/>
          <w:lang w:val="en-US" w:eastAsia="zh-CN" w:bidi="ar"/>
        </w:rPr>
        <w:t>我们完全理解最低投标报价不作为中标的唯一条件，且尊重评标结论和定标结果。</w:t>
      </w:r>
      <w:r>
        <w:rPr>
          <w:rFonts w:hint="eastAsia" w:ascii="宋体" w:hAnsi="宋体" w:eastAsia="宋体" w:cs="宋体"/>
          <w:color w:val="auto"/>
          <w:spacing w:val="4"/>
          <w:sz w:val="24"/>
          <w:szCs w:val="20"/>
          <w:highlight w:val="none"/>
          <w:lang w:bidi="ar"/>
        </w:rPr>
        <w:t xml:space="preserve"> </w:t>
      </w:r>
    </w:p>
    <w:p w14:paraId="4A6AE577">
      <w:pPr>
        <w:numPr>
          <w:ilvl w:val="0"/>
          <w:numId w:val="17"/>
        </w:numPr>
        <w:shd w:val="clear"/>
        <w:tabs>
          <w:tab w:val="left" w:pos="2160"/>
        </w:tabs>
        <w:spacing w:line="520" w:lineRule="exact"/>
        <w:ind w:left="0" w:firstLine="0"/>
        <w:jc w:val="left"/>
        <w:rPr>
          <w:rFonts w:ascii="宋体" w:hAnsi="宋体" w:eastAsia="宋体" w:cs="宋体"/>
          <w:color w:val="auto"/>
          <w:spacing w:val="4"/>
          <w:sz w:val="24"/>
          <w:szCs w:val="20"/>
          <w:highlight w:val="none"/>
          <w:lang w:bidi="ar"/>
        </w:rPr>
      </w:pPr>
      <w:r>
        <w:rPr>
          <w:rFonts w:hint="eastAsia" w:ascii="宋体" w:hAnsi="宋体" w:eastAsia="宋体" w:cs="宋体"/>
          <w:color w:val="auto"/>
          <w:spacing w:val="4"/>
          <w:sz w:val="24"/>
          <w:szCs w:val="20"/>
          <w:highlight w:val="none"/>
          <w:lang w:bidi="ar"/>
        </w:rPr>
        <w:t>我们同意在投标有效期 日历日内，本投标书对我方具有约束力</w:t>
      </w:r>
      <w:r>
        <w:rPr>
          <w:rFonts w:hint="eastAsia" w:ascii="宋体" w:hAnsi="宋体" w:eastAsia="宋体" w:cs="宋体"/>
          <w:color w:val="auto"/>
          <w:spacing w:val="4"/>
          <w:sz w:val="24"/>
          <w:szCs w:val="20"/>
          <w:highlight w:val="none"/>
          <w:lang w:eastAsia="zh-CN" w:bidi="ar"/>
        </w:rPr>
        <w:t>。</w:t>
      </w:r>
    </w:p>
    <w:p w14:paraId="7DF089C4">
      <w:pPr>
        <w:numPr>
          <w:ilvl w:val="0"/>
          <w:numId w:val="17"/>
        </w:numPr>
        <w:shd w:val="clear"/>
        <w:tabs>
          <w:tab w:val="left" w:pos="2160"/>
        </w:tabs>
        <w:spacing w:line="520" w:lineRule="exact"/>
        <w:ind w:left="0" w:firstLine="0"/>
        <w:jc w:val="left"/>
        <w:rPr>
          <w:rFonts w:ascii="宋体" w:hAnsi="宋体" w:eastAsia="宋体" w:cs="宋体"/>
          <w:color w:val="auto"/>
          <w:spacing w:val="4"/>
          <w:sz w:val="24"/>
          <w:szCs w:val="20"/>
          <w:highlight w:val="none"/>
          <w:lang w:bidi="ar"/>
        </w:rPr>
      </w:pPr>
      <w:r>
        <w:rPr>
          <w:rFonts w:hint="eastAsia" w:ascii="宋体" w:hAnsi="宋体" w:eastAsia="宋体" w:cs="宋体"/>
          <w:color w:val="auto"/>
          <w:spacing w:val="4"/>
          <w:sz w:val="24"/>
          <w:szCs w:val="20"/>
          <w:highlight w:val="none"/>
          <w:lang w:bidi="ar"/>
        </w:rPr>
        <w:t>完全理解并无条件承担中标后不依法与采购人签订合同的法律后果。</w:t>
      </w:r>
    </w:p>
    <w:p w14:paraId="5FA3D57B">
      <w:pPr>
        <w:numPr>
          <w:ilvl w:val="0"/>
          <w:numId w:val="0"/>
        </w:numPr>
        <w:shd w:val="clear"/>
        <w:tabs>
          <w:tab w:val="left" w:pos="2160"/>
        </w:tabs>
        <w:spacing w:line="520" w:lineRule="exact"/>
        <w:ind w:leftChars="0"/>
        <w:jc w:val="left"/>
        <w:rPr>
          <w:rFonts w:hint="eastAsia" w:ascii="宋体" w:hAnsi="宋体" w:eastAsia="宋体" w:cs="宋体"/>
          <w:color w:val="auto"/>
          <w:spacing w:val="4"/>
          <w:sz w:val="24"/>
          <w:szCs w:val="20"/>
          <w:highlight w:val="none"/>
          <w:lang w:bidi="ar"/>
        </w:rPr>
      </w:pPr>
    </w:p>
    <w:p w14:paraId="61748F3A">
      <w:pPr>
        <w:numPr>
          <w:ilvl w:val="0"/>
          <w:numId w:val="0"/>
        </w:numPr>
        <w:shd w:val="clear"/>
        <w:tabs>
          <w:tab w:val="left" w:pos="2160"/>
        </w:tabs>
        <w:spacing w:line="520" w:lineRule="exact"/>
        <w:ind w:leftChars="0"/>
        <w:jc w:val="left"/>
        <w:rPr>
          <w:rFonts w:ascii="宋体" w:hAnsi="宋体" w:eastAsia="宋体" w:cs="宋体"/>
          <w:color w:val="auto"/>
          <w:spacing w:val="4"/>
          <w:sz w:val="24"/>
          <w:szCs w:val="20"/>
          <w:highlight w:val="none"/>
          <w:lang w:bidi="ar"/>
        </w:rPr>
      </w:pPr>
      <w:r>
        <w:rPr>
          <w:rFonts w:hint="eastAsia" w:ascii="宋体" w:hAnsi="宋体" w:eastAsia="宋体" w:cs="宋体"/>
          <w:color w:val="auto"/>
          <w:spacing w:val="4"/>
          <w:sz w:val="24"/>
          <w:szCs w:val="20"/>
          <w:highlight w:val="none"/>
          <w:lang w:bidi="ar"/>
        </w:rPr>
        <w:t>与本投标有关的一切正式往来通讯为：</w:t>
      </w:r>
    </w:p>
    <w:p w14:paraId="1EB6EF65">
      <w:pPr>
        <w:shd w:val="clear"/>
        <w:spacing w:line="520" w:lineRule="exact"/>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联系地址： </w:t>
      </w:r>
    </w:p>
    <w:p w14:paraId="4BFAA7A1">
      <w:pPr>
        <w:shd w:val="clear"/>
        <w:spacing w:line="520" w:lineRule="exact"/>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邮政编码：</w:t>
      </w:r>
    </w:p>
    <w:p w14:paraId="3E63D5B5">
      <w:pPr>
        <w:shd w:val="clear"/>
        <w:spacing w:line="520" w:lineRule="exact"/>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电    话：</w:t>
      </w:r>
    </w:p>
    <w:p w14:paraId="237DF7E7">
      <w:pPr>
        <w:shd w:val="clear"/>
        <w:spacing w:line="520" w:lineRule="exact"/>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传    真：</w:t>
      </w:r>
    </w:p>
    <w:p w14:paraId="21AFEE21">
      <w:pPr>
        <w:shd w:val="clear"/>
        <w:spacing w:line="520" w:lineRule="exact"/>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投标人名称（盖章）：</w:t>
      </w:r>
    </w:p>
    <w:p w14:paraId="3F489723">
      <w:pPr>
        <w:shd w:val="clear"/>
        <w:spacing w:line="520" w:lineRule="exact"/>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法定代表人/单位负责人签字：</w:t>
      </w:r>
    </w:p>
    <w:p w14:paraId="074C61BE">
      <w:pPr>
        <w:shd w:val="clear"/>
        <w:spacing w:line="520" w:lineRule="exact"/>
        <w:jc w:val="left"/>
        <w:rPr>
          <w:rFonts w:ascii="宋体" w:hAnsi="宋体" w:eastAsia="宋体" w:cs="宋体"/>
          <w:color w:val="auto"/>
          <w:spacing w:val="4"/>
          <w:sz w:val="24"/>
          <w:szCs w:val="20"/>
          <w:highlight w:val="none"/>
        </w:rPr>
      </w:pPr>
      <w:r>
        <w:rPr>
          <w:rFonts w:hint="eastAsia" w:ascii="宋体" w:hAnsi="宋体" w:eastAsia="宋体" w:cs="宋体"/>
          <w:color w:val="auto"/>
          <w:spacing w:val="4"/>
          <w:sz w:val="24"/>
          <w:szCs w:val="20"/>
          <w:highlight w:val="none"/>
          <w:lang w:bidi="ar"/>
        </w:rPr>
        <w:t>日    期：</w:t>
      </w:r>
    </w:p>
    <w:p w14:paraId="21B89DB2">
      <w:pPr>
        <w:shd w:val="clear"/>
        <w:rPr>
          <w:rFonts w:ascii="Arial" w:hAnsi="Arial" w:eastAsia="宋体" w:cs="宋体"/>
          <w:highlight w:val="none"/>
        </w:rPr>
      </w:pPr>
      <w:bookmarkStart w:id="129" w:name="_Toc8895"/>
      <w:bookmarkStart w:id="130" w:name="_Toc29536"/>
      <w:r>
        <w:rPr>
          <w:rFonts w:hint="eastAsia" w:ascii="Arial" w:hAnsi="Arial" w:eastAsia="宋体" w:cs="宋体"/>
          <w:highlight w:val="none"/>
        </w:rPr>
        <w:br w:type="page"/>
      </w:r>
    </w:p>
    <w:bookmarkEnd w:id="129"/>
    <w:bookmarkEnd w:id="130"/>
    <w:p w14:paraId="659C850D">
      <w:pPr>
        <w:pStyle w:val="3"/>
        <w:shd w:val="clear"/>
        <w:jc w:val="center"/>
        <w:rPr>
          <w:highlight w:val="none"/>
        </w:rPr>
      </w:pPr>
      <w:bookmarkStart w:id="131" w:name="_Toc30055"/>
      <w:bookmarkStart w:id="132" w:name="_Toc26299"/>
      <w:bookmarkStart w:id="133" w:name="_Toc29548"/>
      <w:bookmarkStart w:id="134" w:name="_Toc14263"/>
      <w:bookmarkStart w:id="135" w:name="_Toc21529"/>
      <w:bookmarkStart w:id="136" w:name="_Toc10736"/>
      <w:bookmarkStart w:id="137" w:name="_Toc7288"/>
      <w:r>
        <w:rPr>
          <w:rFonts w:hint="eastAsia"/>
          <w:highlight w:val="none"/>
        </w:rPr>
        <w:t>二、</w:t>
      </w:r>
      <w:bookmarkEnd w:id="131"/>
      <w:bookmarkEnd w:id="132"/>
      <w:bookmarkEnd w:id="133"/>
      <w:bookmarkEnd w:id="134"/>
      <w:r>
        <w:rPr>
          <w:rFonts w:hint="eastAsia"/>
          <w:highlight w:val="none"/>
        </w:rPr>
        <w:t>开标一览表</w:t>
      </w:r>
      <w:bookmarkEnd w:id="135"/>
    </w:p>
    <w:p w14:paraId="7FE35013">
      <w:pPr>
        <w:pStyle w:val="37"/>
        <w:shd w:val="clear"/>
        <w:wordWrap w:val="0"/>
        <w:spacing w:beforeAutospacing="0" w:afterAutospacing="0" w:line="360" w:lineRule="auto"/>
        <w:rPr>
          <w:rFonts w:hint="default" w:asciiTheme="minorEastAsia" w:hAnsiTheme="minorEastAsia" w:eastAsiaTheme="minorEastAsia" w:cstheme="minorEastAsia"/>
          <w:highlight w:val="none"/>
          <w:shd w:val="clear" w:color="auto" w:fill="FFFFFF"/>
        </w:rPr>
      </w:pPr>
      <w:r>
        <w:rPr>
          <w:rFonts w:asciiTheme="minorEastAsia" w:hAnsiTheme="minorEastAsia" w:eastAsiaTheme="minorEastAsia" w:cstheme="minorEastAsia"/>
          <w:highlight w:val="none"/>
          <w:shd w:val="clear" w:color="auto" w:fill="FFFFFF"/>
        </w:rPr>
        <w:t>项目编号：</w:t>
      </w:r>
    </w:p>
    <w:p w14:paraId="61728DE0">
      <w:pPr>
        <w:pStyle w:val="37"/>
        <w:shd w:val="clear"/>
        <w:wordWrap w:val="0"/>
        <w:spacing w:beforeAutospacing="0" w:afterAutospacing="0" w:line="360" w:lineRule="auto"/>
        <w:rPr>
          <w:rFonts w:asciiTheme="minorEastAsia" w:hAnsiTheme="minorEastAsia" w:eastAsiaTheme="minorEastAsia" w:cstheme="minorEastAsia"/>
          <w:highlight w:val="none"/>
          <w:shd w:val="clear" w:color="auto" w:fill="FFFFFF"/>
        </w:rPr>
      </w:pPr>
      <w:r>
        <w:rPr>
          <w:rFonts w:asciiTheme="minorEastAsia" w:hAnsiTheme="minorEastAsia" w:eastAsiaTheme="minorEastAsia" w:cstheme="minorEastAsia"/>
          <w:highlight w:val="none"/>
          <w:shd w:val="clear" w:color="auto" w:fill="FFFFFF"/>
        </w:rPr>
        <w:t>项目名称：</w:t>
      </w:r>
    </w:p>
    <w:p w14:paraId="72E03797">
      <w:pPr>
        <w:pStyle w:val="37"/>
        <w:shd w:val="clear"/>
        <w:wordWrap w:val="0"/>
        <w:spacing w:beforeAutospacing="0" w:afterAutospacing="0" w:line="360" w:lineRule="auto"/>
        <w:rPr>
          <w:rFonts w:hint="default" w:asciiTheme="minorEastAsia" w:hAnsiTheme="minorEastAsia" w:eastAsiaTheme="minorEastAsia" w:cstheme="minorEastAsia"/>
          <w:highlight w:val="none"/>
          <w:shd w:val="clear" w:color="auto" w:fill="FFFFFF"/>
          <w:lang w:val="en-US" w:eastAsia="zh-CN"/>
        </w:rPr>
      </w:pPr>
      <w:r>
        <w:rPr>
          <w:rFonts w:hint="eastAsia" w:asciiTheme="minorEastAsia" w:hAnsiTheme="minorEastAsia" w:eastAsiaTheme="minorEastAsia" w:cstheme="minorEastAsia"/>
          <w:highlight w:val="none"/>
          <w:shd w:val="clear" w:color="auto" w:fill="FFFFFF"/>
          <w:lang w:val="en-US" w:eastAsia="zh-CN"/>
        </w:rPr>
        <w:t>标段</w:t>
      </w:r>
      <w:r>
        <w:rPr>
          <w:rFonts w:asciiTheme="minorEastAsia" w:hAnsiTheme="minorEastAsia" w:eastAsiaTheme="minorEastAsia" w:cstheme="minorEastAsia"/>
          <w:highlight w:val="none"/>
          <w:shd w:val="clear" w:color="auto" w:fill="FFFFFF"/>
        </w:rPr>
        <w:t>编号</w:t>
      </w:r>
      <w:r>
        <w:rPr>
          <w:rFonts w:hint="eastAsia" w:asciiTheme="minorEastAsia" w:hAnsiTheme="minorEastAsia" w:eastAsiaTheme="minorEastAsia" w:cstheme="minorEastAsia"/>
          <w:highlight w:val="none"/>
          <w:shd w:val="clear" w:color="auto" w:fill="FFFFFF"/>
          <w:lang w:val="en-US" w:eastAsia="zh-CN"/>
        </w:rPr>
        <w:t>：</w:t>
      </w:r>
    </w:p>
    <w:p w14:paraId="175A81B6">
      <w:pPr>
        <w:pStyle w:val="37"/>
        <w:shd w:val="clear"/>
        <w:wordWrap w:val="0"/>
        <w:spacing w:beforeAutospacing="0" w:afterAutospacing="0" w:line="360" w:lineRule="auto"/>
        <w:rPr>
          <w:rFonts w:hint="eastAsia" w:asciiTheme="minorEastAsia" w:hAnsiTheme="minorEastAsia" w:eastAsiaTheme="minorEastAsia" w:cstheme="minorEastAsia"/>
          <w:highlight w:val="none"/>
          <w:shd w:val="clear" w:color="auto" w:fill="FFFFFF"/>
          <w:lang w:val="en-US" w:eastAsia="zh-CN"/>
        </w:rPr>
      </w:pPr>
      <w:r>
        <w:rPr>
          <w:rFonts w:hint="eastAsia" w:asciiTheme="minorEastAsia" w:hAnsiTheme="minorEastAsia" w:eastAsiaTheme="minorEastAsia" w:cstheme="minorEastAsia"/>
          <w:highlight w:val="none"/>
          <w:shd w:val="clear" w:color="auto" w:fill="FFFFFF"/>
          <w:lang w:val="en-US" w:eastAsia="zh-CN"/>
        </w:rPr>
        <w:t>标段名称：</w:t>
      </w:r>
    </w:p>
    <w:p w14:paraId="3A455A52">
      <w:pPr>
        <w:pStyle w:val="28"/>
        <w:shd w:val="clear"/>
        <w:rPr>
          <w:rFonts w:asciiTheme="minorEastAsia" w:hAnsiTheme="minorEastAsia" w:cstheme="minorEastAsia"/>
          <w:sz w:val="24"/>
          <w:highlight w:val="none"/>
          <w:shd w:val="clear" w:color="auto" w:fill="FFFFFF"/>
        </w:rPr>
      </w:pPr>
    </w:p>
    <w:tbl>
      <w:tblPr>
        <w:tblStyle w:val="41"/>
        <w:tblW w:w="8565" w:type="dxa"/>
        <w:jc w:val="center"/>
        <w:tblBorders>
          <w:top w:val="double" w:color="auto" w:sz="4" w:space="0"/>
          <w:left w:val="double" w:color="auto" w:sz="4" w:space="0"/>
          <w:bottom w:val="double" w:color="auto" w:sz="4" w:space="0"/>
          <w:right w:val="double" w:color="auto" w:sz="4" w:space="0"/>
          <w:insideH w:val="none" w:color="auto" w:sz="0" w:space="0"/>
          <w:insideV w:val="none" w:color="auto" w:sz="0" w:space="0"/>
        </w:tblBorders>
        <w:tblLayout w:type="autofit"/>
        <w:tblCellMar>
          <w:top w:w="0" w:type="dxa"/>
          <w:left w:w="0" w:type="dxa"/>
          <w:bottom w:w="0" w:type="dxa"/>
          <w:right w:w="0" w:type="dxa"/>
        </w:tblCellMar>
      </w:tblPr>
      <w:tblGrid>
        <w:gridCol w:w="4282"/>
        <w:gridCol w:w="4283"/>
      </w:tblGrid>
      <w:tr w14:paraId="50B1888B">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tblCellMar>
            <w:top w:w="0" w:type="dxa"/>
            <w:left w:w="0" w:type="dxa"/>
            <w:bottom w:w="0" w:type="dxa"/>
            <w:right w:w="0" w:type="dxa"/>
          </w:tblCellMar>
        </w:tblPrEx>
        <w:trPr>
          <w:trHeight w:val="567" w:hRule="atLeast"/>
          <w:jc w:val="center"/>
        </w:trPr>
        <w:tc>
          <w:tcPr>
            <w:tcW w:w="4282"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5691D854">
            <w:pPr>
              <w:widowControl/>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 xml:space="preserve">标题  </w:t>
            </w:r>
          </w:p>
        </w:tc>
        <w:tc>
          <w:tcPr>
            <w:tcW w:w="4283"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37B9EDE9">
            <w:pPr>
              <w:widowControl/>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 xml:space="preserve">内容 </w:t>
            </w:r>
          </w:p>
        </w:tc>
      </w:tr>
      <w:tr w14:paraId="00069E6F">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tblCellMar>
            <w:top w:w="0" w:type="dxa"/>
            <w:left w:w="0" w:type="dxa"/>
            <w:bottom w:w="0" w:type="dxa"/>
            <w:right w:w="0" w:type="dxa"/>
          </w:tblCellMar>
        </w:tblPrEx>
        <w:trPr>
          <w:trHeight w:val="567" w:hRule="atLeast"/>
          <w:jc w:val="center"/>
        </w:trPr>
        <w:tc>
          <w:tcPr>
            <w:tcW w:w="4282"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0E7CA27">
            <w:pPr>
              <w:widowControl/>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投标报价</w:t>
            </w:r>
          </w:p>
        </w:tc>
        <w:tc>
          <w:tcPr>
            <w:tcW w:w="4283"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5B55E26C">
            <w:pPr>
              <w:shd w:val="clear"/>
              <w:spacing w:line="360" w:lineRule="auto"/>
              <w:jc w:val="center"/>
              <w:rPr>
                <w:rFonts w:asciiTheme="minorEastAsia" w:hAnsiTheme="minorEastAsia" w:cstheme="minorEastAsia"/>
                <w:sz w:val="24"/>
                <w:highlight w:val="none"/>
              </w:rPr>
            </w:pPr>
          </w:p>
        </w:tc>
      </w:tr>
      <w:tr w14:paraId="509D998D">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tblCellMar>
            <w:top w:w="0" w:type="dxa"/>
            <w:left w:w="0" w:type="dxa"/>
            <w:bottom w:w="0" w:type="dxa"/>
            <w:right w:w="0" w:type="dxa"/>
          </w:tblCellMar>
        </w:tblPrEx>
        <w:trPr>
          <w:trHeight w:val="368" w:hRule="atLeast"/>
          <w:jc w:val="center"/>
        </w:trPr>
        <w:tc>
          <w:tcPr>
            <w:tcW w:w="4282"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4FC37566">
            <w:pPr>
              <w:widowControl/>
              <w:shd w:val="clear"/>
              <w:spacing w:line="360" w:lineRule="auto"/>
              <w:jc w:val="center"/>
              <w:rPr>
                <w:rFonts w:hint="eastAsia" w:asciiTheme="minorEastAsia" w:hAnsiTheme="minorEastAsia" w:eastAsiaTheme="minorEastAsia" w:cstheme="minorEastAsia"/>
                <w:sz w:val="24"/>
                <w:highlight w:val="none"/>
                <w:lang w:eastAsia="zh-CN"/>
              </w:rPr>
            </w:pPr>
            <w:r>
              <w:rPr>
                <w:rFonts w:hint="eastAsia" w:asciiTheme="minorEastAsia" w:hAnsiTheme="minorEastAsia" w:cstheme="minorEastAsia"/>
                <w:sz w:val="24"/>
                <w:highlight w:val="none"/>
                <w:lang w:eastAsia="zh-CN" w:bidi="ar"/>
              </w:rPr>
              <w:t>交货安装期</w:t>
            </w:r>
          </w:p>
        </w:tc>
        <w:tc>
          <w:tcPr>
            <w:tcW w:w="4283"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61760D63">
            <w:pPr>
              <w:shd w:val="clear"/>
              <w:spacing w:line="360" w:lineRule="auto"/>
              <w:jc w:val="center"/>
              <w:rPr>
                <w:rFonts w:asciiTheme="minorEastAsia" w:hAnsiTheme="minorEastAsia" w:cstheme="minorEastAsia"/>
                <w:sz w:val="24"/>
                <w:highlight w:val="none"/>
              </w:rPr>
            </w:pPr>
          </w:p>
        </w:tc>
      </w:tr>
      <w:tr w14:paraId="5AE9292F">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tblPrEx>
        <w:trPr>
          <w:trHeight w:val="470" w:hRule="atLeast"/>
          <w:jc w:val="center"/>
        </w:trPr>
        <w:tc>
          <w:tcPr>
            <w:tcW w:w="4282"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31F3CD92">
            <w:pPr>
              <w:widowControl/>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质保期</w:t>
            </w:r>
          </w:p>
        </w:tc>
        <w:tc>
          <w:tcPr>
            <w:tcW w:w="4283"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2978D65A">
            <w:pPr>
              <w:shd w:val="clear"/>
              <w:spacing w:line="360" w:lineRule="auto"/>
              <w:jc w:val="center"/>
              <w:rPr>
                <w:rFonts w:asciiTheme="minorEastAsia" w:hAnsiTheme="minorEastAsia" w:cstheme="minorEastAsia"/>
                <w:sz w:val="24"/>
                <w:highlight w:val="none"/>
              </w:rPr>
            </w:pPr>
          </w:p>
        </w:tc>
      </w:tr>
      <w:tr w14:paraId="285E50CF">
        <w:tblPrEx>
          <w:tblBorders>
            <w:top w:val="double" w:color="auto" w:sz="4" w:space="0"/>
            <w:left w:val="double" w:color="auto" w:sz="4" w:space="0"/>
            <w:bottom w:val="double" w:color="auto" w:sz="4" w:space="0"/>
            <w:right w:val="double" w:color="auto" w:sz="4" w:space="0"/>
            <w:insideH w:val="none" w:color="auto" w:sz="0" w:space="0"/>
            <w:insideV w:val="none" w:color="auto" w:sz="0" w:space="0"/>
          </w:tblBorders>
          <w:tblCellMar>
            <w:top w:w="0" w:type="dxa"/>
            <w:left w:w="0" w:type="dxa"/>
            <w:bottom w:w="0" w:type="dxa"/>
            <w:right w:w="0" w:type="dxa"/>
          </w:tblCellMar>
        </w:tblPrEx>
        <w:trPr>
          <w:trHeight w:val="567" w:hRule="atLeast"/>
          <w:jc w:val="center"/>
        </w:trPr>
        <w:tc>
          <w:tcPr>
            <w:tcW w:w="4282"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6C91CF2">
            <w:pPr>
              <w:widowControl/>
              <w:shd w:val="clear"/>
              <w:spacing w:line="360" w:lineRule="auto"/>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其他声明</w:t>
            </w:r>
          </w:p>
        </w:tc>
        <w:tc>
          <w:tcPr>
            <w:tcW w:w="4283" w:type="dxa"/>
            <w:tcBorders>
              <w:top w:val="single" w:color="000000" w:sz="6" w:space="0"/>
              <w:left w:val="single" w:color="000000" w:sz="6" w:space="0"/>
              <w:bottom w:val="single" w:color="000000" w:sz="6" w:space="0"/>
              <w:right w:val="single" w:color="000000" w:sz="6" w:space="0"/>
            </w:tcBorders>
            <w:shd w:val="clear" w:color="auto" w:fill="auto"/>
            <w:tcMar>
              <w:left w:w="108" w:type="dxa"/>
              <w:right w:w="108" w:type="dxa"/>
            </w:tcMar>
            <w:vAlign w:val="center"/>
          </w:tcPr>
          <w:p w14:paraId="7DA7A9FD">
            <w:pPr>
              <w:shd w:val="clear"/>
              <w:spacing w:line="360" w:lineRule="auto"/>
              <w:jc w:val="center"/>
              <w:rPr>
                <w:rFonts w:asciiTheme="minorEastAsia" w:hAnsiTheme="minorEastAsia" w:cstheme="minorEastAsia"/>
                <w:sz w:val="24"/>
                <w:highlight w:val="none"/>
              </w:rPr>
            </w:pPr>
          </w:p>
        </w:tc>
      </w:tr>
    </w:tbl>
    <w:p w14:paraId="16087DF0">
      <w:pPr>
        <w:pStyle w:val="37"/>
        <w:shd w:val="clear"/>
        <w:wordWrap w:val="0"/>
        <w:spacing w:beforeAutospacing="0" w:afterAutospacing="0" w:line="360" w:lineRule="auto"/>
        <w:rPr>
          <w:rFonts w:hint="default" w:asciiTheme="minorEastAsia" w:hAnsiTheme="minorEastAsia" w:eastAsiaTheme="minorEastAsia" w:cstheme="minorEastAsia"/>
          <w:highlight w:val="none"/>
          <w:shd w:val="clear" w:color="auto" w:fill="FFFFFF"/>
        </w:rPr>
      </w:pPr>
    </w:p>
    <w:p w14:paraId="7CE8F07D">
      <w:pPr>
        <w:pStyle w:val="37"/>
        <w:shd w:val="clear"/>
        <w:wordWrap w:val="0"/>
        <w:spacing w:beforeAutospacing="0" w:afterAutospacing="0" w:line="360" w:lineRule="auto"/>
        <w:rPr>
          <w:rFonts w:hint="default" w:asciiTheme="minorEastAsia" w:hAnsiTheme="minorEastAsia" w:eastAsiaTheme="minorEastAsia" w:cstheme="minorEastAsia"/>
          <w:highlight w:val="none"/>
          <w:shd w:val="clear" w:color="auto" w:fill="FFFFFF"/>
        </w:rPr>
      </w:pPr>
    </w:p>
    <w:p w14:paraId="16CA7D12">
      <w:pPr>
        <w:pStyle w:val="37"/>
        <w:shd w:val="clear"/>
        <w:wordWrap w:val="0"/>
        <w:spacing w:beforeAutospacing="0" w:afterAutospacing="0" w:line="360" w:lineRule="auto"/>
        <w:rPr>
          <w:rFonts w:hint="default" w:asciiTheme="minorEastAsia" w:hAnsiTheme="minorEastAsia" w:eastAsiaTheme="minorEastAsia" w:cstheme="minorEastAsia"/>
          <w:highlight w:val="none"/>
        </w:rPr>
      </w:pPr>
      <w:r>
        <w:rPr>
          <w:rFonts w:asciiTheme="minorEastAsia" w:hAnsiTheme="minorEastAsia" w:eastAsiaTheme="minorEastAsia" w:cstheme="minorEastAsia"/>
          <w:highlight w:val="none"/>
          <w:shd w:val="clear" w:color="auto" w:fill="FFFFFF"/>
        </w:rPr>
        <w:t>供应商名称：       （加盖公章）</w:t>
      </w:r>
    </w:p>
    <w:p w14:paraId="03368B3E">
      <w:pPr>
        <w:pStyle w:val="37"/>
        <w:shd w:val="clear"/>
        <w:wordWrap w:val="0"/>
        <w:spacing w:beforeAutospacing="0" w:afterAutospacing="0" w:line="360" w:lineRule="auto"/>
        <w:rPr>
          <w:rFonts w:hint="default" w:asciiTheme="minorEastAsia" w:hAnsiTheme="minorEastAsia" w:eastAsiaTheme="minorEastAsia" w:cstheme="minorEastAsia"/>
          <w:highlight w:val="none"/>
        </w:rPr>
      </w:pPr>
      <w:r>
        <w:rPr>
          <w:rFonts w:asciiTheme="minorEastAsia" w:hAnsiTheme="minorEastAsia" w:eastAsiaTheme="minorEastAsia" w:cstheme="minorEastAsia"/>
          <w:highlight w:val="none"/>
          <w:shd w:val="clear" w:color="auto" w:fill="FFFFFF"/>
        </w:rPr>
        <w:t xml:space="preserve">日 期：        </w:t>
      </w:r>
    </w:p>
    <w:p w14:paraId="482197F1">
      <w:pPr>
        <w:pStyle w:val="37"/>
        <w:shd w:val="clear"/>
        <w:wordWrap w:val="0"/>
        <w:spacing w:beforeAutospacing="0" w:afterAutospacing="0" w:line="360" w:lineRule="auto"/>
        <w:rPr>
          <w:rFonts w:hint="default" w:asciiTheme="minorEastAsia" w:hAnsiTheme="minorEastAsia" w:eastAsiaTheme="minorEastAsia" w:cstheme="minorEastAsia"/>
          <w:highlight w:val="none"/>
          <w:shd w:val="clear" w:color="auto" w:fill="FFFFFF"/>
        </w:rPr>
      </w:pPr>
      <w:r>
        <w:rPr>
          <w:rFonts w:asciiTheme="minorEastAsia" w:hAnsiTheme="minorEastAsia" w:eastAsiaTheme="minorEastAsia" w:cstheme="minorEastAsia"/>
          <w:highlight w:val="none"/>
          <w:shd w:val="clear" w:color="auto" w:fill="FFFFFF"/>
        </w:rPr>
        <w:t> </w:t>
      </w:r>
    </w:p>
    <w:p w14:paraId="2D865258">
      <w:pPr>
        <w:pStyle w:val="37"/>
        <w:shd w:val="clear"/>
        <w:wordWrap w:val="0"/>
        <w:spacing w:beforeAutospacing="0" w:afterAutospacing="0" w:line="360" w:lineRule="auto"/>
        <w:rPr>
          <w:rFonts w:hint="default" w:asciiTheme="minorEastAsia" w:hAnsiTheme="minorEastAsia" w:eastAsiaTheme="minorEastAsia" w:cstheme="minorEastAsia"/>
          <w:highlight w:val="none"/>
          <w:shd w:val="clear" w:color="auto" w:fill="FFFFFF"/>
          <w:lang w:val="zh-CN"/>
        </w:rPr>
      </w:pPr>
      <w:r>
        <w:rPr>
          <w:rFonts w:asciiTheme="minorEastAsia" w:hAnsiTheme="minorEastAsia" w:eastAsiaTheme="minorEastAsia" w:cstheme="minorEastAsia"/>
          <w:highlight w:val="none"/>
          <w:shd w:val="clear" w:color="auto" w:fill="FFFFFF"/>
          <w:lang w:val="zh-CN"/>
        </w:rPr>
        <w:t>备注: “投标报价”为投标总价。投标报价必须包括本项目所需全部费用。</w:t>
      </w:r>
    </w:p>
    <w:p w14:paraId="44348D89">
      <w:pPr>
        <w:pStyle w:val="37"/>
        <w:shd w:val="clear"/>
        <w:wordWrap w:val="0"/>
        <w:spacing w:beforeAutospacing="0" w:afterAutospacing="0" w:line="360" w:lineRule="auto"/>
        <w:rPr>
          <w:rFonts w:hint="default" w:asciiTheme="minorEastAsia" w:hAnsiTheme="minorEastAsia" w:eastAsiaTheme="minorEastAsia" w:cstheme="minorEastAsia"/>
          <w:highlight w:val="none"/>
        </w:rPr>
      </w:pPr>
    </w:p>
    <w:p w14:paraId="239616E2">
      <w:pPr>
        <w:shd w:val="clear"/>
        <w:tabs>
          <w:tab w:val="left" w:pos="7080"/>
          <w:tab w:val="left" w:pos="8504"/>
        </w:tabs>
        <w:spacing w:line="360" w:lineRule="auto"/>
        <w:ind w:right="-1"/>
        <w:rPr>
          <w:rFonts w:asciiTheme="minorEastAsia" w:hAnsiTheme="minorEastAsia" w:cstheme="minorEastAsia"/>
          <w:sz w:val="24"/>
          <w:highlight w:val="none"/>
          <w:lang w:bidi="ar"/>
        </w:rPr>
      </w:pPr>
    </w:p>
    <w:p w14:paraId="2E04EB50">
      <w:pPr>
        <w:shd w:val="clear"/>
        <w:tabs>
          <w:tab w:val="left" w:pos="7080"/>
          <w:tab w:val="left" w:pos="8504"/>
        </w:tabs>
        <w:spacing w:line="360" w:lineRule="auto"/>
        <w:ind w:right="-1"/>
        <w:rPr>
          <w:rFonts w:asciiTheme="minorEastAsia" w:hAnsiTheme="minorEastAsia" w:cstheme="minorEastAsia"/>
          <w:sz w:val="24"/>
          <w:highlight w:val="none"/>
          <w:lang w:bidi="ar"/>
        </w:rPr>
      </w:pPr>
    </w:p>
    <w:p w14:paraId="73B67316">
      <w:pPr>
        <w:shd w:val="clear"/>
        <w:bidi w:val="0"/>
        <w:rPr>
          <w:highlight w:val="none"/>
        </w:rPr>
      </w:pPr>
    </w:p>
    <w:p w14:paraId="3E9DA639">
      <w:pPr>
        <w:pStyle w:val="37"/>
        <w:shd w:val="clear"/>
        <w:wordWrap w:val="0"/>
        <w:spacing w:beforeAutospacing="0" w:afterAutospacing="0" w:line="360" w:lineRule="auto"/>
        <w:jc w:val="center"/>
        <w:rPr>
          <w:rFonts w:hint="default" w:asciiTheme="minorEastAsia" w:hAnsiTheme="minorEastAsia" w:eastAsiaTheme="minorEastAsia" w:cstheme="minorEastAsia"/>
          <w:highlight w:val="none"/>
        </w:rPr>
      </w:pPr>
      <w:bookmarkStart w:id="138" w:name="_Toc9587"/>
      <w:bookmarkStart w:id="139" w:name="_Toc18419"/>
    </w:p>
    <w:p w14:paraId="767A89C6">
      <w:pPr>
        <w:pStyle w:val="37"/>
        <w:shd w:val="clear"/>
        <w:wordWrap w:val="0"/>
        <w:spacing w:beforeAutospacing="0" w:afterAutospacing="0" w:line="390" w:lineRule="atLeast"/>
        <w:rPr>
          <w:rFonts w:hint="default"/>
          <w:highlight w:val="none"/>
        </w:rPr>
      </w:pPr>
      <w:r>
        <w:rPr>
          <w:rFonts w:ascii="微软雅黑" w:hAnsi="微软雅黑" w:eastAsia="微软雅黑" w:cs="微软雅黑"/>
          <w:highlight w:val="none"/>
          <w:shd w:val="clear" w:color="auto" w:fill="FFFFFF"/>
        </w:rPr>
        <w:t>      </w:t>
      </w:r>
    </w:p>
    <w:p w14:paraId="0FCD41B9">
      <w:pPr>
        <w:pStyle w:val="3"/>
        <w:shd w:val="clear"/>
        <w:ind w:left="3360"/>
        <w:jc w:val="both"/>
        <w:rPr>
          <w:highlight w:val="none"/>
        </w:rPr>
        <w:sectPr>
          <w:pgSz w:w="11906" w:h="16838"/>
          <w:pgMar w:top="1440" w:right="1800" w:bottom="1440" w:left="1800" w:header="1135" w:footer="1135" w:gutter="0"/>
          <w:pgNumType w:fmt="decimal"/>
          <w:cols w:space="425" w:num="1"/>
          <w:docGrid w:type="lines" w:linePitch="312" w:charSpace="0"/>
        </w:sectPr>
      </w:pPr>
      <w:bookmarkStart w:id="140" w:name="_Toc14187"/>
    </w:p>
    <w:bookmarkEnd w:id="138"/>
    <w:bookmarkEnd w:id="139"/>
    <w:bookmarkEnd w:id="140"/>
    <w:p w14:paraId="52AAB6DE">
      <w:pPr>
        <w:pStyle w:val="3"/>
        <w:numPr>
          <w:ilvl w:val="0"/>
          <w:numId w:val="0"/>
        </w:numPr>
        <w:shd w:val="clear"/>
        <w:bidi w:val="0"/>
        <w:ind w:right="0" w:rightChars="0"/>
        <w:jc w:val="center"/>
        <w:rPr>
          <w:rFonts w:hint="eastAsia"/>
          <w:color w:val="auto"/>
          <w:highlight w:val="none"/>
          <w:lang w:eastAsia="zh-CN"/>
        </w:rPr>
      </w:pPr>
      <w:bookmarkStart w:id="141" w:name="_Toc8878"/>
      <w:bookmarkStart w:id="142" w:name="_Toc31404"/>
      <w:bookmarkStart w:id="143" w:name="_Toc10886"/>
      <w:r>
        <w:rPr>
          <w:rFonts w:hint="eastAsia"/>
          <w:color w:val="auto"/>
          <w:highlight w:val="none"/>
          <w:lang w:val="en-US" w:eastAsia="zh-CN"/>
        </w:rPr>
        <w:t>三、</w:t>
      </w:r>
      <w:r>
        <w:rPr>
          <w:rFonts w:hint="eastAsia"/>
          <w:color w:val="auto"/>
          <w:highlight w:val="none"/>
          <w:lang w:eastAsia="zh-CN"/>
        </w:rPr>
        <w:t>已标价工程量清单</w:t>
      </w:r>
    </w:p>
    <w:p w14:paraId="649ED596">
      <w:pPr>
        <w:pStyle w:val="225"/>
        <w:spacing w:line="360" w:lineRule="auto"/>
        <w:rPr>
          <w:rFonts w:hint="eastAsia" w:ascii="宋体" w:hAnsi="宋体" w:eastAsia="宋体" w:cs="宋体"/>
          <w:sz w:val="22"/>
          <w:szCs w:val="22"/>
        </w:rPr>
      </w:pPr>
      <w:bookmarkStart w:id="144" w:name="_Toc17560"/>
      <w:bookmarkStart w:id="145" w:name="_Toc4291"/>
      <w:r>
        <w:rPr>
          <w:rFonts w:hint="eastAsia" w:ascii="宋体" w:hAnsi="宋体" w:eastAsia="宋体" w:cs="宋体"/>
          <w:sz w:val="22"/>
          <w:szCs w:val="22"/>
        </w:rPr>
        <w:t>（</w:t>
      </w:r>
      <w:r>
        <w:rPr>
          <w:rFonts w:hint="eastAsia" w:ascii="宋体" w:hAnsi="宋体" w:eastAsia="宋体" w:cs="宋体"/>
          <w:sz w:val="22"/>
          <w:szCs w:val="22"/>
          <w:lang w:eastAsia="zh-CN"/>
        </w:rPr>
        <w:t>一</w:t>
      </w:r>
      <w:r>
        <w:rPr>
          <w:rFonts w:hint="eastAsia" w:ascii="宋体" w:hAnsi="宋体" w:eastAsia="宋体" w:cs="宋体"/>
          <w:sz w:val="22"/>
          <w:szCs w:val="22"/>
        </w:rPr>
        <w:t>）投标报价说明</w:t>
      </w:r>
    </w:p>
    <w:p w14:paraId="1D10CED8">
      <w:pPr>
        <w:spacing w:line="360" w:lineRule="auto"/>
        <w:ind w:firstLine="460" w:firstLineChars="192"/>
        <w:rPr>
          <w:rFonts w:hint="eastAsia" w:ascii="宋体" w:hAnsi="宋体" w:eastAsia="宋体" w:cs="宋体"/>
          <w:sz w:val="24"/>
          <w:szCs w:val="24"/>
          <w:highlight w:val="none"/>
        </w:rPr>
      </w:pPr>
      <w:r>
        <w:rPr>
          <w:rFonts w:hint="eastAsia" w:ascii="宋体" w:hAnsi="宋体" w:eastAsia="宋体" w:cs="宋体"/>
          <w:sz w:val="24"/>
          <w:szCs w:val="24"/>
          <w:highlight w:val="none"/>
        </w:rPr>
        <w:t>1、本报价依据本工程招标文件的投标须知、合同文件、工程建设标准、图纸、工程量清单和答疑纪要及其它有关文件进行编制。</w:t>
      </w:r>
    </w:p>
    <w:p w14:paraId="14A85FC4">
      <w:pPr>
        <w:spacing w:line="360" w:lineRule="auto"/>
        <w:ind w:firstLine="460" w:firstLineChars="192"/>
        <w:rPr>
          <w:rFonts w:hint="eastAsia" w:ascii="宋体" w:hAnsi="宋体" w:eastAsia="宋体" w:cs="宋体"/>
          <w:sz w:val="24"/>
          <w:szCs w:val="24"/>
          <w:highlight w:val="none"/>
        </w:rPr>
      </w:pPr>
      <w:r>
        <w:rPr>
          <w:rFonts w:hint="eastAsia" w:ascii="宋体" w:hAnsi="宋体" w:eastAsia="宋体" w:cs="宋体"/>
          <w:sz w:val="24"/>
          <w:szCs w:val="24"/>
          <w:highlight w:val="none"/>
        </w:rPr>
        <w:t>2、本工程量清单计价表中的工程量是按招标人所发的工程量清单中的数量计取的。若我方中标，施工中出现的工程量差异同意按招标文件规定的办法进行结算。</w:t>
      </w:r>
    </w:p>
    <w:p w14:paraId="7D4EA1C0">
      <w:pPr>
        <w:spacing w:line="360" w:lineRule="auto"/>
        <w:ind w:firstLine="460" w:firstLineChars="192"/>
        <w:rPr>
          <w:rFonts w:hint="eastAsia" w:ascii="宋体" w:hAnsi="宋体" w:eastAsia="宋体" w:cs="宋体"/>
          <w:sz w:val="24"/>
          <w:szCs w:val="24"/>
          <w:highlight w:val="none"/>
        </w:rPr>
      </w:pPr>
      <w:r>
        <w:rPr>
          <w:rFonts w:hint="eastAsia" w:ascii="宋体" w:hAnsi="宋体" w:eastAsia="宋体" w:cs="宋体"/>
          <w:sz w:val="24"/>
          <w:szCs w:val="24"/>
          <w:highlight w:val="none"/>
        </w:rPr>
        <w:t>3、工程量清单计价表中所填入的单价和合价，为本工程所涉及的全部项目的价格，是按照《陕西省建设工程工程量清单计价规则》和招标文件要求及市场价格计算（有甲方暂定价的按暂定价计算）确定的直接费、管理费、风险、利润、措施项目费、其它项目费、规费、税金和招标文件规定，结合我公司实际情况和投标策略计算并列报的。</w:t>
      </w:r>
    </w:p>
    <w:p w14:paraId="467283A7">
      <w:pPr>
        <w:spacing w:line="360" w:lineRule="auto"/>
        <w:ind w:firstLine="460" w:firstLineChars="192"/>
        <w:rPr>
          <w:rFonts w:hint="eastAsia" w:ascii="宋体" w:hAnsi="宋体" w:eastAsia="宋体" w:cs="宋体"/>
          <w:sz w:val="24"/>
          <w:szCs w:val="24"/>
          <w:highlight w:val="none"/>
        </w:rPr>
      </w:pPr>
      <w:r>
        <w:rPr>
          <w:rFonts w:hint="eastAsia" w:ascii="宋体" w:hAnsi="宋体" w:eastAsia="宋体" w:cs="宋体"/>
          <w:sz w:val="24"/>
          <w:szCs w:val="24"/>
          <w:highlight w:val="none"/>
        </w:rPr>
        <w:t>4、本报价中没有填写的项目的费用，视为已包括在其他项目之中。</w:t>
      </w:r>
    </w:p>
    <w:p w14:paraId="2458BA77">
      <w:pPr>
        <w:spacing w:line="360" w:lineRule="auto"/>
        <w:ind w:firstLine="460" w:firstLineChars="192"/>
        <w:rPr>
          <w:rFonts w:hint="eastAsia" w:ascii="宋体" w:hAnsi="宋体" w:eastAsia="宋体" w:cs="宋体"/>
          <w:sz w:val="24"/>
          <w:szCs w:val="24"/>
          <w:highlight w:val="none"/>
        </w:rPr>
      </w:pPr>
      <w:r>
        <w:rPr>
          <w:rFonts w:hint="eastAsia" w:ascii="宋体" w:hAnsi="宋体" w:eastAsia="宋体" w:cs="宋体"/>
          <w:sz w:val="24"/>
          <w:szCs w:val="24"/>
          <w:highlight w:val="none"/>
        </w:rPr>
        <w:t>5、本报价的币种为人民币。</w:t>
      </w:r>
    </w:p>
    <w:p w14:paraId="36F9D0A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6、投标人投标价需要说明的其它事项。</w:t>
      </w:r>
    </w:p>
    <w:p w14:paraId="3E62D1DC">
      <w:pPr>
        <w:pStyle w:val="16"/>
        <w:spacing w:line="360" w:lineRule="auto"/>
        <w:rPr>
          <w:rFonts w:hint="eastAsia" w:ascii="宋体" w:hAnsi="宋体" w:eastAsia="宋体" w:cs="宋体"/>
          <w:sz w:val="24"/>
          <w:szCs w:val="24"/>
          <w:highlight w:val="none"/>
        </w:rPr>
      </w:pPr>
    </w:p>
    <w:p w14:paraId="6083BBE7">
      <w:pPr>
        <w:pStyle w:val="16"/>
        <w:spacing w:line="360" w:lineRule="auto"/>
        <w:rPr>
          <w:rFonts w:hint="eastAsia" w:ascii="宋体" w:hAnsi="宋体" w:eastAsia="宋体" w:cs="宋体"/>
          <w:sz w:val="24"/>
          <w:szCs w:val="24"/>
          <w:highlight w:val="none"/>
        </w:rPr>
      </w:pPr>
    </w:p>
    <w:p w14:paraId="2C50EC9B">
      <w:pPr>
        <w:pStyle w:val="16"/>
        <w:spacing w:line="360" w:lineRule="auto"/>
        <w:rPr>
          <w:rFonts w:hint="eastAsia" w:ascii="宋体" w:hAnsi="宋体" w:eastAsia="宋体" w:cs="宋体"/>
          <w:sz w:val="24"/>
          <w:szCs w:val="24"/>
          <w:highlight w:val="none"/>
        </w:rPr>
      </w:pPr>
    </w:p>
    <w:p w14:paraId="4903D7A4">
      <w:pPr>
        <w:pStyle w:val="16"/>
        <w:spacing w:line="360" w:lineRule="auto"/>
        <w:rPr>
          <w:rFonts w:hint="eastAsia" w:ascii="宋体" w:hAnsi="宋体" w:eastAsia="宋体" w:cs="宋体"/>
          <w:sz w:val="24"/>
          <w:szCs w:val="24"/>
          <w:highlight w:val="none"/>
        </w:rPr>
      </w:pPr>
    </w:p>
    <w:p w14:paraId="7E7ABC4C">
      <w:pPr>
        <w:pStyle w:val="16"/>
        <w:spacing w:line="360" w:lineRule="auto"/>
        <w:rPr>
          <w:rFonts w:hint="eastAsia" w:ascii="宋体" w:hAnsi="宋体" w:eastAsia="宋体" w:cs="宋体"/>
          <w:sz w:val="24"/>
          <w:szCs w:val="24"/>
          <w:highlight w:val="none"/>
        </w:rPr>
      </w:pPr>
    </w:p>
    <w:p w14:paraId="1C87F2DD">
      <w:pPr>
        <w:pStyle w:val="16"/>
        <w:spacing w:line="360" w:lineRule="auto"/>
        <w:rPr>
          <w:rFonts w:hint="eastAsia" w:ascii="宋体" w:hAnsi="宋体" w:eastAsia="宋体" w:cs="宋体"/>
          <w:sz w:val="24"/>
          <w:szCs w:val="24"/>
          <w:highlight w:val="none"/>
        </w:rPr>
      </w:pPr>
    </w:p>
    <w:p w14:paraId="72986D79">
      <w:pPr>
        <w:pStyle w:val="16"/>
        <w:spacing w:line="360" w:lineRule="auto"/>
        <w:rPr>
          <w:rFonts w:hint="eastAsia" w:ascii="宋体" w:hAnsi="宋体" w:eastAsia="宋体" w:cs="宋体"/>
          <w:sz w:val="24"/>
          <w:szCs w:val="24"/>
          <w:highlight w:val="none"/>
        </w:rPr>
      </w:pPr>
    </w:p>
    <w:p w14:paraId="50DCAE45">
      <w:pPr>
        <w:pStyle w:val="16"/>
        <w:spacing w:line="360" w:lineRule="auto"/>
        <w:rPr>
          <w:rFonts w:hint="eastAsia" w:ascii="宋体" w:hAnsi="宋体" w:eastAsia="宋体" w:cs="宋体"/>
          <w:sz w:val="24"/>
          <w:szCs w:val="24"/>
          <w:highlight w:val="none"/>
        </w:rPr>
      </w:pPr>
    </w:p>
    <w:p w14:paraId="5E8D3F96">
      <w:pPr>
        <w:rPr>
          <w:rFonts w:hint="eastAsia" w:ascii="宋体" w:hAnsi="宋体" w:eastAsia="宋体" w:cs="宋体"/>
          <w:sz w:val="24"/>
          <w:szCs w:val="24"/>
          <w:highlight w:val="none"/>
        </w:rPr>
      </w:pPr>
    </w:p>
    <w:p w14:paraId="0C24B6F3">
      <w:pPr>
        <w:pStyle w:val="16"/>
        <w:rPr>
          <w:rFonts w:hint="eastAsia" w:ascii="宋体" w:hAnsi="宋体" w:eastAsia="宋体" w:cs="宋体"/>
          <w:sz w:val="24"/>
          <w:szCs w:val="24"/>
          <w:highlight w:val="none"/>
        </w:rPr>
      </w:pPr>
    </w:p>
    <w:p w14:paraId="6ACFBEC6">
      <w:pPr>
        <w:rPr>
          <w:rFonts w:hint="eastAsia" w:ascii="宋体" w:hAnsi="宋体" w:eastAsia="宋体" w:cs="宋体"/>
          <w:sz w:val="24"/>
          <w:szCs w:val="24"/>
          <w:highlight w:val="none"/>
        </w:rPr>
      </w:pPr>
    </w:p>
    <w:p w14:paraId="05203A83">
      <w:pPr>
        <w:pStyle w:val="16"/>
        <w:rPr>
          <w:rFonts w:hint="eastAsia" w:eastAsia="宋体"/>
          <w:lang w:val="en-US" w:eastAsia="zh-CN"/>
        </w:rPr>
      </w:pPr>
      <w:r>
        <w:rPr>
          <w:rFonts w:hint="eastAsia" w:ascii="宋体" w:hAnsi="宋体" w:cs="宋体"/>
          <w:sz w:val="24"/>
          <w:szCs w:val="24"/>
          <w:highlight w:val="none"/>
          <w:lang w:val="en-US" w:eastAsia="zh-CN"/>
        </w:rPr>
        <w:t xml:space="preserve"> </w:t>
      </w:r>
    </w:p>
    <w:p w14:paraId="6C6C6EB4">
      <w:pPr>
        <w:pStyle w:val="225"/>
        <w:numPr>
          <w:ilvl w:val="0"/>
          <w:numId w:val="18"/>
        </w:numPr>
        <w:spacing w:line="360" w:lineRule="auto"/>
        <w:jc w:val="center"/>
        <w:rPr>
          <w:rFonts w:hint="eastAsia" w:ascii="宋体" w:hAnsi="宋体" w:eastAsia="宋体" w:cs="宋体"/>
          <w:sz w:val="24"/>
          <w:szCs w:val="24"/>
        </w:rPr>
      </w:pPr>
      <w:r>
        <w:rPr>
          <w:rFonts w:hint="eastAsia" w:ascii="宋体" w:hAnsi="宋体" w:eastAsia="宋体" w:cs="宋体"/>
          <w:sz w:val="24"/>
          <w:szCs w:val="24"/>
        </w:rPr>
        <w:t>报价表统一格式</w:t>
      </w:r>
    </w:p>
    <w:p w14:paraId="25D2EA25">
      <w:pPr>
        <w:pStyle w:val="3"/>
        <w:numPr>
          <w:ilvl w:val="0"/>
          <w:numId w:val="0"/>
        </w:numPr>
        <w:shd w:val="clear"/>
        <w:bidi w:val="0"/>
        <w:ind w:right="0" w:rightChars="0"/>
        <w:jc w:val="center"/>
        <w:rPr>
          <w:rFonts w:hint="eastAsia" w:ascii="宋体" w:hAnsi="宋体" w:eastAsia="宋体" w:cs="宋体"/>
          <w:b/>
          <w:bCs/>
          <w:sz w:val="24"/>
          <w:szCs w:val="24"/>
          <w:lang w:eastAsia="zh-CN"/>
        </w:rPr>
        <w:sectPr>
          <w:pgSz w:w="11906" w:h="16838"/>
          <w:pgMar w:top="1440" w:right="1800" w:bottom="1440" w:left="1800" w:header="1135" w:footer="1135" w:gutter="0"/>
          <w:pgNumType w:fmt="decimal"/>
          <w:cols w:space="425" w:num="1"/>
          <w:docGrid w:type="lines" w:linePitch="312" w:charSpace="0"/>
        </w:sectPr>
      </w:pPr>
      <w:bookmarkStart w:id="146" w:name="_Toc27210"/>
      <w:r>
        <w:rPr>
          <w:rFonts w:hint="eastAsia" w:ascii="宋体" w:hAnsi="宋体" w:eastAsia="宋体" w:cs="宋体"/>
          <w:b/>
          <w:bCs/>
          <w:sz w:val="24"/>
          <w:szCs w:val="24"/>
          <w:lang w:eastAsia="zh-CN"/>
        </w:rPr>
        <w:t>（广联达自带格式报表）</w:t>
      </w:r>
      <w:bookmarkEnd w:id="146"/>
    </w:p>
    <w:bookmarkEnd w:id="144"/>
    <w:bookmarkEnd w:id="145"/>
    <w:p w14:paraId="37BCFF99">
      <w:pPr>
        <w:pStyle w:val="3"/>
        <w:shd w:val="clear"/>
        <w:jc w:val="center"/>
        <w:rPr>
          <w:highlight w:val="none"/>
        </w:rPr>
      </w:pPr>
      <w:r>
        <w:rPr>
          <w:rFonts w:hint="eastAsia" w:ascii="Arial" w:hAnsi="Arial" w:eastAsia="宋体" w:cs="Times New Roman"/>
          <w:b/>
          <w:color w:val="auto"/>
          <w:kern w:val="0"/>
          <w:sz w:val="30"/>
          <w:szCs w:val="32"/>
          <w:highlight w:val="none"/>
          <w:lang w:val="en-US" w:eastAsia="zh-CN" w:bidi="ar"/>
        </w:rPr>
        <w:t>四、</w:t>
      </w:r>
      <w:bookmarkEnd w:id="141"/>
      <w:bookmarkStart w:id="147" w:name="_Toc17933"/>
      <w:bookmarkStart w:id="148" w:name="_Toc6279"/>
      <w:r>
        <w:rPr>
          <w:rFonts w:hint="eastAsia"/>
          <w:highlight w:val="none"/>
        </w:rPr>
        <w:t>投标人承诺书</w:t>
      </w:r>
      <w:bookmarkEnd w:id="142"/>
      <w:bookmarkEnd w:id="143"/>
      <w:bookmarkEnd w:id="147"/>
      <w:bookmarkEnd w:id="148"/>
    </w:p>
    <w:p w14:paraId="2B23A1EE">
      <w:pPr>
        <w:pStyle w:val="4"/>
        <w:bidi w:val="0"/>
      </w:pPr>
      <w:bookmarkStart w:id="149" w:name="_Toc7473"/>
      <w:bookmarkStart w:id="150" w:name="_Toc19111"/>
      <w:bookmarkStart w:id="151" w:name="_Toc18088"/>
      <w:bookmarkStart w:id="152" w:name="_Toc11459"/>
      <w:r>
        <w:rPr>
          <w:rFonts w:hint="eastAsia"/>
        </w:rPr>
        <w:t>（一）质量安全责任承诺书</w:t>
      </w:r>
      <w:bookmarkEnd w:id="149"/>
      <w:bookmarkEnd w:id="150"/>
      <w:bookmarkEnd w:id="151"/>
      <w:bookmarkEnd w:id="152"/>
    </w:p>
    <w:p w14:paraId="3EE88FEE">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为保证本采购项目顺利进行，作为投标供应商，现郑重承诺：</w:t>
      </w:r>
    </w:p>
    <w:p w14:paraId="646C6437">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1、我方投标产品的生产（包括设计、制造、安装、改造、维修等）、投入使用的材料等均完全符合国家现行质量、安全、环保标准和要求。</w:t>
      </w:r>
    </w:p>
    <w:p w14:paraId="54412742">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2、我方将严格按照国家现行相关储存、运输、安装调试技术标准及规范、服务标准及规范、施工标准及规范，在规定的时限内，保质、保量完成项目全部内容，并向采购人交付合格产品。</w:t>
      </w:r>
    </w:p>
    <w:p w14:paraId="6BFAE017">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3、对于因产品生产质量以及储存、运输、安装调试、服务、施工等过程中产生的任何安全事故，我方承担全部责任。</w:t>
      </w:r>
    </w:p>
    <w:p w14:paraId="076D4315">
      <w:pPr>
        <w:widowControl/>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4、我方提供的货物、工程、服务等符合现行的国家、行业、地区、企业标准及要求，标准不一致的，以更为严格的为准，我方对提供的货物、工程、服务等的质量、安全、环保等承担全部责任。</w:t>
      </w:r>
    </w:p>
    <w:p w14:paraId="54A7C9D2">
      <w:pPr>
        <w:widowControl/>
        <w:shd w:val="clear"/>
        <w:spacing w:line="360" w:lineRule="auto"/>
        <w:ind w:firstLine="480" w:firstLineChars="200"/>
        <w:rPr>
          <w:rFonts w:ascii="宋体" w:hAnsi="宋体" w:eastAsia="宋体" w:cs="宋体"/>
          <w:sz w:val="24"/>
          <w:highlight w:val="none"/>
        </w:rPr>
      </w:pPr>
    </w:p>
    <w:p w14:paraId="06749F8B">
      <w:pPr>
        <w:widowControl/>
        <w:shd w:val="clear"/>
        <w:spacing w:line="48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供应商：              （加盖公章）</w:t>
      </w:r>
    </w:p>
    <w:p w14:paraId="0CA9334D">
      <w:pPr>
        <w:widowControl/>
        <w:shd w:val="clear"/>
        <w:spacing w:line="48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法定代表人或授权代表：（签字或盖章）</w:t>
      </w:r>
    </w:p>
    <w:p w14:paraId="118734A6">
      <w:pPr>
        <w:widowControl/>
        <w:shd w:val="clear"/>
        <w:spacing w:line="48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日期：　　年　月　日</w:t>
      </w:r>
    </w:p>
    <w:p w14:paraId="16CB11F3">
      <w:pPr>
        <w:pStyle w:val="18"/>
        <w:shd w:val="clear"/>
        <w:spacing w:line="480" w:lineRule="auto"/>
        <w:ind w:firstLine="480"/>
        <w:rPr>
          <w:rFonts w:ascii="宋体" w:hAnsi="宋体" w:eastAsia="宋体" w:cs="宋体"/>
          <w:sz w:val="24"/>
          <w:highlight w:val="none"/>
        </w:rPr>
      </w:pPr>
    </w:p>
    <w:p w14:paraId="3FDC0EC4">
      <w:pPr>
        <w:pStyle w:val="18"/>
        <w:shd w:val="clear"/>
        <w:ind w:firstLine="480"/>
        <w:rPr>
          <w:rFonts w:ascii="宋体" w:hAnsi="宋体" w:eastAsia="宋体" w:cs="宋体"/>
          <w:sz w:val="24"/>
          <w:highlight w:val="none"/>
        </w:rPr>
      </w:pPr>
    </w:p>
    <w:p w14:paraId="6B96E76B">
      <w:pPr>
        <w:pStyle w:val="18"/>
        <w:shd w:val="clear"/>
        <w:ind w:firstLine="480"/>
        <w:rPr>
          <w:rFonts w:ascii="宋体" w:hAnsi="宋体" w:eastAsia="宋体" w:cs="宋体"/>
          <w:sz w:val="24"/>
          <w:highlight w:val="none"/>
        </w:rPr>
      </w:pPr>
    </w:p>
    <w:p w14:paraId="15FFC6C4">
      <w:pPr>
        <w:pStyle w:val="18"/>
        <w:shd w:val="clear"/>
        <w:ind w:firstLine="480"/>
        <w:rPr>
          <w:rFonts w:ascii="宋体" w:hAnsi="宋体" w:eastAsia="宋体" w:cs="宋体"/>
          <w:sz w:val="24"/>
          <w:highlight w:val="none"/>
        </w:rPr>
      </w:pPr>
    </w:p>
    <w:p w14:paraId="2C976853">
      <w:pPr>
        <w:pStyle w:val="18"/>
        <w:shd w:val="clear"/>
        <w:ind w:firstLine="480"/>
        <w:rPr>
          <w:rFonts w:ascii="宋体" w:hAnsi="宋体" w:eastAsia="宋体" w:cs="宋体"/>
          <w:sz w:val="24"/>
          <w:highlight w:val="none"/>
        </w:rPr>
      </w:pPr>
    </w:p>
    <w:p w14:paraId="3D619210">
      <w:pPr>
        <w:pStyle w:val="18"/>
        <w:shd w:val="clear"/>
        <w:ind w:firstLine="480"/>
        <w:rPr>
          <w:rFonts w:ascii="宋体" w:hAnsi="宋体" w:eastAsia="宋体" w:cs="宋体"/>
          <w:sz w:val="24"/>
          <w:highlight w:val="none"/>
        </w:rPr>
      </w:pPr>
    </w:p>
    <w:p w14:paraId="69BA4C49">
      <w:pPr>
        <w:pStyle w:val="18"/>
        <w:shd w:val="clear"/>
        <w:ind w:firstLine="480"/>
        <w:rPr>
          <w:rFonts w:ascii="宋体" w:hAnsi="宋体" w:eastAsia="宋体" w:cs="宋体"/>
          <w:sz w:val="24"/>
          <w:highlight w:val="none"/>
        </w:rPr>
      </w:pPr>
    </w:p>
    <w:p w14:paraId="3024C996">
      <w:pPr>
        <w:pStyle w:val="4"/>
        <w:bidi w:val="0"/>
      </w:pPr>
      <w:bookmarkStart w:id="153" w:name="_Toc30884"/>
      <w:bookmarkStart w:id="154" w:name="_Toc47"/>
      <w:bookmarkStart w:id="155" w:name="_Toc31701"/>
      <w:r>
        <w:rPr>
          <w:rFonts w:hint="eastAsia"/>
        </w:rPr>
        <w:t>（二）陕西省政府采购供应商拒绝政府采购领域商业贿赂承诺书</w:t>
      </w:r>
      <w:bookmarkEnd w:id="153"/>
      <w:bookmarkEnd w:id="154"/>
    </w:p>
    <w:p w14:paraId="261701D8">
      <w:pPr>
        <w:pStyle w:val="4"/>
        <w:bidi w:val="0"/>
      </w:pPr>
      <w:bookmarkStart w:id="156" w:name="_Toc27943"/>
      <w:bookmarkStart w:id="157" w:name="_Toc6579"/>
      <w:r>
        <w:rPr>
          <w:rFonts w:hint="eastAsia"/>
        </w:rPr>
        <w:t>承诺书I</w:t>
      </w:r>
      <w:bookmarkEnd w:id="155"/>
      <w:bookmarkEnd w:id="156"/>
      <w:bookmarkEnd w:id="157"/>
    </w:p>
    <w:p w14:paraId="1DC15377">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为响应党中央、国务院关于治理政府采购领域商业贿赂行为的号召，我公司在此庄严承诺：</w:t>
      </w:r>
    </w:p>
    <w:p w14:paraId="3F1B16FA">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 xml:space="preserve">  1、在参与政府采购活动中遵纪守法、诚信经营、公平竞标。</w:t>
      </w:r>
    </w:p>
    <w:p w14:paraId="6D816D7A">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 xml:space="preserve">  2、不向政府采购人、采购代理机构和政府采购评审专家进行任何形式的商业贿赂以谋取交易机会。</w:t>
      </w:r>
    </w:p>
    <w:p w14:paraId="1E980151">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 xml:space="preserve">  3、不向政府采购代理机构和采购人提供虚假资质文件或采用虚假应标方式参与政府采购市场竞争并谋取中标、成交。</w:t>
      </w:r>
    </w:p>
    <w:p w14:paraId="0C90A8F8">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 xml:space="preserve">  4、不采取“围标、陪标”等商业欺诈手段获得政府采购定单。</w:t>
      </w:r>
    </w:p>
    <w:p w14:paraId="032B802F">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 xml:space="preserve">  5、不采取不正当手段诋毁、排挤其他投标人。</w:t>
      </w:r>
    </w:p>
    <w:p w14:paraId="377D9C1B">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 xml:space="preserve">  6、不在提供商品和服务时“偷梁换柱、以次充好”损害采购人的合法权益。</w:t>
      </w:r>
    </w:p>
    <w:p w14:paraId="5F735475">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 xml:space="preserve">  7、不与采购人、采购代理机构政府采购评审专家或其它投标人恶意串通，进行质疑和投诉，维护政府采购市场秩序。</w:t>
      </w:r>
    </w:p>
    <w:p w14:paraId="7B9835DB">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 xml:space="preserve">  8、尊重和接受政府采购监督管理部门的监督和政府采购代理机构招标采购要求，承担因违约行为给采购人造成的损失。</w:t>
      </w:r>
    </w:p>
    <w:p w14:paraId="0C6C7179">
      <w:pPr>
        <w:widowControl/>
        <w:shd w:val="clear"/>
        <w:spacing w:line="408" w:lineRule="auto"/>
        <w:ind w:left="237" w:leftChars="113" w:firstLine="470" w:firstLineChars="196"/>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 xml:space="preserve">  9、不发生其他有悖于政府采购公开、公平、公正和诚信原则的行为。</w:t>
      </w:r>
    </w:p>
    <w:p w14:paraId="0AEE17AC">
      <w:pPr>
        <w:shd w:val="clear"/>
        <w:bidi w:val="0"/>
        <w:rPr>
          <w:highlight w:val="none"/>
        </w:rPr>
      </w:pPr>
    </w:p>
    <w:p w14:paraId="0C8ADE45">
      <w:pPr>
        <w:widowControl/>
        <w:shd w:val="clear"/>
        <w:spacing w:line="408" w:lineRule="auto"/>
        <w:ind w:left="237" w:leftChars="113"/>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承诺单位：</w:t>
      </w:r>
      <w:r>
        <w:rPr>
          <w:rFonts w:hint="eastAsia" w:ascii="宋体" w:hAnsi="宋体" w:eastAsia="宋体" w:cs="宋体"/>
          <w:kern w:val="0"/>
          <w:sz w:val="24"/>
          <w:szCs w:val="20"/>
          <w:highlight w:val="none"/>
          <w:u w:val="single"/>
          <w:lang w:bidi="ar"/>
        </w:rPr>
        <w:t xml:space="preserve">       </w:t>
      </w:r>
      <w:r>
        <w:rPr>
          <w:rFonts w:hint="eastAsia" w:ascii="宋体" w:hAnsi="宋体" w:eastAsia="宋体" w:cs="宋体"/>
          <w:kern w:val="0"/>
          <w:sz w:val="24"/>
          <w:szCs w:val="20"/>
          <w:highlight w:val="none"/>
          <w:lang w:bidi="ar"/>
        </w:rPr>
        <w:t>（盖章）</w:t>
      </w:r>
    </w:p>
    <w:p w14:paraId="53F5FAD5">
      <w:pPr>
        <w:widowControl/>
        <w:shd w:val="clear"/>
        <w:spacing w:line="408" w:lineRule="auto"/>
        <w:ind w:left="237" w:leftChars="113"/>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全权代表：</w:t>
      </w:r>
      <w:r>
        <w:rPr>
          <w:rFonts w:hint="eastAsia" w:ascii="宋体" w:hAnsi="宋体" w:eastAsia="宋体" w:cs="宋体"/>
          <w:kern w:val="0"/>
          <w:sz w:val="24"/>
          <w:szCs w:val="20"/>
          <w:highlight w:val="none"/>
          <w:u w:val="single"/>
          <w:lang w:bidi="ar"/>
        </w:rPr>
        <w:t xml:space="preserve">       </w:t>
      </w:r>
      <w:r>
        <w:rPr>
          <w:rFonts w:hint="eastAsia" w:ascii="宋体" w:hAnsi="宋体" w:eastAsia="宋体" w:cs="宋体"/>
          <w:kern w:val="0"/>
          <w:sz w:val="24"/>
          <w:szCs w:val="20"/>
          <w:highlight w:val="none"/>
          <w:lang w:bidi="ar"/>
        </w:rPr>
        <w:t>（签字）</w:t>
      </w:r>
    </w:p>
    <w:p w14:paraId="5D30C44D">
      <w:pPr>
        <w:widowControl/>
        <w:shd w:val="clear"/>
        <w:spacing w:line="408" w:lineRule="auto"/>
        <w:ind w:left="237" w:leftChars="113"/>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地  址：</w:t>
      </w:r>
    </w:p>
    <w:p w14:paraId="4D25B7BB">
      <w:pPr>
        <w:widowControl/>
        <w:shd w:val="clear"/>
        <w:spacing w:line="408" w:lineRule="auto"/>
        <w:ind w:left="237" w:leftChars="113"/>
        <w:jc w:val="left"/>
        <w:rPr>
          <w:rFonts w:ascii="宋体" w:hAnsi="宋体" w:eastAsia="宋体" w:cs="宋体"/>
          <w:kern w:val="0"/>
          <w:sz w:val="24"/>
          <w:szCs w:val="20"/>
          <w:highlight w:val="none"/>
          <w:lang w:bidi="ar"/>
        </w:rPr>
      </w:pPr>
      <w:r>
        <w:rPr>
          <w:rFonts w:hint="eastAsia" w:ascii="宋体" w:hAnsi="宋体" w:eastAsia="宋体" w:cs="宋体"/>
          <w:kern w:val="0"/>
          <w:sz w:val="24"/>
          <w:szCs w:val="20"/>
          <w:highlight w:val="none"/>
          <w:lang w:bidi="ar"/>
        </w:rPr>
        <w:t>邮  编：</w:t>
      </w:r>
    </w:p>
    <w:p w14:paraId="3B078AC6">
      <w:pPr>
        <w:widowControl/>
        <w:shd w:val="clear"/>
        <w:spacing w:line="408" w:lineRule="auto"/>
        <w:ind w:left="237" w:leftChars="113"/>
        <w:jc w:val="left"/>
        <w:rPr>
          <w:rFonts w:ascii="宋体" w:hAnsi="宋体" w:eastAsia="宋体" w:cs="宋体"/>
          <w:sz w:val="24"/>
          <w:highlight w:val="none"/>
        </w:rPr>
      </w:pPr>
      <w:r>
        <w:rPr>
          <w:rFonts w:hint="eastAsia" w:ascii="宋体" w:hAnsi="宋体" w:eastAsia="宋体" w:cs="宋体"/>
          <w:kern w:val="0"/>
          <w:sz w:val="24"/>
          <w:szCs w:val="20"/>
          <w:highlight w:val="none"/>
          <w:lang w:bidi="ar"/>
        </w:rPr>
        <w:t>电  话：                                                                    年  月  日</w:t>
      </w:r>
    </w:p>
    <w:p w14:paraId="6F7770F0">
      <w:pPr>
        <w:pStyle w:val="4"/>
        <w:shd w:val="clear"/>
        <w:spacing w:before="624"/>
        <w:rPr>
          <w:highlight w:val="none"/>
        </w:rPr>
      </w:pPr>
      <w:bookmarkStart w:id="158" w:name="_Toc14040"/>
      <w:bookmarkStart w:id="159" w:name="_Toc31875"/>
      <w:bookmarkStart w:id="160" w:name="_Toc3361"/>
      <w:r>
        <w:rPr>
          <w:rFonts w:hint="eastAsia"/>
          <w:highlight w:val="none"/>
        </w:rPr>
        <w:t>承诺书Ⅱ</w:t>
      </w:r>
      <w:bookmarkEnd w:id="158"/>
      <w:bookmarkEnd w:id="159"/>
      <w:bookmarkEnd w:id="160"/>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3420"/>
        <w:gridCol w:w="2340"/>
      </w:tblGrid>
      <w:tr w14:paraId="2C9F2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206071DA">
            <w:pPr>
              <w:shd w:val="clear"/>
              <w:spacing w:line="360" w:lineRule="atLeast"/>
              <w:rPr>
                <w:rFonts w:ascii="宋体" w:hAnsi="宋体" w:eastAsia="宋体" w:cs="宋体"/>
                <w:sz w:val="24"/>
                <w:szCs w:val="20"/>
                <w:highlight w:val="none"/>
              </w:rPr>
            </w:pPr>
            <w:r>
              <w:rPr>
                <w:rFonts w:hint="eastAsia" w:ascii="宋体" w:hAnsi="宋体" w:eastAsia="宋体" w:cs="宋体"/>
                <w:sz w:val="24"/>
                <w:szCs w:val="20"/>
                <w:highlight w:val="none"/>
                <w:lang w:bidi="ar"/>
              </w:rPr>
              <w:t>致：陕西中财招标代理有限公司</w:t>
            </w:r>
          </w:p>
        </w:tc>
      </w:tr>
      <w:tr w14:paraId="50F29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07AEE4FB">
            <w:pPr>
              <w:shd w:val="clear"/>
              <w:spacing w:line="360" w:lineRule="atLeast"/>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lang w:bidi="ar"/>
              </w:rPr>
              <w:t>作为参加贵公司组织的招标采购项目的投标单位，本公司承诺：在参加本项目招标之前不存在被依法禁止经营行为、财产被接管或冻结的情况，如有隐瞒实情，愿承担一切责任及后果。</w:t>
            </w:r>
          </w:p>
        </w:tc>
      </w:tr>
      <w:tr w14:paraId="65B03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14:paraId="6AA960BA">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投标单位</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14:paraId="47F04366">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法定代表人/单位负责人</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14:paraId="03AB2957">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日  期</w:t>
            </w:r>
          </w:p>
        </w:tc>
      </w:tr>
      <w:tr w14:paraId="6F11B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14:paraId="0CB747C7">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（公章）</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14:paraId="417734D5">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（签字或盖章）</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14:paraId="0F7FE370">
            <w:pPr>
              <w:shd w:val="clear"/>
              <w:spacing w:line="360" w:lineRule="atLeast"/>
              <w:ind w:firstLine="240" w:firstLineChars="100"/>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年  月  日</w:t>
            </w:r>
          </w:p>
        </w:tc>
      </w:tr>
    </w:tbl>
    <w:p w14:paraId="4FDC2FA1">
      <w:pPr>
        <w:pStyle w:val="4"/>
        <w:shd w:val="clear"/>
        <w:spacing w:before="624"/>
        <w:rPr>
          <w:highlight w:val="none"/>
        </w:rPr>
      </w:pPr>
      <w:bookmarkStart w:id="161" w:name="_Toc16627"/>
      <w:bookmarkStart w:id="162" w:name="_Toc1422"/>
      <w:bookmarkStart w:id="163" w:name="_Toc5515"/>
      <w:bookmarkStart w:id="164" w:name="_Toc28839"/>
      <w:r>
        <w:rPr>
          <w:rFonts w:hint="eastAsia"/>
          <w:highlight w:val="none"/>
        </w:rPr>
        <w:t>承诺书Ⅲ</w:t>
      </w:r>
      <w:bookmarkEnd w:id="161"/>
      <w:bookmarkEnd w:id="162"/>
      <w:bookmarkEnd w:id="163"/>
      <w:bookmarkEnd w:id="164"/>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3420"/>
        <w:gridCol w:w="2340"/>
      </w:tblGrid>
      <w:tr w14:paraId="33ECD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DD94E2D">
            <w:pPr>
              <w:shd w:val="clear"/>
              <w:spacing w:line="360" w:lineRule="atLeast"/>
              <w:rPr>
                <w:rFonts w:ascii="宋体" w:hAnsi="宋体" w:eastAsia="宋体" w:cs="宋体"/>
                <w:sz w:val="24"/>
                <w:szCs w:val="20"/>
                <w:highlight w:val="none"/>
              </w:rPr>
            </w:pPr>
            <w:r>
              <w:rPr>
                <w:rFonts w:hint="eastAsia" w:ascii="宋体" w:hAnsi="宋体" w:eastAsia="宋体" w:cs="宋体"/>
                <w:sz w:val="24"/>
                <w:szCs w:val="20"/>
                <w:highlight w:val="none"/>
                <w:lang w:bidi="ar"/>
              </w:rPr>
              <w:t>致：陕西中财招标代理有限公司</w:t>
            </w:r>
          </w:p>
        </w:tc>
      </w:tr>
      <w:tr w14:paraId="0696D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CF749F3">
            <w:pPr>
              <w:shd w:val="clear"/>
              <w:spacing w:line="360" w:lineRule="atLeast"/>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lang w:bidi="ar"/>
              </w:rPr>
              <w:t>作为参加贵公司组织的招标采购项目的投标单位，本公司郑重申告并承诺：近三年受到有关行政主管部门的行政处理、不良行为记录为</w:t>
            </w:r>
            <w:r>
              <w:rPr>
                <w:rFonts w:hint="eastAsia" w:ascii="宋体" w:hAnsi="宋体" w:eastAsia="宋体" w:cs="宋体"/>
                <w:sz w:val="24"/>
                <w:szCs w:val="20"/>
                <w:highlight w:val="none"/>
                <w:u w:val="single"/>
                <w:lang w:bidi="ar"/>
              </w:rPr>
              <w:t xml:space="preserve">    </w:t>
            </w:r>
            <w:r>
              <w:rPr>
                <w:rFonts w:hint="eastAsia" w:ascii="宋体" w:hAnsi="宋体" w:eastAsia="宋体" w:cs="宋体"/>
                <w:sz w:val="24"/>
                <w:szCs w:val="20"/>
                <w:highlight w:val="none"/>
                <w:lang w:bidi="ar"/>
              </w:rPr>
              <w:t>次（没有填零），如有隐瞒实情，愿承担一切责任及后果。</w:t>
            </w:r>
          </w:p>
        </w:tc>
      </w:tr>
      <w:tr w14:paraId="0FC23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14:paraId="6F0AD39B">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投标单位</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14:paraId="3A79502D">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法定代表人/单位负责人</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14:paraId="72F777D8">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日  期</w:t>
            </w:r>
          </w:p>
        </w:tc>
      </w:tr>
      <w:tr w14:paraId="2B48D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14:paraId="72A31528">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（公章）</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14:paraId="1B9C6E3E">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（签字或盖章）</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14:paraId="7017BEFF">
            <w:pPr>
              <w:shd w:val="clear"/>
              <w:spacing w:line="360" w:lineRule="atLeast"/>
              <w:ind w:firstLine="240" w:firstLineChars="100"/>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年  月  日</w:t>
            </w:r>
          </w:p>
        </w:tc>
      </w:tr>
    </w:tbl>
    <w:p w14:paraId="5A0089A0">
      <w:pPr>
        <w:shd w:val="clear"/>
        <w:rPr>
          <w:highlight w:val="none"/>
        </w:rPr>
      </w:pPr>
    </w:p>
    <w:p w14:paraId="0E10F794">
      <w:pPr>
        <w:shd w:val="clear"/>
        <w:rPr>
          <w:highlight w:val="none"/>
        </w:rPr>
      </w:pPr>
    </w:p>
    <w:p w14:paraId="574E8463">
      <w:pPr>
        <w:shd w:val="clear"/>
        <w:rPr>
          <w:highlight w:val="none"/>
        </w:rPr>
      </w:pPr>
    </w:p>
    <w:p w14:paraId="3E8E6EA3">
      <w:pPr>
        <w:shd w:val="clear"/>
        <w:rPr>
          <w:highlight w:val="none"/>
        </w:rPr>
      </w:pPr>
    </w:p>
    <w:p w14:paraId="3EB43E90">
      <w:pPr>
        <w:pStyle w:val="4"/>
        <w:shd w:val="clear"/>
        <w:spacing w:before="624"/>
        <w:rPr>
          <w:highlight w:val="none"/>
        </w:rPr>
      </w:pPr>
      <w:bookmarkStart w:id="165" w:name="_Toc25735"/>
      <w:bookmarkStart w:id="166" w:name="_Toc1368"/>
      <w:bookmarkStart w:id="167" w:name="_Toc17178"/>
      <w:bookmarkStart w:id="168" w:name="_Toc21519"/>
      <w:r>
        <w:rPr>
          <w:rFonts w:hint="eastAsia"/>
          <w:highlight w:val="none"/>
        </w:rPr>
        <w:t>承诺书Ⅳ</w:t>
      </w:r>
      <w:bookmarkEnd w:id="165"/>
      <w:bookmarkEnd w:id="166"/>
      <w:bookmarkEnd w:id="167"/>
    </w:p>
    <w:bookmarkEnd w:id="168"/>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3420"/>
        <w:gridCol w:w="2340"/>
      </w:tblGrid>
      <w:tr w14:paraId="7B07C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21B4F91E">
            <w:pPr>
              <w:shd w:val="clear"/>
              <w:spacing w:line="360" w:lineRule="atLeast"/>
              <w:rPr>
                <w:rFonts w:ascii="宋体" w:hAnsi="宋体" w:eastAsia="宋体" w:cs="宋体"/>
                <w:sz w:val="24"/>
                <w:szCs w:val="20"/>
                <w:highlight w:val="none"/>
              </w:rPr>
            </w:pPr>
            <w:r>
              <w:rPr>
                <w:rFonts w:hint="eastAsia" w:ascii="宋体" w:hAnsi="宋体" w:eastAsia="宋体" w:cs="宋体"/>
                <w:sz w:val="24"/>
                <w:szCs w:val="20"/>
                <w:highlight w:val="none"/>
                <w:lang w:bidi="ar"/>
              </w:rPr>
              <w:t>致：陕西中财招标代理有限公司</w:t>
            </w:r>
          </w:p>
        </w:tc>
      </w:tr>
      <w:tr w14:paraId="42679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324BBF0">
            <w:pPr>
              <w:shd w:val="clear"/>
              <w:spacing w:line="360" w:lineRule="atLeast"/>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lang w:bidi="ar"/>
              </w:rPr>
              <w:t>作为参加贵公司组织的招标采购项目的投标单位，本公司郑重申告：近三年因项目产品质量问题的不法行为记录为</w:t>
            </w:r>
            <w:r>
              <w:rPr>
                <w:rFonts w:hint="eastAsia" w:ascii="宋体" w:hAnsi="宋体" w:eastAsia="宋体" w:cs="宋体"/>
                <w:sz w:val="24"/>
                <w:szCs w:val="20"/>
                <w:highlight w:val="none"/>
                <w:u w:val="single"/>
                <w:lang w:bidi="ar"/>
              </w:rPr>
              <w:t xml:space="preserve">   </w:t>
            </w:r>
            <w:r>
              <w:rPr>
                <w:rFonts w:hint="eastAsia" w:ascii="宋体" w:hAnsi="宋体" w:eastAsia="宋体" w:cs="宋体"/>
                <w:sz w:val="24"/>
                <w:szCs w:val="20"/>
                <w:highlight w:val="none"/>
                <w:lang w:bidi="ar"/>
              </w:rPr>
              <w:t>次（没有填零），如有隐瞒实情，愿承担一切责任及后果。</w:t>
            </w:r>
          </w:p>
        </w:tc>
      </w:tr>
      <w:tr w14:paraId="3A88A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14:paraId="350D3836">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投标单位</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14:paraId="6F4CAAE4">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法定代表人/单位负责人</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14:paraId="5A6292D7">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日   期</w:t>
            </w:r>
          </w:p>
        </w:tc>
      </w:tr>
      <w:tr w14:paraId="4D366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14:paraId="64A54CA6">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（公章）</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14:paraId="74737BC0">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（签字或盖章）</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14:paraId="28676E4E">
            <w:pPr>
              <w:shd w:val="clear"/>
              <w:spacing w:line="360" w:lineRule="atLeast"/>
              <w:ind w:firstLine="240" w:firstLineChars="100"/>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年  月  日</w:t>
            </w:r>
          </w:p>
        </w:tc>
      </w:tr>
    </w:tbl>
    <w:p w14:paraId="6C968C84">
      <w:pPr>
        <w:pStyle w:val="4"/>
        <w:shd w:val="clear"/>
        <w:spacing w:before="624"/>
        <w:rPr>
          <w:highlight w:val="none"/>
        </w:rPr>
      </w:pPr>
      <w:bookmarkStart w:id="169" w:name="_Toc21148"/>
      <w:bookmarkStart w:id="170" w:name="_Toc13103"/>
      <w:bookmarkStart w:id="171" w:name="_Toc14860"/>
      <w:bookmarkStart w:id="172" w:name="_Toc11995"/>
      <w:r>
        <w:rPr>
          <w:rFonts w:hint="eastAsia"/>
          <w:highlight w:val="none"/>
        </w:rPr>
        <w:t>承诺书</w:t>
      </w:r>
      <w:r>
        <w:rPr>
          <w:highlight w:val="none"/>
        </w:rPr>
        <w:fldChar w:fldCharType="begin"/>
      </w:r>
      <w:r>
        <w:rPr>
          <w:highlight w:val="none"/>
        </w:rPr>
        <w:instrText xml:space="preserve"> = 5 \* ROMAN </w:instrText>
      </w:r>
      <w:r>
        <w:rPr>
          <w:highlight w:val="none"/>
        </w:rPr>
        <w:fldChar w:fldCharType="separate"/>
      </w:r>
      <w:r>
        <w:rPr>
          <w:highlight w:val="none"/>
        </w:rPr>
        <w:t>V</w:t>
      </w:r>
      <w:r>
        <w:rPr>
          <w:highlight w:val="none"/>
        </w:rPr>
        <w:fldChar w:fldCharType="end"/>
      </w:r>
      <w:bookmarkEnd w:id="169"/>
      <w:bookmarkEnd w:id="170"/>
      <w:bookmarkEnd w:id="171"/>
    </w:p>
    <w:bookmarkEnd w:id="172"/>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3420"/>
        <w:gridCol w:w="2340"/>
      </w:tblGrid>
      <w:tr w14:paraId="79143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3559D1A">
            <w:pPr>
              <w:shd w:val="clear"/>
              <w:spacing w:line="360" w:lineRule="atLeast"/>
              <w:rPr>
                <w:rFonts w:ascii="宋体" w:hAnsi="宋体" w:eastAsia="宋体" w:cs="宋体"/>
                <w:sz w:val="24"/>
                <w:szCs w:val="20"/>
                <w:highlight w:val="none"/>
              </w:rPr>
            </w:pPr>
            <w:r>
              <w:rPr>
                <w:rFonts w:hint="eastAsia" w:ascii="宋体" w:hAnsi="宋体" w:eastAsia="宋体" w:cs="宋体"/>
                <w:sz w:val="24"/>
                <w:szCs w:val="20"/>
                <w:highlight w:val="none"/>
                <w:lang w:bidi="ar"/>
              </w:rPr>
              <w:t>致：陕西中财招标代理有限公司</w:t>
            </w:r>
          </w:p>
        </w:tc>
      </w:tr>
      <w:tr w14:paraId="5A671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00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FAF00E6">
            <w:pPr>
              <w:shd w:val="clear"/>
              <w:spacing w:line="360" w:lineRule="atLeast"/>
              <w:ind w:firstLine="480" w:firstLineChars="200"/>
              <w:rPr>
                <w:rFonts w:ascii="宋体" w:hAnsi="宋体" w:eastAsia="宋体" w:cs="宋体"/>
                <w:sz w:val="24"/>
                <w:szCs w:val="20"/>
                <w:highlight w:val="none"/>
              </w:rPr>
            </w:pPr>
            <w:r>
              <w:rPr>
                <w:rFonts w:hint="eastAsia" w:ascii="宋体" w:hAnsi="宋体" w:eastAsia="宋体" w:cs="宋体"/>
                <w:sz w:val="24"/>
                <w:szCs w:val="20"/>
                <w:highlight w:val="none"/>
                <w:lang w:bidi="ar"/>
              </w:rPr>
              <w:t>作为参加贵公司组织的招标采购项目的投标单位，本公司承诺：参加本次投标递交的所有资质证明文件是真实的、有效的，如有隐瞒实情，愿承担一切责任及后果。</w:t>
            </w:r>
          </w:p>
        </w:tc>
      </w:tr>
      <w:tr w14:paraId="4F65C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14:paraId="3C14CB49">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投标单位</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14:paraId="5B71CBC2">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法定代表人/单位负责人</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14:paraId="4FB23C08">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日   期</w:t>
            </w:r>
          </w:p>
        </w:tc>
      </w:tr>
      <w:tr w14:paraId="72132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240" w:type="dxa"/>
            <w:tcBorders>
              <w:top w:val="single" w:color="auto" w:sz="4" w:space="0"/>
              <w:left w:val="single" w:color="auto" w:sz="4" w:space="0"/>
              <w:bottom w:val="single" w:color="auto" w:sz="4" w:space="0"/>
              <w:right w:val="single" w:color="auto" w:sz="4" w:space="0"/>
            </w:tcBorders>
            <w:shd w:val="clear" w:color="auto" w:fill="auto"/>
            <w:vAlign w:val="center"/>
          </w:tcPr>
          <w:p w14:paraId="056C3C71">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（公章）</w:t>
            </w:r>
          </w:p>
        </w:tc>
        <w:tc>
          <w:tcPr>
            <w:tcW w:w="3420" w:type="dxa"/>
            <w:tcBorders>
              <w:top w:val="single" w:color="auto" w:sz="4" w:space="0"/>
              <w:left w:val="single" w:color="auto" w:sz="4" w:space="0"/>
              <w:bottom w:val="single" w:color="auto" w:sz="4" w:space="0"/>
              <w:right w:val="single" w:color="auto" w:sz="4" w:space="0"/>
            </w:tcBorders>
            <w:shd w:val="clear" w:color="auto" w:fill="auto"/>
            <w:vAlign w:val="center"/>
          </w:tcPr>
          <w:p w14:paraId="0C5367E4">
            <w:pPr>
              <w:shd w:val="clear"/>
              <w:spacing w:line="360" w:lineRule="atLeast"/>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（签字或盖章）</w:t>
            </w:r>
          </w:p>
        </w:tc>
        <w:tc>
          <w:tcPr>
            <w:tcW w:w="2340" w:type="dxa"/>
            <w:tcBorders>
              <w:top w:val="single" w:color="auto" w:sz="4" w:space="0"/>
              <w:left w:val="single" w:color="auto" w:sz="4" w:space="0"/>
              <w:bottom w:val="single" w:color="auto" w:sz="4" w:space="0"/>
              <w:right w:val="single" w:color="auto" w:sz="4" w:space="0"/>
            </w:tcBorders>
            <w:shd w:val="clear" w:color="auto" w:fill="auto"/>
            <w:vAlign w:val="center"/>
          </w:tcPr>
          <w:p w14:paraId="3EDB077D">
            <w:pPr>
              <w:shd w:val="clear"/>
              <w:spacing w:line="360" w:lineRule="atLeast"/>
              <w:ind w:firstLine="240" w:firstLineChars="100"/>
              <w:jc w:val="center"/>
              <w:rPr>
                <w:rFonts w:ascii="宋体" w:hAnsi="宋体" w:eastAsia="宋体" w:cs="宋体"/>
                <w:sz w:val="24"/>
                <w:szCs w:val="20"/>
                <w:highlight w:val="none"/>
              </w:rPr>
            </w:pPr>
            <w:r>
              <w:rPr>
                <w:rFonts w:hint="eastAsia" w:ascii="宋体" w:hAnsi="宋体" w:eastAsia="宋体" w:cs="宋体"/>
                <w:sz w:val="24"/>
                <w:szCs w:val="20"/>
                <w:highlight w:val="none"/>
                <w:lang w:bidi="ar"/>
              </w:rPr>
              <w:t>年  月  日</w:t>
            </w:r>
          </w:p>
        </w:tc>
      </w:tr>
    </w:tbl>
    <w:p w14:paraId="581192A2">
      <w:pPr>
        <w:shd w:val="clear"/>
        <w:spacing w:line="360" w:lineRule="auto"/>
        <w:jc w:val="center"/>
        <w:rPr>
          <w:rFonts w:ascii="宋体" w:hAnsi="宋体" w:eastAsia="宋体" w:cs="宋体"/>
          <w:b/>
          <w:bCs/>
          <w:sz w:val="28"/>
          <w:szCs w:val="28"/>
          <w:highlight w:val="none"/>
        </w:rPr>
      </w:pPr>
    </w:p>
    <w:p w14:paraId="3FA56BC2">
      <w:pPr>
        <w:shd w:val="clear"/>
        <w:spacing w:line="360" w:lineRule="auto"/>
        <w:jc w:val="center"/>
        <w:rPr>
          <w:rFonts w:ascii="宋体" w:hAnsi="宋体" w:eastAsia="宋体" w:cs="宋体"/>
          <w:b/>
          <w:bCs/>
          <w:sz w:val="28"/>
          <w:szCs w:val="28"/>
          <w:highlight w:val="none"/>
        </w:rPr>
      </w:pPr>
    </w:p>
    <w:p w14:paraId="359100D9">
      <w:pPr>
        <w:keepNext w:val="0"/>
        <w:keepLines w:val="0"/>
        <w:pageBreakBefore w:val="0"/>
        <w:widowControl w:val="0"/>
        <w:shd w:val="clear"/>
        <w:kinsoku/>
        <w:wordWrap/>
        <w:overflowPunct/>
        <w:topLinePunct w:val="0"/>
        <w:autoSpaceDE/>
        <w:autoSpaceDN/>
        <w:bidi w:val="0"/>
        <w:adjustRightInd/>
        <w:snapToGrid/>
        <w:spacing w:line="360" w:lineRule="auto"/>
        <w:jc w:val="center"/>
        <w:textAlignment w:val="auto"/>
        <w:rPr>
          <w:rFonts w:ascii="宋体" w:hAnsi="宋体" w:eastAsia="宋体" w:cs="宋体"/>
          <w:b/>
          <w:bCs/>
          <w:sz w:val="28"/>
          <w:szCs w:val="28"/>
          <w:highlight w:val="none"/>
        </w:rPr>
      </w:pPr>
      <w:r>
        <w:rPr>
          <w:rFonts w:hint="eastAsia" w:ascii="宋体" w:hAnsi="宋体" w:eastAsia="宋体" w:cs="宋体"/>
          <w:b/>
          <w:bCs/>
          <w:sz w:val="28"/>
          <w:szCs w:val="28"/>
          <w:highlight w:val="none"/>
        </w:rPr>
        <w:t>（三）投标人信用承诺书</w:t>
      </w:r>
    </w:p>
    <w:p w14:paraId="468411D4">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sz w:val="24"/>
          <w:highlight w:val="none"/>
          <w:u w:val="single"/>
        </w:rPr>
      </w:pPr>
      <w:r>
        <w:rPr>
          <w:rFonts w:hint="eastAsia" w:ascii="宋体" w:hAnsi="宋体" w:eastAsia="宋体" w:cs="宋体"/>
          <w:sz w:val="24"/>
          <w:highlight w:val="none"/>
        </w:rPr>
        <w:t>投标人：</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 xml:space="preserve">                   </w:t>
      </w:r>
    </w:p>
    <w:p w14:paraId="60700D90">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sz w:val="24"/>
          <w:highlight w:val="none"/>
        </w:rPr>
      </w:pPr>
      <w:r>
        <w:rPr>
          <w:rFonts w:hint="eastAsia" w:ascii="宋体" w:hAnsi="宋体" w:eastAsia="宋体" w:cs="宋体"/>
          <w:sz w:val="24"/>
          <w:highlight w:val="none"/>
        </w:rPr>
        <w:t>统一社会信用代码：</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 xml:space="preserve">法人代表： </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 xml:space="preserve">     </w:t>
      </w:r>
    </w:p>
    <w:p w14:paraId="1232DBE5">
      <w:pPr>
        <w:keepNext w:val="0"/>
        <w:keepLines w:val="0"/>
        <w:pageBreakBefore w:val="0"/>
        <w:widowControl w:val="0"/>
        <w:shd w:val="clear"/>
        <w:kinsoku/>
        <w:wordWrap/>
        <w:overflowPunct/>
        <w:topLinePunct w:val="0"/>
        <w:autoSpaceDE/>
        <w:autoSpaceDN/>
        <w:bidi w:val="0"/>
        <w:adjustRightInd/>
        <w:snapToGrid/>
        <w:spacing w:line="360" w:lineRule="auto"/>
        <w:textAlignment w:val="auto"/>
        <w:rPr>
          <w:rFonts w:ascii="宋体" w:hAnsi="宋体" w:eastAsia="宋体" w:cs="宋体"/>
          <w:sz w:val="24"/>
          <w:highlight w:val="none"/>
        </w:rPr>
      </w:pPr>
      <w:r>
        <w:rPr>
          <w:rFonts w:hint="eastAsia" w:ascii="宋体" w:hAnsi="宋体" w:eastAsia="宋体" w:cs="宋体"/>
          <w:sz w:val="24"/>
          <w:highlight w:val="none"/>
        </w:rPr>
        <w:t>承诺有效期限：</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年</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月</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日 至</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年</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月</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日（自递交投标文件截止之日起1年）。</w:t>
      </w:r>
    </w:p>
    <w:p w14:paraId="735D6C45">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在</w:t>
      </w:r>
      <w:r>
        <w:rPr>
          <w:rFonts w:hint="eastAsia" w:ascii="宋体" w:hAnsi="宋体" w:eastAsia="宋体" w:cs="宋体"/>
          <w:sz w:val="24"/>
          <w:highlight w:val="none"/>
          <w:u w:val="single"/>
        </w:rPr>
        <w:t xml:space="preserve">    </w:t>
      </w:r>
      <w:r>
        <w:rPr>
          <w:rFonts w:hint="eastAsia" w:ascii="宋体" w:hAnsi="宋体" w:eastAsia="宋体" w:cs="宋体"/>
          <w:sz w:val="24"/>
          <w:highlight w:val="none"/>
          <w:u w:val="single"/>
          <w:lang w:eastAsia="zh-CN"/>
        </w:rPr>
        <w:t>（</w:t>
      </w:r>
      <w:r>
        <w:rPr>
          <w:rFonts w:hint="eastAsia" w:ascii="宋体" w:hAnsi="宋体" w:eastAsia="宋体" w:cs="宋体"/>
          <w:sz w:val="24"/>
          <w:highlight w:val="none"/>
          <w:u w:val="single"/>
          <w:lang w:val="en-US" w:eastAsia="zh-CN"/>
        </w:rPr>
        <w:t>项目名称</w:t>
      </w:r>
      <w:r>
        <w:rPr>
          <w:rFonts w:hint="eastAsia" w:ascii="宋体" w:hAnsi="宋体" w:eastAsia="宋体" w:cs="宋体"/>
          <w:sz w:val="24"/>
          <w:highlight w:val="none"/>
          <w:u w:val="single"/>
          <w:lang w:eastAsia="zh-CN"/>
        </w:rPr>
        <w:t>）</w:t>
      </w:r>
      <w:r>
        <w:rPr>
          <w:rFonts w:hint="eastAsia" w:ascii="宋体" w:hAnsi="宋体" w:eastAsia="宋体" w:cs="宋体"/>
          <w:sz w:val="24"/>
          <w:highlight w:val="none"/>
          <w:u w:val="single"/>
          <w:lang w:val="en-US" w:eastAsia="zh-CN"/>
        </w:rPr>
        <w:t xml:space="preserve">  </w:t>
      </w:r>
      <w:r>
        <w:rPr>
          <w:rFonts w:hint="eastAsia" w:ascii="宋体" w:hAnsi="宋体" w:eastAsia="宋体" w:cs="宋体"/>
          <w:sz w:val="24"/>
          <w:highlight w:val="none"/>
        </w:rPr>
        <w:t>招投标活动中，我公司（单位）郑重作出以下信用承诺：</w:t>
      </w:r>
    </w:p>
    <w:p w14:paraId="5AF50AB5">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一）能严格遵守法律法规、职业道德和行业规范，具有独立承担民事责任的能力；符合依法依规应当具备的相关资质（资格）条件；具有独立承担中标项目的履约能力；具有良好的商业信誉和健全的财务会计制度；有依法缴纳税收和社会保障资金的良好记录；无法律法规规定禁止开展从业活动情形。所递交文件资料合法、真实、准确、完整、有效。</w:t>
      </w:r>
    </w:p>
    <w:p w14:paraId="525A1518">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（二）不得有以下违法违规行为：1. 围标串标；以他人名义或者其他方式弄虚作假投标；出让出租资格、资质证书供他人投标；恶意竞标、强揽工程；以暴力、威胁、利诱等手段阻止或者控制其他潜在投标人参与招投标活动。2. 向招投标监督部门、交易中心、招标人、招标代理机构、评审委员会及其成员等当事主体赠送财物。3. 投标截止后至中标人确定前，修改或者撤销投标文件。4. 在被确定为中标人后无正当理由：不按照招标文件和投标文件与招标人签订合同；在签订合同时向招标人提出附加条件、或者改变投标文件的实质性内容；放弃中标；不按照招标文件的规定提交履约保证金。5. 招投标法规定的其它违法违规行为。</w:t>
      </w:r>
    </w:p>
    <w:p w14:paraId="2B3782B3">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（三）自愿接受招投标监督部门和有关行政监督部门的依法检查。</w:t>
      </w:r>
    </w:p>
    <w:p w14:paraId="182970A0">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（四）同意将此信用承诺纳入陕西省公共信用信息平台和榆林市公共信用信息共享平台，并上网公示，接受社会监督。</w:t>
      </w:r>
    </w:p>
    <w:p w14:paraId="5DB7826E">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（五）若我公司（单位）及相关参与人员违背以上承诺事项，即被视为失信企（法人）， 依据《关于对公共资源交易领域严重失信主体开展联合惩戒的备忘录》 (发改法规［2018] 457号）， 自愿接受失信联合惩戒和依法给予的行政处罚（处理）， 并依法承担赔偿责任和刑事责任。</w:t>
      </w:r>
    </w:p>
    <w:p w14:paraId="6FC32574">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Fonts w:ascii="宋体" w:hAnsi="宋体" w:eastAsia="宋体" w:cs="宋体"/>
          <w:sz w:val="24"/>
          <w:highlight w:val="none"/>
        </w:rPr>
      </w:pPr>
      <w:r>
        <w:rPr>
          <w:rFonts w:hint="eastAsia" w:ascii="宋体" w:hAnsi="宋体" w:eastAsia="宋体" w:cs="宋体"/>
          <w:sz w:val="24"/>
          <w:highlight w:val="none"/>
        </w:rPr>
        <w:t>法定代表人（签章）：  投标人（盖章）：承诺时间：</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年</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月</w:t>
      </w:r>
      <w:r>
        <w:rPr>
          <w:rFonts w:hint="eastAsia" w:ascii="宋体" w:hAnsi="宋体" w:eastAsia="宋体" w:cs="宋体"/>
          <w:sz w:val="24"/>
          <w:highlight w:val="none"/>
          <w:u w:val="single"/>
        </w:rPr>
        <w:t xml:space="preserve">  </w:t>
      </w:r>
      <w:r>
        <w:rPr>
          <w:rFonts w:hint="eastAsia" w:ascii="宋体" w:hAnsi="宋体" w:eastAsia="宋体" w:cs="宋体"/>
          <w:sz w:val="24"/>
          <w:highlight w:val="none"/>
          <w:u w:val="single"/>
          <w:lang w:val="en-US" w:eastAsia="zh-CN"/>
        </w:rPr>
        <w:t xml:space="preserve"> </w:t>
      </w:r>
      <w:r>
        <w:rPr>
          <w:rFonts w:hint="eastAsia" w:ascii="宋体" w:hAnsi="宋体" w:eastAsia="宋体" w:cs="宋体"/>
          <w:sz w:val="24"/>
          <w:highlight w:val="none"/>
        </w:rPr>
        <w:t>日</w:t>
      </w:r>
    </w:p>
    <w:p w14:paraId="2E95D0FF">
      <w:pPr>
        <w:keepNext w:val="0"/>
        <w:keepLines w:val="0"/>
        <w:pageBreakBefore w:val="0"/>
        <w:widowControl w:val="0"/>
        <w:shd w:val="clear"/>
        <w:kinsoku/>
        <w:wordWrap/>
        <w:overflowPunct/>
        <w:topLinePunct w:val="0"/>
        <w:autoSpaceDE/>
        <w:autoSpaceDN/>
        <w:bidi w:val="0"/>
        <w:adjustRightInd/>
        <w:snapToGrid/>
        <w:spacing w:line="360" w:lineRule="auto"/>
        <w:ind w:firstLine="480" w:firstLineChars="200"/>
        <w:textAlignment w:val="auto"/>
        <w:rPr>
          <w:rStyle w:val="52"/>
          <w:sz w:val="24"/>
          <w:szCs w:val="24"/>
          <w:highlight w:val="none"/>
        </w:rPr>
      </w:pPr>
      <w:r>
        <w:rPr>
          <w:rFonts w:hint="eastAsia" w:ascii="宋体" w:hAnsi="宋体" w:eastAsia="宋体" w:cs="宋体"/>
          <w:sz w:val="24"/>
          <w:highlight w:val="none"/>
        </w:rPr>
        <w:t>供应商参与投标截止时间前时需在信用中国（陕西榆林）”网站进行注册、登陆，自主上报信用承诺书（网址：</w:t>
      </w:r>
      <w:r>
        <w:rPr>
          <w:highlight w:val="none"/>
        </w:rPr>
        <w:fldChar w:fldCharType="begin"/>
      </w:r>
      <w:r>
        <w:rPr>
          <w:highlight w:val="none"/>
        </w:rPr>
        <w:instrText xml:space="preserve"> HYPERLINK "https://credit.yl.gov.cn/）。" </w:instrText>
      </w:r>
      <w:r>
        <w:rPr>
          <w:highlight w:val="none"/>
        </w:rPr>
        <w:fldChar w:fldCharType="separate"/>
      </w:r>
      <w:r>
        <w:rPr>
          <w:rStyle w:val="52"/>
          <w:sz w:val="24"/>
          <w:szCs w:val="24"/>
          <w:highlight w:val="none"/>
        </w:rPr>
        <w:t>https://credit.yl.gov.cn/）。</w:t>
      </w:r>
      <w:r>
        <w:rPr>
          <w:rStyle w:val="52"/>
          <w:sz w:val="24"/>
          <w:szCs w:val="24"/>
          <w:highlight w:val="none"/>
        </w:rPr>
        <w:fldChar w:fldCharType="end"/>
      </w:r>
    </w:p>
    <w:p w14:paraId="2A7C74DD">
      <w:pPr>
        <w:shd w:val="clear"/>
        <w:ind w:firstLine="562" w:firstLineChars="200"/>
        <w:jc w:val="center"/>
        <w:rPr>
          <w:rFonts w:hint="default" w:ascii="宋体" w:hAnsi="宋体" w:eastAsia="宋体" w:cs="宋体"/>
          <w:b/>
          <w:bCs/>
          <w:sz w:val="28"/>
          <w:szCs w:val="28"/>
          <w:highlight w:val="none"/>
          <w:lang w:val="en-US" w:eastAsia="zh-CN"/>
        </w:rPr>
        <w:sectPr>
          <w:pgSz w:w="11906" w:h="16838"/>
          <w:pgMar w:top="1440" w:right="1800" w:bottom="1440" w:left="1800" w:header="1135" w:footer="1135" w:gutter="0"/>
          <w:pgNumType w:fmt="decimal"/>
          <w:cols w:space="425" w:num="1"/>
          <w:docGrid w:type="lines" w:linePitch="312" w:charSpace="0"/>
        </w:sectPr>
      </w:pPr>
      <w:r>
        <w:rPr>
          <w:rFonts w:hint="eastAsia" w:ascii="宋体" w:hAnsi="宋体" w:eastAsia="宋体" w:cs="宋体"/>
          <w:b/>
          <w:bCs/>
          <w:sz w:val="28"/>
          <w:szCs w:val="28"/>
          <w:highlight w:val="none"/>
          <w:lang w:val="en-US" w:eastAsia="zh-CN"/>
        </w:rPr>
        <w:t>后附信用承诺上报截图</w:t>
      </w:r>
    </w:p>
    <w:p w14:paraId="4920DF0F">
      <w:pPr>
        <w:shd w:val="clear"/>
        <w:ind w:firstLine="562" w:firstLineChars="200"/>
        <w:jc w:val="center"/>
        <w:rPr>
          <w:rFonts w:ascii="宋体" w:hAnsi="宋体" w:eastAsia="宋体" w:cs="宋体"/>
          <w:sz w:val="24"/>
          <w:highlight w:val="none"/>
        </w:rPr>
      </w:pPr>
      <w:r>
        <w:rPr>
          <w:rFonts w:hint="eastAsia" w:ascii="宋体" w:hAnsi="宋体" w:eastAsia="宋体" w:cs="宋体"/>
          <w:b/>
          <w:bCs/>
          <w:sz w:val="28"/>
          <w:szCs w:val="28"/>
          <w:highlight w:val="none"/>
        </w:rPr>
        <w:t>（四）投标人</w:t>
      </w:r>
      <w:r>
        <w:rPr>
          <w:rFonts w:hint="eastAsia" w:ascii="宋体" w:hAnsi="宋体" w:cs="宋体"/>
          <w:b/>
          <w:bCs/>
          <w:sz w:val="28"/>
          <w:szCs w:val="28"/>
          <w:highlight w:val="none"/>
        </w:rPr>
        <w:t>委托代理人员</w:t>
      </w:r>
      <w:r>
        <w:rPr>
          <w:rFonts w:hint="eastAsia" w:ascii="宋体" w:hAnsi="宋体" w:eastAsia="宋体" w:cs="宋体"/>
          <w:b/>
          <w:bCs/>
          <w:sz w:val="28"/>
          <w:szCs w:val="28"/>
          <w:highlight w:val="none"/>
        </w:rPr>
        <w:t>信用承诺书</w:t>
      </w:r>
    </w:p>
    <w:p w14:paraId="32F95CA2">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在</w:t>
      </w:r>
      <w:r>
        <w:rPr>
          <w:rFonts w:hint="eastAsia" w:ascii="宋体" w:hAnsi="宋体" w:eastAsia="宋体" w:cs="宋体"/>
          <w:sz w:val="24"/>
          <w:highlight w:val="none"/>
          <w:u w:val="single"/>
        </w:rPr>
        <w:t xml:space="preserve">    </w:t>
      </w:r>
      <w:r>
        <w:rPr>
          <w:rFonts w:hint="eastAsia" w:ascii="宋体" w:hAnsi="宋体" w:eastAsia="宋体" w:cs="宋体"/>
          <w:sz w:val="24"/>
          <w:highlight w:val="none"/>
          <w:u w:val="single"/>
          <w:lang w:eastAsia="zh-CN"/>
        </w:rPr>
        <w:t>（</w:t>
      </w:r>
      <w:r>
        <w:rPr>
          <w:rFonts w:hint="eastAsia" w:ascii="宋体" w:hAnsi="宋体" w:eastAsia="宋体" w:cs="宋体"/>
          <w:sz w:val="24"/>
          <w:highlight w:val="none"/>
          <w:u w:val="single"/>
          <w:lang w:val="en-US" w:eastAsia="zh-CN"/>
        </w:rPr>
        <w:t>项目名称</w:t>
      </w:r>
      <w:r>
        <w:rPr>
          <w:rFonts w:hint="eastAsia" w:ascii="宋体" w:hAnsi="宋体" w:eastAsia="宋体" w:cs="宋体"/>
          <w:sz w:val="24"/>
          <w:highlight w:val="none"/>
          <w:u w:val="single"/>
          <w:lang w:eastAsia="zh-CN"/>
        </w:rPr>
        <w:t>）</w:t>
      </w:r>
      <w:r>
        <w:rPr>
          <w:rFonts w:hint="eastAsia" w:ascii="宋体" w:hAnsi="宋体" w:eastAsia="宋体" w:cs="宋体"/>
          <w:sz w:val="24"/>
          <w:highlight w:val="none"/>
          <w:u w:val="single"/>
          <w:lang w:val="en-US" w:eastAsia="zh-CN"/>
        </w:rPr>
        <w:t xml:space="preserve"> </w:t>
      </w:r>
      <w:r>
        <w:rPr>
          <w:rFonts w:hint="eastAsia" w:ascii="宋体" w:hAnsi="宋体" w:eastAsia="宋体" w:cs="宋体"/>
          <w:sz w:val="24"/>
          <w:highlight w:val="none"/>
        </w:rPr>
        <w:t>招投标活动中，我公司（单位）郑重作出以下信用承诺：</w:t>
      </w:r>
    </w:p>
    <w:p w14:paraId="3962E560">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一）能严格遵守法律法规、职业道德和行业规范，具有独立承担民事责任的能力；符合依法依规应当具备的相关资质（资格）条件；具有独立承担中标项目的履约能力；具有良好的商业信誉和健全的财务会计制度；有依法缴纳税收和社会保障资金的良好记录；无法律法规规定禁止开展从业活动情形。所递交文件资料合法、真实、准确、完整、有效。</w:t>
      </w:r>
    </w:p>
    <w:p w14:paraId="1C485A82">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（二）不得有以下违法违规行为：1. 围标串标；以他人名义或者其他方式弄虚作假投标；出让出租资格、资质证书供他人投标；恶意竞标、强揽工程；以暴力、威胁、利诱等手段阻止或者控制其他潜在投标人参与招投标活动。2. 向招投标监督部门、交易中心、招标人、招标代理机构、评审委员会及其成员等当事主体赠送财物。3. 投标截止后至中标人确定前，修改或者撤销投标文件。4. 在被确定为中标人后无正当理由：不按照招标文件和投标文件与招标人签订合同；在签订合同时向招标人提出附加条件、或者改变投标文件的实质性内容；放弃中标；不按照招标文件的规定提交履约保证金。5. 招投标法规定的其它违法违规行为。</w:t>
      </w:r>
    </w:p>
    <w:p w14:paraId="7F757BCE">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（三）自愿接受招投标监督部门和有关行政监督部门的依法检查。</w:t>
      </w:r>
    </w:p>
    <w:p w14:paraId="0919E032">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rPr>
        <w:t>（四）同意将此信用承诺纳入陕西省公共信用信息平台和榆林市公共信用信息共享平台，并上网公示，接受社会监督。</w:t>
      </w:r>
    </w:p>
    <w:p w14:paraId="3E15B680">
      <w:pPr>
        <w:shd w:val="clear"/>
        <w:spacing w:line="360" w:lineRule="auto"/>
        <w:ind w:firstLine="480" w:firstLineChars="200"/>
        <w:rPr>
          <w:highlight w:val="none"/>
        </w:rPr>
      </w:pPr>
      <w:r>
        <w:rPr>
          <w:rFonts w:hint="eastAsia" w:ascii="宋体" w:hAnsi="宋体" w:eastAsia="宋体" w:cs="宋体"/>
          <w:sz w:val="24"/>
          <w:highlight w:val="none"/>
        </w:rPr>
        <w:t>（五）若我公司（单位）及相关参与人员违背以上承诺事项，即被视为失信企（法人）， 依据《关于对公共资源交易领域严重失信主体开展联合惩戒的备忘录》 (发改法规［2018] 457号）， 自愿接受失信联合惩戒和依法给予的行政处罚（处理）， 并依法承担赔偿责任和刑事责任。</w:t>
      </w:r>
      <w:r>
        <w:rPr>
          <w:rFonts w:hint="eastAsia"/>
          <w:highlight w:val="none"/>
        </w:rPr>
        <w:t xml:space="preserve"> </w:t>
      </w:r>
    </w:p>
    <w:p w14:paraId="1FFFB5E6">
      <w:pPr>
        <w:shd w:val="clear"/>
        <w:spacing w:line="360" w:lineRule="auto"/>
        <w:ind w:firstLine="480" w:firstLineChars="200"/>
        <w:rPr>
          <w:rFonts w:ascii="宋体" w:hAnsi="宋体" w:eastAsia="宋体" w:cs="宋体"/>
          <w:sz w:val="24"/>
          <w:highlight w:val="none"/>
        </w:rPr>
      </w:pPr>
      <w:r>
        <w:rPr>
          <w:rFonts w:hint="eastAsia"/>
          <w:sz w:val="24"/>
          <w:highlight w:val="none"/>
        </w:rPr>
        <w:t>承诺有效期限：</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年</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月</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日 至</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年</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月</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日（自递交投标文件截止之日起1年）</w:t>
      </w:r>
      <w:r>
        <w:rPr>
          <w:rFonts w:hint="eastAsia" w:ascii="宋体" w:hAnsi="宋体" w:cs="宋体"/>
          <w:sz w:val="24"/>
          <w:highlight w:val="none"/>
        </w:rPr>
        <w:t>。</w:t>
      </w:r>
    </w:p>
    <w:p w14:paraId="70F426AD">
      <w:pPr>
        <w:pStyle w:val="16"/>
        <w:shd w:val="clear"/>
        <w:spacing w:after="0" w:line="360" w:lineRule="auto"/>
        <w:ind w:firstLine="480" w:firstLineChars="200"/>
        <w:rPr>
          <w:sz w:val="24"/>
          <w:highlight w:val="none"/>
          <w:u w:val="single"/>
        </w:rPr>
      </w:pPr>
      <w:r>
        <w:rPr>
          <w:rFonts w:hint="eastAsia"/>
          <w:bCs/>
          <w:sz w:val="24"/>
          <w:szCs w:val="24"/>
          <w:highlight w:val="none"/>
        </w:rPr>
        <w:t xml:space="preserve">投标人： </w:t>
      </w:r>
      <w:r>
        <w:rPr>
          <w:rFonts w:hint="eastAsia"/>
          <w:bCs/>
          <w:sz w:val="24"/>
          <w:szCs w:val="24"/>
          <w:highlight w:val="none"/>
          <w:u w:val="single"/>
        </w:rPr>
        <w:t xml:space="preserve">              </w:t>
      </w:r>
      <w:r>
        <w:rPr>
          <w:rFonts w:hint="eastAsia"/>
          <w:bCs/>
          <w:sz w:val="24"/>
          <w:szCs w:val="24"/>
          <w:highlight w:val="none"/>
          <w:u w:val="none"/>
        </w:rPr>
        <w:t xml:space="preserve"> </w:t>
      </w:r>
      <w:r>
        <w:rPr>
          <w:rFonts w:hint="eastAsia"/>
          <w:bCs/>
          <w:sz w:val="24"/>
          <w:szCs w:val="24"/>
          <w:highlight w:val="none"/>
          <w:u w:val="none"/>
          <w:lang w:val="en-US" w:eastAsia="zh-CN"/>
        </w:rPr>
        <w:t xml:space="preserve">      </w:t>
      </w:r>
      <w:r>
        <w:rPr>
          <w:rFonts w:hint="eastAsia"/>
          <w:sz w:val="24"/>
          <w:highlight w:val="none"/>
        </w:rPr>
        <w:t>承诺人（签字）：</w:t>
      </w:r>
      <w:r>
        <w:rPr>
          <w:rFonts w:hint="eastAsia"/>
          <w:sz w:val="24"/>
          <w:highlight w:val="none"/>
          <w:u w:val="single"/>
        </w:rPr>
        <w:t xml:space="preserve">                    </w:t>
      </w:r>
    </w:p>
    <w:p w14:paraId="068D9919">
      <w:pPr>
        <w:shd w:val="clear"/>
        <w:spacing w:line="360" w:lineRule="auto"/>
        <w:ind w:firstLine="480" w:firstLineChars="200"/>
        <w:rPr>
          <w:rFonts w:ascii="宋体" w:hAnsi="宋体" w:eastAsia="宋体" w:cs="宋体"/>
          <w:b/>
          <w:bCs/>
          <w:sz w:val="24"/>
          <w:highlight w:val="none"/>
        </w:rPr>
      </w:pPr>
      <w:r>
        <w:rPr>
          <w:rFonts w:hint="eastAsia"/>
          <w:sz w:val="24"/>
          <w:highlight w:val="none"/>
        </w:rPr>
        <w:t>承诺时间：</w:t>
      </w:r>
      <w:r>
        <w:rPr>
          <w:rFonts w:hint="eastAsia" w:ascii="宋体" w:hAnsi="宋体" w:eastAsia="宋体" w:cs="宋体"/>
          <w:sz w:val="24"/>
          <w:highlight w:val="none"/>
          <w:u w:val="single"/>
        </w:rPr>
        <w:t xml:space="preserve">     </w:t>
      </w:r>
      <w:r>
        <w:rPr>
          <w:rFonts w:hint="eastAsia" w:ascii="宋体" w:hAnsi="宋体" w:eastAsia="宋体" w:cs="宋体"/>
          <w:sz w:val="24"/>
          <w:highlight w:val="none"/>
        </w:rPr>
        <w:t>年</w:t>
      </w:r>
      <w:r>
        <w:rPr>
          <w:rFonts w:hint="eastAsia" w:ascii="宋体" w:hAnsi="宋体" w:cs="宋体"/>
          <w:sz w:val="24"/>
          <w:highlight w:val="none"/>
          <w:u w:val="single"/>
        </w:rPr>
        <w:t xml:space="preserve">       </w:t>
      </w:r>
      <w:r>
        <w:rPr>
          <w:rFonts w:hint="eastAsia" w:ascii="宋体" w:hAnsi="宋体" w:eastAsia="宋体" w:cs="宋体"/>
          <w:sz w:val="24"/>
          <w:highlight w:val="none"/>
        </w:rPr>
        <w:t xml:space="preserve">月 </w:t>
      </w:r>
      <w:r>
        <w:rPr>
          <w:rFonts w:hint="eastAsia" w:ascii="宋体" w:hAnsi="宋体" w:cs="宋体"/>
          <w:sz w:val="24"/>
          <w:highlight w:val="none"/>
          <w:u w:val="single"/>
        </w:rPr>
        <w:t xml:space="preserve">    </w:t>
      </w:r>
      <w:r>
        <w:rPr>
          <w:rFonts w:hint="eastAsia" w:ascii="宋体" w:hAnsi="宋体" w:eastAsia="宋体" w:cs="宋体"/>
          <w:sz w:val="24"/>
          <w:highlight w:val="none"/>
        </w:rPr>
        <w:t>日</w:t>
      </w:r>
    </w:p>
    <w:p w14:paraId="160E5FEC">
      <w:pPr>
        <w:shd w:val="clear"/>
        <w:spacing w:line="360" w:lineRule="auto"/>
        <w:ind w:firstLine="480" w:firstLineChars="200"/>
        <w:rPr>
          <w:rFonts w:ascii="Arial" w:hAnsi="Arial" w:eastAsia="宋体" w:cs="宋体"/>
          <w:b/>
          <w:kern w:val="0"/>
          <w:sz w:val="28"/>
          <w:szCs w:val="32"/>
          <w:highlight w:val="none"/>
          <w:lang w:bidi="ar"/>
        </w:rPr>
      </w:pPr>
      <w:r>
        <w:rPr>
          <w:rFonts w:hint="eastAsia" w:ascii="宋体" w:hAnsi="宋体" w:eastAsia="宋体" w:cs="宋体"/>
          <w:sz w:val="24"/>
          <w:highlight w:val="none"/>
          <w:lang w:val="en-US" w:eastAsia="zh-CN"/>
        </w:rPr>
        <w:t>授权代表</w:t>
      </w:r>
      <w:r>
        <w:rPr>
          <w:rFonts w:hint="eastAsia" w:ascii="宋体" w:hAnsi="宋体" w:eastAsia="宋体" w:cs="宋体"/>
          <w:sz w:val="24"/>
          <w:highlight w:val="none"/>
        </w:rPr>
        <w:t>参与投标截止时间前时需在信用中国（陕西榆林）”网站进行注册、登陆，自主上报信用承诺书（网址：</w:t>
      </w:r>
      <w:r>
        <w:rPr>
          <w:highlight w:val="none"/>
        </w:rPr>
        <w:fldChar w:fldCharType="begin"/>
      </w:r>
      <w:r>
        <w:rPr>
          <w:highlight w:val="none"/>
        </w:rPr>
        <w:instrText xml:space="preserve"> HYPERLINK "https://credit.yl.gov.cn/）。" </w:instrText>
      </w:r>
      <w:r>
        <w:rPr>
          <w:highlight w:val="none"/>
        </w:rPr>
        <w:fldChar w:fldCharType="separate"/>
      </w:r>
      <w:r>
        <w:rPr>
          <w:rStyle w:val="52"/>
          <w:sz w:val="24"/>
          <w:szCs w:val="24"/>
          <w:highlight w:val="none"/>
        </w:rPr>
        <w:t>https://credit.yl.gov.cn/）。</w:t>
      </w:r>
      <w:r>
        <w:rPr>
          <w:rStyle w:val="52"/>
          <w:sz w:val="24"/>
          <w:szCs w:val="24"/>
          <w:highlight w:val="none"/>
        </w:rPr>
        <w:fldChar w:fldCharType="end"/>
      </w:r>
      <w:r>
        <w:rPr>
          <w:rFonts w:hint="eastAsia" w:ascii="宋体" w:hAnsi="宋体" w:eastAsia="宋体" w:cs="宋体"/>
          <w:b/>
          <w:bCs/>
          <w:sz w:val="28"/>
          <w:szCs w:val="28"/>
          <w:highlight w:val="none"/>
          <w:lang w:val="en-US" w:eastAsia="zh-CN"/>
        </w:rPr>
        <w:t>后附信用承诺上报截图</w:t>
      </w:r>
      <w:r>
        <w:rPr>
          <w:rFonts w:hint="eastAsia" w:ascii="Arial" w:hAnsi="Arial" w:eastAsia="宋体" w:cs="宋体"/>
          <w:b/>
          <w:kern w:val="0"/>
          <w:sz w:val="28"/>
          <w:szCs w:val="32"/>
          <w:highlight w:val="none"/>
          <w:lang w:bidi="ar"/>
        </w:rPr>
        <w:br w:type="page"/>
      </w:r>
    </w:p>
    <w:bookmarkEnd w:id="136"/>
    <w:bookmarkEnd w:id="137"/>
    <w:p w14:paraId="52DFE700">
      <w:pPr>
        <w:pStyle w:val="3"/>
        <w:shd w:val="clear"/>
        <w:jc w:val="center"/>
        <w:rPr>
          <w:highlight w:val="none"/>
        </w:rPr>
      </w:pPr>
      <w:bookmarkStart w:id="173" w:name="_Toc29173"/>
      <w:bookmarkStart w:id="174" w:name="_Toc24017"/>
      <w:r>
        <w:rPr>
          <w:rFonts w:hint="eastAsia"/>
          <w:highlight w:val="none"/>
          <w:lang w:val="en-US" w:eastAsia="zh-CN"/>
        </w:rPr>
        <w:t>五</w:t>
      </w:r>
      <w:r>
        <w:rPr>
          <w:rFonts w:hint="eastAsia"/>
          <w:highlight w:val="none"/>
        </w:rPr>
        <w:t>、技术规格响应表</w:t>
      </w:r>
      <w:bookmarkEnd w:id="173"/>
      <w:bookmarkEnd w:id="174"/>
    </w:p>
    <w:p w14:paraId="547BACC9">
      <w:pPr>
        <w:shd w:val="clear"/>
        <w:spacing w:after="120"/>
        <w:ind w:firstLine="120" w:firstLineChars="50"/>
        <w:rPr>
          <w:rFonts w:hint="default" w:asciiTheme="minorEastAsia" w:hAnsiTheme="minorEastAsia" w:cstheme="minorEastAsia"/>
          <w:sz w:val="24"/>
          <w:highlight w:val="none"/>
          <w:lang w:val="en-US"/>
        </w:rPr>
      </w:pPr>
      <w:bookmarkStart w:id="175" w:name="_Toc363474031"/>
      <w:bookmarkStart w:id="176" w:name="_Toc7899"/>
      <w:bookmarkStart w:id="177" w:name="_Toc20736"/>
      <w:bookmarkStart w:id="178" w:name="_Toc9211"/>
      <w:r>
        <w:rPr>
          <w:rFonts w:hint="eastAsia" w:asciiTheme="minorEastAsia" w:hAnsiTheme="minorEastAsia" w:cstheme="minorEastAsia"/>
          <w:sz w:val="24"/>
          <w:szCs w:val="20"/>
          <w:highlight w:val="none"/>
          <w:lang w:bidi="ar"/>
        </w:rPr>
        <w:t>采购项目</w:t>
      </w:r>
      <w:r>
        <w:rPr>
          <w:rFonts w:hint="eastAsia" w:asciiTheme="minorEastAsia" w:hAnsiTheme="minorEastAsia" w:cstheme="minorEastAsia"/>
          <w:sz w:val="24"/>
          <w:highlight w:val="none"/>
          <w:lang w:bidi="ar"/>
        </w:rPr>
        <w:t>名称：</w:t>
      </w:r>
      <w:r>
        <w:rPr>
          <w:rFonts w:hint="eastAsia" w:ascii="宋体" w:hAnsi="宋体" w:eastAsia="宋体" w:cs="宋体"/>
          <w:sz w:val="24"/>
          <w:highlight w:val="none"/>
          <w:u w:val="single"/>
          <w:lang w:val="en-US" w:eastAsia="zh-CN"/>
        </w:rPr>
        <w:t xml:space="preserve">                    </w:t>
      </w:r>
    </w:p>
    <w:p w14:paraId="45DC7487">
      <w:pPr>
        <w:shd w:val="clear"/>
        <w:spacing w:after="120"/>
        <w:ind w:firstLine="120" w:firstLineChars="50"/>
        <w:rPr>
          <w:rFonts w:hint="default" w:eastAsiaTheme="minorEastAsia"/>
          <w:highlight w:val="none"/>
          <w:u w:val="single"/>
          <w:lang w:val="en-US" w:eastAsia="zh-CN"/>
        </w:rPr>
      </w:pPr>
      <w:r>
        <w:rPr>
          <w:rFonts w:hint="eastAsia" w:asciiTheme="minorEastAsia" w:hAnsiTheme="minorEastAsia" w:cstheme="minorEastAsia"/>
          <w:sz w:val="24"/>
          <w:highlight w:val="none"/>
          <w:lang w:bidi="ar"/>
        </w:rPr>
        <w:t>采购项目编号：</w:t>
      </w:r>
      <w:r>
        <w:rPr>
          <w:rFonts w:hint="eastAsia" w:asciiTheme="minorEastAsia" w:hAnsiTheme="minorEastAsia" w:cstheme="minorEastAsia"/>
          <w:sz w:val="24"/>
          <w:highlight w:val="none"/>
          <w:u w:val="single"/>
          <w:lang w:val="en-US" w:eastAsia="zh-CN" w:bidi="ar"/>
        </w:rPr>
        <w:t xml:space="preserve">                     </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28"/>
        <w:gridCol w:w="1353"/>
        <w:gridCol w:w="1980"/>
        <w:gridCol w:w="2075"/>
        <w:gridCol w:w="1425"/>
        <w:gridCol w:w="970"/>
      </w:tblGrid>
      <w:tr w14:paraId="2147C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jc w:val="center"/>
        </w:trPr>
        <w:tc>
          <w:tcPr>
            <w:tcW w:w="1228" w:type="dxa"/>
            <w:tcBorders>
              <w:top w:val="single" w:color="auto" w:sz="4" w:space="0"/>
              <w:left w:val="single" w:color="auto" w:sz="4" w:space="0"/>
              <w:bottom w:val="single" w:color="auto" w:sz="4" w:space="0"/>
              <w:right w:val="single" w:color="auto" w:sz="4" w:space="0"/>
            </w:tcBorders>
            <w:shd w:val="clear" w:color="auto" w:fill="auto"/>
            <w:vAlign w:val="center"/>
          </w:tcPr>
          <w:p w14:paraId="34DBDAE0">
            <w:pPr>
              <w:shd w:val="clear"/>
              <w:spacing w:before="156" w:beforeLines="50"/>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序号</w:t>
            </w:r>
          </w:p>
        </w:tc>
        <w:tc>
          <w:tcPr>
            <w:tcW w:w="1353" w:type="dxa"/>
            <w:tcBorders>
              <w:top w:val="single" w:color="auto" w:sz="4" w:space="0"/>
              <w:left w:val="single" w:color="auto" w:sz="4" w:space="0"/>
              <w:bottom w:val="single" w:color="auto" w:sz="4" w:space="0"/>
              <w:right w:val="single" w:color="auto" w:sz="4" w:space="0"/>
            </w:tcBorders>
            <w:shd w:val="clear" w:color="auto" w:fill="auto"/>
            <w:vAlign w:val="center"/>
          </w:tcPr>
          <w:p w14:paraId="3B516B89">
            <w:pPr>
              <w:shd w:val="clear"/>
              <w:spacing w:before="156" w:beforeLines="50"/>
              <w:jc w:val="center"/>
              <w:rPr>
                <w:rFonts w:asciiTheme="minorEastAsia" w:hAnsiTheme="minorEastAsia" w:cstheme="minorEastAsia"/>
                <w:sz w:val="24"/>
                <w:highlight w:val="none"/>
              </w:rPr>
            </w:pPr>
            <w:r>
              <w:rPr>
                <w:rFonts w:hint="eastAsia" w:asciiTheme="minorEastAsia" w:hAnsiTheme="minorEastAsia" w:cstheme="minorEastAsia"/>
                <w:sz w:val="24"/>
                <w:szCs w:val="20"/>
                <w:highlight w:val="none"/>
                <w:lang w:bidi="ar"/>
              </w:rPr>
              <w:t>品目</w:t>
            </w:r>
          </w:p>
        </w:tc>
        <w:tc>
          <w:tcPr>
            <w:tcW w:w="1980" w:type="dxa"/>
            <w:tcBorders>
              <w:top w:val="single" w:color="auto" w:sz="4" w:space="0"/>
              <w:left w:val="single" w:color="auto" w:sz="4" w:space="0"/>
              <w:bottom w:val="single" w:color="auto" w:sz="4" w:space="0"/>
              <w:right w:val="single" w:color="auto" w:sz="4" w:space="0"/>
            </w:tcBorders>
            <w:shd w:val="clear" w:color="auto" w:fill="auto"/>
            <w:vAlign w:val="center"/>
          </w:tcPr>
          <w:p w14:paraId="37089F7B">
            <w:pPr>
              <w:shd w:val="clear"/>
              <w:spacing w:before="156" w:beforeLines="50"/>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招标规格</w:t>
            </w:r>
          </w:p>
        </w:tc>
        <w:tc>
          <w:tcPr>
            <w:tcW w:w="2075" w:type="dxa"/>
            <w:tcBorders>
              <w:top w:val="single" w:color="auto" w:sz="4" w:space="0"/>
              <w:left w:val="single" w:color="auto" w:sz="4" w:space="0"/>
              <w:bottom w:val="single" w:color="auto" w:sz="4" w:space="0"/>
              <w:right w:val="single" w:color="auto" w:sz="4" w:space="0"/>
            </w:tcBorders>
            <w:shd w:val="clear" w:color="auto" w:fill="auto"/>
            <w:vAlign w:val="center"/>
          </w:tcPr>
          <w:p w14:paraId="60E97481">
            <w:pPr>
              <w:shd w:val="clear"/>
              <w:spacing w:before="156" w:beforeLines="50"/>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 xml:space="preserve">投标规格 </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14:paraId="4EE0DF01">
            <w:pPr>
              <w:shd w:val="clear"/>
              <w:spacing w:before="156" w:beforeLines="50"/>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偏离说明</w:t>
            </w:r>
          </w:p>
        </w:tc>
        <w:tc>
          <w:tcPr>
            <w:tcW w:w="970" w:type="dxa"/>
            <w:tcBorders>
              <w:top w:val="single" w:color="auto" w:sz="4" w:space="0"/>
              <w:left w:val="single" w:color="auto" w:sz="4" w:space="0"/>
              <w:bottom w:val="single" w:color="auto" w:sz="4" w:space="0"/>
              <w:right w:val="single" w:color="auto" w:sz="4" w:space="0"/>
            </w:tcBorders>
            <w:shd w:val="clear" w:color="auto" w:fill="auto"/>
            <w:vAlign w:val="center"/>
          </w:tcPr>
          <w:p w14:paraId="251B6DCA">
            <w:pPr>
              <w:shd w:val="clear"/>
              <w:spacing w:before="156" w:beforeLines="50"/>
              <w:jc w:val="center"/>
              <w:rPr>
                <w:rFonts w:asciiTheme="minorEastAsia" w:hAnsiTheme="minorEastAsia" w:cstheme="minorEastAsia"/>
                <w:sz w:val="24"/>
                <w:highlight w:val="none"/>
              </w:rPr>
            </w:pPr>
            <w:r>
              <w:rPr>
                <w:rFonts w:hint="eastAsia" w:asciiTheme="minorEastAsia" w:hAnsiTheme="minorEastAsia" w:cstheme="minorEastAsia"/>
                <w:sz w:val="24"/>
                <w:highlight w:val="none"/>
                <w:lang w:bidi="ar"/>
              </w:rPr>
              <w:t>备注</w:t>
            </w:r>
          </w:p>
        </w:tc>
      </w:tr>
      <w:tr w14:paraId="65CE5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93" w:hRule="atLeast"/>
          <w:jc w:val="center"/>
        </w:trPr>
        <w:tc>
          <w:tcPr>
            <w:tcW w:w="1228" w:type="dxa"/>
            <w:tcBorders>
              <w:top w:val="single" w:color="auto" w:sz="4" w:space="0"/>
              <w:left w:val="single" w:color="auto" w:sz="4" w:space="0"/>
              <w:bottom w:val="single" w:color="auto" w:sz="4" w:space="0"/>
              <w:right w:val="single" w:color="auto" w:sz="4" w:space="0"/>
            </w:tcBorders>
            <w:shd w:val="clear" w:color="auto" w:fill="auto"/>
          </w:tcPr>
          <w:p w14:paraId="05B774AB">
            <w:pPr>
              <w:shd w:val="clear"/>
              <w:rPr>
                <w:rFonts w:asciiTheme="minorEastAsia" w:hAnsiTheme="minorEastAsia" w:cstheme="minorEastAsia"/>
                <w:sz w:val="24"/>
                <w:highlight w:val="none"/>
              </w:rPr>
            </w:pPr>
          </w:p>
        </w:tc>
        <w:tc>
          <w:tcPr>
            <w:tcW w:w="1353" w:type="dxa"/>
            <w:tcBorders>
              <w:top w:val="single" w:color="auto" w:sz="4" w:space="0"/>
              <w:left w:val="single" w:color="auto" w:sz="4" w:space="0"/>
              <w:bottom w:val="single" w:color="auto" w:sz="4" w:space="0"/>
              <w:right w:val="single" w:color="auto" w:sz="4" w:space="0"/>
            </w:tcBorders>
            <w:shd w:val="clear" w:color="auto" w:fill="auto"/>
          </w:tcPr>
          <w:p w14:paraId="6A54137A">
            <w:pPr>
              <w:shd w:val="clear"/>
              <w:rPr>
                <w:rFonts w:asciiTheme="minorEastAsia" w:hAnsiTheme="minorEastAsia" w:cstheme="minorEastAsia"/>
                <w:sz w:val="24"/>
                <w:highlight w:val="none"/>
              </w:rPr>
            </w:pPr>
          </w:p>
        </w:tc>
        <w:tc>
          <w:tcPr>
            <w:tcW w:w="1980" w:type="dxa"/>
            <w:tcBorders>
              <w:top w:val="single" w:color="auto" w:sz="4" w:space="0"/>
              <w:left w:val="single" w:color="auto" w:sz="4" w:space="0"/>
              <w:bottom w:val="single" w:color="auto" w:sz="4" w:space="0"/>
              <w:right w:val="single" w:color="auto" w:sz="4" w:space="0"/>
            </w:tcBorders>
            <w:shd w:val="clear" w:color="auto" w:fill="auto"/>
          </w:tcPr>
          <w:p w14:paraId="49CFFB40">
            <w:pPr>
              <w:shd w:val="clear"/>
              <w:rPr>
                <w:rFonts w:asciiTheme="minorEastAsia" w:hAnsiTheme="minorEastAsia" w:cstheme="minorEastAsia"/>
                <w:sz w:val="24"/>
                <w:highlight w:val="none"/>
              </w:rPr>
            </w:pPr>
          </w:p>
        </w:tc>
        <w:tc>
          <w:tcPr>
            <w:tcW w:w="2075" w:type="dxa"/>
            <w:tcBorders>
              <w:top w:val="single" w:color="auto" w:sz="4" w:space="0"/>
              <w:left w:val="single" w:color="auto" w:sz="4" w:space="0"/>
              <w:bottom w:val="single" w:color="auto" w:sz="4" w:space="0"/>
              <w:right w:val="single" w:color="auto" w:sz="4" w:space="0"/>
            </w:tcBorders>
            <w:shd w:val="clear" w:color="auto" w:fill="auto"/>
          </w:tcPr>
          <w:p w14:paraId="24E89B57">
            <w:pPr>
              <w:shd w:val="clear"/>
              <w:rPr>
                <w:rFonts w:asciiTheme="minorEastAsia" w:hAnsiTheme="minorEastAsia" w:cstheme="minorEastAsia"/>
                <w:sz w:val="24"/>
                <w:highlight w:val="none"/>
              </w:rPr>
            </w:pPr>
          </w:p>
        </w:tc>
        <w:tc>
          <w:tcPr>
            <w:tcW w:w="1425" w:type="dxa"/>
            <w:tcBorders>
              <w:top w:val="single" w:color="auto" w:sz="4" w:space="0"/>
              <w:left w:val="single" w:color="auto" w:sz="4" w:space="0"/>
              <w:bottom w:val="single" w:color="auto" w:sz="4" w:space="0"/>
              <w:right w:val="single" w:color="auto" w:sz="4" w:space="0"/>
            </w:tcBorders>
            <w:shd w:val="clear" w:color="auto" w:fill="auto"/>
          </w:tcPr>
          <w:p w14:paraId="3C99D3CD">
            <w:pPr>
              <w:shd w:val="clear"/>
              <w:rPr>
                <w:rFonts w:asciiTheme="minorEastAsia" w:hAnsiTheme="minorEastAsia" w:cstheme="minorEastAsia"/>
                <w:sz w:val="24"/>
                <w:highlight w:val="none"/>
              </w:rPr>
            </w:pPr>
          </w:p>
        </w:tc>
        <w:tc>
          <w:tcPr>
            <w:tcW w:w="970" w:type="dxa"/>
            <w:tcBorders>
              <w:top w:val="single" w:color="auto" w:sz="4" w:space="0"/>
              <w:left w:val="single" w:color="auto" w:sz="4" w:space="0"/>
              <w:bottom w:val="single" w:color="auto" w:sz="4" w:space="0"/>
              <w:right w:val="single" w:color="auto" w:sz="4" w:space="0"/>
            </w:tcBorders>
            <w:shd w:val="clear" w:color="auto" w:fill="auto"/>
          </w:tcPr>
          <w:p w14:paraId="5580ADFF">
            <w:pPr>
              <w:shd w:val="clear"/>
              <w:rPr>
                <w:rFonts w:asciiTheme="minorEastAsia" w:hAnsiTheme="minorEastAsia" w:cstheme="minorEastAsia"/>
                <w:sz w:val="24"/>
                <w:highlight w:val="none"/>
              </w:rPr>
            </w:pPr>
          </w:p>
        </w:tc>
      </w:tr>
      <w:tr w14:paraId="721D3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68" w:hRule="atLeast"/>
          <w:jc w:val="center"/>
        </w:trPr>
        <w:tc>
          <w:tcPr>
            <w:tcW w:w="1228" w:type="dxa"/>
            <w:tcBorders>
              <w:top w:val="single" w:color="auto" w:sz="4" w:space="0"/>
              <w:left w:val="single" w:color="auto" w:sz="4" w:space="0"/>
              <w:bottom w:val="single" w:color="auto" w:sz="4" w:space="0"/>
              <w:right w:val="single" w:color="auto" w:sz="4" w:space="0"/>
            </w:tcBorders>
            <w:shd w:val="clear" w:color="auto" w:fill="auto"/>
          </w:tcPr>
          <w:p w14:paraId="150DEF51">
            <w:pPr>
              <w:shd w:val="clear"/>
              <w:rPr>
                <w:rFonts w:asciiTheme="minorEastAsia" w:hAnsiTheme="minorEastAsia" w:cstheme="minorEastAsia"/>
                <w:sz w:val="24"/>
                <w:highlight w:val="none"/>
              </w:rPr>
            </w:pPr>
          </w:p>
        </w:tc>
        <w:tc>
          <w:tcPr>
            <w:tcW w:w="1353" w:type="dxa"/>
            <w:tcBorders>
              <w:top w:val="single" w:color="auto" w:sz="4" w:space="0"/>
              <w:left w:val="single" w:color="auto" w:sz="4" w:space="0"/>
              <w:bottom w:val="single" w:color="auto" w:sz="4" w:space="0"/>
              <w:right w:val="single" w:color="auto" w:sz="4" w:space="0"/>
            </w:tcBorders>
            <w:shd w:val="clear" w:color="auto" w:fill="auto"/>
          </w:tcPr>
          <w:p w14:paraId="4843BF00">
            <w:pPr>
              <w:shd w:val="clear"/>
              <w:rPr>
                <w:rFonts w:asciiTheme="minorEastAsia" w:hAnsiTheme="minorEastAsia" w:cstheme="minorEastAsia"/>
                <w:sz w:val="24"/>
                <w:highlight w:val="none"/>
              </w:rPr>
            </w:pPr>
          </w:p>
        </w:tc>
        <w:tc>
          <w:tcPr>
            <w:tcW w:w="1980" w:type="dxa"/>
            <w:tcBorders>
              <w:top w:val="single" w:color="auto" w:sz="4" w:space="0"/>
              <w:left w:val="single" w:color="auto" w:sz="4" w:space="0"/>
              <w:bottom w:val="single" w:color="auto" w:sz="4" w:space="0"/>
              <w:right w:val="single" w:color="auto" w:sz="4" w:space="0"/>
            </w:tcBorders>
            <w:shd w:val="clear" w:color="auto" w:fill="auto"/>
          </w:tcPr>
          <w:p w14:paraId="0C7392D9">
            <w:pPr>
              <w:shd w:val="clear"/>
              <w:rPr>
                <w:rFonts w:asciiTheme="minorEastAsia" w:hAnsiTheme="minorEastAsia" w:cstheme="minorEastAsia"/>
                <w:sz w:val="24"/>
                <w:highlight w:val="none"/>
              </w:rPr>
            </w:pPr>
          </w:p>
        </w:tc>
        <w:tc>
          <w:tcPr>
            <w:tcW w:w="2075" w:type="dxa"/>
            <w:tcBorders>
              <w:top w:val="single" w:color="auto" w:sz="4" w:space="0"/>
              <w:left w:val="single" w:color="auto" w:sz="4" w:space="0"/>
              <w:bottom w:val="single" w:color="auto" w:sz="4" w:space="0"/>
              <w:right w:val="single" w:color="auto" w:sz="4" w:space="0"/>
            </w:tcBorders>
            <w:shd w:val="clear" w:color="auto" w:fill="auto"/>
          </w:tcPr>
          <w:p w14:paraId="39757D5A">
            <w:pPr>
              <w:shd w:val="clear"/>
              <w:rPr>
                <w:rFonts w:asciiTheme="minorEastAsia" w:hAnsiTheme="minorEastAsia" w:cstheme="minorEastAsia"/>
                <w:sz w:val="24"/>
                <w:highlight w:val="none"/>
              </w:rPr>
            </w:pPr>
          </w:p>
        </w:tc>
        <w:tc>
          <w:tcPr>
            <w:tcW w:w="1425" w:type="dxa"/>
            <w:tcBorders>
              <w:top w:val="single" w:color="auto" w:sz="4" w:space="0"/>
              <w:left w:val="single" w:color="auto" w:sz="4" w:space="0"/>
              <w:bottom w:val="single" w:color="auto" w:sz="4" w:space="0"/>
              <w:right w:val="single" w:color="auto" w:sz="4" w:space="0"/>
            </w:tcBorders>
            <w:shd w:val="clear" w:color="auto" w:fill="auto"/>
          </w:tcPr>
          <w:p w14:paraId="2D6D3AAD">
            <w:pPr>
              <w:shd w:val="clear"/>
              <w:rPr>
                <w:rFonts w:asciiTheme="minorEastAsia" w:hAnsiTheme="minorEastAsia" w:cstheme="minorEastAsia"/>
                <w:sz w:val="24"/>
                <w:highlight w:val="none"/>
              </w:rPr>
            </w:pPr>
          </w:p>
        </w:tc>
        <w:tc>
          <w:tcPr>
            <w:tcW w:w="970" w:type="dxa"/>
            <w:tcBorders>
              <w:top w:val="single" w:color="auto" w:sz="4" w:space="0"/>
              <w:left w:val="single" w:color="auto" w:sz="4" w:space="0"/>
              <w:bottom w:val="single" w:color="auto" w:sz="4" w:space="0"/>
              <w:right w:val="single" w:color="auto" w:sz="4" w:space="0"/>
            </w:tcBorders>
            <w:shd w:val="clear" w:color="auto" w:fill="auto"/>
          </w:tcPr>
          <w:p w14:paraId="0F646DC4">
            <w:pPr>
              <w:shd w:val="clear"/>
              <w:rPr>
                <w:rFonts w:asciiTheme="minorEastAsia" w:hAnsiTheme="minorEastAsia" w:cstheme="minorEastAsia"/>
                <w:sz w:val="24"/>
                <w:highlight w:val="none"/>
              </w:rPr>
            </w:pPr>
          </w:p>
        </w:tc>
      </w:tr>
    </w:tbl>
    <w:p w14:paraId="707C8A78">
      <w:pPr>
        <w:shd w:val="clear"/>
        <w:rPr>
          <w:rFonts w:ascii="宋体" w:hAnsi="宋体" w:eastAsia="宋体" w:cs="宋体"/>
          <w:highlight w:val="none"/>
        </w:rPr>
      </w:pPr>
    </w:p>
    <w:p w14:paraId="5AE98ECB">
      <w:pPr>
        <w:shd w:val="clear"/>
        <w:rPr>
          <w:rFonts w:ascii="宋体" w:hAnsi="宋体" w:eastAsia="宋体" w:cs="宋体"/>
          <w:sz w:val="24"/>
          <w:highlight w:val="none"/>
        </w:rPr>
      </w:pPr>
    </w:p>
    <w:p w14:paraId="1224E693">
      <w:pPr>
        <w:shd w:val="clear"/>
        <w:spacing w:line="440" w:lineRule="exact"/>
        <w:rPr>
          <w:rFonts w:ascii="宋体" w:hAnsi="宋体" w:eastAsia="宋体" w:cs="宋体"/>
          <w:i/>
          <w:sz w:val="24"/>
          <w:highlight w:val="none"/>
          <w:u w:val="single"/>
        </w:rPr>
      </w:pPr>
      <w:r>
        <w:rPr>
          <w:rFonts w:hint="eastAsia" w:ascii="宋体" w:hAnsi="宋体" w:eastAsia="宋体" w:cs="宋体"/>
          <w:sz w:val="24"/>
          <w:highlight w:val="none"/>
          <w:lang w:bidi="ar"/>
        </w:rPr>
        <w:t>法定代表人/单位负责人/或被授权人签字：</w:t>
      </w:r>
      <w:r>
        <w:rPr>
          <w:rFonts w:hint="eastAsia" w:ascii="宋体" w:hAnsi="宋体" w:eastAsia="宋体" w:cs="宋体"/>
          <w:sz w:val="24"/>
          <w:highlight w:val="none"/>
          <w:u w:val="single"/>
          <w:lang w:bidi="ar"/>
        </w:rPr>
        <w:t xml:space="preserve">                 </w:t>
      </w:r>
    </w:p>
    <w:p w14:paraId="1C811D82">
      <w:pPr>
        <w:shd w:val="clear"/>
        <w:tabs>
          <w:tab w:val="left" w:pos="3045"/>
        </w:tabs>
        <w:spacing w:line="280" w:lineRule="exact"/>
        <w:rPr>
          <w:rFonts w:ascii="宋体" w:hAnsi="宋体" w:eastAsia="宋体" w:cs="宋体"/>
          <w:sz w:val="24"/>
          <w:highlight w:val="none"/>
        </w:rPr>
      </w:pPr>
    </w:p>
    <w:p w14:paraId="091479CC">
      <w:pPr>
        <w:shd w:val="clear"/>
        <w:spacing w:line="280" w:lineRule="exact"/>
        <w:rPr>
          <w:rFonts w:ascii="宋体" w:hAnsi="宋体" w:eastAsia="宋体" w:cs="宋体"/>
          <w:sz w:val="24"/>
          <w:highlight w:val="none"/>
        </w:rPr>
      </w:pPr>
    </w:p>
    <w:p w14:paraId="56EC60CA">
      <w:pPr>
        <w:shd w:val="clear"/>
        <w:spacing w:line="520" w:lineRule="exact"/>
        <w:rPr>
          <w:rFonts w:ascii="宋体" w:hAnsi="宋体" w:eastAsia="宋体" w:cs="宋体"/>
          <w:sz w:val="24"/>
          <w:highlight w:val="none"/>
          <w:u w:val="single"/>
        </w:rPr>
      </w:pPr>
      <w:r>
        <w:rPr>
          <w:rFonts w:hint="eastAsia" w:ascii="宋体" w:hAnsi="宋体" w:eastAsia="宋体" w:cs="宋体"/>
          <w:sz w:val="24"/>
          <w:highlight w:val="none"/>
          <w:lang w:bidi="ar"/>
        </w:rPr>
        <w:t>投标人名称（公章）：</w:t>
      </w:r>
      <w:r>
        <w:rPr>
          <w:rFonts w:hint="eastAsia" w:ascii="宋体" w:hAnsi="宋体" w:eastAsia="宋体" w:cs="宋体"/>
          <w:sz w:val="24"/>
          <w:highlight w:val="none"/>
          <w:u w:val="single"/>
          <w:lang w:bidi="ar"/>
        </w:rPr>
        <w:t xml:space="preserve">                     </w:t>
      </w:r>
    </w:p>
    <w:p w14:paraId="69257407">
      <w:pPr>
        <w:shd w:val="clear"/>
        <w:spacing w:line="280" w:lineRule="exact"/>
        <w:ind w:firstLine="120" w:firstLineChars="50"/>
        <w:rPr>
          <w:rFonts w:ascii="宋体" w:hAnsi="宋体" w:eastAsia="宋体" w:cs="宋体"/>
          <w:sz w:val="24"/>
          <w:highlight w:val="none"/>
        </w:rPr>
      </w:pPr>
    </w:p>
    <w:p w14:paraId="13C34D8A">
      <w:pPr>
        <w:shd w:val="clear"/>
        <w:rPr>
          <w:rFonts w:ascii="宋体" w:hAnsi="宋体" w:eastAsia="宋体" w:cs="宋体"/>
          <w:sz w:val="24"/>
          <w:highlight w:val="none"/>
        </w:rPr>
      </w:pPr>
    </w:p>
    <w:p w14:paraId="0FA6E454">
      <w:pPr>
        <w:shd w:val="clear"/>
        <w:rPr>
          <w:rFonts w:ascii="宋体" w:hAnsi="宋体" w:eastAsia="宋体" w:cs="宋体"/>
          <w:sz w:val="24"/>
          <w:highlight w:val="none"/>
          <w:u w:val="single"/>
        </w:rPr>
      </w:pPr>
      <w:r>
        <w:rPr>
          <w:rFonts w:hint="eastAsia" w:ascii="宋体" w:hAnsi="宋体" w:eastAsia="宋体" w:cs="宋体"/>
          <w:sz w:val="24"/>
          <w:highlight w:val="none"/>
          <w:lang w:bidi="ar"/>
        </w:rPr>
        <w:t>日      期：</w:t>
      </w:r>
      <w:r>
        <w:rPr>
          <w:rFonts w:hint="eastAsia" w:ascii="宋体" w:hAnsi="宋体" w:eastAsia="宋体" w:cs="宋体"/>
          <w:sz w:val="24"/>
          <w:highlight w:val="none"/>
          <w:u w:val="single"/>
          <w:lang w:bidi="ar"/>
        </w:rPr>
        <w:t xml:space="preserve">                       </w:t>
      </w:r>
    </w:p>
    <w:p w14:paraId="53F0DB5A">
      <w:pPr>
        <w:shd w:val="clear"/>
        <w:rPr>
          <w:rFonts w:ascii="宋体" w:hAnsi="宋体" w:eastAsia="宋体" w:cs="宋体"/>
          <w:sz w:val="24"/>
          <w:highlight w:val="none"/>
        </w:rPr>
      </w:pPr>
    </w:p>
    <w:p w14:paraId="2726FD41">
      <w:pPr>
        <w:pStyle w:val="72"/>
        <w:widowControl/>
        <w:shd w:val="clear"/>
        <w:rPr>
          <w:rFonts w:hint="default" w:hAnsi="宋体"/>
          <w:sz w:val="24"/>
          <w:szCs w:val="24"/>
          <w:highlight w:val="none"/>
        </w:rPr>
      </w:pPr>
      <w:r>
        <w:rPr>
          <w:rFonts w:hAnsi="宋体"/>
          <w:sz w:val="24"/>
          <w:szCs w:val="24"/>
          <w:highlight w:val="none"/>
        </w:rPr>
        <w:t>注:  1.☆1指招标文件中的技术规格(参数),投标人应按照招标文件中的内容逐项响应。</w:t>
      </w:r>
    </w:p>
    <w:p w14:paraId="0D163175">
      <w:pPr>
        <w:pStyle w:val="72"/>
        <w:widowControl/>
        <w:shd w:val="clear"/>
        <w:rPr>
          <w:rFonts w:hint="default" w:hAnsi="宋体"/>
          <w:sz w:val="24"/>
          <w:szCs w:val="24"/>
          <w:highlight w:val="none"/>
        </w:rPr>
      </w:pPr>
      <w:r>
        <w:rPr>
          <w:rFonts w:hAnsi="宋体"/>
          <w:sz w:val="24"/>
          <w:szCs w:val="24"/>
          <w:highlight w:val="none"/>
        </w:rPr>
        <w:t xml:space="preserve">     2.☆2 指投标人拟提供的投标货物的技术规格(参数),投标人应逐条如实填写并提供相应的支持文件。 </w:t>
      </w:r>
    </w:p>
    <w:p w14:paraId="1D6194B0">
      <w:pPr>
        <w:pStyle w:val="72"/>
        <w:widowControl/>
        <w:shd w:val="clear"/>
        <w:rPr>
          <w:rFonts w:hint="default" w:hAnsi="宋体"/>
          <w:sz w:val="24"/>
          <w:szCs w:val="24"/>
          <w:highlight w:val="none"/>
        </w:rPr>
      </w:pPr>
      <w:r>
        <w:rPr>
          <w:rFonts w:hAnsi="宋体"/>
          <w:sz w:val="24"/>
          <w:szCs w:val="24"/>
          <w:highlight w:val="none"/>
        </w:rPr>
        <w:t xml:space="preserve">     3.偏离说明填写：优于、等于或低于。</w:t>
      </w:r>
    </w:p>
    <w:p w14:paraId="5FD90CF4">
      <w:pPr>
        <w:shd w:val="clear"/>
        <w:ind w:firstLine="562" w:firstLineChars="200"/>
        <w:jc w:val="center"/>
        <w:rPr>
          <w:rFonts w:ascii="宋体" w:hAnsi="宋体" w:eastAsia="宋体" w:cs="宋体"/>
          <w:b/>
          <w:bCs/>
          <w:sz w:val="28"/>
          <w:szCs w:val="28"/>
          <w:highlight w:val="none"/>
        </w:rPr>
      </w:pPr>
    </w:p>
    <w:p w14:paraId="30F95C69">
      <w:pPr>
        <w:pStyle w:val="18"/>
        <w:shd w:val="clear"/>
        <w:ind w:firstLine="562"/>
        <w:rPr>
          <w:rFonts w:ascii="宋体" w:hAnsi="宋体" w:eastAsia="宋体" w:cs="宋体"/>
          <w:b/>
          <w:bCs/>
          <w:sz w:val="28"/>
          <w:szCs w:val="28"/>
          <w:highlight w:val="none"/>
        </w:rPr>
      </w:pPr>
    </w:p>
    <w:p w14:paraId="2EB899B7">
      <w:pPr>
        <w:pStyle w:val="3"/>
        <w:shd w:val="clear"/>
        <w:jc w:val="center"/>
        <w:rPr>
          <w:highlight w:val="none"/>
        </w:rPr>
      </w:pPr>
      <w:bookmarkStart w:id="179" w:name="_Toc6744"/>
      <w:bookmarkStart w:id="180" w:name="_Toc29975"/>
      <w:bookmarkStart w:id="181" w:name="_Toc22907"/>
      <w:bookmarkStart w:id="182" w:name="_Toc1903"/>
      <w:bookmarkStart w:id="183" w:name="_Toc6599"/>
      <w:r>
        <w:rPr>
          <w:rFonts w:hint="eastAsia"/>
          <w:highlight w:val="none"/>
          <w:lang w:val="en-US" w:eastAsia="zh-CN"/>
        </w:rPr>
        <w:t>六</w:t>
      </w:r>
      <w:r>
        <w:rPr>
          <w:rFonts w:hint="eastAsia"/>
          <w:highlight w:val="none"/>
        </w:rPr>
        <w:t>、商务偏离表</w:t>
      </w:r>
      <w:bookmarkEnd w:id="179"/>
      <w:bookmarkEnd w:id="180"/>
      <w:bookmarkEnd w:id="181"/>
      <w:bookmarkEnd w:id="182"/>
      <w:bookmarkEnd w:id="183"/>
    </w:p>
    <w:p w14:paraId="21367B9E">
      <w:pPr>
        <w:shd w:val="clear"/>
        <w:spacing w:after="120"/>
        <w:ind w:firstLine="120" w:firstLineChars="50"/>
        <w:rPr>
          <w:rFonts w:hint="default" w:asciiTheme="minorEastAsia" w:hAnsiTheme="minorEastAsia" w:cstheme="minorEastAsia"/>
          <w:sz w:val="24"/>
          <w:highlight w:val="none"/>
          <w:lang w:val="en-US"/>
        </w:rPr>
      </w:pPr>
      <w:r>
        <w:rPr>
          <w:rFonts w:hint="eastAsia" w:asciiTheme="minorEastAsia" w:hAnsiTheme="minorEastAsia" w:cstheme="minorEastAsia"/>
          <w:sz w:val="24"/>
          <w:szCs w:val="20"/>
          <w:highlight w:val="none"/>
          <w:lang w:bidi="ar"/>
        </w:rPr>
        <w:t>采购项目</w:t>
      </w:r>
      <w:r>
        <w:rPr>
          <w:rFonts w:hint="eastAsia" w:asciiTheme="minorEastAsia" w:hAnsiTheme="minorEastAsia" w:cstheme="minorEastAsia"/>
          <w:sz w:val="24"/>
          <w:highlight w:val="none"/>
          <w:lang w:bidi="ar"/>
        </w:rPr>
        <w:t>名称：</w:t>
      </w:r>
      <w:r>
        <w:rPr>
          <w:rFonts w:hint="eastAsia" w:ascii="宋体" w:hAnsi="宋体" w:eastAsia="宋体" w:cs="宋体"/>
          <w:sz w:val="24"/>
          <w:highlight w:val="none"/>
          <w:u w:val="single"/>
          <w:lang w:val="en-US" w:eastAsia="zh-CN"/>
        </w:rPr>
        <w:t xml:space="preserve">                     </w:t>
      </w:r>
    </w:p>
    <w:p w14:paraId="2EA17DA7">
      <w:pPr>
        <w:shd w:val="clear"/>
        <w:spacing w:after="120"/>
        <w:ind w:firstLine="120" w:firstLineChars="50"/>
        <w:rPr>
          <w:rFonts w:ascii="宋体" w:hAnsi="宋体" w:eastAsia="宋体" w:cs="宋体"/>
          <w:sz w:val="24"/>
          <w:highlight w:val="none"/>
        </w:rPr>
      </w:pPr>
      <w:r>
        <w:rPr>
          <w:rFonts w:hint="eastAsia" w:asciiTheme="minorEastAsia" w:hAnsiTheme="minorEastAsia" w:cstheme="minorEastAsia"/>
          <w:sz w:val="24"/>
          <w:highlight w:val="none"/>
          <w:lang w:bidi="ar"/>
        </w:rPr>
        <w:t>采购项目编号：</w:t>
      </w:r>
      <w:r>
        <w:rPr>
          <w:rFonts w:hint="eastAsia" w:asciiTheme="minorEastAsia" w:hAnsiTheme="minorEastAsia" w:cstheme="minorEastAsia"/>
          <w:sz w:val="24"/>
          <w:highlight w:val="none"/>
          <w:u w:val="single"/>
          <w:lang w:val="en-US" w:eastAsia="zh-CN" w:bidi="ar"/>
        </w:rPr>
        <w:t xml:space="preserve">                     </w:t>
      </w:r>
    </w:p>
    <w:tbl>
      <w:tblPr>
        <w:tblStyle w:val="41"/>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28" w:type="dxa"/>
          <w:bottom w:w="0" w:type="dxa"/>
          <w:right w:w="28" w:type="dxa"/>
        </w:tblCellMar>
      </w:tblPr>
      <w:tblGrid>
        <w:gridCol w:w="1127"/>
        <w:gridCol w:w="2688"/>
        <w:gridCol w:w="2350"/>
        <w:gridCol w:w="1475"/>
        <w:gridCol w:w="1152"/>
      </w:tblGrid>
      <w:tr w14:paraId="51E3B4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A0FCB84">
            <w:pPr>
              <w:shd w:val="clear"/>
              <w:spacing w:line="360" w:lineRule="auto"/>
              <w:jc w:val="center"/>
              <w:rPr>
                <w:rFonts w:ascii="宋体" w:hAnsi="宋体" w:eastAsia="宋体" w:cs="宋体"/>
                <w:b/>
                <w:sz w:val="24"/>
                <w:szCs w:val="20"/>
                <w:highlight w:val="none"/>
              </w:rPr>
            </w:pPr>
            <w:r>
              <w:rPr>
                <w:rFonts w:hint="eastAsia" w:ascii="宋体" w:hAnsi="宋体" w:eastAsia="宋体" w:cs="宋体"/>
                <w:b/>
                <w:sz w:val="24"/>
                <w:szCs w:val="20"/>
                <w:highlight w:val="none"/>
                <w:lang w:bidi="ar"/>
              </w:rPr>
              <w:t>序号</w:t>
            </w: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76DD2827">
            <w:pPr>
              <w:shd w:val="clear"/>
              <w:spacing w:line="360" w:lineRule="auto"/>
              <w:jc w:val="center"/>
              <w:rPr>
                <w:rFonts w:ascii="宋体" w:hAnsi="宋体" w:eastAsia="宋体" w:cs="宋体"/>
                <w:b/>
                <w:sz w:val="24"/>
                <w:szCs w:val="20"/>
                <w:highlight w:val="none"/>
              </w:rPr>
            </w:pPr>
            <w:r>
              <w:rPr>
                <w:rFonts w:hint="eastAsia" w:ascii="宋体" w:hAnsi="宋体" w:eastAsia="宋体" w:cs="宋体"/>
                <w:b/>
                <w:sz w:val="24"/>
                <w:szCs w:val="20"/>
                <w:highlight w:val="none"/>
                <w:lang w:bidi="ar"/>
              </w:rPr>
              <w:t>招标文件商务要求</w:t>
            </w: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10BB1D51">
            <w:pPr>
              <w:shd w:val="clear"/>
              <w:spacing w:line="360" w:lineRule="auto"/>
              <w:jc w:val="center"/>
              <w:rPr>
                <w:rFonts w:ascii="宋体" w:hAnsi="宋体" w:eastAsia="宋体" w:cs="宋体"/>
                <w:b/>
                <w:sz w:val="24"/>
                <w:szCs w:val="20"/>
                <w:highlight w:val="none"/>
              </w:rPr>
            </w:pPr>
            <w:r>
              <w:rPr>
                <w:rFonts w:hint="eastAsia" w:ascii="宋体" w:hAnsi="宋体" w:eastAsia="宋体" w:cs="宋体"/>
                <w:b/>
                <w:sz w:val="24"/>
                <w:szCs w:val="20"/>
                <w:highlight w:val="none"/>
                <w:lang w:bidi="ar"/>
              </w:rPr>
              <w:t>投标文件商务响应</w:t>
            </w: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428D3F1">
            <w:pPr>
              <w:shd w:val="clear"/>
              <w:spacing w:line="360" w:lineRule="auto"/>
              <w:jc w:val="center"/>
              <w:rPr>
                <w:rFonts w:ascii="宋体" w:hAnsi="宋体" w:eastAsia="宋体" w:cs="宋体"/>
                <w:b/>
                <w:sz w:val="24"/>
                <w:szCs w:val="20"/>
                <w:highlight w:val="none"/>
              </w:rPr>
            </w:pPr>
            <w:r>
              <w:rPr>
                <w:rFonts w:hint="eastAsia" w:ascii="宋体" w:hAnsi="宋体" w:eastAsia="宋体" w:cs="宋体"/>
                <w:b/>
                <w:sz w:val="24"/>
                <w:szCs w:val="20"/>
                <w:highlight w:val="none"/>
                <w:lang w:bidi="ar"/>
              </w:rPr>
              <w:t>偏离说明</w:t>
            </w: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07C8D6C3">
            <w:pPr>
              <w:shd w:val="clear"/>
              <w:spacing w:line="360" w:lineRule="auto"/>
              <w:jc w:val="center"/>
              <w:rPr>
                <w:rFonts w:ascii="宋体" w:hAnsi="宋体" w:eastAsia="宋体" w:cs="宋体"/>
                <w:b/>
                <w:sz w:val="24"/>
                <w:szCs w:val="20"/>
                <w:highlight w:val="none"/>
              </w:rPr>
            </w:pPr>
            <w:r>
              <w:rPr>
                <w:rFonts w:hint="eastAsia" w:ascii="宋体" w:hAnsi="宋体" w:eastAsia="宋体" w:cs="宋体"/>
                <w:b/>
                <w:sz w:val="24"/>
                <w:szCs w:val="20"/>
                <w:highlight w:val="none"/>
              </w:rPr>
              <w:t>备注</w:t>
            </w:r>
          </w:p>
        </w:tc>
      </w:tr>
      <w:tr w14:paraId="629E71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09CBDD2">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23DBA2C">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8A60327">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140284B">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8B4FAC7">
            <w:pPr>
              <w:shd w:val="clear"/>
              <w:spacing w:line="360" w:lineRule="auto"/>
              <w:jc w:val="center"/>
              <w:rPr>
                <w:rFonts w:ascii="宋体" w:hAnsi="宋体" w:eastAsia="宋体" w:cs="宋体"/>
                <w:sz w:val="24"/>
                <w:szCs w:val="20"/>
                <w:highlight w:val="none"/>
              </w:rPr>
            </w:pPr>
          </w:p>
        </w:tc>
      </w:tr>
      <w:tr w14:paraId="58BBB2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0F346059">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45D9D3A">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1E512935">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7EAD5B33">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C172917">
            <w:pPr>
              <w:shd w:val="clear"/>
              <w:spacing w:line="360" w:lineRule="auto"/>
              <w:jc w:val="center"/>
              <w:rPr>
                <w:rFonts w:ascii="宋体" w:hAnsi="宋体" w:eastAsia="宋体" w:cs="宋体"/>
                <w:sz w:val="24"/>
                <w:szCs w:val="20"/>
                <w:highlight w:val="none"/>
              </w:rPr>
            </w:pPr>
          </w:p>
        </w:tc>
      </w:tr>
      <w:tr w14:paraId="73B455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59FD4A3">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EA7DCE0">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7FAE475">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75E7D223">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3E55D3FB">
            <w:pPr>
              <w:shd w:val="clear"/>
              <w:spacing w:line="360" w:lineRule="auto"/>
              <w:jc w:val="center"/>
              <w:rPr>
                <w:rFonts w:ascii="宋体" w:hAnsi="宋体" w:eastAsia="宋体" w:cs="宋体"/>
                <w:sz w:val="24"/>
                <w:szCs w:val="20"/>
                <w:highlight w:val="none"/>
              </w:rPr>
            </w:pPr>
          </w:p>
        </w:tc>
      </w:tr>
      <w:tr w14:paraId="760E95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077C4A69">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36A1D58B">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78715AD8">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4ED5D20">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B242226">
            <w:pPr>
              <w:shd w:val="clear"/>
              <w:spacing w:line="360" w:lineRule="auto"/>
              <w:jc w:val="center"/>
              <w:rPr>
                <w:rFonts w:ascii="宋体" w:hAnsi="宋体" w:eastAsia="宋体" w:cs="宋体"/>
                <w:sz w:val="24"/>
                <w:szCs w:val="20"/>
                <w:highlight w:val="none"/>
              </w:rPr>
            </w:pPr>
          </w:p>
        </w:tc>
      </w:tr>
      <w:tr w14:paraId="3AE67E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A0FE77C">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74792E5F">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3EBB3D5">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66E38E5">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A892987">
            <w:pPr>
              <w:shd w:val="clear"/>
              <w:spacing w:line="360" w:lineRule="auto"/>
              <w:jc w:val="center"/>
              <w:rPr>
                <w:rFonts w:ascii="宋体" w:hAnsi="宋体" w:eastAsia="宋体" w:cs="宋体"/>
                <w:sz w:val="24"/>
                <w:szCs w:val="20"/>
                <w:highlight w:val="none"/>
              </w:rPr>
            </w:pPr>
          </w:p>
        </w:tc>
      </w:tr>
      <w:tr w14:paraId="35F25C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AFCF4F2">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282671F">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3E499DB0">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07D3E7B2">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D34DF71">
            <w:pPr>
              <w:shd w:val="clear"/>
              <w:spacing w:line="360" w:lineRule="auto"/>
              <w:jc w:val="center"/>
              <w:rPr>
                <w:rFonts w:ascii="宋体" w:hAnsi="宋体" w:eastAsia="宋体" w:cs="宋体"/>
                <w:sz w:val="24"/>
                <w:szCs w:val="20"/>
                <w:highlight w:val="none"/>
              </w:rPr>
            </w:pPr>
          </w:p>
        </w:tc>
      </w:tr>
      <w:tr w14:paraId="752248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D81DF44">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638DFCA">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7C28391E">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7DAB8223">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7BD59205">
            <w:pPr>
              <w:shd w:val="clear"/>
              <w:spacing w:line="360" w:lineRule="auto"/>
              <w:jc w:val="center"/>
              <w:rPr>
                <w:rFonts w:ascii="宋体" w:hAnsi="宋体" w:eastAsia="宋体" w:cs="宋体"/>
                <w:sz w:val="24"/>
                <w:szCs w:val="20"/>
                <w:highlight w:val="none"/>
              </w:rPr>
            </w:pPr>
          </w:p>
        </w:tc>
      </w:tr>
      <w:tr w14:paraId="6068B9E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D1EB64D">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163D263D">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1AC7BD31">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5A669F3">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01D944ED">
            <w:pPr>
              <w:shd w:val="clear"/>
              <w:spacing w:line="360" w:lineRule="auto"/>
              <w:jc w:val="center"/>
              <w:rPr>
                <w:rFonts w:ascii="宋体" w:hAnsi="宋体" w:eastAsia="宋体" w:cs="宋体"/>
                <w:sz w:val="24"/>
                <w:szCs w:val="20"/>
                <w:highlight w:val="none"/>
              </w:rPr>
            </w:pPr>
          </w:p>
        </w:tc>
      </w:tr>
      <w:tr w14:paraId="5F1479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FA02CE5">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102C24D">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132E22A">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FEDD314">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903B83D">
            <w:pPr>
              <w:shd w:val="clear"/>
              <w:spacing w:line="360" w:lineRule="auto"/>
              <w:jc w:val="center"/>
              <w:rPr>
                <w:rFonts w:ascii="宋体" w:hAnsi="宋体" w:eastAsia="宋体" w:cs="宋体"/>
                <w:sz w:val="24"/>
                <w:szCs w:val="20"/>
                <w:highlight w:val="none"/>
              </w:rPr>
            </w:pPr>
          </w:p>
        </w:tc>
      </w:tr>
      <w:tr w14:paraId="2B24F9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9EFD22A">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81CC4DA">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3E0F73C6">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5F32506">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39FF68F">
            <w:pPr>
              <w:shd w:val="clear"/>
              <w:spacing w:line="360" w:lineRule="auto"/>
              <w:jc w:val="center"/>
              <w:rPr>
                <w:rFonts w:ascii="宋体" w:hAnsi="宋体" w:eastAsia="宋体" w:cs="宋体"/>
                <w:sz w:val="24"/>
                <w:szCs w:val="20"/>
                <w:highlight w:val="none"/>
              </w:rPr>
            </w:pPr>
          </w:p>
        </w:tc>
      </w:tr>
      <w:tr w14:paraId="0C731D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A5D7155">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93CACB3">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17C103C6">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4310C022">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A80FB09">
            <w:pPr>
              <w:shd w:val="clear"/>
              <w:spacing w:line="360" w:lineRule="auto"/>
              <w:jc w:val="center"/>
              <w:rPr>
                <w:rFonts w:ascii="宋体" w:hAnsi="宋体" w:eastAsia="宋体" w:cs="宋体"/>
                <w:sz w:val="24"/>
                <w:szCs w:val="20"/>
                <w:highlight w:val="none"/>
              </w:rPr>
            </w:pPr>
          </w:p>
        </w:tc>
      </w:tr>
      <w:tr w14:paraId="3E28F2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127"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FC50C4D">
            <w:pPr>
              <w:shd w:val="clear"/>
              <w:spacing w:line="360" w:lineRule="auto"/>
              <w:jc w:val="center"/>
              <w:rPr>
                <w:rFonts w:ascii="宋体" w:hAnsi="宋体" w:eastAsia="宋体" w:cs="宋体"/>
                <w:sz w:val="24"/>
                <w:szCs w:val="20"/>
                <w:highlight w:val="none"/>
              </w:rPr>
            </w:pPr>
          </w:p>
        </w:tc>
        <w:tc>
          <w:tcPr>
            <w:tcW w:w="268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C448060">
            <w:pPr>
              <w:shd w:val="clear"/>
              <w:spacing w:line="360" w:lineRule="auto"/>
              <w:jc w:val="center"/>
              <w:rPr>
                <w:rFonts w:ascii="宋体" w:hAnsi="宋体" w:eastAsia="宋体" w:cs="宋体"/>
                <w:sz w:val="24"/>
                <w:szCs w:val="20"/>
                <w:highlight w:val="none"/>
              </w:rPr>
            </w:pPr>
          </w:p>
        </w:tc>
        <w:tc>
          <w:tcPr>
            <w:tcW w:w="23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7CE3D4DA">
            <w:pPr>
              <w:shd w:val="clear"/>
              <w:spacing w:line="360" w:lineRule="auto"/>
              <w:jc w:val="center"/>
              <w:rPr>
                <w:rFonts w:ascii="宋体" w:hAnsi="宋体" w:eastAsia="宋体" w:cs="宋体"/>
                <w:sz w:val="24"/>
                <w:szCs w:val="20"/>
                <w:highlight w:val="none"/>
              </w:rPr>
            </w:pPr>
          </w:p>
        </w:tc>
        <w:tc>
          <w:tcPr>
            <w:tcW w:w="147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D4585E2">
            <w:pPr>
              <w:shd w:val="clear"/>
              <w:spacing w:line="360" w:lineRule="auto"/>
              <w:jc w:val="center"/>
              <w:rPr>
                <w:rFonts w:ascii="宋体" w:hAnsi="宋体" w:eastAsia="宋体" w:cs="宋体"/>
                <w:sz w:val="24"/>
                <w:szCs w:val="20"/>
                <w:highlight w:val="none"/>
              </w:rPr>
            </w:pPr>
          </w:p>
        </w:tc>
        <w:tc>
          <w:tcPr>
            <w:tcW w:w="1152"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F48AE76">
            <w:pPr>
              <w:shd w:val="clear"/>
              <w:spacing w:line="360" w:lineRule="auto"/>
              <w:jc w:val="center"/>
              <w:rPr>
                <w:rFonts w:ascii="宋体" w:hAnsi="宋体" w:eastAsia="宋体" w:cs="宋体"/>
                <w:sz w:val="24"/>
                <w:szCs w:val="20"/>
                <w:highlight w:val="none"/>
              </w:rPr>
            </w:pPr>
          </w:p>
        </w:tc>
      </w:tr>
    </w:tbl>
    <w:p w14:paraId="16C4F584">
      <w:pPr>
        <w:shd w:val="clear"/>
        <w:spacing w:line="360" w:lineRule="auto"/>
        <w:ind w:firstLine="480" w:firstLineChars="200"/>
        <w:rPr>
          <w:rFonts w:ascii="宋体" w:hAnsi="宋体" w:eastAsia="宋体" w:cs="宋体"/>
          <w:b/>
          <w:sz w:val="28"/>
          <w:szCs w:val="28"/>
          <w:highlight w:val="none"/>
        </w:rPr>
      </w:pPr>
      <w:r>
        <w:rPr>
          <w:rFonts w:hint="eastAsia" w:ascii="宋体" w:hAnsi="宋体" w:eastAsia="宋体" w:cs="宋体"/>
          <w:sz w:val="24"/>
          <w:szCs w:val="20"/>
          <w:highlight w:val="none"/>
          <w:lang w:bidi="ar"/>
        </w:rPr>
        <w:t>声明：</w:t>
      </w:r>
      <w:r>
        <w:rPr>
          <w:rFonts w:hint="eastAsia" w:ascii="宋体" w:hAnsi="宋体" w:eastAsia="宋体" w:cs="宋体"/>
          <w:sz w:val="24"/>
          <w:highlight w:val="none"/>
        </w:rPr>
        <w:t>投标人应按照招标文件中的商务要求逐项响应，偏离说明填写：优于、等于或低于。</w:t>
      </w:r>
    </w:p>
    <w:p w14:paraId="205E0239">
      <w:pPr>
        <w:shd w:val="clear"/>
        <w:spacing w:line="440" w:lineRule="exact"/>
        <w:ind w:left="3259" w:leftChars="1552"/>
        <w:rPr>
          <w:rFonts w:ascii="宋体" w:hAnsi="宋体" w:eastAsia="宋体" w:cs="宋体"/>
          <w:sz w:val="24"/>
          <w:highlight w:val="none"/>
        </w:rPr>
      </w:pPr>
    </w:p>
    <w:p w14:paraId="1D213624">
      <w:pPr>
        <w:shd w:val="clear"/>
        <w:spacing w:line="440" w:lineRule="exact"/>
        <w:ind w:left="3259" w:leftChars="1552"/>
        <w:rPr>
          <w:rFonts w:ascii="宋体" w:hAnsi="宋体" w:eastAsia="宋体" w:cs="宋体"/>
          <w:sz w:val="24"/>
          <w:highlight w:val="none"/>
          <w:u w:val="single"/>
        </w:rPr>
      </w:pPr>
      <w:r>
        <w:rPr>
          <w:rFonts w:hint="eastAsia" w:ascii="宋体" w:hAnsi="宋体" w:eastAsia="宋体" w:cs="宋体"/>
          <w:sz w:val="24"/>
          <w:highlight w:val="none"/>
          <w:lang w:bidi="ar"/>
        </w:rPr>
        <w:t>法定代表人/单位负责人/或被授权人签字：</w:t>
      </w:r>
      <w:r>
        <w:rPr>
          <w:rFonts w:hint="eastAsia" w:ascii="宋体" w:hAnsi="宋体" w:eastAsia="宋体" w:cs="宋体"/>
          <w:sz w:val="24"/>
          <w:highlight w:val="none"/>
          <w:u w:val="single"/>
          <w:lang w:bidi="ar"/>
        </w:rPr>
        <w:t xml:space="preserve">         </w:t>
      </w:r>
    </w:p>
    <w:p w14:paraId="6FB17128">
      <w:pPr>
        <w:shd w:val="clear"/>
        <w:spacing w:line="520" w:lineRule="exact"/>
        <w:rPr>
          <w:rFonts w:ascii="宋体" w:hAnsi="宋体" w:eastAsia="宋体" w:cs="宋体"/>
          <w:sz w:val="24"/>
          <w:highlight w:val="none"/>
          <w:u w:val="single"/>
        </w:rPr>
      </w:pPr>
      <w:r>
        <w:rPr>
          <w:rFonts w:hint="eastAsia" w:ascii="宋体" w:hAnsi="宋体" w:eastAsia="宋体" w:cs="宋体"/>
          <w:sz w:val="24"/>
          <w:highlight w:val="none"/>
          <w:lang w:bidi="ar"/>
        </w:rPr>
        <w:t xml:space="preserve">                           投标人名称（公章）：</w:t>
      </w:r>
      <w:r>
        <w:rPr>
          <w:rFonts w:hint="eastAsia" w:ascii="宋体" w:hAnsi="宋体" w:eastAsia="宋体" w:cs="宋体"/>
          <w:sz w:val="24"/>
          <w:highlight w:val="none"/>
          <w:u w:val="single"/>
          <w:lang w:bidi="ar"/>
        </w:rPr>
        <w:t xml:space="preserve">             </w:t>
      </w:r>
    </w:p>
    <w:p w14:paraId="7FE4279E">
      <w:pPr>
        <w:shd w:val="clear"/>
        <w:spacing w:line="440" w:lineRule="exact"/>
        <w:ind w:left="3259" w:leftChars="1552"/>
        <w:rPr>
          <w:rFonts w:ascii="宋体" w:hAnsi="宋体" w:eastAsia="宋体" w:cs="宋体"/>
          <w:sz w:val="24"/>
          <w:highlight w:val="none"/>
          <w:u w:val="single"/>
        </w:rPr>
      </w:pPr>
      <w:r>
        <w:rPr>
          <w:rFonts w:hint="eastAsia" w:ascii="宋体" w:hAnsi="宋体" w:eastAsia="宋体" w:cs="宋体"/>
          <w:sz w:val="24"/>
          <w:highlight w:val="none"/>
          <w:lang w:bidi="ar"/>
        </w:rPr>
        <w:t>日      期：</w:t>
      </w:r>
      <w:r>
        <w:rPr>
          <w:rFonts w:hint="eastAsia" w:ascii="宋体" w:hAnsi="宋体" w:eastAsia="宋体" w:cs="宋体"/>
          <w:sz w:val="24"/>
          <w:highlight w:val="none"/>
          <w:u w:val="single"/>
          <w:lang w:bidi="ar"/>
        </w:rPr>
        <w:t xml:space="preserve">              </w:t>
      </w:r>
    </w:p>
    <w:p w14:paraId="170020FE">
      <w:pPr>
        <w:pStyle w:val="3"/>
        <w:shd w:val="clear"/>
        <w:jc w:val="center"/>
        <w:rPr>
          <w:highlight w:val="none"/>
        </w:rPr>
      </w:pPr>
      <w:bookmarkStart w:id="184" w:name="_Toc6481"/>
      <w:bookmarkStart w:id="185" w:name="_Toc9293"/>
      <w:bookmarkStart w:id="186" w:name="_Toc6671"/>
      <w:r>
        <w:rPr>
          <w:rFonts w:hint="eastAsia"/>
          <w:highlight w:val="none"/>
        </w:rPr>
        <w:t>第三部分 响应方案</w:t>
      </w:r>
      <w:bookmarkEnd w:id="184"/>
      <w:bookmarkEnd w:id="185"/>
      <w:bookmarkEnd w:id="186"/>
    </w:p>
    <w:bookmarkEnd w:id="175"/>
    <w:bookmarkEnd w:id="176"/>
    <w:bookmarkEnd w:id="177"/>
    <w:bookmarkEnd w:id="178"/>
    <w:p w14:paraId="1F4D2E46">
      <w:pPr>
        <w:pStyle w:val="3"/>
        <w:shd w:val="clear"/>
        <w:jc w:val="center"/>
        <w:rPr>
          <w:highlight w:val="none"/>
        </w:rPr>
      </w:pPr>
      <w:bookmarkStart w:id="187" w:name="_Toc15334"/>
      <w:bookmarkStart w:id="188" w:name="_Toc331"/>
      <w:bookmarkStart w:id="189" w:name="_Toc25301"/>
      <w:bookmarkStart w:id="190" w:name="_Toc24023"/>
      <w:bookmarkStart w:id="191" w:name="_Toc29521"/>
      <w:bookmarkStart w:id="192" w:name="_Toc21839"/>
      <w:bookmarkStart w:id="193" w:name="_Toc15250"/>
      <w:bookmarkStart w:id="194" w:name="_Toc7410"/>
      <w:bookmarkStart w:id="195" w:name="_Toc14742"/>
      <w:r>
        <w:rPr>
          <w:rFonts w:hint="eastAsia"/>
          <w:highlight w:val="none"/>
        </w:rPr>
        <w:t>一、供应商性质及其概况</w:t>
      </w:r>
      <w:bookmarkEnd w:id="187"/>
      <w:bookmarkEnd w:id="188"/>
      <w:bookmarkEnd w:id="189"/>
      <w:bookmarkEnd w:id="190"/>
    </w:p>
    <w:p w14:paraId="337373D5">
      <w:pPr>
        <w:widowControl/>
        <w:shd w:val="clear"/>
        <w:spacing w:before="156" w:beforeLines="50" w:line="500" w:lineRule="exact"/>
        <w:ind w:firstLine="482" w:firstLineChars="200"/>
        <w:rPr>
          <w:rFonts w:ascii="宋体" w:hAnsi="宋体" w:eastAsia="宋体" w:cs="宋体"/>
          <w:b/>
          <w:sz w:val="24"/>
          <w:highlight w:val="none"/>
        </w:rPr>
      </w:pPr>
      <w:r>
        <w:rPr>
          <w:rFonts w:hint="eastAsia" w:ascii="宋体" w:hAnsi="宋体" w:eastAsia="宋体" w:cs="宋体"/>
          <w:b/>
          <w:sz w:val="24"/>
          <w:highlight w:val="none"/>
        </w:rPr>
        <w:t>（一）供应商基本信息</w:t>
      </w:r>
    </w:p>
    <w:p w14:paraId="34F1E883">
      <w:pPr>
        <w:widowControl/>
        <w:shd w:val="clear"/>
        <w:spacing w:line="50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如设立时间、隶属关系、经营范围、资质等级及单位人员情况。</w:t>
      </w:r>
    </w:p>
    <w:p w14:paraId="5B32D203">
      <w:pPr>
        <w:widowControl/>
        <w:shd w:val="clear"/>
        <w:spacing w:before="156" w:beforeLines="50" w:line="500" w:lineRule="exact"/>
        <w:ind w:firstLine="482" w:firstLineChars="200"/>
        <w:rPr>
          <w:rFonts w:ascii="宋体" w:hAnsi="宋体" w:eastAsia="宋体" w:cs="宋体"/>
          <w:b/>
          <w:sz w:val="24"/>
          <w:highlight w:val="none"/>
        </w:rPr>
      </w:pPr>
      <w:r>
        <w:rPr>
          <w:rFonts w:hint="eastAsia" w:ascii="宋体" w:hAnsi="宋体" w:eastAsia="宋体" w:cs="宋体"/>
          <w:b/>
          <w:sz w:val="24"/>
          <w:highlight w:val="none"/>
        </w:rPr>
        <w:t>（二）供应商性质</w:t>
      </w:r>
    </w:p>
    <w:p w14:paraId="1444C005">
      <w:pPr>
        <w:widowControl/>
        <w:shd w:val="clear"/>
        <w:spacing w:line="50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中小企业、残疾人福利性单位投标时，应提供声明函（按下文给定格式）。未提供或未按给定格式提供</w:t>
      </w:r>
      <w:r>
        <w:rPr>
          <w:rFonts w:hint="eastAsia" w:ascii="宋体" w:hAnsi="宋体" w:eastAsia="宋体" w:cs="宋体"/>
          <w:b/>
          <w:bCs/>
          <w:sz w:val="24"/>
          <w:highlight w:val="none"/>
        </w:rPr>
        <w:t>声明函</w:t>
      </w:r>
      <w:r>
        <w:rPr>
          <w:rFonts w:hint="eastAsia" w:ascii="宋体" w:hAnsi="宋体" w:eastAsia="宋体" w:cs="宋体"/>
          <w:sz w:val="24"/>
          <w:highlight w:val="none"/>
        </w:rPr>
        <w:t>的，其投标产品中的小型、微型企业产品、残疾人福利性单位生产的产品将不能享受招标文件规定的价格扣除，但不影响投标文件的有效性。</w:t>
      </w:r>
    </w:p>
    <w:p w14:paraId="62D018A4">
      <w:pPr>
        <w:widowControl/>
        <w:shd w:val="clear"/>
        <w:spacing w:line="50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监狱企业投标时，应当提供由省级以上监狱管理局、戒毒管理局（含新疆生产建设兵团）出具的属于监狱企业的</w:t>
      </w:r>
      <w:r>
        <w:rPr>
          <w:rFonts w:hint="eastAsia" w:ascii="宋体" w:hAnsi="宋体" w:eastAsia="宋体" w:cs="宋体"/>
          <w:b/>
          <w:bCs/>
          <w:sz w:val="24"/>
          <w:highlight w:val="none"/>
        </w:rPr>
        <w:t>证明文件</w:t>
      </w:r>
      <w:r>
        <w:rPr>
          <w:rFonts w:hint="eastAsia" w:ascii="宋体" w:hAnsi="宋体" w:eastAsia="宋体" w:cs="宋体"/>
          <w:sz w:val="24"/>
          <w:highlight w:val="none"/>
        </w:rPr>
        <w:t>（格式不做要求）。未提供证明文件的不能享受招标文件规定的价格扣除，但不影响投标文件的有效性。</w:t>
      </w:r>
    </w:p>
    <w:p w14:paraId="13F93AD9">
      <w:pPr>
        <w:widowControl/>
        <w:shd w:val="clear"/>
        <w:spacing w:line="50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招标文件允许联合体投标的，联合体成员应分别提供上述声明函或证明文件，此外，还须按下文给定格式提供联合体协议书。投标联合体未提供联合体协议书的，其响应文件无效。</w:t>
      </w:r>
    </w:p>
    <w:p w14:paraId="3B22C801">
      <w:pPr>
        <w:widowControl/>
        <w:shd w:val="clear"/>
        <w:spacing w:line="500" w:lineRule="exact"/>
        <w:ind w:firstLine="482" w:firstLineChars="200"/>
        <w:rPr>
          <w:rFonts w:ascii="宋体" w:hAnsi="宋体" w:eastAsia="宋体" w:cs="宋体"/>
          <w:b/>
          <w:bCs/>
          <w:sz w:val="24"/>
          <w:highlight w:val="none"/>
        </w:rPr>
      </w:pPr>
      <w:r>
        <w:rPr>
          <w:rFonts w:hint="eastAsia" w:ascii="宋体" w:hAnsi="宋体" w:eastAsia="宋体" w:cs="宋体"/>
          <w:b/>
          <w:bCs/>
          <w:sz w:val="24"/>
          <w:highlight w:val="none"/>
        </w:rPr>
        <w:t>特别提醒：供应商性质（声明函或证明文件）将随成交公告一同公布。</w:t>
      </w:r>
    </w:p>
    <w:p w14:paraId="6BB01D8B">
      <w:pPr>
        <w:widowControl/>
        <w:shd w:val="clear"/>
        <w:spacing w:before="156" w:beforeLines="50" w:line="500" w:lineRule="exact"/>
        <w:ind w:firstLine="482" w:firstLineChars="200"/>
        <w:rPr>
          <w:rFonts w:ascii="宋体" w:hAnsi="宋体" w:eastAsia="宋体" w:cs="宋体"/>
          <w:b/>
          <w:sz w:val="24"/>
          <w:highlight w:val="none"/>
        </w:rPr>
      </w:pPr>
      <w:r>
        <w:rPr>
          <w:rFonts w:hint="eastAsia" w:ascii="宋体" w:hAnsi="宋体" w:eastAsia="宋体" w:cs="宋体"/>
          <w:b/>
          <w:sz w:val="24"/>
          <w:highlight w:val="none"/>
        </w:rPr>
        <w:t>（三）其他</w:t>
      </w:r>
    </w:p>
    <w:p w14:paraId="2ABDE38A">
      <w:pPr>
        <w:widowControl/>
        <w:shd w:val="clear"/>
        <w:tabs>
          <w:tab w:val="right" w:pos="8364"/>
        </w:tabs>
        <w:spacing w:line="500" w:lineRule="exact"/>
        <w:ind w:firstLine="480" w:firstLineChars="200"/>
        <w:jc w:val="left"/>
        <w:rPr>
          <w:rFonts w:ascii="宋体" w:hAnsi="宋体" w:eastAsia="宋体" w:cs="宋体"/>
          <w:sz w:val="24"/>
          <w:highlight w:val="none"/>
        </w:rPr>
      </w:pPr>
      <w:r>
        <w:rPr>
          <w:rFonts w:hint="eastAsia" w:ascii="宋体" w:hAnsi="宋体" w:eastAsia="宋体" w:cs="宋体"/>
          <w:sz w:val="24"/>
          <w:highlight w:val="none"/>
        </w:rPr>
        <w:t>如：经营状况、相关产品、用户评价等。</w:t>
      </w:r>
    </w:p>
    <w:p w14:paraId="43350932">
      <w:pPr>
        <w:bidi w:val="0"/>
      </w:pPr>
    </w:p>
    <w:p w14:paraId="5075E981">
      <w:pPr>
        <w:shd w:val="clear"/>
        <w:rPr>
          <w:rFonts w:ascii="Arial" w:hAnsi="Arial" w:eastAsia="宋体" w:cs="宋体"/>
          <w:highlight w:val="none"/>
        </w:rPr>
      </w:pPr>
    </w:p>
    <w:p w14:paraId="430F83A9">
      <w:pPr>
        <w:pStyle w:val="18"/>
        <w:shd w:val="clear"/>
        <w:rPr>
          <w:rFonts w:ascii="Arial" w:hAnsi="Arial" w:eastAsia="宋体" w:cs="宋体"/>
          <w:highlight w:val="none"/>
        </w:rPr>
      </w:pPr>
    </w:p>
    <w:p w14:paraId="51240E24">
      <w:pPr>
        <w:pStyle w:val="18"/>
        <w:shd w:val="clear"/>
        <w:rPr>
          <w:rFonts w:ascii="Arial" w:hAnsi="Arial" w:eastAsia="宋体" w:cs="宋体"/>
          <w:highlight w:val="none"/>
        </w:rPr>
      </w:pPr>
    </w:p>
    <w:p w14:paraId="136FA152">
      <w:pPr>
        <w:pStyle w:val="18"/>
        <w:shd w:val="clear"/>
        <w:rPr>
          <w:rFonts w:ascii="Arial" w:hAnsi="Arial" w:eastAsia="宋体" w:cs="宋体"/>
          <w:highlight w:val="none"/>
        </w:rPr>
      </w:pPr>
    </w:p>
    <w:p w14:paraId="37887EBB">
      <w:pPr>
        <w:pStyle w:val="18"/>
        <w:shd w:val="clear"/>
        <w:rPr>
          <w:rFonts w:ascii="Arial" w:hAnsi="Arial" w:eastAsia="宋体" w:cs="宋体"/>
          <w:highlight w:val="none"/>
        </w:rPr>
      </w:pPr>
    </w:p>
    <w:p w14:paraId="7506B25A">
      <w:pPr>
        <w:pStyle w:val="18"/>
        <w:shd w:val="clear"/>
        <w:rPr>
          <w:rFonts w:ascii="Arial" w:hAnsi="Arial" w:eastAsia="宋体" w:cs="宋体"/>
          <w:highlight w:val="none"/>
        </w:rPr>
      </w:pPr>
    </w:p>
    <w:p w14:paraId="2B1A77DF">
      <w:pPr>
        <w:widowControl/>
        <w:shd w:val="clear"/>
        <w:spacing w:line="480" w:lineRule="auto"/>
        <w:jc w:val="left"/>
        <w:rPr>
          <w:rStyle w:val="78"/>
          <w:rFonts w:hint="eastAsia" w:ascii="宋体" w:hAnsi="宋体" w:cs="宋体"/>
          <w:bCs/>
          <w:sz w:val="24"/>
          <w:szCs w:val="22"/>
          <w:highlight w:val="none"/>
        </w:rPr>
        <w:sectPr>
          <w:pgSz w:w="11906" w:h="16838"/>
          <w:pgMar w:top="1440" w:right="1800" w:bottom="1440" w:left="1800" w:header="1135" w:footer="1135" w:gutter="0"/>
          <w:pgNumType w:fmt="decimal"/>
          <w:cols w:space="425" w:num="1"/>
          <w:docGrid w:type="lines" w:linePitch="312" w:charSpace="0"/>
        </w:sectPr>
      </w:pPr>
      <w:bookmarkStart w:id="196" w:name="_Toc11552"/>
      <w:bookmarkStart w:id="197" w:name="_Toc11048"/>
    </w:p>
    <w:p w14:paraId="15551E7C">
      <w:pPr>
        <w:pStyle w:val="4"/>
        <w:bidi w:val="0"/>
        <w:jc w:val="left"/>
        <w:rPr>
          <w:rStyle w:val="78"/>
          <w:b/>
          <w:bCs/>
          <w:sz w:val="24"/>
          <w:szCs w:val="22"/>
          <w:highlight w:val="none"/>
        </w:rPr>
      </w:pPr>
      <w:r>
        <w:rPr>
          <w:rStyle w:val="78"/>
          <w:rFonts w:hint="eastAsia" w:ascii="宋体" w:hAnsi="宋体" w:cs="宋体"/>
          <w:b/>
          <w:bCs/>
          <w:sz w:val="24"/>
          <w:szCs w:val="22"/>
          <w:highlight w:val="none"/>
        </w:rPr>
        <w:t>附件1：（如是）中小企业声</w:t>
      </w:r>
      <w:r>
        <w:rPr>
          <w:rStyle w:val="78"/>
          <w:rFonts w:hint="eastAsia" w:cs="Times New Roman"/>
          <w:b/>
          <w:bCs/>
          <w:sz w:val="24"/>
          <w:szCs w:val="22"/>
          <w:highlight w:val="none"/>
        </w:rPr>
        <w:t xml:space="preserve">明函（货物） </w:t>
      </w:r>
    </w:p>
    <w:bookmarkEnd w:id="196"/>
    <w:bookmarkEnd w:id="197"/>
    <w:p w14:paraId="47D372BB">
      <w:pPr>
        <w:widowControl/>
        <w:shd w:val="clear"/>
        <w:spacing w:line="360" w:lineRule="auto"/>
        <w:ind w:firstLine="480" w:firstLineChars="200"/>
        <w:jc w:val="left"/>
        <w:rPr>
          <w:rFonts w:ascii="宋体" w:hAnsi="宋体" w:eastAsia="宋体" w:cs="宋体"/>
          <w:sz w:val="24"/>
          <w:highlight w:val="none"/>
        </w:rPr>
      </w:pPr>
      <w:r>
        <w:rPr>
          <w:rFonts w:hint="eastAsia" w:ascii="宋体" w:hAnsi="宋体" w:eastAsia="宋体" w:cs="宋体"/>
          <w:kern w:val="0"/>
          <w:sz w:val="24"/>
          <w:highlight w:val="none"/>
          <w:lang w:bidi="ar"/>
        </w:rPr>
        <w:t>本公司郑重声明，根据《政府采购促进中小企业发展管理办法》（财库﹝2020﹞46 号）的规定，本公司参加</w:t>
      </w:r>
      <w:r>
        <w:rPr>
          <w:rFonts w:hint="eastAsia" w:ascii="宋体" w:hAnsi="宋体" w:eastAsia="宋体" w:cs="宋体"/>
          <w:kern w:val="0"/>
          <w:sz w:val="24"/>
          <w:highlight w:val="none"/>
          <w:u w:val="single"/>
          <w:lang w:bidi="ar"/>
        </w:rPr>
        <w:t>（单位名称）</w:t>
      </w:r>
      <w:r>
        <w:rPr>
          <w:rFonts w:hint="eastAsia" w:ascii="宋体" w:hAnsi="宋体" w:eastAsia="宋体" w:cs="宋体"/>
          <w:kern w:val="0"/>
          <w:sz w:val="24"/>
          <w:highlight w:val="none"/>
          <w:lang w:bidi="ar"/>
        </w:rPr>
        <w:t>的</w:t>
      </w:r>
      <w:r>
        <w:rPr>
          <w:rFonts w:hint="eastAsia" w:ascii="宋体" w:hAnsi="宋体" w:eastAsia="宋体" w:cs="宋体"/>
          <w:kern w:val="0"/>
          <w:sz w:val="24"/>
          <w:highlight w:val="none"/>
          <w:u w:val="single"/>
          <w:lang w:bidi="ar"/>
        </w:rPr>
        <w:t>（项目名称）</w:t>
      </w:r>
      <w:r>
        <w:rPr>
          <w:rFonts w:hint="eastAsia" w:ascii="宋体" w:hAnsi="宋体" w:eastAsia="宋体" w:cs="宋体"/>
          <w:kern w:val="0"/>
          <w:sz w:val="24"/>
          <w:highlight w:val="none"/>
          <w:u w:val="single"/>
          <w:lang w:val="en-US" w:eastAsia="zh-CN" w:bidi="ar"/>
        </w:rPr>
        <w:t xml:space="preserve"> </w:t>
      </w:r>
      <w:r>
        <w:rPr>
          <w:rFonts w:hint="eastAsia" w:ascii="宋体" w:hAnsi="宋体" w:eastAsia="宋体" w:cs="宋体"/>
          <w:kern w:val="0"/>
          <w:sz w:val="24"/>
          <w:highlight w:val="none"/>
          <w:lang w:bidi="ar"/>
        </w:rPr>
        <w:t xml:space="preserve">采购活动，提供的货物全部由符合政策要求的中小企业制造。相关企业（含联合体中的中小企业、签订分包意向协议的中小企业）的具体情况如下： </w:t>
      </w:r>
    </w:p>
    <w:p w14:paraId="1FA1EF77">
      <w:pPr>
        <w:widowControl/>
        <w:shd w:val="clear"/>
        <w:spacing w:line="360" w:lineRule="auto"/>
        <w:ind w:firstLine="480" w:firstLineChars="200"/>
        <w:jc w:val="left"/>
        <w:rPr>
          <w:rFonts w:ascii="宋体" w:hAnsi="宋体" w:eastAsia="宋体" w:cs="宋体"/>
          <w:sz w:val="24"/>
          <w:highlight w:val="none"/>
        </w:rPr>
      </w:pPr>
      <w:r>
        <w:rPr>
          <w:rFonts w:hint="eastAsia" w:ascii="宋体" w:hAnsi="宋体" w:eastAsia="宋体" w:cs="宋体"/>
          <w:kern w:val="0"/>
          <w:sz w:val="24"/>
          <w:highlight w:val="none"/>
          <w:lang w:bidi="ar"/>
        </w:rPr>
        <w:t>1.</w:t>
      </w:r>
      <w:r>
        <w:rPr>
          <w:rFonts w:hint="eastAsia" w:ascii="宋体" w:hAnsi="宋体" w:eastAsia="宋体" w:cs="宋体"/>
          <w:kern w:val="0"/>
          <w:sz w:val="24"/>
          <w:highlight w:val="none"/>
          <w:u w:val="single"/>
          <w:lang w:bidi="ar"/>
        </w:rPr>
        <w:t xml:space="preserve"> （标的名称）</w:t>
      </w:r>
      <w:r>
        <w:rPr>
          <w:rFonts w:hint="eastAsia" w:ascii="宋体" w:hAnsi="宋体" w:eastAsia="宋体" w:cs="宋体"/>
          <w:kern w:val="0"/>
          <w:sz w:val="24"/>
          <w:highlight w:val="none"/>
          <w:lang w:bidi="ar"/>
        </w:rPr>
        <w:t>，属于（采购文件中明确的所属行业）行业；制造商为（企业名称），从业人员</w:t>
      </w:r>
      <w:r>
        <w:rPr>
          <w:rFonts w:hint="eastAsia" w:ascii="宋体" w:hAnsi="宋体" w:cs="宋体"/>
          <w:kern w:val="0"/>
          <w:sz w:val="24"/>
          <w:highlight w:val="none"/>
          <w:u w:val="single"/>
          <w:lang w:bidi="ar"/>
        </w:rPr>
        <w:t xml:space="preserve">     </w:t>
      </w:r>
      <w:r>
        <w:rPr>
          <w:rFonts w:hint="eastAsia" w:ascii="宋体" w:hAnsi="宋体" w:eastAsia="宋体" w:cs="宋体"/>
          <w:kern w:val="0"/>
          <w:sz w:val="24"/>
          <w:highlight w:val="none"/>
          <w:lang w:bidi="ar"/>
        </w:rPr>
        <w:t>人，营业收入为</w:t>
      </w:r>
      <w:r>
        <w:rPr>
          <w:rFonts w:hint="eastAsia" w:ascii="宋体" w:hAnsi="宋体" w:eastAsia="宋体" w:cs="宋体"/>
          <w:kern w:val="0"/>
          <w:sz w:val="24"/>
          <w:highlight w:val="none"/>
          <w:u w:val="single"/>
          <w:lang w:bidi="ar"/>
        </w:rPr>
        <w:t xml:space="preserve"> </w:t>
      </w:r>
      <w:r>
        <w:rPr>
          <w:rFonts w:hint="eastAsia" w:ascii="宋体" w:hAnsi="宋体" w:cs="宋体"/>
          <w:kern w:val="0"/>
          <w:sz w:val="24"/>
          <w:highlight w:val="none"/>
          <w:u w:val="single"/>
          <w:lang w:bidi="ar"/>
        </w:rPr>
        <w:t xml:space="preserve">   </w:t>
      </w:r>
      <w:r>
        <w:rPr>
          <w:rFonts w:hint="eastAsia" w:ascii="宋体" w:hAnsi="宋体" w:eastAsia="宋体" w:cs="宋体"/>
          <w:kern w:val="0"/>
          <w:sz w:val="24"/>
          <w:highlight w:val="none"/>
          <w:lang w:bidi="ar"/>
        </w:rPr>
        <w:t>万元，资产总额为</w:t>
      </w:r>
      <w:r>
        <w:rPr>
          <w:rFonts w:hint="eastAsia" w:ascii="宋体" w:hAnsi="宋体" w:eastAsia="宋体" w:cs="宋体"/>
          <w:kern w:val="0"/>
          <w:sz w:val="24"/>
          <w:highlight w:val="none"/>
          <w:u w:val="single"/>
          <w:lang w:bidi="ar"/>
        </w:rPr>
        <w:t xml:space="preserve"> </w:t>
      </w:r>
      <w:r>
        <w:rPr>
          <w:rFonts w:hint="eastAsia" w:ascii="宋体" w:hAnsi="宋体" w:cs="宋体"/>
          <w:kern w:val="0"/>
          <w:sz w:val="24"/>
          <w:highlight w:val="none"/>
          <w:u w:val="single"/>
          <w:lang w:bidi="ar"/>
        </w:rPr>
        <w:t xml:space="preserve">   </w:t>
      </w:r>
      <w:r>
        <w:rPr>
          <w:rFonts w:hint="eastAsia" w:ascii="宋体" w:hAnsi="宋体" w:eastAsia="宋体" w:cs="宋体"/>
          <w:kern w:val="0"/>
          <w:sz w:val="24"/>
          <w:highlight w:val="none"/>
          <w:lang w:bidi="ar"/>
        </w:rPr>
        <w:t>万元</w:t>
      </w:r>
      <w:r>
        <w:rPr>
          <w:rFonts w:hint="eastAsia" w:ascii="宋体" w:hAnsi="宋体" w:eastAsia="宋体" w:cs="宋体"/>
          <w:kern w:val="0"/>
          <w:sz w:val="32"/>
          <w:szCs w:val="32"/>
          <w:highlight w:val="none"/>
          <w:vertAlign w:val="superscript"/>
          <w:lang w:bidi="ar"/>
        </w:rPr>
        <w:t>1</w:t>
      </w:r>
      <w:r>
        <w:rPr>
          <w:rFonts w:hint="eastAsia" w:ascii="宋体" w:hAnsi="宋体" w:eastAsia="宋体" w:cs="宋体"/>
          <w:kern w:val="0"/>
          <w:sz w:val="24"/>
          <w:highlight w:val="none"/>
          <w:lang w:bidi="ar"/>
        </w:rPr>
        <w:t>，属于</w:t>
      </w:r>
      <w:r>
        <w:rPr>
          <w:rFonts w:hint="eastAsia" w:ascii="宋体" w:hAnsi="宋体" w:eastAsia="宋体" w:cs="宋体"/>
          <w:kern w:val="0"/>
          <w:sz w:val="24"/>
          <w:highlight w:val="none"/>
          <w:u w:val="single"/>
          <w:lang w:bidi="ar"/>
        </w:rPr>
        <w:t>（中型企业、小 型企业、微型企业）</w:t>
      </w:r>
      <w:r>
        <w:rPr>
          <w:rFonts w:hint="eastAsia" w:ascii="宋体" w:hAnsi="宋体" w:eastAsia="宋体" w:cs="宋体"/>
          <w:kern w:val="0"/>
          <w:sz w:val="24"/>
          <w:highlight w:val="none"/>
          <w:lang w:bidi="ar"/>
        </w:rPr>
        <w:t xml:space="preserve">； </w:t>
      </w:r>
    </w:p>
    <w:p w14:paraId="37EACA01">
      <w:pPr>
        <w:widowControl/>
        <w:shd w:val="clear"/>
        <w:spacing w:line="360" w:lineRule="auto"/>
        <w:ind w:firstLine="480" w:firstLineChars="200"/>
        <w:jc w:val="left"/>
        <w:rPr>
          <w:rFonts w:ascii="宋体" w:hAnsi="宋体" w:eastAsia="宋体" w:cs="宋体"/>
          <w:sz w:val="24"/>
          <w:highlight w:val="none"/>
        </w:rPr>
      </w:pPr>
      <w:r>
        <w:rPr>
          <w:rFonts w:hint="eastAsia" w:ascii="宋体" w:hAnsi="宋体" w:eastAsia="宋体" w:cs="宋体"/>
          <w:kern w:val="0"/>
          <w:sz w:val="24"/>
          <w:highlight w:val="none"/>
          <w:lang w:bidi="ar"/>
        </w:rPr>
        <w:t xml:space="preserve">2. </w:t>
      </w:r>
      <w:r>
        <w:rPr>
          <w:rFonts w:hint="eastAsia" w:ascii="宋体" w:hAnsi="宋体" w:eastAsia="宋体" w:cs="宋体"/>
          <w:kern w:val="0"/>
          <w:sz w:val="24"/>
          <w:highlight w:val="none"/>
          <w:u w:val="single"/>
          <w:lang w:bidi="ar"/>
        </w:rPr>
        <w:t xml:space="preserve">（标的名称） </w:t>
      </w:r>
      <w:r>
        <w:rPr>
          <w:rFonts w:hint="eastAsia" w:ascii="宋体" w:hAnsi="宋体" w:eastAsia="宋体" w:cs="宋体"/>
          <w:kern w:val="0"/>
          <w:sz w:val="24"/>
          <w:highlight w:val="none"/>
          <w:lang w:bidi="ar"/>
        </w:rPr>
        <w:t>，属于</w:t>
      </w:r>
      <w:r>
        <w:rPr>
          <w:rFonts w:hint="eastAsia" w:ascii="宋体" w:hAnsi="宋体" w:eastAsia="宋体" w:cs="宋体"/>
          <w:kern w:val="0"/>
          <w:sz w:val="24"/>
          <w:highlight w:val="none"/>
          <w:u w:val="single"/>
          <w:lang w:bidi="ar"/>
        </w:rPr>
        <w:t xml:space="preserve">（采购文件中明确的所属行业） </w:t>
      </w:r>
      <w:r>
        <w:rPr>
          <w:rFonts w:hint="eastAsia" w:ascii="宋体" w:hAnsi="宋体" w:eastAsia="宋体" w:cs="宋体"/>
          <w:kern w:val="0"/>
          <w:sz w:val="24"/>
          <w:highlight w:val="none"/>
          <w:lang w:bidi="ar"/>
        </w:rPr>
        <w:t>行业；制造商为</w:t>
      </w:r>
      <w:r>
        <w:rPr>
          <w:rFonts w:hint="eastAsia" w:ascii="宋体" w:hAnsi="宋体" w:eastAsia="宋体" w:cs="宋体"/>
          <w:kern w:val="0"/>
          <w:sz w:val="24"/>
          <w:highlight w:val="none"/>
          <w:u w:val="single"/>
          <w:lang w:bidi="ar"/>
        </w:rPr>
        <w:t>（企业名称）</w:t>
      </w:r>
      <w:r>
        <w:rPr>
          <w:rFonts w:hint="eastAsia" w:ascii="宋体" w:hAnsi="宋体" w:eastAsia="宋体" w:cs="宋体"/>
          <w:kern w:val="0"/>
          <w:sz w:val="24"/>
          <w:highlight w:val="none"/>
          <w:lang w:bidi="ar"/>
        </w:rPr>
        <w:t>，从业人员</w:t>
      </w:r>
      <w:r>
        <w:rPr>
          <w:rFonts w:hint="eastAsia" w:ascii="宋体" w:hAnsi="宋体" w:cs="宋体"/>
          <w:kern w:val="0"/>
          <w:sz w:val="24"/>
          <w:highlight w:val="none"/>
          <w:u w:val="single"/>
          <w:lang w:bidi="ar"/>
        </w:rPr>
        <w:t xml:space="preserve">    </w:t>
      </w:r>
      <w:r>
        <w:rPr>
          <w:rFonts w:hint="eastAsia" w:ascii="宋体" w:hAnsi="宋体" w:eastAsia="宋体" w:cs="宋体"/>
          <w:kern w:val="0"/>
          <w:sz w:val="24"/>
          <w:highlight w:val="none"/>
          <w:lang w:bidi="ar"/>
        </w:rPr>
        <w:t>人，营业收入为</w:t>
      </w:r>
      <w:r>
        <w:rPr>
          <w:rFonts w:hint="eastAsia" w:ascii="宋体" w:hAnsi="宋体" w:cs="宋体"/>
          <w:kern w:val="0"/>
          <w:sz w:val="24"/>
          <w:highlight w:val="none"/>
          <w:u w:val="single"/>
          <w:lang w:bidi="ar"/>
        </w:rPr>
        <w:t xml:space="preserve">    </w:t>
      </w:r>
      <w:r>
        <w:rPr>
          <w:rFonts w:hint="eastAsia" w:ascii="宋体" w:hAnsi="宋体" w:eastAsia="宋体" w:cs="宋体"/>
          <w:kern w:val="0"/>
          <w:sz w:val="24"/>
          <w:highlight w:val="none"/>
          <w:lang w:bidi="ar"/>
        </w:rPr>
        <w:t>万元，资产总额为</w:t>
      </w:r>
      <w:r>
        <w:rPr>
          <w:rFonts w:hint="eastAsia" w:ascii="宋体" w:hAnsi="宋体" w:cs="宋体"/>
          <w:kern w:val="0"/>
          <w:sz w:val="24"/>
          <w:highlight w:val="none"/>
          <w:u w:val="single"/>
          <w:lang w:bidi="ar"/>
        </w:rPr>
        <w:t xml:space="preserve">    </w:t>
      </w:r>
      <w:r>
        <w:rPr>
          <w:rFonts w:hint="eastAsia" w:ascii="宋体" w:hAnsi="宋体" w:eastAsia="宋体" w:cs="宋体"/>
          <w:kern w:val="0"/>
          <w:sz w:val="24"/>
          <w:highlight w:val="none"/>
          <w:lang w:bidi="ar"/>
        </w:rPr>
        <w:t>万元，属于</w:t>
      </w:r>
      <w:r>
        <w:rPr>
          <w:rFonts w:hint="eastAsia" w:ascii="宋体" w:hAnsi="宋体" w:eastAsia="宋体" w:cs="宋体"/>
          <w:kern w:val="0"/>
          <w:sz w:val="24"/>
          <w:highlight w:val="none"/>
          <w:u w:val="single"/>
          <w:lang w:bidi="ar"/>
        </w:rPr>
        <w:t>（中型企业、小型 企业、微型企业）</w:t>
      </w:r>
      <w:r>
        <w:rPr>
          <w:rFonts w:hint="eastAsia" w:ascii="宋体" w:hAnsi="宋体" w:eastAsia="宋体" w:cs="宋体"/>
          <w:kern w:val="0"/>
          <w:sz w:val="24"/>
          <w:highlight w:val="none"/>
          <w:lang w:bidi="ar"/>
        </w:rPr>
        <w:t xml:space="preserve">； </w:t>
      </w:r>
    </w:p>
    <w:p w14:paraId="77FEFC7C">
      <w:pPr>
        <w:widowControl/>
        <w:shd w:val="clear"/>
        <w:spacing w:line="360" w:lineRule="auto"/>
        <w:jc w:val="left"/>
        <w:rPr>
          <w:rFonts w:ascii="宋体" w:hAnsi="宋体" w:eastAsia="宋体" w:cs="宋体"/>
          <w:sz w:val="24"/>
          <w:highlight w:val="none"/>
        </w:rPr>
      </w:pPr>
      <w:r>
        <w:rPr>
          <w:rFonts w:hint="eastAsia" w:ascii="宋体" w:hAnsi="宋体" w:eastAsia="宋体" w:cs="宋体"/>
          <w:kern w:val="0"/>
          <w:sz w:val="24"/>
          <w:highlight w:val="none"/>
          <w:lang w:bidi="ar"/>
        </w:rPr>
        <w:t>……</w:t>
      </w:r>
    </w:p>
    <w:p w14:paraId="13556CA8">
      <w:pPr>
        <w:widowControl/>
        <w:shd w:val="clear"/>
        <w:spacing w:line="360" w:lineRule="auto"/>
        <w:ind w:firstLine="480" w:firstLineChars="200"/>
        <w:jc w:val="left"/>
        <w:rPr>
          <w:rFonts w:ascii="宋体" w:hAnsi="宋体" w:eastAsia="宋体" w:cs="宋体"/>
          <w:sz w:val="24"/>
          <w:highlight w:val="none"/>
        </w:rPr>
      </w:pPr>
      <w:r>
        <w:rPr>
          <w:rFonts w:hint="eastAsia" w:ascii="宋体" w:hAnsi="宋体" w:eastAsia="宋体" w:cs="宋体"/>
          <w:kern w:val="0"/>
          <w:sz w:val="24"/>
          <w:highlight w:val="none"/>
          <w:lang w:bidi="ar"/>
        </w:rPr>
        <w:t>以上企业，不属于大企业的分支机构，不存在控股股东为大企业的情形，也不存在与大企业的负责人为同一人的情形。</w:t>
      </w:r>
    </w:p>
    <w:p w14:paraId="727E46A4">
      <w:pPr>
        <w:widowControl/>
        <w:shd w:val="clear"/>
        <w:spacing w:line="360" w:lineRule="auto"/>
        <w:ind w:firstLine="480" w:firstLineChars="200"/>
        <w:jc w:val="left"/>
        <w:rPr>
          <w:rFonts w:ascii="宋体" w:hAnsi="宋体" w:eastAsia="宋体" w:cs="宋体"/>
          <w:sz w:val="24"/>
          <w:highlight w:val="none"/>
        </w:rPr>
      </w:pPr>
      <w:r>
        <w:rPr>
          <w:rFonts w:hint="eastAsia" w:ascii="宋体" w:hAnsi="宋体" w:eastAsia="宋体" w:cs="宋体"/>
          <w:kern w:val="0"/>
          <w:sz w:val="24"/>
          <w:highlight w:val="none"/>
          <w:lang w:bidi="ar"/>
        </w:rPr>
        <w:t xml:space="preserve">本企业对上述声明内容的真实性负责。如有虚假，将依法承担相应责任。 </w:t>
      </w:r>
    </w:p>
    <w:p w14:paraId="5B9547E7">
      <w:pPr>
        <w:widowControl/>
        <w:shd w:val="clear"/>
        <w:spacing w:line="360" w:lineRule="auto"/>
        <w:jc w:val="left"/>
        <w:rPr>
          <w:rFonts w:ascii="宋体" w:hAnsi="宋体" w:eastAsia="宋体" w:cs="宋体"/>
          <w:kern w:val="0"/>
          <w:sz w:val="24"/>
          <w:highlight w:val="none"/>
          <w:lang w:bidi="ar"/>
        </w:rPr>
      </w:pPr>
    </w:p>
    <w:p w14:paraId="42A08156">
      <w:pPr>
        <w:widowControl/>
        <w:shd w:val="clear"/>
        <w:spacing w:line="360" w:lineRule="auto"/>
        <w:ind w:firstLine="4560" w:firstLineChars="1900"/>
        <w:jc w:val="left"/>
        <w:rPr>
          <w:rFonts w:ascii="宋体" w:hAnsi="宋体" w:eastAsia="宋体" w:cs="宋体"/>
          <w:sz w:val="24"/>
          <w:highlight w:val="none"/>
        </w:rPr>
      </w:pPr>
      <w:r>
        <w:rPr>
          <w:rFonts w:hint="eastAsia" w:ascii="宋体" w:hAnsi="宋体" w:eastAsia="宋体" w:cs="宋体"/>
          <w:kern w:val="0"/>
          <w:sz w:val="24"/>
          <w:highlight w:val="none"/>
          <w:lang w:bidi="ar"/>
        </w:rPr>
        <w:t xml:space="preserve">企业名称（盖章）： </w:t>
      </w:r>
    </w:p>
    <w:p w14:paraId="748554DE">
      <w:pPr>
        <w:widowControl/>
        <w:shd w:val="clear"/>
        <w:spacing w:line="360" w:lineRule="auto"/>
        <w:ind w:firstLine="4560" w:firstLineChars="1900"/>
        <w:jc w:val="left"/>
        <w:rPr>
          <w:rFonts w:cs="宋体"/>
          <w:highlight w:val="none"/>
        </w:rPr>
      </w:pPr>
      <w:r>
        <w:rPr>
          <w:rFonts w:hint="eastAsia" w:ascii="宋体" w:hAnsi="宋体" w:eastAsia="宋体" w:cs="宋体"/>
          <w:kern w:val="0"/>
          <w:sz w:val="24"/>
          <w:highlight w:val="none"/>
          <w:lang w:bidi="ar"/>
        </w:rPr>
        <w:t>日</w:t>
      </w:r>
      <w:r>
        <w:rPr>
          <w:rFonts w:hint="eastAsia" w:ascii="宋体" w:hAnsi="宋体" w:cs="宋体"/>
          <w:kern w:val="0"/>
          <w:sz w:val="24"/>
          <w:highlight w:val="none"/>
          <w:lang w:bidi="ar"/>
        </w:rPr>
        <w:t xml:space="preserve">   </w:t>
      </w:r>
      <w:r>
        <w:rPr>
          <w:rFonts w:hint="eastAsia" w:ascii="宋体" w:hAnsi="宋体" w:eastAsia="宋体" w:cs="宋体"/>
          <w:kern w:val="0"/>
          <w:sz w:val="24"/>
          <w:highlight w:val="none"/>
          <w:lang w:bidi="ar"/>
        </w:rPr>
        <w:t xml:space="preserve"> 期</w:t>
      </w:r>
      <w:r>
        <w:rPr>
          <w:rFonts w:hint="eastAsia" w:ascii="宋体" w:hAnsi="宋体" w:cs="宋体"/>
          <w:kern w:val="0"/>
          <w:sz w:val="24"/>
          <w:highlight w:val="none"/>
          <w:lang w:bidi="ar"/>
        </w:rPr>
        <w:t>：</w:t>
      </w:r>
    </w:p>
    <w:p w14:paraId="6BC07510">
      <w:pPr>
        <w:pStyle w:val="37"/>
        <w:shd w:val="clear"/>
        <w:spacing w:line="432" w:lineRule="auto"/>
        <w:rPr>
          <w:rFonts w:hint="default" w:cs="宋体"/>
          <w:highlight w:val="none"/>
        </w:rPr>
      </w:pPr>
    </w:p>
    <w:p w14:paraId="522FE6B7">
      <w:pPr>
        <w:pStyle w:val="37"/>
        <w:shd w:val="clear"/>
        <w:spacing w:line="360" w:lineRule="auto"/>
        <w:ind w:firstLine="480"/>
        <w:rPr>
          <w:rFonts w:hint="default" w:cs="宋体"/>
          <w:highlight w:val="none"/>
        </w:rPr>
      </w:pPr>
      <w:r>
        <w:rPr>
          <w:rFonts w:cs="宋体"/>
          <w:highlight w:val="none"/>
        </w:rPr>
        <w:t>从业人员、营业收入、资产总额填报上一年度数据，无上一年度数据的新成立企业可不填报。</w:t>
      </w:r>
    </w:p>
    <w:p w14:paraId="3081E8CA">
      <w:pPr>
        <w:pStyle w:val="28"/>
        <w:shd w:val="clear"/>
        <w:rPr>
          <w:rFonts w:cs="宋体"/>
          <w:highlight w:val="none"/>
        </w:rPr>
      </w:pPr>
    </w:p>
    <w:p w14:paraId="4334E962">
      <w:pPr>
        <w:pStyle w:val="28"/>
        <w:shd w:val="clear"/>
        <w:rPr>
          <w:rFonts w:cs="宋体"/>
          <w:highlight w:val="none"/>
        </w:rPr>
      </w:pPr>
    </w:p>
    <w:p w14:paraId="6FA9947C">
      <w:pPr>
        <w:pStyle w:val="28"/>
        <w:shd w:val="clear"/>
        <w:rPr>
          <w:rFonts w:cs="宋体"/>
          <w:highlight w:val="none"/>
        </w:rPr>
      </w:pPr>
    </w:p>
    <w:p w14:paraId="348F4CC6">
      <w:pPr>
        <w:pStyle w:val="28"/>
        <w:shd w:val="clear"/>
        <w:rPr>
          <w:rFonts w:cs="宋体"/>
          <w:highlight w:val="none"/>
        </w:rPr>
      </w:pPr>
    </w:p>
    <w:p w14:paraId="651CA353">
      <w:pPr>
        <w:pStyle w:val="28"/>
        <w:shd w:val="clear"/>
        <w:rPr>
          <w:rFonts w:cs="宋体"/>
          <w:highlight w:val="none"/>
        </w:rPr>
      </w:pPr>
    </w:p>
    <w:p w14:paraId="4C9F0E27">
      <w:pPr>
        <w:shd w:val="clear"/>
        <w:rPr>
          <w:rFonts w:ascii="Times New Roman" w:hAnsi="Times New Roman" w:eastAsia="宋体" w:cs="宋体"/>
          <w:highlight w:val="none"/>
        </w:rPr>
      </w:pPr>
      <w:r>
        <w:rPr>
          <w:rFonts w:hint="eastAsia" w:ascii="Times New Roman" w:hAnsi="Times New Roman" w:eastAsia="宋体" w:cs="宋体"/>
          <w:highlight w:val="none"/>
        </w:rPr>
        <w:br w:type="page"/>
      </w:r>
    </w:p>
    <w:p w14:paraId="69D7005A">
      <w:pPr>
        <w:pStyle w:val="4"/>
        <w:widowControl/>
        <w:shd w:val="clear"/>
        <w:spacing w:before="624"/>
        <w:jc w:val="left"/>
        <w:rPr>
          <w:rFonts w:ascii="宋体" w:hAnsi="宋体" w:cs="宋体"/>
          <w:highlight w:val="none"/>
        </w:rPr>
      </w:pPr>
      <w:bookmarkStart w:id="198" w:name="_Toc9992"/>
      <w:bookmarkStart w:id="199" w:name="_Toc24969"/>
      <w:bookmarkStart w:id="200" w:name="_Toc10465"/>
      <w:r>
        <w:rPr>
          <w:rFonts w:hint="eastAsia" w:ascii="宋体" w:hAnsi="宋体" w:cs="宋体"/>
          <w:highlight w:val="none"/>
        </w:rPr>
        <w:t>附件</w:t>
      </w:r>
      <w:r>
        <w:rPr>
          <w:rFonts w:hint="eastAsia" w:ascii="宋体" w:hAnsi="宋体" w:cs="宋体"/>
          <w:highlight w:val="none"/>
          <w:lang w:val="en-US" w:eastAsia="zh-CN"/>
        </w:rPr>
        <w:t>2</w:t>
      </w:r>
      <w:r>
        <w:rPr>
          <w:rFonts w:hint="eastAsia" w:ascii="宋体" w:hAnsi="宋体" w:cs="宋体"/>
          <w:highlight w:val="none"/>
        </w:rPr>
        <w:t>：</w:t>
      </w:r>
      <w:bookmarkStart w:id="201" w:name="OLE_LINK13"/>
      <w:bookmarkStart w:id="202" w:name="OLE_LINK14"/>
      <w:r>
        <w:rPr>
          <w:rFonts w:hint="eastAsia" w:ascii="宋体" w:hAnsi="宋体" w:cs="宋体"/>
          <w:highlight w:val="none"/>
        </w:rPr>
        <w:t>（如是）残疾人福利性单位声明函</w:t>
      </w:r>
      <w:bookmarkEnd w:id="198"/>
      <w:bookmarkEnd w:id="199"/>
      <w:bookmarkEnd w:id="200"/>
    </w:p>
    <w:bookmarkEnd w:id="201"/>
    <w:bookmarkEnd w:id="202"/>
    <w:p w14:paraId="157490CD">
      <w:pPr>
        <w:shd w:val="clear"/>
        <w:spacing w:line="588" w:lineRule="exact"/>
        <w:rPr>
          <w:rFonts w:ascii="宋体" w:hAnsi="宋体" w:eastAsia="宋体" w:cs="宋体"/>
          <w:b/>
          <w:spacing w:val="6"/>
          <w:sz w:val="24"/>
          <w:highlight w:val="none"/>
        </w:rPr>
      </w:pPr>
    </w:p>
    <w:p w14:paraId="6C9A9267">
      <w:pPr>
        <w:shd w:val="clear"/>
        <w:spacing w:line="360" w:lineRule="auto"/>
        <w:ind w:firstLine="504" w:firstLineChars="200"/>
        <w:rPr>
          <w:rFonts w:ascii="宋体" w:hAnsi="宋体" w:eastAsia="宋体" w:cs="宋体"/>
          <w:spacing w:val="6"/>
          <w:sz w:val="24"/>
          <w:highlight w:val="none"/>
        </w:rPr>
      </w:pPr>
      <w:r>
        <w:rPr>
          <w:rFonts w:hint="eastAsia" w:ascii="宋体" w:hAnsi="宋体" w:eastAsia="宋体" w:cs="宋体"/>
          <w:spacing w:val="6"/>
          <w:sz w:val="24"/>
          <w:highlight w:val="none"/>
          <w:lang w:bidi="ar"/>
        </w:rPr>
        <w:t>本单位郑重声明，根据《财政部 民政部 中国残疾人联合会关于促进残疾人就业政府采购政策的通知》（财库</w:t>
      </w:r>
      <w:r>
        <w:rPr>
          <w:rFonts w:hint="eastAsia" w:ascii="宋体" w:hAnsi="宋体" w:eastAsia="宋体" w:cs="宋体"/>
          <w:sz w:val="24"/>
          <w:highlight w:val="none"/>
          <w:lang w:bidi="ar"/>
        </w:rPr>
        <w:t>〔2017〕 141</w:t>
      </w:r>
      <w:r>
        <w:rPr>
          <w:rFonts w:hint="eastAsia" w:ascii="宋体" w:hAnsi="宋体" w:eastAsia="宋体" w:cs="宋体"/>
          <w:spacing w:val="6"/>
          <w:sz w:val="24"/>
          <w:highlight w:val="none"/>
          <w:lang w:bidi="ar"/>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03A3810B">
      <w:pPr>
        <w:shd w:val="clear"/>
        <w:spacing w:line="360" w:lineRule="auto"/>
        <w:ind w:firstLine="504" w:firstLineChars="200"/>
        <w:rPr>
          <w:rFonts w:ascii="宋体" w:hAnsi="宋体" w:eastAsia="宋体" w:cs="宋体"/>
          <w:spacing w:val="6"/>
          <w:sz w:val="24"/>
          <w:highlight w:val="none"/>
        </w:rPr>
      </w:pPr>
      <w:r>
        <w:rPr>
          <w:rFonts w:hint="eastAsia" w:ascii="宋体" w:hAnsi="宋体" w:eastAsia="宋体" w:cs="宋体"/>
          <w:spacing w:val="6"/>
          <w:sz w:val="24"/>
          <w:highlight w:val="none"/>
          <w:lang w:bidi="ar"/>
        </w:rPr>
        <w:t>本单位对上述声明的真实性负责。如有虚假，将依法承担相应责任。</w:t>
      </w:r>
    </w:p>
    <w:p w14:paraId="5165D203">
      <w:pPr>
        <w:shd w:val="clear"/>
        <w:spacing w:line="588" w:lineRule="exact"/>
        <w:ind w:firstLine="504" w:firstLineChars="200"/>
        <w:rPr>
          <w:rFonts w:ascii="宋体" w:hAnsi="宋体" w:eastAsia="宋体" w:cs="宋体"/>
          <w:spacing w:val="6"/>
          <w:sz w:val="24"/>
          <w:highlight w:val="none"/>
        </w:rPr>
      </w:pPr>
    </w:p>
    <w:p w14:paraId="448796B3">
      <w:pPr>
        <w:shd w:val="clear"/>
        <w:tabs>
          <w:tab w:val="left" w:pos="4860"/>
        </w:tabs>
        <w:spacing w:line="588" w:lineRule="exact"/>
        <w:ind w:right="1560" w:firstLine="504" w:firstLineChars="200"/>
        <w:jc w:val="center"/>
        <w:rPr>
          <w:rFonts w:ascii="宋体" w:hAnsi="宋体" w:eastAsia="宋体" w:cs="宋体"/>
          <w:spacing w:val="6"/>
          <w:sz w:val="24"/>
          <w:highlight w:val="none"/>
        </w:rPr>
      </w:pPr>
      <w:r>
        <w:rPr>
          <w:rFonts w:hint="eastAsia" w:ascii="宋体" w:hAnsi="宋体" w:eastAsia="宋体" w:cs="宋体"/>
          <w:spacing w:val="6"/>
          <w:sz w:val="24"/>
          <w:highlight w:val="none"/>
          <w:lang w:bidi="ar"/>
        </w:rPr>
        <w:t xml:space="preserve">            </w:t>
      </w:r>
    </w:p>
    <w:p w14:paraId="7B2CCDE9">
      <w:pPr>
        <w:shd w:val="clear"/>
        <w:tabs>
          <w:tab w:val="left" w:pos="4860"/>
        </w:tabs>
        <w:spacing w:line="588" w:lineRule="exact"/>
        <w:ind w:right="1560" w:firstLine="504" w:firstLineChars="200"/>
        <w:jc w:val="center"/>
        <w:rPr>
          <w:rFonts w:ascii="宋体" w:hAnsi="宋体" w:eastAsia="宋体" w:cs="宋体"/>
          <w:spacing w:val="6"/>
          <w:sz w:val="24"/>
          <w:highlight w:val="none"/>
        </w:rPr>
      </w:pPr>
      <w:r>
        <w:rPr>
          <w:rFonts w:hint="eastAsia" w:ascii="宋体" w:hAnsi="宋体" w:eastAsia="宋体" w:cs="宋体"/>
          <w:spacing w:val="6"/>
          <w:sz w:val="24"/>
          <w:highlight w:val="none"/>
          <w:lang w:bidi="ar"/>
        </w:rPr>
        <w:t xml:space="preserve">                 单位名称（盖章）：</w:t>
      </w:r>
    </w:p>
    <w:p w14:paraId="5872CE4A">
      <w:pPr>
        <w:shd w:val="clear"/>
        <w:tabs>
          <w:tab w:val="left" w:pos="4860"/>
        </w:tabs>
        <w:spacing w:line="588" w:lineRule="exact"/>
        <w:ind w:right="1560" w:firstLine="504" w:firstLineChars="200"/>
        <w:jc w:val="center"/>
        <w:rPr>
          <w:rFonts w:ascii="宋体" w:hAnsi="宋体" w:eastAsia="宋体" w:cs="宋体"/>
          <w:spacing w:val="6"/>
          <w:sz w:val="24"/>
          <w:highlight w:val="none"/>
        </w:rPr>
      </w:pPr>
      <w:r>
        <w:rPr>
          <w:rFonts w:hint="eastAsia" w:ascii="宋体" w:hAnsi="宋体" w:eastAsia="宋体" w:cs="宋体"/>
          <w:spacing w:val="6"/>
          <w:sz w:val="24"/>
          <w:highlight w:val="none"/>
          <w:lang w:bidi="ar"/>
        </w:rPr>
        <w:t xml:space="preserve">       日  期：</w:t>
      </w:r>
    </w:p>
    <w:p w14:paraId="5A949F47">
      <w:pPr>
        <w:pStyle w:val="16"/>
        <w:widowControl/>
        <w:shd w:val="clear"/>
        <w:rPr>
          <w:rFonts w:ascii="宋体" w:hAnsi="宋体" w:cs="宋体"/>
          <w:highlight w:val="none"/>
        </w:rPr>
      </w:pPr>
    </w:p>
    <w:p w14:paraId="505632BD">
      <w:pPr>
        <w:shd w:val="clear"/>
        <w:spacing w:line="520" w:lineRule="exact"/>
        <w:rPr>
          <w:rFonts w:ascii="宋体" w:hAnsi="宋体" w:eastAsia="宋体" w:cs="宋体"/>
          <w:sz w:val="24"/>
          <w:highlight w:val="none"/>
        </w:rPr>
      </w:pPr>
    </w:p>
    <w:p w14:paraId="31F6607F">
      <w:pPr>
        <w:shd w:val="clear"/>
        <w:spacing w:line="520" w:lineRule="exact"/>
        <w:rPr>
          <w:rFonts w:ascii="宋体" w:hAnsi="宋体" w:eastAsia="宋体" w:cs="宋体"/>
          <w:sz w:val="24"/>
          <w:highlight w:val="none"/>
        </w:rPr>
      </w:pPr>
    </w:p>
    <w:p w14:paraId="3D63643E">
      <w:pPr>
        <w:pStyle w:val="27"/>
        <w:widowControl/>
        <w:shd w:val="clear"/>
        <w:rPr>
          <w:rFonts w:ascii="宋体" w:hAnsi="宋体" w:cs="宋体"/>
          <w:sz w:val="24"/>
          <w:szCs w:val="24"/>
          <w:highlight w:val="none"/>
        </w:rPr>
      </w:pPr>
    </w:p>
    <w:p w14:paraId="41DEEE8F">
      <w:pPr>
        <w:pStyle w:val="27"/>
        <w:widowControl/>
        <w:shd w:val="clear"/>
        <w:rPr>
          <w:rFonts w:ascii="宋体" w:hAnsi="宋体" w:cs="宋体"/>
          <w:sz w:val="24"/>
          <w:szCs w:val="24"/>
          <w:highlight w:val="none"/>
        </w:rPr>
      </w:pPr>
    </w:p>
    <w:p w14:paraId="2D9F4A57">
      <w:pPr>
        <w:pStyle w:val="27"/>
        <w:widowControl/>
        <w:shd w:val="clear"/>
        <w:rPr>
          <w:rFonts w:ascii="宋体" w:hAnsi="宋体" w:cs="宋体"/>
          <w:sz w:val="24"/>
          <w:szCs w:val="24"/>
          <w:highlight w:val="none"/>
        </w:rPr>
      </w:pPr>
    </w:p>
    <w:p w14:paraId="3E21DCDE">
      <w:pPr>
        <w:pStyle w:val="27"/>
        <w:widowControl/>
        <w:shd w:val="clear"/>
        <w:rPr>
          <w:rFonts w:ascii="宋体" w:hAnsi="宋体" w:cs="宋体"/>
          <w:sz w:val="24"/>
          <w:szCs w:val="24"/>
          <w:highlight w:val="none"/>
        </w:rPr>
      </w:pPr>
    </w:p>
    <w:p w14:paraId="079CA388">
      <w:pPr>
        <w:pStyle w:val="27"/>
        <w:widowControl/>
        <w:shd w:val="clear"/>
        <w:rPr>
          <w:rFonts w:ascii="宋体" w:hAnsi="宋体" w:cs="宋体"/>
          <w:sz w:val="24"/>
          <w:szCs w:val="24"/>
          <w:highlight w:val="none"/>
        </w:rPr>
      </w:pPr>
    </w:p>
    <w:p w14:paraId="3DDD86A1">
      <w:pPr>
        <w:pStyle w:val="27"/>
        <w:widowControl/>
        <w:shd w:val="clear"/>
        <w:rPr>
          <w:rFonts w:ascii="宋体" w:hAnsi="宋体" w:cs="宋体"/>
          <w:sz w:val="24"/>
          <w:szCs w:val="24"/>
          <w:highlight w:val="none"/>
        </w:rPr>
      </w:pPr>
    </w:p>
    <w:p w14:paraId="15836F30">
      <w:pPr>
        <w:pStyle w:val="27"/>
        <w:widowControl/>
        <w:shd w:val="clear"/>
        <w:rPr>
          <w:rFonts w:ascii="宋体" w:hAnsi="宋体" w:cs="宋体"/>
          <w:sz w:val="24"/>
          <w:szCs w:val="24"/>
          <w:highlight w:val="none"/>
        </w:rPr>
      </w:pPr>
    </w:p>
    <w:p w14:paraId="54BCB8A2">
      <w:pPr>
        <w:pStyle w:val="27"/>
        <w:widowControl/>
        <w:shd w:val="clear"/>
        <w:rPr>
          <w:rFonts w:ascii="宋体" w:hAnsi="宋体" w:cs="宋体"/>
          <w:sz w:val="24"/>
          <w:szCs w:val="24"/>
          <w:highlight w:val="none"/>
        </w:rPr>
      </w:pPr>
    </w:p>
    <w:p w14:paraId="1E9DFC35">
      <w:pPr>
        <w:pStyle w:val="27"/>
        <w:widowControl/>
        <w:shd w:val="clear"/>
        <w:rPr>
          <w:rFonts w:ascii="宋体" w:hAnsi="宋体" w:cs="宋体"/>
          <w:sz w:val="24"/>
          <w:szCs w:val="24"/>
          <w:highlight w:val="none"/>
        </w:rPr>
      </w:pPr>
    </w:p>
    <w:p w14:paraId="0F199871">
      <w:pPr>
        <w:pStyle w:val="27"/>
        <w:widowControl/>
        <w:shd w:val="clear"/>
        <w:rPr>
          <w:rFonts w:ascii="宋体" w:hAnsi="宋体" w:cs="宋体"/>
          <w:sz w:val="24"/>
          <w:szCs w:val="24"/>
          <w:highlight w:val="none"/>
        </w:rPr>
      </w:pPr>
    </w:p>
    <w:p w14:paraId="7978B407">
      <w:pPr>
        <w:pStyle w:val="27"/>
        <w:widowControl/>
        <w:shd w:val="clear"/>
        <w:rPr>
          <w:rFonts w:ascii="宋体" w:hAnsi="宋体" w:cs="宋体"/>
          <w:sz w:val="24"/>
          <w:szCs w:val="24"/>
          <w:highlight w:val="none"/>
        </w:rPr>
      </w:pPr>
    </w:p>
    <w:p w14:paraId="531201A3">
      <w:pPr>
        <w:shd w:val="clear"/>
        <w:rPr>
          <w:rFonts w:ascii="宋体" w:hAnsi="宋体" w:eastAsia="宋体" w:cs="宋体"/>
          <w:sz w:val="28"/>
          <w:szCs w:val="28"/>
          <w:highlight w:val="none"/>
        </w:rPr>
      </w:pPr>
      <w:r>
        <w:rPr>
          <w:rFonts w:hint="eastAsia" w:ascii="宋体" w:hAnsi="宋体" w:eastAsia="宋体" w:cs="宋体"/>
          <w:sz w:val="28"/>
          <w:szCs w:val="28"/>
          <w:highlight w:val="none"/>
        </w:rPr>
        <w:br w:type="page"/>
      </w:r>
    </w:p>
    <w:p w14:paraId="3E551F62">
      <w:pPr>
        <w:pStyle w:val="4"/>
        <w:widowControl/>
        <w:shd w:val="clear"/>
        <w:spacing w:before="624"/>
        <w:jc w:val="left"/>
        <w:rPr>
          <w:rFonts w:hint="eastAsia" w:ascii="宋体" w:hAnsi="宋体" w:cs="宋体"/>
          <w:highlight w:val="none"/>
        </w:rPr>
      </w:pPr>
      <w:bookmarkStart w:id="203" w:name="_Toc6125"/>
      <w:bookmarkStart w:id="204" w:name="_Toc24818"/>
      <w:bookmarkStart w:id="205" w:name="_Toc5078"/>
      <w:r>
        <w:rPr>
          <w:rFonts w:hint="eastAsia" w:ascii="宋体" w:hAnsi="宋体" w:cs="宋体"/>
          <w:highlight w:val="none"/>
        </w:rPr>
        <w:t>附件</w:t>
      </w:r>
      <w:r>
        <w:rPr>
          <w:rFonts w:hint="eastAsia" w:ascii="宋体" w:hAnsi="宋体" w:cs="宋体"/>
          <w:highlight w:val="none"/>
          <w:lang w:val="en-US" w:eastAsia="zh-CN"/>
        </w:rPr>
        <w:t>3</w:t>
      </w:r>
      <w:r>
        <w:rPr>
          <w:rFonts w:hint="eastAsia" w:ascii="宋体" w:hAnsi="宋体" w:cs="宋体"/>
          <w:highlight w:val="none"/>
        </w:rPr>
        <w:t>：“节能产品”、“环境标志产品”证明材料（如有）</w:t>
      </w:r>
    </w:p>
    <w:p w14:paraId="417EEFF9">
      <w:pPr>
        <w:bidi w:val="0"/>
        <w:rPr>
          <w:rFonts w:hint="eastAsia"/>
        </w:rPr>
      </w:pPr>
      <w:r>
        <w:rPr>
          <w:rFonts w:hint="eastAsia"/>
        </w:rPr>
        <w:t>说明：</w:t>
      </w:r>
    </w:p>
    <w:p w14:paraId="6F28CC04">
      <w:pPr>
        <w:bidi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1、供应商提供的产品属于下列情形，应按第五章评标办法第4条规定提供相关证明材料(清单或目录所在页复印件)，并在《货物分项报价表》中提供相应数据。</w:t>
      </w:r>
    </w:p>
    <w:p w14:paraId="6814A818">
      <w:pPr>
        <w:bidi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（1）符合政府采购强制采购政策的(《节能产品政府采购清单》中标记★符号节能产品及其他强制采购产品)；</w:t>
      </w:r>
    </w:p>
    <w:p w14:paraId="433E9D10">
      <w:pPr>
        <w:bidi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（2）符合政府采购优先采购政策的(《节能产品政府采购清单》中非标记★符号节能产品，《环境标志产品政府采购清单》中环境标志产品。</w:t>
      </w:r>
    </w:p>
    <w:p w14:paraId="5E6C418D">
      <w:pPr>
        <w:bidi w:val="0"/>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2、未按上述要求提供、填写的，评标时不予以考虑。</w:t>
      </w:r>
    </w:p>
    <w:p w14:paraId="42263147">
      <w:pPr>
        <w:bidi w:val="0"/>
        <w:spacing w:line="360" w:lineRule="auto"/>
        <w:rPr>
          <w:rFonts w:hint="eastAsia" w:ascii="宋体" w:hAnsi="宋体" w:eastAsia="宋体" w:cs="宋体"/>
          <w:sz w:val="24"/>
          <w:szCs w:val="24"/>
          <w:lang w:val="en-US" w:eastAsia="zh-CN"/>
        </w:rPr>
      </w:pPr>
    </w:p>
    <w:p w14:paraId="7948BBB3">
      <w:pPr>
        <w:bidi w:val="0"/>
        <w:rPr>
          <w:rFonts w:hint="eastAsia"/>
        </w:rPr>
      </w:pPr>
    </w:p>
    <w:p w14:paraId="5A816D4D">
      <w:pPr>
        <w:bidi w:val="0"/>
        <w:rPr>
          <w:rFonts w:hint="eastAsia"/>
        </w:rPr>
      </w:pPr>
    </w:p>
    <w:p w14:paraId="4A6BBF88">
      <w:pPr>
        <w:bidi w:val="0"/>
        <w:rPr>
          <w:rFonts w:hint="eastAsia"/>
        </w:rPr>
      </w:pPr>
    </w:p>
    <w:p w14:paraId="2277AD2D">
      <w:pPr>
        <w:bidi w:val="0"/>
        <w:rPr>
          <w:rFonts w:hint="eastAsia"/>
        </w:rPr>
      </w:pPr>
    </w:p>
    <w:p w14:paraId="35F05D04">
      <w:pPr>
        <w:bidi w:val="0"/>
        <w:rPr>
          <w:rFonts w:hint="eastAsia"/>
        </w:rPr>
      </w:pPr>
    </w:p>
    <w:p w14:paraId="740C4891">
      <w:pPr>
        <w:bidi w:val="0"/>
        <w:rPr>
          <w:rFonts w:hint="eastAsia"/>
        </w:rPr>
      </w:pPr>
    </w:p>
    <w:p w14:paraId="310D207E">
      <w:pPr>
        <w:bidi w:val="0"/>
        <w:rPr>
          <w:rFonts w:hint="eastAsia"/>
        </w:rPr>
      </w:pPr>
    </w:p>
    <w:p w14:paraId="222A4351">
      <w:pPr>
        <w:bidi w:val="0"/>
        <w:rPr>
          <w:rFonts w:hint="eastAsia"/>
        </w:rPr>
      </w:pPr>
    </w:p>
    <w:p w14:paraId="6885C3D2">
      <w:pPr>
        <w:bidi w:val="0"/>
        <w:rPr>
          <w:rFonts w:hint="eastAsia"/>
        </w:rPr>
      </w:pPr>
    </w:p>
    <w:p w14:paraId="529CE247">
      <w:pPr>
        <w:bidi w:val="0"/>
        <w:rPr>
          <w:rFonts w:hint="eastAsia"/>
        </w:rPr>
      </w:pPr>
    </w:p>
    <w:p w14:paraId="5D870635">
      <w:pPr>
        <w:bidi w:val="0"/>
        <w:rPr>
          <w:rFonts w:hint="eastAsia"/>
        </w:rPr>
      </w:pPr>
    </w:p>
    <w:p w14:paraId="7B1DFCDA">
      <w:pPr>
        <w:bidi w:val="0"/>
        <w:rPr>
          <w:rFonts w:hint="eastAsia"/>
        </w:rPr>
      </w:pPr>
    </w:p>
    <w:p w14:paraId="3E9B12C6">
      <w:pPr>
        <w:bidi w:val="0"/>
        <w:rPr>
          <w:rFonts w:hint="eastAsia"/>
        </w:rPr>
      </w:pPr>
    </w:p>
    <w:p w14:paraId="1482A059">
      <w:pPr>
        <w:bidi w:val="0"/>
        <w:rPr>
          <w:rFonts w:hint="eastAsia"/>
        </w:rPr>
      </w:pPr>
    </w:p>
    <w:p w14:paraId="050A4181">
      <w:pPr>
        <w:bidi w:val="0"/>
        <w:rPr>
          <w:rFonts w:hint="eastAsia"/>
        </w:rPr>
      </w:pPr>
    </w:p>
    <w:p w14:paraId="3C890EEB">
      <w:pPr>
        <w:pStyle w:val="4"/>
        <w:widowControl/>
        <w:shd w:val="clear"/>
        <w:spacing w:before="624"/>
        <w:jc w:val="left"/>
        <w:rPr>
          <w:rFonts w:hint="eastAsia" w:ascii="宋体" w:hAnsi="宋体" w:cs="宋体"/>
          <w:highlight w:val="none"/>
        </w:rPr>
        <w:sectPr>
          <w:pgSz w:w="11906" w:h="16838"/>
          <w:pgMar w:top="1440" w:right="1800" w:bottom="1440" w:left="1800" w:header="1135" w:footer="1135" w:gutter="0"/>
          <w:pgNumType w:fmt="decimal"/>
          <w:cols w:space="425" w:num="1"/>
          <w:docGrid w:type="lines" w:linePitch="312" w:charSpace="0"/>
        </w:sectPr>
      </w:pPr>
    </w:p>
    <w:p w14:paraId="7F88086E">
      <w:pPr>
        <w:pStyle w:val="4"/>
        <w:widowControl/>
        <w:shd w:val="clear"/>
        <w:spacing w:before="624"/>
        <w:jc w:val="left"/>
        <w:rPr>
          <w:rFonts w:hint="eastAsia" w:ascii="宋体" w:hAnsi="宋体" w:cs="宋体"/>
          <w:highlight w:val="none"/>
        </w:rPr>
      </w:pPr>
      <w:r>
        <w:rPr>
          <w:rFonts w:hint="eastAsia" w:ascii="宋体" w:hAnsi="宋体" w:cs="宋体"/>
          <w:highlight w:val="none"/>
        </w:rPr>
        <w:t>附件</w:t>
      </w:r>
      <w:r>
        <w:rPr>
          <w:rFonts w:hint="eastAsia" w:ascii="宋体" w:hAnsi="宋体" w:cs="宋体"/>
          <w:highlight w:val="none"/>
          <w:lang w:val="en-US" w:eastAsia="zh-CN"/>
        </w:rPr>
        <w:t>4</w:t>
      </w:r>
      <w:r>
        <w:rPr>
          <w:rFonts w:hint="eastAsia" w:ascii="宋体" w:hAnsi="宋体" w:cs="宋体"/>
          <w:highlight w:val="none"/>
        </w:rPr>
        <w:t>：（如是）监狱企业、福利企业相关资格证明材料</w:t>
      </w:r>
    </w:p>
    <w:bookmarkEnd w:id="203"/>
    <w:bookmarkEnd w:id="204"/>
    <w:bookmarkEnd w:id="205"/>
    <w:p w14:paraId="230946F5">
      <w:pPr>
        <w:pStyle w:val="18"/>
        <w:shd w:val="clear"/>
        <w:rPr>
          <w:rFonts w:ascii="Arial" w:hAnsi="Arial" w:eastAsia="宋体" w:cs="宋体"/>
          <w:highlight w:val="none"/>
        </w:rPr>
      </w:pPr>
    </w:p>
    <w:p w14:paraId="17CC3FE5">
      <w:pPr>
        <w:pStyle w:val="18"/>
        <w:shd w:val="clear"/>
        <w:rPr>
          <w:rFonts w:ascii="Arial" w:hAnsi="Arial" w:eastAsia="宋体" w:cs="宋体"/>
          <w:highlight w:val="none"/>
        </w:rPr>
      </w:pPr>
    </w:p>
    <w:p w14:paraId="743BE411">
      <w:pPr>
        <w:pStyle w:val="18"/>
        <w:shd w:val="clear"/>
        <w:rPr>
          <w:rFonts w:ascii="Arial" w:hAnsi="Arial" w:eastAsia="宋体" w:cs="宋体"/>
          <w:highlight w:val="none"/>
        </w:rPr>
      </w:pPr>
    </w:p>
    <w:p w14:paraId="521691E6">
      <w:pPr>
        <w:pStyle w:val="18"/>
        <w:shd w:val="clear"/>
        <w:rPr>
          <w:rFonts w:ascii="Arial" w:hAnsi="Arial" w:eastAsia="宋体" w:cs="宋体"/>
          <w:highlight w:val="none"/>
        </w:rPr>
      </w:pPr>
    </w:p>
    <w:p w14:paraId="3F595A69">
      <w:pPr>
        <w:pStyle w:val="18"/>
        <w:shd w:val="clear"/>
        <w:rPr>
          <w:rFonts w:ascii="Arial" w:hAnsi="Arial" w:eastAsia="宋体" w:cs="宋体"/>
          <w:highlight w:val="none"/>
        </w:rPr>
      </w:pPr>
    </w:p>
    <w:p w14:paraId="7E7B2BAC">
      <w:pPr>
        <w:pStyle w:val="18"/>
        <w:shd w:val="clear"/>
        <w:rPr>
          <w:rFonts w:ascii="Arial" w:hAnsi="Arial" w:eastAsia="宋体" w:cs="宋体"/>
          <w:highlight w:val="none"/>
        </w:rPr>
      </w:pPr>
    </w:p>
    <w:p w14:paraId="21DA0978">
      <w:pPr>
        <w:pStyle w:val="18"/>
        <w:shd w:val="clear"/>
        <w:rPr>
          <w:rFonts w:ascii="Arial" w:hAnsi="Arial" w:eastAsia="宋体" w:cs="宋体"/>
          <w:highlight w:val="none"/>
        </w:rPr>
      </w:pPr>
    </w:p>
    <w:p w14:paraId="151EF282">
      <w:pPr>
        <w:pStyle w:val="18"/>
        <w:shd w:val="clear"/>
        <w:rPr>
          <w:rFonts w:ascii="Arial" w:hAnsi="Arial" w:eastAsia="宋体" w:cs="宋体"/>
          <w:highlight w:val="none"/>
        </w:rPr>
      </w:pPr>
    </w:p>
    <w:p w14:paraId="60C6E749">
      <w:pPr>
        <w:pStyle w:val="18"/>
        <w:shd w:val="clear"/>
        <w:rPr>
          <w:rFonts w:ascii="Arial" w:hAnsi="Arial" w:eastAsia="宋体" w:cs="宋体"/>
          <w:highlight w:val="none"/>
        </w:rPr>
      </w:pPr>
    </w:p>
    <w:p w14:paraId="63AA9A90">
      <w:pPr>
        <w:pStyle w:val="18"/>
        <w:shd w:val="clear"/>
        <w:rPr>
          <w:rFonts w:ascii="Arial" w:hAnsi="Arial" w:eastAsia="宋体" w:cs="宋体"/>
          <w:highlight w:val="none"/>
        </w:rPr>
      </w:pPr>
    </w:p>
    <w:p w14:paraId="56EBC49A">
      <w:pPr>
        <w:pStyle w:val="18"/>
        <w:shd w:val="clear"/>
        <w:rPr>
          <w:rFonts w:ascii="Arial" w:hAnsi="Arial" w:eastAsia="宋体" w:cs="宋体"/>
          <w:highlight w:val="none"/>
        </w:rPr>
      </w:pPr>
    </w:p>
    <w:p w14:paraId="7C2639B8">
      <w:pPr>
        <w:pStyle w:val="18"/>
        <w:shd w:val="clear"/>
        <w:rPr>
          <w:rFonts w:ascii="Arial" w:hAnsi="Arial" w:eastAsia="宋体" w:cs="宋体"/>
          <w:highlight w:val="none"/>
        </w:rPr>
      </w:pPr>
    </w:p>
    <w:p w14:paraId="25432A31">
      <w:pPr>
        <w:pStyle w:val="18"/>
        <w:shd w:val="clear"/>
        <w:rPr>
          <w:rFonts w:ascii="Arial" w:hAnsi="Arial" w:eastAsia="宋体" w:cs="宋体"/>
          <w:highlight w:val="none"/>
        </w:rPr>
      </w:pPr>
    </w:p>
    <w:p w14:paraId="4DA63117">
      <w:pPr>
        <w:pStyle w:val="18"/>
        <w:shd w:val="clear"/>
        <w:rPr>
          <w:rFonts w:ascii="Arial" w:hAnsi="Arial" w:eastAsia="宋体" w:cs="宋体"/>
          <w:highlight w:val="none"/>
        </w:rPr>
      </w:pPr>
    </w:p>
    <w:p w14:paraId="168AB672">
      <w:pPr>
        <w:pStyle w:val="18"/>
        <w:shd w:val="clear"/>
        <w:rPr>
          <w:rFonts w:ascii="Arial" w:hAnsi="Arial" w:eastAsia="宋体" w:cs="宋体"/>
          <w:highlight w:val="none"/>
        </w:rPr>
      </w:pPr>
    </w:p>
    <w:p w14:paraId="2C42551D">
      <w:pPr>
        <w:pStyle w:val="18"/>
        <w:shd w:val="clear"/>
        <w:rPr>
          <w:rFonts w:ascii="Arial" w:hAnsi="Arial" w:eastAsia="宋体" w:cs="宋体"/>
          <w:highlight w:val="none"/>
        </w:rPr>
      </w:pPr>
    </w:p>
    <w:p w14:paraId="4DA2FAEB">
      <w:pPr>
        <w:pStyle w:val="18"/>
        <w:shd w:val="clear"/>
        <w:rPr>
          <w:rFonts w:ascii="Arial" w:hAnsi="Arial" w:eastAsia="宋体" w:cs="宋体"/>
          <w:highlight w:val="none"/>
        </w:rPr>
      </w:pPr>
    </w:p>
    <w:p w14:paraId="5981E5DB">
      <w:pPr>
        <w:pStyle w:val="18"/>
        <w:shd w:val="clear"/>
        <w:rPr>
          <w:rFonts w:ascii="Arial" w:hAnsi="Arial" w:eastAsia="宋体" w:cs="宋体"/>
          <w:highlight w:val="none"/>
        </w:rPr>
      </w:pPr>
    </w:p>
    <w:p w14:paraId="756B959E">
      <w:pPr>
        <w:pStyle w:val="18"/>
        <w:shd w:val="clear"/>
        <w:rPr>
          <w:rFonts w:ascii="Arial" w:hAnsi="Arial" w:eastAsia="宋体" w:cs="宋体"/>
          <w:highlight w:val="none"/>
        </w:rPr>
      </w:pPr>
    </w:p>
    <w:p w14:paraId="4FA4D6FB">
      <w:pPr>
        <w:pStyle w:val="18"/>
        <w:shd w:val="clear"/>
        <w:rPr>
          <w:rFonts w:ascii="Arial" w:hAnsi="Arial" w:eastAsia="宋体" w:cs="宋体"/>
          <w:highlight w:val="none"/>
        </w:rPr>
      </w:pPr>
    </w:p>
    <w:p w14:paraId="356D12A1">
      <w:pPr>
        <w:pStyle w:val="18"/>
        <w:shd w:val="clear"/>
        <w:rPr>
          <w:rFonts w:ascii="Arial" w:hAnsi="Arial" w:eastAsia="宋体" w:cs="宋体"/>
          <w:highlight w:val="none"/>
        </w:rPr>
      </w:pPr>
    </w:p>
    <w:p w14:paraId="32451096">
      <w:pPr>
        <w:pStyle w:val="18"/>
        <w:shd w:val="clear"/>
        <w:rPr>
          <w:rFonts w:ascii="Arial" w:hAnsi="Arial" w:eastAsia="宋体" w:cs="宋体"/>
          <w:highlight w:val="none"/>
        </w:rPr>
      </w:pPr>
    </w:p>
    <w:p w14:paraId="03D572B6">
      <w:pPr>
        <w:pStyle w:val="18"/>
        <w:shd w:val="clear"/>
        <w:rPr>
          <w:rFonts w:ascii="Arial" w:hAnsi="Arial" w:eastAsia="宋体" w:cs="宋体"/>
          <w:highlight w:val="none"/>
        </w:rPr>
      </w:pPr>
    </w:p>
    <w:p w14:paraId="12EA6F3C">
      <w:pPr>
        <w:pStyle w:val="18"/>
        <w:shd w:val="clear"/>
        <w:rPr>
          <w:rFonts w:ascii="Arial" w:hAnsi="Arial" w:eastAsia="宋体" w:cs="宋体"/>
          <w:highlight w:val="none"/>
        </w:rPr>
      </w:pPr>
    </w:p>
    <w:p w14:paraId="41A9CC44">
      <w:pPr>
        <w:pStyle w:val="18"/>
        <w:shd w:val="clear"/>
        <w:rPr>
          <w:rFonts w:ascii="Arial" w:hAnsi="Arial" w:eastAsia="宋体" w:cs="宋体"/>
          <w:highlight w:val="none"/>
        </w:rPr>
      </w:pPr>
    </w:p>
    <w:p w14:paraId="2C1B3527">
      <w:pPr>
        <w:pStyle w:val="18"/>
        <w:shd w:val="clear"/>
        <w:rPr>
          <w:rFonts w:ascii="Arial" w:hAnsi="Arial" w:eastAsia="宋体" w:cs="宋体"/>
          <w:highlight w:val="none"/>
        </w:rPr>
      </w:pPr>
    </w:p>
    <w:p w14:paraId="108F095E">
      <w:pPr>
        <w:pStyle w:val="18"/>
        <w:shd w:val="clear"/>
        <w:rPr>
          <w:rFonts w:ascii="Arial" w:hAnsi="Arial" w:eastAsia="宋体" w:cs="宋体"/>
          <w:highlight w:val="none"/>
        </w:rPr>
      </w:pPr>
    </w:p>
    <w:p w14:paraId="0E978DBF">
      <w:pPr>
        <w:pStyle w:val="18"/>
        <w:shd w:val="clear"/>
        <w:rPr>
          <w:rFonts w:ascii="Arial" w:hAnsi="Arial" w:eastAsia="宋体" w:cs="宋体"/>
          <w:highlight w:val="none"/>
        </w:rPr>
      </w:pPr>
    </w:p>
    <w:p w14:paraId="393F2F2B">
      <w:pPr>
        <w:pStyle w:val="18"/>
        <w:shd w:val="clear"/>
        <w:rPr>
          <w:rFonts w:ascii="Arial" w:hAnsi="Arial" w:eastAsia="宋体" w:cs="宋体"/>
          <w:highlight w:val="none"/>
        </w:rPr>
      </w:pPr>
    </w:p>
    <w:p w14:paraId="1DFBCE27">
      <w:pPr>
        <w:pStyle w:val="3"/>
        <w:shd w:val="clear"/>
        <w:jc w:val="center"/>
        <w:rPr>
          <w:highlight w:val="none"/>
        </w:rPr>
      </w:pPr>
      <w:bookmarkStart w:id="206" w:name="_Toc7204"/>
      <w:bookmarkStart w:id="207" w:name="_Toc20324"/>
      <w:r>
        <w:rPr>
          <w:rFonts w:hint="eastAsia"/>
          <w:highlight w:val="none"/>
        </w:rPr>
        <w:t>二、投标方案说明书</w:t>
      </w:r>
      <w:bookmarkEnd w:id="206"/>
      <w:bookmarkEnd w:id="207"/>
    </w:p>
    <w:p w14:paraId="1BA98432">
      <w:pPr>
        <w:shd w:val="clear"/>
        <w:spacing w:line="360" w:lineRule="auto"/>
        <w:ind w:firstLine="482" w:firstLineChars="200"/>
        <w:rPr>
          <w:rFonts w:ascii="宋体" w:hAnsi="宋体" w:eastAsia="宋体" w:cs="宋体"/>
          <w:b/>
          <w:bCs/>
          <w:sz w:val="24"/>
          <w:highlight w:val="none"/>
        </w:rPr>
      </w:pPr>
      <w:r>
        <w:rPr>
          <w:rFonts w:hint="eastAsia" w:ascii="宋体" w:hAnsi="宋体" w:eastAsia="宋体" w:cs="宋体"/>
          <w:b/>
          <w:bCs/>
          <w:sz w:val="24"/>
          <w:highlight w:val="none"/>
          <w:lang w:bidi="ar"/>
        </w:rPr>
        <w:t>按照招标文件的要求，结合评标办法编制的投标方案说明书，内容包括货物技术说明、组织供货和服务的详细说明、技术规格响应表、配置说明、供货一览表、彩页，质量保证和售后服务承诺等。至少应包括如下：</w:t>
      </w:r>
    </w:p>
    <w:p w14:paraId="64267B2E">
      <w:pPr>
        <w:shd w:val="clear"/>
        <w:spacing w:line="360" w:lineRule="auto"/>
        <w:rPr>
          <w:rFonts w:ascii="宋体" w:hAnsi="宋体" w:eastAsia="宋体" w:cs="宋体"/>
          <w:sz w:val="24"/>
          <w:highlight w:val="none"/>
        </w:rPr>
      </w:pPr>
      <w:r>
        <w:rPr>
          <w:rFonts w:hint="eastAsia" w:ascii="宋体" w:hAnsi="宋体" w:eastAsia="宋体" w:cs="宋体"/>
          <w:sz w:val="24"/>
          <w:highlight w:val="none"/>
          <w:lang w:bidi="ar"/>
        </w:rPr>
        <w:t>1）技术说明书</w:t>
      </w:r>
    </w:p>
    <w:p w14:paraId="260305BB">
      <w:pPr>
        <w:shd w:val="clear"/>
        <w:spacing w:line="360" w:lineRule="auto"/>
        <w:ind w:right="-168" w:rightChars="-80" w:firstLine="480" w:firstLineChars="200"/>
        <w:rPr>
          <w:rFonts w:ascii="宋体" w:hAnsi="宋体" w:eastAsia="宋体" w:cs="宋体"/>
          <w:sz w:val="24"/>
          <w:highlight w:val="none"/>
        </w:rPr>
      </w:pPr>
      <w:r>
        <w:rPr>
          <w:rFonts w:hint="eastAsia" w:ascii="宋体" w:hAnsi="宋体" w:eastAsia="宋体" w:cs="宋体"/>
          <w:sz w:val="24"/>
          <w:highlight w:val="none"/>
          <w:lang w:bidi="ar"/>
        </w:rPr>
        <w:t>1.1 完成项目的技术方案，要求投标人针对本项目的需求提出全面、完整的技术方案；</w:t>
      </w:r>
    </w:p>
    <w:p w14:paraId="345FFE2A">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1.2所投货物及服务的商标、型号、功能、技术规格、详细的供货配置清单（原材料说明、结构图、效果图如有）；</w:t>
      </w:r>
    </w:p>
    <w:p w14:paraId="68DB7D4D">
      <w:pPr>
        <w:shd w:val="clear"/>
        <w:kinsoku w:val="0"/>
        <w:spacing w:line="360" w:lineRule="auto"/>
        <w:rPr>
          <w:rFonts w:ascii="宋体" w:hAnsi="宋体" w:eastAsia="宋体" w:cs="宋体"/>
          <w:sz w:val="24"/>
          <w:highlight w:val="none"/>
        </w:rPr>
      </w:pPr>
      <w:r>
        <w:rPr>
          <w:rFonts w:hint="eastAsia" w:ascii="宋体" w:hAnsi="宋体" w:eastAsia="宋体" w:cs="宋体"/>
          <w:sz w:val="24"/>
          <w:highlight w:val="none"/>
          <w:lang w:bidi="ar"/>
        </w:rPr>
        <w:t xml:space="preserve">2）整体实施方案，要求投标人针对本项目的需求提出完成本项目，全面、完整的整体实施方案，至少应包括： </w:t>
      </w:r>
    </w:p>
    <w:p w14:paraId="44E9636E">
      <w:pPr>
        <w:shd w:val="clear"/>
        <w:kinsoku w:val="0"/>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2.1供货一览表，服务范围和服务内容的详细说明；</w:t>
      </w:r>
    </w:p>
    <w:p w14:paraId="3A6C233F">
      <w:pPr>
        <w:shd w:val="clear"/>
        <w:kinsoku w:val="0"/>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2.2整体组织部署计划及针对本项目的供货方案、进度计划、应急预案；</w:t>
      </w:r>
    </w:p>
    <w:p w14:paraId="0986008F">
      <w:pPr>
        <w:shd w:val="clear"/>
        <w:kinsoku w:val="0"/>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2.3质量保证措施、售后服务方案、响应时间、拟为本项目配备的人员；</w:t>
      </w:r>
    </w:p>
    <w:p w14:paraId="3593A9C4">
      <w:pPr>
        <w:shd w:val="clear"/>
        <w:kinsoku w:val="0"/>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2.4提供的维保服务点的名称、地址、电话联系人、应在投标文件中说明；</w:t>
      </w:r>
    </w:p>
    <w:p w14:paraId="25B2B261">
      <w:pPr>
        <w:shd w:val="clear"/>
        <w:kinsoku w:val="0"/>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2.5投标人完成本项目的保障能力；</w:t>
      </w:r>
    </w:p>
    <w:p w14:paraId="7CEE1969">
      <w:pPr>
        <w:shd w:val="clear"/>
        <w:kinsoku w:val="0"/>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2.6验收依据、项目整体验收计划；</w:t>
      </w:r>
    </w:p>
    <w:p w14:paraId="310CD4C1">
      <w:pPr>
        <w:shd w:val="clear"/>
        <w:kinsoku w:val="0"/>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2.7投标人服务承诺书；</w:t>
      </w:r>
    </w:p>
    <w:p w14:paraId="6421A078">
      <w:pPr>
        <w:shd w:val="clear"/>
        <w:kinsoku w:val="0"/>
        <w:spacing w:line="360" w:lineRule="auto"/>
        <w:ind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2.8投标人认为有必要说明的问题。</w:t>
      </w:r>
    </w:p>
    <w:p w14:paraId="1A8FC669">
      <w:pPr>
        <w:pStyle w:val="16"/>
        <w:shd w:val="clear"/>
        <w:rPr>
          <w:highlight w:val="none"/>
        </w:rPr>
      </w:pPr>
    </w:p>
    <w:p w14:paraId="53DD9FC0">
      <w:pPr>
        <w:shd w:val="clear"/>
        <w:spacing w:line="360" w:lineRule="auto"/>
        <w:ind w:left="3259" w:leftChars="1552" w:firstLine="480" w:firstLineChars="200"/>
        <w:rPr>
          <w:rFonts w:ascii="宋体" w:hAnsi="宋体" w:eastAsia="宋体" w:cs="宋体"/>
          <w:sz w:val="24"/>
          <w:highlight w:val="none"/>
        </w:rPr>
      </w:pPr>
      <w:r>
        <w:rPr>
          <w:rFonts w:hint="eastAsia" w:ascii="宋体" w:hAnsi="宋体" w:eastAsia="宋体" w:cs="宋体"/>
          <w:sz w:val="24"/>
          <w:highlight w:val="none"/>
          <w:lang w:bidi="ar"/>
        </w:rPr>
        <w:t>法定代表人/单位负责人/或被授权人签字：</w:t>
      </w:r>
    </w:p>
    <w:p w14:paraId="392AB220">
      <w:pPr>
        <w:shd w:val="clear"/>
        <w:spacing w:line="360" w:lineRule="auto"/>
        <w:ind w:firstLine="480" w:firstLineChars="200"/>
        <w:rPr>
          <w:rFonts w:ascii="宋体" w:hAnsi="宋体" w:eastAsia="宋体" w:cs="宋体"/>
          <w:sz w:val="24"/>
          <w:highlight w:val="none"/>
        </w:rPr>
      </w:pPr>
      <w:r>
        <w:rPr>
          <w:rFonts w:hint="eastAsia" w:ascii="宋体" w:hAnsi="宋体" w:eastAsia="宋体" w:cs="宋体"/>
          <w:sz w:val="24"/>
          <w:highlight w:val="none"/>
          <w:lang w:bidi="ar"/>
        </w:rPr>
        <w:t xml:space="preserve">                           投标人名称（公章）：</w:t>
      </w:r>
    </w:p>
    <w:p w14:paraId="60A5477C">
      <w:pPr>
        <w:shd w:val="clear"/>
        <w:spacing w:line="360" w:lineRule="auto"/>
        <w:ind w:left="3259" w:leftChars="1552" w:firstLine="480" w:firstLineChars="200"/>
        <w:rPr>
          <w:rFonts w:ascii="宋体" w:hAnsi="宋体" w:eastAsia="宋体" w:cs="宋体"/>
          <w:sz w:val="24"/>
          <w:highlight w:val="none"/>
          <w:lang w:bidi="ar"/>
        </w:rPr>
      </w:pPr>
      <w:r>
        <w:rPr>
          <w:rFonts w:hint="eastAsia" w:ascii="宋体" w:hAnsi="宋体" w:eastAsia="宋体" w:cs="宋体"/>
          <w:sz w:val="24"/>
          <w:highlight w:val="none"/>
          <w:lang w:bidi="ar"/>
        </w:rPr>
        <w:t>日      期：</w:t>
      </w:r>
    </w:p>
    <w:p w14:paraId="05222011">
      <w:pPr>
        <w:pStyle w:val="4"/>
        <w:widowControl/>
        <w:shd w:val="clear"/>
        <w:spacing w:before="0" w:beforeLines="0" w:line="360" w:lineRule="auto"/>
        <w:jc w:val="both"/>
        <w:rPr>
          <w:rFonts w:ascii="宋体" w:hAnsi="宋体" w:cs="宋体"/>
          <w:highlight w:val="none"/>
        </w:rPr>
        <w:sectPr>
          <w:pgSz w:w="11906" w:h="16838"/>
          <w:pgMar w:top="1440" w:right="1800" w:bottom="1440" w:left="1800" w:header="1135" w:footer="1135" w:gutter="0"/>
          <w:pgNumType w:fmt="decimal"/>
          <w:cols w:space="425" w:num="1"/>
          <w:docGrid w:type="lines" w:linePitch="312" w:charSpace="0"/>
        </w:sectPr>
      </w:pPr>
      <w:bookmarkStart w:id="208" w:name="_Toc12464"/>
      <w:bookmarkStart w:id="209" w:name="_Toc6642"/>
      <w:bookmarkStart w:id="210" w:name="_Toc13694"/>
    </w:p>
    <w:p w14:paraId="52E2E22D">
      <w:pPr>
        <w:pStyle w:val="4"/>
        <w:widowControl/>
        <w:shd w:val="clear"/>
        <w:spacing w:before="0" w:beforeLines="0" w:line="360" w:lineRule="auto"/>
        <w:jc w:val="both"/>
        <w:rPr>
          <w:rFonts w:ascii="宋体" w:hAnsi="宋体" w:cs="宋体"/>
          <w:highlight w:val="none"/>
        </w:rPr>
      </w:pPr>
      <w:r>
        <w:rPr>
          <w:rFonts w:hint="eastAsia" w:ascii="宋体" w:hAnsi="宋体" w:cs="宋体"/>
          <w:highlight w:val="none"/>
        </w:rPr>
        <w:t>附表</w:t>
      </w:r>
      <w:bookmarkEnd w:id="208"/>
      <w:bookmarkStart w:id="211" w:name="_Toc27796"/>
      <w:r>
        <w:rPr>
          <w:rFonts w:hint="eastAsia" w:ascii="宋体" w:hAnsi="宋体" w:cs="宋体"/>
          <w:highlight w:val="none"/>
        </w:rPr>
        <w:t>1供货内容一览表</w:t>
      </w:r>
      <w:bookmarkEnd w:id="209"/>
      <w:bookmarkEnd w:id="210"/>
      <w:bookmarkEnd w:id="211"/>
    </w:p>
    <w:p w14:paraId="1A557F67">
      <w:pPr>
        <w:shd w:val="clear"/>
        <w:rPr>
          <w:highlight w:val="none"/>
        </w:rPr>
      </w:pPr>
    </w:p>
    <w:p w14:paraId="3320B9A1">
      <w:pPr>
        <w:shd w:val="clear"/>
        <w:spacing w:after="120"/>
        <w:ind w:firstLine="120" w:firstLineChars="50"/>
        <w:rPr>
          <w:rFonts w:hint="default" w:asciiTheme="minorEastAsia" w:hAnsiTheme="minorEastAsia" w:cstheme="minorEastAsia"/>
          <w:sz w:val="24"/>
          <w:highlight w:val="none"/>
          <w:lang w:val="en-US"/>
        </w:rPr>
      </w:pPr>
      <w:r>
        <w:rPr>
          <w:rFonts w:hint="eastAsia" w:asciiTheme="minorEastAsia" w:hAnsiTheme="minorEastAsia" w:cstheme="minorEastAsia"/>
          <w:sz w:val="24"/>
          <w:szCs w:val="20"/>
          <w:highlight w:val="none"/>
          <w:lang w:bidi="ar"/>
        </w:rPr>
        <w:t>采购项目</w:t>
      </w:r>
      <w:r>
        <w:rPr>
          <w:rFonts w:hint="eastAsia" w:asciiTheme="minorEastAsia" w:hAnsiTheme="minorEastAsia" w:cstheme="minorEastAsia"/>
          <w:sz w:val="24"/>
          <w:highlight w:val="none"/>
          <w:lang w:bidi="ar"/>
        </w:rPr>
        <w:t>名称：</w:t>
      </w:r>
      <w:r>
        <w:rPr>
          <w:rFonts w:hint="eastAsia" w:ascii="宋体" w:hAnsi="宋体" w:eastAsia="宋体" w:cs="宋体"/>
          <w:sz w:val="24"/>
          <w:highlight w:val="none"/>
          <w:u w:val="single"/>
          <w:lang w:val="en-US" w:eastAsia="zh-CN"/>
        </w:rPr>
        <w:t xml:space="preserve">                     </w:t>
      </w:r>
    </w:p>
    <w:p w14:paraId="485FF4C1">
      <w:pPr>
        <w:shd w:val="clear"/>
        <w:spacing w:after="120"/>
        <w:ind w:firstLine="120" w:firstLineChars="50"/>
        <w:rPr>
          <w:highlight w:val="none"/>
        </w:rPr>
      </w:pPr>
      <w:r>
        <w:rPr>
          <w:rFonts w:hint="eastAsia" w:asciiTheme="minorEastAsia" w:hAnsiTheme="minorEastAsia" w:cstheme="minorEastAsia"/>
          <w:sz w:val="24"/>
          <w:highlight w:val="none"/>
          <w:lang w:bidi="ar"/>
        </w:rPr>
        <w:t>采购项目编号：</w:t>
      </w:r>
      <w:r>
        <w:rPr>
          <w:rFonts w:hint="eastAsia" w:asciiTheme="minorEastAsia" w:hAnsiTheme="minorEastAsia" w:cstheme="minorEastAsia"/>
          <w:sz w:val="24"/>
          <w:highlight w:val="none"/>
          <w:u w:val="single"/>
          <w:lang w:val="en-US" w:eastAsia="zh-CN" w:bidi="ar"/>
        </w:rPr>
        <w:t xml:space="preserve">                     </w:t>
      </w:r>
    </w:p>
    <w:tbl>
      <w:tblPr>
        <w:tblStyle w:val="41"/>
        <w:tblW w:w="915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22"/>
        <w:gridCol w:w="1349"/>
        <w:gridCol w:w="2367"/>
        <w:gridCol w:w="1006"/>
        <w:gridCol w:w="1268"/>
        <w:gridCol w:w="1173"/>
        <w:gridCol w:w="1171"/>
      </w:tblGrid>
      <w:tr w14:paraId="0A196D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93" w:hRule="atLeast"/>
          <w:jc w:val="center"/>
        </w:trPr>
        <w:tc>
          <w:tcPr>
            <w:tcW w:w="822" w:type="dxa"/>
            <w:tcBorders>
              <w:top w:val="single" w:color="auto" w:sz="12" w:space="0"/>
              <w:left w:val="single" w:color="auto" w:sz="12" w:space="0"/>
              <w:bottom w:val="single" w:color="auto" w:sz="6" w:space="0"/>
              <w:right w:val="single" w:color="auto" w:sz="6" w:space="0"/>
            </w:tcBorders>
            <w:shd w:val="clear" w:color="auto" w:fill="auto"/>
            <w:vAlign w:val="center"/>
          </w:tcPr>
          <w:p w14:paraId="0B30A2D9">
            <w:pPr>
              <w:shd w:val="clear"/>
              <w:spacing w:before="156" w:beforeLines="50" w:line="360" w:lineRule="auto"/>
              <w:jc w:val="center"/>
              <w:rPr>
                <w:rFonts w:ascii="宋体" w:hAnsi="宋体" w:eastAsia="宋体" w:cs="宋体"/>
                <w:b/>
                <w:sz w:val="24"/>
                <w:highlight w:val="none"/>
              </w:rPr>
            </w:pPr>
            <w:r>
              <w:rPr>
                <w:rFonts w:hint="eastAsia" w:ascii="宋体" w:hAnsi="宋体" w:eastAsia="宋体" w:cs="宋体"/>
                <w:b/>
                <w:sz w:val="24"/>
                <w:highlight w:val="none"/>
                <w:lang w:bidi="ar"/>
              </w:rPr>
              <w:t>序号</w:t>
            </w:r>
          </w:p>
        </w:tc>
        <w:tc>
          <w:tcPr>
            <w:tcW w:w="1349" w:type="dxa"/>
            <w:tcBorders>
              <w:top w:val="single" w:color="auto" w:sz="12" w:space="0"/>
              <w:left w:val="single" w:color="auto" w:sz="6" w:space="0"/>
              <w:bottom w:val="single" w:color="auto" w:sz="6" w:space="0"/>
              <w:right w:val="single" w:color="auto" w:sz="6" w:space="0"/>
            </w:tcBorders>
            <w:shd w:val="clear" w:color="auto" w:fill="auto"/>
            <w:vAlign w:val="center"/>
          </w:tcPr>
          <w:p w14:paraId="17E7AE3D">
            <w:pPr>
              <w:shd w:val="clear"/>
              <w:spacing w:before="156" w:beforeLines="50" w:line="360" w:lineRule="auto"/>
              <w:jc w:val="center"/>
              <w:rPr>
                <w:rFonts w:ascii="宋体" w:hAnsi="宋体" w:eastAsia="宋体" w:cs="宋体"/>
                <w:b/>
                <w:sz w:val="24"/>
                <w:highlight w:val="none"/>
              </w:rPr>
            </w:pPr>
            <w:r>
              <w:rPr>
                <w:rFonts w:hint="eastAsia" w:ascii="宋体" w:hAnsi="宋体" w:eastAsia="宋体" w:cs="宋体"/>
                <w:b/>
                <w:sz w:val="24"/>
                <w:highlight w:val="none"/>
                <w:lang w:bidi="ar"/>
              </w:rPr>
              <w:t>名称</w:t>
            </w:r>
          </w:p>
        </w:tc>
        <w:tc>
          <w:tcPr>
            <w:tcW w:w="2367" w:type="dxa"/>
            <w:tcBorders>
              <w:top w:val="single" w:color="auto" w:sz="12" w:space="0"/>
              <w:left w:val="single" w:color="auto" w:sz="6" w:space="0"/>
              <w:bottom w:val="single" w:color="auto" w:sz="6" w:space="0"/>
              <w:right w:val="single" w:color="auto" w:sz="6" w:space="0"/>
            </w:tcBorders>
            <w:shd w:val="clear" w:color="auto" w:fill="auto"/>
            <w:vAlign w:val="center"/>
          </w:tcPr>
          <w:p w14:paraId="349AB3D8">
            <w:pPr>
              <w:pStyle w:val="3"/>
              <w:shd w:val="clear"/>
              <w:adjustRightInd w:val="0"/>
              <w:snapToGrid w:val="0"/>
              <w:ind w:left="0"/>
              <w:jc w:val="center"/>
              <w:rPr>
                <w:rFonts w:ascii="宋体" w:hAnsi="宋体" w:cs="宋体"/>
                <w:sz w:val="24"/>
                <w:szCs w:val="24"/>
                <w:highlight w:val="none"/>
              </w:rPr>
            </w:pPr>
            <w:bookmarkStart w:id="212" w:name="_Toc31145"/>
            <w:bookmarkStart w:id="213" w:name="_Toc5790"/>
            <w:bookmarkStart w:id="214" w:name="_Toc788"/>
            <w:bookmarkStart w:id="215" w:name="_Toc14901"/>
            <w:bookmarkStart w:id="216" w:name="_Toc3181"/>
            <w:bookmarkStart w:id="217" w:name="_Toc18721"/>
            <w:bookmarkStart w:id="218" w:name="_Toc21867"/>
            <w:bookmarkStart w:id="219" w:name="_Toc11572"/>
            <w:bookmarkStart w:id="220" w:name="_Toc12676"/>
            <w:bookmarkStart w:id="221" w:name="_Toc13375"/>
            <w:bookmarkStart w:id="222" w:name="_Toc5387"/>
            <w:bookmarkStart w:id="223" w:name="_Toc12146"/>
            <w:bookmarkStart w:id="224" w:name="_Toc13467"/>
            <w:r>
              <w:rPr>
                <w:rFonts w:hint="eastAsia" w:ascii="宋体" w:hAnsi="宋体" w:cs="宋体"/>
                <w:sz w:val="24"/>
                <w:szCs w:val="24"/>
                <w:highlight w:val="none"/>
              </w:rPr>
              <w:t>参数说明</w:t>
            </w:r>
            <w:bookmarkEnd w:id="212"/>
            <w:bookmarkEnd w:id="213"/>
            <w:bookmarkEnd w:id="214"/>
            <w:bookmarkEnd w:id="215"/>
            <w:bookmarkEnd w:id="216"/>
            <w:bookmarkEnd w:id="217"/>
            <w:bookmarkEnd w:id="218"/>
            <w:bookmarkEnd w:id="219"/>
            <w:bookmarkEnd w:id="220"/>
            <w:bookmarkEnd w:id="221"/>
            <w:bookmarkEnd w:id="222"/>
            <w:bookmarkEnd w:id="223"/>
            <w:bookmarkEnd w:id="224"/>
          </w:p>
        </w:tc>
        <w:tc>
          <w:tcPr>
            <w:tcW w:w="1006" w:type="dxa"/>
            <w:tcBorders>
              <w:top w:val="single" w:color="auto" w:sz="12" w:space="0"/>
              <w:left w:val="single" w:color="auto" w:sz="6" w:space="0"/>
              <w:bottom w:val="single" w:color="auto" w:sz="6" w:space="0"/>
              <w:right w:val="single" w:color="auto" w:sz="4" w:space="0"/>
            </w:tcBorders>
            <w:shd w:val="clear" w:color="auto" w:fill="auto"/>
            <w:vAlign w:val="center"/>
          </w:tcPr>
          <w:p w14:paraId="32B8F20C">
            <w:pPr>
              <w:pStyle w:val="3"/>
              <w:shd w:val="clear"/>
              <w:adjustRightInd w:val="0"/>
              <w:snapToGrid w:val="0"/>
              <w:ind w:left="0"/>
              <w:jc w:val="center"/>
              <w:rPr>
                <w:rFonts w:ascii="宋体" w:hAnsi="宋体" w:cs="宋体"/>
                <w:sz w:val="24"/>
                <w:szCs w:val="24"/>
                <w:highlight w:val="none"/>
              </w:rPr>
            </w:pPr>
            <w:bookmarkStart w:id="225" w:name="_Toc27169"/>
            <w:bookmarkStart w:id="226" w:name="_Toc2417"/>
            <w:bookmarkStart w:id="227" w:name="_Toc9811"/>
            <w:bookmarkStart w:id="228" w:name="_Toc3301"/>
            <w:bookmarkStart w:id="229" w:name="_Toc21873"/>
            <w:bookmarkStart w:id="230" w:name="_Toc17321"/>
            <w:bookmarkStart w:id="231" w:name="_Toc8265"/>
            <w:bookmarkStart w:id="232" w:name="_Toc10544"/>
            <w:bookmarkStart w:id="233" w:name="_Toc16011"/>
            <w:bookmarkStart w:id="234" w:name="_Toc19415"/>
            <w:bookmarkStart w:id="235" w:name="_Toc8909"/>
            <w:bookmarkStart w:id="236" w:name="_Toc1767"/>
            <w:bookmarkStart w:id="237" w:name="_Toc22242"/>
            <w:r>
              <w:rPr>
                <w:rFonts w:hint="eastAsia" w:ascii="宋体" w:hAnsi="宋体" w:cs="宋体"/>
                <w:sz w:val="24"/>
                <w:szCs w:val="24"/>
                <w:highlight w:val="none"/>
              </w:rPr>
              <w:t>品牌</w:t>
            </w:r>
            <w:bookmarkEnd w:id="225"/>
            <w:bookmarkEnd w:id="226"/>
            <w:bookmarkEnd w:id="227"/>
            <w:bookmarkEnd w:id="228"/>
            <w:bookmarkEnd w:id="229"/>
            <w:bookmarkEnd w:id="230"/>
            <w:bookmarkEnd w:id="231"/>
            <w:bookmarkEnd w:id="232"/>
            <w:bookmarkEnd w:id="233"/>
            <w:bookmarkEnd w:id="234"/>
            <w:bookmarkEnd w:id="235"/>
            <w:bookmarkEnd w:id="236"/>
            <w:bookmarkEnd w:id="237"/>
          </w:p>
        </w:tc>
        <w:tc>
          <w:tcPr>
            <w:tcW w:w="1268" w:type="dxa"/>
            <w:tcBorders>
              <w:top w:val="single" w:color="auto" w:sz="12" w:space="0"/>
              <w:left w:val="single" w:color="auto" w:sz="4" w:space="0"/>
              <w:bottom w:val="single" w:color="auto" w:sz="6" w:space="0"/>
              <w:right w:val="single" w:color="auto" w:sz="6" w:space="0"/>
            </w:tcBorders>
            <w:shd w:val="clear" w:color="auto" w:fill="auto"/>
            <w:vAlign w:val="center"/>
          </w:tcPr>
          <w:p w14:paraId="2A297981">
            <w:pPr>
              <w:pStyle w:val="3"/>
              <w:shd w:val="clear"/>
              <w:ind w:left="0"/>
              <w:jc w:val="center"/>
              <w:rPr>
                <w:rFonts w:ascii="宋体" w:hAnsi="宋体" w:cs="宋体"/>
                <w:sz w:val="24"/>
                <w:szCs w:val="24"/>
                <w:highlight w:val="none"/>
              </w:rPr>
            </w:pPr>
            <w:bookmarkStart w:id="238" w:name="_Toc19060"/>
            <w:bookmarkStart w:id="239" w:name="_Toc6289"/>
            <w:bookmarkStart w:id="240" w:name="_Toc24729"/>
            <w:bookmarkStart w:id="241" w:name="_Toc173"/>
            <w:bookmarkStart w:id="242" w:name="_Toc11627"/>
            <w:bookmarkStart w:id="243" w:name="_Toc10909"/>
            <w:bookmarkStart w:id="244" w:name="_Toc26195"/>
            <w:bookmarkStart w:id="245" w:name="_Toc26855"/>
            <w:bookmarkStart w:id="246" w:name="_Toc24759"/>
            <w:bookmarkStart w:id="247" w:name="_Toc14404"/>
            <w:bookmarkStart w:id="248" w:name="_Toc3806"/>
            <w:bookmarkStart w:id="249" w:name="_Toc20828"/>
            <w:r>
              <w:rPr>
                <w:rFonts w:hint="eastAsia" w:ascii="宋体" w:hAnsi="宋体" w:cs="宋体"/>
                <w:sz w:val="24"/>
                <w:szCs w:val="24"/>
                <w:highlight w:val="none"/>
              </w:rPr>
              <w:t>规格型号</w:t>
            </w:r>
            <w:bookmarkEnd w:id="238"/>
            <w:bookmarkEnd w:id="239"/>
            <w:bookmarkEnd w:id="240"/>
            <w:bookmarkEnd w:id="241"/>
            <w:bookmarkEnd w:id="242"/>
            <w:bookmarkEnd w:id="243"/>
            <w:bookmarkEnd w:id="244"/>
            <w:bookmarkEnd w:id="245"/>
            <w:bookmarkEnd w:id="246"/>
            <w:bookmarkEnd w:id="247"/>
            <w:bookmarkEnd w:id="248"/>
            <w:bookmarkEnd w:id="249"/>
          </w:p>
        </w:tc>
        <w:tc>
          <w:tcPr>
            <w:tcW w:w="1173" w:type="dxa"/>
            <w:tcBorders>
              <w:top w:val="single" w:color="auto" w:sz="12" w:space="0"/>
              <w:left w:val="single" w:color="auto" w:sz="6" w:space="0"/>
              <w:bottom w:val="single" w:color="auto" w:sz="6" w:space="0"/>
              <w:right w:val="single" w:color="auto" w:sz="4" w:space="0"/>
            </w:tcBorders>
            <w:shd w:val="clear" w:color="auto" w:fill="auto"/>
            <w:vAlign w:val="center"/>
          </w:tcPr>
          <w:p w14:paraId="72F4F566">
            <w:pPr>
              <w:pStyle w:val="3"/>
              <w:shd w:val="clear"/>
              <w:ind w:left="0"/>
              <w:jc w:val="center"/>
              <w:rPr>
                <w:rFonts w:ascii="宋体" w:hAnsi="宋体" w:cs="宋体"/>
                <w:sz w:val="24"/>
                <w:szCs w:val="24"/>
                <w:highlight w:val="none"/>
              </w:rPr>
            </w:pPr>
            <w:bookmarkStart w:id="250" w:name="_Toc17259"/>
            <w:bookmarkStart w:id="251" w:name="_Toc6651"/>
            <w:bookmarkStart w:id="252" w:name="_Toc19125"/>
            <w:bookmarkStart w:id="253" w:name="_Toc23861"/>
            <w:bookmarkStart w:id="254" w:name="_Toc25456"/>
            <w:bookmarkStart w:id="255" w:name="_Toc32191"/>
            <w:bookmarkStart w:id="256" w:name="_Toc31750"/>
            <w:bookmarkStart w:id="257" w:name="_Toc15129"/>
            <w:bookmarkStart w:id="258" w:name="_Toc2826"/>
            <w:bookmarkStart w:id="259" w:name="_Toc14344"/>
            <w:bookmarkStart w:id="260" w:name="_Toc26263"/>
            <w:bookmarkStart w:id="261" w:name="_Toc6470"/>
            <w:r>
              <w:rPr>
                <w:rFonts w:hint="eastAsia" w:ascii="宋体" w:hAnsi="宋体" w:cs="宋体"/>
                <w:sz w:val="24"/>
                <w:szCs w:val="24"/>
                <w:highlight w:val="none"/>
              </w:rPr>
              <w:t>数量</w:t>
            </w:r>
            <w:bookmarkEnd w:id="250"/>
            <w:bookmarkEnd w:id="251"/>
            <w:bookmarkEnd w:id="252"/>
            <w:bookmarkEnd w:id="253"/>
            <w:bookmarkEnd w:id="254"/>
            <w:bookmarkEnd w:id="255"/>
            <w:bookmarkEnd w:id="256"/>
            <w:bookmarkEnd w:id="257"/>
            <w:bookmarkEnd w:id="258"/>
            <w:bookmarkEnd w:id="259"/>
            <w:bookmarkEnd w:id="260"/>
            <w:bookmarkEnd w:id="261"/>
          </w:p>
        </w:tc>
        <w:tc>
          <w:tcPr>
            <w:tcW w:w="1171" w:type="dxa"/>
            <w:tcBorders>
              <w:top w:val="single" w:color="auto" w:sz="12" w:space="0"/>
              <w:left w:val="single" w:color="auto" w:sz="6" w:space="0"/>
              <w:bottom w:val="single" w:color="auto" w:sz="6" w:space="0"/>
              <w:right w:val="single" w:color="auto" w:sz="4" w:space="0"/>
            </w:tcBorders>
            <w:shd w:val="clear" w:color="auto" w:fill="auto"/>
            <w:vAlign w:val="center"/>
          </w:tcPr>
          <w:p w14:paraId="68E16090">
            <w:pPr>
              <w:pStyle w:val="3"/>
              <w:shd w:val="clear"/>
              <w:ind w:left="0"/>
              <w:jc w:val="center"/>
              <w:rPr>
                <w:rFonts w:ascii="宋体" w:hAnsi="宋体" w:cs="宋体"/>
                <w:sz w:val="24"/>
                <w:szCs w:val="24"/>
                <w:highlight w:val="none"/>
              </w:rPr>
            </w:pPr>
            <w:bookmarkStart w:id="262" w:name="_Toc26702"/>
            <w:bookmarkStart w:id="263" w:name="_Toc1042"/>
            <w:bookmarkStart w:id="264" w:name="_Toc32410"/>
            <w:bookmarkStart w:id="265" w:name="_Toc25067"/>
            <w:bookmarkStart w:id="266" w:name="_Toc23068"/>
            <w:bookmarkStart w:id="267" w:name="_Toc10180"/>
            <w:bookmarkStart w:id="268" w:name="_Toc14328"/>
            <w:bookmarkStart w:id="269" w:name="_Toc23206"/>
            <w:bookmarkStart w:id="270" w:name="_Toc26815"/>
            <w:bookmarkStart w:id="271" w:name="_Toc526"/>
            <w:bookmarkStart w:id="272" w:name="_Toc5026"/>
            <w:bookmarkStart w:id="273" w:name="_Toc27768"/>
            <w:r>
              <w:rPr>
                <w:rFonts w:hint="eastAsia" w:ascii="宋体" w:hAnsi="宋体" w:cs="宋体"/>
                <w:sz w:val="24"/>
                <w:szCs w:val="24"/>
                <w:highlight w:val="none"/>
              </w:rPr>
              <w:t>备注</w:t>
            </w:r>
            <w:bookmarkEnd w:id="262"/>
            <w:bookmarkEnd w:id="263"/>
            <w:bookmarkEnd w:id="264"/>
            <w:bookmarkEnd w:id="265"/>
            <w:bookmarkEnd w:id="266"/>
            <w:bookmarkEnd w:id="267"/>
            <w:bookmarkEnd w:id="268"/>
            <w:bookmarkEnd w:id="269"/>
            <w:bookmarkEnd w:id="270"/>
            <w:bookmarkEnd w:id="271"/>
            <w:bookmarkEnd w:id="272"/>
            <w:bookmarkEnd w:id="273"/>
          </w:p>
        </w:tc>
      </w:tr>
      <w:tr w14:paraId="6BFACF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tcPr>
          <w:p w14:paraId="16E4AA64">
            <w:pPr>
              <w:shd w:val="clear"/>
              <w:spacing w:before="156" w:beforeLines="50" w:line="360" w:lineRule="auto"/>
              <w:jc w:val="center"/>
              <w:rPr>
                <w:rFonts w:ascii="宋体" w:hAnsi="宋体" w:eastAsia="宋体" w:cs="宋体"/>
                <w:sz w:val="24"/>
                <w:highlight w:val="none"/>
              </w:rPr>
            </w:pPr>
          </w:p>
        </w:tc>
        <w:tc>
          <w:tcPr>
            <w:tcW w:w="1349" w:type="dxa"/>
            <w:tcBorders>
              <w:top w:val="single" w:color="auto" w:sz="6" w:space="0"/>
              <w:left w:val="single" w:color="auto" w:sz="6" w:space="0"/>
              <w:bottom w:val="single" w:color="auto" w:sz="6" w:space="0"/>
              <w:right w:val="single" w:color="auto" w:sz="6" w:space="0"/>
            </w:tcBorders>
            <w:shd w:val="clear" w:color="auto" w:fill="auto"/>
          </w:tcPr>
          <w:p w14:paraId="5158AB86">
            <w:pPr>
              <w:shd w:val="clear"/>
              <w:spacing w:before="156" w:beforeLines="50" w:line="360" w:lineRule="auto"/>
              <w:jc w:val="center"/>
              <w:rPr>
                <w:rFonts w:ascii="宋体" w:hAnsi="宋体" w:eastAsia="宋体" w:cs="宋体"/>
                <w:sz w:val="24"/>
                <w:highlight w:val="none"/>
              </w:rPr>
            </w:pPr>
          </w:p>
        </w:tc>
        <w:tc>
          <w:tcPr>
            <w:tcW w:w="2367" w:type="dxa"/>
            <w:tcBorders>
              <w:top w:val="single" w:color="auto" w:sz="6" w:space="0"/>
              <w:left w:val="single" w:color="auto" w:sz="6" w:space="0"/>
              <w:bottom w:val="single" w:color="auto" w:sz="6" w:space="0"/>
              <w:right w:val="single" w:color="auto" w:sz="6" w:space="0"/>
            </w:tcBorders>
            <w:shd w:val="clear" w:color="auto" w:fill="auto"/>
          </w:tcPr>
          <w:p w14:paraId="493EDA80">
            <w:pPr>
              <w:shd w:val="clear"/>
              <w:spacing w:before="156" w:beforeLines="50" w:line="360" w:lineRule="auto"/>
              <w:jc w:val="center"/>
              <w:rPr>
                <w:rFonts w:ascii="宋体" w:hAnsi="宋体" w:eastAsia="宋体" w:cs="宋体"/>
                <w:sz w:val="24"/>
                <w:highlight w:val="none"/>
              </w:rPr>
            </w:pPr>
          </w:p>
        </w:tc>
        <w:tc>
          <w:tcPr>
            <w:tcW w:w="1006" w:type="dxa"/>
            <w:tcBorders>
              <w:top w:val="single" w:color="auto" w:sz="6" w:space="0"/>
              <w:left w:val="single" w:color="auto" w:sz="6" w:space="0"/>
              <w:bottom w:val="single" w:color="auto" w:sz="6" w:space="0"/>
              <w:right w:val="single" w:color="auto" w:sz="4" w:space="0"/>
            </w:tcBorders>
            <w:shd w:val="clear" w:color="auto" w:fill="auto"/>
          </w:tcPr>
          <w:p w14:paraId="3252B228">
            <w:pPr>
              <w:shd w:val="clear"/>
              <w:spacing w:before="156" w:beforeLines="50" w:line="360" w:lineRule="auto"/>
              <w:jc w:val="center"/>
              <w:rPr>
                <w:rFonts w:ascii="宋体" w:hAnsi="宋体" w:eastAsia="宋体" w:cs="宋体"/>
                <w:sz w:val="24"/>
                <w:highlight w:val="none"/>
              </w:rPr>
            </w:pPr>
          </w:p>
        </w:tc>
        <w:tc>
          <w:tcPr>
            <w:tcW w:w="1268" w:type="dxa"/>
            <w:tcBorders>
              <w:top w:val="single" w:color="auto" w:sz="6" w:space="0"/>
              <w:left w:val="single" w:color="auto" w:sz="4" w:space="0"/>
              <w:bottom w:val="single" w:color="auto" w:sz="6" w:space="0"/>
              <w:right w:val="single" w:color="auto" w:sz="6" w:space="0"/>
            </w:tcBorders>
            <w:shd w:val="clear" w:color="auto" w:fill="auto"/>
          </w:tcPr>
          <w:p w14:paraId="019CE528">
            <w:pPr>
              <w:shd w:val="clear"/>
              <w:spacing w:before="156" w:beforeLines="50" w:line="360" w:lineRule="auto"/>
              <w:jc w:val="center"/>
              <w:rPr>
                <w:rFonts w:ascii="宋体" w:hAnsi="宋体" w:eastAsia="宋体" w:cs="宋体"/>
                <w:sz w:val="24"/>
                <w:highlight w:val="none"/>
              </w:rPr>
            </w:pPr>
          </w:p>
        </w:tc>
        <w:tc>
          <w:tcPr>
            <w:tcW w:w="1173" w:type="dxa"/>
            <w:tcBorders>
              <w:top w:val="single" w:color="auto" w:sz="6" w:space="0"/>
              <w:left w:val="single" w:color="auto" w:sz="6" w:space="0"/>
              <w:bottom w:val="single" w:color="auto" w:sz="6" w:space="0"/>
              <w:right w:val="single" w:color="auto" w:sz="4" w:space="0"/>
            </w:tcBorders>
            <w:shd w:val="clear" w:color="auto" w:fill="auto"/>
          </w:tcPr>
          <w:p w14:paraId="790A24B1">
            <w:pPr>
              <w:shd w:val="clear"/>
              <w:spacing w:before="156" w:beforeLines="50" w:line="360" w:lineRule="auto"/>
              <w:jc w:val="center"/>
              <w:rPr>
                <w:rFonts w:ascii="宋体" w:hAnsi="宋体" w:eastAsia="宋体" w:cs="宋体"/>
                <w:sz w:val="24"/>
                <w:highlight w:val="none"/>
              </w:rPr>
            </w:pPr>
          </w:p>
        </w:tc>
        <w:tc>
          <w:tcPr>
            <w:tcW w:w="1171" w:type="dxa"/>
            <w:tcBorders>
              <w:top w:val="single" w:color="auto" w:sz="6" w:space="0"/>
              <w:left w:val="single" w:color="auto" w:sz="6" w:space="0"/>
              <w:bottom w:val="single" w:color="auto" w:sz="6" w:space="0"/>
              <w:right w:val="single" w:color="auto" w:sz="4" w:space="0"/>
            </w:tcBorders>
            <w:shd w:val="clear" w:color="auto" w:fill="auto"/>
          </w:tcPr>
          <w:p w14:paraId="5AA33CF9">
            <w:pPr>
              <w:shd w:val="clear"/>
              <w:spacing w:before="156" w:beforeLines="50" w:line="360" w:lineRule="auto"/>
              <w:jc w:val="center"/>
              <w:rPr>
                <w:rFonts w:ascii="宋体" w:hAnsi="宋体" w:eastAsia="宋体" w:cs="宋体"/>
                <w:sz w:val="24"/>
                <w:highlight w:val="none"/>
              </w:rPr>
            </w:pPr>
          </w:p>
        </w:tc>
      </w:tr>
      <w:tr w14:paraId="4F3B26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tcPr>
          <w:p w14:paraId="7747EF50">
            <w:pPr>
              <w:shd w:val="clear"/>
              <w:spacing w:before="156" w:beforeLines="50" w:line="360" w:lineRule="auto"/>
              <w:jc w:val="center"/>
              <w:rPr>
                <w:rFonts w:ascii="宋体" w:hAnsi="宋体" w:eastAsia="宋体" w:cs="宋体"/>
                <w:sz w:val="24"/>
                <w:highlight w:val="none"/>
              </w:rPr>
            </w:pPr>
          </w:p>
        </w:tc>
        <w:tc>
          <w:tcPr>
            <w:tcW w:w="1349" w:type="dxa"/>
            <w:tcBorders>
              <w:top w:val="single" w:color="auto" w:sz="6" w:space="0"/>
              <w:left w:val="single" w:color="auto" w:sz="6" w:space="0"/>
              <w:bottom w:val="single" w:color="auto" w:sz="6" w:space="0"/>
              <w:right w:val="single" w:color="auto" w:sz="6" w:space="0"/>
            </w:tcBorders>
            <w:shd w:val="clear" w:color="auto" w:fill="auto"/>
          </w:tcPr>
          <w:p w14:paraId="28ADC98A">
            <w:pPr>
              <w:shd w:val="clear"/>
              <w:spacing w:before="156" w:beforeLines="50" w:line="360" w:lineRule="auto"/>
              <w:jc w:val="center"/>
              <w:rPr>
                <w:rFonts w:ascii="宋体" w:hAnsi="宋体" w:eastAsia="宋体" w:cs="宋体"/>
                <w:sz w:val="24"/>
                <w:highlight w:val="none"/>
              </w:rPr>
            </w:pPr>
          </w:p>
        </w:tc>
        <w:tc>
          <w:tcPr>
            <w:tcW w:w="2367" w:type="dxa"/>
            <w:tcBorders>
              <w:top w:val="single" w:color="auto" w:sz="6" w:space="0"/>
              <w:left w:val="single" w:color="auto" w:sz="6" w:space="0"/>
              <w:bottom w:val="single" w:color="auto" w:sz="6" w:space="0"/>
              <w:right w:val="single" w:color="auto" w:sz="6" w:space="0"/>
            </w:tcBorders>
            <w:shd w:val="clear" w:color="auto" w:fill="auto"/>
          </w:tcPr>
          <w:p w14:paraId="612B4AC6">
            <w:pPr>
              <w:shd w:val="clear"/>
              <w:spacing w:before="156" w:beforeLines="50" w:line="360" w:lineRule="auto"/>
              <w:jc w:val="center"/>
              <w:rPr>
                <w:rFonts w:ascii="宋体" w:hAnsi="宋体" w:eastAsia="宋体" w:cs="宋体"/>
                <w:sz w:val="24"/>
                <w:highlight w:val="none"/>
              </w:rPr>
            </w:pPr>
          </w:p>
        </w:tc>
        <w:tc>
          <w:tcPr>
            <w:tcW w:w="1006" w:type="dxa"/>
            <w:tcBorders>
              <w:top w:val="single" w:color="auto" w:sz="6" w:space="0"/>
              <w:left w:val="single" w:color="auto" w:sz="6" w:space="0"/>
              <w:bottom w:val="single" w:color="auto" w:sz="6" w:space="0"/>
              <w:right w:val="single" w:color="auto" w:sz="4" w:space="0"/>
            </w:tcBorders>
            <w:shd w:val="clear" w:color="auto" w:fill="auto"/>
          </w:tcPr>
          <w:p w14:paraId="4AD9CE8F">
            <w:pPr>
              <w:shd w:val="clear"/>
              <w:spacing w:before="156" w:beforeLines="50" w:line="360" w:lineRule="auto"/>
              <w:jc w:val="center"/>
              <w:rPr>
                <w:rFonts w:ascii="宋体" w:hAnsi="宋体" w:eastAsia="宋体" w:cs="宋体"/>
                <w:sz w:val="24"/>
                <w:highlight w:val="none"/>
              </w:rPr>
            </w:pPr>
          </w:p>
        </w:tc>
        <w:tc>
          <w:tcPr>
            <w:tcW w:w="1268" w:type="dxa"/>
            <w:tcBorders>
              <w:top w:val="single" w:color="auto" w:sz="6" w:space="0"/>
              <w:left w:val="single" w:color="auto" w:sz="4" w:space="0"/>
              <w:bottom w:val="single" w:color="auto" w:sz="6" w:space="0"/>
              <w:right w:val="single" w:color="auto" w:sz="6" w:space="0"/>
            </w:tcBorders>
            <w:shd w:val="clear" w:color="auto" w:fill="auto"/>
          </w:tcPr>
          <w:p w14:paraId="3C91C7E2">
            <w:pPr>
              <w:shd w:val="clear"/>
              <w:spacing w:before="156" w:beforeLines="50" w:line="360" w:lineRule="auto"/>
              <w:jc w:val="center"/>
              <w:rPr>
                <w:rFonts w:ascii="宋体" w:hAnsi="宋体" w:eastAsia="宋体" w:cs="宋体"/>
                <w:sz w:val="24"/>
                <w:highlight w:val="none"/>
              </w:rPr>
            </w:pPr>
          </w:p>
        </w:tc>
        <w:tc>
          <w:tcPr>
            <w:tcW w:w="1173" w:type="dxa"/>
            <w:tcBorders>
              <w:top w:val="single" w:color="auto" w:sz="6" w:space="0"/>
              <w:left w:val="single" w:color="auto" w:sz="6" w:space="0"/>
              <w:bottom w:val="single" w:color="auto" w:sz="6" w:space="0"/>
              <w:right w:val="single" w:color="auto" w:sz="4" w:space="0"/>
            </w:tcBorders>
            <w:shd w:val="clear" w:color="auto" w:fill="auto"/>
          </w:tcPr>
          <w:p w14:paraId="47147AD6">
            <w:pPr>
              <w:shd w:val="clear"/>
              <w:spacing w:before="156" w:beforeLines="50" w:line="360" w:lineRule="auto"/>
              <w:jc w:val="center"/>
              <w:rPr>
                <w:rFonts w:ascii="宋体" w:hAnsi="宋体" w:eastAsia="宋体" w:cs="宋体"/>
                <w:sz w:val="24"/>
                <w:highlight w:val="none"/>
              </w:rPr>
            </w:pPr>
          </w:p>
        </w:tc>
        <w:tc>
          <w:tcPr>
            <w:tcW w:w="1171" w:type="dxa"/>
            <w:tcBorders>
              <w:top w:val="single" w:color="auto" w:sz="6" w:space="0"/>
              <w:left w:val="single" w:color="auto" w:sz="6" w:space="0"/>
              <w:bottom w:val="single" w:color="auto" w:sz="6" w:space="0"/>
              <w:right w:val="single" w:color="auto" w:sz="4" w:space="0"/>
            </w:tcBorders>
            <w:shd w:val="clear" w:color="auto" w:fill="auto"/>
          </w:tcPr>
          <w:p w14:paraId="4B19F056">
            <w:pPr>
              <w:shd w:val="clear"/>
              <w:spacing w:before="156" w:beforeLines="50" w:line="360" w:lineRule="auto"/>
              <w:jc w:val="center"/>
              <w:rPr>
                <w:rFonts w:ascii="宋体" w:hAnsi="宋体" w:eastAsia="宋体" w:cs="宋体"/>
                <w:sz w:val="24"/>
                <w:highlight w:val="none"/>
              </w:rPr>
            </w:pPr>
          </w:p>
        </w:tc>
      </w:tr>
      <w:tr w14:paraId="32DAE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tcPr>
          <w:p w14:paraId="30E9707D">
            <w:pPr>
              <w:shd w:val="clear"/>
              <w:spacing w:before="156" w:beforeLines="50" w:line="360" w:lineRule="auto"/>
              <w:jc w:val="center"/>
              <w:rPr>
                <w:rFonts w:ascii="宋体" w:hAnsi="宋体" w:eastAsia="宋体" w:cs="宋体"/>
                <w:sz w:val="24"/>
                <w:highlight w:val="none"/>
              </w:rPr>
            </w:pPr>
          </w:p>
        </w:tc>
        <w:tc>
          <w:tcPr>
            <w:tcW w:w="1349" w:type="dxa"/>
            <w:tcBorders>
              <w:top w:val="single" w:color="auto" w:sz="6" w:space="0"/>
              <w:left w:val="single" w:color="auto" w:sz="6" w:space="0"/>
              <w:bottom w:val="single" w:color="auto" w:sz="6" w:space="0"/>
              <w:right w:val="single" w:color="auto" w:sz="6" w:space="0"/>
            </w:tcBorders>
            <w:shd w:val="clear" w:color="auto" w:fill="auto"/>
          </w:tcPr>
          <w:p w14:paraId="21AACE78">
            <w:pPr>
              <w:shd w:val="clear"/>
              <w:spacing w:before="156" w:beforeLines="50" w:line="360" w:lineRule="auto"/>
              <w:jc w:val="center"/>
              <w:rPr>
                <w:rFonts w:ascii="宋体" w:hAnsi="宋体" w:eastAsia="宋体" w:cs="宋体"/>
                <w:sz w:val="24"/>
                <w:highlight w:val="none"/>
              </w:rPr>
            </w:pPr>
          </w:p>
        </w:tc>
        <w:tc>
          <w:tcPr>
            <w:tcW w:w="2367" w:type="dxa"/>
            <w:tcBorders>
              <w:top w:val="single" w:color="auto" w:sz="6" w:space="0"/>
              <w:left w:val="single" w:color="auto" w:sz="6" w:space="0"/>
              <w:bottom w:val="single" w:color="auto" w:sz="6" w:space="0"/>
              <w:right w:val="single" w:color="auto" w:sz="6" w:space="0"/>
            </w:tcBorders>
            <w:shd w:val="clear" w:color="auto" w:fill="auto"/>
          </w:tcPr>
          <w:p w14:paraId="0414FE15">
            <w:pPr>
              <w:shd w:val="clear"/>
              <w:spacing w:before="156" w:beforeLines="50" w:line="360" w:lineRule="auto"/>
              <w:jc w:val="center"/>
              <w:rPr>
                <w:rFonts w:ascii="宋体" w:hAnsi="宋体" w:eastAsia="宋体" w:cs="宋体"/>
                <w:sz w:val="24"/>
                <w:highlight w:val="none"/>
              </w:rPr>
            </w:pPr>
          </w:p>
        </w:tc>
        <w:tc>
          <w:tcPr>
            <w:tcW w:w="1006" w:type="dxa"/>
            <w:tcBorders>
              <w:top w:val="single" w:color="auto" w:sz="6" w:space="0"/>
              <w:left w:val="single" w:color="auto" w:sz="6" w:space="0"/>
              <w:bottom w:val="single" w:color="auto" w:sz="6" w:space="0"/>
              <w:right w:val="single" w:color="auto" w:sz="4" w:space="0"/>
            </w:tcBorders>
            <w:shd w:val="clear" w:color="auto" w:fill="auto"/>
          </w:tcPr>
          <w:p w14:paraId="7ABE0A2D">
            <w:pPr>
              <w:shd w:val="clear"/>
              <w:spacing w:before="156" w:beforeLines="50" w:line="360" w:lineRule="auto"/>
              <w:jc w:val="center"/>
              <w:rPr>
                <w:rFonts w:ascii="宋体" w:hAnsi="宋体" w:eastAsia="宋体" w:cs="宋体"/>
                <w:sz w:val="24"/>
                <w:highlight w:val="none"/>
              </w:rPr>
            </w:pPr>
          </w:p>
        </w:tc>
        <w:tc>
          <w:tcPr>
            <w:tcW w:w="1268" w:type="dxa"/>
            <w:tcBorders>
              <w:top w:val="single" w:color="auto" w:sz="6" w:space="0"/>
              <w:left w:val="single" w:color="auto" w:sz="4" w:space="0"/>
              <w:bottom w:val="single" w:color="auto" w:sz="6" w:space="0"/>
              <w:right w:val="single" w:color="auto" w:sz="6" w:space="0"/>
            </w:tcBorders>
            <w:shd w:val="clear" w:color="auto" w:fill="auto"/>
          </w:tcPr>
          <w:p w14:paraId="0BB81304">
            <w:pPr>
              <w:shd w:val="clear"/>
              <w:spacing w:before="156" w:beforeLines="50" w:line="360" w:lineRule="auto"/>
              <w:jc w:val="center"/>
              <w:rPr>
                <w:rFonts w:ascii="宋体" w:hAnsi="宋体" w:eastAsia="宋体" w:cs="宋体"/>
                <w:sz w:val="24"/>
                <w:highlight w:val="none"/>
              </w:rPr>
            </w:pPr>
          </w:p>
        </w:tc>
        <w:tc>
          <w:tcPr>
            <w:tcW w:w="1173" w:type="dxa"/>
            <w:tcBorders>
              <w:top w:val="single" w:color="auto" w:sz="6" w:space="0"/>
              <w:left w:val="single" w:color="auto" w:sz="6" w:space="0"/>
              <w:bottom w:val="single" w:color="auto" w:sz="6" w:space="0"/>
              <w:right w:val="single" w:color="auto" w:sz="4" w:space="0"/>
            </w:tcBorders>
            <w:shd w:val="clear" w:color="auto" w:fill="auto"/>
          </w:tcPr>
          <w:p w14:paraId="654E7A0E">
            <w:pPr>
              <w:shd w:val="clear"/>
              <w:spacing w:before="156" w:beforeLines="50" w:line="360" w:lineRule="auto"/>
              <w:jc w:val="center"/>
              <w:rPr>
                <w:rFonts w:ascii="宋体" w:hAnsi="宋体" w:eastAsia="宋体" w:cs="宋体"/>
                <w:sz w:val="24"/>
                <w:highlight w:val="none"/>
              </w:rPr>
            </w:pPr>
          </w:p>
        </w:tc>
        <w:tc>
          <w:tcPr>
            <w:tcW w:w="1171" w:type="dxa"/>
            <w:tcBorders>
              <w:top w:val="single" w:color="auto" w:sz="6" w:space="0"/>
              <w:left w:val="single" w:color="auto" w:sz="6" w:space="0"/>
              <w:bottom w:val="single" w:color="auto" w:sz="6" w:space="0"/>
              <w:right w:val="single" w:color="auto" w:sz="4" w:space="0"/>
            </w:tcBorders>
            <w:shd w:val="clear" w:color="auto" w:fill="auto"/>
          </w:tcPr>
          <w:p w14:paraId="08C5D218">
            <w:pPr>
              <w:shd w:val="clear"/>
              <w:spacing w:before="156" w:beforeLines="50" w:line="360" w:lineRule="auto"/>
              <w:jc w:val="center"/>
              <w:rPr>
                <w:rFonts w:ascii="宋体" w:hAnsi="宋体" w:eastAsia="宋体" w:cs="宋体"/>
                <w:sz w:val="24"/>
                <w:highlight w:val="none"/>
              </w:rPr>
            </w:pPr>
          </w:p>
        </w:tc>
      </w:tr>
      <w:tr w14:paraId="45E4E8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tcPr>
          <w:p w14:paraId="5198590E">
            <w:pPr>
              <w:shd w:val="clear"/>
              <w:spacing w:before="156" w:beforeLines="50" w:line="360" w:lineRule="auto"/>
              <w:jc w:val="center"/>
              <w:rPr>
                <w:rFonts w:ascii="宋体" w:hAnsi="宋体" w:eastAsia="宋体" w:cs="宋体"/>
                <w:sz w:val="24"/>
                <w:highlight w:val="none"/>
              </w:rPr>
            </w:pPr>
          </w:p>
        </w:tc>
        <w:tc>
          <w:tcPr>
            <w:tcW w:w="1349" w:type="dxa"/>
            <w:tcBorders>
              <w:top w:val="single" w:color="auto" w:sz="6" w:space="0"/>
              <w:left w:val="single" w:color="auto" w:sz="6" w:space="0"/>
              <w:bottom w:val="single" w:color="auto" w:sz="6" w:space="0"/>
              <w:right w:val="single" w:color="auto" w:sz="6" w:space="0"/>
            </w:tcBorders>
            <w:shd w:val="clear" w:color="auto" w:fill="auto"/>
          </w:tcPr>
          <w:p w14:paraId="5B3F688A">
            <w:pPr>
              <w:shd w:val="clear"/>
              <w:spacing w:before="156" w:beforeLines="50" w:line="360" w:lineRule="auto"/>
              <w:jc w:val="center"/>
              <w:rPr>
                <w:rFonts w:ascii="宋体" w:hAnsi="宋体" w:eastAsia="宋体" w:cs="宋体"/>
                <w:sz w:val="24"/>
                <w:highlight w:val="none"/>
              </w:rPr>
            </w:pPr>
          </w:p>
        </w:tc>
        <w:tc>
          <w:tcPr>
            <w:tcW w:w="2367" w:type="dxa"/>
            <w:tcBorders>
              <w:top w:val="single" w:color="auto" w:sz="6" w:space="0"/>
              <w:left w:val="single" w:color="auto" w:sz="6" w:space="0"/>
              <w:bottom w:val="single" w:color="auto" w:sz="6" w:space="0"/>
              <w:right w:val="single" w:color="auto" w:sz="6" w:space="0"/>
            </w:tcBorders>
            <w:shd w:val="clear" w:color="auto" w:fill="auto"/>
          </w:tcPr>
          <w:p w14:paraId="43E303DC">
            <w:pPr>
              <w:shd w:val="clear"/>
              <w:spacing w:before="156" w:beforeLines="50" w:line="360" w:lineRule="auto"/>
              <w:jc w:val="center"/>
              <w:rPr>
                <w:rFonts w:ascii="宋体" w:hAnsi="宋体" w:eastAsia="宋体" w:cs="宋体"/>
                <w:sz w:val="24"/>
                <w:highlight w:val="none"/>
              </w:rPr>
            </w:pPr>
          </w:p>
        </w:tc>
        <w:tc>
          <w:tcPr>
            <w:tcW w:w="1006" w:type="dxa"/>
            <w:tcBorders>
              <w:top w:val="single" w:color="auto" w:sz="6" w:space="0"/>
              <w:left w:val="single" w:color="auto" w:sz="6" w:space="0"/>
              <w:bottom w:val="single" w:color="auto" w:sz="6" w:space="0"/>
              <w:right w:val="single" w:color="auto" w:sz="4" w:space="0"/>
            </w:tcBorders>
            <w:shd w:val="clear" w:color="auto" w:fill="auto"/>
          </w:tcPr>
          <w:p w14:paraId="50BA793D">
            <w:pPr>
              <w:shd w:val="clear"/>
              <w:spacing w:before="156" w:beforeLines="50" w:line="360" w:lineRule="auto"/>
              <w:jc w:val="center"/>
              <w:rPr>
                <w:rFonts w:ascii="宋体" w:hAnsi="宋体" w:eastAsia="宋体" w:cs="宋体"/>
                <w:sz w:val="24"/>
                <w:highlight w:val="none"/>
              </w:rPr>
            </w:pPr>
          </w:p>
        </w:tc>
        <w:tc>
          <w:tcPr>
            <w:tcW w:w="1268" w:type="dxa"/>
            <w:tcBorders>
              <w:top w:val="single" w:color="auto" w:sz="6" w:space="0"/>
              <w:left w:val="single" w:color="auto" w:sz="4" w:space="0"/>
              <w:bottom w:val="single" w:color="auto" w:sz="6" w:space="0"/>
              <w:right w:val="single" w:color="auto" w:sz="6" w:space="0"/>
            </w:tcBorders>
            <w:shd w:val="clear" w:color="auto" w:fill="auto"/>
          </w:tcPr>
          <w:p w14:paraId="77C17914">
            <w:pPr>
              <w:shd w:val="clear"/>
              <w:spacing w:before="156" w:beforeLines="50" w:line="360" w:lineRule="auto"/>
              <w:jc w:val="center"/>
              <w:rPr>
                <w:rFonts w:ascii="宋体" w:hAnsi="宋体" w:eastAsia="宋体" w:cs="宋体"/>
                <w:sz w:val="24"/>
                <w:highlight w:val="none"/>
              </w:rPr>
            </w:pPr>
          </w:p>
        </w:tc>
        <w:tc>
          <w:tcPr>
            <w:tcW w:w="1173" w:type="dxa"/>
            <w:tcBorders>
              <w:top w:val="single" w:color="auto" w:sz="6" w:space="0"/>
              <w:left w:val="single" w:color="auto" w:sz="6" w:space="0"/>
              <w:bottom w:val="single" w:color="auto" w:sz="6" w:space="0"/>
              <w:right w:val="single" w:color="auto" w:sz="4" w:space="0"/>
            </w:tcBorders>
            <w:shd w:val="clear" w:color="auto" w:fill="auto"/>
          </w:tcPr>
          <w:p w14:paraId="7ADD84F9">
            <w:pPr>
              <w:shd w:val="clear"/>
              <w:spacing w:before="156" w:beforeLines="50" w:line="360" w:lineRule="auto"/>
              <w:jc w:val="center"/>
              <w:rPr>
                <w:rFonts w:ascii="宋体" w:hAnsi="宋体" w:eastAsia="宋体" w:cs="宋体"/>
                <w:sz w:val="24"/>
                <w:highlight w:val="none"/>
              </w:rPr>
            </w:pPr>
          </w:p>
        </w:tc>
        <w:tc>
          <w:tcPr>
            <w:tcW w:w="1171" w:type="dxa"/>
            <w:tcBorders>
              <w:top w:val="single" w:color="auto" w:sz="6" w:space="0"/>
              <w:left w:val="single" w:color="auto" w:sz="6" w:space="0"/>
              <w:bottom w:val="single" w:color="auto" w:sz="6" w:space="0"/>
              <w:right w:val="single" w:color="auto" w:sz="4" w:space="0"/>
            </w:tcBorders>
            <w:shd w:val="clear" w:color="auto" w:fill="auto"/>
          </w:tcPr>
          <w:p w14:paraId="30538429">
            <w:pPr>
              <w:shd w:val="clear"/>
              <w:spacing w:before="156" w:beforeLines="50" w:line="360" w:lineRule="auto"/>
              <w:jc w:val="center"/>
              <w:rPr>
                <w:rFonts w:ascii="宋体" w:hAnsi="宋体" w:eastAsia="宋体" w:cs="宋体"/>
                <w:sz w:val="24"/>
                <w:highlight w:val="none"/>
              </w:rPr>
            </w:pPr>
          </w:p>
        </w:tc>
      </w:tr>
      <w:tr w14:paraId="3BE5FF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4" w:hRule="atLeast"/>
          <w:jc w:val="center"/>
        </w:trPr>
        <w:tc>
          <w:tcPr>
            <w:tcW w:w="822" w:type="dxa"/>
            <w:tcBorders>
              <w:top w:val="single" w:color="auto" w:sz="6" w:space="0"/>
              <w:left w:val="single" w:color="auto" w:sz="12" w:space="0"/>
              <w:bottom w:val="single" w:color="auto" w:sz="6" w:space="0"/>
              <w:right w:val="single" w:color="auto" w:sz="6" w:space="0"/>
            </w:tcBorders>
            <w:shd w:val="clear" w:color="auto" w:fill="auto"/>
          </w:tcPr>
          <w:p w14:paraId="0D775174">
            <w:pPr>
              <w:shd w:val="clear"/>
              <w:spacing w:before="156" w:beforeLines="50" w:line="360" w:lineRule="auto"/>
              <w:jc w:val="center"/>
              <w:rPr>
                <w:rFonts w:ascii="宋体" w:hAnsi="宋体" w:eastAsia="宋体" w:cs="宋体"/>
                <w:sz w:val="24"/>
                <w:highlight w:val="none"/>
              </w:rPr>
            </w:pPr>
          </w:p>
        </w:tc>
        <w:tc>
          <w:tcPr>
            <w:tcW w:w="1349" w:type="dxa"/>
            <w:tcBorders>
              <w:top w:val="single" w:color="auto" w:sz="6" w:space="0"/>
              <w:left w:val="single" w:color="auto" w:sz="6" w:space="0"/>
              <w:bottom w:val="single" w:color="auto" w:sz="6" w:space="0"/>
              <w:right w:val="single" w:color="auto" w:sz="6" w:space="0"/>
            </w:tcBorders>
            <w:shd w:val="clear" w:color="auto" w:fill="auto"/>
          </w:tcPr>
          <w:p w14:paraId="20FB9C7B">
            <w:pPr>
              <w:shd w:val="clear"/>
              <w:spacing w:before="156" w:beforeLines="50" w:line="360" w:lineRule="auto"/>
              <w:jc w:val="center"/>
              <w:rPr>
                <w:rFonts w:ascii="宋体" w:hAnsi="宋体" w:eastAsia="宋体" w:cs="宋体"/>
                <w:sz w:val="24"/>
                <w:highlight w:val="none"/>
              </w:rPr>
            </w:pPr>
          </w:p>
        </w:tc>
        <w:tc>
          <w:tcPr>
            <w:tcW w:w="2367" w:type="dxa"/>
            <w:tcBorders>
              <w:top w:val="single" w:color="auto" w:sz="6" w:space="0"/>
              <w:left w:val="single" w:color="auto" w:sz="6" w:space="0"/>
              <w:bottom w:val="single" w:color="auto" w:sz="6" w:space="0"/>
              <w:right w:val="single" w:color="auto" w:sz="6" w:space="0"/>
            </w:tcBorders>
            <w:shd w:val="clear" w:color="auto" w:fill="auto"/>
          </w:tcPr>
          <w:p w14:paraId="03838983">
            <w:pPr>
              <w:shd w:val="clear"/>
              <w:spacing w:before="156" w:beforeLines="50" w:line="360" w:lineRule="auto"/>
              <w:jc w:val="center"/>
              <w:rPr>
                <w:rFonts w:ascii="宋体" w:hAnsi="宋体" w:eastAsia="宋体" w:cs="宋体"/>
                <w:sz w:val="24"/>
                <w:highlight w:val="none"/>
              </w:rPr>
            </w:pPr>
          </w:p>
        </w:tc>
        <w:tc>
          <w:tcPr>
            <w:tcW w:w="1006" w:type="dxa"/>
            <w:tcBorders>
              <w:top w:val="single" w:color="auto" w:sz="6" w:space="0"/>
              <w:left w:val="single" w:color="auto" w:sz="6" w:space="0"/>
              <w:bottom w:val="single" w:color="auto" w:sz="6" w:space="0"/>
              <w:right w:val="single" w:color="auto" w:sz="4" w:space="0"/>
            </w:tcBorders>
            <w:shd w:val="clear" w:color="auto" w:fill="auto"/>
          </w:tcPr>
          <w:p w14:paraId="51A731F6">
            <w:pPr>
              <w:shd w:val="clear"/>
              <w:spacing w:before="156" w:beforeLines="50" w:line="360" w:lineRule="auto"/>
              <w:jc w:val="center"/>
              <w:rPr>
                <w:rFonts w:ascii="宋体" w:hAnsi="宋体" w:eastAsia="宋体" w:cs="宋体"/>
                <w:sz w:val="24"/>
                <w:highlight w:val="none"/>
              </w:rPr>
            </w:pPr>
          </w:p>
        </w:tc>
        <w:tc>
          <w:tcPr>
            <w:tcW w:w="1268" w:type="dxa"/>
            <w:tcBorders>
              <w:top w:val="single" w:color="auto" w:sz="6" w:space="0"/>
              <w:left w:val="single" w:color="auto" w:sz="4" w:space="0"/>
              <w:bottom w:val="single" w:color="auto" w:sz="6" w:space="0"/>
              <w:right w:val="single" w:color="auto" w:sz="6" w:space="0"/>
            </w:tcBorders>
            <w:shd w:val="clear" w:color="auto" w:fill="auto"/>
          </w:tcPr>
          <w:p w14:paraId="0BE7C03D">
            <w:pPr>
              <w:shd w:val="clear"/>
              <w:spacing w:before="156" w:beforeLines="50" w:line="360" w:lineRule="auto"/>
              <w:jc w:val="center"/>
              <w:rPr>
                <w:rFonts w:ascii="宋体" w:hAnsi="宋体" w:eastAsia="宋体" w:cs="宋体"/>
                <w:sz w:val="24"/>
                <w:highlight w:val="none"/>
              </w:rPr>
            </w:pPr>
          </w:p>
        </w:tc>
        <w:tc>
          <w:tcPr>
            <w:tcW w:w="1173" w:type="dxa"/>
            <w:tcBorders>
              <w:top w:val="single" w:color="auto" w:sz="6" w:space="0"/>
              <w:left w:val="single" w:color="auto" w:sz="6" w:space="0"/>
              <w:bottom w:val="single" w:color="auto" w:sz="6" w:space="0"/>
              <w:right w:val="single" w:color="auto" w:sz="4" w:space="0"/>
            </w:tcBorders>
            <w:shd w:val="clear" w:color="auto" w:fill="auto"/>
          </w:tcPr>
          <w:p w14:paraId="5D031CA6">
            <w:pPr>
              <w:shd w:val="clear"/>
              <w:spacing w:before="156" w:beforeLines="50" w:line="360" w:lineRule="auto"/>
              <w:jc w:val="center"/>
              <w:rPr>
                <w:rFonts w:ascii="宋体" w:hAnsi="宋体" w:eastAsia="宋体" w:cs="宋体"/>
                <w:sz w:val="24"/>
                <w:highlight w:val="none"/>
              </w:rPr>
            </w:pPr>
          </w:p>
        </w:tc>
        <w:tc>
          <w:tcPr>
            <w:tcW w:w="1171" w:type="dxa"/>
            <w:tcBorders>
              <w:top w:val="single" w:color="auto" w:sz="6" w:space="0"/>
              <w:left w:val="single" w:color="auto" w:sz="6" w:space="0"/>
              <w:bottom w:val="single" w:color="auto" w:sz="6" w:space="0"/>
              <w:right w:val="single" w:color="auto" w:sz="4" w:space="0"/>
            </w:tcBorders>
            <w:shd w:val="clear" w:color="auto" w:fill="auto"/>
          </w:tcPr>
          <w:p w14:paraId="62B441EB">
            <w:pPr>
              <w:shd w:val="clear"/>
              <w:spacing w:before="156" w:beforeLines="50" w:line="360" w:lineRule="auto"/>
              <w:jc w:val="center"/>
              <w:rPr>
                <w:rFonts w:ascii="宋体" w:hAnsi="宋体" w:eastAsia="宋体" w:cs="宋体"/>
                <w:sz w:val="24"/>
                <w:highlight w:val="none"/>
              </w:rPr>
            </w:pPr>
          </w:p>
        </w:tc>
      </w:tr>
      <w:tr w14:paraId="320623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38" w:hRule="atLeast"/>
          <w:jc w:val="center"/>
        </w:trPr>
        <w:tc>
          <w:tcPr>
            <w:tcW w:w="822" w:type="dxa"/>
            <w:tcBorders>
              <w:top w:val="single" w:color="auto" w:sz="6" w:space="0"/>
              <w:left w:val="single" w:color="auto" w:sz="12" w:space="0"/>
              <w:bottom w:val="single" w:color="auto" w:sz="12" w:space="0"/>
              <w:right w:val="single" w:color="auto" w:sz="6" w:space="0"/>
            </w:tcBorders>
            <w:shd w:val="clear" w:color="auto" w:fill="auto"/>
          </w:tcPr>
          <w:p w14:paraId="5A2E71C2">
            <w:pPr>
              <w:shd w:val="clear"/>
              <w:spacing w:before="156" w:beforeLines="50" w:line="360" w:lineRule="auto"/>
              <w:jc w:val="center"/>
              <w:rPr>
                <w:rFonts w:ascii="宋体" w:hAnsi="宋体" w:eastAsia="宋体" w:cs="宋体"/>
                <w:sz w:val="24"/>
                <w:highlight w:val="none"/>
              </w:rPr>
            </w:pPr>
          </w:p>
        </w:tc>
        <w:tc>
          <w:tcPr>
            <w:tcW w:w="1349" w:type="dxa"/>
            <w:tcBorders>
              <w:top w:val="single" w:color="auto" w:sz="6" w:space="0"/>
              <w:left w:val="single" w:color="auto" w:sz="6" w:space="0"/>
              <w:bottom w:val="single" w:color="auto" w:sz="12" w:space="0"/>
              <w:right w:val="single" w:color="auto" w:sz="6" w:space="0"/>
            </w:tcBorders>
            <w:shd w:val="clear" w:color="auto" w:fill="auto"/>
          </w:tcPr>
          <w:p w14:paraId="103DD0DA">
            <w:pPr>
              <w:shd w:val="clear"/>
              <w:spacing w:before="156" w:beforeLines="50" w:line="360" w:lineRule="auto"/>
              <w:jc w:val="center"/>
              <w:rPr>
                <w:rFonts w:ascii="宋体" w:hAnsi="宋体" w:eastAsia="宋体" w:cs="宋体"/>
                <w:sz w:val="24"/>
                <w:highlight w:val="none"/>
              </w:rPr>
            </w:pPr>
          </w:p>
        </w:tc>
        <w:tc>
          <w:tcPr>
            <w:tcW w:w="2367" w:type="dxa"/>
            <w:tcBorders>
              <w:top w:val="single" w:color="auto" w:sz="6" w:space="0"/>
              <w:left w:val="single" w:color="auto" w:sz="6" w:space="0"/>
              <w:bottom w:val="single" w:color="auto" w:sz="12" w:space="0"/>
              <w:right w:val="single" w:color="auto" w:sz="6" w:space="0"/>
            </w:tcBorders>
            <w:shd w:val="clear" w:color="auto" w:fill="auto"/>
          </w:tcPr>
          <w:p w14:paraId="1503EB5E">
            <w:pPr>
              <w:shd w:val="clear"/>
              <w:spacing w:before="156" w:beforeLines="50" w:line="360" w:lineRule="auto"/>
              <w:jc w:val="center"/>
              <w:rPr>
                <w:rFonts w:ascii="宋体" w:hAnsi="宋体" w:eastAsia="宋体" w:cs="宋体"/>
                <w:sz w:val="24"/>
                <w:highlight w:val="none"/>
              </w:rPr>
            </w:pPr>
          </w:p>
        </w:tc>
        <w:tc>
          <w:tcPr>
            <w:tcW w:w="1006" w:type="dxa"/>
            <w:tcBorders>
              <w:top w:val="single" w:color="auto" w:sz="6" w:space="0"/>
              <w:left w:val="single" w:color="auto" w:sz="6" w:space="0"/>
              <w:bottom w:val="single" w:color="auto" w:sz="12" w:space="0"/>
              <w:right w:val="single" w:color="auto" w:sz="4" w:space="0"/>
            </w:tcBorders>
            <w:shd w:val="clear" w:color="auto" w:fill="auto"/>
          </w:tcPr>
          <w:p w14:paraId="27A54E9F">
            <w:pPr>
              <w:shd w:val="clear"/>
              <w:spacing w:before="156" w:beforeLines="50" w:line="360" w:lineRule="auto"/>
              <w:jc w:val="center"/>
              <w:rPr>
                <w:rFonts w:ascii="宋体" w:hAnsi="宋体" w:eastAsia="宋体" w:cs="宋体"/>
                <w:sz w:val="24"/>
                <w:highlight w:val="none"/>
              </w:rPr>
            </w:pPr>
          </w:p>
        </w:tc>
        <w:tc>
          <w:tcPr>
            <w:tcW w:w="1268" w:type="dxa"/>
            <w:tcBorders>
              <w:top w:val="single" w:color="auto" w:sz="6" w:space="0"/>
              <w:left w:val="single" w:color="auto" w:sz="4" w:space="0"/>
              <w:bottom w:val="single" w:color="auto" w:sz="12" w:space="0"/>
              <w:right w:val="single" w:color="auto" w:sz="6" w:space="0"/>
            </w:tcBorders>
            <w:shd w:val="clear" w:color="auto" w:fill="auto"/>
          </w:tcPr>
          <w:p w14:paraId="7A166BC8">
            <w:pPr>
              <w:shd w:val="clear"/>
              <w:spacing w:before="156" w:beforeLines="50" w:line="360" w:lineRule="auto"/>
              <w:jc w:val="center"/>
              <w:rPr>
                <w:rFonts w:ascii="宋体" w:hAnsi="宋体" w:eastAsia="宋体" w:cs="宋体"/>
                <w:sz w:val="24"/>
                <w:highlight w:val="none"/>
              </w:rPr>
            </w:pPr>
          </w:p>
        </w:tc>
        <w:tc>
          <w:tcPr>
            <w:tcW w:w="1173" w:type="dxa"/>
            <w:tcBorders>
              <w:top w:val="single" w:color="auto" w:sz="6" w:space="0"/>
              <w:left w:val="single" w:color="auto" w:sz="6" w:space="0"/>
              <w:bottom w:val="single" w:color="auto" w:sz="12" w:space="0"/>
              <w:right w:val="single" w:color="auto" w:sz="4" w:space="0"/>
            </w:tcBorders>
            <w:shd w:val="clear" w:color="auto" w:fill="auto"/>
          </w:tcPr>
          <w:p w14:paraId="624B9592">
            <w:pPr>
              <w:shd w:val="clear"/>
              <w:spacing w:before="156" w:beforeLines="50" w:line="360" w:lineRule="auto"/>
              <w:jc w:val="center"/>
              <w:rPr>
                <w:rFonts w:ascii="宋体" w:hAnsi="宋体" w:eastAsia="宋体" w:cs="宋体"/>
                <w:sz w:val="24"/>
                <w:highlight w:val="none"/>
              </w:rPr>
            </w:pPr>
          </w:p>
        </w:tc>
        <w:tc>
          <w:tcPr>
            <w:tcW w:w="1171" w:type="dxa"/>
            <w:tcBorders>
              <w:top w:val="single" w:color="auto" w:sz="6" w:space="0"/>
              <w:left w:val="single" w:color="auto" w:sz="6" w:space="0"/>
              <w:bottom w:val="single" w:color="auto" w:sz="12" w:space="0"/>
              <w:right w:val="single" w:color="auto" w:sz="4" w:space="0"/>
            </w:tcBorders>
            <w:shd w:val="clear" w:color="auto" w:fill="auto"/>
          </w:tcPr>
          <w:p w14:paraId="1FB3AD3F">
            <w:pPr>
              <w:shd w:val="clear"/>
              <w:spacing w:before="156" w:beforeLines="50" w:line="360" w:lineRule="auto"/>
              <w:jc w:val="center"/>
              <w:rPr>
                <w:rFonts w:ascii="宋体" w:hAnsi="宋体" w:eastAsia="宋体" w:cs="宋体"/>
                <w:sz w:val="24"/>
                <w:highlight w:val="none"/>
              </w:rPr>
            </w:pPr>
          </w:p>
        </w:tc>
      </w:tr>
    </w:tbl>
    <w:p w14:paraId="79D63125">
      <w:pPr>
        <w:pStyle w:val="84"/>
        <w:widowControl/>
        <w:shd w:val="clear"/>
        <w:tabs>
          <w:tab w:val="left" w:pos="2040"/>
        </w:tabs>
        <w:spacing w:before="156" w:line="400" w:lineRule="exact"/>
        <w:ind w:left="398" w:hanging="398" w:hangingChars="166"/>
        <w:rPr>
          <w:rFonts w:ascii="宋体" w:hAnsi="宋体" w:eastAsia="宋体" w:cs="宋体"/>
          <w:bCs w:val="0"/>
          <w:color w:val="auto"/>
          <w:sz w:val="24"/>
          <w:highlight w:val="none"/>
        </w:rPr>
      </w:pPr>
      <w:r>
        <w:rPr>
          <w:rFonts w:hint="eastAsia" w:ascii="宋体" w:hAnsi="宋体" w:eastAsia="宋体" w:cs="宋体"/>
          <w:bCs w:val="0"/>
          <w:color w:val="auto"/>
          <w:sz w:val="24"/>
          <w:highlight w:val="none"/>
        </w:rPr>
        <w:t>备注：投标人可适当调整该表格式，但不得减少信息内容。</w:t>
      </w:r>
    </w:p>
    <w:p w14:paraId="7B3CB20B">
      <w:pPr>
        <w:shd w:val="clear"/>
        <w:rPr>
          <w:rFonts w:ascii="宋体" w:hAnsi="宋体" w:eastAsia="宋体" w:cs="宋体"/>
          <w:b/>
          <w:kern w:val="0"/>
          <w:sz w:val="28"/>
          <w:szCs w:val="28"/>
          <w:highlight w:val="none"/>
        </w:rPr>
      </w:pPr>
    </w:p>
    <w:p w14:paraId="4E4A7AB8">
      <w:pPr>
        <w:shd w:val="clear"/>
        <w:rPr>
          <w:rFonts w:ascii="宋体" w:hAnsi="宋体" w:eastAsia="宋体" w:cs="宋体"/>
          <w:b/>
          <w:kern w:val="0"/>
          <w:sz w:val="28"/>
          <w:szCs w:val="28"/>
          <w:highlight w:val="none"/>
        </w:rPr>
      </w:pPr>
    </w:p>
    <w:p w14:paraId="0F5D279D">
      <w:pPr>
        <w:shd w:val="clear"/>
        <w:rPr>
          <w:rFonts w:ascii="宋体" w:hAnsi="宋体" w:eastAsia="宋体" w:cs="宋体"/>
          <w:highlight w:val="none"/>
        </w:rPr>
      </w:pPr>
    </w:p>
    <w:p w14:paraId="33E86BDB">
      <w:pPr>
        <w:shd w:val="clear"/>
        <w:spacing w:line="440" w:lineRule="exact"/>
        <w:ind w:left="141" w:leftChars="67"/>
        <w:rPr>
          <w:rFonts w:ascii="宋体" w:hAnsi="宋体" w:eastAsia="宋体" w:cs="宋体"/>
          <w:sz w:val="24"/>
          <w:highlight w:val="none"/>
          <w:u w:val="single"/>
        </w:rPr>
      </w:pPr>
      <w:r>
        <w:rPr>
          <w:rFonts w:hint="eastAsia" w:ascii="宋体" w:hAnsi="宋体" w:eastAsia="宋体" w:cs="宋体"/>
          <w:sz w:val="24"/>
          <w:highlight w:val="none"/>
          <w:lang w:bidi="ar"/>
        </w:rPr>
        <w:t xml:space="preserve">法定代表人/单位负责人/或被授权人签字： </w:t>
      </w:r>
      <w:r>
        <w:rPr>
          <w:rFonts w:hint="eastAsia" w:ascii="宋体" w:hAnsi="宋体" w:eastAsia="宋体" w:cs="宋体"/>
          <w:sz w:val="24"/>
          <w:highlight w:val="none"/>
          <w:u w:val="single"/>
          <w:lang w:bidi="ar"/>
        </w:rPr>
        <w:t xml:space="preserve">                 </w:t>
      </w:r>
    </w:p>
    <w:p w14:paraId="16D07584">
      <w:pPr>
        <w:shd w:val="clear"/>
        <w:tabs>
          <w:tab w:val="left" w:pos="3045"/>
        </w:tabs>
        <w:rPr>
          <w:rFonts w:ascii="宋体" w:hAnsi="宋体" w:eastAsia="宋体" w:cs="宋体"/>
          <w:sz w:val="24"/>
          <w:highlight w:val="none"/>
        </w:rPr>
      </w:pPr>
    </w:p>
    <w:p w14:paraId="67BEC8BD">
      <w:pPr>
        <w:shd w:val="clear"/>
        <w:rPr>
          <w:rFonts w:ascii="宋体" w:hAnsi="宋体" w:eastAsia="宋体" w:cs="宋体"/>
          <w:sz w:val="24"/>
          <w:highlight w:val="none"/>
        </w:rPr>
      </w:pPr>
    </w:p>
    <w:p w14:paraId="7F709A5E">
      <w:pPr>
        <w:shd w:val="clear"/>
        <w:ind w:firstLine="120" w:firstLineChars="50"/>
        <w:rPr>
          <w:rFonts w:ascii="宋体" w:hAnsi="宋体" w:eastAsia="宋体" w:cs="宋体"/>
          <w:sz w:val="24"/>
          <w:highlight w:val="none"/>
          <w:u w:val="single"/>
          <w:lang w:bidi="ar"/>
        </w:rPr>
      </w:pPr>
      <w:r>
        <w:rPr>
          <w:rFonts w:hint="eastAsia" w:ascii="宋体" w:hAnsi="宋体" w:eastAsia="宋体" w:cs="宋体"/>
          <w:sz w:val="24"/>
          <w:highlight w:val="none"/>
          <w:lang w:bidi="ar"/>
        </w:rPr>
        <w:t xml:space="preserve">投标人名称（公章）： </w:t>
      </w:r>
      <w:r>
        <w:rPr>
          <w:rFonts w:hint="eastAsia" w:ascii="宋体" w:hAnsi="宋体" w:eastAsia="宋体" w:cs="宋体"/>
          <w:sz w:val="24"/>
          <w:highlight w:val="none"/>
          <w:u w:val="single"/>
          <w:lang w:bidi="ar"/>
        </w:rPr>
        <w:t xml:space="preserve">                 </w:t>
      </w:r>
      <w:bookmarkStart w:id="274" w:name="_Toc225416061"/>
      <w:bookmarkStart w:id="275" w:name="_Toc225409965"/>
      <w:bookmarkStart w:id="276" w:name="_Toc225415659"/>
      <w:bookmarkStart w:id="277" w:name="_Toc225566882"/>
      <w:bookmarkStart w:id="278" w:name="_Toc396304713"/>
      <w:bookmarkStart w:id="279" w:name="_Toc341541375"/>
      <w:bookmarkStart w:id="280" w:name="_Toc225566701"/>
      <w:bookmarkStart w:id="281" w:name="_Toc225410807"/>
      <w:bookmarkStart w:id="282" w:name="_Toc225410181"/>
      <w:bookmarkStart w:id="283" w:name="_Toc225415860"/>
      <w:bookmarkStart w:id="284" w:name="_Toc225412373"/>
      <w:bookmarkStart w:id="285" w:name="_Toc225567481"/>
      <w:bookmarkStart w:id="286" w:name="_Toc225412171"/>
    </w:p>
    <w:p w14:paraId="7CE0A5FB">
      <w:pPr>
        <w:shd w:val="clear"/>
        <w:ind w:firstLine="120" w:firstLineChars="50"/>
        <w:rPr>
          <w:rFonts w:ascii="宋体" w:hAnsi="宋体" w:eastAsia="宋体" w:cs="宋体"/>
          <w:sz w:val="24"/>
          <w:highlight w:val="none"/>
          <w:u w:val="single"/>
          <w:lang w:bidi="ar"/>
        </w:rPr>
      </w:pPr>
    </w:p>
    <w:p w14:paraId="4C6D3C55">
      <w:pPr>
        <w:shd w:val="clear"/>
        <w:ind w:firstLine="120" w:firstLineChars="50"/>
        <w:rPr>
          <w:rFonts w:ascii="宋体" w:hAnsi="宋体" w:eastAsia="宋体" w:cs="宋体"/>
          <w:sz w:val="24"/>
          <w:highlight w:val="none"/>
          <w:u w:val="single"/>
          <w:lang w:bidi="ar"/>
        </w:rPr>
      </w:pPr>
    </w:p>
    <w:p w14:paraId="2B120624">
      <w:pPr>
        <w:shd w:val="clear"/>
        <w:ind w:firstLine="120" w:firstLineChars="50"/>
        <w:rPr>
          <w:rFonts w:ascii="宋体" w:hAnsi="宋体" w:eastAsia="宋体" w:cs="宋体"/>
          <w:sz w:val="24"/>
          <w:highlight w:val="none"/>
          <w:u w:val="single"/>
        </w:rPr>
      </w:pPr>
      <w:r>
        <w:rPr>
          <w:rFonts w:hint="eastAsia" w:ascii="宋体" w:hAnsi="宋体" w:eastAsia="宋体" w:cs="宋体"/>
          <w:sz w:val="24"/>
          <w:highlight w:val="none"/>
          <w:lang w:bidi="ar"/>
        </w:rPr>
        <w:t>日       期：</w:t>
      </w:r>
      <w:r>
        <w:rPr>
          <w:rFonts w:hint="eastAsia" w:ascii="宋体" w:hAnsi="宋体" w:eastAsia="宋体" w:cs="宋体"/>
          <w:sz w:val="24"/>
          <w:highlight w:val="none"/>
          <w:u w:val="single"/>
          <w:lang w:bidi="ar"/>
        </w:rPr>
        <w:t xml:space="preserve">                       </w:t>
      </w:r>
    </w:p>
    <w:p w14:paraId="684CB8E3">
      <w:pPr>
        <w:shd w:val="clear"/>
        <w:spacing w:after="120"/>
        <w:rPr>
          <w:rFonts w:ascii="宋体" w:hAnsi="宋体" w:eastAsia="宋体" w:cs="宋体"/>
          <w:b/>
          <w:sz w:val="24"/>
          <w:highlight w:val="none"/>
        </w:rPr>
      </w:pPr>
    </w:p>
    <w:p w14:paraId="3436E31E">
      <w:pPr>
        <w:shd w:val="clear"/>
        <w:spacing w:after="120"/>
        <w:rPr>
          <w:rFonts w:ascii="宋体" w:hAnsi="宋体" w:eastAsia="宋体" w:cs="宋体"/>
          <w:b/>
          <w:sz w:val="24"/>
          <w:highlight w:val="none"/>
        </w:rPr>
      </w:pPr>
    </w:p>
    <w:p w14:paraId="10218A54">
      <w:pPr>
        <w:shd w:val="clear"/>
        <w:spacing w:after="120"/>
        <w:rPr>
          <w:rFonts w:ascii="宋体" w:hAnsi="宋体" w:eastAsia="宋体" w:cs="宋体"/>
          <w:b/>
          <w:sz w:val="24"/>
          <w:highlight w:val="none"/>
        </w:rPr>
      </w:pPr>
    </w:p>
    <w:p w14:paraId="7E3A925D">
      <w:pPr>
        <w:shd w:val="clear"/>
        <w:spacing w:after="120"/>
        <w:rPr>
          <w:rFonts w:ascii="宋体" w:hAnsi="宋体" w:eastAsia="宋体" w:cs="宋体"/>
          <w:b/>
          <w:sz w:val="24"/>
          <w:highlight w:val="none"/>
        </w:rPr>
      </w:pPr>
    </w:p>
    <w:p w14:paraId="05F2FD8C">
      <w:pPr>
        <w:shd w:val="clear"/>
        <w:spacing w:after="120"/>
        <w:rPr>
          <w:rFonts w:ascii="宋体" w:hAnsi="宋体" w:eastAsia="宋体" w:cs="宋体"/>
          <w:b/>
          <w:sz w:val="24"/>
          <w:highlight w:val="none"/>
        </w:rPr>
      </w:pPr>
    </w:p>
    <w:p w14:paraId="528F8031">
      <w:pPr>
        <w:pStyle w:val="4"/>
        <w:widowControl/>
        <w:shd w:val="clear"/>
        <w:spacing w:before="624" w:line="360" w:lineRule="auto"/>
        <w:jc w:val="both"/>
        <w:rPr>
          <w:rFonts w:ascii="宋体" w:hAnsi="宋体" w:cs="宋体"/>
          <w:sz w:val="24"/>
          <w:highlight w:val="none"/>
        </w:rPr>
      </w:pPr>
      <w:bookmarkStart w:id="287" w:name="_Toc16171"/>
      <w:bookmarkStart w:id="288" w:name="_Toc18473"/>
      <w:bookmarkStart w:id="289" w:name="_Toc18118"/>
      <w:r>
        <w:rPr>
          <w:rFonts w:hint="eastAsia" w:ascii="宋体" w:hAnsi="宋体" w:cs="宋体"/>
          <w:sz w:val="24"/>
          <w:highlight w:val="none"/>
        </w:rPr>
        <w:t>附表2本项目拟投入人员汇总表</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p w14:paraId="53E331B2">
      <w:pPr>
        <w:pStyle w:val="190"/>
        <w:widowControl/>
        <w:shd w:val="clear"/>
        <w:spacing w:line="360" w:lineRule="auto"/>
        <w:ind w:firstLine="0" w:firstLineChars="0"/>
        <w:jc w:val="center"/>
        <w:outlineLvl w:val="9"/>
        <w:rPr>
          <w:rFonts w:ascii="宋体" w:hAnsi="宋体" w:cs="宋体"/>
          <w:color w:val="auto"/>
          <w:szCs w:val="24"/>
          <w:highlight w:val="none"/>
        </w:rPr>
      </w:pPr>
      <w:bookmarkStart w:id="290" w:name="_Toc32016"/>
      <w:bookmarkStart w:id="291" w:name="_Toc9160"/>
      <w:bookmarkStart w:id="292" w:name="_Toc396304714"/>
      <w:bookmarkStart w:id="293" w:name="_Toc19980"/>
      <w:bookmarkStart w:id="294" w:name="_Toc30982"/>
      <w:bookmarkStart w:id="295" w:name="_Toc403077652"/>
      <w:bookmarkStart w:id="296" w:name="_Toc21416"/>
      <w:r>
        <w:rPr>
          <w:rFonts w:hint="eastAsia" w:ascii="宋体" w:hAnsi="宋体" w:cs="宋体"/>
          <w:color w:val="auto"/>
          <w:szCs w:val="24"/>
          <w:highlight w:val="none"/>
        </w:rPr>
        <w:t>（一）本项目拟投入人员汇总表</w:t>
      </w:r>
      <w:bookmarkEnd w:id="290"/>
      <w:bookmarkEnd w:id="291"/>
      <w:bookmarkEnd w:id="292"/>
      <w:bookmarkEnd w:id="293"/>
      <w:bookmarkEnd w:id="294"/>
      <w:bookmarkEnd w:id="295"/>
      <w:bookmarkEnd w:id="296"/>
    </w:p>
    <w:tbl>
      <w:tblPr>
        <w:tblStyle w:val="41"/>
        <w:tblW w:w="87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9"/>
        <w:gridCol w:w="1601"/>
        <w:gridCol w:w="736"/>
        <w:gridCol w:w="736"/>
        <w:gridCol w:w="736"/>
        <w:gridCol w:w="1176"/>
        <w:gridCol w:w="1902"/>
        <w:gridCol w:w="1191"/>
      </w:tblGrid>
      <w:tr w14:paraId="4E92B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7" w:hRule="atLeast"/>
          <w:tblHeader/>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5EFE4D8">
            <w:pPr>
              <w:pStyle w:val="128"/>
              <w:widowControl/>
              <w:shd w:val="clear"/>
              <w:spacing w:line="360" w:lineRule="auto"/>
              <w:ind w:left="0" w:leftChars="0"/>
              <w:rPr>
                <w:b/>
                <w:sz w:val="24"/>
                <w:highlight w:val="none"/>
              </w:rPr>
            </w:pPr>
            <w:r>
              <w:rPr>
                <w:rFonts w:hint="eastAsia" w:cs="宋体"/>
                <w:b/>
                <w:sz w:val="24"/>
                <w:highlight w:val="none"/>
              </w:rPr>
              <w:t>序号</w:t>
            </w: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8A5FD50">
            <w:pPr>
              <w:pStyle w:val="128"/>
              <w:widowControl/>
              <w:shd w:val="clear"/>
              <w:spacing w:line="360" w:lineRule="auto"/>
              <w:ind w:left="0" w:leftChars="0"/>
              <w:rPr>
                <w:b/>
                <w:sz w:val="24"/>
                <w:highlight w:val="none"/>
              </w:rPr>
            </w:pPr>
            <w:r>
              <w:rPr>
                <w:rFonts w:hint="eastAsia" w:cs="宋体"/>
                <w:b/>
                <w:sz w:val="24"/>
                <w:highlight w:val="none"/>
              </w:rPr>
              <w:t>姓</w:t>
            </w:r>
            <w:r>
              <w:rPr>
                <w:b/>
                <w:sz w:val="24"/>
                <w:highlight w:val="none"/>
              </w:rPr>
              <w:t xml:space="preserve">  </w:t>
            </w:r>
            <w:r>
              <w:rPr>
                <w:rFonts w:hint="eastAsia" w:cs="宋体"/>
                <w:b/>
                <w:sz w:val="24"/>
                <w:highlight w:val="none"/>
              </w:rPr>
              <w:t>名</w:t>
            </w: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0402190">
            <w:pPr>
              <w:pStyle w:val="128"/>
              <w:widowControl/>
              <w:shd w:val="clear"/>
              <w:spacing w:line="360" w:lineRule="auto"/>
              <w:ind w:left="0" w:leftChars="0"/>
              <w:rPr>
                <w:b/>
                <w:sz w:val="24"/>
                <w:highlight w:val="none"/>
              </w:rPr>
            </w:pPr>
            <w:r>
              <w:rPr>
                <w:rFonts w:hint="eastAsia" w:cs="宋体"/>
                <w:b/>
                <w:sz w:val="24"/>
                <w:highlight w:val="none"/>
              </w:rPr>
              <w:t>性别</w:t>
            </w: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1E17838">
            <w:pPr>
              <w:pStyle w:val="128"/>
              <w:widowControl/>
              <w:shd w:val="clear"/>
              <w:spacing w:line="360" w:lineRule="auto"/>
              <w:ind w:left="0" w:leftChars="0"/>
              <w:rPr>
                <w:b/>
                <w:sz w:val="24"/>
                <w:highlight w:val="none"/>
              </w:rPr>
            </w:pPr>
            <w:r>
              <w:rPr>
                <w:rFonts w:hint="eastAsia" w:cs="宋体"/>
                <w:b/>
                <w:sz w:val="24"/>
                <w:highlight w:val="none"/>
              </w:rPr>
              <w:t>年龄</w:t>
            </w: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9201641">
            <w:pPr>
              <w:pStyle w:val="128"/>
              <w:widowControl/>
              <w:shd w:val="clear"/>
              <w:spacing w:line="360" w:lineRule="auto"/>
              <w:ind w:left="0" w:leftChars="0"/>
              <w:rPr>
                <w:b/>
                <w:sz w:val="24"/>
                <w:highlight w:val="none"/>
              </w:rPr>
            </w:pPr>
            <w:r>
              <w:rPr>
                <w:rFonts w:hint="eastAsia" w:cs="宋体"/>
                <w:b/>
                <w:sz w:val="24"/>
                <w:highlight w:val="none"/>
              </w:rPr>
              <w:t>学历</w:t>
            </w: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73C975C">
            <w:pPr>
              <w:pStyle w:val="128"/>
              <w:widowControl/>
              <w:shd w:val="clear"/>
              <w:spacing w:line="360" w:lineRule="auto"/>
              <w:ind w:left="0" w:leftChars="0"/>
              <w:rPr>
                <w:b/>
                <w:sz w:val="24"/>
                <w:highlight w:val="none"/>
              </w:rPr>
            </w:pPr>
            <w:r>
              <w:rPr>
                <w:rFonts w:hint="eastAsia" w:cs="宋体"/>
                <w:b/>
                <w:sz w:val="24"/>
                <w:highlight w:val="none"/>
              </w:rPr>
              <w:t>工作年限</w:t>
            </w: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14C0C72">
            <w:pPr>
              <w:pStyle w:val="128"/>
              <w:widowControl/>
              <w:shd w:val="clear"/>
              <w:spacing w:line="360" w:lineRule="auto"/>
              <w:ind w:left="0" w:leftChars="0"/>
              <w:rPr>
                <w:b/>
                <w:sz w:val="24"/>
                <w:highlight w:val="none"/>
              </w:rPr>
            </w:pPr>
            <w:r>
              <w:rPr>
                <w:rFonts w:hint="eastAsia" w:cs="宋体"/>
                <w:b/>
                <w:sz w:val="24"/>
                <w:highlight w:val="none"/>
              </w:rPr>
              <w:t>拟担任的职务</w:t>
            </w: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D7471E3">
            <w:pPr>
              <w:pStyle w:val="128"/>
              <w:widowControl/>
              <w:shd w:val="clear"/>
              <w:spacing w:line="360" w:lineRule="auto"/>
              <w:ind w:left="0" w:leftChars="0"/>
              <w:rPr>
                <w:b/>
                <w:sz w:val="24"/>
                <w:highlight w:val="none"/>
              </w:rPr>
            </w:pPr>
            <w:r>
              <w:rPr>
                <w:rFonts w:hint="eastAsia" w:cs="宋体"/>
                <w:b/>
                <w:sz w:val="24"/>
                <w:highlight w:val="none"/>
              </w:rPr>
              <w:t>岗位情况</w:t>
            </w:r>
          </w:p>
        </w:tc>
      </w:tr>
      <w:tr w14:paraId="33131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8ACF81F">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7058714">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1936D27">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659616E">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EC14462">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1B9509B">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55FC168">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BFB4848">
            <w:pPr>
              <w:pStyle w:val="128"/>
              <w:widowControl/>
              <w:shd w:val="clear"/>
              <w:spacing w:line="360" w:lineRule="auto"/>
              <w:ind w:left="0" w:leftChars="0" w:firstLine="480" w:firstLineChars="200"/>
              <w:jc w:val="both"/>
              <w:rPr>
                <w:sz w:val="24"/>
                <w:highlight w:val="none"/>
              </w:rPr>
            </w:pPr>
          </w:p>
        </w:tc>
      </w:tr>
      <w:tr w14:paraId="14EDC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64FBA1B">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14A8622">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D06A9BD">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8DE7069">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7AE598B">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063003C">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47603E4">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4E74419">
            <w:pPr>
              <w:pStyle w:val="128"/>
              <w:widowControl/>
              <w:shd w:val="clear"/>
              <w:spacing w:line="360" w:lineRule="auto"/>
              <w:ind w:left="0" w:leftChars="0" w:firstLine="480" w:firstLineChars="200"/>
              <w:jc w:val="both"/>
              <w:rPr>
                <w:sz w:val="24"/>
                <w:highlight w:val="none"/>
              </w:rPr>
            </w:pPr>
          </w:p>
        </w:tc>
      </w:tr>
      <w:tr w14:paraId="41549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5205A1D">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A3822E9">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FEE454B">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03C1A40">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B9AB50F">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06D5EB3">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88A5399">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3C70469">
            <w:pPr>
              <w:pStyle w:val="128"/>
              <w:widowControl/>
              <w:shd w:val="clear"/>
              <w:spacing w:line="360" w:lineRule="auto"/>
              <w:ind w:left="0" w:leftChars="0" w:firstLine="480" w:firstLineChars="200"/>
              <w:jc w:val="both"/>
              <w:rPr>
                <w:sz w:val="24"/>
                <w:highlight w:val="none"/>
              </w:rPr>
            </w:pPr>
          </w:p>
        </w:tc>
      </w:tr>
      <w:tr w14:paraId="6CCD5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2700014">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B492313">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7567638">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FB22314">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85A8CF0">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0DE2F02">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F9B04ED">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A6C5126">
            <w:pPr>
              <w:pStyle w:val="128"/>
              <w:widowControl/>
              <w:shd w:val="clear"/>
              <w:spacing w:line="360" w:lineRule="auto"/>
              <w:ind w:left="0" w:leftChars="0" w:firstLine="480" w:firstLineChars="200"/>
              <w:jc w:val="both"/>
              <w:rPr>
                <w:sz w:val="24"/>
                <w:highlight w:val="none"/>
              </w:rPr>
            </w:pPr>
          </w:p>
        </w:tc>
      </w:tr>
      <w:tr w14:paraId="43128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87EE394">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CF809F3">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5A10B0E">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BD64C70">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40139E4">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3EEECB5">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44DFCAC">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D6B3D28">
            <w:pPr>
              <w:pStyle w:val="128"/>
              <w:widowControl/>
              <w:shd w:val="clear"/>
              <w:spacing w:line="360" w:lineRule="auto"/>
              <w:ind w:left="0" w:leftChars="0" w:firstLine="480" w:firstLineChars="200"/>
              <w:jc w:val="both"/>
              <w:rPr>
                <w:sz w:val="24"/>
                <w:highlight w:val="none"/>
              </w:rPr>
            </w:pPr>
          </w:p>
        </w:tc>
      </w:tr>
      <w:tr w14:paraId="6790D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C788E05">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684455A">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302F121">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9EA15E6">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ABFA8EA">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8D4E1AC">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4038E5A">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4351818">
            <w:pPr>
              <w:pStyle w:val="128"/>
              <w:widowControl/>
              <w:shd w:val="clear"/>
              <w:spacing w:line="360" w:lineRule="auto"/>
              <w:ind w:left="0" w:leftChars="0" w:firstLine="480" w:firstLineChars="200"/>
              <w:jc w:val="both"/>
              <w:rPr>
                <w:sz w:val="24"/>
                <w:highlight w:val="none"/>
              </w:rPr>
            </w:pPr>
          </w:p>
        </w:tc>
      </w:tr>
      <w:tr w14:paraId="1F82F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2717E69">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7DB5D7B">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47A6051">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EC8D47B">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5D943EB">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D80555F">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39E2E23">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E6AD751">
            <w:pPr>
              <w:pStyle w:val="128"/>
              <w:widowControl/>
              <w:shd w:val="clear"/>
              <w:spacing w:line="360" w:lineRule="auto"/>
              <w:ind w:left="0" w:leftChars="0" w:firstLine="480" w:firstLineChars="200"/>
              <w:jc w:val="both"/>
              <w:rPr>
                <w:sz w:val="24"/>
                <w:highlight w:val="none"/>
              </w:rPr>
            </w:pPr>
          </w:p>
        </w:tc>
      </w:tr>
      <w:tr w14:paraId="48258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F74D8C4">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908158B">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99DD1B3">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128224D">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75152B5">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9E244B1">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F1962CA">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69D2CF7">
            <w:pPr>
              <w:pStyle w:val="128"/>
              <w:widowControl/>
              <w:shd w:val="clear"/>
              <w:spacing w:line="360" w:lineRule="auto"/>
              <w:ind w:left="0" w:leftChars="0" w:firstLine="480" w:firstLineChars="200"/>
              <w:jc w:val="both"/>
              <w:rPr>
                <w:sz w:val="24"/>
                <w:highlight w:val="none"/>
              </w:rPr>
            </w:pPr>
          </w:p>
        </w:tc>
      </w:tr>
      <w:tr w14:paraId="7FD4C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5750F84">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2034345">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FB6ED0A">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E74793E">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D6FE223">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209D085">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3ECAB3A">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F4BFC7D">
            <w:pPr>
              <w:pStyle w:val="128"/>
              <w:widowControl/>
              <w:shd w:val="clear"/>
              <w:spacing w:line="360" w:lineRule="auto"/>
              <w:ind w:left="0" w:leftChars="0" w:firstLine="480" w:firstLineChars="200"/>
              <w:jc w:val="both"/>
              <w:rPr>
                <w:sz w:val="24"/>
                <w:highlight w:val="none"/>
              </w:rPr>
            </w:pPr>
          </w:p>
        </w:tc>
      </w:tr>
      <w:tr w14:paraId="49855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BB90F34">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68AB3D8">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2E04BEA">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1E001FC">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FB7FCAC">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327ADF4">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9EE496F">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C4B3B5A">
            <w:pPr>
              <w:pStyle w:val="128"/>
              <w:widowControl/>
              <w:shd w:val="clear"/>
              <w:spacing w:line="360" w:lineRule="auto"/>
              <w:ind w:left="0" w:leftChars="0" w:firstLine="480" w:firstLineChars="200"/>
              <w:jc w:val="both"/>
              <w:rPr>
                <w:sz w:val="24"/>
                <w:highlight w:val="none"/>
              </w:rPr>
            </w:pPr>
          </w:p>
        </w:tc>
      </w:tr>
      <w:tr w14:paraId="0952A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C247ECC">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4881195">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7CC00FC">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B12ADD8">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58E274C">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C6A5D10">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C36EF3C">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B8ED996">
            <w:pPr>
              <w:pStyle w:val="128"/>
              <w:widowControl/>
              <w:shd w:val="clear"/>
              <w:spacing w:line="360" w:lineRule="auto"/>
              <w:ind w:left="0" w:leftChars="0" w:firstLine="480" w:firstLineChars="200"/>
              <w:jc w:val="both"/>
              <w:rPr>
                <w:sz w:val="24"/>
                <w:highlight w:val="none"/>
              </w:rPr>
            </w:pPr>
          </w:p>
        </w:tc>
      </w:tr>
      <w:tr w14:paraId="0F8D2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544DBF3">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AB15951">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96392C1">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AB73268">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F1618C7">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8632596">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9824761">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3A037D5">
            <w:pPr>
              <w:pStyle w:val="128"/>
              <w:widowControl/>
              <w:shd w:val="clear"/>
              <w:spacing w:line="360" w:lineRule="auto"/>
              <w:ind w:left="0" w:leftChars="0" w:firstLine="480" w:firstLineChars="200"/>
              <w:jc w:val="both"/>
              <w:rPr>
                <w:sz w:val="24"/>
                <w:highlight w:val="none"/>
              </w:rPr>
            </w:pPr>
          </w:p>
        </w:tc>
      </w:tr>
      <w:tr w14:paraId="11AA0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ECD0BC2">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6F1A8D5">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D810D72">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A10757F">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D6837DA">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D0A4DC9">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98DCC0E">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8064DAB">
            <w:pPr>
              <w:pStyle w:val="128"/>
              <w:widowControl/>
              <w:shd w:val="clear"/>
              <w:spacing w:line="360" w:lineRule="auto"/>
              <w:ind w:left="0" w:leftChars="0" w:firstLine="480" w:firstLineChars="200"/>
              <w:jc w:val="both"/>
              <w:rPr>
                <w:sz w:val="24"/>
                <w:highlight w:val="none"/>
              </w:rPr>
            </w:pPr>
          </w:p>
        </w:tc>
      </w:tr>
      <w:tr w14:paraId="67B57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0A36A77">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C0DB89C">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89A4CF2">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CE3B03A">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E57E401">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D9D88E5">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7D8095A">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7E1A135">
            <w:pPr>
              <w:pStyle w:val="128"/>
              <w:widowControl/>
              <w:shd w:val="clear"/>
              <w:spacing w:line="360" w:lineRule="auto"/>
              <w:ind w:left="0" w:leftChars="0" w:firstLine="480" w:firstLineChars="200"/>
              <w:jc w:val="both"/>
              <w:rPr>
                <w:sz w:val="24"/>
                <w:highlight w:val="none"/>
              </w:rPr>
            </w:pPr>
          </w:p>
        </w:tc>
      </w:tr>
      <w:tr w14:paraId="796F6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DB56E4C">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2899051">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F1D87BF">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B6121A8">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46932EF">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C840404">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6850710">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F345E55">
            <w:pPr>
              <w:pStyle w:val="128"/>
              <w:widowControl/>
              <w:shd w:val="clear"/>
              <w:spacing w:line="360" w:lineRule="auto"/>
              <w:ind w:left="0" w:leftChars="0" w:firstLine="480" w:firstLineChars="200"/>
              <w:jc w:val="both"/>
              <w:rPr>
                <w:sz w:val="24"/>
                <w:highlight w:val="none"/>
              </w:rPr>
            </w:pPr>
          </w:p>
        </w:tc>
      </w:tr>
      <w:tr w14:paraId="515D4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CDA1332">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5A95A13">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C9B9731">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0E76B66A">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0467A08">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4B3ADB5D">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2E33126">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3C207F0">
            <w:pPr>
              <w:pStyle w:val="128"/>
              <w:widowControl/>
              <w:shd w:val="clear"/>
              <w:spacing w:line="360" w:lineRule="auto"/>
              <w:ind w:left="0" w:leftChars="0" w:firstLine="480" w:firstLineChars="200"/>
              <w:jc w:val="both"/>
              <w:rPr>
                <w:sz w:val="24"/>
                <w:highlight w:val="none"/>
              </w:rPr>
            </w:pPr>
          </w:p>
        </w:tc>
      </w:tr>
      <w:tr w14:paraId="1DF72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4"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87E8C4E">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D52F1AD">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15D5679">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52304A3">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AE364F9">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CE3E45C">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2F6C4483">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9F8A819">
            <w:pPr>
              <w:pStyle w:val="128"/>
              <w:widowControl/>
              <w:shd w:val="clear"/>
              <w:spacing w:line="360" w:lineRule="auto"/>
              <w:ind w:left="0" w:leftChars="0" w:firstLine="480" w:firstLineChars="200"/>
              <w:jc w:val="both"/>
              <w:rPr>
                <w:sz w:val="24"/>
                <w:highlight w:val="none"/>
              </w:rPr>
            </w:pPr>
          </w:p>
        </w:tc>
      </w:tr>
      <w:tr w14:paraId="5E833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3" w:hRule="atLeast"/>
        </w:trPr>
        <w:tc>
          <w:tcPr>
            <w:tcW w:w="719"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72C4BEB">
            <w:pPr>
              <w:pStyle w:val="128"/>
              <w:widowControl/>
              <w:shd w:val="clear"/>
              <w:spacing w:line="360" w:lineRule="auto"/>
              <w:ind w:left="0" w:leftChars="0" w:firstLine="480" w:firstLineChars="200"/>
              <w:jc w:val="both"/>
              <w:rPr>
                <w:sz w:val="24"/>
                <w:highlight w:val="none"/>
              </w:rPr>
            </w:pPr>
          </w:p>
        </w:tc>
        <w:tc>
          <w:tcPr>
            <w:tcW w:w="160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ADCD7E7">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72FC4A6B">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53672E99">
            <w:pPr>
              <w:pStyle w:val="128"/>
              <w:widowControl/>
              <w:shd w:val="clear"/>
              <w:spacing w:line="360" w:lineRule="auto"/>
              <w:ind w:left="0" w:leftChars="0" w:firstLine="480" w:firstLineChars="200"/>
              <w:jc w:val="both"/>
              <w:rPr>
                <w:sz w:val="24"/>
                <w:highlight w:val="none"/>
              </w:rPr>
            </w:pPr>
          </w:p>
        </w:tc>
        <w:tc>
          <w:tcPr>
            <w:tcW w:w="73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1123008">
            <w:pPr>
              <w:pStyle w:val="128"/>
              <w:widowControl/>
              <w:shd w:val="clear"/>
              <w:spacing w:line="360" w:lineRule="auto"/>
              <w:ind w:left="0" w:leftChars="0" w:firstLine="480" w:firstLineChars="200"/>
              <w:jc w:val="both"/>
              <w:rPr>
                <w:sz w:val="24"/>
                <w:highlight w:val="none"/>
              </w:rPr>
            </w:pPr>
          </w:p>
        </w:tc>
        <w:tc>
          <w:tcPr>
            <w:tcW w:w="117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33EBE39A">
            <w:pPr>
              <w:pStyle w:val="128"/>
              <w:widowControl/>
              <w:shd w:val="clear"/>
              <w:spacing w:line="360" w:lineRule="auto"/>
              <w:ind w:left="0" w:leftChars="0" w:firstLine="480" w:firstLineChars="200"/>
              <w:jc w:val="both"/>
              <w:rPr>
                <w:sz w:val="24"/>
                <w:highlight w:val="none"/>
              </w:rPr>
            </w:pPr>
          </w:p>
        </w:tc>
        <w:tc>
          <w:tcPr>
            <w:tcW w:w="190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6ECD8A8E">
            <w:pPr>
              <w:pStyle w:val="128"/>
              <w:widowControl/>
              <w:shd w:val="clear"/>
              <w:spacing w:line="360" w:lineRule="auto"/>
              <w:ind w:left="0" w:leftChars="0" w:firstLine="480" w:firstLineChars="200"/>
              <w:jc w:val="both"/>
              <w:rPr>
                <w:sz w:val="24"/>
                <w:highlight w:val="none"/>
              </w:rPr>
            </w:pPr>
          </w:p>
        </w:tc>
        <w:tc>
          <w:tcPr>
            <w:tcW w:w="119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bottom"/>
          </w:tcPr>
          <w:p w14:paraId="1AAE75EC">
            <w:pPr>
              <w:pStyle w:val="128"/>
              <w:widowControl/>
              <w:shd w:val="clear"/>
              <w:spacing w:line="360" w:lineRule="auto"/>
              <w:ind w:left="0" w:leftChars="0" w:firstLine="480" w:firstLineChars="200"/>
              <w:jc w:val="both"/>
              <w:rPr>
                <w:sz w:val="24"/>
                <w:highlight w:val="none"/>
              </w:rPr>
            </w:pPr>
          </w:p>
        </w:tc>
      </w:tr>
    </w:tbl>
    <w:p w14:paraId="5507752D">
      <w:pPr>
        <w:pStyle w:val="84"/>
        <w:widowControl/>
        <w:shd w:val="clear"/>
        <w:tabs>
          <w:tab w:val="left" w:pos="2040"/>
        </w:tabs>
        <w:spacing w:before="156" w:line="360" w:lineRule="auto"/>
        <w:ind w:firstLine="480" w:firstLineChars="200"/>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注：1.“岗位情况”须注明该人在本单位是在岗、返聘还是外聘。</w:t>
      </w:r>
    </w:p>
    <w:p w14:paraId="628C60DA">
      <w:pPr>
        <w:pStyle w:val="84"/>
        <w:widowControl/>
        <w:shd w:val="clear"/>
        <w:tabs>
          <w:tab w:val="left" w:pos="2040"/>
        </w:tabs>
        <w:spacing w:before="156" w:line="360" w:lineRule="auto"/>
        <w:ind w:firstLine="960" w:firstLineChars="400"/>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2.投标人可适当调整该表格式，但不得减少信息内容。</w:t>
      </w:r>
    </w:p>
    <w:p w14:paraId="480C37EF">
      <w:pPr>
        <w:pStyle w:val="84"/>
        <w:widowControl/>
        <w:shd w:val="clear"/>
        <w:tabs>
          <w:tab w:val="left" w:pos="2040"/>
        </w:tabs>
        <w:spacing w:before="156" w:line="360" w:lineRule="auto"/>
        <w:ind w:firstLine="960" w:firstLineChars="400"/>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3.投标人应书面承诺投标文件中人员的真实性。</w:t>
      </w:r>
    </w:p>
    <w:p w14:paraId="19E27E0E">
      <w:pPr>
        <w:pStyle w:val="190"/>
        <w:widowControl/>
        <w:shd w:val="clear"/>
        <w:spacing w:line="400" w:lineRule="exact"/>
        <w:ind w:firstLine="0" w:firstLineChars="0"/>
        <w:jc w:val="center"/>
        <w:outlineLvl w:val="9"/>
        <w:rPr>
          <w:rFonts w:ascii="宋体" w:hAnsi="宋体" w:cs="宋体"/>
          <w:color w:val="auto"/>
          <w:szCs w:val="24"/>
          <w:highlight w:val="none"/>
        </w:rPr>
      </w:pPr>
      <w:bookmarkStart w:id="297" w:name="_Toc225416062"/>
      <w:bookmarkStart w:id="298" w:name="_Toc225412172"/>
      <w:bookmarkStart w:id="299" w:name="_Toc225566702"/>
      <w:bookmarkStart w:id="300" w:name="_Toc225410182"/>
      <w:bookmarkStart w:id="301" w:name="_Toc403077653"/>
      <w:bookmarkStart w:id="302" w:name="_Toc225415660"/>
      <w:bookmarkStart w:id="303" w:name="_Toc225412374"/>
      <w:bookmarkStart w:id="304" w:name="_Toc225567482"/>
      <w:bookmarkStart w:id="305" w:name="_Toc225409966"/>
      <w:bookmarkStart w:id="306" w:name="_Toc341541376"/>
      <w:bookmarkStart w:id="307" w:name="_Toc225410808"/>
      <w:bookmarkStart w:id="308" w:name="_Toc225566883"/>
      <w:bookmarkStart w:id="309" w:name="_Toc225415861"/>
      <w:bookmarkStart w:id="310" w:name="_Toc4691"/>
      <w:bookmarkStart w:id="311" w:name="_Toc396304715"/>
      <w:bookmarkStart w:id="312" w:name="_Toc21036"/>
    </w:p>
    <w:p w14:paraId="0BA4D9F7">
      <w:pPr>
        <w:shd w:val="clear"/>
        <w:rPr>
          <w:rFonts w:ascii="宋体" w:hAnsi="宋体" w:eastAsia="宋体" w:cs="宋体"/>
          <w:highlight w:val="none"/>
        </w:rPr>
      </w:pPr>
      <w:r>
        <w:rPr>
          <w:rFonts w:hint="eastAsia" w:ascii="宋体" w:hAnsi="宋体" w:eastAsia="宋体" w:cs="宋体"/>
          <w:highlight w:val="none"/>
        </w:rPr>
        <w:br w:type="page"/>
      </w:r>
    </w:p>
    <w:p w14:paraId="0CD0BE44">
      <w:pPr>
        <w:pStyle w:val="190"/>
        <w:widowControl/>
        <w:shd w:val="clear"/>
        <w:spacing w:line="400" w:lineRule="exact"/>
        <w:ind w:firstLine="0" w:firstLineChars="0"/>
        <w:jc w:val="center"/>
        <w:outlineLvl w:val="9"/>
        <w:rPr>
          <w:rFonts w:ascii="宋体" w:hAnsi="宋体" w:cs="宋体"/>
          <w:color w:val="auto"/>
          <w:szCs w:val="24"/>
          <w:highlight w:val="none"/>
        </w:rPr>
      </w:pPr>
      <w:bookmarkStart w:id="313" w:name="_Toc6998"/>
      <w:bookmarkStart w:id="314" w:name="_Toc18933"/>
      <w:bookmarkStart w:id="315" w:name="_Toc24773"/>
      <w:r>
        <w:rPr>
          <w:rFonts w:hint="eastAsia" w:ascii="宋体" w:hAnsi="宋体" w:cs="宋体"/>
          <w:color w:val="auto"/>
          <w:szCs w:val="24"/>
          <w:highlight w:val="none"/>
        </w:rPr>
        <w:t>（二） 本项目拟投入主要人员简历表</w:t>
      </w:r>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0"/>
        <w:gridCol w:w="272"/>
        <w:gridCol w:w="1577"/>
        <w:gridCol w:w="1525"/>
        <w:gridCol w:w="1286"/>
        <w:gridCol w:w="45"/>
        <w:gridCol w:w="1709"/>
        <w:gridCol w:w="7"/>
        <w:gridCol w:w="1132"/>
      </w:tblGrid>
      <w:tr w14:paraId="2A94E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77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61E673D">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姓  名</w:t>
            </w:r>
          </w:p>
        </w:tc>
        <w:tc>
          <w:tcPr>
            <w:tcW w:w="1577" w:type="dxa"/>
            <w:tcBorders>
              <w:top w:val="single" w:color="auto" w:sz="4" w:space="0"/>
              <w:left w:val="single" w:color="auto" w:sz="4" w:space="0"/>
              <w:bottom w:val="single" w:color="auto" w:sz="4" w:space="0"/>
              <w:right w:val="single" w:color="auto" w:sz="4" w:space="0"/>
            </w:tcBorders>
            <w:shd w:val="clear" w:color="auto" w:fill="auto"/>
            <w:vAlign w:val="center"/>
          </w:tcPr>
          <w:p w14:paraId="373F8D50">
            <w:pPr>
              <w:pStyle w:val="128"/>
              <w:widowControl/>
              <w:shd w:val="clear"/>
              <w:spacing w:line="400" w:lineRule="exact"/>
              <w:ind w:left="0" w:leftChars="0"/>
              <w:rPr>
                <w:rFonts w:asciiTheme="minorEastAsia" w:hAnsiTheme="minorEastAsia" w:eastAsiaTheme="minorEastAsia" w:cstheme="minorEastAsia"/>
                <w:sz w:val="24"/>
                <w:highlight w:val="none"/>
              </w:rPr>
            </w:pPr>
          </w:p>
        </w:tc>
        <w:tc>
          <w:tcPr>
            <w:tcW w:w="1525" w:type="dxa"/>
            <w:tcBorders>
              <w:top w:val="single" w:color="auto" w:sz="4" w:space="0"/>
              <w:left w:val="single" w:color="auto" w:sz="4" w:space="0"/>
              <w:bottom w:val="single" w:color="auto" w:sz="4" w:space="0"/>
              <w:right w:val="single" w:color="auto" w:sz="4" w:space="0"/>
            </w:tcBorders>
            <w:shd w:val="clear" w:color="auto" w:fill="auto"/>
            <w:vAlign w:val="center"/>
          </w:tcPr>
          <w:p w14:paraId="21C3DD42">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性 别</w:t>
            </w:r>
          </w:p>
        </w:tc>
        <w:tc>
          <w:tcPr>
            <w:tcW w:w="133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DDF9141">
            <w:pPr>
              <w:pStyle w:val="128"/>
              <w:widowControl/>
              <w:shd w:val="clear"/>
              <w:spacing w:line="400" w:lineRule="exact"/>
              <w:ind w:left="0" w:leftChars="0"/>
              <w:rPr>
                <w:rFonts w:asciiTheme="minorEastAsia" w:hAnsiTheme="minorEastAsia" w:eastAsiaTheme="minorEastAsia" w:cstheme="minorEastAsia"/>
                <w:sz w:val="24"/>
                <w:highlight w:val="none"/>
              </w:rPr>
            </w:pPr>
          </w:p>
        </w:tc>
        <w:tc>
          <w:tcPr>
            <w:tcW w:w="1709" w:type="dxa"/>
            <w:tcBorders>
              <w:top w:val="single" w:color="auto" w:sz="4" w:space="0"/>
              <w:left w:val="single" w:color="auto" w:sz="4" w:space="0"/>
              <w:bottom w:val="single" w:color="auto" w:sz="4" w:space="0"/>
              <w:right w:val="single" w:color="auto" w:sz="4" w:space="0"/>
            </w:tcBorders>
            <w:shd w:val="clear" w:color="auto" w:fill="auto"/>
            <w:vAlign w:val="center"/>
          </w:tcPr>
          <w:p w14:paraId="2A240151">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年 龄</w:t>
            </w:r>
          </w:p>
        </w:tc>
        <w:tc>
          <w:tcPr>
            <w:tcW w:w="113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16D95C6">
            <w:pPr>
              <w:pStyle w:val="128"/>
              <w:widowControl/>
              <w:shd w:val="clear"/>
              <w:spacing w:line="400" w:lineRule="exact"/>
              <w:ind w:left="0" w:leftChars="0" w:firstLine="480" w:firstLineChars="200"/>
              <w:rPr>
                <w:rFonts w:asciiTheme="minorEastAsia" w:hAnsiTheme="minorEastAsia" w:eastAsiaTheme="minorEastAsia" w:cstheme="minorEastAsia"/>
                <w:sz w:val="24"/>
                <w:highlight w:val="none"/>
              </w:rPr>
            </w:pPr>
          </w:p>
        </w:tc>
      </w:tr>
      <w:tr w14:paraId="677A7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177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D815642">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职  称</w:t>
            </w:r>
          </w:p>
        </w:tc>
        <w:tc>
          <w:tcPr>
            <w:tcW w:w="1577" w:type="dxa"/>
            <w:tcBorders>
              <w:top w:val="single" w:color="auto" w:sz="4" w:space="0"/>
              <w:left w:val="single" w:color="auto" w:sz="4" w:space="0"/>
              <w:bottom w:val="single" w:color="auto" w:sz="4" w:space="0"/>
              <w:right w:val="single" w:color="auto" w:sz="4" w:space="0"/>
            </w:tcBorders>
            <w:shd w:val="clear" w:color="auto" w:fill="auto"/>
            <w:vAlign w:val="center"/>
          </w:tcPr>
          <w:p w14:paraId="1DF5F679">
            <w:pPr>
              <w:pStyle w:val="128"/>
              <w:widowControl/>
              <w:shd w:val="clear"/>
              <w:spacing w:line="400" w:lineRule="exact"/>
              <w:ind w:left="0" w:leftChars="0"/>
              <w:rPr>
                <w:rFonts w:asciiTheme="minorEastAsia" w:hAnsiTheme="minorEastAsia" w:eastAsiaTheme="minorEastAsia" w:cstheme="minorEastAsia"/>
                <w:sz w:val="24"/>
                <w:highlight w:val="none"/>
              </w:rPr>
            </w:pPr>
          </w:p>
        </w:tc>
        <w:tc>
          <w:tcPr>
            <w:tcW w:w="1525" w:type="dxa"/>
            <w:tcBorders>
              <w:top w:val="single" w:color="auto" w:sz="4" w:space="0"/>
              <w:left w:val="single" w:color="auto" w:sz="4" w:space="0"/>
              <w:bottom w:val="single" w:color="auto" w:sz="4" w:space="0"/>
              <w:right w:val="single" w:color="auto" w:sz="4" w:space="0"/>
            </w:tcBorders>
            <w:shd w:val="clear" w:color="auto" w:fill="auto"/>
            <w:vAlign w:val="center"/>
          </w:tcPr>
          <w:p w14:paraId="4477E55C">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身份证号</w:t>
            </w:r>
          </w:p>
        </w:tc>
        <w:tc>
          <w:tcPr>
            <w:tcW w:w="133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726545C">
            <w:pPr>
              <w:pStyle w:val="128"/>
              <w:widowControl/>
              <w:shd w:val="clear"/>
              <w:spacing w:line="400" w:lineRule="exact"/>
              <w:ind w:left="0" w:leftChars="0"/>
              <w:rPr>
                <w:rFonts w:asciiTheme="minorEastAsia" w:hAnsiTheme="minorEastAsia" w:eastAsiaTheme="minorEastAsia" w:cstheme="minorEastAsia"/>
                <w:sz w:val="24"/>
                <w:highlight w:val="none"/>
              </w:rPr>
            </w:pPr>
          </w:p>
        </w:tc>
        <w:tc>
          <w:tcPr>
            <w:tcW w:w="1709" w:type="dxa"/>
            <w:tcBorders>
              <w:top w:val="single" w:color="auto" w:sz="4" w:space="0"/>
              <w:left w:val="single" w:color="auto" w:sz="4" w:space="0"/>
              <w:bottom w:val="single" w:color="auto" w:sz="4" w:space="0"/>
              <w:right w:val="single" w:color="auto" w:sz="4" w:space="0"/>
            </w:tcBorders>
            <w:shd w:val="clear" w:color="auto" w:fill="auto"/>
            <w:vAlign w:val="center"/>
          </w:tcPr>
          <w:p w14:paraId="7781ABB3">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专业/年限</w:t>
            </w:r>
          </w:p>
        </w:tc>
        <w:tc>
          <w:tcPr>
            <w:tcW w:w="113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D416073">
            <w:pPr>
              <w:pStyle w:val="128"/>
              <w:widowControl/>
              <w:shd w:val="clear"/>
              <w:spacing w:line="400" w:lineRule="exact"/>
              <w:ind w:left="0" w:leftChars="0" w:firstLine="480" w:firstLineChars="200"/>
              <w:rPr>
                <w:rFonts w:asciiTheme="minorEastAsia" w:hAnsiTheme="minorEastAsia" w:eastAsiaTheme="minorEastAsia" w:cstheme="minorEastAsia"/>
                <w:sz w:val="24"/>
                <w:highlight w:val="none"/>
              </w:rPr>
            </w:pPr>
          </w:p>
        </w:tc>
      </w:tr>
      <w:tr w14:paraId="545F4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77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5796167">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毕业时间</w:t>
            </w:r>
          </w:p>
        </w:tc>
        <w:tc>
          <w:tcPr>
            <w:tcW w:w="1577" w:type="dxa"/>
            <w:tcBorders>
              <w:top w:val="single" w:color="auto" w:sz="4" w:space="0"/>
              <w:left w:val="single" w:color="auto" w:sz="4" w:space="0"/>
              <w:bottom w:val="single" w:color="auto" w:sz="4" w:space="0"/>
              <w:right w:val="single" w:color="auto" w:sz="4" w:space="0"/>
            </w:tcBorders>
            <w:shd w:val="clear" w:color="auto" w:fill="auto"/>
            <w:vAlign w:val="center"/>
          </w:tcPr>
          <w:p w14:paraId="47BCB45D">
            <w:pPr>
              <w:pStyle w:val="128"/>
              <w:widowControl/>
              <w:shd w:val="clear"/>
              <w:spacing w:line="400" w:lineRule="exact"/>
              <w:ind w:left="0" w:leftChars="0"/>
              <w:rPr>
                <w:rFonts w:asciiTheme="minorEastAsia" w:hAnsiTheme="minorEastAsia" w:eastAsiaTheme="minorEastAsia" w:cstheme="minorEastAsia"/>
                <w:sz w:val="24"/>
                <w:highlight w:val="none"/>
              </w:rPr>
            </w:pPr>
          </w:p>
        </w:tc>
        <w:tc>
          <w:tcPr>
            <w:tcW w:w="1525" w:type="dxa"/>
            <w:tcBorders>
              <w:top w:val="single" w:color="auto" w:sz="4" w:space="0"/>
              <w:left w:val="single" w:color="auto" w:sz="4" w:space="0"/>
              <w:bottom w:val="single" w:color="auto" w:sz="4" w:space="0"/>
              <w:right w:val="single" w:color="auto" w:sz="4" w:space="0"/>
            </w:tcBorders>
            <w:shd w:val="clear" w:color="auto" w:fill="auto"/>
            <w:vAlign w:val="center"/>
          </w:tcPr>
          <w:p w14:paraId="39E17F60">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毕业学校</w:t>
            </w:r>
          </w:p>
        </w:tc>
        <w:tc>
          <w:tcPr>
            <w:tcW w:w="133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446D509">
            <w:pPr>
              <w:pStyle w:val="128"/>
              <w:widowControl/>
              <w:shd w:val="clear"/>
              <w:spacing w:line="400" w:lineRule="exact"/>
              <w:ind w:left="0" w:leftChars="0"/>
              <w:rPr>
                <w:rFonts w:asciiTheme="minorEastAsia" w:hAnsiTheme="minorEastAsia" w:eastAsiaTheme="minorEastAsia" w:cstheme="minorEastAsia"/>
                <w:sz w:val="24"/>
                <w:highlight w:val="none"/>
              </w:rPr>
            </w:pPr>
            <w:bookmarkStart w:id="323" w:name="_GoBack"/>
            <w:bookmarkEnd w:id="323"/>
          </w:p>
        </w:tc>
        <w:tc>
          <w:tcPr>
            <w:tcW w:w="1709" w:type="dxa"/>
            <w:tcBorders>
              <w:top w:val="single" w:color="auto" w:sz="4" w:space="0"/>
              <w:left w:val="single" w:color="auto" w:sz="4" w:space="0"/>
              <w:bottom w:val="single" w:color="auto" w:sz="4" w:space="0"/>
              <w:right w:val="single" w:color="auto" w:sz="4" w:space="0"/>
            </w:tcBorders>
            <w:shd w:val="clear" w:color="auto" w:fill="auto"/>
            <w:vAlign w:val="center"/>
          </w:tcPr>
          <w:p w14:paraId="5DA28F10">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学历/专业</w:t>
            </w:r>
          </w:p>
        </w:tc>
        <w:tc>
          <w:tcPr>
            <w:tcW w:w="113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E590EB5">
            <w:pPr>
              <w:pStyle w:val="128"/>
              <w:widowControl/>
              <w:shd w:val="clear"/>
              <w:spacing w:line="400" w:lineRule="exact"/>
              <w:ind w:left="0" w:leftChars="0" w:firstLine="480" w:firstLineChars="200"/>
              <w:rPr>
                <w:rFonts w:asciiTheme="minorEastAsia" w:hAnsiTheme="minorEastAsia" w:eastAsiaTheme="minorEastAsia" w:cstheme="minorEastAsia"/>
                <w:sz w:val="24"/>
                <w:highlight w:val="none"/>
              </w:rPr>
            </w:pPr>
          </w:p>
        </w:tc>
      </w:tr>
      <w:tr w14:paraId="2DFBA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77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237F228">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资格证书</w:t>
            </w:r>
          </w:p>
        </w:tc>
        <w:tc>
          <w:tcPr>
            <w:tcW w:w="1577" w:type="dxa"/>
            <w:tcBorders>
              <w:top w:val="single" w:color="auto" w:sz="4" w:space="0"/>
              <w:left w:val="single" w:color="auto" w:sz="4" w:space="0"/>
              <w:bottom w:val="single" w:color="auto" w:sz="4" w:space="0"/>
              <w:right w:val="single" w:color="auto" w:sz="4" w:space="0"/>
            </w:tcBorders>
            <w:shd w:val="clear" w:color="auto" w:fill="auto"/>
            <w:vAlign w:val="center"/>
          </w:tcPr>
          <w:p w14:paraId="64112F00">
            <w:pPr>
              <w:pStyle w:val="128"/>
              <w:widowControl/>
              <w:shd w:val="clear"/>
              <w:spacing w:line="400" w:lineRule="exact"/>
              <w:ind w:left="0" w:leftChars="0"/>
              <w:rPr>
                <w:rFonts w:asciiTheme="minorEastAsia" w:hAnsiTheme="minorEastAsia" w:eastAsiaTheme="minorEastAsia" w:cstheme="minorEastAsia"/>
                <w:sz w:val="24"/>
                <w:highlight w:val="none"/>
              </w:rPr>
            </w:pPr>
          </w:p>
        </w:tc>
        <w:tc>
          <w:tcPr>
            <w:tcW w:w="1525" w:type="dxa"/>
            <w:tcBorders>
              <w:top w:val="single" w:color="auto" w:sz="4" w:space="0"/>
              <w:left w:val="single" w:color="auto" w:sz="4" w:space="0"/>
              <w:bottom w:val="single" w:color="auto" w:sz="4" w:space="0"/>
              <w:right w:val="single" w:color="auto" w:sz="4" w:space="0"/>
            </w:tcBorders>
            <w:shd w:val="clear" w:color="auto" w:fill="auto"/>
            <w:vAlign w:val="center"/>
          </w:tcPr>
          <w:p w14:paraId="4F2A42FD">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注册时间</w:t>
            </w:r>
          </w:p>
        </w:tc>
        <w:tc>
          <w:tcPr>
            <w:tcW w:w="133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11C4967">
            <w:pPr>
              <w:pStyle w:val="128"/>
              <w:widowControl/>
              <w:shd w:val="clear"/>
              <w:spacing w:line="400" w:lineRule="exact"/>
              <w:ind w:left="0" w:leftChars="0"/>
              <w:rPr>
                <w:rFonts w:asciiTheme="minorEastAsia" w:hAnsiTheme="minorEastAsia" w:eastAsiaTheme="minorEastAsia" w:cstheme="minorEastAsia"/>
                <w:sz w:val="24"/>
                <w:highlight w:val="none"/>
              </w:rPr>
            </w:pPr>
          </w:p>
        </w:tc>
        <w:tc>
          <w:tcPr>
            <w:tcW w:w="1709" w:type="dxa"/>
            <w:tcBorders>
              <w:top w:val="single" w:color="auto" w:sz="4" w:space="0"/>
              <w:left w:val="single" w:color="auto" w:sz="4" w:space="0"/>
              <w:bottom w:val="single" w:color="auto" w:sz="4" w:space="0"/>
              <w:right w:val="single" w:color="auto" w:sz="4" w:space="0"/>
            </w:tcBorders>
            <w:shd w:val="clear" w:color="auto" w:fill="auto"/>
            <w:vAlign w:val="center"/>
          </w:tcPr>
          <w:p w14:paraId="67007632">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从业时间</w:t>
            </w:r>
          </w:p>
        </w:tc>
        <w:tc>
          <w:tcPr>
            <w:tcW w:w="113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AE4C124">
            <w:pPr>
              <w:pStyle w:val="128"/>
              <w:widowControl/>
              <w:shd w:val="clear"/>
              <w:spacing w:line="400" w:lineRule="exact"/>
              <w:ind w:left="0" w:leftChars="0" w:firstLine="480" w:firstLineChars="200"/>
              <w:rPr>
                <w:rFonts w:asciiTheme="minorEastAsia" w:hAnsiTheme="minorEastAsia" w:eastAsiaTheme="minorEastAsia" w:cstheme="minorEastAsia"/>
                <w:sz w:val="24"/>
                <w:highlight w:val="none"/>
              </w:rPr>
            </w:pPr>
          </w:p>
        </w:tc>
      </w:tr>
      <w:tr w14:paraId="62990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334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2EB0E80E">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是否属投标人固定雇员</w:t>
            </w:r>
          </w:p>
        </w:tc>
        <w:tc>
          <w:tcPr>
            <w:tcW w:w="1525" w:type="dxa"/>
            <w:tcBorders>
              <w:top w:val="single" w:color="auto" w:sz="4" w:space="0"/>
              <w:left w:val="single" w:color="auto" w:sz="4" w:space="0"/>
              <w:bottom w:val="single" w:color="auto" w:sz="4" w:space="0"/>
              <w:right w:val="single" w:color="auto" w:sz="4" w:space="0"/>
            </w:tcBorders>
            <w:shd w:val="clear" w:color="auto" w:fill="auto"/>
            <w:vAlign w:val="center"/>
          </w:tcPr>
          <w:p w14:paraId="14C10810">
            <w:pPr>
              <w:pStyle w:val="128"/>
              <w:widowControl/>
              <w:shd w:val="clear"/>
              <w:spacing w:line="400" w:lineRule="exact"/>
              <w:ind w:left="0" w:leftChars="0"/>
              <w:rPr>
                <w:rFonts w:asciiTheme="minorEastAsia" w:hAnsiTheme="minorEastAsia" w:eastAsiaTheme="minorEastAsia" w:cstheme="minorEastAsia"/>
                <w:sz w:val="24"/>
                <w:highlight w:val="none"/>
              </w:rPr>
            </w:pPr>
          </w:p>
        </w:tc>
        <w:tc>
          <w:tcPr>
            <w:tcW w:w="304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085487F0">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为投标人服务时间</w:t>
            </w:r>
          </w:p>
        </w:tc>
        <w:tc>
          <w:tcPr>
            <w:tcW w:w="113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142DC4F">
            <w:pPr>
              <w:pStyle w:val="128"/>
              <w:widowControl/>
              <w:shd w:val="clear"/>
              <w:spacing w:line="400" w:lineRule="exact"/>
              <w:ind w:left="0" w:leftChars="0" w:firstLine="480" w:firstLineChars="200"/>
              <w:rPr>
                <w:rFonts w:asciiTheme="minorEastAsia" w:hAnsiTheme="minorEastAsia" w:eastAsiaTheme="minorEastAsia" w:cstheme="minorEastAsia"/>
                <w:sz w:val="24"/>
                <w:highlight w:val="none"/>
              </w:rPr>
            </w:pPr>
          </w:p>
        </w:tc>
      </w:tr>
      <w:tr w14:paraId="1AB41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334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262DBF27">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拟在本项目担任职务</w:t>
            </w:r>
          </w:p>
        </w:tc>
        <w:tc>
          <w:tcPr>
            <w:tcW w:w="5704"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39C76DB">
            <w:pPr>
              <w:pStyle w:val="128"/>
              <w:widowControl/>
              <w:shd w:val="clear"/>
              <w:spacing w:line="400" w:lineRule="exact"/>
              <w:ind w:left="0" w:leftChars="0"/>
              <w:rPr>
                <w:rFonts w:asciiTheme="minorEastAsia" w:hAnsiTheme="minorEastAsia" w:eastAsiaTheme="minorEastAsia" w:cstheme="minorEastAsia"/>
                <w:sz w:val="24"/>
                <w:highlight w:val="none"/>
              </w:rPr>
            </w:pPr>
          </w:p>
        </w:tc>
      </w:tr>
      <w:tr w14:paraId="45CCC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9053" w:type="dxa"/>
            <w:gridSpan w:val="9"/>
            <w:tcBorders>
              <w:top w:val="single" w:color="auto" w:sz="4" w:space="0"/>
              <w:left w:val="single" w:color="auto" w:sz="4" w:space="0"/>
              <w:bottom w:val="single" w:color="auto" w:sz="4" w:space="0"/>
              <w:right w:val="single" w:color="auto" w:sz="4" w:space="0"/>
            </w:tcBorders>
            <w:shd w:val="clear" w:color="auto" w:fill="auto"/>
            <w:vAlign w:val="center"/>
          </w:tcPr>
          <w:p w14:paraId="7BB3B869">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教育和培训背景</w:t>
            </w:r>
          </w:p>
        </w:tc>
      </w:tr>
      <w:tr w14:paraId="1E417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0" w:hRule="atLeast"/>
        </w:trPr>
        <w:tc>
          <w:tcPr>
            <w:tcW w:w="9053" w:type="dxa"/>
            <w:gridSpan w:val="9"/>
            <w:tcBorders>
              <w:top w:val="single" w:color="auto" w:sz="4" w:space="0"/>
              <w:left w:val="single" w:color="auto" w:sz="4" w:space="0"/>
              <w:bottom w:val="single" w:color="auto" w:sz="4" w:space="0"/>
              <w:right w:val="single" w:color="auto" w:sz="4" w:space="0"/>
            </w:tcBorders>
            <w:shd w:val="clear" w:color="auto" w:fill="auto"/>
          </w:tcPr>
          <w:p w14:paraId="14C02338">
            <w:pPr>
              <w:pStyle w:val="128"/>
              <w:widowControl/>
              <w:shd w:val="clear"/>
              <w:spacing w:line="400" w:lineRule="exact"/>
              <w:ind w:left="0" w:leftChars="0"/>
              <w:jc w:val="both"/>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（教育背景从大学开始，包括毕业院校名称、专业、起始时间。培训填写与专业技术、业务有关的内容）</w:t>
            </w:r>
          </w:p>
        </w:tc>
      </w:tr>
      <w:tr w14:paraId="6984A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9053" w:type="dxa"/>
            <w:gridSpan w:val="9"/>
            <w:tcBorders>
              <w:top w:val="single" w:color="auto" w:sz="4" w:space="0"/>
              <w:left w:val="single" w:color="auto" w:sz="4" w:space="0"/>
              <w:bottom w:val="single" w:color="auto" w:sz="4" w:space="0"/>
              <w:right w:val="single" w:color="auto" w:sz="4" w:space="0"/>
            </w:tcBorders>
            <w:shd w:val="clear" w:color="auto" w:fill="auto"/>
            <w:vAlign w:val="center"/>
          </w:tcPr>
          <w:p w14:paraId="195868C6">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工作经历</w:t>
            </w:r>
          </w:p>
        </w:tc>
      </w:tr>
      <w:tr w14:paraId="185AC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2EA3EF30">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时  间</w:t>
            </w:r>
          </w:p>
        </w:tc>
        <w:tc>
          <w:tcPr>
            <w:tcW w:w="337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241B0637">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参加过的项目名称</w:t>
            </w:r>
          </w:p>
          <w:p w14:paraId="5F33DE05">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及当时所在单位</w:t>
            </w: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14:paraId="36EA12B1">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担任何职</w:t>
            </w:r>
          </w:p>
        </w:tc>
        <w:tc>
          <w:tcPr>
            <w:tcW w:w="176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BAA5C8C">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主要工作内容</w:t>
            </w: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14:paraId="7A5C3F02">
            <w:pPr>
              <w:pStyle w:val="128"/>
              <w:widowControl/>
              <w:shd w:val="clear"/>
              <w:spacing w:line="400" w:lineRule="exact"/>
              <w:ind w:left="0" w:leftChars="0"/>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备 注</w:t>
            </w:r>
          </w:p>
        </w:tc>
      </w:tr>
      <w:tr w14:paraId="05E87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98F4631">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337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6B3D23B5">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14:paraId="40E9652F">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76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48413095">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14:paraId="212611F5">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r>
      <w:tr w14:paraId="49DC2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30310136">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337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758B42BF">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14:paraId="2A8BDBC9">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76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0E36BDD0">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14:paraId="36565BD9">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r>
      <w:tr w14:paraId="2BEFB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1C174D5">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337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5EF863C">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14:paraId="605C1335">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76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0A03B9C">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14:paraId="2799C53B">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r>
      <w:tr w14:paraId="3EE16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0E89FC3A">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337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09774FD5">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14:paraId="540F8FE0">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76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2C3C361">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14:paraId="2DEC0DD4">
            <w:pPr>
              <w:pStyle w:val="128"/>
              <w:widowControl/>
              <w:shd w:val="clear"/>
              <w:spacing w:line="400" w:lineRule="exact"/>
              <w:ind w:left="0" w:leftChars="0"/>
              <w:jc w:val="both"/>
              <w:rPr>
                <w:rFonts w:asciiTheme="minorEastAsia" w:hAnsiTheme="minorEastAsia" w:eastAsiaTheme="minorEastAsia" w:cstheme="minorEastAsia"/>
                <w:sz w:val="24"/>
                <w:highlight w:val="none"/>
              </w:rPr>
            </w:pPr>
          </w:p>
        </w:tc>
      </w:tr>
      <w:tr w14:paraId="21243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C29AE8F">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c>
          <w:tcPr>
            <w:tcW w:w="337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D4D46E6">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14:paraId="40A37CF3">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c>
          <w:tcPr>
            <w:tcW w:w="176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6D2228BD">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14:paraId="251E2107">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r>
      <w:tr w14:paraId="4912E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27250718">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c>
          <w:tcPr>
            <w:tcW w:w="3374"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300C8A8C">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14:paraId="19580986">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c>
          <w:tcPr>
            <w:tcW w:w="176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4DCCBAB6">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c>
          <w:tcPr>
            <w:tcW w:w="1132" w:type="dxa"/>
            <w:tcBorders>
              <w:top w:val="single" w:color="auto" w:sz="4" w:space="0"/>
              <w:left w:val="single" w:color="auto" w:sz="4" w:space="0"/>
              <w:bottom w:val="single" w:color="auto" w:sz="4" w:space="0"/>
              <w:right w:val="single" w:color="auto" w:sz="4" w:space="0"/>
            </w:tcBorders>
            <w:shd w:val="clear" w:color="auto" w:fill="auto"/>
            <w:vAlign w:val="center"/>
          </w:tcPr>
          <w:p w14:paraId="6F89329F">
            <w:pPr>
              <w:pStyle w:val="128"/>
              <w:widowControl/>
              <w:shd w:val="clear"/>
              <w:spacing w:line="400" w:lineRule="exact"/>
              <w:ind w:left="0" w:leftChars="0" w:firstLine="480" w:firstLineChars="200"/>
              <w:jc w:val="both"/>
              <w:rPr>
                <w:rFonts w:asciiTheme="minorEastAsia" w:hAnsiTheme="minorEastAsia" w:eastAsiaTheme="minorEastAsia" w:cstheme="minorEastAsia"/>
                <w:sz w:val="24"/>
                <w:highlight w:val="none"/>
              </w:rPr>
            </w:pPr>
          </w:p>
        </w:tc>
      </w:tr>
    </w:tbl>
    <w:p w14:paraId="5DFDA74A">
      <w:pPr>
        <w:shd w:val="clear"/>
        <w:spacing w:line="360" w:lineRule="auto"/>
        <w:rPr>
          <w:rFonts w:asciiTheme="minorEastAsia" w:hAnsiTheme="minorEastAsia" w:cstheme="minorEastAsia"/>
          <w:sz w:val="24"/>
          <w:szCs w:val="32"/>
          <w:highlight w:val="none"/>
        </w:rPr>
      </w:pPr>
      <w:r>
        <w:rPr>
          <w:rFonts w:hint="eastAsia" w:asciiTheme="minorEastAsia" w:hAnsiTheme="minorEastAsia" w:cstheme="minorEastAsia"/>
          <w:sz w:val="24"/>
          <w:szCs w:val="32"/>
          <w:highlight w:val="none"/>
        </w:rPr>
        <w:t>注：1.表后</w:t>
      </w:r>
      <w:r>
        <w:rPr>
          <w:rFonts w:hint="eastAsia" w:asciiTheme="minorEastAsia" w:hAnsiTheme="minorEastAsia" w:cstheme="minorEastAsia"/>
          <w:sz w:val="24"/>
          <w:szCs w:val="32"/>
          <w:highlight w:val="none"/>
          <w:lang w:val="en-US" w:eastAsia="zh-CN"/>
        </w:rPr>
        <w:t>可</w:t>
      </w:r>
      <w:r>
        <w:rPr>
          <w:rFonts w:hint="eastAsia" w:asciiTheme="minorEastAsia" w:hAnsiTheme="minorEastAsia" w:cstheme="minorEastAsia"/>
          <w:sz w:val="24"/>
          <w:szCs w:val="32"/>
          <w:highlight w:val="none"/>
        </w:rPr>
        <w:t>附身份证、毕业证等证明材料的复印件。</w:t>
      </w:r>
    </w:p>
    <w:p w14:paraId="0BE380BC">
      <w:pPr>
        <w:shd w:val="clear"/>
        <w:rPr>
          <w:highlight w:val="none"/>
        </w:rPr>
      </w:pPr>
    </w:p>
    <w:p w14:paraId="21AA51E3">
      <w:pPr>
        <w:shd w:val="clear"/>
        <w:rPr>
          <w:highlight w:val="none"/>
        </w:rPr>
      </w:pPr>
    </w:p>
    <w:p w14:paraId="324C5675">
      <w:pPr>
        <w:shd w:val="clear"/>
        <w:rPr>
          <w:highlight w:val="none"/>
        </w:rPr>
      </w:pPr>
    </w:p>
    <w:p w14:paraId="309727E0">
      <w:pPr>
        <w:shd w:val="clear"/>
        <w:rPr>
          <w:highlight w:val="none"/>
        </w:rPr>
      </w:pPr>
    </w:p>
    <w:p w14:paraId="3E90FD22">
      <w:pPr>
        <w:shd w:val="clear"/>
        <w:rPr>
          <w:highlight w:val="none"/>
        </w:rPr>
      </w:pPr>
    </w:p>
    <w:p w14:paraId="77A0C62B">
      <w:pPr>
        <w:shd w:val="clear"/>
        <w:rPr>
          <w:highlight w:val="none"/>
        </w:rPr>
      </w:pPr>
    </w:p>
    <w:p w14:paraId="252D9A1A">
      <w:pPr>
        <w:shd w:val="clear"/>
        <w:rPr>
          <w:highlight w:val="none"/>
        </w:rPr>
      </w:pPr>
    </w:p>
    <w:p w14:paraId="5B4C2786">
      <w:pPr>
        <w:shd w:val="clear"/>
        <w:rPr>
          <w:highlight w:val="none"/>
        </w:rPr>
      </w:pPr>
    </w:p>
    <w:p w14:paraId="4DCA6101">
      <w:pPr>
        <w:pStyle w:val="4"/>
        <w:bidi w:val="0"/>
        <w:jc w:val="both"/>
        <w:rPr>
          <w:rStyle w:val="215"/>
          <w:rFonts w:hint="eastAsia" w:ascii="宋体" w:hAnsi="宋体" w:eastAsia="宋体" w:cs="宋体"/>
          <w:b/>
          <w:iCs/>
          <w:sz w:val="32"/>
          <w:highlight w:val="none"/>
        </w:rPr>
      </w:pPr>
      <w:bookmarkStart w:id="316" w:name="_Toc13115"/>
      <w:bookmarkStart w:id="317" w:name="_Toc22505"/>
      <w:bookmarkStart w:id="318" w:name="_Toc30590"/>
      <w:bookmarkStart w:id="319" w:name="_Toc20802"/>
      <w:r>
        <w:rPr>
          <w:rStyle w:val="215"/>
          <w:rFonts w:hint="eastAsia" w:ascii="宋体" w:hAnsi="宋体" w:eastAsia="宋体" w:cs="宋体"/>
          <w:b/>
          <w:iCs/>
          <w:sz w:val="32"/>
          <w:highlight w:val="none"/>
        </w:rPr>
        <w:t>附表</w:t>
      </w:r>
      <w:r>
        <w:rPr>
          <w:rStyle w:val="215"/>
          <w:rFonts w:hint="eastAsia" w:ascii="宋体" w:hAnsi="宋体" w:cs="宋体"/>
          <w:b/>
          <w:iCs/>
          <w:sz w:val="32"/>
          <w:highlight w:val="none"/>
          <w:lang w:val="en-US" w:eastAsia="zh-CN"/>
        </w:rPr>
        <w:t>3</w:t>
      </w:r>
      <w:r>
        <w:rPr>
          <w:rStyle w:val="215"/>
          <w:rFonts w:hint="eastAsia" w:ascii="宋体" w:hAnsi="宋体" w:eastAsia="宋体" w:cs="宋体"/>
          <w:b/>
          <w:iCs/>
          <w:sz w:val="32"/>
          <w:highlight w:val="none"/>
        </w:rPr>
        <w:t>：类似项目经验</w:t>
      </w:r>
      <w:bookmarkEnd w:id="316"/>
      <w:bookmarkEnd w:id="317"/>
      <w:bookmarkEnd w:id="318"/>
      <w:bookmarkEnd w:id="319"/>
    </w:p>
    <w:p w14:paraId="5D757287">
      <w:pPr>
        <w:shd w:val="clear"/>
        <w:spacing w:line="400" w:lineRule="atLeast"/>
        <w:rPr>
          <w:rFonts w:hint="eastAsia" w:ascii="宋体" w:hAnsi="宋体" w:eastAsia="宋体" w:cs="宋体"/>
          <w:szCs w:val="20"/>
          <w:highlight w:val="none"/>
          <w:u w:val="single"/>
        </w:rPr>
      </w:pPr>
      <w:r>
        <w:rPr>
          <w:rFonts w:hint="eastAsia" w:ascii="宋体" w:hAnsi="宋体" w:eastAsia="宋体" w:cs="宋体"/>
          <w:szCs w:val="20"/>
          <w:highlight w:val="none"/>
        </w:rPr>
        <w:t>采购项目名称：</w:t>
      </w:r>
      <w:r>
        <w:rPr>
          <w:rFonts w:hint="eastAsia" w:ascii="宋体" w:hAnsi="宋体" w:eastAsia="宋体" w:cs="宋体"/>
          <w:szCs w:val="20"/>
          <w:highlight w:val="none"/>
          <w:u w:val="single"/>
        </w:rPr>
        <w:t xml:space="preserve">                  </w:t>
      </w:r>
      <w:r>
        <w:rPr>
          <w:rFonts w:hint="eastAsia" w:ascii="宋体" w:hAnsi="宋体" w:cs="宋体"/>
          <w:szCs w:val="20"/>
          <w:highlight w:val="none"/>
          <w:u w:val="single"/>
          <w:lang w:val="en-US" w:eastAsia="zh-CN"/>
        </w:rPr>
        <w:t xml:space="preserve">  </w:t>
      </w:r>
      <w:r>
        <w:rPr>
          <w:rFonts w:hint="eastAsia" w:ascii="宋体" w:hAnsi="宋体" w:eastAsia="宋体" w:cs="宋体"/>
          <w:szCs w:val="20"/>
          <w:highlight w:val="none"/>
          <w:u w:val="single"/>
        </w:rPr>
        <w:t xml:space="preserve">   </w:t>
      </w:r>
    </w:p>
    <w:p w14:paraId="2CF0FC77">
      <w:pPr>
        <w:shd w:val="clear"/>
        <w:spacing w:line="400" w:lineRule="atLeast"/>
        <w:rPr>
          <w:rFonts w:hint="eastAsia" w:ascii="宋体" w:hAnsi="宋体" w:eastAsia="宋体" w:cs="宋体"/>
          <w:szCs w:val="20"/>
          <w:highlight w:val="none"/>
          <w:u w:val="single"/>
        </w:rPr>
      </w:pPr>
      <w:r>
        <w:rPr>
          <w:rFonts w:hint="eastAsia" w:ascii="宋体" w:hAnsi="宋体" w:eastAsia="宋体" w:cs="宋体"/>
          <w:szCs w:val="20"/>
          <w:highlight w:val="none"/>
        </w:rPr>
        <w:t>采购项目编号：</w:t>
      </w:r>
      <w:r>
        <w:rPr>
          <w:rFonts w:hint="eastAsia" w:ascii="宋体" w:hAnsi="宋体" w:eastAsia="宋体" w:cs="宋体"/>
          <w:szCs w:val="20"/>
          <w:highlight w:val="none"/>
          <w:u w:val="single"/>
        </w:rPr>
        <w:t xml:space="preserve">                       </w:t>
      </w:r>
    </w:p>
    <w:p w14:paraId="60AE6783">
      <w:pPr>
        <w:shd w:val="clear"/>
        <w:spacing w:after="120"/>
        <w:rPr>
          <w:rFonts w:hint="eastAsia" w:ascii="宋体" w:hAnsi="宋体" w:eastAsia="宋体" w:cs="宋体"/>
          <w:sz w:val="21"/>
          <w:highlight w:val="none"/>
        </w:rPr>
      </w:pPr>
    </w:p>
    <w:tbl>
      <w:tblPr>
        <w:tblStyle w:val="41"/>
        <w:tblW w:w="8848"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609"/>
        <w:gridCol w:w="1065"/>
        <w:gridCol w:w="1414"/>
        <w:gridCol w:w="1619"/>
        <w:gridCol w:w="1441"/>
        <w:gridCol w:w="2700"/>
      </w:tblGrid>
      <w:tr w14:paraId="41195A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trPr>
        <w:tc>
          <w:tcPr>
            <w:tcW w:w="609" w:type="dxa"/>
            <w:vAlign w:val="center"/>
          </w:tcPr>
          <w:p w14:paraId="2683B418">
            <w:pPr>
              <w:shd w:val="clear"/>
              <w:spacing w:line="240" w:lineRule="auto"/>
              <w:jc w:val="center"/>
              <w:rPr>
                <w:rFonts w:hint="eastAsia" w:ascii="宋体" w:hAnsi="宋体" w:eastAsia="宋体" w:cs="宋体"/>
                <w:szCs w:val="20"/>
                <w:highlight w:val="none"/>
              </w:rPr>
            </w:pPr>
            <w:r>
              <w:rPr>
                <w:rFonts w:hint="eastAsia" w:ascii="宋体" w:hAnsi="宋体" w:eastAsia="宋体" w:cs="宋体"/>
                <w:szCs w:val="20"/>
                <w:highlight w:val="none"/>
              </w:rPr>
              <w:t>序号</w:t>
            </w:r>
          </w:p>
        </w:tc>
        <w:tc>
          <w:tcPr>
            <w:tcW w:w="1065" w:type="dxa"/>
            <w:vAlign w:val="center"/>
          </w:tcPr>
          <w:p w14:paraId="2A4AEDE2">
            <w:pPr>
              <w:shd w:val="clear"/>
              <w:spacing w:line="240" w:lineRule="auto"/>
              <w:jc w:val="center"/>
              <w:rPr>
                <w:rFonts w:hint="eastAsia" w:ascii="宋体" w:hAnsi="宋体" w:eastAsia="宋体" w:cs="宋体"/>
                <w:szCs w:val="20"/>
                <w:highlight w:val="none"/>
              </w:rPr>
            </w:pPr>
            <w:r>
              <w:rPr>
                <w:rFonts w:hint="eastAsia" w:ascii="宋体" w:hAnsi="宋体" w:eastAsia="宋体" w:cs="宋体"/>
                <w:szCs w:val="20"/>
                <w:highlight w:val="none"/>
              </w:rPr>
              <w:t>项目名称</w:t>
            </w:r>
          </w:p>
        </w:tc>
        <w:tc>
          <w:tcPr>
            <w:tcW w:w="1414" w:type="dxa"/>
            <w:vAlign w:val="center"/>
          </w:tcPr>
          <w:p w14:paraId="664AB9C5">
            <w:pPr>
              <w:shd w:val="clear"/>
              <w:spacing w:line="240" w:lineRule="auto"/>
              <w:jc w:val="center"/>
              <w:rPr>
                <w:rFonts w:hint="eastAsia" w:ascii="宋体" w:hAnsi="宋体" w:eastAsia="宋体" w:cs="宋体"/>
                <w:szCs w:val="20"/>
                <w:highlight w:val="none"/>
              </w:rPr>
            </w:pPr>
            <w:r>
              <w:rPr>
                <w:rFonts w:hint="eastAsia" w:ascii="宋体" w:hAnsi="宋体" w:eastAsia="宋体" w:cs="宋体"/>
                <w:szCs w:val="20"/>
                <w:highlight w:val="none"/>
              </w:rPr>
              <w:t>项目内容</w:t>
            </w:r>
          </w:p>
        </w:tc>
        <w:tc>
          <w:tcPr>
            <w:tcW w:w="1619" w:type="dxa"/>
            <w:tcBorders>
              <w:left w:val="single" w:color="auto" w:sz="4" w:space="0"/>
              <w:right w:val="single" w:color="auto" w:sz="4" w:space="0"/>
            </w:tcBorders>
            <w:vAlign w:val="center"/>
          </w:tcPr>
          <w:p w14:paraId="0D7B19AA">
            <w:pPr>
              <w:shd w:val="clear"/>
              <w:spacing w:line="240" w:lineRule="auto"/>
              <w:jc w:val="center"/>
              <w:rPr>
                <w:rFonts w:hint="eastAsia" w:ascii="宋体" w:hAnsi="宋体" w:eastAsia="宋体" w:cs="宋体"/>
                <w:szCs w:val="20"/>
                <w:highlight w:val="none"/>
              </w:rPr>
            </w:pPr>
            <w:r>
              <w:rPr>
                <w:rFonts w:hint="eastAsia" w:ascii="宋体" w:hAnsi="宋体" w:eastAsia="宋体" w:cs="宋体"/>
                <w:szCs w:val="20"/>
                <w:highlight w:val="none"/>
              </w:rPr>
              <w:t>金额</w:t>
            </w:r>
          </w:p>
          <w:p w14:paraId="5903242B">
            <w:pPr>
              <w:shd w:val="clear"/>
              <w:spacing w:line="240" w:lineRule="auto"/>
              <w:jc w:val="center"/>
              <w:rPr>
                <w:rFonts w:hint="eastAsia" w:ascii="宋体" w:hAnsi="宋体" w:eastAsia="宋体" w:cs="宋体"/>
                <w:szCs w:val="20"/>
                <w:highlight w:val="none"/>
              </w:rPr>
            </w:pPr>
            <w:r>
              <w:rPr>
                <w:rFonts w:hint="eastAsia" w:ascii="宋体" w:hAnsi="宋体" w:eastAsia="宋体" w:cs="宋体"/>
                <w:szCs w:val="20"/>
                <w:highlight w:val="none"/>
              </w:rPr>
              <w:t>（万元）</w:t>
            </w:r>
          </w:p>
        </w:tc>
        <w:tc>
          <w:tcPr>
            <w:tcW w:w="1441" w:type="dxa"/>
            <w:vAlign w:val="center"/>
          </w:tcPr>
          <w:p w14:paraId="206F63F6">
            <w:pPr>
              <w:shd w:val="clear"/>
              <w:spacing w:line="240" w:lineRule="auto"/>
              <w:jc w:val="center"/>
              <w:rPr>
                <w:rFonts w:hint="eastAsia" w:ascii="宋体" w:hAnsi="宋体" w:eastAsia="宋体" w:cs="宋体"/>
                <w:szCs w:val="20"/>
                <w:highlight w:val="none"/>
              </w:rPr>
            </w:pPr>
            <w:r>
              <w:rPr>
                <w:rFonts w:hint="eastAsia" w:ascii="宋体" w:hAnsi="宋体" w:eastAsia="宋体" w:cs="宋体"/>
                <w:szCs w:val="20"/>
                <w:highlight w:val="none"/>
              </w:rPr>
              <w:t>完成日期</w:t>
            </w:r>
          </w:p>
        </w:tc>
        <w:tc>
          <w:tcPr>
            <w:tcW w:w="2700" w:type="dxa"/>
            <w:vAlign w:val="center"/>
          </w:tcPr>
          <w:p w14:paraId="55D42ED5">
            <w:pPr>
              <w:shd w:val="clear"/>
              <w:spacing w:line="240" w:lineRule="auto"/>
              <w:jc w:val="center"/>
              <w:rPr>
                <w:rFonts w:hint="eastAsia" w:ascii="宋体" w:hAnsi="宋体" w:eastAsia="宋体" w:cs="宋体"/>
                <w:szCs w:val="20"/>
                <w:highlight w:val="none"/>
              </w:rPr>
            </w:pPr>
            <w:r>
              <w:rPr>
                <w:rFonts w:hint="eastAsia" w:ascii="宋体" w:hAnsi="宋体" w:eastAsia="宋体" w:cs="宋体"/>
                <w:szCs w:val="20"/>
                <w:highlight w:val="none"/>
              </w:rPr>
              <w:t>服务单位名称、联系人及电话</w:t>
            </w:r>
          </w:p>
        </w:tc>
      </w:tr>
      <w:tr w14:paraId="178F57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trPr>
        <w:tc>
          <w:tcPr>
            <w:tcW w:w="609" w:type="dxa"/>
            <w:vAlign w:val="center"/>
          </w:tcPr>
          <w:p w14:paraId="610E1516">
            <w:pPr>
              <w:shd w:val="clear"/>
              <w:spacing w:line="240" w:lineRule="auto"/>
              <w:ind w:left="120"/>
              <w:jc w:val="center"/>
              <w:rPr>
                <w:rFonts w:hint="eastAsia" w:ascii="宋体" w:hAnsi="宋体" w:eastAsia="宋体" w:cs="宋体"/>
                <w:szCs w:val="20"/>
                <w:highlight w:val="none"/>
              </w:rPr>
            </w:pPr>
            <w:r>
              <w:rPr>
                <w:rFonts w:hint="eastAsia" w:ascii="宋体" w:hAnsi="宋体" w:eastAsia="宋体" w:cs="宋体"/>
                <w:szCs w:val="20"/>
                <w:highlight w:val="none"/>
              </w:rPr>
              <w:t>1</w:t>
            </w:r>
          </w:p>
        </w:tc>
        <w:tc>
          <w:tcPr>
            <w:tcW w:w="1065" w:type="dxa"/>
            <w:vAlign w:val="center"/>
          </w:tcPr>
          <w:p w14:paraId="68D1D14C">
            <w:pPr>
              <w:shd w:val="clear"/>
              <w:spacing w:line="240" w:lineRule="auto"/>
              <w:jc w:val="center"/>
              <w:rPr>
                <w:rFonts w:hint="eastAsia" w:ascii="宋体" w:hAnsi="宋体" w:eastAsia="宋体" w:cs="宋体"/>
                <w:szCs w:val="20"/>
                <w:highlight w:val="none"/>
              </w:rPr>
            </w:pPr>
          </w:p>
        </w:tc>
        <w:tc>
          <w:tcPr>
            <w:tcW w:w="1414" w:type="dxa"/>
            <w:vAlign w:val="center"/>
          </w:tcPr>
          <w:p w14:paraId="5ADDDE7D">
            <w:pPr>
              <w:shd w:val="clear"/>
              <w:spacing w:line="240" w:lineRule="auto"/>
              <w:jc w:val="center"/>
              <w:rPr>
                <w:rFonts w:hint="eastAsia" w:ascii="宋体" w:hAnsi="宋体" w:eastAsia="宋体" w:cs="宋体"/>
                <w:szCs w:val="20"/>
                <w:highlight w:val="none"/>
              </w:rPr>
            </w:pPr>
          </w:p>
        </w:tc>
        <w:tc>
          <w:tcPr>
            <w:tcW w:w="1619" w:type="dxa"/>
            <w:tcBorders>
              <w:left w:val="single" w:color="auto" w:sz="4" w:space="0"/>
              <w:right w:val="single" w:color="auto" w:sz="4" w:space="0"/>
            </w:tcBorders>
            <w:vAlign w:val="center"/>
          </w:tcPr>
          <w:p w14:paraId="47560A57">
            <w:pPr>
              <w:shd w:val="clear"/>
              <w:spacing w:line="240" w:lineRule="auto"/>
              <w:jc w:val="center"/>
              <w:rPr>
                <w:rFonts w:hint="eastAsia" w:ascii="宋体" w:hAnsi="宋体" w:eastAsia="宋体" w:cs="宋体"/>
                <w:szCs w:val="20"/>
                <w:highlight w:val="none"/>
              </w:rPr>
            </w:pPr>
          </w:p>
        </w:tc>
        <w:tc>
          <w:tcPr>
            <w:tcW w:w="1441" w:type="dxa"/>
            <w:vAlign w:val="center"/>
          </w:tcPr>
          <w:p w14:paraId="77068F28">
            <w:pPr>
              <w:shd w:val="clear"/>
              <w:spacing w:line="240" w:lineRule="auto"/>
              <w:jc w:val="center"/>
              <w:rPr>
                <w:rFonts w:hint="eastAsia" w:ascii="宋体" w:hAnsi="宋体" w:eastAsia="宋体" w:cs="宋体"/>
                <w:szCs w:val="20"/>
                <w:highlight w:val="none"/>
              </w:rPr>
            </w:pPr>
          </w:p>
        </w:tc>
        <w:tc>
          <w:tcPr>
            <w:tcW w:w="2700" w:type="dxa"/>
          </w:tcPr>
          <w:p w14:paraId="0A11DE20">
            <w:pPr>
              <w:shd w:val="clear"/>
              <w:spacing w:line="240" w:lineRule="auto"/>
              <w:jc w:val="center"/>
              <w:rPr>
                <w:rFonts w:hint="eastAsia" w:ascii="宋体" w:hAnsi="宋体" w:eastAsia="宋体" w:cs="宋体"/>
                <w:szCs w:val="20"/>
                <w:highlight w:val="none"/>
              </w:rPr>
            </w:pPr>
          </w:p>
        </w:tc>
      </w:tr>
      <w:tr w14:paraId="06C4D1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trPr>
        <w:tc>
          <w:tcPr>
            <w:tcW w:w="609" w:type="dxa"/>
            <w:vAlign w:val="center"/>
          </w:tcPr>
          <w:p w14:paraId="2CC147DF">
            <w:pPr>
              <w:shd w:val="clear"/>
              <w:spacing w:line="240" w:lineRule="auto"/>
              <w:ind w:left="120"/>
              <w:jc w:val="center"/>
              <w:rPr>
                <w:rFonts w:hint="eastAsia" w:ascii="宋体" w:hAnsi="宋体" w:eastAsia="宋体" w:cs="宋体"/>
                <w:szCs w:val="20"/>
                <w:highlight w:val="none"/>
              </w:rPr>
            </w:pPr>
            <w:r>
              <w:rPr>
                <w:rFonts w:hint="eastAsia" w:ascii="宋体" w:hAnsi="宋体" w:eastAsia="宋体" w:cs="宋体"/>
                <w:szCs w:val="20"/>
                <w:highlight w:val="none"/>
              </w:rPr>
              <w:t>2</w:t>
            </w:r>
          </w:p>
        </w:tc>
        <w:tc>
          <w:tcPr>
            <w:tcW w:w="1065" w:type="dxa"/>
            <w:vAlign w:val="center"/>
          </w:tcPr>
          <w:p w14:paraId="3D574239">
            <w:pPr>
              <w:shd w:val="clear"/>
              <w:spacing w:line="240" w:lineRule="auto"/>
              <w:jc w:val="center"/>
              <w:rPr>
                <w:rFonts w:hint="eastAsia" w:ascii="宋体" w:hAnsi="宋体" w:eastAsia="宋体" w:cs="宋体"/>
                <w:szCs w:val="20"/>
                <w:highlight w:val="none"/>
              </w:rPr>
            </w:pPr>
          </w:p>
        </w:tc>
        <w:tc>
          <w:tcPr>
            <w:tcW w:w="1414" w:type="dxa"/>
            <w:vAlign w:val="center"/>
          </w:tcPr>
          <w:p w14:paraId="67919534">
            <w:pPr>
              <w:shd w:val="clear"/>
              <w:spacing w:line="240" w:lineRule="auto"/>
              <w:jc w:val="center"/>
              <w:rPr>
                <w:rFonts w:hint="eastAsia" w:ascii="宋体" w:hAnsi="宋体" w:eastAsia="宋体" w:cs="宋体"/>
                <w:szCs w:val="20"/>
                <w:highlight w:val="none"/>
              </w:rPr>
            </w:pPr>
          </w:p>
        </w:tc>
        <w:tc>
          <w:tcPr>
            <w:tcW w:w="1619" w:type="dxa"/>
            <w:tcBorders>
              <w:left w:val="single" w:color="auto" w:sz="4" w:space="0"/>
              <w:right w:val="single" w:color="auto" w:sz="4" w:space="0"/>
            </w:tcBorders>
            <w:vAlign w:val="center"/>
          </w:tcPr>
          <w:p w14:paraId="783F576B">
            <w:pPr>
              <w:shd w:val="clear"/>
              <w:spacing w:line="240" w:lineRule="auto"/>
              <w:jc w:val="center"/>
              <w:rPr>
                <w:rFonts w:hint="eastAsia" w:ascii="宋体" w:hAnsi="宋体" w:eastAsia="宋体" w:cs="宋体"/>
                <w:szCs w:val="20"/>
                <w:highlight w:val="none"/>
              </w:rPr>
            </w:pPr>
          </w:p>
        </w:tc>
        <w:tc>
          <w:tcPr>
            <w:tcW w:w="1441" w:type="dxa"/>
            <w:vAlign w:val="center"/>
          </w:tcPr>
          <w:p w14:paraId="2AA145E3">
            <w:pPr>
              <w:shd w:val="clear"/>
              <w:spacing w:line="240" w:lineRule="auto"/>
              <w:jc w:val="center"/>
              <w:rPr>
                <w:rFonts w:hint="eastAsia" w:ascii="宋体" w:hAnsi="宋体" w:eastAsia="宋体" w:cs="宋体"/>
                <w:szCs w:val="20"/>
                <w:highlight w:val="none"/>
              </w:rPr>
            </w:pPr>
          </w:p>
        </w:tc>
        <w:tc>
          <w:tcPr>
            <w:tcW w:w="2700" w:type="dxa"/>
          </w:tcPr>
          <w:p w14:paraId="1BD9434B">
            <w:pPr>
              <w:shd w:val="clear"/>
              <w:spacing w:line="240" w:lineRule="auto"/>
              <w:jc w:val="center"/>
              <w:rPr>
                <w:rFonts w:hint="eastAsia" w:ascii="宋体" w:hAnsi="宋体" w:eastAsia="宋体" w:cs="宋体"/>
                <w:szCs w:val="20"/>
                <w:highlight w:val="none"/>
              </w:rPr>
            </w:pPr>
          </w:p>
        </w:tc>
      </w:tr>
      <w:tr w14:paraId="2A83DC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trPr>
        <w:tc>
          <w:tcPr>
            <w:tcW w:w="609" w:type="dxa"/>
            <w:vAlign w:val="center"/>
          </w:tcPr>
          <w:p w14:paraId="34FABC9B">
            <w:pPr>
              <w:shd w:val="clear"/>
              <w:spacing w:line="240" w:lineRule="auto"/>
              <w:ind w:left="120"/>
              <w:jc w:val="center"/>
              <w:rPr>
                <w:rFonts w:hint="eastAsia" w:ascii="宋体" w:hAnsi="宋体" w:eastAsia="宋体" w:cs="宋体"/>
                <w:szCs w:val="20"/>
                <w:highlight w:val="none"/>
              </w:rPr>
            </w:pPr>
            <w:r>
              <w:rPr>
                <w:rFonts w:hint="eastAsia" w:ascii="宋体" w:hAnsi="宋体" w:eastAsia="宋体" w:cs="宋体"/>
                <w:szCs w:val="20"/>
                <w:highlight w:val="none"/>
              </w:rPr>
              <w:t>3</w:t>
            </w:r>
          </w:p>
        </w:tc>
        <w:tc>
          <w:tcPr>
            <w:tcW w:w="1065" w:type="dxa"/>
            <w:vAlign w:val="center"/>
          </w:tcPr>
          <w:p w14:paraId="27825A94">
            <w:pPr>
              <w:shd w:val="clear"/>
              <w:spacing w:line="240" w:lineRule="auto"/>
              <w:jc w:val="center"/>
              <w:rPr>
                <w:rFonts w:hint="eastAsia" w:ascii="宋体" w:hAnsi="宋体" w:eastAsia="宋体" w:cs="宋体"/>
                <w:szCs w:val="20"/>
                <w:highlight w:val="none"/>
              </w:rPr>
            </w:pPr>
          </w:p>
        </w:tc>
        <w:tc>
          <w:tcPr>
            <w:tcW w:w="1414" w:type="dxa"/>
            <w:vAlign w:val="center"/>
          </w:tcPr>
          <w:p w14:paraId="5147854F">
            <w:pPr>
              <w:shd w:val="clear"/>
              <w:spacing w:line="240" w:lineRule="auto"/>
              <w:jc w:val="center"/>
              <w:rPr>
                <w:rFonts w:hint="eastAsia" w:ascii="宋体" w:hAnsi="宋体" w:eastAsia="宋体" w:cs="宋体"/>
                <w:szCs w:val="20"/>
                <w:highlight w:val="none"/>
              </w:rPr>
            </w:pPr>
          </w:p>
        </w:tc>
        <w:tc>
          <w:tcPr>
            <w:tcW w:w="1619" w:type="dxa"/>
            <w:tcBorders>
              <w:left w:val="single" w:color="auto" w:sz="4" w:space="0"/>
              <w:right w:val="single" w:color="auto" w:sz="4" w:space="0"/>
            </w:tcBorders>
            <w:vAlign w:val="center"/>
          </w:tcPr>
          <w:p w14:paraId="14302067">
            <w:pPr>
              <w:shd w:val="clear"/>
              <w:spacing w:line="240" w:lineRule="auto"/>
              <w:jc w:val="center"/>
              <w:rPr>
                <w:rFonts w:hint="eastAsia" w:ascii="宋体" w:hAnsi="宋体" w:eastAsia="宋体" w:cs="宋体"/>
                <w:szCs w:val="20"/>
                <w:highlight w:val="none"/>
              </w:rPr>
            </w:pPr>
          </w:p>
        </w:tc>
        <w:tc>
          <w:tcPr>
            <w:tcW w:w="1441" w:type="dxa"/>
            <w:vAlign w:val="center"/>
          </w:tcPr>
          <w:p w14:paraId="33676C51">
            <w:pPr>
              <w:shd w:val="clear"/>
              <w:spacing w:line="240" w:lineRule="auto"/>
              <w:jc w:val="center"/>
              <w:rPr>
                <w:rFonts w:hint="eastAsia" w:ascii="宋体" w:hAnsi="宋体" w:eastAsia="宋体" w:cs="宋体"/>
                <w:szCs w:val="20"/>
                <w:highlight w:val="none"/>
              </w:rPr>
            </w:pPr>
          </w:p>
        </w:tc>
        <w:tc>
          <w:tcPr>
            <w:tcW w:w="2700" w:type="dxa"/>
          </w:tcPr>
          <w:p w14:paraId="53BC542D">
            <w:pPr>
              <w:shd w:val="clear"/>
              <w:spacing w:line="240" w:lineRule="auto"/>
              <w:jc w:val="center"/>
              <w:rPr>
                <w:rFonts w:hint="eastAsia" w:ascii="宋体" w:hAnsi="宋体" w:eastAsia="宋体" w:cs="宋体"/>
                <w:szCs w:val="20"/>
                <w:highlight w:val="none"/>
              </w:rPr>
            </w:pPr>
          </w:p>
        </w:tc>
      </w:tr>
      <w:tr w14:paraId="039B99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trPr>
        <w:tc>
          <w:tcPr>
            <w:tcW w:w="609" w:type="dxa"/>
            <w:vAlign w:val="center"/>
          </w:tcPr>
          <w:p w14:paraId="6DFB2F13">
            <w:pPr>
              <w:shd w:val="clear"/>
              <w:spacing w:line="240" w:lineRule="auto"/>
              <w:ind w:left="120"/>
              <w:jc w:val="center"/>
              <w:rPr>
                <w:rFonts w:hint="eastAsia" w:ascii="宋体" w:hAnsi="宋体" w:eastAsia="宋体" w:cs="宋体"/>
                <w:szCs w:val="20"/>
                <w:highlight w:val="none"/>
              </w:rPr>
            </w:pPr>
            <w:r>
              <w:rPr>
                <w:rFonts w:hint="eastAsia" w:ascii="宋体" w:hAnsi="宋体" w:eastAsia="宋体" w:cs="宋体"/>
                <w:szCs w:val="20"/>
                <w:highlight w:val="none"/>
              </w:rPr>
              <w:t>4</w:t>
            </w:r>
          </w:p>
        </w:tc>
        <w:tc>
          <w:tcPr>
            <w:tcW w:w="1065" w:type="dxa"/>
            <w:vAlign w:val="center"/>
          </w:tcPr>
          <w:p w14:paraId="06D2A223">
            <w:pPr>
              <w:shd w:val="clear"/>
              <w:spacing w:line="240" w:lineRule="auto"/>
              <w:jc w:val="center"/>
              <w:rPr>
                <w:rFonts w:hint="eastAsia" w:ascii="宋体" w:hAnsi="宋体" w:eastAsia="宋体" w:cs="宋体"/>
                <w:szCs w:val="20"/>
                <w:highlight w:val="none"/>
              </w:rPr>
            </w:pPr>
          </w:p>
        </w:tc>
        <w:tc>
          <w:tcPr>
            <w:tcW w:w="1414" w:type="dxa"/>
            <w:vAlign w:val="center"/>
          </w:tcPr>
          <w:p w14:paraId="5FF36A8C">
            <w:pPr>
              <w:shd w:val="clear"/>
              <w:spacing w:line="240" w:lineRule="auto"/>
              <w:jc w:val="center"/>
              <w:rPr>
                <w:rFonts w:hint="eastAsia" w:ascii="宋体" w:hAnsi="宋体" w:eastAsia="宋体" w:cs="宋体"/>
                <w:szCs w:val="20"/>
                <w:highlight w:val="none"/>
              </w:rPr>
            </w:pPr>
          </w:p>
        </w:tc>
        <w:tc>
          <w:tcPr>
            <w:tcW w:w="1619" w:type="dxa"/>
            <w:tcBorders>
              <w:left w:val="single" w:color="auto" w:sz="4" w:space="0"/>
              <w:right w:val="single" w:color="auto" w:sz="4" w:space="0"/>
            </w:tcBorders>
            <w:vAlign w:val="center"/>
          </w:tcPr>
          <w:p w14:paraId="0206C498">
            <w:pPr>
              <w:shd w:val="clear"/>
              <w:spacing w:line="240" w:lineRule="auto"/>
              <w:jc w:val="center"/>
              <w:rPr>
                <w:rFonts w:hint="eastAsia" w:ascii="宋体" w:hAnsi="宋体" w:eastAsia="宋体" w:cs="宋体"/>
                <w:szCs w:val="20"/>
                <w:highlight w:val="none"/>
              </w:rPr>
            </w:pPr>
          </w:p>
        </w:tc>
        <w:tc>
          <w:tcPr>
            <w:tcW w:w="1441" w:type="dxa"/>
            <w:vAlign w:val="center"/>
          </w:tcPr>
          <w:p w14:paraId="27ADE075">
            <w:pPr>
              <w:shd w:val="clear"/>
              <w:spacing w:line="240" w:lineRule="auto"/>
              <w:jc w:val="center"/>
              <w:rPr>
                <w:rFonts w:hint="eastAsia" w:ascii="宋体" w:hAnsi="宋体" w:eastAsia="宋体" w:cs="宋体"/>
                <w:szCs w:val="20"/>
                <w:highlight w:val="none"/>
              </w:rPr>
            </w:pPr>
          </w:p>
        </w:tc>
        <w:tc>
          <w:tcPr>
            <w:tcW w:w="2700" w:type="dxa"/>
          </w:tcPr>
          <w:p w14:paraId="0B2EE390">
            <w:pPr>
              <w:shd w:val="clear"/>
              <w:spacing w:line="240" w:lineRule="auto"/>
              <w:jc w:val="center"/>
              <w:rPr>
                <w:rFonts w:hint="eastAsia" w:ascii="宋体" w:hAnsi="宋体" w:eastAsia="宋体" w:cs="宋体"/>
                <w:szCs w:val="20"/>
                <w:highlight w:val="none"/>
              </w:rPr>
            </w:pPr>
          </w:p>
        </w:tc>
      </w:tr>
      <w:tr w14:paraId="18BA3C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trPr>
        <w:tc>
          <w:tcPr>
            <w:tcW w:w="609" w:type="dxa"/>
            <w:vAlign w:val="center"/>
          </w:tcPr>
          <w:p w14:paraId="70473C24">
            <w:pPr>
              <w:shd w:val="clear"/>
              <w:spacing w:line="240" w:lineRule="auto"/>
              <w:ind w:left="120"/>
              <w:jc w:val="center"/>
              <w:rPr>
                <w:rFonts w:hint="eastAsia" w:ascii="宋体" w:hAnsi="宋体" w:eastAsia="宋体" w:cs="宋体"/>
                <w:szCs w:val="20"/>
                <w:highlight w:val="none"/>
              </w:rPr>
            </w:pPr>
            <w:r>
              <w:rPr>
                <w:rFonts w:hint="eastAsia" w:ascii="宋体" w:hAnsi="宋体" w:eastAsia="宋体" w:cs="宋体"/>
                <w:szCs w:val="20"/>
                <w:highlight w:val="none"/>
              </w:rPr>
              <w:t>5</w:t>
            </w:r>
          </w:p>
        </w:tc>
        <w:tc>
          <w:tcPr>
            <w:tcW w:w="1065" w:type="dxa"/>
            <w:vAlign w:val="center"/>
          </w:tcPr>
          <w:p w14:paraId="771A7963">
            <w:pPr>
              <w:shd w:val="clear"/>
              <w:spacing w:line="240" w:lineRule="auto"/>
              <w:jc w:val="center"/>
              <w:rPr>
                <w:rFonts w:hint="eastAsia" w:ascii="宋体" w:hAnsi="宋体" w:eastAsia="宋体" w:cs="宋体"/>
                <w:szCs w:val="20"/>
                <w:highlight w:val="none"/>
              </w:rPr>
            </w:pPr>
          </w:p>
        </w:tc>
        <w:tc>
          <w:tcPr>
            <w:tcW w:w="1414" w:type="dxa"/>
            <w:vAlign w:val="center"/>
          </w:tcPr>
          <w:p w14:paraId="1D861A41">
            <w:pPr>
              <w:shd w:val="clear"/>
              <w:spacing w:line="240" w:lineRule="auto"/>
              <w:jc w:val="center"/>
              <w:rPr>
                <w:rFonts w:hint="eastAsia" w:ascii="宋体" w:hAnsi="宋体" w:eastAsia="宋体" w:cs="宋体"/>
                <w:szCs w:val="20"/>
                <w:highlight w:val="none"/>
              </w:rPr>
            </w:pPr>
          </w:p>
        </w:tc>
        <w:tc>
          <w:tcPr>
            <w:tcW w:w="1619" w:type="dxa"/>
            <w:tcBorders>
              <w:left w:val="single" w:color="auto" w:sz="4" w:space="0"/>
              <w:right w:val="single" w:color="auto" w:sz="4" w:space="0"/>
            </w:tcBorders>
            <w:vAlign w:val="center"/>
          </w:tcPr>
          <w:p w14:paraId="48C149BE">
            <w:pPr>
              <w:shd w:val="clear"/>
              <w:spacing w:line="240" w:lineRule="auto"/>
              <w:jc w:val="center"/>
              <w:rPr>
                <w:rFonts w:hint="eastAsia" w:ascii="宋体" w:hAnsi="宋体" w:eastAsia="宋体" w:cs="宋体"/>
                <w:szCs w:val="20"/>
                <w:highlight w:val="none"/>
              </w:rPr>
            </w:pPr>
          </w:p>
        </w:tc>
        <w:tc>
          <w:tcPr>
            <w:tcW w:w="1441" w:type="dxa"/>
            <w:vAlign w:val="center"/>
          </w:tcPr>
          <w:p w14:paraId="44B80570">
            <w:pPr>
              <w:shd w:val="clear"/>
              <w:spacing w:line="240" w:lineRule="auto"/>
              <w:jc w:val="center"/>
              <w:rPr>
                <w:rFonts w:hint="eastAsia" w:ascii="宋体" w:hAnsi="宋体" w:eastAsia="宋体" w:cs="宋体"/>
                <w:szCs w:val="20"/>
                <w:highlight w:val="none"/>
              </w:rPr>
            </w:pPr>
          </w:p>
        </w:tc>
        <w:tc>
          <w:tcPr>
            <w:tcW w:w="2700" w:type="dxa"/>
          </w:tcPr>
          <w:p w14:paraId="2963B167">
            <w:pPr>
              <w:shd w:val="clear"/>
              <w:spacing w:line="240" w:lineRule="auto"/>
              <w:jc w:val="center"/>
              <w:rPr>
                <w:rFonts w:hint="eastAsia" w:ascii="宋体" w:hAnsi="宋体" w:eastAsia="宋体" w:cs="宋体"/>
                <w:szCs w:val="20"/>
                <w:highlight w:val="none"/>
              </w:rPr>
            </w:pPr>
          </w:p>
        </w:tc>
      </w:tr>
      <w:tr w14:paraId="598710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trPr>
        <w:tc>
          <w:tcPr>
            <w:tcW w:w="609" w:type="dxa"/>
            <w:vAlign w:val="center"/>
          </w:tcPr>
          <w:p w14:paraId="365B356B">
            <w:pPr>
              <w:shd w:val="clear"/>
              <w:spacing w:line="240" w:lineRule="auto"/>
              <w:jc w:val="center"/>
              <w:rPr>
                <w:rFonts w:hint="eastAsia" w:ascii="宋体" w:hAnsi="宋体" w:eastAsia="宋体" w:cs="宋体"/>
                <w:szCs w:val="20"/>
                <w:highlight w:val="none"/>
              </w:rPr>
            </w:pPr>
            <w:r>
              <w:rPr>
                <w:rFonts w:hint="eastAsia" w:ascii="宋体" w:hAnsi="宋体" w:eastAsia="宋体" w:cs="宋体"/>
                <w:szCs w:val="20"/>
                <w:highlight w:val="none"/>
              </w:rPr>
              <w:t>…</w:t>
            </w:r>
          </w:p>
        </w:tc>
        <w:tc>
          <w:tcPr>
            <w:tcW w:w="1065" w:type="dxa"/>
            <w:vAlign w:val="center"/>
          </w:tcPr>
          <w:p w14:paraId="023884D8">
            <w:pPr>
              <w:shd w:val="clear"/>
              <w:spacing w:line="240" w:lineRule="auto"/>
              <w:jc w:val="center"/>
              <w:rPr>
                <w:rFonts w:hint="eastAsia" w:ascii="宋体" w:hAnsi="宋体" w:eastAsia="宋体" w:cs="宋体"/>
                <w:szCs w:val="20"/>
                <w:highlight w:val="none"/>
              </w:rPr>
            </w:pPr>
          </w:p>
        </w:tc>
        <w:tc>
          <w:tcPr>
            <w:tcW w:w="1414" w:type="dxa"/>
            <w:vAlign w:val="center"/>
          </w:tcPr>
          <w:p w14:paraId="4F50CD98">
            <w:pPr>
              <w:shd w:val="clear"/>
              <w:spacing w:line="240" w:lineRule="auto"/>
              <w:jc w:val="center"/>
              <w:rPr>
                <w:rFonts w:hint="eastAsia" w:ascii="宋体" w:hAnsi="宋体" w:eastAsia="宋体" w:cs="宋体"/>
                <w:szCs w:val="20"/>
                <w:highlight w:val="none"/>
              </w:rPr>
            </w:pPr>
          </w:p>
        </w:tc>
        <w:tc>
          <w:tcPr>
            <w:tcW w:w="1619" w:type="dxa"/>
            <w:tcBorders>
              <w:left w:val="single" w:color="auto" w:sz="4" w:space="0"/>
              <w:right w:val="single" w:color="auto" w:sz="4" w:space="0"/>
            </w:tcBorders>
            <w:vAlign w:val="center"/>
          </w:tcPr>
          <w:p w14:paraId="4A2218E2">
            <w:pPr>
              <w:shd w:val="clear"/>
              <w:spacing w:line="240" w:lineRule="auto"/>
              <w:jc w:val="center"/>
              <w:rPr>
                <w:rFonts w:hint="eastAsia" w:ascii="宋体" w:hAnsi="宋体" w:eastAsia="宋体" w:cs="宋体"/>
                <w:szCs w:val="20"/>
                <w:highlight w:val="none"/>
              </w:rPr>
            </w:pPr>
          </w:p>
        </w:tc>
        <w:tc>
          <w:tcPr>
            <w:tcW w:w="1441" w:type="dxa"/>
            <w:vAlign w:val="center"/>
          </w:tcPr>
          <w:p w14:paraId="3005DBC4">
            <w:pPr>
              <w:shd w:val="clear"/>
              <w:spacing w:line="240" w:lineRule="auto"/>
              <w:jc w:val="center"/>
              <w:rPr>
                <w:rFonts w:hint="eastAsia" w:ascii="宋体" w:hAnsi="宋体" w:eastAsia="宋体" w:cs="宋体"/>
                <w:szCs w:val="20"/>
                <w:highlight w:val="none"/>
              </w:rPr>
            </w:pPr>
          </w:p>
        </w:tc>
        <w:tc>
          <w:tcPr>
            <w:tcW w:w="2700" w:type="dxa"/>
          </w:tcPr>
          <w:p w14:paraId="7169FB3B">
            <w:pPr>
              <w:shd w:val="clear"/>
              <w:spacing w:line="240" w:lineRule="auto"/>
              <w:jc w:val="center"/>
              <w:rPr>
                <w:rFonts w:hint="eastAsia" w:ascii="宋体" w:hAnsi="宋体" w:eastAsia="宋体" w:cs="宋体"/>
                <w:szCs w:val="20"/>
                <w:highlight w:val="none"/>
              </w:rPr>
            </w:pPr>
          </w:p>
        </w:tc>
      </w:tr>
      <w:tr w14:paraId="2D746F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740" w:hRule="atLeast"/>
        </w:trPr>
        <w:tc>
          <w:tcPr>
            <w:tcW w:w="609" w:type="dxa"/>
            <w:vAlign w:val="center"/>
          </w:tcPr>
          <w:p w14:paraId="59B9E755">
            <w:pPr>
              <w:shd w:val="clear"/>
              <w:spacing w:line="240" w:lineRule="auto"/>
              <w:jc w:val="center"/>
              <w:rPr>
                <w:rFonts w:hint="eastAsia" w:ascii="宋体" w:hAnsi="宋体" w:eastAsia="宋体" w:cs="宋体"/>
                <w:b/>
                <w:szCs w:val="20"/>
                <w:highlight w:val="none"/>
              </w:rPr>
            </w:pPr>
          </w:p>
        </w:tc>
        <w:tc>
          <w:tcPr>
            <w:tcW w:w="1065" w:type="dxa"/>
            <w:vAlign w:val="center"/>
          </w:tcPr>
          <w:p w14:paraId="4F21B743">
            <w:pPr>
              <w:shd w:val="clear"/>
              <w:spacing w:line="240" w:lineRule="auto"/>
              <w:jc w:val="center"/>
              <w:rPr>
                <w:rFonts w:hint="eastAsia" w:ascii="宋体" w:hAnsi="宋体" w:eastAsia="宋体" w:cs="宋体"/>
                <w:szCs w:val="20"/>
                <w:highlight w:val="none"/>
              </w:rPr>
            </w:pPr>
          </w:p>
        </w:tc>
        <w:tc>
          <w:tcPr>
            <w:tcW w:w="1414" w:type="dxa"/>
            <w:vAlign w:val="center"/>
          </w:tcPr>
          <w:p w14:paraId="1B395F0E">
            <w:pPr>
              <w:shd w:val="clear"/>
              <w:spacing w:line="240" w:lineRule="auto"/>
              <w:jc w:val="center"/>
              <w:rPr>
                <w:rFonts w:hint="eastAsia" w:ascii="宋体" w:hAnsi="宋体" w:eastAsia="宋体" w:cs="宋体"/>
                <w:szCs w:val="20"/>
                <w:highlight w:val="none"/>
              </w:rPr>
            </w:pPr>
          </w:p>
        </w:tc>
        <w:tc>
          <w:tcPr>
            <w:tcW w:w="1619" w:type="dxa"/>
            <w:tcBorders>
              <w:left w:val="single" w:color="auto" w:sz="4" w:space="0"/>
              <w:right w:val="single" w:color="auto" w:sz="4" w:space="0"/>
            </w:tcBorders>
            <w:vAlign w:val="center"/>
          </w:tcPr>
          <w:p w14:paraId="10F8171D">
            <w:pPr>
              <w:shd w:val="clear"/>
              <w:spacing w:line="240" w:lineRule="auto"/>
              <w:jc w:val="center"/>
              <w:rPr>
                <w:rFonts w:hint="eastAsia" w:ascii="宋体" w:hAnsi="宋体" w:eastAsia="宋体" w:cs="宋体"/>
                <w:szCs w:val="20"/>
                <w:highlight w:val="none"/>
              </w:rPr>
            </w:pPr>
          </w:p>
        </w:tc>
        <w:tc>
          <w:tcPr>
            <w:tcW w:w="1441" w:type="dxa"/>
            <w:vAlign w:val="center"/>
          </w:tcPr>
          <w:p w14:paraId="4069C46C">
            <w:pPr>
              <w:shd w:val="clear"/>
              <w:spacing w:line="240" w:lineRule="auto"/>
              <w:jc w:val="center"/>
              <w:rPr>
                <w:rFonts w:hint="eastAsia" w:ascii="宋体" w:hAnsi="宋体" w:eastAsia="宋体" w:cs="宋体"/>
                <w:szCs w:val="20"/>
                <w:highlight w:val="none"/>
              </w:rPr>
            </w:pPr>
          </w:p>
        </w:tc>
        <w:tc>
          <w:tcPr>
            <w:tcW w:w="2700" w:type="dxa"/>
          </w:tcPr>
          <w:p w14:paraId="331462BD">
            <w:pPr>
              <w:shd w:val="clear"/>
              <w:spacing w:line="240" w:lineRule="auto"/>
              <w:jc w:val="center"/>
              <w:rPr>
                <w:rFonts w:hint="eastAsia" w:ascii="宋体" w:hAnsi="宋体" w:eastAsia="宋体" w:cs="宋体"/>
                <w:szCs w:val="20"/>
                <w:highlight w:val="none"/>
              </w:rPr>
            </w:pPr>
          </w:p>
        </w:tc>
      </w:tr>
    </w:tbl>
    <w:p w14:paraId="38B701C4">
      <w:pPr>
        <w:shd w:val="clear"/>
        <w:snapToGrid w:val="0"/>
        <w:spacing w:before="120" w:line="240" w:lineRule="auto"/>
        <w:ind w:left="453" w:leftChars="50" w:right="357" w:hanging="348" w:hangingChars="166"/>
        <w:rPr>
          <w:rFonts w:hint="eastAsia" w:ascii="宋体" w:hAnsi="宋体" w:eastAsia="宋体" w:cs="宋体"/>
          <w:sz w:val="21"/>
          <w:szCs w:val="20"/>
          <w:highlight w:val="none"/>
        </w:rPr>
      </w:pPr>
    </w:p>
    <w:p w14:paraId="65A22CB6">
      <w:pPr>
        <w:shd w:val="clear"/>
        <w:tabs>
          <w:tab w:val="left" w:pos="8782"/>
        </w:tabs>
        <w:snapToGrid w:val="0"/>
        <w:jc w:val="left"/>
        <w:rPr>
          <w:rFonts w:hint="eastAsia" w:ascii="宋体" w:hAnsi="宋体" w:eastAsia="宋体" w:cs="宋体"/>
          <w:szCs w:val="20"/>
          <w:highlight w:val="none"/>
        </w:rPr>
      </w:pPr>
      <w:r>
        <w:rPr>
          <w:rFonts w:hint="eastAsia" w:ascii="宋体" w:hAnsi="宋体" w:eastAsia="宋体" w:cs="宋体"/>
          <w:szCs w:val="20"/>
          <w:highlight w:val="none"/>
        </w:rPr>
        <w:t>注：1. 投标人应如实列出以上情况，如有隐瞒，一经查实将导致其报价申请被拒绝。</w:t>
      </w:r>
    </w:p>
    <w:p w14:paraId="2251E2B1">
      <w:pPr>
        <w:shd w:val="clear"/>
        <w:snapToGrid w:val="0"/>
        <w:ind w:firstLine="420" w:firstLineChars="200"/>
        <w:jc w:val="left"/>
        <w:rPr>
          <w:rFonts w:hint="eastAsia" w:ascii="宋体" w:hAnsi="宋体" w:eastAsia="宋体" w:cs="宋体"/>
          <w:szCs w:val="20"/>
          <w:highlight w:val="none"/>
        </w:rPr>
      </w:pPr>
      <w:r>
        <w:rPr>
          <w:rFonts w:hint="eastAsia" w:ascii="宋体" w:hAnsi="宋体" w:eastAsia="宋体" w:cs="宋体"/>
          <w:szCs w:val="20"/>
          <w:highlight w:val="none"/>
        </w:rPr>
        <w:t xml:space="preserve">2.投标人应提供证明材料（复印件加盖公章装订在投标文件中）。 </w:t>
      </w:r>
    </w:p>
    <w:p w14:paraId="4855AA5C">
      <w:pPr>
        <w:shd w:val="clear"/>
        <w:spacing w:line="240" w:lineRule="auto"/>
        <w:ind w:left="1256" w:hanging="836"/>
        <w:rPr>
          <w:rFonts w:hint="eastAsia" w:ascii="宋体" w:hAnsi="宋体" w:eastAsia="宋体" w:cs="宋体"/>
          <w:color w:val="000000"/>
          <w:sz w:val="22"/>
          <w:szCs w:val="20"/>
          <w:highlight w:val="none"/>
        </w:rPr>
      </w:pPr>
    </w:p>
    <w:p w14:paraId="13864013">
      <w:pPr>
        <w:shd w:val="clear"/>
        <w:spacing w:line="480" w:lineRule="auto"/>
        <w:ind w:right="-161"/>
        <w:rPr>
          <w:rFonts w:hint="eastAsia" w:ascii="宋体" w:hAnsi="宋体" w:eastAsia="宋体" w:cs="宋体"/>
          <w:szCs w:val="20"/>
          <w:highlight w:val="none"/>
        </w:rPr>
      </w:pPr>
    </w:p>
    <w:p w14:paraId="3676B6CB">
      <w:pPr>
        <w:shd w:val="clear"/>
        <w:spacing w:line="440" w:lineRule="exact"/>
        <w:ind w:left="3259" w:leftChars="1552"/>
        <w:rPr>
          <w:rFonts w:hint="eastAsia" w:ascii="宋体" w:hAnsi="宋体" w:eastAsia="宋体" w:cs="宋体"/>
          <w:highlight w:val="none"/>
        </w:rPr>
      </w:pPr>
      <w:r>
        <w:rPr>
          <w:rFonts w:hint="eastAsia" w:ascii="宋体" w:hAnsi="宋体" w:eastAsia="宋体" w:cs="宋体"/>
          <w:highlight w:val="none"/>
        </w:rPr>
        <w:t>法定代表人或被授权人签字：</w:t>
      </w:r>
    </w:p>
    <w:p w14:paraId="659CA5C8">
      <w:pPr>
        <w:shd w:val="clear"/>
        <w:spacing w:line="440" w:lineRule="exact"/>
        <w:ind w:left="3259" w:leftChars="1552"/>
        <w:rPr>
          <w:rFonts w:hint="eastAsia" w:ascii="宋体" w:hAnsi="宋体" w:eastAsia="宋体" w:cs="宋体"/>
          <w:highlight w:val="none"/>
        </w:rPr>
      </w:pPr>
      <w:r>
        <w:rPr>
          <w:rFonts w:hint="eastAsia" w:ascii="宋体" w:hAnsi="宋体" w:eastAsia="宋体" w:cs="宋体"/>
          <w:highlight w:val="none"/>
        </w:rPr>
        <w:t>投标人名称（公章）：</w:t>
      </w:r>
    </w:p>
    <w:p w14:paraId="1B324996">
      <w:pPr>
        <w:shd w:val="clear"/>
        <w:spacing w:line="440" w:lineRule="exact"/>
        <w:ind w:left="3259" w:leftChars="1552"/>
        <w:rPr>
          <w:rFonts w:hint="eastAsia" w:ascii="宋体" w:hAnsi="宋体" w:eastAsia="宋体" w:cs="宋体"/>
          <w:highlight w:val="none"/>
        </w:rPr>
      </w:pPr>
      <w:r>
        <w:rPr>
          <w:rFonts w:hint="eastAsia" w:ascii="宋体" w:hAnsi="宋体" w:eastAsia="宋体" w:cs="宋体"/>
          <w:highlight w:val="none"/>
        </w:rPr>
        <w:t>日      期：</w:t>
      </w:r>
    </w:p>
    <w:p w14:paraId="4BA25359">
      <w:pPr>
        <w:shd w:val="clear"/>
        <w:rPr>
          <w:highlight w:val="none"/>
        </w:rPr>
      </w:pPr>
    </w:p>
    <w:p w14:paraId="3211E844">
      <w:pPr>
        <w:shd w:val="clear"/>
        <w:rPr>
          <w:highlight w:val="none"/>
        </w:rPr>
      </w:pPr>
    </w:p>
    <w:p w14:paraId="54A1B131">
      <w:pPr>
        <w:shd w:val="clear"/>
        <w:rPr>
          <w:highlight w:val="none"/>
        </w:rPr>
      </w:pPr>
    </w:p>
    <w:p w14:paraId="2BABB26D">
      <w:pPr>
        <w:shd w:val="clear"/>
        <w:rPr>
          <w:rFonts w:ascii="宋体" w:hAnsi="宋体"/>
          <w:b/>
          <w:sz w:val="24"/>
          <w:szCs w:val="32"/>
          <w:highlight w:val="none"/>
        </w:rPr>
      </w:pPr>
      <w:bookmarkStart w:id="320" w:name="_Toc18707"/>
      <w:bookmarkStart w:id="321" w:name="_Toc363474032"/>
      <w:bookmarkStart w:id="322" w:name="_Toc403077655"/>
      <w:r>
        <w:rPr>
          <w:rFonts w:hint="eastAsia" w:ascii="宋体" w:hAnsi="宋体"/>
          <w:b/>
          <w:sz w:val="24"/>
          <w:szCs w:val="32"/>
          <w:highlight w:val="none"/>
        </w:rPr>
        <w:br w:type="page"/>
      </w:r>
    </w:p>
    <w:bookmarkEnd w:id="191"/>
    <w:bookmarkEnd w:id="192"/>
    <w:bookmarkEnd w:id="193"/>
    <w:bookmarkEnd w:id="194"/>
    <w:bookmarkEnd w:id="195"/>
    <w:bookmarkEnd w:id="320"/>
    <w:bookmarkEnd w:id="321"/>
    <w:bookmarkEnd w:id="322"/>
    <w:p w14:paraId="5643042F">
      <w:pPr>
        <w:pStyle w:val="4"/>
        <w:widowControl/>
        <w:shd w:val="clear"/>
        <w:spacing w:before="0" w:beforeLines="0" w:line="360" w:lineRule="auto"/>
        <w:jc w:val="both"/>
        <w:rPr>
          <w:rFonts w:hint="default" w:ascii="宋体" w:hAnsi="宋体" w:cs="宋体"/>
          <w:highlight w:val="none"/>
          <w:lang w:val="en-US" w:eastAsia="zh-CN"/>
        </w:rPr>
      </w:pPr>
      <w:r>
        <w:rPr>
          <w:rFonts w:hint="eastAsia" w:ascii="宋体" w:hAnsi="宋体" w:cs="宋体"/>
          <w:highlight w:val="none"/>
          <w:lang w:val="en-US" w:eastAsia="zh-CN"/>
        </w:rPr>
        <w:t>附件一：</w:t>
      </w:r>
      <w:r>
        <w:rPr>
          <w:rFonts w:hint="eastAsia" w:ascii="宋体" w:hAnsi="宋体" w:cs="宋体"/>
          <w:highlight w:val="none"/>
        </w:rPr>
        <w:t>信用承诺上报操作指南</w:t>
      </w:r>
    </w:p>
    <w:p w14:paraId="4561D59B">
      <w:pPr>
        <w:shd w:val="clear"/>
        <w:rPr>
          <w:highlight w:val="none"/>
        </w:rPr>
      </w:pPr>
      <w:r>
        <w:rPr>
          <w:highlight w:val="none"/>
        </w:rPr>
        <w:drawing>
          <wp:inline distT="0" distB="0" distL="114300" distR="114300">
            <wp:extent cx="5554980" cy="3164840"/>
            <wp:effectExtent l="0" t="0" r="7620" b="165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7"/>
                    <a:stretch>
                      <a:fillRect/>
                    </a:stretch>
                  </pic:blipFill>
                  <pic:spPr>
                    <a:xfrm>
                      <a:off x="0" y="0"/>
                      <a:ext cx="5554980" cy="3164840"/>
                    </a:xfrm>
                    <a:prstGeom prst="rect">
                      <a:avLst/>
                    </a:prstGeom>
                    <a:noFill/>
                    <a:ln>
                      <a:noFill/>
                    </a:ln>
                  </pic:spPr>
                </pic:pic>
              </a:graphicData>
            </a:graphic>
          </wp:inline>
        </w:drawing>
      </w:r>
    </w:p>
    <w:p w14:paraId="79C95715">
      <w:pPr>
        <w:shd w:val="clear"/>
        <w:rPr>
          <w:highlight w:val="none"/>
        </w:rPr>
      </w:pPr>
    </w:p>
    <w:p w14:paraId="5DEE060F">
      <w:pPr>
        <w:shd w:val="clear"/>
        <w:rPr>
          <w:highlight w:val="none"/>
        </w:rPr>
      </w:pPr>
      <w:r>
        <w:rPr>
          <w:highlight w:val="none"/>
        </w:rPr>
        <w:drawing>
          <wp:inline distT="0" distB="0" distL="114300" distR="114300">
            <wp:extent cx="5624830" cy="3142615"/>
            <wp:effectExtent l="0" t="0" r="13970" b="63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48"/>
                    <a:stretch>
                      <a:fillRect/>
                    </a:stretch>
                  </pic:blipFill>
                  <pic:spPr>
                    <a:xfrm>
                      <a:off x="0" y="0"/>
                      <a:ext cx="5624830" cy="3142615"/>
                    </a:xfrm>
                    <a:prstGeom prst="rect">
                      <a:avLst/>
                    </a:prstGeom>
                    <a:noFill/>
                    <a:ln>
                      <a:noFill/>
                    </a:ln>
                  </pic:spPr>
                </pic:pic>
              </a:graphicData>
            </a:graphic>
          </wp:inline>
        </w:drawing>
      </w:r>
      <w:r>
        <w:rPr>
          <w:highlight w:val="none"/>
        </w:rPr>
        <w:drawing>
          <wp:inline distT="0" distB="0" distL="114300" distR="114300">
            <wp:extent cx="5381625" cy="3034665"/>
            <wp:effectExtent l="0" t="0" r="9525" b="1333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9"/>
                    <a:stretch>
                      <a:fillRect/>
                    </a:stretch>
                  </pic:blipFill>
                  <pic:spPr>
                    <a:xfrm>
                      <a:off x="0" y="0"/>
                      <a:ext cx="5381625" cy="3034665"/>
                    </a:xfrm>
                    <a:prstGeom prst="rect">
                      <a:avLst/>
                    </a:prstGeom>
                    <a:noFill/>
                    <a:ln>
                      <a:noFill/>
                    </a:ln>
                  </pic:spPr>
                </pic:pic>
              </a:graphicData>
            </a:graphic>
          </wp:inline>
        </w:drawing>
      </w:r>
    </w:p>
    <w:p w14:paraId="4592EECB">
      <w:pPr>
        <w:shd w:val="clear"/>
        <w:rPr>
          <w:highlight w:val="none"/>
        </w:rPr>
      </w:pPr>
    </w:p>
    <w:p w14:paraId="0884C796">
      <w:pPr>
        <w:shd w:val="clear"/>
        <w:rPr>
          <w:highlight w:val="none"/>
        </w:rPr>
      </w:pPr>
      <w:r>
        <w:rPr>
          <w:highlight w:val="none"/>
        </w:rPr>
        <w:drawing>
          <wp:inline distT="0" distB="0" distL="114300" distR="114300">
            <wp:extent cx="5437505" cy="3082290"/>
            <wp:effectExtent l="0" t="0" r="10795" b="381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0"/>
                    <a:stretch>
                      <a:fillRect/>
                    </a:stretch>
                  </pic:blipFill>
                  <pic:spPr>
                    <a:xfrm>
                      <a:off x="0" y="0"/>
                      <a:ext cx="5437505" cy="3082290"/>
                    </a:xfrm>
                    <a:prstGeom prst="rect">
                      <a:avLst/>
                    </a:prstGeom>
                    <a:noFill/>
                    <a:ln>
                      <a:noFill/>
                    </a:ln>
                  </pic:spPr>
                </pic:pic>
              </a:graphicData>
            </a:graphic>
          </wp:inline>
        </w:drawing>
      </w:r>
      <w:r>
        <w:rPr>
          <w:highlight w:val="none"/>
        </w:rPr>
        <w:drawing>
          <wp:inline distT="0" distB="0" distL="114300" distR="114300">
            <wp:extent cx="5376545" cy="3040380"/>
            <wp:effectExtent l="0" t="0" r="14605" b="762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51"/>
                    <a:stretch>
                      <a:fillRect/>
                    </a:stretch>
                  </pic:blipFill>
                  <pic:spPr>
                    <a:xfrm>
                      <a:off x="0" y="0"/>
                      <a:ext cx="5376545" cy="3040380"/>
                    </a:xfrm>
                    <a:prstGeom prst="rect">
                      <a:avLst/>
                    </a:prstGeom>
                    <a:noFill/>
                    <a:ln>
                      <a:noFill/>
                    </a:ln>
                  </pic:spPr>
                </pic:pic>
              </a:graphicData>
            </a:graphic>
          </wp:inline>
        </w:drawing>
      </w:r>
    </w:p>
    <w:p w14:paraId="34852EF4">
      <w:pPr>
        <w:shd w:val="clear"/>
        <w:rPr>
          <w:highlight w:val="none"/>
        </w:rPr>
      </w:pPr>
    </w:p>
    <w:p w14:paraId="1A6A5AA8">
      <w:pPr>
        <w:shd w:val="clear"/>
        <w:rPr>
          <w:highlight w:val="none"/>
        </w:rPr>
      </w:pPr>
      <w:r>
        <w:rPr>
          <w:highlight w:val="none"/>
        </w:rPr>
        <w:drawing>
          <wp:inline distT="0" distB="0" distL="114300" distR="114300">
            <wp:extent cx="5327015" cy="3004185"/>
            <wp:effectExtent l="0" t="0" r="6985" b="571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52"/>
                    <a:stretch>
                      <a:fillRect/>
                    </a:stretch>
                  </pic:blipFill>
                  <pic:spPr>
                    <a:xfrm>
                      <a:off x="0" y="0"/>
                      <a:ext cx="5327015" cy="3004185"/>
                    </a:xfrm>
                    <a:prstGeom prst="rect">
                      <a:avLst/>
                    </a:prstGeom>
                    <a:noFill/>
                    <a:ln>
                      <a:noFill/>
                    </a:ln>
                  </pic:spPr>
                </pic:pic>
              </a:graphicData>
            </a:graphic>
          </wp:inline>
        </w:drawing>
      </w:r>
      <w:r>
        <w:rPr>
          <w:highlight w:val="none"/>
        </w:rPr>
        <w:drawing>
          <wp:inline distT="0" distB="0" distL="114300" distR="114300">
            <wp:extent cx="5291455" cy="3002280"/>
            <wp:effectExtent l="0" t="0" r="4445" b="762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53"/>
                    <a:stretch>
                      <a:fillRect/>
                    </a:stretch>
                  </pic:blipFill>
                  <pic:spPr>
                    <a:xfrm>
                      <a:off x="0" y="0"/>
                      <a:ext cx="5291455" cy="3002280"/>
                    </a:xfrm>
                    <a:prstGeom prst="rect">
                      <a:avLst/>
                    </a:prstGeom>
                    <a:noFill/>
                    <a:ln>
                      <a:noFill/>
                    </a:ln>
                  </pic:spPr>
                </pic:pic>
              </a:graphicData>
            </a:graphic>
          </wp:inline>
        </w:drawing>
      </w:r>
    </w:p>
    <w:p w14:paraId="6CCDB986">
      <w:pPr>
        <w:shd w:val="clear"/>
        <w:rPr>
          <w:highlight w:val="none"/>
        </w:rPr>
      </w:pPr>
    </w:p>
    <w:p w14:paraId="126F1502">
      <w:pPr>
        <w:shd w:val="clear"/>
        <w:rPr>
          <w:highlight w:val="none"/>
        </w:rPr>
      </w:pPr>
      <w:r>
        <w:rPr>
          <w:highlight w:val="none"/>
        </w:rPr>
        <w:drawing>
          <wp:inline distT="0" distB="0" distL="114300" distR="114300">
            <wp:extent cx="5406390" cy="3068955"/>
            <wp:effectExtent l="0" t="0" r="3810" b="1714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54"/>
                    <a:stretch>
                      <a:fillRect/>
                    </a:stretch>
                  </pic:blipFill>
                  <pic:spPr>
                    <a:xfrm>
                      <a:off x="0" y="0"/>
                      <a:ext cx="5406390" cy="3068955"/>
                    </a:xfrm>
                    <a:prstGeom prst="rect">
                      <a:avLst/>
                    </a:prstGeom>
                    <a:noFill/>
                    <a:ln>
                      <a:noFill/>
                    </a:ln>
                  </pic:spPr>
                </pic:pic>
              </a:graphicData>
            </a:graphic>
          </wp:inline>
        </w:drawing>
      </w:r>
      <w:r>
        <w:rPr>
          <w:highlight w:val="none"/>
        </w:rPr>
        <w:drawing>
          <wp:inline distT="0" distB="0" distL="114300" distR="114300">
            <wp:extent cx="5537835" cy="3116580"/>
            <wp:effectExtent l="0" t="0" r="12065" b="762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55"/>
                    <a:stretch>
                      <a:fillRect/>
                    </a:stretch>
                  </pic:blipFill>
                  <pic:spPr>
                    <a:xfrm>
                      <a:off x="0" y="0"/>
                      <a:ext cx="5537835" cy="3116580"/>
                    </a:xfrm>
                    <a:prstGeom prst="rect">
                      <a:avLst/>
                    </a:prstGeom>
                    <a:noFill/>
                    <a:ln>
                      <a:noFill/>
                    </a:ln>
                  </pic:spPr>
                </pic:pic>
              </a:graphicData>
            </a:graphic>
          </wp:inline>
        </w:drawing>
      </w:r>
    </w:p>
    <w:p w14:paraId="0B967951">
      <w:pPr>
        <w:shd w:val="clear"/>
        <w:rPr>
          <w:highlight w:val="none"/>
        </w:rPr>
      </w:pPr>
    </w:p>
    <w:p w14:paraId="06889CFD">
      <w:pPr>
        <w:shd w:val="clear"/>
        <w:rPr>
          <w:highlight w:val="none"/>
        </w:rPr>
        <w:sectPr>
          <w:pgSz w:w="11906" w:h="16838"/>
          <w:pgMar w:top="1440" w:right="1800" w:bottom="1440" w:left="1800" w:header="1135" w:footer="1135" w:gutter="0"/>
          <w:pgNumType w:fmt="decimal"/>
          <w:cols w:space="425" w:num="1"/>
          <w:docGrid w:type="lines" w:linePitch="312" w:charSpace="0"/>
        </w:sectPr>
      </w:pPr>
      <w:r>
        <w:rPr>
          <w:highlight w:val="none"/>
        </w:rPr>
        <w:drawing>
          <wp:inline distT="0" distB="0" distL="114300" distR="114300">
            <wp:extent cx="5568950" cy="3116580"/>
            <wp:effectExtent l="0" t="0" r="6350" b="762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56"/>
                    <a:stretch>
                      <a:fillRect/>
                    </a:stretch>
                  </pic:blipFill>
                  <pic:spPr>
                    <a:xfrm>
                      <a:off x="0" y="0"/>
                      <a:ext cx="5568950" cy="3116580"/>
                    </a:xfrm>
                    <a:prstGeom prst="rect">
                      <a:avLst/>
                    </a:prstGeom>
                    <a:noFill/>
                    <a:ln>
                      <a:noFill/>
                    </a:ln>
                  </pic:spPr>
                </pic:pic>
              </a:graphicData>
            </a:graphic>
          </wp:inline>
        </w:drawing>
      </w:r>
      <w:r>
        <w:rPr>
          <w:highlight w:val="none"/>
        </w:rPr>
        <w:drawing>
          <wp:inline distT="0" distB="0" distL="114300" distR="114300">
            <wp:extent cx="5584825" cy="3150235"/>
            <wp:effectExtent l="0" t="0" r="15875" b="1206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57"/>
                    <a:stretch>
                      <a:fillRect/>
                    </a:stretch>
                  </pic:blipFill>
                  <pic:spPr>
                    <a:xfrm>
                      <a:off x="0" y="0"/>
                      <a:ext cx="5584825" cy="3150235"/>
                    </a:xfrm>
                    <a:prstGeom prst="rect">
                      <a:avLst/>
                    </a:prstGeom>
                    <a:noFill/>
                    <a:ln>
                      <a:noFill/>
                    </a:ln>
                  </pic:spPr>
                </pic:pic>
              </a:graphicData>
            </a:graphic>
          </wp:inline>
        </w:drawing>
      </w:r>
    </w:p>
    <w:p w14:paraId="66EEEAEA">
      <w:pPr>
        <w:pStyle w:val="4"/>
        <w:widowControl/>
        <w:shd w:val="clear"/>
        <w:spacing w:before="0" w:beforeLines="0" w:line="360" w:lineRule="auto"/>
        <w:jc w:val="both"/>
        <w:rPr>
          <w:rFonts w:hint="eastAsia" w:ascii="宋体" w:hAnsi="宋体" w:cs="宋体"/>
          <w:highlight w:val="none"/>
          <w:lang w:val="en-US" w:eastAsia="zh-CN"/>
        </w:rPr>
      </w:pPr>
      <w:r>
        <w:rPr>
          <w:rFonts w:hint="eastAsia" w:ascii="宋体" w:hAnsi="宋体" w:cs="宋体"/>
          <w:highlight w:val="none"/>
          <w:lang w:val="en-US" w:eastAsia="zh-CN"/>
        </w:rPr>
        <w:t>附件二：中小微企业划型标准</w:t>
      </w:r>
    </w:p>
    <w:tbl>
      <w:tblPr>
        <w:tblStyle w:val="41"/>
        <w:tblW w:w="946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368"/>
        <w:gridCol w:w="1508"/>
        <w:gridCol w:w="911"/>
        <w:gridCol w:w="2757"/>
        <w:gridCol w:w="1823"/>
        <w:gridCol w:w="1093"/>
      </w:tblGrid>
      <w:tr w14:paraId="08AB03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9460" w:type="dxa"/>
            <w:gridSpan w:val="6"/>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0D275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中小微企业划型标准如下：</w:t>
            </w:r>
          </w:p>
        </w:tc>
      </w:tr>
      <w:tr w14:paraId="37AA1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F233A6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行业名称</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D0D0B7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指标名称</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AED90C8">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计量单位</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01382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中型</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7BED66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小型</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7D6C70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微型</w:t>
            </w:r>
          </w:p>
        </w:tc>
      </w:tr>
      <w:tr w14:paraId="6D75F1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584932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农、林、牧、渔</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523FB98">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161338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6F27A7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500≤Y＜20000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05E67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50≤Y＜500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02D823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Y＜50</w:t>
            </w:r>
          </w:p>
        </w:tc>
      </w:tr>
      <w:tr w14:paraId="4A18B6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DF792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工业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BA1FEA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9DCFBF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1AD4C48">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300≤X＜1000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343384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B3EC54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X＜20</w:t>
            </w:r>
          </w:p>
        </w:tc>
      </w:tr>
      <w:tr w14:paraId="7056E5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3487E4F">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4EA3D2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A991F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0EF72B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2000≤Y＜40000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2352DDB">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300≤Y＜2000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5D2BCA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Y＜300</w:t>
            </w:r>
          </w:p>
        </w:tc>
      </w:tr>
      <w:tr w14:paraId="7D8059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1A89FB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建筑业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A8C356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F3DBE8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FFEE6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6000≤Y＜80000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9F39EC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300≤Y＜6000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D03EB8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Y＜300</w:t>
            </w:r>
          </w:p>
        </w:tc>
      </w:tr>
      <w:tr w14:paraId="33E3C3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10E533C">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D0252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资产总额（Z）</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F959DA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1C15F1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5000≤Z＜80000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0336EC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300≤Z＜5000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72BEDD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Z＜300</w:t>
            </w:r>
          </w:p>
        </w:tc>
      </w:tr>
      <w:tr w14:paraId="2853CA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6593B8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批发业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CA8045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23A5B4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F583E6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20≤X＜200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5EEA96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5≤X＜20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B62848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X＜5</w:t>
            </w:r>
          </w:p>
        </w:tc>
      </w:tr>
      <w:tr w14:paraId="049322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5DFAA84">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9AE363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937B5C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F1F4F4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5000≤Y＜40000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CE50A18">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1000≤Y＜5000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20F9DD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Y＜1000</w:t>
            </w:r>
          </w:p>
        </w:tc>
      </w:tr>
      <w:tr w14:paraId="0FEBC6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36B66B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零售业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53C00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3629B88">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1EC55D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0AFA22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10≤X＜50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4BB13C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X＜10</w:t>
            </w:r>
          </w:p>
        </w:tc>
      </w:tr>
      <w:tr w14:paraId="3B0C2C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B595A97">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65DA46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1F615B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739524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500≤Y＜20000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F36C593">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100≤Y＜500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F15081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Y＜100</w:t>
            </w:r>
          </w:p>
        </w:tc>
      </w:tr>
      <w:tr w14:paraId="53D6AB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C2D2EE5">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交通运输业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3E16E45">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5C1CBA3">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0910F1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300≤X＜1000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C0630E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CFDE02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X＜20</w:t>
            </w:r>
          </w:p>
        </w:tc>
      </w:tr>
      <w:tr w14:paraId="5DCC13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F31023A">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57E95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AB503E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AB6763">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3000≤Y＜30000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0D22D9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200≤Y＜3000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F42F59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Y＜200</w:t>
            </w:r>
          </w:p>
        </w:tc>
      </w:tr>
      <w:tr w14:paraId="26342D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00E1BA5">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仓储业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FB15D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E23BBC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7D813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100≤X＜200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449432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20≤X＜100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532AF4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X＜20</w:t>
            </w:r>
          </w:p>
        </w:tc>
      </w:tr>
      <w:tr w14:paraId="6D456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58EE0EA">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4531D3">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C73FCB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BD47A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1000≤Y＜30000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1DD3EE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100≤Y＜1000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5A6DC2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Y＜100</w:t>
            </w:r>
          </w:p>
        </w:tc>
      </w:tr>
      <w:tr w14:paraId="7377D2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CA3F158">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邮政业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834227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B8DCCE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916000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300≤X＜1000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198189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F902643">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X＜20</w:t>
            </w:r>
          </w:p>
        </w:tc>
      </w:tr>
      <w:tr w14:paraId="53B9D5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C04880D">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898BE4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305EEF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2394B9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2000≤Y＜30000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4E4389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100≤Y＜2000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F758B7B">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Y＜100</w:t>
            </w:r>
          </w:p>
        </w:tc>
      </w:tr>
      <w:tr w14:paraId="0B3B62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0FCDF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住宿业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44F17B3">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9AD9395">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19A48B">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85E9CC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10≤X＜100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1815F2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X＜10</w:t>
            </w:r>
          </w:p>
        </w:tc>
      </w:tr>
      <w:tr w14:paraId="22DE3D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F769C75">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657B09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ACEF3D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91FC36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2000≤Y＜10000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7EEF8D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100≤Y＜2000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B31E2C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Y＜100</w:t>
            </w:r>
          </w:p>
        </w:tc>
      </w:tr>
      <w:tr w14:paraId="48D96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23783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餐饮业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F95AA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D98C3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1A46095">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AA6072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10≤X＜100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7014C0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X＜10</w:t>
            </w:r>
          </w:p>
        </w:tc>
      </w:tr>
      <w:tr w14:paraId="7C1D81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E06C65D">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14909C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067580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444216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2000≤Y＜10000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CA991B8">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100≤Y＜2000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F8ED105">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Y＜100</w:t>
            </w:r>
          </w:p>
        </w:tc>
      </w:tr>
      <w:tr w14:paraId="2A40B0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36A88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信息传输业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5F1731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BBF006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3A5E5B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100≤X＜2000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B3AAB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10≤X＜100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62494C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X＜10</w:t>
            </w:r>
          </w:p>
        </w:tc>
      </w:tr>
      <w:tr w14:paraId="0B5F5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43566BE">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E98916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30E943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3FD8E9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1000≤Y＜100000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6C8F1A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100≤Y＜1000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9BA6B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Y＜100</w:t>
            </w:r>
          </w:p>
        </w:tc>
      </w:tr>
      <w:tr w14:paraId="1D6C15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9CD3B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软件和信息技术服务业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5CE9C5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82BDCC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34D029B">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24A9CE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10≤X＜100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33A2628">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X＜10</w:t>
            </w:r>
          </w:p>
        </w:tc>
      </w:tr>
      <w:tr w14:paraId="2B817C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EBABA61">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75E028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A7154C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D433F8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1000≤Y＜10000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2F2548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50≤Y＜1000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2BCFE3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Y＜50</w:t>
            </w:r>
          </w:p>
        </w:tc>
      </w:tr>
      <w:tr w14:paraId="046016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5AEAC8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房地产开发经营</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CF543F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618A6F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C927FA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1000≤Y＜200000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84EAF1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100≤X＜1000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E19B1C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X＜100</w:t>
            </w:r>
          </w:p>
        </w:tc>
      </w:tr>
      <w:tr w14:paraId="4F7449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51D3883">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085C8F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资产总额（Z）</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A7F88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E86163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5000≤Z＜10000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250A34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2000≤Y＜5000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3BFC8ED">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Y＜2000</w:t>
            </w:r>
          </w:p>
        </w:tc>
      </w:tr>
      <w:tr w14:paraId="4889D0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2EA799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物业管理</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1BFCC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81F5A5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1EC1AB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300≤X＜1000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E0C6F7">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8A7DC2B">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X＜100</w:t>
            </w:r>
          </w:p>
        </w:tc>
      </w:tr>
      <w:tr w14:paraId="7D81B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3333F68">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F9C1E2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营业收入（Y）</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40B80F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097EF7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1000≤Y＜5000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8B4139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500≤Y＜1000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F721A5">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Y＜500</w:t>
            </w:r>
          </w:p>
        </w:tc>
      </w:tr>
      <w:tr w14:paraId="4D56D2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1351" w:type="dxa"/>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1F25FC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租赁和商务服务业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0AFDED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8E2D78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52F33DE">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E1F0C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10≤X＜100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7F81B2C">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X＜10</w:t>
            </w:r>
          </w:p>
        </w:tc>
      </w:tr>
      <w:tr w14:paraId="5160E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72566CF">
            <w:pPr>
              <w:shd w:val="clear"/>
              <w:bidi w:val="0"/>
              <w:spacing w:line="360" w:lineRule="auto"/>
              <w:jc w:val="center"/>
              <w:rPr>
                <w:rFonts w:hint="eastAsia" w:ascii="宋体" w:hAnsi="宋体" w:eastAsia="宋体" w:cs="宋体"/>
                <w:sz w:val="24"/>
                <w:szCs w:val="24"/>
                <w:highlight w:val="none"/>
                <w:lang w:val="en-US" w:eastAsia="zh-CN"/>
              </w:rPr>
            </w:pP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BE6B50F">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资产总额（Z）</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687EE3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万元</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3E41000">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8000≤Z＜120000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3BC5861">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100≤Z＜8000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74FDE78">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Y＜100</w:t>
            </w:r>
          </w:p>
        </w:tc>
      </w:tr>
      <w:tr w14:paraId="54DE4F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90" w:hRule="atLeast"/>
        </w:trPr>
        <w:tc>
          <w:tcPr>
            <w:tcW w:w="1351"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9E8C186">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其他未列明行业</w:t>
            </w:r>
          </w:p>
        </w:tc>
        <w:tc>
          <w:tcPr>
            <w:tcW w:w="149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5299294">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从业人员（X）</w:t>
            </w:r>
          </w:p>
        </w:tc>
        <w:tc>
          <w:tcPr>
            <w:tcW w:w="900"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6FD992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人</w:t>
            </w:r>
          </w:p>
        </w:tc>
        <w:tc>
          <w:tcPr>
            <w:tcW w:w="272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F21D369">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100≤X＜300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FD30AE2">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10≤X＜100</w:t>
            </w:r>
          </w:p>
        </w:tc>
        <w:tc>
          <w:tcPr>
            <w:tcW w:w="0" w:type="auto"/>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AF118A">
            <w:pPr>
              <w:shd w:val="clear"/>
              <w:bidi w:val="0"/>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X＜10</w:t>
            </w:r>
          </w:p>
        </w:tc>
      </w:tr>
      <w:tr w14:paraId="565392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2" w:hRule="atLeast"/>
        </w:trPr>
        <w:tc>
          <w:tcPr>
            <w:tcW w:w="9460" w:type="dxa"/>
            <w:gridSpan w:val="6"/>
            <w:vMerge w:val="restar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BB05CF3">
            <w:pPr>
              <w:keepNext w:val="0"/>
              <w:keepLines w:val="0"/>
              <w:widowControl/>
              <w:suppressLineNumbers w:val="0"/>
              <w:shd w:val="clear"/>
              <w:spacing w:before="0" w:beforeAutospacing="0" w:after="0" w:afterAutospacing="0" w:line="375" w:lineRule="atLeast"/>
              <w:ind w:left="0" w:right="0"/>
              <w:jc w:val="left"/>
              <w:rPr>
                <w:rFonts w:hint="eastAsia" w:ascii="宋体" w:hAnsi="宋体" w:eastAsia="宋体" w:cs="宋体"/>
                <w:b/>
                <w:bCs/>
                <w:i w:val="0"/>
                <w:iCs w:val="0"/>
                <w:caps w:val="0"/>
                <w:color w:val="666666"/>
                <w:spacing w:val="0"/>
                <w:sz w:val="24"/>
                <w:szCs w:val="24"/>
                <w:highlight w:val="none"/>
              </w:rPr>
            </w:pPr>
            <w:r>
              <w:rPr>
                <w:rFonts w:hint="eastAsia" w:ascii="宋体" w:hAnsi="宋体" w:eastAsia="宋体" w:cs="宋体"/>
                <w:b/>
                <w:bCs/>
                <w:i w:val="0"/>
                <w:iCs w:val="0"/>
                <w:caps w:val="0"/>
                <w:color w:val="666666"/>
                <w:spacing w:val="0"/>
                <w:kern w:val="0"/>
                <w:sz w:val="24"/>
                <w:szCs w:val="24"/>
                <w:highlight w:val="none"/>
                <w:lang w:val="en-US" w:eastAsia="zh-CN" w:bidi="ar"/>
              </w:rPr>
              <w:t>说明：上述标准参照《关于印发中小企业划型标准规定的通知》（工信部联企业〔2011〕300号），大型、中型和小型企业须同时满足所列指标的下限，否则下划一档；微型企业只须满足所列指标中的一项即可。</w:t>
            </w:r>
          </w:p>
        </w:tc>
      </w:tr>
      <w:tr w14:paraId="1B26E3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2" w:hRule="atLeast"/>
        </w:trPr>
        <w:tc>
          <w:tcPr>
            <w:tcW w:w="9460" w:type="dxa"/>
            <w:gridSpan w:val="6"/>
            <w:vMerge w:val="continue"/>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944A888">
            <w:pPr>
              <w:shd w:val="clear"/>
              <w:jc w:val="left"/>
              <w:rPr>
                <w:rFonts w:hint="eastAsia" w:ascii="宋体" w:hAnsi="宋体" w:eastAsia="宋体" w:cs="宋体"/>
                <w:b/>
                <w:bCs/>
                <w:i w:val="0"/>
                <w:iCs w:val="0"/>
                <w:caps w:val="0"/>
                <w:color w:val="666666"/>
                <w:spacing w:val="0"/>
                <w:sz w:val="24"/>
                <w:szCs w:val="24"/>
                <w:highlight w:val="none"/>
              </w:rPr>
            </w:pPr>
          </w:p>
        </w:tc>
      </w:tr>
    </w:tbl>
    <w:p w14:paraId="73AB1D5D">
      <w:pPr>
        <w:shd w:val="clear"/>
        <w:spacing w:line="360" w:lineRule="auto"/>
        <w:rPr>
          <w:rFonts w:hint="eastAsia" w:ascii="宋体" w:hAnsi="宋体" w:eastAsia="宋体" w:cs="宋体"/>
          <w:b/>
          <w:bCs/>
          <w:color w:val="auto"/>
          <w:sz w:val="24"/>
          <w:szCs w:val="22"/>
          <w:highlight w:val="none"/>
          <w:lang w:val="en-US" w:eastAsia="zh-CN"/>
        </w:rPr>
      </w:pPr>
    </w:p>
    <w:p w14:paraId="4DBCFF65">
      <w:pPr>
        <w:shd w:val="clear"/>
        <w:spacing w:line="360" w:lineRule="auto"/>
        <w:rPr>
          <w:rFonts w:hint="eastAsia" w:ascii="宋体" w:hAnsi="宋体" w:eastAsia="宋体" w:cs="宋体"/>
          <w:b/>
          <w:bCs/>
          <w:color w:val="auto"/>
          <w:sz w:val="24"/>
          <w:szCs w:val="22"/>
          <w:highlight w:val="none"/>
          <w:lang w:val="en-US" w:eastAsia="zh-CN"/>
        </w:rPr>
      </w:pPr>
    </w:p>
    <w:p w14:paraId="14B87220">
      <w:pPr>
        <w:shd w:val="clear"/>
        <w:spacing w:line="360" w:lineRule="auto"/>
        <w:rPr>
          <w:rFonts w:hint="eastAsia" w:ascii="宋体" w:hAnsi="宋体" w:eastAsia="宋体" w:cs="宋体"/>
          <w:b/>
          <w:bCs/>
          <w:color w:val="auto"/>
          <w:sz w:val="24"/>
          <w:szCs w:val="22"/>
          <w:highlight w:val="none"/>
          <w:lang w:val="en-US" w:eastAsia="zh-CN"/>
        </w:rPr>
      </w:pPr>
    </w:p>
    <w:p w14:paraId="248AF38A">
      <w:pPr>
        <w:shd w:val="clear"/>
        <w:spacing w:line="360" w:lineRule="auto"/>
        <w:rPr>
          <w:rFonts w:hint="eastAsia" w:ascii="宋体" w:hAnsi="宋体" w:eastAsia="宋体" w:cs="宋体"/>
          <w:b/>
          <w:bCs/>
          <w:color w:val="auto"/>
          <w:sz w:val="24"/>
          <w:szCs w:val="22"/>
          <w:highlight w:val="none"/>
          <w:lang w:val="en-US" w:eastAsia="zh-CN"/>
        </w:rPr>
      </w:pPr>
    </w:p>
    <w:p w14:paraId="4422FF69">
      <w:pPr>
        <w:shd w:val="clear"/>
        <w:spacing w:line="360" w:lineRule="auto"/>
        <w:rPr>
          <w:rFonts w:hint="eastAsia" w:ascii="宋体" w:hAnsi="宋体" w:eastAsia="宋体" w:cs="宋体"/>
          <w:b/>
          <w:bCs/>
          <w:color w:val="auto"/>
          <w:sz w:val="24"/>
          <w:szCs w:val="22"/>
          <w:highlight w:val="none"/>
          <w:lang w:val="en-US" w:eastAsia="zh-CN"/>
        </w:rPr>
      </w:pPr>
    </w:p>
    <w:p w14:paraId="09F734C3">
      <w:pPr>
        <w:shd w:val="clear"/>
        <w:spacing w:line="360" w:lineRule="auto"/>
        <w:rPr>
          <w:rFonts w:hint="eastAsia" w:ascii="宋体" w:hAnsi="宋体" w:eastAsia="宋体" w:cs="宋体"/>
          <w:b/>
          <w:bCs/>
          <w:color w:val="auto"/>
          <w:sz w:val="24"/>
          <w:szCs w:val="22"/>
          <w:highlight w:val="none"/>
          <w:lang w:val="en-US" w:eastAsia="zh-CN"/>
        </w:rPr>
      </w:pPr>
    </w:p>
    <w:p w14:paraId="678C29B6">
      <w:pPr>
        <w:shd w:val="clear"/>
        <w:spacing w:line="360" w:lineRule="auto"/>
        <w:rPr>
          <w:rFonts w:hint="eastAsia" w:ascii="宋体" w:hAnsi="宋体" w:eastAsia="宋体" w:cs="宋体"/>
          <w:b/>
          <w:bCs/>
          <w:color w:val="auto"/>
          <w:sz w:val="24"/>
          <w:szCs w:val="22"/>
          <w:highlight w:val="none"/>
          <w:lang w:val="en-US" w:eastAsia="zh-CN"/>
        </w:rPr>
      </w:pPr>
    </w:p>
    <w:p w14:paraId="06E8A0BB">
      <w:pPr>
        <w:shd w:val="clear"/>
        <w:spacing w:line="360" w:lineRule="auto"/>
        <w:rPr>
          <w:rFonts w:hint="eastAsia" w:ascii="宋体" w:hAnsi="宋体" w:eastAsia="宋体" w:cs="宋体"/>
          <w:b/>
          <w:bCs/>
          <w:color w:val="auto"/>
          <w:sz w:val="24"/>
          <w:szCs w:val="22"/>
          <w:highlight w:val="none"/>
          <w:lang w:val="en-US" w:eastAsia="zh-CN"/>
        </w:rPr>
      </w:pPr>
      <w:r>
        <w:rPr>
          <w:rFonts w:hint="eastAsia" w:ascii="宋体" w:hAnsi="宋体" w:eastAsia="宋体" w:cs="宋体"/>
          <w:b/>
          <w:bCs/>
          <w:color w:val="auto"/>
          <w:sz w:val="24"/>
          <w:szCs w:val="22"/>
          <w:highlight w:val="none"/>
          <w:lang w:val="en-US" w:eastAsia="zh-CN"/>
        </w:rPr>
        <w:t>附件三：榆政财采发[2023]9号</w:t>
      </w:r>
    </w:p>
    <w:p w14:paraId="63682E6B">
      <w:pPr>
        <w:shd w:val="clear"/>
        <w:spacing w:line="360" w:lineRule="auto"/>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drawing>
          <wp:inline distT="0" distB="0" distL="114300" distR="114300">
            <wp:extent cx="5758815" cy="8138160"/>
            <wp:effectExtent l="0" t="0" r="13335" b="15240"/>
            <wp:docPr id="26" name="图片 1" descr="榆政财采发 2023 9号(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榆政财采发 2023 9号(1)_00"/>
                    <pic:cNvPicPr>
                      <a:picLocks noChangeAspect="1"/>
                    </pic:cNvPicPr>
                  </pic:nvPicPr>
                  <pic:blipFill>
                    <a:blip r:embed="rId58"/>
                    <a:stretch>
                      <a:fillRect/>
                    </a:stretch>
                  </pic:blipFill>
                  <pic:spPr>
                    <a:xfrm>
                      <a:off x="0" y="0"/>
                      <a:ext cx="5758815" cy="8138160"/>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16" name="图片 2" descr="榆政财采发 2023 9号(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榆政财采发 2023 9号(1)_01"/>
                    <pic:cNvPicPr>
                      <a:picLocks noChangeAspect="1"/>
                    </pic:cNvPicPr>
                  </pic:nvPicPr>
                  <pic:blipFill>
                    <a:blip r:embed="rId59"/>
                    <a:stretch>
                      <a:fillRect/>
                    </a:stretch>
                  </pic:blipFill>
                  <pic:spPr>
                    <a:xfrm>
                      <a:off x="0" y="0"/>
                      <a:ext cx="5753735" cy="8127365"/>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27" name="图片 3" descr="榆政财采发 2023 9号(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榆政财采发 2023 9号(1)_02"/>
                    <pic:cNvPicPr>
                      <a:picLocks noChangeAspect="1"/>
                    </pic:cNvPicPr>
                  </pic:nvPicPr>
                  <pic:blipFill>
                    <a:blip r:embed="rId60"/>
                    <a:stretch>
                      <a:fillRect/>
                    </a:stretch>
                  </pic:blipFill>
                  <pic:spPr>
                    <a:xfrm>
                      <a:off x="0" y="0"/>
                      <a:ext cx="5753735" cy="8127365"/>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23" name="图片 4" descr="榆政财采发 2023 9号(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descr="榆政财采发 2023 9号(1)_03"/>
                    <pic:cNvPicPr>
                      <a:picLocks noChangeAspect="1"/>
                    </pic:cNvPicPr>
                  </pic:nvPicPr>
                  <pic:blipFill>
                    <a:blip r:embed="rId61"/>
                    <a:stretch>
                      <a:fillRect/>
                    </a:stretch>
                  </pic:blipFill>
                  <pic:spPr>
                    <a:xfrm>
                      <a:off x="0" y="0"/>
                      <a:ext cx="5753735" cy="8127365"/>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24" name="图片 5" descr="榆政财采发 2023 9号(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榆政财采发 2023 9号(1)_04"/>
                    <pic:cNvPicPr>
                      <a:picLocks noChangeAspect="1"/>
                    </pic:cNvPicPr>
                  </pic:nvPicPr>
                  <pic:blipFill>
                    <a:blip r:embed="rId62"/>
                    <a:stretch>
                      <a:fillRect/>
                    </a:stretch>
                  </pic:blipFill>
                  <pic:spPr>
                    <a:xfrm>
                      <a:off x="0" y="0"/>
                      <a:ext cx="5753735" cy="8127365"/>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18" name="图片 6" descr="榆政财采发 2023 9号(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榆政财采发 2023 9号(1)_05"/>
                    <pic:cNvPicPr>
                      <a:picLocks noChangeAspect="1"/>
                    </pic:cNvPicPr>
                  </pic:nvPicPr>
                  <pic:blipFill>
                    <a:blip r:embed="rId63"/>
                    <a:stretch>
                      <a:fillRect/>
                    </a:stretch>
                  </pic:blipFill>
                  <pic:spPr>
                    <a:xfrm>
                      <a:off x="0" y="0"/>
                      <a:ext cx="5753735" cy="8127365"/>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22" name="图片 7" descr="榆政财采发 2023 9号(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descr="榆政财采发 2023 9号(1)_06"/>
                    <pic:cNvPicPr>
                      <a:picLocks noChangeAspect="1"/>
                    </pic:cNvPicPr>
                  </pic:nvPicPr>
                  <pic:blipFill>
                    <a:blip r:embed="rId64"/>
                    <a:stretch>
                      <a:fillRect/>
                    </a:stretch>
                  </pic:blipFill>
                  <pic:spPr>
                    <a:xfrm>
                      <a:off x="0" y="0"/>
                      <a:ext cx="5753735" cy="8127365"/>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19" name="图片 8" descr="榆政财采发 2023 9号(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descr="榆政财采发 2023 9号(1)_07"/>
                    <pic:cNvPicPr>
                      <a:picLocks noChangeAspect="1"/>
                    </pic:cNvPicPr>
                  </pic:nvPicPr>
                  <pic:blipFill>
                    <a:blip r:embed="rId65"/>
                    <a:stretch>
                      <a:fillRect/>
                    </a:stretch>
                  </pic:blipFill>
                  <pic:spPr>
                    <a:xfrm>
                      <a:off x="0" y="0"/>
                      <a:ext cx="5753735" cy="8127365"/>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20" name="图片 9" descr="榆政财采发 2023 9号(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descr="榆政财采发 2023 9号(1)_08"/>
                    <pic:cNvPicPr>
                      <a:picLocks noChangeAspect="1"/>
                    </pic:cNvPicPr>
                  </pic:nvPicPr>
                  <pic:blipFill>
                    <a:blip r:embed="rId66"/>
                    <a:stretch>
                      <a:fillRect/>
                    </a:stretch>
                  </pic:blipFill>
                  <pic:spPr>
                    <a:xfrm>
                      <a:off x="0" y="0"/>
                      <a:ext cx="5753735" cy="8127365"/>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21" name="图片 10" descr="榆政财采发 2023 9号(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descr="榆政财采发 2023 9号(1)_09"/>
                    <pic:cNvPicPr>
                      <a:picLocks noChangeAspect="1"/>
                    </pic:cNvPicPr>
                  </pic:nvPicPr>
                  <pic:blipFill>
                    <a:blip r:embed="rId67"/>
                    <a:stretch>
                      <a:fillRect/>
                    </a:stretch>
                  </pic:blipFill>
                  <pic:spPr>
                    <a:xfrm>
                      <a:off x="0" y="0"/>
                      <a:ext cx="5753735" cy="8127365"/>
                    </a:xfrm>
                    <a:prstGeom prst="rect">
                      <a:avLst/>
                    </a:prstGeom>
                    <a:noFill/>
                    <a:ln>
                      <a:noFill/>
                    </a:ln>
                  </pic:spPr>
                </pic:pic>
              </a:graphicData>
            </a:graphic>
          </wp:inline>
        </w:drawing>
      </w:r>
      <w:r>
        <w:rPr>
          <w:rFonts w:hint="eastAsia" w:ascii="宋体" w:hAnsi="宋体" w:eastAsia="宋体" w:cs="宋体"/>
          <w:color w:val="auto"/>
          <w:sz w:val="32"/>
          <w:szCs w:val="32"/>
          <w:highlight w:val="none"/>
        </w:rPr>
        <w:drawing>
          <wp:inline distT="0" distB="0" distL="114300" distR="114300">
            <wp:extent cx="5753735" cy="8127365"/>
            <wp:effectExtent l="0" t="0" r="18415" b="6985"/>
            <wp:docPr id="25" name="图片 11" descr="榆政财采发 2023 9号(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榆政财采发 2023 9号(1)_10"/>
                    <pic:cNvPicPr>
                      <a:picLocks noChangeAspect="1"/>
                    </pic:cNvPicPr>
                  </pic:nvPicPr>
                  <pic:blipFill>
                    <a:blip r:embed="rId68"/>
                    <a:stretch>
                      <a:fillRect/>
                    </a:stretch>
                  </pic:blipFill>
                  <pic:spPr>
                    <a:xfrm>
                      <a:off x="0" y="0"/>
                      <a:ext cx="5753735" cy="8127365"/>
                    </a:xfrm>
                    <a:prstGeom prst="rect">
                      <a:avLst/>
                    </a:prstGeom>
                    <a:noFill/>
                    <a:ln>
                      <a:noFill/>
                    </a:ln>
                  </pic:spPr>
                </pic:pic>
              </a:graphicData>
            </a:graphic>
          </wp:inline>
        </w:drawing>
      </w:r>
    </w:p>
    <w:p w14:paraId="0990E593">
      <w:pPr>
        <w:pStyle w:val="62"/>
        <w:shd w:val="clear"/>
        <w:rPr>
          <w:rFonts w:hint="eastAsia" w:ascii="宋体" w:hAnsi="宋体" w:eastAsia="宋体" w:cs="宋体"/>
          <w:color w:val="auto"/>
          <w:sz w:val="32"/>
          <w:szCs w:val="32"/>
          <w:highlight w:val="none"/>
          <w:lang w:val="en-US" w:eastAsia="zh-CN"/>
        </w:rPr>
      </w:pPr>
    </w:p>
    <w:sectPr>
      <w:pgSz w:w="11906" w:h="16838"/>
      <w:pgMar w:top="1440" w:right="1800" w:bottom="1440" w:left="1800" w:header="1135" w:footer="1135"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swiss"/>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Garamond">
    <w:panose1 w:val="02020404030301010803"/>
    <w:charset w:val="00"/>
    <w:family w:val="roman"/>
    <w:pitch w:val="default"/>
    <w:sig w:usb0="00000287" w:usb1="00000000" w:usb2="00000000" w:usb3="00000000" w:csb0="0000009F" w:csb1="DFD70000"/>
  </w:font>
  <w:font w:name="monospace">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新宋体">
    <w:panose1 w:val="02010609030101010101"/>
    <w:charset w:val="86"/>
    <w:family w:val="modern"/>
    <w:pitch w:val="default"/>
    <w:sig w:usb0="00000203" w:usb1="288F0000" w:usb2="00000006" w:usb3="00000000" w:csb0="00040001" w:csb1="00000000"/>
  </w:font>
  <w:font w:name="等线">
    <w:panose1 w:val="02010600030101010101"/>
    <w:charset w:val="86"/>
    <w:family w:val="auto"/>
    <w:pitch w:val="default"/>
    <w:sig w:usb0="A00002BF" w:usb1="38CF7CFA" w:usb2="00000016" w:usb3="00000000" w:csb0="0004000F" w:csb1="00000000"/>
  </w:font>
  <w:font w:name="Helvetica">
    <w:altName w:val="Arial"/>
    <w:panose1 w:val="020B0604020202020204"/>
    <w:charset w:val="00"/>
    <w:family w:val="auto"/>
    <w:pitch w:val="default"/>
    <w:sig w:usb0="00000000" w:usb1="00000000" w:usb2="00000009" w:usb3="00000000" w:csb0="000001FF" w:csb1="00000000"/>
  </w:font>
  <w:font w:name="Arial Unicode MS">
    <w:panose1 w:val="020B0604020202020204"/>
    <w:charset w:val="86"/>
    <w:family w:val="auto"/>
    <w:pitch w:val="default"/>
    <w:sig w:usb0="FFFFFFFF" w:usb1="E9FFFFFF" w:usb2="0000003F" w:usb3="00000000" w:csb0="603F01FF" w:csb1="FFFF0000"/>
  </w:font>
  <w:font w:name="楷体_GB2312">
    <w:altName w:val="楷体"/>
    <w:panose1 w:val="00000000000000000000"/>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opperplate Gothic Bold">
    <w:panose1 w:val="020E0705020206020404"/>
    <w:charset w:val="00"/>
    <w:family w:val="swiss"/>
    <w:pitch w:val="default"/>
    <w:sig w:usb0="00000003" w:usb1="00000000" w:usb2="00000000" w:usb3="00000000" w:csb0="20000001"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 w:name="Calibri Light">
    <w:panose1 w:val="020F0302020204030204"/>
    <w:charset w:val="00"/>
    <w:family w:val="swiss"/>
    <w:pitch w:val="default"/>
    <w:sig w:usb0="E4002EFF" w:usb1="C200247B" w:usb2="00000009" w:usb3="00000000" w:csb0="200001FF" w:csb1="00000000"/>
  </w:font>
  <w:font w:name="华文仿宋">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font>
  <w:font w:name="长城仿宋">
    <w:altName w:val="黑体"/>
    <w:panose1 w:val="00000000000000000000"/>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6B7E99">
    <w:pPr>
      <w:pStyle w:val="27"/>
      <w:pBdr>
        <w:top w:val="single" w:color="auto" w:sz="4" w:space="0"/>
      </w:pBdr>
      <w:tabs>
        <w:tab w:val="left" w:pos="5361"/>
        <w:tab w:val="clear" w:pos="4153"/>
      </w:tabs>
      <w:jc w:val="center"/>
    </w:pPr>
    <w:r>
      <w:rPr>
        <w:sz w:val="15"/>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7A3734">
                          <w:pPr>
                            <w:pStyle w:val="27"/>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148</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117A3734">
                    <w:pPr>
                      <w:pStyle w:val="27"/>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148</w:t>
                    </w:r>
                    <w:r>
                      <w:fldChar w:fldCharType="end"/>
                    </w:r>
                    <w:r>
                      <w:t xml:space="preserve"> 页</w:t>
                    </w:r>
                  </w:p>
                </w:txbxContent>
              </v:textbox>
            </v:shape>
          </w:pict>
        </mc:Fallback>
      </mc:AlternateContent>
    </w:r>
    <w:r>
      <w:rPr>
        <w:rFonts w:hint="eastAsia"/>
        <w:strike w:val="0"/>
        <w:dstrike w:val="0"/>
        <w:sz w:val="15"/>
        <w:szCs w:val="16"/>
        <w:u w:val="none"/>
        <w:lang w:eastAsia="zh-CN"/>
      </w:rPr>
      <w:t>陕</w:t>
    </w:r>
    <w:r>
      <w:rPr>
        <w:rFonts w:hint="eastAsia" w:ascii="微软雅黑" w:hAnsi="微软雅黑" w:eastAsia="微软雅黑" w:cs="微软雅黑"/>
        <w:strike w:val="0"/>
        <w:dstrike w:val="0"/>
        <w:sz w:val="15"/>
        <w:szCs w:val="16"/>
        <w:u w:val="none"/>
        <w:lang w:eastAsia="zh-CN"/>
      </w:rPr>
      <w:t>西中财招标代理有限公司</w:t>
    </w:r>
    <w:r>
      <w:rPr>
        <w:rFonts w:hint="eastAsia" w:ascii="微软雅黑" w:hAnsi="微软雅黑" w:eastAsia="微软雅黑" w:cs="微软雅黑"/>
        <w:strike w:val="0"/>
        <w:dstrike w:val="0"/>
        <w:u w:val="none"/>
        <w:lang w:val="en-US" w:eastAsia="zh-CN"/>
      </w:rPr>
      <w:t xml:space="preserve"> </w:t>
    </w:r>
    <w:r>
      <w:rPr>
        <w:rFonts w:hint="eastAsia" w:ascii="微软雅黑" w:hAnsi="微软雅黑" w:eastAsia="微软雅黑" w:cs="微软雅黑"/>
        <w:strike w:val="0"/>
        <w:dstrike w:val="0"/>
        <w:u w:val="none"/>
        <w:lang w:val="en-US" w:eastAsia="zh-CN"/>
      </w:rPr>
      <w:tab/>
    </w:r>
    <w:r>
      <w:rPr>
        <w:rFonts w:hint="eastAsia" w:ascii="微软雅黑" w:hAnsi="微软雅黑" w:eastAsia="微软雅黑" w:cs="微软雅黑"/>
        <w:strike w:val="0"/>
        <w:dstrike w:val="0"/>
        <w:u w:val="none"/>
        <w:lang w:val="en-US" w:eastAsia="zh-CN"/>
      </w:rPr>
      <w:t xml:space="preserve">   </w:t>
    </w:r>
    <w:r>
      <w:rPr>
        <w:rFonts w:hint="eastAsia" w:ascii="微软雅黑" w:hAnsi="微软雅黑" w:eastAsia="微软雅黑" w:cs="微软雅黑"/>
        <w:strike w:val="0"/>
        <w:dstrike w:val="0"/>
        <w:sz w:val="15"/>
        <w:szCs w:val="16"/>
        <w:u w:val="none"/>
        <w:lang w:val="en-US" w:eastAsia="zh-CN"/>
      </w:rPr>
      <w:t>地址：榆林市航宇路建设局对面</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DDAC27">
    <w:pPr>
      <w:pStyle w:val="27"/>
      <w:pBdr>
        <w:top w:val="single" w:color="auto" w:sz="4" w:space="0"/>
      </w:pBdr>
      <w:tabs>
        <w:tab w:val="left" w:pos="5361"/>
        <w:tab w:val="clear" w:pos="4153"/>
      </w:tabs>
      <w:jc w:val="center"/>
    </w:pPr>
    <w:r>
      <w:rPr>
        <w:sz w:val="15"/>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34C739">
                          <w:pPr>
                            <w:pStyle w:val="27"/>
                          </w:pPr>
                          <w:r>
                            <w:t xml:space="preserve">第 </w:t>
                          </w:r>
                          <w:r>
                            <w:fldChar w:fldCharType="begin"/>
                          </w:r>
                          <w:r>
                            <w:instrText xml:space="preserve"> PAGE  \* MERGEFORMAT </w:instrText>
                          </w:r>
                          <w:r>
                            <w:fldChar w:fldCharType="separate"/>
                          </w:r>
                          <w:r>
                            <w:t>17</w:t>
                          </w:r>
                          <w:r>
                            <w:fldChar w:fldCharType="end"/>
                          </w:r>
                          <w:r>
                            <w:t xml:space="preserve"> 页 共 </w:t>
                          </w:r>
                          <w:r>
                            <w:fldChar w:fldCharType="begin"/>
                          </w:r>
                          <w:r>
                            <w:instrText xml:space="preserve"> NUMPAGES  \* MERGEFORMAT </w:instrText>
                          </w:r>
                          <w:r>
                            <w:fldChar w:fldCharType="separate"/>
                          </w:r>
                          <w:r>
                            <w:t>148</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5B34C739">
                    <w:pPr>
                      <w:pStyle w:val="27"/>
                    </w:pPr>
                    <w:r>
                      <w:t xml:space="preserve">第 </w:t>
                    </w:r>
                    <w:r>
                      <w:fldChar w:fldCharType="begin"/>
                    </w:r>
                    <w:r>
                      <w:instrText xml:space="preserve"> PAGE  \* MERGEFORMAT </w:instrText>
                    </w:r>
                    <w:r>
                      <w:fldChar w:fldCharType="separate"/>
                    </w:r>
                    <w:r>
                      <w:t>17</w:t>
                    </w:r>
                    <w:r>
                      <w:fldChar w:fldCharType="end"/>
                    </w:r>
                    <w:r>
                      <w:t xml:space="preserve"> 页 共 </w:t>
                    </w:r>
                    <w:r>
                      <w:fldChar w:fldCharType="begin"/>
                    </w:r>
                    <w:r>
                      <w:instrText xml:space="preserve"> NUMPAGES  \* MERGEFORMAT </w:instrText>
                    </w:r>
                    <w:r>
                      <w:fldChar w:fldCharType="separate"/>
                    </w:r>
                    <w:r>
                      <w:t>148</w:t>
                    </w:r>
                    <w:r>
                      <w:fldChar w:fldCharType="end"/>
                    </w:r>
                    <w:r>
                      <w:t xml:space="preserve"> 页</w:t>
                    </w:r>
                  </w:p>
                </w:txbxContent>
              </v:textbox>
            </v:shape>
          </w:pict>
        </mc:Fallback>
      </mc:AlternateContent>
    </w:r>
    <w:r>
      <w:rPr>
        <w:rFonts w:hint="eastAsia"/>
        <w:strike w:val="0"/>
        <w:dstrike w:val="0"/>
        <w:sz w:val="15"/>
        <w:szCs w:val="16"/>
        <w:u w:val="none"/>
        <w:lang w:eastAsia="zh-CN"/>
      </w:rPr>
      <w:t>陕</w:t>
    </w:r>
    <w:r>
      <w:rPr>
        <w:rFonts w:hint="eastAsia" w:ascii="微软雅黑" w:hAnsi="微软雅黑" w:eastAsia="微软雅黑" w:cs="微软雅黑"/>
        <w:strike w:val="0"/>
        <w:dstrike w:val="0"/>
        <w:sz w:val="15"/>
        <w:szCs w:val="16"/>
        <w:u w:val="none"/>
        <w:lang w:eastAsia="zh-CN"/>
      </w:rPr>
      <w:t>西中财招标代理有限公司</w:t>
    </w:r>
    <w:r>
      <w:rPr>
        <w:rFonts w:hint="eastAsia" w:ascii="微软雅黑" w:hAnsi="微软雅黑" w:eastAsia="微软雅黑" w:cs="微软雅黑"/>
        <w:strike w:val="0"/>
        <w:dstrike w:val="0"/>
        <w:u w:val="none"/>
        <w:lang w:val="en-US" w:eastAsia="zh-CN"/>
      </w:rPr>
      <w:t xml:space="preserve"> </w:t>
    </w:r>
    <w:r>
      <w:rPr>
        <w:rFonts w:hint="eastAsia" w:ascii="微软雅黑" w:hAnsi="微软雅黑" w:eastAsia="微软雅黑" w:cs="微软雅黑"/>
        <w:strike w:val="0"/>
        <w:dstrike w:val="0"/>
        <w:u w:val="none"/>
        <w:lang w:val="en-US" w:eastAsia="zh-CN"/>
      </w:rPr>
      <w:tab/>
    </w:r>
    <w:r>
      <w:rPr>
        <w:rFonts w:hint="eastAsia" w:ascii="微软雅黑" w:hAnsi="微软雅黑" w:eastAsia="微软雅黑" w:cs="微软雅黑"/>
        <w:strike w:val="0"/>
        <w:dstrike w:val="0"/>
        <w:u w:val="none"/>
        <w:lang w:val="en-US" w:eastAsia="zh-CN"/>
      </w:rPr>
      <w:t xml:space="preserve">   </w:t>
    </w:r>
    <w:r>
      <w:rPr>
        <w:rFonts w:hint="eastAsia" w:ascii="微软雅黑" w:hAnsi="微软雅黑" w:eastAsia="微软雅黑" w:cs="微软雅黑"/>
        <w:strike w:val="0"/>
        <w:dstrike w:val="0"/>
        <w:sz w:val="15"/>
        <w:szCs w:val="16"/>
        <w:u w:val="none"/>
        <w:lang w:val="en-US" w:eastAsia="zh-CN"/>
      </w:rPr>
      <w:t>地址：榆林市航宇路建设局对面</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488FAD">
    <w:pPr>
      <w:pStyle w:val="27"/>
      <w:pBdr>
        <w:top w:val="single" w:color="auto" w:sz="4" w:space="0"/>
      </w:pBdr>
      <w:tabs>
        <w:tab w:val="left" w:pos="5361"/>
        <w:tab w:val="clear" w:pos="4153"/>
      </w:tabs>
      <w:jc w:val="both"/>
    </w:pPr>
    <w:r>
      <w:rPr>
        <w:sz w:val="15"/>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8F744D">
                          <w:pPr>
                            <w:pStyle w:val="27"/>
                          </w:pPr>
                          <w:r>
                            <w:t xml:space="preserve">第 </w:t>
                          </w:r>
                          <w:r>
                            <w:fldChar w:fldCharType="begin"/>
                          </w:r>
                          <w:r>
                            <w:instrText xml:space="preserve"> PAGE  \* MERGEFORMAT </w:instrText>
                          </w:r>
                          <w:r>
                            <w:fldChar w:fldCharType="separate"/>
                          </w:r>
                          <w:r>
                            <w:t>42</w:t>
                          </w:r>
                          <w:r>
                            <w:fldChar w:fldCharType="end"/>
                          </w:r>
                          <w:r>
                            <w:t xml:space="preserve"> 页 共 </w:t>
                          </w:r>
                          <w:r>
                            <w:fldChar w:fldCharType="begin"/>
                          </w:r>
                          <w:r>
                            <w:instrText xml:space="preserve"> NUMPAGES  \* MERGEFORMAT </w:instrText>
                          </w:r>
                          <w:r>
                            <w:fldChar w:fldCharType="separate"/>
                          </w:r>
                          <w:r>
                            <w:t>148</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14:paraId="3D8F744D">
                    <w:pPr>
                      <w:pStyle w:val="27"/>
                    </w:pPr>
                    <w:r>
                      <w:t xml:space="preserve">第 </w:t>
                    </w:r>
                    <w:r>
                      <w:fldChar w:fldCharType="begin"/>
                    </w:r>
                    <w:r>
                      <w:instrText xml:space="preserve"> PAGE  \* MERGEFORMAT </w:instrText>
                    </w:r>
                    <w:r>
                      <w:fldChar w:fldCharType="separate"/>
                    </w:r>
                    <w:r>
                      <w:t>42</w:t>
                    </w:r>
                    <w:r>
                      <w:fldChar w:fldCharType="end"/>
                    </w:r>
                    <w:r>
                      <w:t xml:space="preserve"> 页 共 </w:t>
                    </w:r>
                    <w:r>
                      <w:fldChar w:fldCharType="begin"/>
                    </w:r>
                    <w:r>
                      <w:instrText xml:space="preserve"> NUMPAGES  \* MERGEFORMAT </w:instrText>
                    </w:r>
                    <w:r>
                      <w:fldChar w:fldCharType="separate"/>
                    </w:r>
                    <w:r>
                      <w:t>148</w:t>
                    </w:r>
                    <w:r>
                      <w:fldChar w:fldCharType="end"/>
                    </w:r>
                    <w:r>
                      <w:t xml:space="preserve"> 页</w:t>
                    </w:r>
                  </w:p>
                </w:txbxContent>
              </v:textbox>
            </v:shape>
          </w:pict>
        </mc:Fallback>
      </mc:AlternateContent>
    </w:r>
    <w:r>
      <w:rPr>
        <w:rFonts w:hint="eastAsia"/>
        <w:strike w:val="0"/>
        <w:dstrike w:val="0"/>
        <w:sz w:val="15"/>
        <w:szCs w:val="16"/>
        <w:u w:val="none"/>
        <w:lang w:eastAsia="zh-CN"/>
      </w:rPr>
      <w:t>陕</w:t>
    </w:r>
    <w:r>
      <w:rPr>
        <w:rFonts w:hint="eastAsia" w:ascii="微软雅黑" w:hAnsi="微软雅黑" w:eastAsia="微软雅黑" w:cs="微软雅黑"/>
        <w:strike w:val="0"/>
        <w:dstrike w:val="0"/>
        <w:sz w:val="15"/>
        <w:szCs w:val="16"/>
        <w:u w:val="none"/>
        <w:lang w:eastAsia="zh-CN"/>
      </w:rPr>
      <w:t>西中财招标代理有限公司</w:t>
    </w:r>
    <w:r>
      <w:rPr>
        <w:rFonts w:hint="eastAsia" w:ascii="微软雅黑" w:hAnsi="微软雅黑" w:eastAsia="微软雅黑" w:cs="微软雅黑"/>
        <w:strike w:val="0"/>
        <w:dstrike w:val="0"/>
        <w:u w:val="none"/>
        <w:lang w:val="en-US" w:eastAsia="zh-CN"/>
      </w:rPr>
      <w:t xml:space="preserve"> </w:t>
    </w:r>
    <w:r>
      <w:rPr>
        <w:rFonts w:hint="eastAsia" w:ascii="微软雅黑" w:hAnsi="微软雅黑" w:eastAsia="微软雅黑" w:cs="微软雅黑"/>
        <w:strike w:val="0"/>
        <w:dstrike w:val="0"/>
        <w:u w:val="none"/>
        <w:lang w:val="en-US" w:eastAsia="zh-CN"/>
      </w:rPr>
      <w:tab/>
    </w:r>
    <w:r>
      <w:rPr>
        <w:rFonts w:hint="eastAsia" w:ascii="微软雅黑" w:hAnsi="微软雅黑" w:eastAsia="微软雅黑" w:cs="微软雅黑"/>
        <w:strike w:val="0"/>
        <w:dstrike w:val="0"/>
        <w:u w:val="none"/>
        <w:lang w:val="en-US" w:eastAsia="zh-CN"/>
      </w:rPr>
      <w:t xml:space="preserve">                         </w:t>
    </w:r>
    <w:r>
      <w:rPr>
        <w:rFonts w:hint="eastAsia" w:ascii="微软雅黑" w:hAnsi="微软雅黑" w:eastAsia="微软雅黑" w:cs="微软雅黑"/>
        <w:strike w:val="0"/>
        <w:dstrike w:val="0"/>
        <w:sz w:val="15"/>
        <w:szCs w:val="16"/>
        <w:u w:val="none"/>
        <w:lang w:val="en-US" w:eastAsia="zh-CN"/>
      </w:rPr>
      <w:t>地址：榆林市航宇路建设局对面</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B747A4">
    <w:pPr>
      <w:pStyle w:val="27"/>
      <w:pBdr>
        <w:top w:val="single" w:color="auto" w:sz="4" w:space="0"/>
      </w:pBdr>
      <w:tabs>
        <w:tab w:val="left" w:pos="5361"/>
        <w:tab w:val="clear" w:pos="4153"/>
      </w:tabs>
      <w:jc w:val="both"/>
      <w:rPr>
        <w:sz w:val="18"/>
      </w:rPr>
    </w:pPr>
    <w:r>
      <w:rPr>
        <w:sz w:val="15"/>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33DE2A">
                          <w:pPr>
                            <w:pStyle w:val="27"/>
                          </w:pPr>
                          <w:r>
                            <w:t xml:space="preserve">第 </w:t>
                          </w:r>
                          <w:r>
                            <w:fldChar w:fldCharType="begin"/>
                          </w:r>
                          <w:r>
                            <w:instrText xml:space="preserve"> PAGE  \* MERGEFORMAT </w:instrText>
                          </w:r>
                          <w:r>
                            <w:fldChar w:fldCharType="separate"/>
                          </w:r>
                          <w:r>
                            <w:t>44</w:t>
                          </w:r>
                          <w:r>
                            <w:fldChar w:fldCharType="end"/>
                          </w:r>
                          <w:r>
                            <w:t xml:space="preserve"> 页 共 </w:t>
                          </w:r>
                          <w:r>
                            <w:fldChar w:fldCharType="begin"/>
                          </w:r>
                          <w:r>
                            <w:instrText xml:space="preserve"> NUMPAGES  \* MERGEFORMAT </w:instrText>
                          </w:r>
                          <w:r>
                            <w:fldChar w:fldCharType="separate"/>
                          </w:r>
                          <w:r>
                            <w:t>148</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3433DE2A">
                    <w:pPr>
                      <w:pStyle w:val="27"/>
                    </w:pPr>
                    <w:r>
                      <w:t xml:space="preserve">第 </w:t>
                    </w:r>
                    <w:r>
                      <w:fldChar w:fldCharType="begin"/>
                    </w:r>
                    <w:r>
                      <w:instrText xml:space="preserve"> PAGE  \* MERGEFORMAT </w:instrText>
                    </w:r>
                    <w:r>
                      <w:fldChar w:fldCharType="separate"/>
                    </w:r>
                    <w:r>
                      <w:t>44</w:t>
                    </w:r>
                    <w:r>
                      <w:fldChar w:fldCharType="end"/>
                    </w:r>
                    <w:r>
                      <w:t xml:space="preserve"> 页 共 </w:t>
                    </w:r>
                    <w:r>
                      <w:fldChar w:fldCharType="begin"/>
                    </w:r>
                    <w:r>
                      <w:instrText xml:space="preserve"> NUMPAGES  \* MERGEFORMAT </w:instrText>
                    </w:r>
                    <w:r>
                      <w:fldChar w:fldCharType="separate"/>
                    </w:r>
                    <w:r>
                      <w:t>148</w:t>
                    </w:r>
                    <w:r>
                      <w:fldChar w:fldCharType="end"/>
                    </w:r>
                    <w:r>
                      <w:t xml:space="preserve"> 页</w:t>
                    </w:r>
                  </w:p>
                </w:txbxContent>
              </v:textbox>
            </v:shape>
          </w:pict>
        </mc:Fallback>
      </mc:AlternateContent>
    </w:r>
    <w:r>
      <w:rPr>
        <w:rFonts w:hint="eastAsia"/>
        <w:strike w:val="0"/>
        <w:dstrike w:val="0"/>
        <w:sz w:val="15"/>
        <w:szCs w:val="16"/>
        <w:u w:val="none"/>
        <w:lang w:eastAsia="zh-CN"/>
      </w:rPr>
      <w:t>陕</w:t>
    </w:r>
    <w:r>
      <w:rPr>
        <w:rFonts w:hint="eastAsia" w:ascii="微软雅黑" w:hAnsi="微软雅黑" w:eastAsia="微软雅黑" w:cs="微软雅黑"/>
        <w:strike w:val="0"/>
        <w:dstrike w:val="0"/>
        <w:sz w:val="15"/>
        <w:szCs w:val="16"/>
        <w:u w:val="none"/>
        <w:lang w:eastAsia="zh-CN"/>
      </w:rPr>
      <w:t>西中财招标代理有限公司</w:t>
    </w:r>
    <w:r>
      <w:rPr>
        <w:rFonts w:hint="eastAsia" w:ascii="微软雅黑" w:hAnsi="微软雅黑" w:eastAsia="微软雅黑" w:cs="微软雅黑"/>
        <w:strike w:val="0"/>
        <w:dstrike w:val="0"/>
        <w:u w:val="none"/>
        <w:lang w:val="en-US" w:eastAsia="zh-CN"/>
      </w:rPr>
      <w:t xml:space="preserve"> </w:t>
    </w:r>
    <w:r>
      <w:rPr>
        <w:rFonts w:hint="eastAsia" w:ascii="微软雅黑" w:hAnsi="微软雅黑" w:eastAsia="微软雅黑" w:cs="微软雅黑"/>
        <w:strike w:val="0"/>
        <w:dstrike w:val="0"/>
        <w:u w:val="none"/>
        <w:lang w:val="en-US" w:eastAsia="zh-CN"/>
      </w:rPr>
      <w:tab/>
    </w:r>
    <w:r>
      <w:rPr>
        <w:rFonts w:hint="eastAsia" w:ascii="微软雅黑" w:hAnsi="微软雅黑" w:eastAsia="微软雅黑" w:cs="微软雅黑"/>
        <w:strike w:val="0"/>
        <w:dstrike w:val="0"/>
        <w:u w:val="none"/>
        <w:lang w:val="en-US" w:eastAsia="zh-CN"/>
      </w:rPr>
      <w:t xml:space="preserve">          </w:t>
    </w:r>
    <w:r>
      <w:rPr>
        <w:rFonts w:hint="eastAsia" w:ascii="微软雅黑" w:hAnsi="微软雅黑" w:eastAsia="微软雅黑" w:cs="微软雅黑"/>
        <w:strike w:val="0"/>
        <w:dstrike w:val="0"/>
        <w:sz w:val="15"/>
        <w:szCs w:val="16"/>
        <w:u w:val="none"/>
        <w:lang w:val="en-US" w:eastAsia="zh-CN"/>
      </w:rPr>
      <w:t>地址：榆林市航宇路建设局对面</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2D53B5">
    <w:pPr>
      <w:pStyle w:val="29"/>
      <w:widowControl/>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0F5832">
    <w:pPr>
      <w:pStyle w:val="29"/>
      <w:pBdr>
        <w:bottom w:val="single" w:color="auto" w:sz="4" w:space="1"/>
      </w:pBdr>
      <w:jc w:val="both"/>
    </w:pPr>
    <w:r>
      <w:rPr>
        <w:rFonts w:hint="eastAsia" w:ascii="微软雅黑" w:hAnsi="微软雅黑" w:eastAsia="微软雅黑" w:cs="微软雅黑"/>
        <w:sz w:val="15"/>
        <w:szCs w:val="15"/>
      </w:rPr>
      <w:drawing>
        <wp:inline distT="0" distB="0" distL="114300" distR="114300">
          <wp:extent cx="245745" cy="245745"/>
          <wp:effectExtent l="0" t="0" r="1905" b="1905"/>
          <wp:docPr id="15" name="图片 1" descr="陕西中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陕西中财LOGO"/>
                  <pic:cNvPicPr>
                    <a:picLocks noChangeAspect="1"/>
                  </pic:cNvPicPr>
                </pic:nvPicPr>
                <pic:blipFill>
                  <a:blip r:embed="rId1"/>
                  <a:stretch>
                    <a:fillRect/>
                  </a:stretch>
                </pic:blipFill>
                <pic:spPr>
                  <a:xfrm>
                    <a:off x="0" y="0"/>
                    <a:ext cx="245745" cy="245745"/>
                  </a:xfrm>
                  <a:prstGeom prst="rect">
                    <a:avLst/>
                  </a:prstGeom>
                  <a:noFill/>
                  <a:ln>
                    <a:noFill/>
                  </a:ln>
                </pic:spPr>
              </pic:pic>
            </a:graphicData>
          </a:graphic>
        </wp:inline>
      </w:drawing>
    </w:r>
    <w:r>
      <w:rPr>
        <w:rFonts w:hint="eastAsia" w:ascii="微软雅黑" w:hAnsi="微软雅黑" w:eastAsia="微软雅黑" w:cs="微软雅黑"/>
        <w:sz w:val="15"/>
        <w:szCs w:val="15"/>
        <w:lang w:eastAsia="zh-CN"/>
      </w:rPr>
      <w:t>陕西中财招标</w:t>
    </w:r>
    <w:r>
      <w:rPr>
        <w:rFonts w:hint="eastAsia" w:ascii="微软雅黑" w:hAnsi="微软雅黑" w:eastAsia="微软雅黑" w:cs="微软雅黑"/>
        <w:sz w:val="15"/>
        <w:szCs w:val="15"/>
        <w:lang w:val="en-US" w:eastAsia="zh-CN"/>
      </w:rPr>
      <w:t xml:space="preserve">             榆林市市委机关事务服务中心市委机关大院应急柴油发电机组及应急备电货物项目招标</w:t>
    </w:r>
    <w:r>
      <w:rPr>
        <w:rFonts w:hint="eastAsia" w:ascii="微软雅黑" w:hAnsi="微软雅黑" w:eastAsia="微软雅黑" w:cs="微软雅黑"/>
        <w:sz w:val="15"/>
        <w:szCs w:val="15"/>
        <w:lang w:eastAsia="zh-CN"/>
      </w:rPr>
      <w:t>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50C299"/>
    <w:multiLevelType w:val="singleLevel"/>
    <w:tmpl w:val="9050C299"/>
    <w:lvl w:ilvl="0" w:tentative="0">
      <w:start w:val="1"/>
      <w:numFmt w:val="decimal"/>
      <w:suff w:val="nothing"/>
      <w:lvlText w:val="%1、"/>
      <w:lvlJc w:val="left"/>
    </w:lvl>
  </w:abstractNum>
  <w:abstractNum w:abstractNumId="1">
    <w:nsid w:val="94BF4102"/>
    <w:multiLevelType w:val="singleLevel"/>
    <w:tmpl w:val="94BF4102"/>
    <w:lvl w:ilvl="0" w:tentative="0">
      <w:start w:val="1"/>
      <w:numFmt w:val="decimal"/>
      <w:suff w:val="nothing"/>
      <w:lvlText w:val="%1、"/>
      <w:lvlJc w:val="left"/>
    </w:lvl>
  </w:abstractNum>
  <w:abstractNum w:abstractNumId="2">
    <w:nsid w:val="97F97CCB"/>
    <w:multiLevelType w:val="singleLevel"/>
    <w:tmpl w:val="97F97CCB"/>
    <w:lvl w:ilvl="0" w:tentative="0">
      <w:start w:val="3"/>
      <w:numFmt w:val="decimal"/>
      <w:suff w:val="nothing"/>
      <w:lvlText w:val="%1、"/>
      <w:lvlJc w:val="left"/>
    </w:lvl>
  </w:abstractNum>
  <w:abstractNum w:abstractNumId="3">
    <w:nsid w:val="A0D6003E"/>
    <w:multiLevelType w:val="singleLevel"/>
    <w:tmpl w:val="A0D6003E"/>
    <w:lvl w:ilvl="0" w:tentative="0">
      <w:start w:val="1"/>
      <w:numFmt w:val="decimal"/>
      <w:suff w:val="nothing"/>
      <w:lvlText w:val="%1、"/>
      <w:lvlJc w:val="left"/>
    </w:lvl>
  </w:abstractNum>
  <w:abstractNum w:abstractNumId="4">
    <w:nsid w:val="AE95FDAD"/>
    <w:multiLevelType w:val="singleLevel"/>
    <w:tmpl w:val="AE95FDAD"/>
    <w:lvl w:ilvl="0" w:tentative="0">
      <w:start w:val="1"/>
      <w:numFmt w:val="decimal"/>
      <w:suff w:val="nothing"/>
      <w:lvlText w:val="%1、"/>
      <w:lvlJc w:val="left"/>
    </w:lvl>
  </w:abstractNum>
  <w:abstractNum w:abstractNumId="5">
    <w:nsid w:val="C293E5EB"/>
    <w:multiLevelType w:val="singleLevel"/>
    <w:tmpl w:val="C293E5EB"/>
    <w:lvl w:ilvl="0" w:tentative="0">
      <w:start w:val="1"/>
      <w:numFmt w:val="decimal"/>
      <w:suff w:val="nothing"/>
      <w:lvlText w:val="%1）"/>
      <w:lvlJc w:val="left"/>
    </w:lvl>
  </w:abstractNum>
  <w:abstractNum w:abstractNumId="6">
    <w:nsid w:val="017A5DDF"/>
    <w:multiLevelType w:val="multilevel"/>
    <w:tmpl w:val="017A5DDF"/>
    <w:lvl w:ilvl="0" w:tentative="0">
      <w:start w:val="1"/>
      <w:numFmt w:val="decimal"/>
      <w:lvlText w:val="（%1）"/>
      <w:lvlJc w:val="left"/>
      <w:pPr>
        <w:ind w:left="440" w:hanging="440"/>
      </w:pPr>
      <w:rPr>
        <w:rFonts w:hint="eastAsia" w:ascii="宋体" w:hAnsi="宋体" w:eastAsia="宋体"/>
        <w:b w:val="0"/>
        <w:i w:val="0"/>
        <w:sz w:val="24"/>
        <w:szCs w:val="24"/>
        <w:lang w:val="en-US"/>
      </w:rPr>
    </w:lvl>
    <w:lvl w:ilvl="1" w:tentative="0">
      <w:start w:val="1"/>
      <w:numFmt w:val="lowerLetter"/>
      <w:lvlText w:val="%2)"/>
      <w:lvlJc w:val="left"/>
      <w:pPr>
        <w:ind w:left="1114" w:hanging="440"/>
      </w:pPr>
    </w:lvl>
    <w:lvl w:ilvl="2" w:tentative="0">
      <w:start w:val="1"/>
      <w:numFmt w:val="lowerRoman"/>
      <w:lvlText w:val="%3."/>
      <w:lvlJc w:val="right"/>
      <w:pPr>
        <w:ind w:left="1554" w:hanging="440"/>
      </w:pPr>
    </w:lvl>
    <w:lvl w:ilvl="3" w:tentative="0">
      <w:start w:val="1"/>
      <w:numFmt w:val="decimal"/>
      <w:lvlText w:val="%4."/>
      <w:lvlJc w:val="left"/>
      <w:pPr>
        <w:ind w:left="1994" w:hanging="440"/>
      </w:pPr>
    </w:lvl>
    <w:lvl w:ilvl="4" w:tentative="0">
      <w:start w:val="1"/>
      <w:numFmt w:val="lowerLetter"/>
      <w:lvlText w:val="%5)"/>
      <w:lvlJc w:val="left"/>
      <w:pPr>
        <w:ind w:left="2434" w:hanging="440"/>
      </w:pPr>
    </w:lvl>
    <w:lvl w:ilvl="5" w:tentative="0">
      <w:start w:val="1"/>
      <w:numFmt w:val="lowerRoman"/>
      <w:lvlText w:val="%6."/>
      <w:lvlJc w:val="right"/>
      <w:pPr>
        <w:ind w:left="2874" w:hanging="440"/>
      </w:pPr>
    </w:lvl>
    <w:lvl w:ilvl="6" w:tentative="0">
      <w:start w:val="1"/>
      <w:numFmt w:val="decimal"/>
      <w:lvlText w:val="%7."/>
      <w:lvlJc w:val="left"/>
      <w:pPr>
        <w:ind w:left="3314" w:hanging="440"/>
      </w:pPr>
    </w:lvl>
    <w:lvl w:ilvl="7" w:tentative="0">
      <w:start w:val="1"/>
      <w:numFmt w:val="lowerLetter"/>
      <w:lvlText w:val="%8)"/>
      <w:lvlJc w:val="left"/>
      <w:pPr>
        <w:ind w:left="3754" w:hanging="440"/>
      </w:pPr>
    </w:lvl>
    <w:lvl w:ilvl="8" w:tentative="0">
      <w:start w:val="1"/>
      <w:numFmt w:val="lowerRoman"/>
      <w:lvlText w:val="%9."/>
      <w:lvlJc w:val="right"/>
      <w:pPr>
        <w:ind w:left="4194" w:hanging="440"/>
      </w:pPr>
    </w:lvl>
  </w:abstractNum>
  <w:abstractNum w:abstractNumId="7">
    <w:nsid w:val="18C56D08"/>
    <w:multiLevelType w:val="multilevel"/>
    <w:tmpl w:val="18C56D08"/>
    <w:lvl w:ilvl="0" w:tentative="0">
      <w:start w:val="1"/>
      <w:numFmt w:val="decimal"/>
      <w:lvlText w:val="（%1）"/>
      <w:lvlJc w:val="left"/>
      <w:pPr>
        <w:ind w:left="440" w:hanging="440"/>
      </w:pPr>
      <w:rPr>
        <w:rFonts w:hint="eastAsia" w:ascii="宋体" w:hAnsi="宋体" w:eastAsia="宋体"/>
        <w:b w:val="0"/>
        <w:i w:val="0"/>
        <w:sz w:val="24"/>
        <w:szCs w:val="24"/>
        <w:lang w:val="en-US"/>
      </w:rPr>
    </w:lvl>
    <w:lvl w:ilvl="1" w:tentative="0">
      <w:start w:val="1"/>
      <w:numFmt w:val="lowerLetter"/>
      <w:lvlText w:val="%2)"/>
      <w:lvlJc w:val="left"/>
      <w:pPr>
        <w:ind w:left="1114" w:hanging="440"/>
      </w:pPr>
    </w:lvl>
    <w:lvl w:ilvl="2" w:tentative="0">
      <w:start w:val="1"/>
      <w:numFmt w:val="lowerRoman"/>
      <w:lvlText w:val="%3."/>
      <w:lvlJc w:val="right"/>
      <w:pPr>
        <w:ind w:left="1554" w:hanging="440"/>
      </w:pPr>
    </w:lvl>
    <w:lvl w:ilvl="3" w:tentative="0">
      <w:start w:val="1"/>
      <w:numFmt w:val="decimal"/>
      <w:lvlText w:val="%4."/>
      <w:lvlJc w:val="left"/>
      <w:pPr>
        <w:ind w:left="1994" w:hanging="440"/>
      </w:pPr>
    </w:lvl>
    <w:lvl w:ilvl="4" w:tentative="0">
      <w:start w:val="1"/>
      <w:numFmt w:val="lowerLetter"/>
      <w:lvlText w:val="%5)"/>
      <w:lvlJc w:val="left"/>
      <w:pPr>
        <w:ind w:left="2434" w:hanging="440"/>
      </w:pPr>
    </w:lvl>
    <w:lvl w:ilvl="5" w:tentative="0">
      <w:start w:val="1"/>
      <w:numFmt w:val="lowerRoman"/>
      <w:lvlText w:val="%6."/>
      <w:lvlJc w:val="right"/>
      <w:pPr>
        <w:ind w:left="2874" w:hanging="440"/>
      </w:pPr>
    </w:lvl>
    <w:lvl w:ilvl="6" w:tentative="0">
      <w:start w:val="1"/>
      <w:numFmt w:val="decimal"/>
      <w:lvlText w:val="%7."/>
      <w:lvlJc w:val="left"/>
      <w:pPr>
        <w:ind w:left="3314" w:hanging="440"/>
      </w:pPr>
    </w:lvl>
    <w:lvl w:ilvl="7" w:tentative="0">
      <w:start w:val="1"/>
      <w:numFmt w:val="lowerLetter"/>
      <w:lvlText w:val="%8)"/>
      <w:lvlJc w:val="left"/>
      <w:pPr>
        <w:ind w:left="3754" w:hanging="440"/>
      </w:pPr>
    </w:lvl>
    <w:lvl w:ilvl="8" w:tentative="0">
      <w:start w:val="1"/>
      <w:numFmt w:val="lowerRoman"/>
      <w:lvlText w:val="%9."/>
      <w:lvlJc w:val="right"/>
      <w:pPr>
        <w:ind w:left="4194" w:hanging="440"/>
      </w:pPr>
    </w:lvl>
  </w:abstractNum>
  <w:abstractNum w:abstractNumId="8">
    <w:nsid w:val="2D642471"/>
    <w:multiLevelType w:val="singleLevel"/>
    <w:tmpl w:val="2D642471"/>
    <w:lvl w:ilvl="0" w:tentative="0">
      <w:start w:val="1"/>
      <w:numFmt w:val="decimal"/>
      <w:suff w:val="nothing"/>
      <w:lvlText w:val="%1）"/>
      <w:lvlJc w:val="left"/>
    </w:lvl>
  </w:abstractNum>
  <w:abstractNum w:abstractNumId="9">
    <w:nsid w:val="3E9F1FA3"/>
    <w:multiLevelType w:val="multilevel"/>
    <w:tmpl w:val="3E9F1FA3"/>
    <w:lvl w:ilvl="0" w:tentative="0">
      <w:start w:val="1"/>
      <w:numFmt w:val="decimal"/>
      <w:lvlText w:val="（%1）"/>
      <w:lvlJc w:val="left"/>
      <w:pPr>
        <w:ind w:left="440" w:hanging="440"/>
      </w:pPr>
      <w:rPr>
        <w:rFonts w:hint="eastAsia" w:ascii="宋体" w:hAnsi="宋体" w:eastAsia="宋体"/>
        <w:b w:val="0"/>
        <w:i w:val="0"/>
        <w:sz w:val="24"/>
        <w:szCs w:val="24"/>
        <w:lang w:val="en-US"/>
      </w:rPr>
    </w:lvl>
    <w:lvl w:ilvl="1" w:tentative="0">
      <w:start w:val="1"/>
      <w:numFmt w:val="lowerLetter"/>
      <w:lvlText w:val="%2)"/>
      <w:lvlJc w:val="left"/>
      <w:pPr>
        <w:ind w:left="1114" w:hanging="440"/>
      </w:pPr>
    </w:lvl>
    <w:lvl w:ilvl="2" w:tentative="0">
      <w:start w:val="1"/>
      <w:numFmt w:val="lowerRoman"/>
      <w:lvlText w:val="%3."/>
      <w:lvlJc w:val="right"/>
      <w:pPr>
        <w:ind w:left="1554" w:hanging="440"/>
      </w:pPr>
    </w:lvl>
    <w:lvl w:ilvl="3" w:tentative="0">
      <w:start w:val="1"/>
      <w:numFmt w:val="decimal"/>
      <w:lvlText w:val="%4."/>
      <w:lvlJc w:val="left"/>
      <w:pPr>
        <w:ind w:left="1994" w:hanging="440"/>
      </w:pPr>
    </w:lvl>
    <w:lvl w:ilvl="4" w:tentative="0">
      <w:start w:val="1"/>
      <w:numFmt w:val="lowerLetter"/>
      <w:lvlText w:val="%5)"/>
      <w:lvlJc w:val="left"/>
      <w:pPr>
        <w:ind w:left="2434" w:hanging="440"/>
      </w:pPr>
    </w:lvl>
    <w:lvl w:ilvl="5" w:tentative="0">
      <w:start w:val="1"/>
      <w:numFmt w:val="lowerRoman"/>
      <w:lvlText w:val="%6."/>
      <w:lvlJc w:val="right"/>
      <w:pPr>
        <w:ind w:left="2874" w:hanging="440"/>
      </w:pPr>
    </w:lvl>
    <w:lvl w:ilvl="6" w:tentative="0">
      <w:start w:val="1"/>
      <w:numFmt w:val="decimal"/>
      <w:lvlText w:val="%7."/>
      <w:lvlJc w:val="left"/>
      <w:pPr>
        <w:ind w:left="3314" w:hanging="440"/>
      </w:pPr>
    </w:lvl>
    <w:lvl w:ilvl="7" w:tentative="0">
      <w:start w:val="1"/>
      <w:numFmt w:val="lowerLetter"/>
      <w:lvlText w:val="%8)"/>
      <w:lvlJc w:val="left"/>
      <w:pPr>
        <w:ind w:left="3754" w:hanging="440"/>
      </w:pPr>
    </w:lvl>
    <w:lvl w:ilvl="8" w:tentative="0">
      <w:start w:val="1"/>
      <w:numFmt w:val="lowerRoman"/>
      <w:lvlText w:val="%9."/>
      <w:lvlJc w:val="right"/>
      <w:pPr>
        <w:ind w:left="4194" w:hanging="440"/>
      </w:pPr>
    </w:lvl>
  </w:abstractNum>
  <w:abstractNum w:abstractNumId="10">
    <w:nsid w:val="4254A45C"/>
    <w:multiLevelType w:val="singleLevel"/>
    <w:tmpl w:val="4254A45C"/>
    <w:lvl w:ilvl="0" w:tentative="0">
      <w:start w:val="2"/>
      <w:numFmt w:val="decimal"/>
      <w:suff w:val="nothing"/>
      <w:lvlText w:val="%1）"/>
      <w:lvlJc w:val="left"/>
    </w:lvl>
  </w:abstractNum>
  <w:abstractNum w:abstractNumId="11">
    <w:nsid w:val="42ED51EA"/>
    <w:multiLevelType w:val="multilevel"/>
    <w:tmpl w:val="42ED51EA"/>
    <w:lvl w:ilvl="0" w:tentative="0">
      <w:start w:val="1"/>
      <w:numFmt w:val="decimal"/>
      <w:lvlText w:val="（%1）"/>
      <w:lvlJc w:val="left"/>
      <w:pPr>
        <w:ind w:left="440" w:hanging="440"/>
      </w:pPr>
      <w:rPr>
        <w:rFonts w:hint="eastAsia" w:ascii="宋体" w:hAnsi="宋体" w:eastAsia="宋体"/>
        <w:b w:val="0"/>
        <w:i w:val="0"/>
        <w:sz w:val="24"/>
        <w:szCs w:val="24"/>
        <w:lang w:val="en-US"/>
      </w:rPr>
    </w:lvl>
    <w:lvl w:ilvl="1" w:tentative="0">
      <w:start w:val="1"/>
      <w:numFmt w:val="lowerLetter"/>
      <w:lvlText w:val="%2)"/>
      <w:lvlJc w:val="left"/>
      <w:pPr>
        <w:ind w:left="1114" w:hanging="440"/>
      </w:pPr>
    </w:lvl>
    <w:lvl w:ilvl="2" w:tentative="0">
      <w:start w:val="1"/>
      <w:numFmt w:val="lowerRoman"/>
      <w:lvlText w:val="%3."/>
      <w:lvlJc w:val="right"/>
      <w:pPr>
        <w:ind w:left="1554" w:hanging="440"/>
      </w:pPr>
    </w:lvl>
    <w:lvl w:ilvl="3" w:tentative="0">
      <w:start w:val="1"/>
      <w:numFmt w:val="decimal"/>
      <w:lvlText w:val="%4."/>
      <w:lvlJc w:val="left"/>
      <w:pPr>
        <w:ind w:left="1994" w:hanging="440"/>
      </w:pPr>
    </w:lvl>
    <w:lvl w:ilvl="4" w:tentative="0">
      <w:start w:val="1"/>
      <w:numFmt w:val="lowerLetter"/>
      <w:lvlText w:val="%5)"/>
      <w:lvlJc w:val="left"/>
      <w:pPr>
        <w:ind w:left="2434" w:hanging="440"/>
      </w:pPr>
    </w:lvl>
    <w:lvl w:ilvl="5" w:tentative="0">
      <w:start w:val="1"/>
      <w:numFmt w:val="lowerRoman"/>
      <w:lvlText w:val="%6."/>
      <w:lvlJc w:val="right"/>
      <w:pPr>
        <w:ind w:left="2874" w:hanging="440"/>
      </w:pPr>
    </w:lvl>
    <w:lvl w:ilvl="6" w:tentative="0">
      <w:start w:val="1"/>
      <w:numFmt w:val="decimal"/>
      <w:lvlText w:val="%7."/>
      <w:lvlJc w:val="left"/>
      <w:pPr>
        <w:ind w:left="3314" w:hanging="440"/>
      </w:pPr>
    </w:lvl>
    <w:lvl w:ilvl="7" w:tentative="0">
      <w:start w:val="1"/>
      <w:numFmt w:val="lowerLetter"/>
      <w:lvlText w:val="%8)"/>
      <w:lvlJc w:val="left"/>
      <w:pPr>
        <w:ind w:left="3754" w:hanging="440"/>
      </w:pPr>
    </w:lvl>
    <w:lvl w:ilvl="8" w:tentative="0">
      <w:start w:val="1"/>
      <w:numFmt w:val="lowerRoman"/>
      <w:lvlText w:val="%9."/>
      <w:lvlJc w:val="right"/>
      <w:pPr>
        <w:ind w:left="4194" w:hanging="440"/>
      </w:pPr>
    </w:lvl>
  </w:abstractNum>
  <w:abstractNum w:abstractNumId="12">
    <w:nsid w:val="496A2A12"/>
    <w:multiLevelType w:val="multilevel"/>
    <w:tmpl w:val="496A2A12"/>
    <w:lvl w:ilvl="0" w:tentative="0">
      <w:start w:val="1"/>
      <w:numFmt w:val="decimal"/>
      <w:lvlText w:val="（%1）"/>
      <w:lvlJc w:val="left"/>
      <w:pPr>
        <w:ind w:left="440" w:hanging="440"/>
      </w:pPr>
      <w:rPr>
        <w:rFonts w:hint="eastAsia" w:ascii="宋体" w:hAnsi="宋体" w:eastAsia="宋体"/>
        <w:b w:val="0"/>
        <w:i w:val="0"/>
        <w:sz w:val="24"/>
        <w:szCs w:val="24"/>
        <w:lang w:val="en-US"/>
      </w:rPr>
    </w:lvl>
    <w:lvl w:ilvl="1" w:tentative="0">
      <w:start w:val="1"/>
      <w:numFmt w:val="lowerLetter"/>
      <w:lvlText w:val="%2)"/>
      <w:lvlJc w:val="left"/>
      <w:pPr>
        <w:ind w:left="1114" w:hanging="440"/>
      </w:pPr>
    </w:lvl>
    <w:lvl w:ilvl="2" w:tentative="0">
      <w:start w:val="1"/>
      <w:numFmt w:val="lowerRoman"/>
      <w:lvlText w:val="%3."/>
      <w:lvlJc w:val="right"/>
      <w:pPr>
        <w:ind w:left="1554" w:hanging="440"/>
      </w:pPr>
    </w:lvl>
    <w:lvl w:ilvl="3" w:tentative="0">
      <w:start w:val="1"/>
      <w:numFmt w:val="decimal"/>
      <w:lvlText w:val="%4."/>
      <w:lvlJc w:val="left"/>
      <w:pPr>
        <w:ind w:left="1994" w:hanging="440"/>
      </w:pPr>
    </w:lvl>
    <w:lvl w:ilvl="4" w:tentative="0">
      <w:start w:val="1"/>
      <w:numFmt w:val="lowerLetter"/>
      <w:lvlText w:val="%5)"/>
      <w:lvlJc w:val="left"/>
      <w:pPr>
        <w:ind w:left="2434" w:hanging="440"/>
      </w:pPr>
    </w:lvl>
    <w:lvl w:ilvl="5" w:tentative="0">
      <w:start w:val="1"/>
      <w:numFmt w:val="lowerRoman"/>
      <w:lvlText w:val="%6."/>
      <w:lvlJc w:val="right"/>
      <w:pPr>
        <w:ind w:left="2874" w:hanging="440"/>
      </w:pPr>
    </w:lvl>
    <w:lvl w:ilvl="6" w:tentative="0">
      <w:start w:val="1"/>
      <w:numFmt w:val="decimal"/>
      <w:lvlText w:val="%7."/>
      <w:lvlJc w:val="left"/>
      <w:pPr>
        <w:ind w:left="3314" w:hanging="440"/>
      </w:pPr>
    </w:lvl>
    <w:lvl w:ilvl="7" w:tentative="0">
      <w:start w:val="1"/>
      <w:numFmt w:val="lowerLetter"/>
      <w:lvlText w:val="%8)"/>
      <w:lvlJc w:val="left"/>
      <w:pPr>
        <w:ind w:left="3754" w:hanging="440"/>
      </w:pPr>
    </w:lvl>
    <w:lvl w:ilvl="8" w:tentative="0">
      <w:start w:val="1"/>
      <w:numFmt w:val="lowerRoman"/>
      <w:lvlText w:val="%9."/>
      <w:lvlJc w:val="right"/>
      <w:pPr>
        <w:ind w:left="4194" w:hanging="440"/>
      </w:pPr>
    </w:lvl>
  </w:abstractNum>
  <w:abstractNum w:abstractNumId="13">
    <w:nsid w:val="4B6261B2"/>
    <w:multiLevelType w:val="singleLevel"/>
    <w:tmpl w:val="4B6261B2"/>
    <w:lvl w:ilvl="0" w:tentative="0">
      <w:start w:val="1"/>
      <w:numFmt w:val="decimal"/>
      <w:suff w:val="nothing"/>
      <w:lvlText w:val="%1）"/>
      <w:lvlJc w:val="left"/>
    </w:lvl>
  </w:abstractNum>
  <w:abstractNum w:abstractNumId="14">
    <w:nsid w:val="4CDC2F74"/>
    <w:multiLevelType w:val="singleLevel"/>
    <w:tmpl w:val="4CDC2F74"/>
    <w:lvl w:ilvl="0" w:tentative="0">
      <w:start w:val="1"/>
      <w:numFmt w:val="decimal"/>
      <w:suff w:val="nothing"/>
      <w:lvlText w:val="%1、"/>
      <w:lvlJc w:val="left"/>
    </w:lvl>
  </w:abstractNum>
  <w:abstractNum w:abstractNumId="15">
    <w:nsid w:val="59361CB7"/>
    <w:multiLevelType w:val="singleLevel"/>
    <w:tmpl w:val="59361CB7"/>
    <w:lvl w:ilvl="0" w:tentative="0">
      <w:start w:val="2"/>
      <w:numFmt w:val="chineseCounting"/>
      <w:suff w:val="nothing"/>
      <w:lvlText w:val="（%1）"/>
      <w:lvlJc w:val="left"/>
    </w:lvl>
  </w:abstractNum>
  <w:abstractNum w:abstractNumId="16">
    <w:nsid w:val="649C3142"/>
    <w:multiLevelType w:val="singleLevel"/>
    <w:tmpl w:val="649C3142"/>
    <w:lvl w:ilvl="0" w:tentative="0">
      <w:start w:val="3"/>
      <w:numFmt w:val="chineseCounting"/>
      <w:suff w:val="space"/>
      <w:lvlText w:val="第%1条"/>
      <w:lvlJc w:val="left"/>
      <w:rPr>
        <w:rFonts w:hint="eastAsia"/>
      </w:rPr>
    </w:lvl>
  </w:abstractNum>
  <w:abstractNum w:abstractNumId="17">
    <w:nsid w:val="6A22A5A0"/>
    <w:multiLevelType w:val="multilevel"/>
    <w:tmpl w:val="6A22A5A0"/>
    <w:lvl w:ilvl="0" w:tentative="0">
      <w:start w:val="1"/>
      <w:numFmt w:val="decimal"/>
      <w:lvlText w:val="（%1）"/>
      <w:lvlJc w:val="left"/>
      <w:pPr>
        <w:tabs>
          <w:tab w:val="left" w:pos="720"/>
        </w:tabs>
        <w:ind w:left="720" w:hanging="72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16"/>
  </w:num>
  <w:num w:numId="2">
    <w:abstractNumId w:val="10"/>
  </w:num>
  <w:num w:numId="3">
    <w:abstractNumId w:val="5"/>
  </w:num>
  <w:num w:numId="4">
    <w:abstractNumId w:val="2"/>
  </w:num>
  <w:num w:numId="5">
    <w:abstractNumId w:val="8"/>
  </w:num>
  <w:num w:numId="6">
    <w:abstractNumId w:val="13"/>
  </w:num>
  <w:num w:numId="7">
    <w:abstractNumId w:val="0"/>
  </w:num>
  <w:num w:numId="8">
    <w:abstractNumId w:val="4"/>
  </w:num>
  <w:num w:numId="9">
    <w:abstractNumId w:val="14"/>
  </w:num>
  <w:num w:numId="10">
    <w:abstractNumId w:val="1"/>
  </w:num>
  <w:num w:numId="11">
    <w:abstractNumId w:val="9"/>
  </w:num>
  <w:num w:numId="12">
    <w:abstractNumId w:val="12"/>
  </w:num>
  <w:num w:numId="13">
    <w:abstractNumId w:val="11"/>
  </w:num>
  <w:num w:numId="14">
    <w:abstractNumId w:val="6"/>
  </w:num>
  <w:num w:numId="15">
    <w:abstractNumId w:val="7"/>
  </w:num>
  <w:num w:numId="16">
    <w:abstractNumId w:val="3"/>
  </w:num>
  <w:num w:numId="17">
    <w:abstractNumId w:val="17"/>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7"/>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pos w:val="beneathText"/>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JiZDU3NWRiZTE5M2ZmNmE0NjZmZDcxMzMzNGZjNjcifQ=="/>
  </w:docVars>
  <w:rsids>
    <w:rsidRoot w:val="06F76B07"/>
    <w:rsid w:val="000160BB"/>
    <w:rsid w:val="00082AD5"/>
    <w:rsid w:val="003C468C"/>
    <w:rsid w:val="003D23D7"/>
    <w:rsid w:val="00423393"/>
    <w:rsid w:val="00473B36"/>
    <w:rsid w:val="00513602"/>
    <w:rsid w:val="006D2A98"/>
    <w:rsid w:val="00740B71"/>
    <w:rsid w:val="007E2EF7"/>
    <w:rsid w:val="007F42B6"/>
    <w:rsid w:val="00900FFA"/>
    <w:rsid w:val="009A5346"/>
    <w:rsid w:val="00A01373"/>
    <w:rsid w:val="00B70237"/>
    <w:rsid w:val="00CE4097"/>
    <w:rsid w:val="00D167B0"/>
    <w:rsid w:val="00DA4656"/>
    <w:rsid w:val="00DC32C3"/>
    <w:rsid w:val="00E13728"/>
    <w:rsid w:val="00F7575A"/>
    <w:rsid w:val="01023C3F"/>
    <w:rsid w:val="01130DD9"/>
    <w:rsid w:val="01156D38"/>
    <w:rsid w:val="01353C51"/>
    <w:rsid w:val="01354A5B"/>
    <w:rsid w:val="01397AC9"/>
    <w:rsid w:val="0157346D"/>
    <w:rsid w:val="01B13897"/>
    <w:rsid w:val="01BC7F43"/>
    <w:rsid w:val="01C122B3"/>
    <w:rsid w:val="01C534DA"/>
    <w:rsid w:val="01C72E31"/>
    <w:rsid w:val="01C93EA7"/>
    <w:rsid w:val="01D23465"/>
    <w:rsid w:val="01E65C94"/>
    <w:rsid w:val="01F33260"/>
    <w:rsid w:val="02260060"/>
    <w:rsid w:val="02282FEA"/>
    <w:rsid w:val="022F584F"/>
    <w:rsid w:val="02313EFB"/>
    <w:rsid w:val="02387489"/>
    <w:rsid w:val="02387878"/>
    <w:rsid w:val="023C0E23"/>
    <w:rsid w:val="02454C7D"/>
    <w:rsid w:val="026F7379"/>
    <w:rsid w:val="028D65CA"/>
    <w:rsid w:val="02A54D53"/>
    <w:rsid w:val="02A72872"/>
    <w:rsid w:val="02DC11F3"/>
    <w:rsid w:val="030001B6"/>
    <w:rsid w:val="030D3E71"/>
    <w:rsid w:val="03176E8E"/>
    <w:rsid w:val="03183A49"/>
    <w:rsid w:val="034A7907"/>
    <w:rsid w:val="03BE70CC"/>
    <w:rsid w:val="03E915CA"/>
    <w:rsid w:val="04293179"/>
    <w:rsid w:val="04294D56"/>
    <w:rsid w:val="04373A2D"/>
    <w:rsid w:val="04436881"/>
    <w:rsid w:val="04515919"/>
    <w:rsid w:val="045F5627"/>
    <w:rsid w:val="046E3282"/>
    <w:rsid w:val="04991DB1"/>
    <w:rsid w:val="04E53923"/>
    <w:rsid w:val="04EF6F2A"/>
    <w:rsid w:val="04F75660"/>
    <w:rsid w:val="04F94645"/>
    <w:rsid w:val="051078A5"/>
    <w:rsid w:val="05362A09"/>
    <w:rsid w:val="053A314D"/>
    <w:rsid w:val="05501B14"/>
    <w:rsid w:val="05532F02"/>
    <w:rsid w:val="055454A2"/>
    <w:rsid w:val="057C4202"/>
    <w:rsid w:val="057D5E24"/>
    <w:rsid w:val="058A44C1"/>
    <w:rsid w:val="05BA44DC"/>
    <w:rsid w:val="05E16FCE"/>
    <w:rsid w:val="05ED1AAD"/>
    <w:rsid w:val="05F07F93"/>
    <w:rsid w:val="06252DE7"/>
    <w:rsid w:val="062D19D4"/>
    <w:rsid w:val="063E0C92"/>
    <w:rsid w:val="06471FDD"/>
    <w:rsid w:val="0648695B"/>
    <w:rsid w:val="06610278"/>
    <w:rsid w:val="066E1462"/>
    <w:rsid w:val="06882765"/>
    <w:rsid w:val="069772D3"/>
    <w:rsid w:val="069A469A"/>
    <w:rsid w:val="06AE61DC"/>
    <w:rsid w:val="06C75A8A"/>
    <w:rsid w:val="06D557D6"/>
    <w:rsid w:val="06DD190B"/>
    <w:rsid w:val="06F76B07"/>
    <w:rsid w:val="070047A5"/>
    <w:rsid w:val="07021FAB"/>
    <w:rsid w:val="07596A66"/>
    <w:rsid w:val="07597A58"/>
    <w:rsid w:val="07685CC1"/>
    <w:rsid w:val="076A2AD6"/>
    <w:rsid w:val="078776FC"/>
    <w:rsid w:val="07AA5EB8"/>
    <w:rsid w:val="07D94DAB"/>
    <w:rsid w:val="08332819"/>
    <w:rsid w:val="08382036"/>
    <w:rsid w:val="083B26D2"/>
    <w:rsid w:val="0854445C"/>
    <w:rsid w:val="086A1781"/>
    <w:rsid w:val="086B4430"/>
    <w:rsid w:val="08871646"/>
    <w:rsid w:val="088D00BA"/>
    <w:rsid w:val="088E280B"/>
    <w:rsid w:val="089D0C1E"/>
    <w:rsid w:val="08C87C63"/>
    <w:rsid w:val="08FB5115"/>
    <w:rsid w:val="0900585B"/>
    <w:rsid w:val="092579B1"/>
    <w:rsid w:val="09360000"/>
    <w:rsid w:val="0938243F"/>
    <w:rsid w:val="093E4AC2"/>
    <w:rsid w:val="094248EB"/>
    <w:rsid w:val="09446A55"/>
    <w:rsid w:val="094E4175"/>
    <w:rsid w:val="094E71DE"/>
    <w:rsid w:val="09537AC1"/>
    <w:rsid w:val="096F7B18"/>
    <w:rsid w:val="09767F7E"/>
    <w:rsid w:val="09846BB9"/>
    <w:rsid w:val="098506D2"/>
    <w:rsid w:val="09A266F1"/>
    <w:rsid w:val="09E22951"/>
    <w:rsid w:val="09FC4E8C"/>
    <w:rsid w:val="0A1F2697"/>
    <w:rsid w:val="0A2A1A8D"/>
    <w:rsid w:val="0A334D52"/>
    <w:rsid w:val="0A51613C"/>
    <w:rsid w:val="0A52200B"/>
    <w:rsid w:val="0A52276A"/>
    <w:rsid w:val="0A5E5EC6"/>
    <w:rsid w:val="0A8725EA"/>
    <w:rsid w:val="0A975610"/>
    <w:rsid w:val="0A9B1E16"/>
    <w:rsid w:val="0A9C0822"/>
    <w:rsid w:val="0AAD4DEB"/>
    <w:rsid w:val="0AB61A6E"/>
    <w:rsid w:val="0AD228A5"/>
    <w:rsid w:val="0AF52430"/>
    <w:rsid w:val="0B032F7A"/>
    <w:rsid w:val="0B260D05"/>
    <w:rsid w:val="0B285545"/>
    <w:rsid w:val="0B316BAE"/>
    <w:rsid w:val="0B3611F3"/>
    <w:rsid w:val="0B371DA8"/>
    <w:rsid w:val="0B426AE8"/>
    <w:rsid w:val="0B5C733F"/>
    <w:rsid w:val="0B6C5F67"/>
    <w:rsid w:val="0B822CD9"/>
    <w:rsid w:val="0BA13F3D"/>
    <w:rsid w:val="0BB17CD0"/>
    <w:rsid w:val="0BB9702F"/>
    <w:rsid w:val="0BC66439"/>
    <w:rsid w:val="0C0118B6"/>
    <w:rsid w:val="0C056486"/>
    <w:rsid w:val="0C104C1F"/>
    <w:rsid w:val="0C111436"/>
    <w:rsid w:val="0C152EAD"/>
    <w:rsid w:val="0C374530"/>
    <w:rsid w:val="0C4A0131"/>
    <w:rsid w:val="0C4E1DF4"/>
    <w:rsid w:val="0C6D2724"/>
    <w:rsid w:val="0C9023CB"/>
    <w:rsid w:val="0CAB732F"/>
    <w:rsid w:val="0CBD2EAF"/>
    <w:rsid w:val="0CE338B2"/>
    <w:rsid w:val="0CE52090"/>
    <w:rsid w:val="0D15134C"/>
    <w:rsid w:val="0D322E51"/>
    <w:rsid w:val="0D514931"/>
    <w:rsid w:val="0D583CB4"/>
    <w:rsid w:val="0D5B7D06"/>
    <w:rsid w:val="0D9445DF"/>
    <w:rsid w:val="0D9936EB"/>
    <w:rsid w:val="0DB05DDA"/>
    <w:rsid w:val="0DBA6D25"/>
    <w:rsid w:val="0DC452C4"/>
    <w:rsid w:val="0DE73F9D"/>
    <w:rsid w:val="0E1400F2"/>
    <w:rsid w:val="0E146D3F"/>
    <w:rsid w:val="0E1F1ECA"/>
    <w:rsid w:val="0E3D08A9"/>
    <w:rsid w:val="0E49124F"/>
    <w:rsid w:val="0E4D27E5"/>
    <w:rsid w:val="0E5F6701"/>
    <w:rsid w:val="0E9C2293"/>
    <w:rsid w:val="0EB15D4E"/>
    <w:rsid w:val="0ECF38E3"/>
    <w:rsid w:val="0ED10E15"/>
    <w:rsid w:val="0EF04424"/>
    <w:rsid w:val="0EF80CCA"/>
    <w:rsid w:val="0F124658"/>
    <w:rsid w:val="0F1F3AF7"/>
    <w:rsid w:val="0F292D0A"/>
    <w:rsid w:val="0F36499C"/>
    <w:rsid w:val="0F400280"/>
    <w:rsid w:val="0F406A01"/>
    <w:rsid w:val="0F4A24F4"/>
    <w:rsid w:val="0F4C5FD1"/>
    <w:rsid w:val="0F4D7998"/>
    <w:rsid w:val="0F787A37"/>
    <w:rsid w:val="0F7F2AD0"/>
    <w:rsid w:val="0F832BA3"/>
    <w:rsid w:val="0F8710A3"/>
    <w:rsid w:val="0FA61B22"/>
    <w:rsid w:val="0FA91612"/>
    <w:rsid w:val="0FCC4100"/>
    <w:rsid w:val="0FE76B01"/>
    <w:rsid w:val="0FEC66BF"/>
    <w:rsid w:val="0FF224B0"/>
    <w:rsid w:val="1001144E"/>
    <w:rsid w:val="102B2027"/>
    <w:rsid w:val="103A6E72"/>
    <w:rsid w:val="1045253A"/>
    <w:rsid w:val="104C1BB6"/>
    <w:rsid w:val="105B7D27"/>
    <w:rsid w:val="105F7E70"/>
    <w:rsid w:val="10633FBA"/>
    <w:rsid w:val="10750A53"/>
    <w:rsid w:val="10764CBD"/>
    <w:rsid w:val="108C2B9A"/>
    <w:rsid w:val="10A0266D"/>
    <w:rsid w:val="10D73F5D"/>
    <w:rsid w:val="10E03340"/>
    <w:rsid w:val="10EB574A"/>
    <w:rsid w:val="10ED631E"/>
    <w:rsid w:val="110A1935"/>
    <w:rsid w:val="113A5997"/>
    <w:rsid w:val="114264E0"/>
    <w:rsid w:val="11466290"/>
    <w:rsid w:val="11481DFE"/>
    <w:rsid w:val="114C494B"/>
    <w:rsid w:val="116209E0"/>
    <w:rsid w:val="1166119E"/>
    <w:rsid w:val="118C4D8E"/>
    <w:rsid w:val="11A162F3"/>
    <w:rsid w:val="11B733D4"/>
    <w:rsid w:val="11E45119"/>
    <w:rsid w:val="11E60AC7"/>
    <w:rsid w:val="11ED59DC"/>
    <w:rsid w:val="122E18FE"/>
    <w:rsid w:val="123762E9"/>
    <w:rsid w:val="125910CE"/>
    <w:rsid w:val="125B680B"/>
    <w:rsid w:val="127076D0"/>
    <w:rsid w:val="1295057F"/>
    <w:rsid w:val="12CB5CF6"/>
    <w:rsid w:val="12E30515"/>
    <w:rsid w:val="12E86FDC"/>
    <w:rsid w:val="12F31899"/>
    <w:rsid w:val="1310511A"/>
    <w:rsid w:val="13320C6A"/>
    <w:rsid w:val="13460210"/>
    <w:rsid w:val="134803F5"/>
    <w:rsid w:val="13501F14"/>
    <w:rsid w:val="13561CC7"/>
    <w:rsid w:val="13954387"/>
    <w:rsid w:val="13A7323E"/>
    <w:rsid w:val="13A834C2"/>
    <w:rsid w:val="13AC48F3"/>
    <w:rsid w:val="13DA79CD"/>
    <w:rsid w:val="144346DD"/>
    <w:rsid w:val="14757D15"/>
    <w:rsid w:val="148529D2"/>
    <w:rsid w:val="14904B4F"/>
    <w:rsid w:val="14C52A4A"/>
    <w:rsid w:val="14C56D75"/>
    <w:rsid w:val="14C63907"/>
    <w:rsid w:val="14C76E04"/>
    <w:rsid w:val="14DB6BEC"/>
    <w:rsid w:val="14F1087E"/>
    <w:rsid w:val="14F84B6E"/>
    <w:rsid w:val="14FB5CC3"/>
    <w:rsid w:val="150B5245"/>
    <w:rsid w:val="15432D4C"/>
    <w:rsid w:val="155319C7"/>
    <w:rsid w:val="15826996"/>
    <w:rsid w:val="158D1FE0"/>
    <w:rsid w:val="159315D6"/>
    <w:rsid w:val="159C7C87"/>
    <w:rsid w:val="15B578FA"/>
    <w:rsid w:val="15BB209F"/>
    <w:rsid w:val="15C778FD"/>
    <w:rsid w:val="15E61397"/>
    <w:rsid w:val="16234FB5"/>
    <w:rsid w:val="16286E51"/>
    <w:rsid w:val="16303CF4"/>
    <w:rsid w:val="1647369C"/>
    <w:rsid w:val="16495E30"/>
    <w:rsid w:val="166149F5"/>
    <w:rsid w:val="1665541F"/>
    <w:rsid w:val="168D4EAB"/>
    <w:rsid w:val="168D5359"/>
    <w:rsid w:val="168E0C4D"/>
    <w:rsid w:val="168F7666"/>
    <w:rsid w:val="169052DA"/>
    <w:rsid w:val="16AE750E"/>
    <w:rsid w:val="16EC5710"/>
    <w:rsid w:val="170D397B"/>
    <w:rsid w:val="17302D4B"/>
    <w:rsid w:val="17607EAE"/>
    <w:rsid w:val="176C196E"/>
    <w:rsid w:val="177A696C"/>
    <w:rsid w:val="178067EC"/>
    <w:rsid w:val="17823DFB"/>
    <w:rsid w:val="1784618A"/>
    <w:rsid w:val="17872F24"/>
    <w:rsid w:val="17AA053A"/>
    <w:rsid w:val="17AE7FF0"/>
    <w:rsid w:val="181401B4"/>
    <w:rsid w:val="18284119"/>
    <w:rsid w:val="18442708"/>
    <w:rsid w:val="187736E7"/>
    <w:rsid w:val="18806EE8"/>
    <w:rsid w:val="18AE5980"/>
    <w:rsid w:val="18BA6EEC"/>
    <w:rsid w:val="18C179CD"/>
    <w:rsid w:val="18CE1833"/>
    <w:rsid w:val="18E80B28"/>
    <w:rsid w:val="19071A80"/>
    <w:rsid w:val="19073D1E"/>
    <w:rsid w:val="190D29F1"/>
    <w:rsid w:val="190F5065"/>
    <w:rsid w:val="19277D60"/>
    <w:rsid w:val="19292412"/>
    <w:rsid w:val="192D0BBE"/>
    <w:rsid w:val="19402C50"/>
    <w:rsid w:val="19613804"/>
    <w:rsid w:val="196B3904"/>
    <w:rsid w:val="1984644B"/>
    <w:rsid w:val="198E2F82"/>
    <w:rsid w:val="19A21C53"/>
    <w:rsid w:val="19AC4DBF"/>
    <w:rsid w:val="19C56BA5"/>
    <w:rsid w:val="19DD7B9C"/>
    <w:rsid w:val="19E44FC0"/>
    <w:rsid w:val="19E7019A"/>
    <w:rsid w:val="1A0837BD"/>
    <w:rsid w:val="1A08742A"/>
    <w:rsid w:val="1A0E420C"/>
    <w:rsid w:val="1A1F0E4F"/>
    <w:rsid w:val="1A2B1D25"/>
    <w:rsid w:val="1A61565B"/>
    <w:rsid w:val="1A824299"/>
    <w:rsid w:val="1A8916F8"/>
    <w:rsid w:val="1AF7719E"/>
    <w:rsid w:val="1AFB7381"/>
    <w:rsid w:val="1B4A5BEB"/>
    <w:rsid w:val="1B5F2FF2"/>
    <w:rsid w:val="1B813CE3"/>
    <w:rsid w:val="1B8F502F"/>
    <w:rsid w:val="1B982F70"/>
    <w:rsid w:val="1BC021BE"/>
    <w:rsid w:val="1BD16179"/>
    <w:rsid w:val="1BDF7F24"/>
    <w:rsid w:val="1BF744DD"/>
    <w:rsid w:val="1C017FC8"/>
    <w:rsid w:val="1C1E3397"/>
    <w:rsid w:val="1C202C5C"/>
    <w:rsid w:val="1C235869"/>
    <w:rsid w:val="1C2C3291"/>
    <w:rsid w:val="1C3C0FBC"/>
    <w:rsid w:val="1C485D0F"/>
    <w:rsid w:val="1C49522F"/>
    <w:rsid w:val="1C593DC6"/>
    <w:rsid w:val="1C5D2B15"/>
    <w:rsid w:val="1C821F9B"/>
    <w:rsid w:val="1C8E727E"/>
    <w:rsid w:val="1CC539AC"/>
    <w:rsid w:val="1CD41D4B"/>
    <w:rsid w:val="1D14528C"/>
    <w:rsid w:val="1D1B6C37"/>
    <w:rsid w:val="1D3C1168"/>
    <w:rsid w:val="1D4364FB"/>
    <w:rsid w:val="1D4C0B25"/>
    <w:rsid w:val="1D77338B"/>
    <w:rsid w:val="1D9239D9"/>
    <w:rsid w:val="1DD52BD7"/>
    <w:rsid w:val="1DF649F2"/>
    <w:rsid w:val="1E2D340E"/>
    <w:rsid w:val="1E3807EA"/>
    <w:rsid w:val="1E390005"/>
    <w:rsid w:val="1E4246A2"/>
    <w:rsid w:val="1E65795C"/>
    <w:rsid w:val="1E8236E3"/>
    <w:rsid w:val="1E915978"/>
    <w:rsid w:val="1E9A400D"/>
    <w:rsid w:val="1EAC600C"/>
    <w:rsid w:val="1EAF7212"/>
    <w:rsid w:val="1EB01C05"/>
    <w:rsid w:val="1EBF4E9D"/>
    <w:rsid w:val="1ECF55F5"/>
    <w:rsid w:val="1EF139BF"/>
    <w:rsid w:val="1F186E7B"/>
    <w:rsid w:val="1F51379E"/>
    <w:rsid w:val="1F747BD5"/>
    <w:rsid w:val="1FBB4D44"/>
    <w:rsid w:val="1FC44610"/>
    <w:rsid w:val="1FD31C77"/>
    <w:rsid w:val="1FEF5773"/>
    <w:rsid w:val="206014D0"/>
    <w:rsid w:val="2072139F"/>
    <w:rsid w:val="209052D6"/>
    <w:rsid w:val="20F36B91"/>
    <w:rsid w:val="210A1607"/>
    <w:rsid w:val="21145598"/>
    <w:rsid w:val="212F5ACC"/>
    <w:rsid w:val="214A5276"/>
    <w:rsid w:val="215963C4"/>
    <w:rsid w:val="215A77D0"/>
    <w:rsid w:val="217C5D70"/>
    <w:rsid w:val="21A01459"/>
    <w:rsid w:val="21A4319A"/>
    <w:rsid w:val="21A96DF8"/>
    <w:rsid w:val="21BE0872"/>
    <w:rsid w:val="21E81D45"/>
    <w:rsid w:val="220C42C0"/>
    <w:rsid w:val="221303F1"/>
    <w:rsid w:val="22315C8A"/>
    <w:rsid w:val="225345E6"/>
    <w:rsid w:val="226348B8"/>
    <w:rsid w:val="226359A5"/>
    <w:rsid w:val="228E5679"/>
    <w:rsid w:val="22A440AE"/>
    <w:rsid w:val="22B8599C"/>
    <w:rsid w:val="22C81CA6"/>
    <w:rsid w:val="22D67A67"/>
    <w:rsid w:val="22EC39DC"/>
    <w:rsid w:val="22EC4E21"/>
    <w:rsid w:val="22FB4B0E"/>
    <w:rsid w:val="23144A45"/>
    <w:rsid w:val="231A7C31"/>
    <w:rsid w:val="23302C85"/>
    <w:rsid w:val="233874C4"/>
    <w:rsid w:val="23590E67"/>
    <w:rsid w:val="236E7ECB"/>
    <w:rsid w:val="238E5203"/>
    <w:rsid w:val="23936BEF"/>
    <w:rsid w:val="239C052D"/>
    <w:rsid w:val="23DA2096"/>
    <w:rsid w:val="23EF2B55"/>
    <w:rsid w:val="24202495"/>
    <w:rsid w:val="244642F4"/>
    <w:rsid w:val="244C7AE8"/>
    <w:rsid w:val="24663AF3"/>
    <w:rsid w:val="2481480C"/>
    <w:rsid w:val="24834F09"/>
    <w:rsid w:val="24B80369"/>
    <w:rsid w:val="24BD6755"/>
    <w:rsid w:val="24D1418B"/>
    <w:rsid w:val="24D3267A"/>
    <w:rsid w:val="24EC2DE2"/>
    <w:rsid w:val="24EF16C8"/>
    <w:rsid w:val="251C15A0"/>
    <w:rsid w:val="25203CCD"/>
    <w:rsid w:val="2538060A"/>
    <w:rsid w:val="255049E9"/>
    <w:rsid w:val="25584026"/>
    <w:rsid w:val="25695D11"/>
    <w:rsid w:val="25832D5F"/>
    <w:rsid w:val="25A9092C"/>
    <w:rsid w:val="25C10947"/>
    <w:rsid w:val="25CD2E47"/>
    <w:rsid w:val="25E405A7"/>
    <w:rsid w:val="25E707C0"/>
    <w:rsid w:val="25E70938"/>
    <w:rsid w:val="25F235F6"/>
    <w:rsid w:val="25F63357"/>
    <w:rsid w:val="261849A4"/>
    <w:rsid w:val="26270EA7"/>
    <w:rsid w:val="263A7C87"/>
    <w:rsid w:val="263E08AF"/>
    <w:rsid w:val="26497E98"/>
    <w:rsid w:val="265B49AF"/>
    <w:rsid w:val="265B73F6"/>
    <w:rsid w:val="266D3D7B"/>
    <w:rsid w:val="266F2816"/>
    <w:rsid w:val="26733A4A"/>
    <w:rsid w:val="268B3730"/>
    <w:rsid w:val="26D00443"/>
    <w:rsid w:val="26D030F2"/>
    <w:rsid w:val="26E53294"/>
    <w:rsid w:val="26F1504B"/>
    <w:rsid w:val="26FE34A7"/>
    <w:rsid w:val="270D3E42"/>
    <w:rsid w:val="27117D71"/>
    <w:rsid w:val="27171CAC"/>
    <w:rsid w:val="273C0695"/>
    <w:rsid w:val="2743733D"/>
    <w:rsid w:val="274C6B8F"/>
    <w:rsid w:val="27512752"/>
    <w:rsid w:val="27597755"/>
    <w:rsid w:val="27654278"/>
    <w:rsid w:val="27A57E04"/>
    <w:rsid w:val="27AD58FE"/>
    <w:rsid w:val="27BD613A"/>
    <w:rsid w:val="28086522"/>
    <w:rsid w:val="280D0539"/>
    <w:rsid w:val="28201B5A"/>
    <w:rsid w:val="282048A5"/>
    <w:rsid w:val="283E4B96"/>
    <w:rsid w:val="28477E5B"/>
    <w:rsid w:val="286C2943"/>
    <w:rsid w:val="288E468B"/>
    <w:rsid w:val="28AA258A"/>
    <w:rsid w:val="28AB76FD"/>
    <w:rsid w:val="28B21F66"/>
    <w:rsid w:val="28B86472"/>
    <w:rsid w:val="28DA2110"/>
    <w:rsid w:val="28E5772A"/>
    <w:rsid w:val="28F759D8"/>
    <w:rsid w:val="29201250"/>
    <w:rsid w:val="29246737"/>
    <w:rsid w:val="292B0F13"/>
    <w:rsid w:val="294276AE"/>
    <w:rsid w:val="29567CBD"/>
    <w:rsid w:val="295F4B75"/>
    <w:rsid w:val="296B0ACF"/>
    <w:rsid w:val="297A1D01"/>
    <w:rsid w:val="29B45ADC"/>
    <w:rsid w:val="29B64A62"/>
    <w:rsid w:val="29CF181E"/>
    <w:rsid w:val="29E0319F"/>
    <w:rsid w:val="29F119A3"/>
    <w:rsid w:val="29F45BED"/>
    <w:rsid w:val="29FA2D3E"/>
    <w:rsid w:val="2A073EDF"/>
    <w:rsid w:val="2A350251"/>
    <w:rsid w:val="2A3A13DC"/>
    <w:rsid w:val="2A3A5174"/>
    <w:rsid w:val="2A4F146D"/>
    <w:rsid w:val="2A610D66"/>
    <w:rsid w:val="2A73664D"/>
    <w:rsid w:val="2A7A1912"/>
    <w:rsid w:val="2A8B5207"/>
    <w:rsid w:val="2A9C1ABD"/>
    <w:rsid w:val="2AB27175"/>
    <w:rsid w:val="2AF14141"/>
    <w:rsid w:val="2AF7659E"/>
    <w:rsid w:val="2B0425DE"/>
    <w:rsid w:val="2B594250"/>
    <w:rsid w:val="2B62272A"/>
    <w:rsid w:val="2B7E60B5"/>
    <w:rsid w:val="2B8D381C"/>
    <w:rsid w:val="2B9E69FF"/>
    <w:rsid w:val="2BA6269E"/>
    <w:rsid w:val="2BAF635C"/>
    <w:rsid w:val="2BCC070B"/>
    <w:rsid w:val="2BCD4ED1"/>
    <w:rsid w:val="2BDF7FA6"/>
    <w:rsid w:val="2C033C44"/>
    <w:rsid w:val="2C1E3CF1"/>
    <w:rsid w:val="2C1E497C"/>
    <w:rsid w:val="2C2B1BB5"/>
    <w:rsid w:val="2C39371F"/>
    <w:rsid w:val="2C4C2D9E"/>
    <w:rsid w:val="2C6F6002"/>
    <w:rsid w:val="2C740256"/>
    <w:rsid w:val="2C8C48E9"/>
    <w:rsid w:val="2C903FAA"/>
    <w:rsid w:val="2CAE1BBE"/>
    <w:rsid w:val="2CCF1729"/>
    <w:rsid w:val="2CCF6918"/>
    <w:rsid w:val="2CF7288B"/>
    <w:rsid w:val="2D14090B"/>
    <w:rsid w:val="2D1830F5"/>
    <w:rsid w:val="2D362C9A"/>
    <w:rsid w:val="2D381E56"/>
    <w:rsid w:val="2D3C3D8C"/>
    <w:rsid w:val="2D3F31C7"/>
    <w:rsid w:val="2D64192F"/>
    <w:rsid w:val="2D8504EE"/>
    <w:rsid w:val="2D856DC3"/>
    <w:rsid w:val="2D913BF2"/>
    <w:rsid w:val="2D9708A4"/>
    <w:rsid w:val="2DF40F2E"/>
    <w:rsid w:val="2E053670"/>
    <w:rsid w:val="2E141EF5"/>
    <w:rsid w:val="2E25007F"/>
    <w:rsid w:val="2E3600BD"/>
    <w:rsid w:val="2E3B7B20"/>
    <w:rsid w:val="2E48547A"/>
    <w:rsid w:val="2E531E30"/>
    <w:rsid w:val="2E593C1D"/>
    <w:rsid w:val="2E5C3496"/>
    <w:rsid w:val="2E6365F4"/>
    <w:rsid w:val="2E6739DE"/>
    <w:rsid w:val="2E70421E"/>
    <w:rsid w:val="2E885707"/>
    <w:rsid w:val="2E92399B"/>
    <w:rsid w:val="2EA63495"/>
    <w:rsid w:val="2EAD05C3"/>
    <w:rsid w:val="2EB30160"/>
    <w:rsid w:val="2EB67F0B"/>
    <w:rsid w:val="2EC42B99"/>
    <w:rsid w:val="2ECA5381"/>
    <w:rsid w:val="2EE27E18"/>
    <w:rsid w:val="2EE40B69"/>
    <w:rsid w:val="2EED6577"/>
    <w:rsid w:val="2F067A90"/>
    <w:rsid w:val="2F1403FE"/>
    <w:rsid w:val="2F15140A"/>
    <w:rsid w:val="2F154177"/>
    <w:rsid w:val="2F186566"/>
    <w:rsid w:val="2F1F7E8A"/>
    <w:rsid w:val="2F410823"/>
    <w:rsid w:val="2F4A7069"/>
    <w:rsid w:val="2F582EA6"/>
    <w:rsid w:val="2F685A83"/>
    <w:rsid w:val="2F79584A"/>
    <w:rsid w:val="2F7F33CF"/>
    <w:rsid w:val="2F8C18B2"/>
    <w:rsid w:val="2F971E21"/>
    <w:rsid w:val="2FA95143"/>
    <w:rsid w:val="2FB27C17"/>
    <w:rsid w:val="2FB97CAC"/>
    <w:rsid w:val="2FBD7C88"/>
    <w:rsid w:val="2FC67351"/>
    <w:rsid w:val="2FE222AB"/>
    <w:rsid w:val="30023A6C"/>
    <w:rsid w:val="300C557A"/>
    <w:rsid w:val="30270F39"/>
    <w:rsid w:val="302717BC"/>
    <w:rsid w:val="30312848"/>
    <w:rsid w:val="303769A2"/>
    <w:rsid w:val="303771E3"/>
    <w:rsid w:val="30807F4D"/>
    <w:rsid w:val="309A4AB3"/>
    <w:rsid w:val="309F4439"/>
    <w:rsid w:val="30A00E7F"/>
    <w:rsid w:val="30C77D5C"/>
    <w:rsid w:val="31057689"/>
    <w:rsid w:val="31127C97"/>
    <w:rsid w:val="31191C5C"/>
    <w:rsid w:val="3137014A"/>
    <w:rsid w:val="314F6F1E"/>
    <w:rsid w:val="315F08BD"/>
    <w:rsid w:val="316E7B6E"/>
    <w:rsid w:val="316F12BB"/>
    <w:rsid w:val="3174044B"/>
    <w:rsid w:val="31A4782A"/>
    <w:rsid w:val="31C47EC9"/>
    <w:rsid w:val="31CA5828"/>
    <w:rsid w:val="31DE597E"/>
    <w:rsid w:val="31F6028F"/>
    <w:rsid w:val="31FC6110"/>
    <w:rsid w:val="3212752E"/>
    <w:rsid w:val="3220646D"/>
    <w:rsid w:val="322467E9"/>
    <w:rsid w:val="323775C3"/>
    <w:rsid w:val="323C5D3E"/>
    <w:rsid w:val="325F2964"/>
    <w:rsid w:val="326B007F"/>
    <w:rsid w:val="32755C70"/>
    <w:rsid w:val="32A65B44"/>
    <w:rsid w:val="32BB1653"/>
    <w:rsid w:val="32BD1486"/>
    <w:rsid w:val="32C41075"/>
    <w:rsid w:val="32CE384C"/>
    <w:rsid w:val="32D1458A"/>
    <w:rsid w:val="32D671AF"/>
    <w:rsid w:val="32DA26E1"/>
    <w:rsid w:val="32DA3E63"/>
    <w:rsid w:val="32DD4FAB"/>
    <w:rsid w:val="32E07635"/>
    <w:rsid w:val="330C697F"/>
    <w:rsid w:val="330C70FC"/>
    <w:rsid w:val="331724CB"/>
    <w:rsid w:val="331A35FB"/>
    <w:rsid w:val="33423060"/>
    <w:rsid w:val="3355587D"/>
    <w:rsid w:val="335D7E9A"/>
    <w:rsid w:val="33604EFD"/>
    <w:rsid w:val="33612234"/>
    <w:rsid w:val="33730424"/>
    <w:rsid w:val="337C6A57"/>
    <w:rsid w:val="338E558A"/>
    <w:rsid w:val="33A510F0"/>
    <w:rsid w:val="33B720D8"/>
    <w:rsid w:val="33CB74FA"/>
    <w:rsid w:val="33CC43C1"/>
    <w:rsid w:val="33E06482"/>
    <w:rsid w:val="3408637D"/>
    <w:rsid w:val="34183C0D"/>
    <w:rsid w:val="341E48C9"/>
    <w:rsid w:val="343519BB"/>
    <w:rsid w:val="343919F2"/>
    <w:rsid w:val="343F3D80"/>
    <w:rsid w:val="344A56EE"/>
    <w:rsid w:val="34584EF5"/>
    <w:rsid w:val="345E34D2"/>
    <w:rsid w:val="34682D50"/>
    <w:rsid w:val="34883564"/>
    <w:rsid w:val="348C2F51"/>
    <w:rsid w:val="34AE5356"/>
    <w:rsid w:val="34FC254E"/>
    <w:rsid w:val="350B6043"/>
    <w:rsid w:val="35122534"/>
    <w:rsid w:val="351F5D4F"/>
    <w:rsid w:val="351F7AFD"/>
    <w:rsid w:val="352E10E4"/>
    <w:rsid w:val="35320D5F"/>
    <w:rsid w:val="35366CC3"/>
    <w:rsid w:val="357B2D23"/>
    <w:rsid w:val="358B6F41"/>
    <w:rsid w:val="359A79FA"/>
    <w:rsid w:val="359D7054"/>
    <w:rsid w:val="35A72867"/>
    <w:rsid w:val="35A95619"/>
    <w:rsid w:val="35B93AAE"/>
    <w:rsid w:val="35C47D04"/>
    <w:rsid w:val="35E32A9E"/>
    <w:rsid w:val="35E334B3"/>
    <w:rsid w:val="35E92F8F"/>
    <w:rsid w:val="35FD18CE"/>
    <w:rsid w:val="36226519"/>
    <w:rsid w:val="362352DF"/>
    <w:rsid w:val="362C557E"/>
    <w:rsid w:val="36332CBE"/>
    <w:rsid w:val="36913D71"/>
    <w:rsid w:val="369C715E"/>
    <w:rsid w:val="36A35310"/>
    <w:rsid w:val="36AB0D0D"/>
    <w:rsid w:val="36D87E01"/>
    <w:rsid w:val="36F01AF3"/>
    <w:rsid w:val="37002ADB"/>
    <w:rsid w:val="370C33EA"/>
    <w:rsid w:val="374E4C27"/>
    <w:rsid w:val="37531CE0"/>
    <w:rsid w:val="375F0685"/>
    <w:rsid w:val="376B7B03"/>
    <w:rsid w:val="376C3964"/>
    <w:rsid w:val="377476EF"/>
    <w:rsid w:val="37B05633"/>
    <w:rsid w:val="37F01B4E"/>
    <w:rsid w:val="38185646"/>
    <w:rsid w:val="382F050B"/>
    <w:rsid w:val="384113D5"/>
    <w:rsid w:val="384A6C3F"/>
    <w:rsid w:val="384C6E5B"/>
    <w:rsid w:val="38547ABE"/>
    <w:rsid w:val="38A91C8D"/>
    <w:rsid w:val="38AD70BF"/>
    <w:rsid w:val="38C22C79"/>
    <w:rsid w:val="38D429AD"/>
    <w:rsid w:val="38D73F9D"/>
    <w:rsid w:val="39181266"/>
    <w:rsid w:val="393B03E6"/>
    <w:rsid w:val="39451B46"/>
    <w:rsid w:val="39465071"/>
    <w:rsid w:val="395F4958"/>
    <w:rsid w:val="396676B0"/>
    <w:rsid w:val="396B6813"/>
    <w:rsid w:val="396B71DB"/>
    <w:rsid w:val="3992391D"/>
    <w:rsid w:val="39A4062F"/>
    <w:rsid w:val="39B44A3F"/>
    <w:rsid w:val="39B44C5B"/>
    <w:rsid w:val="39B656E8"/>
    <w:rsid w:val="39CF3B32"/>
    <w:rsid w:val="39D312D7"/>
    <w:rsid w:val="39D72B6B"/>
    <w:rsid w:val="39D73D56"/>
    <w:rsid w:val="39DA7684"/>
    <w:rsid w:val="39EF4143"/>
    <w:rsid w:val="39FC685F"/>
    <w:rsid w:val="3A133BC7"/>
    <w:rsid w:val="3A2845C2"/>
    <w:rsid w:val="3A3A42B6"/>
    <w:rsid w:val="3A64321D"/>
    <w:rsid w:val="3A9F1584"/>
    <w:rsid w:val="3AAA72F0"/>
    <w:rsid w:val="3AC54CA3"/>
    <w:rsid w:val="3AC95628"/>
    <w:rsid w:val="3B1C30B8"/>
    <w:rsid w:val="3B2164F3"/>
    <w:rsid w:val="3B2876C0"/>
    <w:rsid w:val="3B377BC2"/>
    <w:rsid w:val="3B387E25"/>
    <w:rsid w:val="3B466C06"/>
    <w:rsid w:val="3B4F5519"/>
    <w:rsid w:val="3B630E33"/>
    <w:rsid w:val="3B8049EB"/>
    <w:rsid w:val="3BB8035A"/>
    <w:rsid w:val="3BBF4FF4"/>
    <w:rsid w:val="3BC55017"/>
    <w:rsid w:val="3C0C5370"/>
    <w:rsid w:val="3C2252DA"/>
    <w:rsid w:val="3C2812D4"/>
    <w:rsid w:val="3C323CBF"/>
    <w:rsid w:val="3C5F78FE"/>
    <w:rsid w:val="3C5F7BDD"/>
    <w:rsid w:val="3C600ACC"/>
    <w:rsid w:val="3CCB40C7"/>
    <w:rsid w:val="3CD45E5D"/>
    <w:rsid w:val="3CFD1F9B"/>
    <w:rsid w:val="3CFE449C"/>
    <w:rsid w:val="3D0A565D"/>
    <w:rsid w:val="3D102D97"/>
    <w:rsid w:val="3D20075D"/>
    <w:rsid w:val="3D2C1009"/>
    <w:rsid w:val="3D2E6AC3"/>
    <w:rsid w:val="3D2F488F"/>
    <w:rsid w:val="3D435231"/>
    <w:rsid w:val="3D523E11"/>
    <w:rsid w:val="3D624DEA"/>
    <w:rsid w:val="3D6446F4"/>
    <w:rsid w:val="3D750DD7"/>
    <w:rsid w:val="3D7624EE"/>
    <w:rsid w:val="3D847006"/>
    <w:rsid w:val="3DD30D99"/>
    <w:rsid w:val="3DD569AF"/>
    <w:rsid w:val="3DF8538F"/>
    <w:rsid w:val="3E063C29"/>
    <w:rsid w:val="3E0F2906"/>
    <w:rsid w:val="3E1026D9"/>
    <w:rsid w:val="3E5C147A"/>
    <w:rsid w:val="3E735B61"/>
    <w:rsid w:val="3E846873"/>
    <w:rsid w:val="3E9F1D36"/>
    <w:rsid w:val="3E9F3755"/>
    <w:rsid w:val="3EBC5E8D"/>
    <w:rsid w:val="3EC43826"/>
    <w:rsid w:val="3ED61FA7"/>
    <w:rsid w:val="3EE6117B"/>
    <w:rsid w:val="3F0B38F6"/>
    <w:rsid w:val="3F3005F2"/>
    <w:rsid w:val="3F3729A9"/>
    <w:rsid w:val="3F4A355D"/>
    <w:rsid w:val="3F4E170B"/>
    <w:rsid w:val="3F591E5E"/>
    <w:rsid w:val="3F6479F8"/>
    <w:rsid w:val="3F761B38"/>
    <w:rsid w:val="3FAE21A9"/>
    <w:rsid w:val="3FB05F21"/>
    <w:rsid w:val="3FCF6692"/>
    <w:rsid w:val="3FE200A5"/>
    <w:rsid w:val="3FF108AC"/>
    <w:rsid w:val="3FF74946"/>
    <w:rsid w:val="3FF878C8"/>
    <w:rsid w:val="40206A40"/>
    <w:rsid w:val="40234180"/>
    <w:rsid w:val="40300BDB"/>
    <w:rsid w:val="40346DEF"/>
    <w:rsid w:val="4061721C"/>
    <w:rsid w:val="40730E62"/>
    <w:rsid w:val="40C652D1"/>
    <w:rsid w:val="40DF685E"/>
    <w:rsid w:val="40FA296A"/>
    <w:rsid w:val="41175A0C"/>
    <w:rsid w:val="416931E0"/>
    <w:rsid w:val="417B60BB"/>
    <w:rsid w:val="41B82E6B"/>
    <w:rsid w:val="41C37A62"/>
    <w:rsid w:val="41D06F7C"/>
    <w:rsid w:val="41E77D51"/>
    <w:rsid w:val="41EA3241"/>
    <w:rsid w:val="41F23AE0"/>
    <w:rsid w:val="420750AB"/>
    <w:rsid w:val="420F6C99"/>
    <w:rsid w:val="422159F4"/>
    <w:rsid w:val="423C516E"/>
    <w:rsid w:val="424E6513"/>
    <w:rsid w:val="42561A3B"/>
    <w:rsid w:val="427668F2"/>
    <w:rsid w:val="42C46384"/>
    <w:rsid w:val="42D014F6"/>
    <w:rsid w:val="42E83C24"/>
    <w:rsid w:val="42F94298"/>
    <w:rsid w:val="4315067F"/>
    <w:rsid w:val="43210FB9"/>
    <w:rsid w:val="43355A10"/>
    <w:rsid w:val="435B78E1"/>
    <w:rsid w:val="4363468B"/>
    <w:rsid w:val="436B6E27"/>
    <w:rsid w:val="43730A6C"/>
    <w:rsid w:val="43785B5D"/>
    <w:rsid w:val="43B81849"/>
    <w:rsid w:val="43E55316"/>
    <w:rsid w:val="44174B03"/>
    <w:rsid w:val="441E379C"/>
    <w:rsid w:val="442F0D18"/>
    <w:rsid w:val="44333E53"/>
    <w:rsid w:val="44360178"/>
    <w:rsid w:val="4446365C"/>
    <w:rsid w:val="444E14B1"/>
    <w:rsid w:val="44550E45"/>
    <w:rsid w:val="445A0E2C"/>
    <w:rsid w:val="446854CF"/>
    <w:rsid w:val="448507C2"/>
    <w:rsid w:val="44AE27F5"/>
    <w:rsid w:val="44CF1C5F"/>
    <w:rsid w:val="44D51F86"/>
    <w:rsid w:val="44D93343"/>
    <w:rsid w:val="44D96D9F"/>
    <w:rsid w:val="44D96F51"/>
    <w:rsid w:val="44DF2E05"/>
    <w:rsid w:val="44FD25EB"/>
    <w:rsid w:val="450A3F83"/>
    <w:rsid w:val="455E0FA7"/>
    <w:rsid w:val="459F57ED"/>
    <w:rsid w:val="45C71DC4"/>
    <w:rsid w:val="45C73FC5"/>
    <w:rsid w:val="45E13D20"/>
    <w:rsid w:val="460F4E19"/>
    <w:rsid w:val="46241606"/>
    <w:rsid w:val="462A6FD7"/>
    <w:rsid w:val="463A4166"/>
    <w:rsid w:val="463C1A32"/>
    <w:rsid w:val="465B14C7"/>
    <w:rsid w:val="46606469"/>
    <w:rsid w:val="46892947"/>
    <w:rsid w:val="46AE709D"/>
    <w:rsid w:val="46C84AB5"/>
    <w:rsid w:val="46D47A94"/>
    <w:rsid w:val="46F37795"/>
    <w:rsid w:val="46F830F8"/>
    <w:rsid w:val="47005468"/>
    <w:rsid w:val="47022019"/>
    <w:rsid w:val="470A22C4"/>
    <w:rsid w:val="470D6BB6"/>
    <w:rsid w:val="477246A3"/>
    <w:rsid w:val="47743AC2"/>
    <w:rsid w:val="47907B00"/>
    <w:rsid w:val="47946C27"/>
    <w:rsid w:val="47A4322B"/>
    <w:rsid w:val="47B71D8E"/>
    <w:rsid w:val="47C85DF0"/>
    <w:rsid w:val="47E621F6"/>
    <w:rsid w:val="47EA6B28"/>
    <w:rsid w:val="484C2EAF"/>
    <w:rsid w:val="48551B8D"/>
    <w:rsid w:val="48C95952"/>
    <w:rsid w:val="48D51B07"/>
    <w:rsid w:val="48F25A1F"/>
    <w:rsid w:val="48F81B8D"/>
    <w:rsid w:val="490223F4"/>
    <w:rsid w:val="490B2684"/>
    <w:rsid w:val="491E269E"/>
    <w:rsid w:val="492642A4"/>
    <w:rsid w:val="492F38B1"/>
    <w:rsid w:val="49305382"/>
    <w:rsid w:val="49517CBD"/>
    <w:rsid w:val="49682BDC"/>
    <w:rsid w:val="49783CAA"/>
    <w:rsid w:val="498935F3"/>
    <w:rsid w:val="499E2E98"/>
    <w:rsid w:val="49B70DD0"/>
    <w:rsid w:val="49D65863"/>
    <w:rsid w:val="49D95B72"/>
    <w:rsid w:val="49D973C4"/>
    <w:rsid w:val="4A10057D"/>
    <w:rsid w:val="4A260AC3"/>
    <w:rsid w:val="4A61664D"/>
    <w:rsid w:val="4A6D04CB"/>
    <w:rsid w:val="4A7D6D2B"/>
    <w:rsid w:val="4A9F6AC6"/>
    <w:rsid w:val="4AAF5379"/>
    <w:rsid w:val="4AB20711"/>
    <w:rsid w:val="4AB30630"/>
    <w:rsid w:val="4ABC3B3D"/>
    <w:rsid w:val="4AC61FB2"/>
    <w:rsid w:val="4ACA56B2"/>
    <w:rsid w:val="4ADC12C4"/>
    <w:rsid w:val="4AED31B2"/>
    <w:rsid w:val="4AF92BAB"/>
    <w:rsid w:val="4AFA341E"/>
    <w:rsid w:val="4AFE076D"/>
    <w:rsid w:val="4B0215FB"/>
    <w:rsid w:val="4B08477A"/>
    <w:rsid w:val="4B157F05"/>
    <w:rsid w:val="4B1647CA"/>
    <w:rsid w:val="4B29302C"/>
    <w:rsid w:val="4B2A4031"/>
    <w:rsid w:val="4B3F0DCF"/>
    <w:rsid w:val="4B42542F"/>
    <w:rsid w:val="4B4E293F"/>
    <w:rsid w:val="4B4F092F"/>
    <w:rsid w:val="4B5B6911"/>
    <w:rsid w:val="4B5B6C93"/>
    <w:rsid w:val="4B5E6EB7"/>
    <w:rsid w:val="4B647A42"/>
    <w:rsid w:val="4B772D15"/>
    <w:rsid w:val="4B937618"/>
    <w:rsid w:val="4B9F2AEC"/>
    <w:rsid w:val="4BB77228"/>
    <w:rsid w:val="4BBB1F7D"/>
    <w:rsid w:val="4BCE2419"/>
    <w:rsid w:val="4BD76D82"/>
    <w:rsid w:val="4BF36360"/>
    <w:rsid w:val="4C0A4C0B"/>
    <w:rsid w:val="4C0E3A74"/>
    <w:rsid w:val="4C176A3C"/>
    <w:rsid w:val="4C25659C"/>
    <w:rsid w:val="4C26121A"/>
    <w:rsid w:val="4C4B689E"/>
    <w:rsid w:val="4C567F9A"/>
    <w:rsid w:val="4C5A1175"/>
    <w:rsid w:val="4C8C684E"/>
    <w:rsid w:val="4C9273CC"/>
    <w:rsid w:val="4C9524B3"/>
    <w:rsid w:val="4CA37CC7"/>
    <w:rsid w:val="4CBD3A2C"/>
    <w:rsid w:val="4CDF57E7"/>
    <w:rsid w:val="4CE623DF"/>
    <w:rsid w:val="4CE67073"/>
    <w:rsid w:val="4CF72244"/>
    <w:rsid w:val="4CFD2E60"/>
    <w:rsid w:val="4D043409"/>
    <w:rsid w:val="4D0674DB"/>
    <w:rsid w:val="4D2E33DE"/>
    <w:rsid w:val="4D527B6E"/>
    <w:rsid w:val="4D5A74CD"/>
    <w:rsid w:val="4D8D034C"/>
    <w:rsid w:val="4DAD6295"/>
    <w:rsid w:val="4DB45CED"/>
    <w:rsid w:val="4DBB547E"/>
    <w:rsid w:val="4DBE522F"/>
    <w:rsid w:val="4DBF1A26"/>
    <w:rsid w:val="4DFC3B96"/>
    <w:rsid w:val="4DFE10C7"/>
    <w:rsid w:val="4E2B15BE"/>
    <w:rsid w:val="4E2F4601"/>
    <w:rsid w:val="4E544A97"/>
    <w:rsid w:val="4E6C4E2C"/>
    <w:rsid w:val="4E7A5A79"/>
    <w:rsid w:val="4E8518A6"/>
    <w:rsid w:val="4EAC4100"/>
    <w:rsid w:val="4EAF66A3"/>
    <w:rsid w:val="4EC022F3"/>
    <w:rsid w:val="4EC949D0"/>
    <w:rsid w:val="4EF16300"/>
    <w:rsid w:val="4F057B49"/>
    <w:rsid w:val="4F390EE0"/>
    <w:rsid w:val="4F563CC4"/>
    <w:rsid w:val="4F9C7485"/>
    <w:rsid w:val="4FA256A2"/>
    <w:rsid w:val="4FAC0B34"/>
    <w:rsid w:val="4FAD2457"/>
    <w:rsid w:val="4FE501EA"/>
    <w:rsid w:val="4FFD05E3"/>
    <w:rsid w:val="501E4C01"/>
    <w:rsid w:val="5026062F"/>
    <w:rsid w:val="50271585"/>
    <w:rsid w:val="502A7D6A"/>
    <w:rsid w:val="50494177"/>
    <w:rsid w:val="50543386"/>
    <w:rsid w:val="50717A91"/>
    <w:rsid w:val="50966A6E"/>
    <w:rsid w:val="50A013D7"/>
    <w:rsid w:val="50B46E9F"/>
    <w:rsid w:val="50B84671"/>
    <w:rsid w:val="50BC2794"/>
    <w:rsid w:val="51095010"/>
    <w:rsid w:val="510A1DD0"/>
    <w:rsid w:val="51182DC8"/>
    <w:rsid w:val="5137571D"/>
    <w:rsid w:val="513935F7"/>
    <w:rsid w:val="514125AA"/>
    <w:rsid w:val="51656440"/>
    <w:rsid w:val="51771523"/>
    <w:rsid w:val="517C3F4C"/>
    <w:rsid w:val="51A034BB"/>
    <w:rsid w:val="51A5035D"/>
    <w:rsid w:val="51CB3167"/>
    <w:rsid w:val="51FB1357"/>
    <w:rsid w:val="520742EE"/>
    <w:rsid w:val="5208295C"/>
    <w:rsid w:val="52126D0B"/>
    <w:rsid w:val="52183831"/>
    <w:rsid w:val="522F010A"/>
    <w:rsid w:val="52457FDD"/>
    <w:rsid w:val="52566FC8"/>
    <w:rsid w:val="52705C90"/>
    <w:rsid w:val="528B6B38"/>
    <w:rsid w:val="52AB4F35"/>
    <w:rsid w:val="52AC59BD"/>
    <w:rsid w:val="52B15DE1"/>
    <w:rsid w:val="52B56C71"/>
    <w:rsid w:val="52C047E2"/>
    <w:rsid w:val="52D4194D"/>
    <w:rsid w:val="52E66EDD"/>
    <w:rsid w:val="52EA5AFB"/>
    <w:rsid w:val="52F50359"/>
    <w:rsid w:val="52FE2661"/>
    <w:rsid w:val="52FF7BD5"/>
    <w:rsid w:val="530408B4"/>
    <w:rsid w:val="5324028B"/>
    <w:rsid w:val="532E2102"/>
    <w:rsid w:val="53B70F60"/>
    <w:rsid w:val="53C74CB2"/>
    <w:rsid w:val="53C84FEA"/>
    <w:rsid w:val="53CB682D"/>
    <w:rsid w:val="53CC2896"/>
    <w:rsid w:val="53D2607C"/>
    <w:rsid w:val="540F594B"/>
    <w:rsid w:val="5417761E"/>
    <w:rsid w:val="541B4D33"/>
    <w:rsid w:val="542A56E0"/>
    <w:rsid w:val="544F2C48"/>
    <w:rsid w:val="54513446"/>
    <w:rsid w:val="547B1990"/>
    <w:rsid w:val="54930E5E"/>
    <w:rsid w:val="549372A3"/>
    <w:rsid w:val="54ED50CA"/>
    <w:rsid w:val="54F53509"/>
    <w:rsid w:val="55194FD0"/>
    <w:rsid w:val="555F359A"/>
    <w:rsid w:val="55644424"/>
    <w:rsid w:val="556A0DAD"/>
    <w:rsid w:val="558736E8"/>
    <w:rsid w:val="558B1119"/>
    <w:rsid w:val="55B1273F"/>
    <w:rsid w:val="55D86233"/>
    <w:rsid w:val="55D875CD"/>
    <w:rsid w:val="55DA46C5"/>
    <w:rsid w:val="5620047D"/>
    <w:rsid w:val="56366CA3"/>
    <w:rsid w:val="563C1A26"/>
    <w:rsid w:val="564219E4"/>
    <w:rsid w:val="566759A8"/>
    <w:rsid w:val="5672180B"/>
    <w:rsid w:val="56C52544"/>
    <w:rsid w:val="56DC53F6"/>
    <w:rsid w:val="56E91D40"/>
    <w:rsid w:val="5708081B"/>
    <w:rsid w:val="570F757A"/>
    <w:rsid w:val="57136ED0"/>
    <w:rsid w:val="57350233"/>
    <w:rsid w:val="5735681B"/>
    <w:rsid w:val="579821BD"/>
    <w:rsid w:val="57A128E7"/>
    <w:rsid w:val="57D41A04"/>
    <w:rsid w:val="57D967B1"/>
    <w:rsid w:val="587578B0"/>
    <w:rsid w:val="587750CD"/>
    <w:rsid w:val="58867689"/>
    <w:rsid w:val="589F21E3"/>
    <w:rsid w:val="58A72621"/>
    <w:rsid w:val="58AE2DC2"/>
    <w:rsid w:val="58B366ED"/>
    <w:rsid w:val="58D67985"/>
    <w:rsid w:val="58F822B0"/>
    <w:rsid w:val="59061B38"/>
    <w:rsid w:val="591E1CF6"/>
    <w:rsid w:val="592C3420"/>
    <w:rsid w:val="596E22A9"/>
    <w:rsid w:val="596E46F6"/>
    <w:rsid w:val="597748A1"/>
    <w:rsid w:val="59920782"/>
    <w:rsid w:val="599267F8"/>
    <w:rsid w:val="59A646EC"/>
    <w:rsid w:val="59C71103"/>
    <w:rsid w:val="59E576D9"/>
    <w:rsid w:val="5A044AF8"/>
    <w:rsid w:val="5A0507DE"/>
    <w:rsid w:val="5A0C7DA1"/>
    <w:rsid w:val="5A0F44EC"/>
    <w:rsid w:val="5A2167AD"/>
    <w:rsid w:val="5A2F6B38"/>
    <w:rsid w:val="5A402D97"/>
    <w:rsid w:val="5A461504"/>
    <w:rsid w:val="5A47527D"/>
    <w:rsid w:val="5A6530B7"/>
    <w:rsid w:val="5A7B2EED"/>
    <w:rsid w:val="5A861F3D"/>
    <w:rsid w:val="5A8663D4"/>
    <w:rsid w:val="5A95145E"/>
    <w:rsid w:val="5B1D50BB"/>
    <w:rsid w:val="5B2829B8"/>
    <w:rsid w:val="5B3C2FA1"/>
    <w:rsid w:val="5B412D4F"/>
    <w:rsid w:val="5B432D9F"/>
    <w:rsid w:val="5B5234C0"/>
    <w:rsid w:val="5B591BF8"/>
    <w:rsid w:val="5B5C03D0"/>
    <w:rsid w:val="5B6208DC"/>
    <w:rsid w:val="5B6C7CF4"/>
    <w:rsid w:val="5B7174C4"/>
    <w:rsid w:val="5B7E329A"/>
    <w:rsid w:val="5B83666A"/>
    <w:rsid w:val="5B970F12"/>
    <w:rsid w:val="5BC459C9"/>
    <w:rsid w:val="5C07275F"/>
    <w:rsid w:val="5C0C6D7C"/>
    <w:rsid w:val="5C0E6185"/>
    <w:rsid w:val="5C0F56AC"/>
    <w:rsid w:val="5C1D78C2"/>
    <w:rsid w:val="5C456C89"/>
    <w:rsid w:val="5C531CB7"/>
    <w:rsid w:val="5C583131"/>
    <w:rsid w:val="5C6A4C8E"/>
    <w:rsid w:val="5C6E5AFF"/>
    <w:rsid w:val="5CAC4500"/>
    <w:rsid w:val="5CC5085F"/>
    <w:rsid w:val="5CCB43F0"/>
    <w:rsid w:val="5CCB7E34"/>
    <w:rsid w:val="5CEC1EAF"/>
    <w:rsid w:val="5D11444E"/>
    <w:rsid w:val="5D665716"/>
    <w:rsid w:val="5D6F4991"/>
    <w:rsid w:val="5D704A95"/>
    <w:rsid w:val="5D716D53"/>
    <w:rsid w:val="5D7615B5"/>
    <w:rsid w:val="5D85658B"/>
    <w:rsid w:val="5DA24384"/>
    <w:rsid w:val="5DBA49F4"/>
    <w:rsid w:val="5DCE30F4"/>
    <w:rsid w:val="5DE02B2F"/>
    <w:rsid w:val="5DE3706A"/>
    <w:rsid w:val="5DE612C0"/>
    <w:rsid w:val="5DF12D44"/>
    <w:rsid w:val="5DF31E35"/>
    <w:rsid w:val="5E01166C"/>
    <w:rsid w:val="5E0A3543"/>
    <w:rsid w:val="5E16094B"/>
    <w:rsid w:val="5E1E1272"/>
    <w:rsid w:val="5E653CDB"/>
    <w:rsid w:val="5E732B34"/>
    <w:rsid w:val="5E810531"/>
    <w:rsid w:val="5E8D1F82"/>
    <w:rsid w:val="5E9B551B"/>
    <w:rsid w:val="5EA61CFE"/>
    <w:rsid w:val="5EB375A3"/>
    <w:rsid w:val="5EB96CA5"/>
    <w:rsid w:val="5EDD1553"/>
    <w:rsid w:val="5EE1209B"/>
    <w:rsid w:val="5F0A6A33"/>
    <w:rsid w:val="5F1923BC"/>
    <w:rsid w:val="5F1C2834"/>
    <w:rsid w:val="5F25041A"/>
    <w:rsid w:val="5F3C516F"/>
    <w:rsid w:val="5F3E5585"/>
    <w:rsid w:val="5F425861"/>
    <w:rsid w:val="5F5328C1"/>
    <w:rsid w:val="5F6C1223"/>
    <w:rsid w:val="5F6C6DA2"/>
    <w:rsid w:val="5F7055CE"/>
    <w:rsid w:val="5FBC4591"/>
    <w:rsid w:val="5FCB73DD"/>
    <w:rsid w:val="60315F57"/>
    <w:rsid w:val="60614D9A"/>
    <w:rsid w:val="60616847"/>
    <w:rsid w:val="6078190D"/>
    <w:rsid w:val="60813049"/>
    <w:rsid w:val="60A94D38"/>
    <w:rsid w:val="60C00DBA"/>
    <w:rsid w:val="60C875C1"/>
    <w:rsid w:val="60FC4BE4"/>
    <w:rsid w:val="610E51FB"/>
    <w:rsid w:val="612A7153"/>
    <w:rsid w:val="61544215"/>
    <w:rsid w:val="61816D2F"/>
    <w:rsid w:val="61896552"/>
    <w:rsid w:val="61910857"/>
    <w:rsid w:val="619A3D3C"/>
    <w:rsid w:val="61AD00BB"/>
    <w:rsid w:val="61B41E23"/>
    <w:rsid w:val="61BE33A2"/>
    <w:rsid w:val="62455A6E"/>
    <w:rsid w:val="6277158B"/>
    <w:rsid w:val="627810BB"/>
    <w:rsid w:val="629B3811"/>
    <w:rsid w:val="62A03EC5"/>
    <w:rsid w:val="62A25746"/>
    <w:rsid w:val="62AA1522"/>
    <w:rsid w:val="62AD3A54"/>
    <w:rsid w:val="62C01DA4"/>
    <w:rsid w:val="62DB1DE7"/>
    <w:rsid w:val="62EC1289"/>
    <w:rsid w:val="62F87C4C"/>
    <w:rsid w:val="62FE7B77"/>
    <w:rsid w:val="630D2553"/>
    <w:rsid w:val="631F058B"/>
    <w:rsid w:val="631F52B5"/>
    <w:rsid w:val="632B0897"/>
    <w:rsid w:val="63462B29"/>
    <w:rsid w:val="63513D11"/>
    <w:rsid w:val="63980A1E"/>
    <w:rsid w:val="639C1D04"/>
    <w:rsid w:val="63A341F4"/>
    <w:rsid w:val="63A70463"/>
    <w:rsid w:val="63B7752C"/>
    <w:rsid w:val="63D44ECC"/>
    <w:rsid w:val="63DA3F84"/>
    <w:rsid w:val="64184E28"/>
    <w:rsid w:val="64280A6D"/>
    <w:rsid w:val="64325FA2"/>
    <w:rsid w:val="64384579"/>
    <w:rsid w:val="643C1416"/>
    <w:rsid w:val="64A32EF8"/>
    <w:rsid w:val="64A44CC6"/>
    <w:rsid w:val="64B65416"/>
    <w:rsid w:val="64CB2E31"/>
    <w:rsid w:val="64CD25C6"/>
    <w:rsid w:val="64FF3C60"/>
    <w:rsid w:val="65321B70"/>
    <w:rsid w:val="655206FC"/>
    <w:rsid w:val="6555207A"/>
    <w:rsid w:val="65590406"/>
    <w:rsid w:val="655D3BA6"/>
    <w:rsid w:val="65605EBF"/>
    <w:rsid w:val="656A0853"/>
    <w:rsid w:val="658C2D2C"/>
    <w:rsid w:val="658D122B"/>
    <w:rsid w:val="6593161C"/>
    <w:rsid w:val="65A33FE3"/>
    <w:rsid w:val="65AC48D3"/>
    <w:rsid w:val="65EB2F60"/>
    <w:rsid w:val="65EC3585"/>
    <w:rsid w:val="6602150E"/>
    <w:rsid w:val="660C1D8F"/>
    <w:rsid w:val="66131DC6"/>
    <w:rsid w:val="662C5DC5"/>
    <w:rsid w:val="66590FAB"/>
    <w:rsid w:val="665F2148"/>
    <w:rsid w:val="66631AE6"/>
    <w:rsid w:val="668A5881"/>
    <w:rsid w:val="66CB2DE7"/>
    <w:rsid w:val="66CE1CB7"/>
    <w:rsid w:val="66DD720D"/>
    <w:rsid w:val="66F30313"/>
    <w:rsid w:val="670E7694"/>
    <w:rsid w:val="671204CC"/>
    <w:rsid w:val="67196210"/>
    <w:rsid w:val="671B19CC"/>
    <w:rsid w:val="672E572D"/>
    <w:rsid w:val="67303D11"/>
    <w:rsid w:val="674F3A9F"/>
    <w:rsid w:val="676B7B2C"/>
    <w:rsid w:val="6771634D"/>
    <w:rsid w:val="677376B1"/>
    <w:rsid w:val="67AD274B"/>
    <w:rsid w:val="67D70067"/>
    <w:rsid w:val="67E31D9E"/>
    <w:rsid w:val="67F12F04"/>
    <w:rsid w:val="680622D3"/>
    <w:rsid w:val="681E586F"/>
    <w:rsid w:val="682E5934"/>
    <w:rsid w:val="683E723F"/>
    <w:rsid w:val="68411DEB"/>
    <w:rsid w:val="685B5F60"/>
    <w:rsid w:val="68650D0D"/>
    <w:rsid w:val="687229B7"/>
    <w:rsid w:val="68774BAD"/>
    <w:rsid w:val="689B5ADF"/>
    <w:rsid w:val="68A31D7C"/>
    <w:rsid w:val="68E21580"/>
    <w:rsid w:val="68E319C0"/>
    <w:rsid w:val="69041D27"/>
    <w:rsid w:val="691632C2"/>
    <w:rsid w:val="691B1A18"/>
    <w:rsid w:val="695934A9"/>
    <w:rsid w:val="695C3D4C"/>
    <w:rsid w:val="696032D0"/>
    <w:rsid w:val="69711EC7"/>
    <w:rsid w:val="697F1113"/>
    <w:rsid w:val="698E07D2"/>
    <w:rsid w:val="6993278E"/>
    <w:rsid w:val="69AA0A18"/>
    <w:rsid w:val="69AE4295"/>
    <w:rsid w:val="69B624A1"/>
    <w:rsid w:val="69B91EF9"/>
    <w:rsid w:val="69BE6D3A"/>
    <w:rsid w:val="69CE1CE6"/>
    <w:rsid w:val="69D54084"/>
    <w:rsid w:val="69DA2108"/>
    <w:rsid w:val="69F70387"/>
    <w:rsid w:val="69FE701C"/>
    <w:rsid w:val="69FF5ACB"/>
    <w:rsid w:val="6A0230C5"/>
    <w:rsid w:val="6A196B8D"/>
    <w:rsid w:val="6A1B7B8C"/>
    <w:rsid w:val="6A1C273A"/>
    <w:rsid w:val="6A2E38CB"/>
    <w:rsid w:val="6A375EB9"/>
    <w:rsid w:val="6A3C1A58"/>
    <w:rsid w:val="6A8B3DFA"/>
    <w:rsid w:val="6AAB2AE7"/>
    <w:rsid w:val="6AB56E5F"/>
    <w:rsid w:val="6ABE79B8"/>
    <w:rsid w:val="6ABF1697"/>
    <w:rsid w:val="6AC768FA"/>
    <w:rsid w:val="6AE84CE6"/>
    <w:rsid w:val="6AF92250"/>
    <w:rsid w:val="6AFA5E61"/>
    <w:rsid w:val="6B023651"/>
    <w:rsid w:val="6B096402"/>
    <w:rsid w:val="6B201C3C"/>
    <w:rsid w:val="6B686FA7"/>
    <w:rsid w:val="6B804FA3"/>
    <w:rsid w:val="6B841780"/>
    <w:rsid w:val="6B893253"/>
    <w:rsid w:val="6BAA2DDD"/>
    <w:rsid w:val="6BC87C20"/>
    <w:rsid w:val="6BEB64C0"/>
    <w:rsid w:val="6BFF476F"/>
    <w:rsid w:val="6C0864F2"/>
    <w:rsid w:val="6C105C19"/>
    <w:rsid w:val="6C2F6CC9"/>
    <w:rsid w:val="6C4F1E8E"/>
    <w:rsid w:val="6C533628"/>
    <w:rsid w:val="6C6C570E"/>
    <w:rsid w:val="6C7812C6"/>
    <w:rsid w:val="6C9A56E0"/>
    <w:rsid w:val="6CAC1181"/>
    <w:rsid w:val="6CAE0EC1"/>
    <w:rsid w:val="6CB94E81"/>
    <w:rsid w:val="6CEE1A07"/>
    <w:rsid w:val="6CFC49A0"/>
    <w:rsid w:val="6D194857"/>
    <w:rsid w:val="6D367D18"/>
    <w:rsid w:val="6D3E2C6D"/>
    <w:rsid w:val="6D4217E3"/>
    <w:rsid w:val="6D6B65F0"/>
    <w:rsid w:val="6D9D5F3D"/>
    <w:rsid w:val="6DC01324"/>
    <w:rsid w:val="6DD779D0"/>
    <w:rsid w:val="6DE76150"/>
    <w:rsid w:val="6DF21D80"/>
    <w:rsid w:val="6DFF2662"/>
    <w:rsid w:val="6E032A7A"/>
    <w:rsid w:val="6E0D4D30"/>
    <w:rsid w:val="6E0D662B"/>
    <w:rsid w:val="6E4645B7"/>
    <w:rsid w:val="6E562395"/>
    <w:rsid w:val="6E600263"/>
    <w:rsid w:val="6EB61585"/>
    <w:rsid w:val="6EC86170"/>
    <w:rsid w:val="6EDE1933"/>
    <w:rsid w:val="6EE65108"/>
    <w:rsid w:val="6EEC2539"/>
    <w:rsid w:val="6EF039B5"/>
    <w:rsid w:val="6EFB307C"/>
    <w:rsid w:val="6F0D1A40"/>
    <w:rsid w:val="6F2055EB"/>
    <w:rsid w:val="6F2F6048"/>
    <w:rsid w:val="6F307C36"/>
    <w:rsid w:val="6F3260A0"/>
    <w:rsid w:val="6F5736B7"/>
    <w:rsid w:val="6F6E053E"/>
    <w:rsid w:val="6F766784"/>
    <w:rsid w:val="6F7D42FC"/>
    <w:rsid w:val="6F9D31FF"/>
    <w:rsid w:val="6FA61E3F"/>
    <w:rsid w:val="6FCA58CD"/>
    <w:rsid w:val="6FD601DD"/>
    <w:rsid w:val="6FDF5BC1"/>
    <w:rsid w:val="6FFD3694"/>
    <w:rsid w:val="70157E72"/>
    <w:rsid w:val="70407A00"/>
    <w:rsid w:val="705D2A1C"/>
    <w:rsid w:val="70624929"/>
    <w:rsid w:val="70685742"/>
    <w:rsid w:val="7069117D"/>
    <w:rsid w:val="7081142A"/>
    <w:rsid w:val="70867BA4"/>
    <w:rsid w:val="708E10B8"/>
    <w:rsid w:val="70906570"/>
    <w:rsid w:val="70C239E6"/>
    <w:rsid w:val="70D91C61"/>
    <w:rsid w:val="70DD7C48"/>
    <w:rsid w:val="70EF2C2E"/>
    <w:rsid w:val="70F73AE3"/>
    <w:rsid w:val="70F751F6"/>
    <w:rsid w:val="70F93A07"/>
    <w:rsid w:val="70FA499F"/>
    <w:rsid w:val="710D6480"/>
    <w:rsid w:val="712755F9"/>
    <w:rsid w:val="71366015"/>
    <w:rsid w:val="71367F8B"/>
    <w:rsid w:val="713F0604"/>
    <w:rsid w:val="71512965"/>
    <w:rsid w:val="715A543E"/>
    <w:rsid w:val="715C3990"/>
    <w:rsid w:val="71626F9A"/>
    <w:rsid w:val="716362B8"/>
    <w:rsid w:val="717C2C27"/>
    <w:rsid w:val="717D6CFC"/>
    <w:rsid w:val="718A067F"/>
    <w:rsid w:val="71AB3E76"/>
    <w:rsid w:val="71D613AA"/>
    <w:rsid w:val="71F118FE"/>
    <w:rsid w:val="72282959"/>
    <w:rsid w:val="723909FA"/>
    <w:rsid w:val="723C3E7D"/>
    <w:rsid w:val="724D2603"/>
    <w:rsid w:val="724F0D1A"/>
    <w:rsid w:val="72537C20"/>
    <w:rsid w:val="7276307C"/>
    <w:rsid w:val="728E7FB1"/>
    <w:rsid w:val="72C13C24"/>
    <w:rsid w:val="72D55D8E"/>
    <w:rsid w:val="72DF772A"/>
    <w:rsid w:val="73002FCB"/>
    <w:rsid w:val="730E040B"/>
    <w:rsid w:val="73267CCD"/>
    <w:rsid w:val="733A34C1"/>
    <w:rsid w:val="73725980"/>
    <w:rsid w:val="737D063E"/>
    <w:rsid w:val="7384745B"/>
    <w:rsid w:val="738F69B4"/>
    <w:rsid w:val="739F4F50"/>
    <w:rsid w:val="73A65B54"/>
    <w:rsid w:val="73B02E74"/>
    <w:rsid w:val="73B34873"/>
    <w:rsid w:val="73C2417B"/>
    <w:rsid w:val="73E94C2F"/>
    <w:rsid w:val="73F16564"/>
    <w:rsid w:val="73FE490E"/>
    <w:rsid w:val="74026073"/>
    <w:rsid w:val="7415295F"/>
    <w:rsid w:val="746D4F7B"/>
    <w:rsid w:val="747225B4"/>
    <w:rsid w:val="74C54D31"/>
    <w:rsid w:val="74F01503"/>
    <w:rsid w:val="74F1451E"/>
    <w:rsid w:val="7508619A"/>
    <w:rsid w:val="7510653F"/>
    <w:rsid w:val="751122B7"/>
    <w:rsid w:val="751E61B1"/>
    <w:rsid w:val="7564305D"/>
    <w:rsid w:val="757D1C32"/>
    <w:rsid w:val="75893CCE"/>
    <w:rsid w:val="75B90FBE"/>
    <w:rsid w:val="75BA7028"/>
    <w:rsid w:val="75D04904"/>
    <w:rsid w:val="75EF7125"/>
    <w:rsid w:val="75F57E11"/>
    <w:rsid w:val="75FD7FA8"/>
    <w:rsid w:val="761827D5"/>
    <w:rsid w:val="76284FEA"/>
    <w:rsid w:val="763A1CE3"/>
    <w:rsid w:val="764840EC"/>
    <w:rsid w:val="765D3000"/>
    <w:rsid w:val="76687E46"/>
    <w:rsid w:val="76720EB5"/>
    <w:rsid w:val="76B54369"/>
    <w:rsid w:val="76D350E5"/>
    <w:rsid w:val="76F05496"/>
    <w:rsid w:val="76F07C07"/>
    <w:rsid w:val="76FA59C6"/>
    <w:rsid w:val="77124FD8"/>
    <w:rsid w:val="771A6C45"/>
    <w:rsid w:val="772C5186"/>
    <w:rsid w:val="773109EF"/>
    <w:rsid w:val="7731732E"/>
    <w:rsid w:val="77457469"/>
    <w:rsid w:val="775C0528"/>
    <w:rsid w:val="7772528F"/>
    <w:rsid w:val="7776778C"/>
    <w:rsid w:val="777A1EB2"/>
    <w:rsid w:val="77835231"/>
    <w:rsid w:val="778B690D"/>
    <w:rsid w:val="77A617B0"/>
    <w:rsid w:val="77C60C75"/>
    <w:rsid w:val="77D625D6"/>
    <w:rsid w:val="77E46A27"/>
    <w:rsid w:val="77EB348D"/>
    <w:rsid w:val="77FF023F"/>
    <w:rsid w:val="780132C5"/>
    <w:rsid w:val="781B057D"/>
    <w:rsid w:val="782C49F8"/>
    <w:rsid w:val="78457E14"/>
    <w:rsid w:val="784D2045"/>
    <w:rsid w:val="7856153D"/>
    <w:rsid w:val="7863107C"/>
    <w:rsid w:val="78747A21"/>
    <w:rsid w:val="78756ECC"/>
    <w:rsid w:val="788019F4"/>
    <w:rsid w:val="78A57AE9"/>
    <w:rsid w:val="78A7540C"/>
    <w:rsid w:val="78BF76CB"/>
    <w:rsid w:val="78FB2B8F"/>
    <w:rsid w:val="78FD6169"/>
    <w:rsid w:val="790C526F"/>
    <w:rsid w:val="79142376"/>
    <w:rsid w:val="79202DA6"/>
    <w:rsid w:val="79224383"/>
    <w:rsid w:val="792558EC"/>
    <w:rsid w:val="79437293"/>
    <w:rsid w:val="79707591"/>
    <w:rsid w:val="79954710"/>
    <w:rsid w:val="79A5562D"/>
    <w:rsid w:val="79A8143C"/>
    <w:rsid w:val="79BE0423"/>
    <w:rsid w:val="79D813B0"/>
    <w:rsid w:val="7A007A8A"/>
    <w:rsid w:val="7A291E35"/>
    <w:rsid w:val="7A4C6BA0"/>
    <w:rsid w:val="7A53144A"/>
    <w:rsid w:val="7A5B1561"/>
    <w:rsid w:val="7A603A87"/>
    <w:rsid w:val="7A652F2A"/>
    <w:rsid w:val="7A706DE5"/>
    <w:rsid w:val="7A813A3B"/>
    <w:rsid w:val="7ADC6CE3"/>
    <w:rsid w:val="7B0272CC"/>
    <w:rsid w:val="7B1A042E"/>
    <w:rsid w:val="7B3B4033"/>
    <w:rsid w:val="7B4927AB"/>
    <w:rsid w:val="7B5260A6"/>
    <w:rsid w:val="7B571ABD"/>
    <w:rsid w:val="7B6F6D20"/>
    <w:rsid w:val="7B9E1124"/>
    <w:rsid w:val="7BA433C7"/>
    <w:rsid w:val="7BBC11CF"/>
    <w:rsid w:val="7C0D37D8"/>
    <w:rsid w:val="7C0F75F1"/>
    <w:rsid w:val="7C3A37FE"/>
    <w:rsid w:val="7C402C27"/>
    <w:rsid w:val="7C496238"/>
    <w:rsid w:val="7C5B3262"/>
    <w:rsid w:val="7C5C4760"/>
    <w:rsid w:val="7C6704C2"/>
    <w:rsid w:val="7C9C4B5C"/>
    <w:rsid w:val="7C9D014B"/>
    <w:rsid w:val="7CB65C1E"/>
    <w:rsid w:val="7CCF1FA9"/>
    <w:rsid w:val="7CDD22EC"/>
    <w:rsid w:val="7CF06932"/>
    <w:rsid w:val="7CF82F5A"/>
    <w:rsid w:val="7D3461CD"/>
    <w:rsid w:val="7D727852"/>
    <w:rsid w:val="7D7B310A"/>
    <w:rsid w:val="7D7E04D5"/>
    <w:rsid w:val="7D9077D9"/>
    <w:rsid w:val="7DA01F8E"/>
    <w:rsid w:val="7DC66308"/>
    <w:rsid w:val="7DD52D6F"/>
    <w:rsid w:val="7DDA1DE0"/>
    <w:rsid w:val="7DE83BC0"/>
    <w:rsid w:val="7DE94DF5"/>
    <w:rsid w:val="7DEC06A1"/>
    <w:rsid w:val="7DEF5B84"/>
    <w:rsid w:val="7E0C694B"/>
    <w:rsid w:val="7E21340A"/>
    <w:rsid w:val="7E3433A7"/>
    <w:rsid w:val="7E370FE0"/>
    <w:rsid w:val="7E651D2E"/>
    <w:rsid w:val="7E664271"/>
    <w:rsid w:val="7E69186F"/>
    <w:rsid w:val="7E8275DC"/>
    <w:rsid w:val="7E917E76"/>
    <w:rsid w:val="7EC6279D"/>
    <w:rsid w:val="7EE13DEF"/>
    <w:rsid w:val="7EFE648A"/>
    <w:rsid w:val="7F187F43"/>
    <w:rsid w:val="7F4D25E6"/>
    <w:rsid w:val="7F6D62D7"/>
    <w:rsid w:val="7F741F0B"/>
    <w:rsid w:val="7F7A56F2"/>
    <w:rsid w:val="7F7D0C75"/>
    <w:rsid w:val="7F886EF0"/>
    <w:rsid w:val="7FA57A4B"/>
    <w:rsid w:val="7FA60EA9"/>
    <w:rsid w:val="7FB66C38"/>
    <w:rsid w:val="7FB90C7E"/>
    <w:rsid w:val="7FC00D90"/>
    <w:rsid w:val="7FC95F9B"/>
    <w:rsid w:val="7FE14E89"/>
    <w:rsid w:val="7FF15898"/>
    <w:rsid w:val="7FF76A1E"/>
    <w:rsid w:val="7FFB100E"/>
    <w:rsid w:val="7FFB5E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209"/>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98"/>
    <w:qFormat/>
    <w:uiPriority w:val="0"/>
    <w:pPr>
      <w:keepNext/>
      <w:jc w:val="center"/>
      <w:outlineLvl w:val="0"/>
    </w:pPr>
    <w:rPr>
      <w:rFonts w:hint="eastAsia" w:ascii="仿宋_GB2312" w:hAnsi="仿宋_GB2312" w:eastAsia="宋体" w:cs="Times New Roman"/>
      <w:b/>
      <w:sz w:val="32"/>
      <w:szCs w:val="20"/>
    </w:rPr>
  </w:style>
  <w:style w:type="paragraph" w:styleId="3">
    <w:name w:val="heading 2"/>
    <w:basedOn w:val="1"/>
    <w:next w:val="1"/>
    <w:link w:val="215"/>
    <w:unhideWhenUsed/>
    <w:qFormat/>
    <w:uiPriority w:val="0"/>
    <w:pPr>
      <w:keepNext/>
      <w:keepLines/>
      <w:widowControl/>
      <w:spacing w:before="260" w:after="260"/>
      <w:ind w:left="284"/>
      <w:jc w:val="left"/>
      <w:outlineLvl w:val="1"/>
    </w:pPr>
    <w:rPr>
      <w:rFonts w:ascii="Arial" w:hAnsi="Arial" w:eastAsia="宋体" w:cs="Times New Roman"/>
      <w:b/>
      <w:kern w:val="0"/>
      <w:sz w:val="30"/>
      <w:szCs w:val="32"/>
    </w:rPr>
  </w:style>
  <w:style w:type="paragraph" w:styleId="4">
    <w:name w:val="heading 3"/>
    <w:basedOn w:val="1"/>
    <w:next w:val="5"/>
    <w:link w:val="78"/>
    <w:unhideWhenUsed/>
    <w:qFormat/>
    <w:uiPriority w:val="0"/>
    <w:pPr>
      <w:keepNext/>
      <w:spacing w:line="360" w:lineRule="auto"/>
      <w:jc w:val="center"/>
      <w:outlineLvl w:val="2"/>
    </w:pPr>
    <w:rPr>
      <w:rFonts w:ascii="Times New Roman" w:hAnsi="Times New Roman" w:eastAsia="宋体" w:cs="Times New Roman"/>
      <w:b/>
      <w:sz w:val="28"/>
    </w:rPr>
  </w:style>
  <w:style w:type="paragraph" w:styleId="6">
    <w:name w:val="heading 4"/>
    <w:basedOn w:val="1"/>
    <w:next w:val="1"/>
    <w:link w:val="99"/>
    <w:unhideWhenUsed/>
    <w:qFormat/>
    <w:uiPriority w:val="0"/>
    <w:pPr>
      <w:keepNext/>
      <w:keepLines/>
      <w:tabs>
        <w:tab w:val="left" w:pos="864"/>
      </w:tabs>
      <w:spacing w:before="120" w:line="360" w:lineRule="auto"/>
      <w:ind w:left="864" w:hanging="864"/>
      <w:outlineLvl w:val="3"/>
    </w:pPr>
    <w:rPr>
      <w:rFonts w:ascii="Arial" w:hAnsi="Arial" w:eastAsia="宋体" w:cs="Times New Roman"/>
      <w:bCs/>
      <w:sz w:val="24"/>
      <w:szCs w:val="28"/>
    </w:rPr>
  </w:style>
  <w:style w:type="paragraph" w:styleId="7">
    <w:name w:val="heading 5"/>
    <w:basedOn w:val="1"/>
    <w:next w:val="1"/>
    <w:link w:val="100"/>
    <w:semiHidden/>
    <w:unhideWhenUsed/>
    <w:qFormat/>
    <w:uiPriority w:val="0"/>
    <w:pPr>
      <w:keepNext/>
      <w:keepLines/>
      <w:spacing w:before="280" w:after="290" w:line="372" w:lineRule="auto"/>
      <w:outlineLvl w:val="4"/>
    </w:pPr>
    <w:rPr>
      <w:b/>
      <w:sz w:val="28"/>
    </w:rPr>
  </w:style>
  <w:style w:type="paragraph" w:styleId="8">
    <w:name w:val="heading 6"/>
    <w:basedOn w:val="1"/>
    <w:next w:val="1"/>
    <w:link w:val="101"/>
    <w:semiHidden/>
    <w:unhideWhenUsed/>
    <w:qFormat/>
    <w:uiPriority w:val="0"/>
    <w:pPr>
      <w:keepNext/>
      <w:keepLines/>
      <w:spacing w:before="240" w:after="64" w:line="317" w:lineRule="auto"/>
      <w:outlineLvl w:val="5"/>
    </w:pPr>
    <w:rPr>
      <w:rFonts w:ascii="Arial" w:hAnsi="Arial" w:eastAsia="黑体"/>
      <w:b/>
      <w:sz w:val="24"/>
    </w:rPr>
  </w:style>
  <w:style w:type="paragraph" w:styleId="9">
    <w:name w:val="heading 7"/>
    <w:basedOn w:val="1"/>
    <w:next w:val="1"/>
    <w:link w:val="102"/>
    <w:semiHidden/>
    <w:unhideWhenUsed/>
    <w:qFormat/>
    <w:uiPriority w:val="0"/>
    <w:pPr>
      <w:keepNext/>
      <w:keepLines/>
      <w:spacing w:before="240" w:after="64" w:line="317" w:lineRule="auto"/>
      <w:outlineLvl w:val="6"/>
    </w:pPr>
    <w:rPr>
      <w:b/>
      <w:sz w:val="24"/>
    </w:rPr>
  </w:style>
  <w:style w:type="paragraph" w:styleId="10">
    <w:name w:val="heading 8"/>
    <w:basedOn w:val="1"/>
    <w:next w:val="1"/>
    <w:link w:val="103"/>
    <w:semiHidden/>
    <w:unhideWhenUsed/>
    <w:qFormat/>
    <w:uiPriority w:val="0"/>
    <w:pPr>
      <w:keepNext/>
      <w:keepLines/>
      <w:spacing w:before="240" w:after="64" w:line="317" w:lineRule="auto"/>
      <w:outlineLvl w:val="7"/>
    </w:pPr>
    <w:rPr>
      <w:rFonts w:ascii="Arial" w:hAnsi="Arial" w:eastAsia="黑体"/>
      <w:sz w:val="24"/>
    </w:rPr>
  </w:style>
  <w:style w:type="paragraph" w:styleId="11">
    <w:name w:val="heading 9"/>
    <w:basedOn w:val="1"/>
    <w:next w:val="1"/>
    <w:link w:val="104"/>
    <w:semiHidden/>
    <w:unhideWhenUsed/>
    <w:qFormat/>
    <w:uiPriority w:val="0"/>
    <w:pPr>
      <w:keepNext/>
      <w:keepLines/>
      <w:spacing w:before="240" w:after="64" w:line="317" w:lineRule="auto"/>
      <w:outlineLvl w:val="8"/>
    </w:pPr>
    <w:rPr>
      <w:rFonts w:ascii="Arial" w:hAnsi="Arial" w:eastAsia="黑体"/>
    </w:rPr>
  </w:style>
  <w:style w:type="character" w:default="1" w:styleId="43">
    <w:name w:val="Default Paragraph Font"/>
    <w:semiHidden/>
    <w:unhideWhenUsed/>
    <w:qFormat/>
    <w:uiPriority w:val="1"/>
  </w:style>
  <w:style w:type="table" w:default="1" w:styleId="41">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176"/>
    <w:qFormat/>
    <w:uiPriority w:val="0"/>
    <w:pPr>
      <w:spacing w:line="300" w:lineRule="auto"/>
      <w:ind w:firstLine="420" w:firstLineChars="200"/>
    </w:pPr>
    <w:rPr>
      <w:rFonts w:ascii="Times New Roman" w:hAnsi="Times New Roman" w:eastAsia="宋体" w:cs="Times New Roman"/>
    </w:rPr>
  </w:style>
  <w:style w:type="paragraph" w:styleId="12">
    <w:name w:val="caption"/>
    <w:basedOn w:val="1"/>
    <w:next w:val="1"/>
    <w:link w:val="137"/>
    <w:semiHidden/>
    <w:unhideWhenUsed/>
    <w:qFormat/>
    <w:uiPriority w:val="0"/>
    <w:rPr>
      <w:rFonts w:ascii="Arial" w:hAnsi="Arial" w:eastAsia="黑体"/>
      <w:sz w:val="20"/>
    </w:rPr>
  </w:style>
  <w:style w:type="paragraph" w:styleId="13">
    <w:name w:val="Document Map"/>
    <w:basedOn w:val="1"/>
    <w:link w:val="150"/>
    <w:qFormat/>
    <w:uiPriority w:val="0"/>
    <w:pPr>
      <w:shd w:val="clear" w:color="auto" w:fill="000080"/>
    </w:pPr>
  </w:style>
  <w:style w:type="paragraph" w:styleId="14">
    <w:name w:val="annotation text"/>
    <w:basedOn w:val="1"/>
    <w:link w:val="140"/>
    <w:qFormat/>
    <w:uiPriority w:val="0"/>
    <w:pPr>
      <w:jc w:val="left"/>
    </w:pPr>
  </w:style>
  <w:style w:type="paragraph" w:styleId="15">
    <w:name w:val="Body Text 3"/>
    <w:basedOn w:val="1"/>
    <w:link w:val="143"/>
    <w:qFormat/>
    <w:uiPriority w:val="0"/>
    <w:pPr>
      <w:spacing w:after="120"/>
    </w:pPr>
    <w:rPr>
      <w:sz w:val="16"/>
    </w:rPr>
  </w:style>
  <w:style w:type="paragraph" w:styleId="16">
    <w:name w:val="Body Text"/>
    <w:basedOn w:val="1"/>
    <w:next w:val="1"/>
    <w:link w:val="95"/>
    <w:qFormat/>
    <w:uiPriority w:val="0"/>
    <w:pPr>
      <w:spacing w:after="120"/>
    </w:pPr>
    <w:rPr>
      <w:rFonts w:ascii="Times New Roman" w:hAnsi="Times New Roman" w:eastAsia="宋体" w:cs="Times New Roman"/>
      <w:szCs w:val="20"/>
    </w:rPr>
  </w:style>
  <w:style w:type="paragraph" w:styleId="17">
    <w:name w:val="Body Text Indent"/>
    <w:basedOn w:val="1"/>
    <w:next w:val="18"/>
    <w:link w:val="124"/>
    <w:qFormat/>
    <w:uiPriority w:val="0"/>
    <w:pPr>
      <w:spacing w:after="120"/>
      <w:ind w:left="420" w:leftChars="200"/>
    </w:pPr>
  </w:style>
  <w:style w:type="paragraph" w:styleId="18">
    <w:name w:val="Body Text First Indent 2"/>
    <w:basedOn w:val="17"/>
    <w:next w:val="1"/>
    <w:qFormat/>
    <w:uiPriority w:val="0"/>
    <w:pPr>
      <w:ind w:firstLine="420" w:firstLineChars="200"/>
    </w:pPr>
  </w:style>
  <w:style w:type="paragraph" w:styleId="19">
    <w:name w:val="Block Text"/>
    <w:basedOn w:val="1"/>
    <w:next w:val="20"/>
    <w:qFormat/>
    <w:uiPriority w:val="0"/>
    <w:pPr>
      <w:widowControl/>
      <w:tabs>
        <w:tab w:val="right" w:pos="8640"/>
      </w:tabs>
      <w:spacing w:after="120"/>
      <w:ind w:left="1440" w:leftChars="700" w:right="1440"/>
    </w:pPr>
    <w:rPr>
      <w:rFonts w:ascii="Garamond" w:hAnsi="Garamond" w:eastAsia="Times New Roman" w:cs="Times New Roman"/>
      <w:spacing w:val="-2"/>
      <w:kern w:val="0"/>
      <w:sz w:val="24"/>
    </w:rPr>
  </w:style>
  <w:style w:type="paragraph" w:styleId="20">
    <w:name w:val="Plain Text"/>
    <w:basedOn w:val="1"/>
    <w:next w:val="1"/>
    <w:link w:val="131"/>
    <w:qFormat/>
    <w:uiPriority w:val="0"/>
    <w:rPr>
      <w:rFonts w:hint="eastAsia" w:ascii="宋体" w:hAnsi="Courier New" w:eastAsia="宋体" w:cs="Times New Roman"/>
      <w:szCs w:val="20"/>
    </w:rPr>
  </w:style>
  <w:style w:type="paragraph" w:styleId="21">
    <w:name w:val="HTML Address"/>
    <w:basedOn w:val="1"/>
    <w:link w:val="185"/>
    <w:qFormat/>
    <w:uiPriority w:val="0"/>
    <w:rPr>
      <w:i/>
    </w:rPr>
  </w:style>
  <w:style w:type="paragraph" w:styleId="22">
    <w:name w:val="toc 3"/>
    <w:basedOn w:val="1"/>
    <w:next w:val="1"/>
    <w:qFormat/>
    <w:uiPriority w:val="0"/>
    <w:pPr>
      <w:ind w:left="840" w:leftChars="400"/>
    </w:pPr>
    <w:rPr>
      <w:rFonts w:ascii="Times New Roman" w:hAnsi="Times New Roman" w:eastAsia="宋体" w:cs="Times New Roman"/>
      <w:szCs w:val="20"/>
    </w:rPr>
  </w:style>
  <w:style w:type="paragraph" w:styleId="23">
    <w:name w:val="Date"/>
    <w:basedOn w:val="1"/>
    <w:next w:val="1"/>
    <w:link w:val="107"/>
    <w:qFormat/>
    <w:uiPriority w:val="0"/>
    <w:pPr>
      <w:ind w:left="100" w:leftChars="2500"/>
    </w:pPr>
  </w:style>
  <w:style w:type="paragraph" w:styleId="24">
    <w:name w:val="Body Text Indent 2"/>
    <w:basedOn w:val="1"/>
    <w:link w:val="141"/>
    <w:qFormat/>
    <w:uiPriority w:val="0"/>
    <w:pPr>
      <w:spacing w:after="120" w:line="480" w:lineRule="auto"/>
      <w:ind w:left="420" w:leftChars="200"/>
    </w:pPr>
  </w:style>
  <w:style w:type="paragraph" w:styleId="25">
    <w:name w:val="endnote text"/>
    <w:basedOn w:val="1"/>
    <w:link w:val="118"/>
    <w:qFormat/>
    <w:uiPriority w:val="0"/>
    <w:pPr>
      <w:snapToGrid w:val="0"/>
      <w:jc w:val="left"/>
    </w:pPr>
  </w:style>
  <w:style w:type="paragraph" w:styleId="26">
    <w:name w:val="Balloon Text"/>
    <w:basedOn w:val="1"/>
    <w:link w:val="121"/>
    <w:qFormat/>
    <w:uiPriority w:val="0"/>
    <w:rPr>
      <w:sz w:val="18"/>
    </w:rPr>
  </w:style>
  <w:style w:type="paragraph" w:styleId="27">
    <w:name w:val="footer"/>
    <w:basedOn w:val="1"/>
    <w:link w:val="110"/>
    <w:qFormat/>
    <w:uiPriority w:val="0"/>
    <w:pPr>
      <w:tabs>
        <w:tab w:val="center" w:pos="4153"/>
        <w:tab w:val="right" w:pos="8306"/>
      </w:tabs>
      <w:snapToGrid w:val="0"/>
      <w:jc w:val="left"/>
    </w:pPr>
    <w:rPr>
      <w:rFonts w:ascii="Times New Roman" w:hAnsi="Times New Roman" w:eastAsia="宋体" w:cs="Times New Roman"/>
      <w:sz w:val="18"/>
      <w:szCs w:val="18"/>
    </w:rPr>
  </w:style>
  <w:style w:type="paragraph" w:styleId="28">
    <w:name w:val="envelope return"/>
    <w:basedOn w:val="1"/>
    <w:qFormat/>
    <w:uiPriority w:val="0"/>
    <w:pPr>
      <w:snapToGrid w:val="0"/>
    </w:pPr>
    <w:rPr>
      <w:rFonts w:ascii="Arial" w:hAnsi="Arial"/>
    </w:rPr>
  </w:style>
  <w:style w:type="paragraph" w:styleId="29">
    <w:name w:val="header"/>
    <w:basedOn w:val="1"/>
    <w:link w:val="88"/>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30">
    <w:name w:val="toc 1"/>
    <w:basedOn w:val="1"/>
    <w:next w:val="1"/>
    <w:qFormat/>
    <w:uiPriority w:val="0"/>
    <w:rPr>
      <w:rFonts w:ascii="Times New Roman" w:hAnsi="Times New Roman" w:eastAsia="宋体" w:cs="Times New Roman"/>
      <w:szCs w:val="20"/>
    </w:rPr>
  </w:style>
  <w:style w:type="paragraph" w:styleId="31">
    <w:name w:val="Subtitle"/>
    <w:basedOn w:val="1"/>
    <w:link w:val="168"/>
    <w:qFormat/>
    <w:uiPriority w:val="0"/>
    <w:pPr>
      <w:spacing w:before="240" w:after="60" w:line="312" w:lineRule="auto"/>
      <w:jc w:val="center"/>
      <w:outlineLvl w:val="1"/>
    </w:pPr>
    <w:rPr>
      <w:rFonts w:ascii="Arial" w:hAnsi="Arial"/>
      <w:b/>
      <w:kern w:val="28"/>
      <w:sz w:val="32"/>
    </w:rPr>
  </w:style>
  <w:style w:type="paragraph" w:styleId="32">
    <w:name w:val="footnote text"/>
    <w:basedOn w:val="1"/>
    <w:link w:val="170"/>
    <w:qFormat/>
    <w:uiPriority w:val="0"/>
    <w:pPr>
      <w:snapToGrid w:val="0"/>
      <w:jc w:val="left"/>
    </w:pPr>
    <w:rPr>
      <w:sz w:val="18"/>
    </w:rPr>
  </w:style>
  <w:style w:type="paragraph" w:styleId="33">
    <w:name w:val="Body Text Indent 3"/>
    <w:basedOn w:val="1"/>
    <w:link w:val="106"/>
    <w:qFormat/>
    <w:uiPriority w:val="0"/>
    <w:pPr>
      <w:spacing w:after="120"/>
      <w:ind w:left="420" w:leftChars="200"/>
    </w:pPr>
    <w:rPr>
      <w:sz w:val="16"/>
    </w:rPr>
  </w:style>
  <w:style w:type="paragraph" w:styleId="34">
    <w:name w:val="toc 2"/>
    <w:basedOn w:val="1"/>
    <w:next w:val="1"/>
    <w:link w:val="73"/>
    <w:qFormat/>
    <w:uiPriority w:val="0"/>
    <w:pPr>
      <w:ind w:left="420" w:leftChars="200"/>
    </w:pPr>
    <w:rPr>
      <w:rFonts w:ascii="Times New Roman" w:hAnsi="Times New Roman" w:eastAsia="宋体" w:cs="Times New Roman"/>
      <w:kern w:val="0"/>
      <w:sz w:val="20"/>
      <w:szCs w:val="20"/>
    </w:rPr>
  </w:style>
  <w:style w:type="paragraph" w:styleId="35">
    <w:name w:val="Body Text 2"/>
    <w:basedOn w:val="1"/>
    <w:link w:val="111"/>
    <w:qFormat/>
    <w:uiPriority w:val="0"/>
    <w:pPr>
      <w:spacing w:after="120" w:line="480" w:lineRule="auto"/>
    </w:pPr>
  </w:style>
  <w:style w:type="paragraph" w:styleId="36">
    <w:name w:val="HTML Preformatted"/>
    <w:basedOn w:val="1"/>
    <w:link w:val="184"/>
    <w:qFormat/>
    <w:uiPriority w:val="0"/>
    <w:rPr>
      <w:rFonts w:ascii="Courier New" w:hAnsi="Courier New"/>
      <w:sz w:val="20"/>
    </w:rPr>
  </w:style>
  <w:style w:type="paragraph" w:styleId="37">
    <w:name w:val="Normal (Web)"/>
    <w:basedOn w:val="1"/>
    <w:next w:val="28"/>
    <w:qFormat/>
    <w:uiPriority w:val="0"/>
    <w:pPr>
      <w:widowControl/>
      <w:spacing w:beforeAutospacing="1" w:afterAutospacing="1"/>
      <w:jc w:val="left"/>
    </w:pPr>
    <w:rPr>
      <w:rFonts w:hint="eastAsia" w:ascii="宋体" w:hAnsi="宋体" w:eastAsia="宋体" w:cs="Times New Roman"/>
      <w:kern w:val="0"/>
      <w:sz w:val="24"/>
    </w:rPr>
  </w:style>
  <w:style w:type="paragraph" w:styleId="38">
    <w:name w:val="Title"/>
    <w:basedOn w:val="1"/>
    <w:link w:val="116"/>
    <w:qFormat/>
    <w:uiPriority w:val="0"/>
    <w:pPr>
      <w:spacing w:before="240" w:after="60"/>
      <w:jc w:val="center"/>
      <w:outlineLvl w:val="0"/>
    </w:pPr>
    <w:rPr>
      <w:rFonts w:ascii="Arial" w:hAnsi="Arial"/>
      <w:b/>
      <w:sz w:val="32"/>
    </w:rPr>
  </w:style>
  <w:style w:type="paragraph" w:styleId="39">
    <w:name w:val="annotation subject"/>
    <w:basedOn w:val="14"/>
    <w:next w:val="14"/>
    <w:link w:val="86"/>
    <w:qFormat/>
    <w:uiPriority w:val="0"/>
    <w:rPr>
      <w:b/>
    </w:rPr>
  </w:style>
  <w:style w:type="paragraph" w:styleId="40">
    <w:name w:val="Body Text First Indent"/>
    <w:basedOn w:val="16"/>
    <w:next w:val="16"/>
    <w:qFormat/>
    <w:uiPriority w:val="0"/>
    <w:pPr>
      <w:widowControl w:val="0"/>
      <w:spacing w:after="120"/>
      <w:ind w:firstLine="420" w:firstLineChars="100"/>
      <w:jc w:val="both"/>
    </w:pPr>
    <w:rPr>
      <w:rFonts w:ascii="Times New Roman" w:hAnsi="Times New Roman" w:eastAsia="仿宋_GB2312" w:cs="Times New Roman"/>
      <w:kern w:val="2"/>
      <w:sz w:val="28"/>
      <w:szCs w:val="24"/>
      <w:lang w:val="en-US" w:eastAsia="zh-CN" w:bidi="ar-SA"/>
    </w:rPr>
  </w:style>
  <w:style w:type="table" w:styleId="42">
    <w:name w:val="Table Grid"/>
    <w:basedOn w:val="4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character" w:styleId="44">
    <w:name w:val="Strong"/>
    <w:basedOn w:val="43"/>
    <w:qFormat/>
    <w:uiPriority w:val="0"/>
    <w:rPr>
      <w:b/>
      <w:bCs/>
    </w:rPr>
  </w:style>
  <w:style w:type="character" w:styleId="45">
    <w:name w:val="endnote reference"/>
    <w:basedOn w:val="43"/>
    <w:qFormat/>
    <w:uiPriority w:val="0"/>
    <w:rPr>
      <w:vertAlign w:val="superscript"/>
    </w:rPr>
  </w:style>
  <w:style w:type="character" w:styleId="46">
    <w:name w:val="FollowedHyperlink"/>
    <w:basedOn w:val="43"/>
    <w:qFormat/>
    <w:uiPriority w:val="0"/>
    <w:rPr>
      <w:rFonts w:hint="eastAsia" w:ascii="宋体" w:hAnsi="宋体" w:eastAsia="宋体" w:cs="宋体"/>
      <w:color w:val="000000"/>
      <w:sz w:val="18"/>
      <w:szCs w:val="18"/>
      <w:u w:val="none"/>
    </w:rPr>
  </w:style>
  <w:style w:type="character" w:styleId="47">
    <w:name w:val="Emphasis"/>
    <w:basedOn w:val="43"/>
    <w:qFormat/>
    <w:uiPriority w:val="0"/>
    <w:rPr>
      <w:b/>
      <w:bCs/>
    </w:rPr>
  </w:style>
  <w:style w:type="character" w:styleId="48">
    <w:name w:val="HTML Definition"/>
    <w:basedOn w:val="43"/>
    <w:qFormat/>
    <w:uiPriority w:val="0"/>
  </w:style>
  <w:style w:type="character" w:styleId="49">
    <w:name w:val="HTML Typewriter"/>
    <w:basedOn w:val="43"/>
    <w:qFormat/>
    <w:uiPriority w:val="0"/>
    <w:rPr>
      <w:rFonts w:hint="eastAsia" w:ascii="黑体" w:hAnsi="Courier New" w:eastAsia="黑体" w:cs="Courier New"/>
      <w:sz w:val="20"/>
    </w:rPr>
  </w:style>
  <w:style w:type="character" w:styleId="50">
    <w:name w:val="HTML Acronym"/>
    <w:basedOn w:val="43"/>
    <w:qFormat/>
    <w:uiPriority w:val="0"/>
  </w:style>
  <w:style w:type="character" w:styleId="51">
    <w:name w:val="HTML Variable"/>
    <w:basedOn w:val="43"/>
    <w:qFormat/>
    <w:uiPriority w:val="0"/>
  </w:style>
  <w:style w:type="character" w:styleId="52">
    <w:name w:val="Hyperlink"/>
    <w:basedOn w:val="43"/>
    <w:qFormat/>
    <w:uiPriority w:val="0"/>
    <w:rPr>
      <w:rFonts w:hint="eastAsia" w:ascii="宋体" w:hAnsi="宋体" w:eastAsia="宋体" w:cs="宋体"/>
      <w:color w:val="000000"/>
      <w:sz w:val="18"/>
      <w:szCs w:val="18"/>
      <w:u w:val="none"/>
    </w:rPr>
  </w:style>
  <w:style w:type="character" w:styleId="53">
    <w:name w:val="HTML Code"/>
    <w:basedOn w:val="43"/>
    <w:qFormat/>
    <w:uiPriority w:val="0"/>
    <w:rPr>
      <w:rFonts w:hint="default" w:ascii="monospace" w:hAnsi="monospace" w:eastAsia="monospace" w:cs="monospace"/>
      <w:sz w:val="21"/>
      <w:szCs w:val="21"/>
    </w:rPr>
  </w:style>
  <w:style w:type="character" w:styleId="54">
    <w:name w:val="annotation reference"/>
    <w:basedOn w:val="43"/>
    <w:qFormat/>
    <w:uiPriority w:val="0"/>
    <w:rPr>
      <w:sz w:val="21"/>
      <w:szCs w:val="21"/>
    </w:rPr>
  </w:style>
  <w:style w:type="character" w:styleId="55">
    <w:name w:val="HTML Cite"/>
    <w:basedOn w:val="43"/>
    <w:qFormat/>
    <w:uiPriority w:val="0"/>
  </w:style>
  <w:style w:type="character" w:styleId="56">
    <w:name w:val="footnote reference"/>
    <w:basedOn w:val="43"/>
    <w:qFormat/>
    <w:uiPriority w:val="0"/>
    <w:rPr>
      <w:vertAlign w:val="superscript"/>
    </w:rPr>
  </w:style>
  <w:style w:type="character" w:styleId="57">
    <w:name w:val="HTML Keyboard"/>
    <w:basedOn w:val="43"/>
    <w:qFormat/>
    <w:uiPriority w:val="0"/>
    <w:rPr>
      <w:rFonts w:hint="default" w:ascii="monospace" w:hAnsi="monospace" w:eastAsia="monospace" w:cs="monospace"/>
      <w:sz w:val="21"/>
      <w:szCs w:val="21"/>
    </w:rPr>
  </w:style>
  <w:style w:type="character" w:styleId="58">
    <w:name w:val="HTML Sample"/>
    <w:basedOn w:val="43"/>
    <w:qFormat/>
    <w:uiPriority w:val="0"/>
    <w:rPr>
      <w:rFonts w:hint="default" w:ascii="monospace" w:hAnsi="monospace" w:eastAsia="monospace" w:cs="monospace"/>
      <w:sz w:val="21"/>
      <w:szCs w:val="21"/>
    </w:rPr>
  </w:style>
  <w:style w:type="paragraph" w:customStyle="1" w:styleId="59">
    <w:name w:val="BodyText"/>
    <w:basedOn w:val="1"/>
    <w:qFormat/>
    <w:uiPriority w:val="0"/>
    <w:pPr>
      <w:spacing w:after="120"/>
    </w:pPr>
  </w:style>
  <w:style w:type="paragraph" w:customStyle="1" w:styleId="60">
    <w:name w:val="Default"/>
    <w:next w:val="61"/>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61">
    <w:name w:val="大标题"/>
    <w:basedOn w:val="1"/>
    <w:next w:val="18"/>
    <w:qFormat/>
    <w:uiPriority w:val="0"/>
    <w:pPr>
      <w:jc w:val="center"/>
    </w:pPr>
    <w:rPr>
      <w:rFonts w:ascii="Arial" w:hAnsi="Arial" w:eastAsia="宋体"/>
      <w:b/>
      <w:sz w:val="28"/>
    </w:rPr>
  </w:style>
  <w:style w:type="paragraph" w:customStyle="1" w:styleId="62">
    <w:name w:val="首行缩进"/>
    <w:basedOn w:val="1"/>
    <w:qFormat/>
    <w:uiPriority w:val="0"/>
    <w:pPr>
      <w:spacing w:line="360" w:lineRule="auto"/>
      <w:ind w:firstLine="480" w:firstLineChars="200"/>
    </w:pPr>
    <w:rPr>
      <w:rFonts w:ascii="Times New Roman" w:hAnsi="Times New Roman" w:eastAsia="宋体" w:cs="Times New Roman"/>
      <w:sz w:val="24"/>
      <w:szCs w:val="22"/>
    </w:rPr>
  </w:style>
  <w:style w:type="paragraph" w:customStyle="1" w:styleId="63">
    <w:name w:val="表格文字"/>
    <w:basedOn w:val="1"/>
    <w:qFormat/>
    <w:uiPriority w:val="0"/>
    <w:pPr>
      <w:spacing w:before="120" w:after="120"/>
    </w:pPr>
    <w:rPr>
      <w:rFonts w:hint="eastAsia" w:ascii="新宋体" w:hAnsi="宋体" w:eastAsia="新宋体" w:cs="Times New Roman"/>
      <w:bCs/>
      <w:color w:val="000000"/>
      <w:kern w:val="0"/>
      <w:sz w:val="18"/>
      <w:szCs w:val="18"/>
    </w:rPr>
  </w:style>
  <w:style w:type="character" w:customStyle="1" w:styleId="64">
    <w:name w:val="正文文本 2 Char1"/>
    <w:basedOn w:val="43"/>
    <w:qFormat/>
    <w:uiPriority w:val="0"/>
    <w:rPr>
      <w:kern w:val="2"/>
      <w:sz w:val="21"/>
    </w:rPr>
  </w:style>
  <w:style w:type="character" w:customStyle="1" w:styleId="65">
    <w:name w:val="font51"/>
    <w:basedOn w:val="43"/>
    <w:qFormat/>
    <w:uiPriority w:val="0"/>
    <w:rPr>
      <w:rFonts w:hint="eastAsia" w:ascii="宋体" w:hAnsi="宋体" w:eastAsia="宋体" w:cs="宋体"/>
      <w:b/>
      <w:color w:val="000000"/>
      <w:sz w:val="20"/>
      <w:szCs w:val="20"/>
      <w:u w:val="none"/>
    </w:rPr>
  </w:style>
  <w:style w:type="character" w:customStyle="1" w:styleId="66">
    <w:name w:val="样式 正文缩进 + 首行缩进:  2 字符 段前: 0.5 行 段后: 0.5 行 Char"/>
    <w:basedOn w:val="43"/>
    <w:qFormat/>
    <w:uiPriority w:val="0"/>
    <w:rPr>
      <w:rFonts w:hint="eastAsia" w:ascii="宋体" w:hAnsi="宋体" w:eastAsia="宋体" w:cs="宋体"/>
      <w:kern w:val="2"/>
      <w:sz w:val="24"/>
    </w:rPr>
  </w:style>
  <w:style w:type="character" w:customStyle="1" w:styleId="67">
    <w:name w:val="ziti12-333-25"/>
    <w:basedOn w:val="43"/>
    <w:qFormat/>
    <w:uiPriority w:val="0"/>
  </w:style>
  <w:style w:type="paragraph" w:customStyle="1" w:styleId="68">
    <w:name w:val="正文缩进1"/>
    <w:basedOn w:val="1"/>
    <w:qFormat/>
    <w:uiPriority w:val="0"/>
    <w:pPr>
      <w:ind w:firstLine="200" w:firstLineChars="200"/>
    </w:pPr>
    <w:rPr>
      <w:rFonts w:ascii="Times New Roman" w:hAnsi="Times New Roman" w:eastAsia="宋体" w:cs="Times New Roman"/>
      <w:szCs w:val="20"/>
    </w:rPr>
  </w:style>
  <w:style w:type="character" w:customStyle="1" w:styleId="69">
    <w:name w:val="apple-converted-space"/>
    <w:basedOn w:val="43"/>
    <w:qFormat/>
    <w:uiPriority w:val="0"/>
  </w:style>
  <w:style w:type="character" w:customStyle="1" w:styleId="70">
    <w:name w:val="font121"/>
    <w:basedOn w:val="43"/>
    <w:qFormat/>
    <w:uiPriority w:val="0"/>
    <w:rPr>
      <w:rFonts w:hint="eastAsia" w:ascii="宋体" w:hAnsi="宋体" w:eastAsia="宋体" w:cs="宋体"/>
      <w:color w:val="000000"/>
      <w:sz w:val="22"/>
      <w:szCs w:val="22"/>
      <w:u w:val="none"/>
    </w:rPr>
  </w:style>
  <w:style w:type="character" w:customStyle="1" w:styleId="71">
    <w:name w:val="unnamed11"/>
    <w:basedOn w:val="43"/>
    <w:qFormat/>
    <w:uiPriority w:val="0"/>
  </w:style>
  <w:style w:type="paragraph" w:customStyle="1" w:styleId="72">
    <w:name w:val="纯文本1"/>
    <w:basedOn w:val="1"/>
    <w:qFormat/>
    <w:uiPriority w:val="0"/>
    <w:pPr>
      <w:spacing w:line="324" w:lineRule="auto"/>
    </w:pPr>
    <w:rPr>
      <w:rFonts w:hint="eastAsia" w:ascii="宋体" w:hAnsi="Courier New" w:eastAsia="宋体" w:cs="Times New Roman"/>
      <w:szCs w:val="21"/>
    </w:rPr>
  </w:style>
  <w:style w:type="character" w:customStyle="1" w:styleId="73">
    <w:name w:val="TOC 2 字符"/>
    <w:basedOn w:val="43"/>
    <w:link w:val="34"/>
    <w:qFormat/>
    <w:uiPriority w:val="0"/>
  </w:style>
  <w:style w:type="character" w:customStyle="1" w:styleId="74">
    <w:name w:val="副标题 字符1"/>
    <w:basedOn w:val="43"/>
    <w:qFormat/>
    <w:uiPriority w:val="0"/>
    <w:rPr>
      <w:rFonts w:hint="eastAsia" w:ascii="等线" w:hAnsi="等线" w:eastAsia="等线" w:cs="Times New Roman"/>
      <w:b/>
      <w:kern w:val="28"/>
      <w:sz w:val="32"/>
      <w:szCs w:val="32"/>
    </w:rPr>
  </w:style>
  <w:style w:type="character" w:customStyle="1" w:styleId="75">
    <w:name w:val="纯文本 字符1"/>
    <w:basedOn w:val="43"/>
    <w:qFormat/>
    <w:uiPriority w:val="0"/>
    <w:rPr>
      <w:rFonts w:hint="eastAsia" w:ascii="等线" w:hAnsi="Courier New" w:eastAsia="等线" w:cs="Courier New"/>
      <w:kern w:val="2"/>
      <w:sz w:val="21"/>
    </w:rPr>
  </w:style>
  <w:style w:type="character" w:customStyle="1" w:styleId="76">
    <w:name w:val="标题 2 字符"/>
    <w:basedOn w:val="43"/>
    <w:qFormat/>
    <w:uiPriority w:val="0"/>
    <w:rPr>
      <w:rFonts w:hint="default" w:ascii="Arial" w:hAnsi="Arial" w:eastAsia="宋体" w:cs="Arial"/>
      <w:b/>
      <w:sz w:val="30"/>
      <w:szCs w:val="32"/>
    </w:rPr>
  </w:style>
  <w:style w:type="character" w:customStyle="1" w:styleId="77">
    <w:name w:val="indent"/>
    <w:basedOn w:val="43"/>
    <w:qFormat/>
    <w:uiPriority w:val="0"/>
  </w:style>
  <w:style w:type="character" w:customStyle="1" w:styleId="78">
    <w:name w:val="标题 3 字符"/>
    <w:basedOn w:val="43"/>
    <w:link w:val="4"/>
    <w:qFormat/>
    <w:uiPriority w:val="0"/>
    <w:rPr>
      <w:rFonts w:ascii="Times New Roman" w:hAnsi="Times New Roman" w:eastAsia="宋体"/>
      <w:b/>
      <w:kern w:val="2"/>
      <w:sz w:val="28"/>
      <w:szCs w:val="24"/>
    </w:rPr>
  </w:style>
  <w:style w:type="character" w:customStyle="1" w:styleId="79">
    <w:name w:val="index-name-935ff"/>
    <w:basedOn w:val="43"/>
    <w:qFormat/>
    <w:uiPriority w:val="0"/>
    <w:rPr>
      <w:sz w:val="24"/>
      <w:szCs w:val="24"/>
    </w:rPr>
  </w:style>
  <w:style w:type="character" w:customStyle="1" w:styleId="80">
    <w:name w:val="back"/>
    <w:basedOn w:val="43"/>
    <w:qFormat/>
    <w:uiPriority w:val="0"/>
    <w:rPr>
      <w:shd w:val="clear" w:color="auto" w:fill="111111"/>
    </w:rPr>
  </w:style>
  <w:style w:type="character" w:customStyle="1" w:styleId="81">
    <w:name w:val="Char Char7"/>
    <w:basedOn w:val="43"/>
    <w:qFormat/>
    <w:uiPriority w:val="0"/>
    <w:rPr>
      <w:rFonts w:hint="eastAsia" w:ascii="宋体" w:hAnsi="Courier New" w:eastAsia="宋体" w:cs="宋体"/>
      <w:kern w:val="2"/>
      <w:sz w:val="21"/>
      <w:lang w:val="en-US" w:eastAsia="zh-CN" w:bidi="ar"/>
    </w:rPr>
  </w:style>
  <w:style w:type="character" w:customStyle="1" w:styleId="82">
    <w:name w:val="ds-reads-app-special"/>
    <w:basedOn w:val="43"/>
    <w:qFormat/>
    <w:uiPriority w:val="0"/>
    <w:rPr>
      <w:color w:val="FFFFFF"/>
      <w:shd w:val="clear" w:color="auto" w:fill="F94A47"/>
    </w:rPr>
  </w:style>
  <w:style w:type="character" w:customStyle="1" w:styleId="83">
    <w:name w:val="nth-child(1)1"/>
    <w:basedOn w:val="43"/>
    <w:qFormat/>
    <w:uiPriority w:val="0"/>
  </w:style>
  <w:style w:type="paragraph" w:customStyle="1" w:styleId="84">
    <w:name w:val="表注1"/>
    <w:basedOn w:val="1"/>
    <w:qFormat/>
    <w:uiPriority w:val="0"/>
    <w:pPr>
      <w:adjustRightInd w:val="0"/>
      <w:snapToGrid w:val="0"/>
      <w:spacing w:beforeLines="50" w:line="300" w:lineRule="auto"/>
      <w:ind w:left="350" w:hanging="350" w:hangingChars="350"/>
    </w:pPr>
    <w:rPr>
      <w:rFonts w:ascii="Times New Roman" w:hAnsi="Times New Roman" w:eastAsia="仿宋_GB2312" w:cs="Times New Roman"/>
      <w:bCs/>
      <w:color w:val="000000"/>
    </w:rPr>
  </w:style>
  <w:style w:type="character" w:customStyle="1" w:styleId="85">
    <w:name w:val="正文文本 2 字符1"/>
    <w:basedOn w:val="43"/>
    <w:qFormat/>
    <w:uiPriority w:val="0"/>
    <w:rPr>
      <w:kern w:val="2"/>
      <w:sz w:val="21"/>
    </w:rPr>
  </w:style>
  <w:style w:type="character" w:customStyle="1" w:styleId="86">
    <w:name w:val="批注主题 字符"/>
    <w:basedOn w:val="43"/>
    <w:link w:val="39"/>
    <w:qFormat/>
    <w:uiPriority w:val="0"/>
    <w:rPr>
      <w:b/>
      <w:kern w:val="2"/>
      <w:sz w:val="21"/>
      <w:szCs w:val="24"/>
    </w:rPr>
  </w:style>
  <w:style w:type="character" w:customStyle="1" w:styleId="87">
    <w:name w:val="s1"/>
    <w:basedOn w:val="43"/>
    <w:qFormat/>
    <w:uiPriority w:val="0"/>
    <w:rPr>
      <w:rFonts w:hint="default" w:ascii="Helvetica" w:hAnsi="Helvetica" w:eastAsia="Helvetica" w:cs="Helvetica"/>
      <w:sz w:val="24"/>
      <w:szCs w:val="24"/>
    </w:rPr>
  </w:style>
  <w:style w:type="character" w:customStyle="1" w:styleId="88">
    <w:name w:val="页眉 字符"/>
    <w:basedOn w:val="43"/>
    <w:link w:val="29"/>
    <w:qFormat/>
    <w:uiPriority w:val="0"/>
    <w:rPr>
      <w:kern w:val="2"/>
      <w:sz w:val="18"/>
      <w:szCs w:val="18"/>
    </w:rPr>
  </w:style>
  <w:style w:type="character" w:customStyle="1" w:styleId="89">
    <w:name w:val="tmpztreemove_arrow"/>
    <w:basedOn w:val="43"/>
    <w:qFormat/>
    <w:uiPriority w:val="0"/>
    <w:rPr>
      <w:shd w:val="clear" w:color="auto" w:fill="FFFFFF"/>
    </w:rPr>
  </w:style>
  <w:style w:type="character" w:customStyle="1" w:styleId="90">
    <w:name w:val="glyphicon4"/>
    <w:basedOn w:val="43"/>
    <w:qFormat/>
    <w:uiPriority w:val="0"/>
  </w:style>
  <w:style w:type="character" w:customStyle="1" w:styleId="91">
    <w:name w:val="stclosebtn"/>
    <w:basedOn w:val="43"/>
    <w:qFormat/>
    <w:uiPriority w:val="0"/>
  </w:style>
  <w:style w:type="character" w:customStyle="1" w:styleId="92">
    <w:name w:val="ca-01"/>
    <w:basedOn w:val="43"/>
    <w:qFormat/>
    <w:uiPriority w:val="0"/>
    <w:rPr>
      <w:rFonts w:hint="eastAsia" w:ascii="宋体" w:hAnsi="宋体" w:eastAsia="宋体" w:cs="宋体"/>
      <w:sz w:val="28"/>
      <w:szCs w:val="28"/>
    </w:rPr>
  </w:style>
  <w:style w:type="character" w:customStyle="1" w:styleId="93">
    <w:name w:val="first-child"/>
    <w:basedOn w:val="43"/>
    <w:qFormat/>
    <w:uiPriority w:val="0"/>
  </w:style>
  <w:style w:type="character" w:customStyle="1" w:styleId="94">
    <w:name w:val="ds-unread-count"/>
    <w:basedOn w:val="43"/>
    <w:qFormat/>
    <w:uiPriority w:val="0"/>
    <w:rPr>
      <w:b/>
      <w:color w:val="EE3322"/>
    </w:rPr>
  </w:style>
  <w:style w:type="character" w:customStyle="1" w:styleId="95">
    <w:name w:val="正文文本 字符"/>
    <w:basedOn w:val="43"/>
    <w:link w:val="16"/>
    <w:qFormat/>
    <w:uiPriority w:val="0"/>
    <w:rPr>
      <w:kern w:val="2"/>
      <w:sz w:val="21"/>
    </w:rPr>
  </w:style>
  <w:style w:type="character" w:customStyle="1" w:styleId="96">
    <w:name w:val="md"/>
    <w:basedOn w:val="43"/>
    <w:qFormat/>
    <w:uiPriority w:val="0"/>
  </w:style>
  <w:style w:type="character" w:customStyle="1" w:styleId="97">
    <w:name w:val="fontstrikethrough"/>
    <w:basedOn w:val="43"/>
    <w:qFormat/>
    <w:uiPriority w:val="0"/>
    <w:rPr>
      <w:strike/>
    </w:rPr>
  </w:style>
  <w:style w:type="character" w:customStyle="1" w:styleId="98">
    <w:name w:val="标题 1 字符"/>
    <w:basedOn w:val="43"/>
    <w:link w:val="2"/>
    <w:qFormat/>
    <w:uiPriority w:val="0"/>
    <w:rPr>
      <w:rFonts w:hint="eastAsia" w:ascii="仿宋_GB2312" w:hAnsi="仿宋_GB2312" w:eastAsia="宋体" w:cs="仿宋_GB2312"/>
      <w:b/>
      <w:kern w:val="2"/>
      <w:sz w:val="32"/>
    </w:rPr>
  </w:style>
  <w:style w:type="character" w:customStyle="1" w:styleId="99">
    <w:name w:val="标题 4 字符"/>
    <w:basedOn w:val="43"/>
    <w:link w:val="6"/>
    <w:qFormat/>
    <w:uiPriority w:val="0"/>
    <w:rPr>
      <w:rFonts w:hint="default" w:ascii="Arial" w:hAnsi="Arial" w:cs="Arial"/>
      <w:bCs/>
      <w:kern w:val="2"/>
      <w:sz w:val="24"/>
      <w:szCs w:val="28"/>
    </w:rPr>
  </w:style>
  <w:style w:type="character" w:customStyle="1" w:styleId="100">
    <w:name w:val="标题 5 字符"/>
    <w:basedOn w:val="43"/>
    <w:link w:val="7"/>
    <w:qFormat/>
    <w:uiPriority w:val="0"/>
    <w:rPr>
      <w:rFonts w:hint="default" w:ascii="Arial Unicode MS" w:hAnsi="Arial Unicode MS" w:eastAsia="Arial Unicode MS" w:cs="Arial Unicode MS"/>
      <w:bCs/>
      <w:kern w:val="2"/>
      <w:sz w:val="24"/>
      <w:szCs w:val="24"/>
    </w:rPr>
  </w:style>
  <w:style w:type="character" w:customStyle="1" w:styleId="101">
    <w:name w:val="标题 6 字符"/>
    <w:basedOn w:val="43"/>
    <w:link w:val="8"/>
    <w:qFormat/>
    <w:uiPriority w:val="0"/>
    <w:rPr>
      <w:rFonts w:hint="default" w:ascii="Arial Unicode MS" w:hAnsi="Arial Unicode MS" w:eastAsia="Arial Unicode MS" w:cs="Arial Unicode MS"/>
      <w:bCs/>
      <w:kern w:val="2"/>
      <w:sz w:val="24"/>
      <w:szCs w:val="24"/>
    </w:rPr>
  </w:style>
  <w:style w:type="character" w:customStyle="1" w:styleId="102">
    <w:name w:val="标题 7 字符"/>
    <w:basedOn w:val="43"/>
    <w:link w:val="9"/>
    <w:qFormat/>
    <w:uiPriority w:val="0"/>
    <w:rPr>
      <w:rFonts w:hint="default" w:ascii="Arial" w:hAnsi="Arial" w:cs="Arial"/>
      <w:b/>
      <w:color w:val="000000"/>
      <w:kern w:val="2"/>
      <w:sz w:val="15"/>
    </w:rPr>
  </w:style>
  <w:style w:type="character" w:customStyle="1" w:styleId="103">
    <w:name w:val="标题 8 字符"/>
    <w:basedOn w:val="43"/>
    <w:link w:val="10"/>
    <w:qFormat/>
    <w:uiPriority w:val="0"/>
    <w:rPr>
      <w:rFonts w:hint="eastAsia" w:ascii="仿宋_GB2312" w:eastAsia="仿宋_GB2312" w:cs="仿宋_GB2312"/>
      <w:b/>
      <w:kern w:val="2"/>
      <w:sz w:val="24"/>
    </w:rPr>
  </w:style>
  <w:style w:type="character" w:customStyle="1" w:styleId="104">
    <w:name w:val="标题 9 字符"/>
    <w:basedOn w:val="43"/>
    <w:link w:val="11"/>
    <w:qFormat/>
    <w:uiPriority w:val="0"/>
    <w:rPr>
      <w:rFonts w:hint="default" w:ascii="Arial" w:hAnsi="Arial" w:eastAsia="黑体" w:cs="Arial"/>
      <w:kern w:val="2"/>
      <w:sz w:val="21"/>
      <w:szCs w:val="21"/>
    </w:rPr>
  </w:style>
  <w:style w:type="character" w:customStyle="1" w:styleId="105">
    <w:name w:val="style31"/>
    <w:basedOn w:val="43"/>
    <w:qFormat/>
    <w:uiPriority w:val="0"/>
    <w:rPr>
      <w:sz w:val="21"/>
      <w:szCs w:val="21"/>
    </w:rPr>
  </w:style>
  <w:style w:type="character" w:customStyle="1" w:styleId="106">
    <w:name w:val="正文文本缩进 3 字符"/>
    <w:basedOn w:val="43"/>
    <w:link w:val="33"/>
    <w:qFormat/>
    <w:uiPriority w:val="0"/>
    <w:rPr>
      <w:rFonts w:hint="eastAsia" w:ascii="宋体" w:hAnsi="宋体" w:eastAsia="宋体" w:cs="宋体"/>
      <w:spacing w:val="4"/>
      <w:kern w:val="2"/>
      <w:sz w:val="21"/>
    </w:rPr>
  </w:style>
  <w:style w:type="character" w:customStyle="1" w:styleId="107">
    <w:name w:val="日期 字符"/>
    <w:basedOn w:val="43"/>
    <w:link w:val="23"/>
    <w:qFormat/>
    <w:uiPriority w:val="0"/>
    <w:rPr>
      <w:kern w:val="2"/>
      <w:sz w:val="28"/>
    </w:rPr>
  </w:style>
  <w:style w:type="character" w:customStyle="1" w:styleId="108">
    <w:name w:val="招标书 正文 Char"/>
    <w:basedOn w:val="43"/>
    <w:qFormat/>
    <w:uiPriority w:val="0"/>
    <w:rPr>
      <w:rFonts w:hint="eastAsia" w:ascii="宋体" w:hAnsi="宋体" w:eastAsia="宋体" w:cs="宋体"/>
      <w:color w:val="000000"/>
      <w:sz w:val="24"/>
      <w:szCs w:val="28"/>
    </w:rPr>
  </w:style>
  <w:style w:type="character" w:customStyle="1" w:styleId="109">
    <w:name w:val="beforeinfotext"/>
    <w:basedOn w:val="43"/>
    <w:qFormat/>
    <w:uiPriority w:val="0"/>
    <w:rPr>
      <w:color w:val="666666"/>
    </w:rPr>
  </w:style>
  <w:style w:type="character" w:customStyle="1" w:styleId="110">
    <w:name w:val="页脚 字符"/>
    <w:basedOn w:val="43"/>
    <w:link w:val="27"/>
    <w:qFormat/>
    <w:uiPriority w:val="0"/>
    <w:rPr>
      <w:kern w:val="2"/>
      <w:sz w:val="18"/>
      <w:szCs w:val="18"/>
    </w:rPr>
  </w:style>
  <w:style w:type="character" w:customStyle="1" w:styleId="111">
    <w:name w:val="正文文本 2 字符"/>
    <w:basedOn w:val="43"/>
    <w:link w:val="35"/>
    <w:qFormat/>
    <w:uiPriority w:val="0"/>
    <w:rPr>
      <w:rFonts w:hint="eastAsia" w:ascii="楷体_GB2312" w:hAnsi="Copperplate Gothic Bold" w:eastAsia="楷体_GB2312" w:cs="楷体_GB2312"/>
      <w:kern w:val="2"/>
      <w:sz w:val="28"/>
    </w:rPr>
  </w:style>
  <w:style w:type="character" w:customStyle="1" w:styleId="112">
    <w:name w:val="number"/>
    <w:basedOn w:val="43"/>
    <w:qFormat/>
    <w:uiPriority w:val="0"/>
    <w:rPr>
      <w:color w:val="FF8833"/>
      <w:sz w:val="18"/>
      <w:szCs w:val="18"/>
    </w:rPr>
  </w:style>
  <w:style w:type="character" w:customStyle="1" w:styleId="113">
    <w:name w:val="nth-child(1)"/>
    <w:basedOn w:val="43"/>
    <w:qFormat/>
    <w:uiPriority w:val="0"/>
  </w:style>
  <w:style w:type="character" w:customStyle="1" w:styleId="114">
    <w:name w:val="font101"/>
    <w:basedOn w:val="43"/>
    <w:qFormat/>
    <w:uiPriority w:val="0"/>
    <w:rPr>
      <w:rFonts w:hint="eastAsia" w:ascii="宋体" w:hAnsi="宋体" w:eastAsia="宋体" w:cs="宋体"/>
      <w:color w:val="000000"/>
      <w:sz w:val="22"/>
      <w:szCs w:val="22"/>
      <w:u w:val="none"/>
    </w:rPr>
  </w:style>
  <w:style w:type="character" w:customStyle="1" w:styleId="115">
    <w:name w:val="introduction1"/>
    <w:basedOn w:val="43"/>
    <w:qFormat/>
    <w:uiPriority w:val="0"/>
  </w:style>
  <w:style w:type="character" w:customStyle="1" w:styleId="116">
    <w:name w:val="标题 字符"/>
    <w:basedOn w:val="43"/>
    <w:link w:val="38"/>
    <w:qFormat/>
    <w:uiPriority w:val="0"/>
    <w:rPr>
      <w:rFonts w:hint="default" w:ascii="Cambria" w:hAnsi="Cambria" w:eastAsia="Cambria" w:cs="Cambria"/>
      <w:b/>
      <w:kern w:val="2"/>
      <w:sz w:val="32"/>
      <w:szCs w:val="32"/>
    </w:rPr>
  </w:style>
  <w:style w:type="character" w:customStyle="1" w:styleId="117">
    <w:name w:val="页脚 字符1"/>
    <w:basedOn w:val="43"/>
    <w:qFormat/>
    <w:uiPriority w:val="0"/>
    <w:rPr>
      <w:kern w:val="2"/>
      <w:sz w:val="18"/>
      <w:szCs w:val="18"/>
    </w:rPr>
  </w:style>
  <w:style w:type="character" w:customStyle="1" w:styleId="118">
    <w:name w:val="尾注文本 字符"/>
    <w:basedOn w:val="43"/>
    <w:link w:val="25"/>
    <w:qFormat/>
    <w:uiPriority w:val="0"/>
    <w:rPr>
      <w:kern w:val="2"/>
      <w:sz w:val="21"/>
    </w:rPr>
  </w:style>
  <w:style w:type="character" w:customStyle="1" w:styleId="119">
    <w:name w:val="text"/>
    <w:basedOn w:val="43"/>
    <w:qFormat/>
    <w:uiPriority w:val="0"/>
    <w:rPr>
      <w:color w:val="666666"/>
    </w:rPr>
  </w:style>
  <w:style w:type="character" w:customStyle="1" w:styleId="120">
    <w:name w:val="font11"/>
    <w:basedOn w:val="43"/>
    <w:qFormat/>
    <w:uiPriority w:val="0"/>
    <w:rPr>
      <w:rFonts w:hint="eastAsia" w:ascii="宋体" w:hAnsi="宋体" w:eastAsia="宋体" w:cs="宋体"/>
      <w:b/>
      <w:color w:val="000000"/>
      <w:sz w:val="21"/>
      <w:szCs w:val="21"/>
      <w:u w:val="none"/>
    </w:rPr>
  </w:style>
  <w:style w:type="character" w:customStyle="1" w:styleId="121">
    <w:name w:val="批注框文本 字符"/>
    <w:basedOn w:val="43"/>
    <w:link w:val="26"/>
    <w:qFormat/>
    <w:uiPriority w:val="0"/>
    <w:rPr>
      <w:kern w:val="2"/>
      <w:sz w:val="18"/>
      <w:szCs w:val="18"/>
    </w:rPr>
  </w:style>
  <w:style w:type="character" w:customStyle="1" w:styleId="122">
    <w:name w:val="正文文本 3 Char1"/>
    <w:basedOn w:val="43"/>
    <w:qFormat/>
    <w:uiPriority w:val="0"/>
    <w:rPr>
      <w:kern w:val="2"/>
      <w:sz w:val="16"/>
      <w:szCs w:val="16"/>
    </w:rPr>
  </w:style>
  <w:style w:type="character" w:customStyle="1" w:styleId="123">
    <w:name w:val="emtidy-3"/>
    <w:basedOn w:val="43"/>
    <w:qFormat/>
    <w:uiPriority w:val="0"/>
  </w:style>
  <w:style w:type="character" w:customStyle="1" w:styleId="124">
    <w:name w:val="正文文本缩进 字符"/>
    <w:basedOn w:val="43"/>
    <w:link w:val="17"/>
    <w:qFormat/>
    <w:uiPriority w:val="0"/>
    <w:rPr>
      <w:sz w:val="28"/>
    </w:rPr>
  </w:style>
  <w:style w:type="character" w:customStyle="1" w:styleId="125">
    <w:name w:val="普通正文 Char"/>
    <w:basedOn w:val="43"/>
    <w:qFormat/>
    <w:uiPriority w:val="0"/>
    <w:rPr>
      <w:rFonts w:hint="eastAsia" w:ascii="宋体" w:hAnsi="宋体" w:eastAsia="宋体" w:cs="宋体"/>
      <w:sz w:val="24"/>
      <w:szCs w:val="24"/>
      <w:lang w:val="en-US" w:eastAsia="zh-CN" w:bidi="ar"/>
    </w:rPr>
  </w:style>
  <w:style w:type="character" w:customStyle="1" w:styleId="126">
    <w:name w:val="c lh15"/>
    <w:basedOn w:val="43"/>
    <w:qFormat/>
    <w:uiPriority w:val="0"/>
  </w:style>
  <w:style w:type="character" w:customStyle="1" w:styleId="127">
    <w:name w:val="hover28"/>
    <w:basedOn w:val="43"/>
    <w:qFormat/>
    <w:uiPriority w:val="0"/>
    <w:rPr>
      <w:shd w:val="clear" w:color="auto" w:fill="F6F6F6"/>
    </w:rPr>
  </w:style>
  <w:style w:type="paragraph" w:customStyle="1" w:styleId="128">
    <w:name w:val="表格文字中"/>
    <w:basedOn w:val="1"/>
    <w:qFormat/>
    <w:uiPriority w:val="0"/>
    <w:pPr>
      <w:adjustRightInd w:val="0"/>
      <w:snapToGrid w:val="0"/>
      <w:ind w:left="22" w:leftChars="8"/>
      <w:jc w:val="center"/>
    </w:pPr>
    <w:rPr>
      <w:rFonts w:ascii="Times New Roman" w:hAnsi="Times New Roman" w:eastAsia="宋体" w:cs="Times New Roman"/>
      <w:kern w:val="0"/>
    </w:rPr>
  </w:style>
  <w:style w:type="character" w:customStyle="1" w:styleId="129">
    <w:name w:val="列表段落 字符"/>
    <w:basedOn w:val="43"/>
    <w:qFormat/>
    <w:uiPriority w:val="0"/>
    <w:rPr>
      <w:rFonts w:hint="default" w:ascii="Calibri" w:hAnsi="Calibri" w:cs="Calibri"/>
      <w:kern w:val="2"/>
      <w:sz w:val="21"/>
      <w:szCs w:val="22"/>
    </w:rPr>
  </w:style>
  <w:style w:type="character" w:customStyle="1" w:styleId="130">
    <w:name w:val="font41"/>
    <w:basedOn w:val="43"/>
    <w:qFormat/>
    <w:uiPriority w:val="0"/>
    <w:rPr>
      <w:rFonts w:hint="eastAsia" w:ascii="宋体" w:hAnsi="宋体" w:eastAsia="宋体" w:cs="宋体"/>
      <w:b/>
      <w:color w:val="000000"/>
      <w:sz w:val="20"/>
      <w:szCs w:val="20"/>
      <w:u w:val="none"/>
    </w:rPr>
  </w:style>
  <w:style w:type="character" w:customStyle="1" w:styleId="131">
    <w:name w:val="纯文本 字符"/>
    <w:basedOn w:val="43"/>
    <w:link w:val="20"/>
    <w:qFormat/>
    <w:uiPriority w:val="0"/>
    <w:rPr>
      <w:rFonts w:hint="eastAsia" w:ascii="宋体" w:hAnsi="Courier New" w:eastAsia="宋体" w:cs="宋体"/>
      <w:kern w:val="2"/>
      <w:sz w:val="21"/>
    </w:rPr>
  </w:style>
  <w:style w:type="character" w:customStyle="1" w:styleId="132">
    <w:name w:val="批注文字 字符"/>
    <w:basedOn w:val="43"/>
    <w:qFormat/>
    <w:uiPriority w:val="0"/>
    <w:rPr>
      <w:rFonts w:hint="eastAsia" w:ascii="宋体" w:hAnsi="宋体" w:eastAsia="宋体" w:cs="宋体"/>
      <w:kern w:val="2"/>
      <w:sz w:val="21"/>
      <w:szCs w:val="24"/>
      <w:lang w:val="en-US" w:eastAsia="zh-CN" w:bidi="ar"/>
    </w:rPr>
  </w:style>
  <w:style w:type="character" w:customStyle="1" w:styleId="133">
    <w:name w:val="style81"/>
    <w:basedOn w:val="43"/>
    <w:qFormat/>
    <w:uiPriority w:val="0"/>
    <w:rPr>
      <w:sz w:val="21"/>
      <w:szCs w:val="21"/>
    </w:rPr>
  </w:style>
  <w:style w:type="character" w:customStyle="1" w:styleId="134">
    <w:name w:val="font21"/>
    <w:basedOn w:val="43"/>
    <w:qFormat/>
    <w:uiPriority w:val="0"/>
    <w:rPr>
      <w:rFonts w:hint="eastAsia" w:ascii="宋体" w:hAnsi="宋体" w:eastAsia="宋体" w:cs="宋体"/>
      <w:color w:val="000000"/>
      <w:sz w:val="21"/>
      <w:szCs w:val="21"/>
      <w:u w:val="none"/>
    </w:rPr>
  </w:style>
  <w:style w:type="character" w:customStyle="1" w:styleId="135">
    <w:name w:val="font141"/>
    <w:basedOn w:val="43"/>
    <w:qFormat/>
    <w:uiPriority w:val="0"/>
    <w:rPr>
      <w:rFonts w:hint="eastAsia" w:ascii="宋体" w:hAnsi="宋体" w:eastAsia="宋体" w:cs="宋体"/>
      <w:color w:val="000000"/>
      <w:sz w:val="20"/>
      <w:szCs w:val="20"/>
      <w:u w:val="none"/>
    </w:rPr>
  </w:style>
  <w:style w:type="character" w:customStyle="1" w:styleId="136">
    <w:name w:val="text1"/>
    <w:basedOn w:val="43"/>
    <w:qFormat/>
    <w:uiPriority w:val="0"/>
    <w:rPr>
      <w:color w:val="666666"/>
    </w:rPr>
  </w:style>
  <w:style w:type="character" w:customStyle="1" w:styleId="137">
    <w:name w:val="题注 字符"/>
    <w:basedOn w:val="43"/>
    <w:link w:val="12"/>
    <w:qFormat/>
    <w:uiPriority w:val="0"/>
    <w:rPr>
      <w:rFonts w:hint="default" w:ascii="Arial" w:hAnsi="Arial" w:eastAsia="黑体" w:cs="Arial"/>
      <w:kern w:val="2"/>
    </w:rPr>
  </w:style>
  <w:style w:type="character" w:customStyle="1" w:styleId="138">
    <w:name w:val="index-headcontent-0ccba"/>
    <w:basedOn w:val="43"/>
    <w:qFormat/>
    <w:uiPriority w:val="0"/>
    <w:rPr>
      <w:vanish/>
    </w:rPr>
  </w:style>
  <w:style w:type="character" w:customStyle="1" w:styleId="139">
    <w:name w:val="批注主题 字符1"/>
    <w:basedOn w:val="140"/>
    <w:qFormat/>
    <w:uiPriority w:val="0"/>
    <w:rPr>
      <w:b/>
      <w:kern w:val="2"/>
      <w:sz w:val="21"/>
    </w:rPr>
  </w:style>
  <w:style w:type="character" w:customStyle="1" w:styleId="140">
    <w:name w:val="批注文字 字符1"/>
    <w:basedOn w:val="43"/>
    <w:link w:val="14"/>
    <w:qFormat/>
    <w:uiPriority w:val="0"/>
    <w:rPr>
      <w:kern w:val="2"/>
      <w:sz w:val="21"/>
    </w:rPr>
  </w:style>
  <w:style w:type="character" w:customStyle="1" w:styleId="141">
    <w:name w:val="正文文本缩进 2 字符"/>
    <w:basedOn w:val="43"/>
    <w:link w:val="24"/>
    <w:qFormat/>
    <w:uiPriority w:val="0"/>
    <w:rPr>
      <w:kern w:val="2"/>
      <w:sz w:val="24"/>
    </w:rPr>
  </w:style>
  <w:style w:type="character" w:customStyle="1" w:styleId="142">
    <w:name w:val="hover9"/>
    <w:basedOn w:val="43"/>
    <w:qFormat/>
    <w:uiPriority w:val="0"/>
    <w:rPr>
      <w:color w:val="3C88FF"/>
    </w:rPr>
  </w:style>
  <w:style w:type="character" w:customStyle="1" w:styleId="143">
    <w:name w:val="正文文本 3 字符"/>
    <w:basedOn w:val="43"/>
    <w:link w:val="15"/>
    <w:qFormat/>
    <w:uiPriority w:val="0"/>
    <w:rPr>
      <w:b/>
      <w:spacing w:val="-20"/>
      <w:w w:val="110"/>
      <w:kern w:val="2"/>
      <w:sz w:val="52"/>
    </w:rPr>
  </w:style>
  <w:style w:type="character" w:customStyle="1" w:styleId="144">
    <w:name w:val="font71"/>
    <w:basedOn w:val="43"/>
    <w:qFormat/>
    <w:uiPriority w:val="0"/>
    <w:rPr>
      <w:rFonts w:hint="eastAsia" w:ascii="宋体" w:hAnsi="宋体" w:eastAsia="宋体" w:cs="宋体"/>
      <w:color w:val="000000"/>
      <w:sz w:val="20"/>
      <w:szCs w:val="20"/>
      <w:u w:val="none"/>
    </w:rPr>
  </w:style>
  <w:style w:type="character" w:customStyle="1" w:styleId="145">
    <w:name w:val="old"/>
    <w:basedOn w:val="43"/>
    <w:qFormat/>
    <w:uiPriority w:val="0"/>
    <w:rPr>
      <w:color w:val="999999"/>
    </w:rPr>
  </w:style>
  <w:style w:type="character" w:customStyle="1" w:styleId="146">
    <w:name w:val="back1"/>
    <w:basedOn w:val="43"/>
    <w:qFormat/>
    <w:uiPriority w:val="0"/>
    <w:rPr>
      <w:shd w:val="clear" w:color="auto" w:fill="111111"/>
    </w:rPr>
  </w:style>
  <w:style w:type="character" w:customStyle="1" w:styleId="147">
    <w:name w:val="hover3"/>
    <w:basedOn w:val="43"/>
    <w:qFormat/>
    <w:uiPriority w:val="0"/>
    <w:rPr>
      <w:shd w:val="clear" w:color="auto" w:fill="EEEEEE"/>
    </w:rPr>
  </w:style>
  <w:style w:type="character" w:customStyle="1" w:styleId="148">
    <w:name w:val="hover29"/>
    <w:basedOn w:val="43"/>
    <w:qFormat/>
    <w:uiPriority w:val="0"/>
    <w:rPr>
      <w:color w:val="3C88FF"/>
    </w:rPr>
  </w:style>
  <w:style w:type="character" w:customStyle="1" w:styleId="149">
    <w:name w:val="正文文本 3 字符1"/>
    <w:basedOn w:val="43"/>
    <w:qFormat/>
    <w:uiPriority w:val="0"/>
    <w:rPr>
      <w:kern w:val="2"/>
      <w:sz w:val="16"/>
      <w:szCs w:val="16"/>
    </w:rPr>
  </w:style>
  <w:style w:type="character" w:customStyle="1" w:styleId="150">
    <w:name w:val="文档结构图 字符"/>
    <w:basedOn w:val="43"/>
    <w:link w:val="13"/>
    <w:qFormat/>
    <w:uiPriority w:val="0"/>
    <w:rPr>
      <w:kern w:val="2"/>
      <w:sz w:val="21"/>
      <w:shd w:val="clear" w:color="auto" w:fill="000080"/>
    </w:rPr>
  </w:style>
  <w:style w:type="character" w:customStyle="1" w:styleId="151">
    <w:name w:val="副标题 Char1"/>
    <w:basedOn w:val="43"/>
    <w:qFormat/>
    <w:uiPriority w:val="0"/>
    <w:rPr>
      <w:rFonts w:hint="default" w:ascii="Cambria" w:hAnsi="Cambria" w:eastAsia="Cambria" w:cs="Times New Roman"/>
      <w:b/>
      <w:kern w:val="28"/>
      <w:sz w:val="32"/>
      <w:szCs w:val="32"/>
    </w:rPr>
  </w:style>
  <w:style w:type="character" w:customStyle="1" w:styleId="152">
    <w:name w:val="hour_pm"/>
    <w:basedOn w:val="43"/>
    <w:qFormat/>
    <w:uiPriority w:val="0"/>
  </w:style>
  <w:style w:type="character" w:customStyle="1" w:styleId="153">
    <w:name w:val="font151"/>
    <w:basedOn w:val="43"/>
    <w:qFormat/>
    <w:uiPriority w:val="0"/>
    <w:rPr>
      <w:rFonts w:hint="eastAsia" w:ascii="宋体" w:hAnsi="宋体" w:eastAsia="宋体" w:cs="宋体"/>
      <w:color w:val="000000"/>
      <w:sz w:val="20"/>
      <w:szCs w:val="20"/>
      <w:u w:val="none"/>
    </w:rPr>
  </w:style>
  <w:style w:type="character" w:customStyle="1" w:styleId="154">
    <w:name w:val="font91"/>
    <w:basedOn w:val="43"/>
    <w:qFormat/>
    <w:uiPriority w:val="0"/>
    <w:rPr>
      <w:rFonts w:hint="eastAsia" w:ascii="宋体" w:hAnsi="宋体" w:eastAsia="宋体" w:cs="宋体"/>
      <w:color w:val="FF0000"/>
      <w:sz w:val="22"/>
      <w:szCs w:val="22"/>
      <w:u w:val="none"/>
    </w:rPr>
  </w:style>
  <w:style w:type="character" w:customStyle="1" w:styleId="155">
    <w:name w:val="c1"/>
    <w:basedOn w:val="43"/>
    <w:qFormat/>
    <w:uiPriority w:val="0"/>
    <w:rPr>
      <w:sz w:val="28"/>
      <w:szCs w:val="28"/>
    </w:rPr>
  </w:style>
  <w:style w:type="character" w:customStyle="1" w:styleId="156">
    <w:name w:val="hui3"/>
    <w:basedOn w:val="43"/>
    <w:qFormat/>
    <w:uiPriority w:val="0"/>
    <w:rPr>
      <w:color w:val="333333"/>
    </w:rPr>
  </w:style>
  <w:style w:type="character" w:customStyle="1" w:styleId="157">
    <w:name w:val="proollist"/>
    <w:basedOn w:val="43"/>
    <w:qFormat/>
    <w:uiPriority w:val="0"/>
  </w:style>
  <w:style w:type="character" w:customStyle="1" w:styleId="158">
    <w:name w:val="脚注文本 字符1"/>
    <w:basedOn w:val="43"/>
    <w:qFormat/>
    <w:uiPriority w:val="0"/>
    <w:rPr>
      <w:kern w:val="2"/>
      <w:sz w:val="18"/>
      <w:szCs w:val="18"/>
    </w:rPr>
  </w:style>
  <w:style w:type="character" w:customStyle="1" w:styleId="159">
    <w:name w:val="font01"/>
    <w:basedOn w:val="43"/>
    <w:qFormat/>
    <w:uiPriority w:val="0"/>
    <w:rPr>
      <w:rFonts w:hint="eastAsia" w:ascii="宋体" w:hAnsi="宋体" w:eastAsia="宋体" w:cs="宋体"/>
      <w:color w:val="000000"/>
      <w:sz w:val="21"/>
      <w:szCs w:val="21"/>
      <w:u w:val="none"/>
    </w:rPr>
  </w:style>
  <w:style w:type="character" w:customStyle="1" w:styleId="160">
    <w:name w:val="ds-reads-from"/>
    <w:basedOn w:val="43"/>
    <w:qFormat/>
    <w:uiPriority w:val="0"/>
  </w:style>
  <w:style w:type="character" w:customStyle="1" w:styleId="161">
    <w:name w:val="emtidy-5"/>
    <w:basedOn w:val="43"/>
    <w:qFormat/>
    <w:uiPriority w:val="0"/>
  </w:style>
  <w:style w:type="character" w:customStyle="1" w:styleId="162">
    <w:name w:val="font31"/>
    <w:basedOn w:val="43"/>
    <w:qFormat/>
    <w:uiPriority w:val="0"/>
    <w:rPr>
      <w:rFonts w:hint="default" w:ascii="Times New Roman" w:hAnsi="Times New Roman" w:cs="Times New Roman"/>
      <w:b/>
      <w:color w:val="000000"/>
      <w:sz w:val="21"/>
      <w:szCs w:val="21"/>
      <w:u w:val="none"/>
    </w:rPr>
  </w:style>
  <w:style w:type="character" w:customStyle="1" w:styleId="163">
    <w:name w:val="button"/>
    <w:basedOn w:val="43"/>
    <w:qFormat/>
    <w:uiPriority w:val="0"/>
  </w:style>
  <w:style w:type="character" w:customStyle="1" w:styleId="164">
    <w:name w:val="emtidy-6"/>
    <w:basedOn w:val="43"/>
    <w:qFormat/>
    <w:uiPriority w:val="0"/>
  </w:style>
  <w:style w:type="character" w:customStyle="1" w:styleId="165">
    <w:name w:val="base"/>
    <w:basedOn w:val="43"/>
    <w:qFormat/>
    <w:uiPriority w:val="0"/>
  </w:style>
  <w:style w:type="paragraph" w:customStyle="1" w:styleId="166">
    <w:name w:val="表格标题"/>
    <w:basedOn w:val="1"/>
    <w:qFormat/>
    <w:uiPriority w:val="0"/>
    <w:pPr>
      <w:adjustRightInd w:val="0"/>
      <w:snapToGrid w:val="0"/>
      <w:spacing w:before="50" w:beforeLines="50" w:after="50" w:afterLines="50"/>
      <w:ind w:left="22" w:leftChars="8"/>
      <w:jc w:val="center"/>
    </w:pPr>
    <w:rPr>
      <w:rFonts w:ascii="Times New Roman" w:hAnsi="Times New Roman" w:eastAsia="宋体" w:cs="Times New Roman"/>
      <w:b/>
      <w:color w:val="000000"/>
      <w:sz w:val="32"/>
      <w:szCs w:val="32"/>
    </w:rPr>
  </w:style>
  <w:style w:type="character" w:customStyle="1" w:styleId="167">
    <w:name w:val="phone"/>
    <w:basedOn w:val="43"/>
    <w:qFormat/>
    <w:uiPriority w:val="0"/>
    <w:rPr>
      <w:color w:val="FF8833"/>
      <w:sz w:val="18"/>
      <w:szCs w:val="18"/>
    </w:rPr>
  </w:style>
  <w:style w:type="character" w:customStyle="1" w:styleId="168">
    <w:name w:val="副标题 字符"/>
    <w:basedOn w:val="43"/>
    <w:link w:val="31"/>
    <w:qFormat/>
    <w:uiPriority w:val="0"/>
    <w:rPr>
      <w:rFonts w:hint="default" w:ascii="Cambria" w:hAnsi="Cambria" w:eastAsia="Cambria" w:cs="Cambria"/>
      <w:b/>
      <w:kern w:val="28"/>
      <w:sz w:val="32"/>
      <w:szCs w:val="32"/>
    </w:rPr>
  </w:style>
  <w:style w:type="character" w:customStyle="1" w:styleId="169">
    <w:name w:val="hour_am"/>
    <w:basedOn w:val="43"/>
    <w:qFormat/>
    <w:uiPriority w:val="0"/>
  </w:style>
  <w:style w:type="character" w:customStyle="1" w:styleId="170">
    <w:name w:val="脚注文本 字符"/>
    <w:basedOn w:val="43"/>
    <w:link w:val="32"/>
    <w:qFormat/>
    <w:uiPriority w:val="0"/>
    <w:rPr>
      <w:kern w:val="2"/>
      <w:sz w:val="18"/>
    </w:rPr>
  </w:style>
  <w:style w:type="character" w:customStyle="1" w:styleId="171">
    <w:name w:val="emtidy-2"/>
    <w:basedOn w:val="43"/>
    <w:qFormat/>
    <w:uiPriority w:val="0"/>
  </w:style>
  <w:style w:type="character" w:customStyle="1" w:styleId="172">
    <w:name w:val="font81"/>
    <w:basedOn w:val="43"/>
    <w:qFormat/>
    <w:uiPriority w:val="0"/>
    <w:rPr>
      <w:rFonts w:hint="eastAsia" w:ascii="宋体" w:hAnsi="宋体" w:eastAsia="宋体" w:cs="宋体"/>
      <w:color w:val="000000"/>
      <w:sz w:val="20"/>
      <w:szCs w:val="20"/>
      <w:u w:val="none"/>
    </w:rPr>
  </w:style>
  <w:style w:type="character" w:customStyle="1" w:styleId="173">
    <w:name w:val="fontborder"/>
    <w:basedOn w:val="43"/>
    <w:qFormat/>
    <w:uiPriority w:val="0"/>
    <w:rPr>
      <w:bdr w:val="single" w:color="000000" w:sz="6" w:space="0"/>
    </w:rPr>
  </w:style>
  <w:style w:type="character" w:customStyle="1" w:styleId="174">
    <w:name w:val="para1"/>
    <w:basedOn w:val="43"/>
    <w:qFormat/>
    <w:uiPriority w:val="0"/>
    <w:rPr>
      <w:rFonts w:hint="default" w:ascii="Arial" w:hAnsi="Arial" w:cs="Arial"/>
      <w:sz w:val="18"/>
      <w:szCs w:val="18"/>
    </w:rPr>
  </w:style>
  <w:style w:type="character" w:customStyle="1" w:styleId="175">
    <w:name w:val="style5 style5"/>
    <w:basedOn w:val="43"/>
    <w:qFormat/>
    <w:uiPriority w:val="0"/>
  </w:style>
  <w:style w:type="character" w:customStyle="1" w:styleId="176">
    <w:name w:val="正文缩进 字符"/>
    <w:basedOn w:val="43"/>
    <w:link w:val="5"/>
    <w:qFormat/>
    <w:uiPriority w:val="0"/>
    <w:rPr>
      <w:kern w:val="2"/>
      <w:sz w:val="21"/>
      <w:szCs w:val="24"/>
    </w:rPr>
  </w:style>
  <w:style w:type="character" w:customStyle="1" w:styleId="177">
    <w:name w:val="emtidy-4"/>
    <w:basedOn w:val="43"/>
    <w:qFormat/>
    <w:uiPriority w:val="0"/>
  </w:style>
  <w:style w:type="character" w:customStyle="1" w:styleId="178">
    <w:name w:val="font61"/>
    <w:basedOn w:val="43"/>
    <w:qFormat/>
    <w:uiPriority w:val="0"/>
    <w:rPr>
      <w:rFonts w:hint="eastAsia" w:ascii="宋体" w:hAnsi="宋体" w:eastAsia="宋体" w:cs="宋体"/>
      <w:color w:val="000000"/>
      <w:sz w:val="20"/>
      <w:szCs w:val="20"/>
      <w:u w:val="none"/>
    </w:rPr>
  </w:style>
  <w:style w:type="character" w:customStyle="1" w:styleId="179">
    <w:name w:val="标题 字符1"/>
    <w:basedOn w:val="43"/>
    <w:qFormat/>
    <w:uiPriority w:val="0"/>
    <w:rPr>
      <w:rFonts w:hint="eastAsia" w:ascii="等线 Light" w:hAnsi="等线 Light" w:eastAsia="等线 Light" w:cs="Times New Roman"/>
      <w:b/>
      <w:kern w:val="2"/>
      <w:sz w:val="32"/>
      <w:szCs w:val="32"/>
    </w:rPr>
  </w:style>
  <w:style w:type="character" w:customStyle="1" w:styleId="180">
    <w:name w:val="页眉 字符1"/>
    <w:basedOn w:val="43"/>
    <w:qFormat/>
    <w:uiPriority w:val="0"/>
    <w:rPr>
      <w:kern w:val="2"/>
      <w:sz w:val="18"/>
      <w:szCs w:val="18"/>
    </w:rPr>
  </w:style>
  <w:style w:type="character" w:customStyle="1" w:styleId="181">
    <w:name w:val="尾注文本 字符1"/>
    <w:basedOn w:val="43"/>
    <w:qFormat/>
    <w:uiPriority w:val="0"/>
    <w:rPr>
      <w:kern w:val="2"/>
      <w:sz w:val="21"/>
    </w:rPr>
  </w:style>
  <w:style w:type="character" w:customStyle="1" w:styleId="182">
    <w:name w:val="文档结构图 字符1"/>
    <w:basedOn w:val="43"/>
    <w:qFormat/>
    <w:uiPriority w:val="0"/>
    <w:rPr>
      <w:rFonts w:hint="eastAsia" w:ascii="Microsoft YaHei UI" w:hAnsi="Microsoft YaHei UI" w:eastAsia="Microsoft YaHei UI" w:cs="Microsoft YaHei UI"/>
      <w:kern w:val="2"/>
      <w:sz w:val="18"/>
      <w:szCs w:val="18"/>
    </w:rPr>
  </w:style>
  <w:style w:type="character" w:customStyle="1" w:styleId="183">
    <w:name w:val="正文文本缩进 字符1"/>
    <w:basedOn w:val="43"/>
    <w:qFormat/>
    <w:uiPriority w:val="0"/>
    <w:rPr>
      <w:kern w:val="2"/>
      <w:sz w:val="21"/>
    </w:rPr>
  </w:style>
  <w:style w:type="character" w:customStyle="1" w:styleId="184">
    <w:name w:val="HTML 预设格式 字符"/>
    <w:basedOn w:val="43"/>
    <w:link w:val="36"/>
    <w:qFormat/>
    <w:uiPriority w:val="0"/>
    <w:rPr>
      <w:rFonts w:hint="eastAsia" w:ascii="黑体" w:hAnsi="Courier New" w:eastAsia="黑体" w:cs="Courier New"/>
    </w:rPr>
  </w:style>
  <w:style w:type="character" w:customStyle="1" w:styleId="185">
    <w:name w:val="HTML 地址 字符"/>
    <w:basedOn w:val="43"/>
    <w:link w:val="21"/>
    <w:qFormat/>
    <w:uiPriority w:val="0"/>
    <w:rPr>
      <w:rFonts w:hint="eastAsia" w:ascii="宋体" w:hAnsi="宋体" w:eastAsia="宋体" w:cs="宋体"/>
      <w:i/>
      <w:sz w:val="24"/>
      <w:szCs w:val="24"/>
    </w:rPr>
  </w:style>
  <w:style w:type="character" w:customStyle="1" w:styleId="186">
    <w:name w:val="正文文本缩进 3 字符1"/>
    <w:basedOn w:val="43"/>
    <w:qFormat/>
    <w:uiPriority w:val="0"/>
    <w:rPr>
      <w:kern w:val="2"/>
      <w:sz w:val="16"/>
      <w:szCs w:val="16"/>
    </w:rPr>
  </w:style>
  <w:style w:type="character" w:customStyle="1" w:styleId="187">
    <w:name w:val="日期 字符1"/>
    <w:basedOn w:val="43"/>
    <w:qFormat/>
    <w:uiPriority w:val="0"/>
    <w:rPr>
      <w:kern w:val="2"/>
      <w:sz w:val="21"/>
    </w:rPr>
  </w:style>
  <w:style w:type="character" w:customStyle="1" w:styleId="188">
    <w:name w:val="批注框文本 字符1"/>
    <w:basedOn w:val="43"/>
    <w:qFormat/>
    <w:uiPriority w:val="0"/>
    <w:rPr>
      <w:kern w:val="2"/>
      <w:sz w:val="18"/>
      <w:szCs w:val="18"/>
    </w:rPr>
  </w:style>
  <w:style w:type="character" w:customStyle="1" w:styleId="189">
    <w:name w:val="正文文本缩进 2 字符1"/>
    <w:basedOn w:val="43"/>
    <w:qFormat/>
    <w:uiPriority w:val="0"/>
    <w:rPr>
      <w:kern w:val="2"/>
      <w:sz w:val="21"/>
    </w:rPr>
  </w:style>
  <w:style w:type="paragraph" w:customStyle="1" w:styleId="190">
    <w:name w:val="样式 WG标题3 + 行距: 固定值 18 磅"/>
    <w:basedOn w:val="1"/>
    <w:qFormat/>
    <w:uiPriority w:val="0"/>
    <w:pPr>
      <w:autoSpaceDE w:val="0"/>
      <w:autoSpaceDN w:val="0"/>
      <w:adjustRightInd w:val="0"/>
      <w:spacing w:line="360" w:lineRule="exact"/>
      <w:ind w:firstLine="200" w:firstLineChars="200"/>
      <w:outlineLvl w:val="2"/>
    </w:pPr>
    <w:rPr>
      <w:rFonts w:ascii="Times New Roman" w:hAnsi="Times New Roman" w:eastAsia="宋体" w:cs="Times New Roman"/>
      <w:b/>
      <w:color w:val="000000"/>
      <w:kern w:val="20"/>
      <w:sz w:val="24"/>
      <w:szCs w:val="20"/>
    </w:rPr>
  </w:style>
  <w:style w:type="paragraph" w:customStyle="1" w:styleId="191">
    <w:name w:val="title1"/>
    <w:basedOn w:val="1"/>
    <w:qFormat/>
    <w:uiPriority w:val="0"/>
    <w:pPr>
      <w:spacing w:before="150"/>
      <w:jc w:val="left"/>
    </w:pPr>
    <w:rPr>
      <w:rFonts w:ascii="Times New Roman" w:hAnsi="Times New Roman" w:eastAsia="宋体" w:cs="Times New Roman"/>
      <w:b/>
      <w:kern w:val="0"/>
      <w:sz w:val="22"/>
      <w:szCs w:val="22"/>
    </w:rPr>
  </w:style>
  <w:style w:type="character" w:customStyle="1" w:styleId="192">
    <w:name w:val="font112"/>
    <w:basedOn w:val="43"/>
    <w:qFormat/>
    <w:uiPriority w:val="0"/>
    <w:rPr>
      <w:rFonts w:ascii="Calibri" w:hAnsi="Calibri" w:cs="Calibri"/>
      <w:color w:val="000000"/>
      <w:sz w:val="18"/>
      <w:szCs w:val="18"/>
      <w:u w:val="none"/>
    </w:rPr>
  </w:style>
  <w:style w:type="character" w:customStyle="1" w:styleId="193">
    <w:name w:val="font111"/>
    <w:basedOn w:val="43"/>
    <w:qFormat/>
    <w:uiPriority w:val="0"/>
    <w:rPr>
      <w:rFonts w:hint="eastAsia" w:ascii="宋体" w:hAnsi="宋体" w:eastAsia="宋体" w:cs="宋体"/>
      <w:color w:val="000000"/>
      <w:sz w:val="18"/>
      <w:szCs w:val="18"/>
      <w:u w:val="none"/>
    </w:rPr>
  </w:style>
  <w:style w:type="character" w:customStyle="1" w:styleId="194">
    <w:name w:val="font12"/>
    <w:basedOn w:val="43"/>
    <w:qFormat/>
    <w:uiPriority w:val="0"/>
    <w:rPr>
      <w:rFonts w:hint="default" w:ascii="等线" w:hAnsi="等线" w:eastAsia="等线" w:cs="等线"/>
      <w:color w:val="000000"/>
      <w:sz w:val="22"/>
      <w:szCs w:val="22"/>
      <w:u w:val="none"/>
    </w:rPr>
  </w:style>
  <w:style w:type="paragraph" w:customStyle="1" w:styleId="195">
    <w:name w:val="title12"/>
    <w:qFormat/>
    <w:uiPriority w:val="0"/>
    <w:pPr>
      <w:widowControl w:val="0"/>
      <w:spacing w:before="150"/>
    </w:pPr>
    <w:rPr>
      <w:rFonts w:ascii="Times New Roman" w:hAnsi="Times New Roman" w:eastAsia="宋体" w:cs="Times New Roman"/>
      <w:b/>
      <w:sz w:val="22"/>
      <w:szCs w:val="22"/>
      <w:lang w:val="en-US" w:eastAsia="zh-CN" w:bidi="ar-SA"/>
    </w:rPr>
  </w:style>
  <w:style w:type="paragraph" w:customStyle="1" w:styleId="196">
    <w:name w:val="Char Char1 Char"/>
    <w:qFormat/>
    <w:uiPriority w:val="0"/>
    <w:pPr>
      <w:widowControl w:val="0"/>
      <w:jc w:val="both"/>
    </w:pPr>
    <w:rPr>
      <w:rFonts w:ascii="宋体" w:hAnsi="宋体" w:eastAsia="宋体" w:cs="Times New Roman"/>
      <w:kern w:val="2"/>
      <w:sz w:val="24"/>
      <w:lang w:val="en-US" w:eastAsia="zh-CN" w:bidi="ar-SA"/>
    </w:rPr>
  </w:style>
  <w:style w:type="paragraph" w:customStyle="1" w:styleId="197">
    <w:name w:val="正文 New New New New"/>
    <w:qFormat/>
    <w:uiPriority w:val="0"/>
    <w:pPr>
      <w:widowControl w:val="0"/>
      <w:jc w:val="both"/>
    </w:pPr>
    <w:rPr>
      <w:rFonts w:ascii="Times New Roman" w:hAnsi="Times New Roman" w:eastAsia="宋体" w:cs="Times New Roman"/>
      <w:szCs w:val="24"/>
      <w:lang w:val="en-US" w:eastAsia="zh-CN" w:bidi="ar-SA"/>
    </w:rPr>
  </w:style>
  <w:style w:type="paragraph" w:customStyle="1" w:styleId="198">
    <w:name w:val="正文（缩进 2 字符）"/>
    <w:qFormat/>
    <w:uiPriority w:val="0"/>
    <w:pPr>
      <w:spacing w:line="400" w:lineRule="exact"/>
      <w:ind w:firstLine="200" w:firstLineChars="200"/>
      <w:jc w:val="both"/>
    </w:pPr>
    <w:rPr>
      <w:rFonts w:ascii="Calibri Light" w:hAnsi="Calibri Light" w:eastAsia="华文仿宋" w:cs="Times New Roman"/>
      <w:kern w:val="2"/>
      <w:sz w:val="28"/>
      <w:szCs w:val="28"/>
      <w:lang w:val="en-US" w:eastAsia="zh-CN" w:bidi="ar-SA"/>
    </w:rPr>
  </w:style>
  <w:style w:type="paragraph" w:customStyle="1" w:styleId="199">
    <w:name w:val="标题 3（投标文件）"/>
    <w:qFormat/>
    <w:uiPriority w:val="0"/>
    <w:pPr>
      <w:keepNext/>
      <w:keepLines/>
      <w:spacing w:line="400" w:lineRule="atLeast"/>
      <w:outlineLvl w:val="2"/>
    </w:pPr>
    <w:rPr>
      <w:rFonts w:ascii="Calibri Light" w:hAnsi="Calibri Light" w:eastAsia="华文仿宋" w:cs="Times New Roman"/>
      <w:b/>
      <w:bCs/>
      <w:kern w:val="2"/>
      <w:sz w:val="32"/>
      <w:szCs w:val="32"/>
      <w:lang w:val="en-US" w:eastAsia="zh-CN" w:bidi="ar-SA"/>
    </w:rPr>
  </w:style>
  <w:style w:type="character" w:customStyle="1" w:styleId="200">
    <w:name w:val="mini-tree-nodetext3"/>
    <w:basedOn w:val="43"/>
    <w:qFormat/>
    <w:uiPriority w:val="0"/>
  </w:style>
  <w:style w:type="character" w:customStyle="1" w:styleId="201">
    <w:name w:val="input1"/>
    <w:basedOn w:val="43"/>
    <w:qFormat/>
    <w:uiPriority w:val="0"/>
    <w:rPr>
      <w:color w:val="000000"/>
      <w:sz w:val="27"/>
      <w:szCs w:val="27"/>
      <w:bdr w:val="single" w:color="000000" w:sz="2" w:space="0"/>
      <w:shd w:val="clear" w:color="auto" w:fill="F7F2B0"/>
    </w:rPr>
  </w:style>
  <w:style w:type="character" w:customStyle="1" w:styleId="202">
    <w:name w:val="wdate1"/>
    <w:basedOn w:val="43"/>
    <w:qFormat/>
    <w:uiPriority w:val="0"/>
    <w:rPr>
      <w:shd w:val="clear" w:color="auto" w:fill="F7F2B0"/>
    </w:rPr>
  </w:style>
  <w:style w:type="paragraph" w:styleId="203">
    <w:name w:val="List Paragraph"/>
    <w:basedOn w:val="1"/>
    <w:qFormat/>
    <w:uiPriority w:val="99"/>
    <w:pPr>
      <w:ind w:firstLine="420" w:firstLineChars="200"/>
    </w:pPr>
  </w:style>
  <w:style w:type="character" w:customStyle="1" w:styleId="204">
    <w:name w:val="标题 2 字符1"/>
    <w:link w:val="3"/>
    <w:qFormat/>
    <w:uiPriority w:val="9"/>
    <w:rPr>
      <w:rFonts w:ascii="Arial" w:hAnsi="Arial" w:eastAsia="宋体"/>
      <w:b/>
      <w:bCs/>
      <w:sz w:val="28"/>
      <w:szCs w:val="32"/>
    </w:rPr>
  </w:style>
  <w:style w:type="character" w:customStyle="1" w:styleId="205">
    <w:name w:val="font171"/>
    <w:qFormat/>
    <w:uiPriority w:val="0"/>
    <w:rPr>
      <w:rFonts w:hint="eastAsia" w:ascii="宋体" w:hAnsi="宋体" w:eastAsia="宋体" w:cs="宋体"/>
      <w:color w:val="3C3C3C"/>
      <w:sz w:val="20"/>
      <w:szCs w:val="20"/>
      <w:u w:val="none"/>
    </w:rPr>
  </w:style>
  <w:style w:type="character" w:customStyle="1" w:styleId="206">
    <w:name w:val="font221"/>
    <w:qFormat/>
    <w:uiPriority w:val="0"/>
    <w:rPr>
      <w:rFonts w:ascii="Tahoma" w:hAnsi="Tahoma" w:eastAsia="Tahoma" w:cs="Tahoma"/>
      <w:color w:val="3C3C3C"/>
      <w:sz w:val="20"/>
      <w:szCs w:val="20"/>
      <w:u w:val="none"/>
    </w:rPr>
  </w:style>
  <w:style w:type="paragraph" w:customStyle="1" w:styleId="207">
    <w:name w:val="List Paragraph_f6929498-27c1-4e5f-8b7d-610bcea2260a"/>
    <w:basedOn w:val="1"/>
    <w:qFormat/>
    <w:uiPriority w:val="34"/>
    <w:pPr>
      <w:ind w:firstLine="420" w:firstLineChars="200"/>
    </w:pPr>
  </w:style>
  <w:style w:type="table" w:customStyle="1" w:styleId="208">
    <w:name w:val="Table Normal"/>
    <w:semiHidden/>
    <w:unhideWhenUsed/>
    <w:qFormat/>
    <w:uiPriority w:val="0"/>
    <w:rPr>
      <w:rFonts w:ascii="Arial" w:hAnsi="Arial" w:cs="Arial"/>
      <w:snapToGrid w:val="0"/>
      <w:color w:val="000000"/>
      <w:sz w:val="21"/>
      <w:szCs w:val="21"/>
    </w:rPr>
    <w:tblPr>
      <w:tblCellMar>
        <w:top w:w="0" w:type="dxa"/>
        <w:left w:w="0" w:type="dxa"/>
        <w:bottom w:w="0" w:type="dxa"/>
        <w:right w:w="0" w:type="dxa"/>
      </w:tblCellMar>
    </w:tblPr>
  </w:style>
  <w:style w:type="character" w:customStyle="1" w:styleId="209">
    <w:name w:val="NormalCharacter"/>
    <w:link w:val="1"/>
    <w:semiHidden/>
    <w:qFormat/>
    <w:uiPriority w:val="0"/>
    <w:rPr>
      <w:rFonts w:asciiTheme="minorHAnsi" w:hAnsiTheme="minorHAnsi" w:eastAsiaTheme="minorEastAsia" w:cstheme="minorBidi"/>
      <w:kern w:val="2"/>
      <w:sz w:val="21"/>
      <w:szCs w:val="24"/>
      <w:lang w:val="en-US" w:eastAsia="zh-CN" w:bidi="ar-SA"/>
    </w:rPr>
  </w:style>
  <w:style w:type="character" w:customStyle="1" w:styleId="210">
    <w:name w:val="layui-this"/>
    <w:basedOn w:val="43"/>
    <w:qFormat/>
    <w:uiPriority w:val="0"/>
    <w:rPr>
      <w:bdr w:val="single" w:color="EEEEEE" w:sz="6" w:space="0"/>
      <w:shd w:val="clear" w:color="auto" w:fill="FFFFFF"/>
    </w:rPr>
  </w:style>
  <w:style w:type="paragraph" w:customStyle="1" w:styleId="211">
    <w:name w:val="正文1"/>
    <w:basedOn w:val="1"/>
    <w:qFormat/>
    <w:uiPriority w:val="0"/>
    <w:pPr>
      <w:tabs>
        <w:tab w:val="left" w:pos="1800"/>
      </w:tabs>
      <w:spacing w:line="360" w:lineRule="auto"/>
      <w:jc w:val="left"/>
    </w:pPr>
    <w:rPr>
      <w:rFonts w:ascii="宋体" w:hAnsi="宋体" w:eastAsia="宋体" w:cs="Arial"/>
      <w:sz w:val="24"/>
    </w:rPr>
  </w:style>
  <w:style w:type="paragraph" w:customStyle="1" w:styleId="212">
    <w:name w:val="Table Paragraph"/>
    <w:basedOn w:val="1"/>
    <w:qFormat/>
    <w:uiPriority w:val="1"/>
    <w:rPr>
      <w:rFonts w:ascii="宋体" w:hAnsi="宋体" w:eastAsia="宋体" w:cs="宋体"/>
    </w:rPr>
  </w:style>
  <w:style w:type="paragraph" w:customStyle="1" w:styleId="213">
    <w:name w:val="Table Text"/>
    <w:basedOn w:val="1"/>
    <w:semiHidden/>
    <w:qFormat/>
    <w:uiPriority w:val="0"/>
    <w:rPr>
      <w:rFonts w:ascii="仿宋" w:hAnsi="仿宋" w:eastAsia="仿宋" w:cs="仿宋"/>
      <w:sz w:val="24"/>
      <w:szCs w:val="24"/>
      <w:lang w:val="en-US" w:eastAsia="en-US" w:bidi="ar-SA"/>
    </w:rPr>
  </w:style>
  <w:style w:type="character" w:customStyle="1" w:styleId="214">
    <w:name w:val="font131"/>
    <w:basedOn w:val="43"/>
    <w:qFormat/>
    <w:uiPriority w:val="0"/>
    <w:rPr>
      <w:rFonts w:hint="eastAsia" w:ascii="宋体" w:hAnsi="宋体" w:eastAsia="宋体" w:cs="宋体"/>
      <w:color w:val="000000"/>
      <w:sz w:val="16"/>
      <w:szCs w:val="16"/>
      <w:u w:val="none"/>
      <w:vertAlign w:val="subscript"/>
    </w:rPr>
  </w:style>
  <w:style w:type="character" w:customStyle="1" w:styleId="215">
    <w:name w:val="标题 2 Char"/>
    <w:link w:val="3"/>
    <w:qFormat/>
    <w:uiPriority w:val="9"/>
    <w:rPr>
      <w:rFonts w:ascii="Arial" w:hAnsi="Arial" w:eastAsia="宋体"/>
      <w:b/>
      <w:bCs/>
      <w:kern w:val="0"/>
      <w:sz w:val="24"/>
      <w:szCs w:val="32"/>
    </w:rPr>
  </w:style>
  <w:style w:type="paragraph" w:customStyle="1" w:styleId="216">
    <w:name w:val="样式 行距: 1.5 倍行距"/>
    <w:basedOn w:val="1"/>
    <w:qFormat/>
    <w:uiPriority w:val="0"/>
    <w:pPr>
      <w:spacing w:line="360" w:lineRule="auto"/>
      <w:ind w:firstLine="480" w:firstLineChars="200"/>
    </w:pPr>
  </w:style>
  <w:style w:type="paragraph" w:customStyle="1" w:styleId="217">
    <w:name w:val="样式 样式 样式 样式 宋体 + 首行缩进:  2 字符 + 首行缩进:  2 字符 + 首行缩进:  2 字符"/>
    <w:basedOn w:val="218"/>
    <w:qFormat/>
    <w:uiPriority w:val="0"/>
  </w:style>
  <w:style w:type="paragraph" w:customStyle="1" w:styleId="218">
    <w:name w:val="样式 样式 样式 宋体 + 首行缩进:  2 字符 + 首行缩进:  2 字符"/>
    <w:basedOn w:val="219"/>
    <w:qFormat/>
    <w:uiPriority w:val="0"/>
    <w:pPr>
      <w:ind w:right="33" w:firstLine="480"/>
    </w:pPr>
    <w:rPr>
      <w:szCs w:val="20"/>
    </w:rPr>
  </w:style>
  <w:style w:type="paragraph" w:customStyle="1" w:styleId="219">
    <w:name w:val="样式 样式 宋体 + 首行缩进:  2 字符"/>
    <w:basedOn w:val="1"/>
    <w:qFormat/>
    <w:uiPriority w:val="0"/>
    <w:pPr>
      <w:widowControl w:val="0"/>
      <w:spacing w:line="360" w:lineRule="auto"/>
      <w:ind w:firstLine="489" w:firstLineChars="200"/>
    </w:pPr>
    <w:rPr>
      <w:szCs w:val="22"/>
    </w:rPr>
  </w:style>
  <w:style w:type="paragraph" w:customStyle="1" w:styleId="220">
    <w:name w:val="样式 段后: 0.25 行"/>
    <w:basedOn w:val="1"/>
    <w:qFormat/>
    <w:uiPriority w:val="0"/>
    <w:pPr>
      <w:spacing w:afterLines="25" w:line="300" w:lineRule="auto"/>
      <w:ind w:firstLine="420" w:firstLineChars="200"/>
    </w:pPr>
    <w:rPr>
      <w:rFonts w:ascii="Arial" w:hAnsi="Arial" w:cs="宋体"/>
    </w:rPr>
  </w:style>
  <w:style w:type="paragraph" w:customStyle="1" w:styleId="221">
    <w:name w:val="文档正文"/>
    <w:basedOn w:val="1"/>
    <w:qFormat/>
    <w:uiPriority w:val="0"/>
    <w:pPr>
      <w:spacing w:line="312" w:lineRule="atLeast"/>
      <w:ind w:firstLine="567"/>
    </w:pPr>
    <w:rPr>
      <w:rFonts w:ascii="长城仿宋" w:eastAsia="长城仿宋"/>
      <w:sz w:val="28"/>
    </w:rPr>
  </w:style>
  <w:style w:type="paragraph" w:customStyle="1" w:styleId="222">
    <w:name w:val="样式 样式 宋体 首行缩进:  0.85 厘米 右侧:  -0.03 厘米 + 宋体 小四 首行缩进:  2 字符"/>
    <w:basedOn w:val="1"/>
    <w:qFormat/>
    <w:uiPriority w:val="0"/>
    <w:pPr>
      <w:widowControl w:val="0"/>
      <w:spacing w:line="360" w:lineRule="auto"/>
      <w:ind w:right="-17" w:firstLine="480" w:firstLineChars="200"/>
    </w:pPr>
    <w:rPr>
      <w:kern w:val="2"/>
      <w:szCs w:val="20"/>
      <w:shd w:val="clear" w:color="auto" w:fill="FFFFFF"/>
    </w:rPr>
  </w:style>
  <w:style w:type="character" w:customStyle="1" w:styleId="223">
    <w:name w:val="样式 样式 样式 宋体 首行缩进:  0.85 厘米 右侧:  -0.03 厘米 + 宋体 小四 首行缩进:  2 字符 + 加... Char"/>
    <w:link w:val="224"/>
    <w:qFormat/>
    <w:uiPriority w:val="0"/>
    <w:rPr>
      <w:b/>
      <w:bCs/>
    </w:rPr>
  </w:style>
  <w:style w:type="paragraph" w:customStyle="1" w:styleId="224">
    <w:name w:val="样式 样式 样式 宋体 首行缩进:  0.85 厘米 右侧:  -0.03 厘米 + 宋体 小四 首行缩进:  2 字符 + 加..."/>
    <w:basedOn w:val="222"/>
    <w:link w:val="223"/>
    <w:qFormat/>
    <w:uiPriority w:val="0"/>
    <w:pPr>
      <w:ind w:firstLine="482"/>
    </w:pPr>
    <w:rPr>
      <w:b/>
      <w:bCs/>
    </w:rPr>
  </w:style>
  <w:style w:type="paragraph" w:customStyle="1" w:styleId="225">
    <w:name w:val="目录"/>
    <w:basedOn w:val="1"/>
    <w:autoRedefine/>
    <w:qFormat/>
    <w:uiPriority w:val="0"/>
    <w:pPr>
      <w:widowControl/>
      <w:jc w:val="center"/>
    </w:pPr>
    <w:rPr>
      <w:rFonts w:ascii="宋体"/>
      <w:b/>
      <w:kern w:val="0"/>
      <w:sz w:val="36"/>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footer" Target="footer3.xml"/><Relationship Id="rId69" Type="http://schemas.openxmlformats.org/officeDocument/2006/relationships/customXml" Target="../customXml/item1.xml"/><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2.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jpe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168</Pages>
  <Words>33288</Words>
  <Characters>36824</Characters>
  <Lines>378</Lines>
  <Paragraphs>106</Paragraphs>
  <TotalTime>0</TotalTime>
  <ScaleCrop>false</ScaleCrop>
  <LinksUpToDate>false</LinksUpToDate>
  <CharactersWithSpaces>37603</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2020-07-02T13:51:00Z</dcterms:created>
  <dc:creator>灬猴哥灬</dc:creator>
  <cp:lastModifiedBy>xbdqg</cp:lastModifiedBy>
  <cp:lastPrinted>2024-12-24T00:27:00Z</cp:lastPrinted>
  <dcterms:modified xsi:type="dcterms:W3CDTF">2025-01-15T03:00:19Z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43AC941FDE804BFBBFB1E4A2F7615FB0_13</vt:lpwstr>
  </property>
  <property fmtid="{D5CDD505-2E9C-101B-9397-08002B2CF9AE}" pid="4" name="KSOTemplateDocerSaveRecord">
    <vt:lpwstr>eyJoZGlkIjoiODNiZWU4NTUwNTk0YzM5NWE5YWY1NTZkMjlhZmI3YTQiLCJ1c2VySWQiOiI1ODc5NTAwMTcifQ==</vt:lpwstr>
  </property>
</Properties>
</file>