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D7D4A">
      <w:pPr>
        <w:widowControl w:val="0"/>
        <w:spacing w:before="168" w:after="168" w:line="360" w:lineRule="auto"/>
        <w:jc w:val="center"/>
        <w:outlineLvl w:val="0"/>
        <w:rPr>
          <w:rFonts w:hint="eastAsia" w:ascii="仿宋" w:hAnsi="仿宋" w:eastAsia="仿宋" w:cs="仿宋"/>
          <w:b/>
          <w:bCs w:val="0"/>
          <w:color w:val="auto"/>
          <w:sz w:val="24"/>
          <w:szCs w:val="24"/>
          <w:highlight w:val="none"/>
          <w:lang w:val="en-US" w:eastAsia="zh-CN"/>
        </w:rPr>
      </w:pPr>
      <w:bookmarkStart w:id="2" w:name="_GoBack"/>
      <w:bookmarkStart w:id="0" w:name="_Toc32012"/>
      <w:bookmarkStart w:id="1" w:name="_Toc32437"/>
      <w:r>
        <w:rPr>
          <w:rStyle w:val="10"/>
          <w:rFonts w:hint="eastAsia" w:ascii="仿宋" w:hAnsi="仿宋" w:eastAsia="仿宋" w:cs="仿宋"/>
          <w:b/>
          <w:bCs w:val="0"/>
          <w:color w:val="auto"/>
          <w:kern w:val="2"/>
          <w:sz w:val="44"/>
          <w:szCs w:val="44"/>
          <w:highlight w:val="none"/>
        </w:rPr>
        <w:t>第四章 采购内容及技术要求</w:t>
      </w:r>
      <w:bookmarkEnd w:id="0"/>
      <w:bookmarkEnd w:id="1"/>
    </w:p>
    <w:p w14:paraId="379E7EC1">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一、采购内容</w:t>
      </w:r>
    </w:p>
    <w:p w14:paraId="4C2D02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napToGrid/>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1、</w:t>
      </w:r>
      <w:r>
        <w:rPr>
          <w:rFonts w:hint="eastAsia" w:ascii="仿宋" w:hAnsi="仿宋" w:eastAsia="仿宋" w:cs="仿宋"/>
          <w:snapToGrid/>
          <w:color w:val="auto"/>
          <w:kern w:val="0"/>
          <w:sz w:val="24"/>
          <w:szCs w:val="24"/>
          <w:highlight w:val="none"/>
          <w:lang w:eastAsia="zh-CN"/>
        </w:rPr>
        <w:t>实施2024年</w:t>
      </w:r>
      <w:r>
        <w:rPr>
          <w:rFonts w:hint="eastAsia" w:ascii="仿宋" w:hAnsi="仿宋" w:eastAsia="仿宋" w:cs="仿宋"/>
          <w:snapToGrid/>
          <w:color w:val="auto"/>
          <w:kern w:val="0"/>
          <w:sz w:val="24"/>
          <w:szCs w:val="24"/>
          <w:highlight w:val="none"/>
          <w:lang w:val="en-US" w:eastAsia="zh-CN"/>
        </w:rPr>
        <w:t>沣西</w:t>
      </w:r>
      <w:r>
        <w:rPr>
          <w:rFonts w:hint="eastAsia" w:ascii="仿宋" w:hAnsi="仿宋" w:eastAsia="仿宋" w:cs="仿宋"/>
          <w:snapToGrid/>
          <w:color w:val="auto"/>
          <w:kern w:val="0"/>
          <w:sz w:val="24"/>
          <w:szCs w:val="24"/>
          <w:highlight w:val="none"/>
          <w:lang w:eastAsia="zh-CN"/>
        </w:rPr>
        <w:t>新城所属农村义务教育阶段学生营养改善计划，按照每生每天5元标准，全年按200天计算。</w:t>
      </w:r>
      <w:r>
        <w:rPr>
          <w:rFonts w:hint="eastAsia" w:ascii="仿宋" w:hAnsi="仿宋" w:eastAsia="仿宋" w:cs="仿宋"/>
          <w:snapToGrid/>
          <w:color w:val="auto"/>
          <w:kern w:val="0"/>
          <w:sz w:val="24"/>
          <w:szCs w:val="24"/>
          <w:highlight w:val="none"/>
          <w:lang w:val="en-US" w:eastAsia="zh-CN"/>
        </w:rPr>
        <w:t>本次招标内容为午餐。</w:t>
      </w:r>
    </w:p>
    <w:p w14:paraId="51B7D077">
      <w:pPr>
        <w:keepNext w:val="0"/>
        <w:keepLines w:val="0"/>
        <w:pageBreakBefore w:val="0"/>
        <w:kinsoku/>
        <w:wordWrap/>
        <w:overflowPunct/>
        <w:topLinePunct w:val="0"/>
        <w:autoSpaceDE/>
        <w:autoSpaceDN/>
        <w:bidi w:val="0"/>
        <w:spacing w:line="360" w:lineRule="auto"/>
        <w:ind w:firstLine="0" w:firstLineChars="0"/>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具体详见下表</w:t>
      </w:r>
    </w:p>
    <w:p w14:paraId="60AB203F">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沣西</w:t>
      </w:r>
      <w:r>
        <w:rPr>
          <w:rFonts w:hint="eastAsia" w:ascii="仿宋" w:hAnsi="仿宋" w:eastAsia="仿宋" w:cs="仿宋"/>
          <w:b/>
          <w:bCs/>
          <w:color w:val="auto"/>
          <w:sz w:val="28"/>
          <w:szCs w:val="28"/>
          <w:highlight w:val="none"/>
        </w:rPr>
        <w:t>新城农村义务教育学生营养改善计划</w:t>
      </w:r>
      <w:r>
        <w:rPr>
          <w:rFonts w:hint="eastAsia" w:ascii="仿宋" w:hAnsi="仿宋" w:eastAsia="仿宋" w:cs="仿宋"/>
          <w:b/>
          <w:bCs/>
          <w:color w:val="auto"/>
          <w:sz w:val="28"/>
          <w:szCs w:val="28"/>
          <w:highlight w:val="none"/>
          <w:lang w:val="en-US" w:eastAsia="zh-CN"/>
        </w:rPr>
        <w:t>表</w:t>
      </w:r>
    </w:p>
    <w:tbl>
      <w:tblPr>
        <w:tblStyle w:val="8"/>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063"/>
        <w:gridCol w:w="1921"/>
        <w:gridCol w:w="2054"/>
        <w:gridCol w:w="1405"/>
      </w:tblGrid>
      <w:tr w14:paraId="61FF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80" w:type="pct"/>
            <w:noWrap w:val="0"/>
            <w:vAlign w:val="center"/>
          </w:tcPr>
          <w:p w14:paraId="050F41D5">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序号</w:t>
            </w:r>
          </w:p>
        </w:tc>
        <w:tc>
          <w:tcPr>
            <w:tcW w:w="1225" w:type="pct"/>
            <w:noWrap w:val="0"/>
            <w:vAlign w:val="center"/>
          </w:tcPr>
          <w:p w14:paraId="720AE2C4">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学校名称</w:t>
            </w:r>
          </w:p>
        </w:tc>
        <w:tc>
          <w:tcPr>
            <w:tcW w:w="1141" w:type="pct"/>
            <w:noWrap w:val="0"/>
            <w:vAlign w:val="center"/>
          </w:tcPr>
          <w:p w14:paraId="2136B998">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2025年预计人数</w:t>
            </w:r>
          </w:p>
        </w:tc>
        <w:tc>
          <w:tcPr>
            <w:tcW w:w="1220" w:type="pct"/>
            <w:noWrap w:val="0"/>
            <w:vAlign w:val="center"/>
          </w:tcPr>
          <w:p w14:paraId="0BDBD90E">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学生补助</w:t>
            </w:r>
            <w:r>
              <w:rPr>
                <w:rFonts w:hint="eastAsia" w:ascii="仿宋" w:hAnsi="仿宋" w:eastAsia="仿宋" w:cs="仿宋"/>
                <w:color w:val="auto"/>
                <w:sz w:val="21"/>
                <w:szCs w:val="21"/>
                <w:highlight w:val="none"/>
              </w:rPr>
              <w:t>标准</w:t>
            </w:r>
          </w:p>
          <w:p w14:paraId="1EDFF081">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（元/天）</w:t>
            </w:r>
          </w:p>
        </w:tc>
        <w:tc>
          <w:tcPr>
            <w:tcW w:w="832" w:type="pct"/>
            <w:noWrap w:val="0"/>
            <w:vAlign w:val="center"/>
          </w:tcPr>
          <w:p w14:paraId="7E160B3E">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i w:val="0"/>
                <w:iCs w:val="0"/>
                <w:snapToGrid w:val="0"/>
                <w:color w:val="auto"/>
                <w:kern w:val="0"/>
                <w:sz w:val="21"/>
                <w:szCs w:val="21"/>
                <w:highlight w:val="none"/>
                <w:u w:val="none"/>
                <w:lang w:val="en-US" w:eastAsia="zh-CN" w:bidi="ar"/>
              </w:rPr>
              <w:t>供应天数</w:t>
            </w:r>
          </w:p>
        </w:tc>
      </w:tr>
      <w:tr w14:paraId="5D6A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5934750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25" w:type="pct"/>
            <w:noWrap w:val="0"/>
            <w:vAlign w:val="center"/>
          </w:tcPr>
          <w:p w14:paraId="5D40CA4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钓台中学</w:t>
            </w:r>
          </w:p>
        </w:tc>
        <w:tc>
          <w:tcPr>
            <w:tcW w:w="1141" w:type="pct"/>
            <w:noWrap w:val="0"/>
            <w:vAlign w:val="center"/>
          </w:tcPr>
          <w:p w14:paraId="4CB28C4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66</w:t>
            </w:r>
          </w:p>
        </w:tc>
        <w:tc>
          <w:tcPr>
            <w:tcW w:w="1220" w:type="pct"/>
            <w:noWrap w:val="0"/>
            <w:vAlign w:val="center"/>
          </w:tcPr>
          <w:p w14:paraId="1D164EE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768D0E9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5183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388CA22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225" w:type="pct"/>
            <w:noWrap w:val="0"/>
            <w:vAlign w:val="center"/>
          </w:tcPr>
          <w:p w14:paraId="67E9834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大王初中</w:t>
            </w:r>
          </w:p>
        </w:tc>
        <w:tc>
          <w:tcPr>
            <w:tcW w:w="1141" w:type="pct"/>
            <w:noWrap w:val="0"/>
            <w:vAlign w:val="center"/>
          </w:tcPr>
          <w:p w14:paraId="48748C8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817</w:t>
            </w:r>
          </w:p>
        </w:tc>
        <w:tc>
          <w:tcPr>
            <w:tcW w:w="1220" w:type="pct"/>
            <w:noWrap w:val="0"/>
            <w:vAlign w:val="center"/>
          </w:tcPr>
          <w:p w14:paraId="49D10FF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193F841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417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01E3804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225" w:type="pct"/>
            <w:noWrap w:val="0"/>
            <w:vAlign w:val="center"/>
          </w:tcPr>
          <w:p w14:paraId="74B9138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卓日村小学</w:t>
            </w:r>
          </w:p>
        </w:tc>
        <w:tc>
          <w:tcPr>
            <w:tcW w:w="1141" w:type="pct"/>
            <w:noWrap w:val="0"/>
            <w:vAlign w:val="center"/>
          </w:tcPr>
          <w:p w14:paraId="4112AEC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137</w:t>
            </w:r>
          </w:p>
        </w:tc>
        <w:tc>
          <w:tcPr>
            <w:tcW w:w="1220" w:type="pct"/>
            <w:noWrap w:val="0"/>
            <w:vAlign w:val="center"/>
          </w:tcPr>
          <w:p w14:paraId="2BAE6E2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7F33536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2736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26BF01C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225" w:type="pct"/>
            <w:noWrap w:val="0"/>
            <w:vAlign w:val="center"/>
          </w:tcPr>
          <w:p w14:paraId="3F3DEBC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大王中心学校</w:t>
            </w:r>
          </w:p>
        </w:tc>
        <w:tc>
          <w:tcPr>
            <w:tcW w:w="1141" w:type="pct"/>
            <w:noWrap w:val="0"/>
            <w:vAlign w:val="center"/>
          </w:tcPr>
          <w:p w14:paraId="67CF303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1224</w:t>
            </w:r>
          </w:p>
        </w:tc>
        <w:tc>
          <w:tcPr>
            <w:tcW w:w="1220" w:type="pct"/>
            <w:noWrap w:val="0"/>
            <w:vAlign w:val="center"/>
          </w:tcPr>
          <w:p w14:paraId="2CE84DC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5902C6C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200</w:t>
            </w:r>
          </w:p>
        </w:tc>
      </w:tr>
      <w:tr w14:paraId="22E7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3C04012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225" w:type="pct"/>
            <w:noWrap w:val="0"/>
            <w:vAlign w:val="center"/>
          </w:tcPr>
          <w:p w14:paraId="233EB34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大王东小学</w:t>
            </w:r>
          </w:p>
        </w:tc>
        <w:tc>
          <w:tcPr>
            <w:tcW w:w="1141" w:type="pct"/>
            <w:noWrap w:val="0"/>
            <w:vAlign w:val="center"/>
          </w:tcPr>
          <w:p w14:paraId="0904B2E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857</w:t>
            </w:r>
          </w:p>
        </w:tc>
        <w:tc>
          <w:tcPr>
            <w:tcW w:w="1220" w:type="pct"/>
            <w:noWrap w:val="0"/>
            <w:vAlign w:val="center"/>
          </w:tcPr>
          <w:p w14:paraId="35C80B2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6439FA1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1C66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54EBAE7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225" w:type="pct"/>
            <w:noWrap w:val="0"/>
            <w:vAlign w:val="center"/>
          </w:tcPr>
          <w:p w14:paraId="260B4C0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马王中心学校</w:t>
            </w:r>
          </w:p>
        </w:tc>
        <w:tc>
          <w:tcPr>
            <w:tcW w:w="1141" w:type="pct"/>
            <w:noWrap w:val="0"/>
            <w:vAlign w:val="center"/>
          </w:tcPr>
          <w:p w14:paraId="795FCE0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470</w:t>
            </w:r>
          </w:p>
        </w:tc>
        <w:tc>
          <w:tcPr>
            <w:tcW w:w="1220" w:type="pct"/>
            <w:noWrap w:val="0"/>
            <w:vAlign w:val="center"/>
          </w:tcPr>
          <w:p w14:paraId="232BC55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36F2A5A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063A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04A9172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225" w:type="pct"/>
            <w:noWrap w:val="0"/>
            <w:vAlign w:val="center"/>
          </w:tcPr>
          <w:p w14:paraId="15FA76B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马王新庄小学</w:t>
            </w:r>
          </w:p>
        </w:tc>
        <w:tc>
          <w:tcPr>
            <w:tcW w:w="1141" w:type="pct"/>
            <w:noWrap w:val="0"/>
            <w:vAlign w:val="center"/>
          </w:tcPr>
          <w:p w14:paraId="467D035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83</w:t>
            </w:r>
          </w:p>
        </w:tc>
        <w:tc>
          <w:tcPr>
            <w:tcW w:w="1220" w:type="pct"/>
            <w:noWrap w:val="0"/>
            <w:vAlign w:val="center"/>
          </w:tcPr>
          <w:p w14:paraId="3F9159F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4379D5C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4E3C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2276594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225" w:type="pct"/>
            <w:noWrap w:val="0"/>
            <w:vAlign w:val="center"/>
          </w:tcPr>
          <w:p w14:paraId="7AF9868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马王街道新旺小学</w:t>
            </w:r>
          </w:p>
        </w:tc>
        <w:tc>
          <w:tcPr>
            <w:tcW w:w="1141" w:type="pct"/>
            <w:noWrap w:val="0"/>
            <w:vAlign w:val="center"/>
          </w:tcPr>
          <w:p w14:paraId="72CFC64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99</w:t>
            </w:r>
          </w:p>
        </w:tc>
        <w:tc>
          <w:tcPr>
            <w:tcW w:w="1220" w:type="pct"/>
            <w:noWrap w:val="0"/>
            <w:vAlign w:val="center"/>
          </w:tcPr>
          <w:p w14:paraId="5075010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3D1ED99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43F9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65F86D1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225" w:type="pct"/>
            <w:noWrap w:val="0"/>
            <w:vAlign w:val="center"/>
          </w:tcPr>
          <w:p w14:paraId="7EEB348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马王大原小学</w:t>
            </w:r>
          </w:p>
        </w:tc>
        <w:tc>
          <w:tcPr>
            <w:tcW w:w="1141" w:type="pct"/>
            <w:noWrap w:val="0"/>
            <w:vAlign w:val="center"/>
          </w:tcPr>
          <w:p w14:paraId="0192D27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130</w:t>
            </w:r>
          </w:p>
        </w:tc>
        <w:tc>
          <w:tcPr>
            <w:tcW w:w="1220" w:type="pct"/>
            <w:noWrap w:val="0"/>
            <w:vAlign w:val="center"/>
          </w:tcPr>
          <w:p w14:paraId="44EECA1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47327D6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6C15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0" w:type="pct"/>
            <w:noWrap w:val="0"/>
            <w:vAlign w:val="center"/>
          </w:tcPr>
          <w:p w14:paraId="5B63B6B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225" w:type="pct"/>
            <w:noWrap w:val="0"/>
            <w:vAlign w:val="center"/>
          </w:tcPr>
          <w:p w14:paraId="4793080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爱华小学</w:t>
            </w:r>
          </w:p>
        </w:tc>
        <w:tc>
          <w:tcPr>
            <w:tcW w:w="1141" w:type="pct"/>
            <w:noWrap w:val="0"/>
            <w:vAlign w:val="center"/>
          </w:tcPr>
          <w:p w14:paraId="14E6FF2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617</w:t>
            </w:r>
          </w:p>
        </w:tc>
        <w:tc>
          <w:tcPr>
            <w:tcW w:w="1220" w:type="pct"/>
            <w:noWrap w:val="0"/>
            <w:vAlign w:val="center"/>
          </w:tcPr>
          <w:p w14:paraId="5DE2B3A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832" w:type="pct"/>
            <w:noWrap w:val="0"/>
            <w:vAlign w:val="center"/>
          </w:tcPr>
          <w:p w14:paraId="6764731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r>
      <w:tr w14:paraId="4FD2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5"/>
            <w:noWrap w:val="0"/>
            <w:vAlign w:val="center"/>
          </w:tcPr>
          <w:p w14:paraId="049DD7A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合计人数：4500人</w:t>
            </w:r>
          </w:p>
        </w:tc>
      </w:tr>
    </w:tbl>
    <w:p w14:paraId="2F8B2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注:最终付款金额以采购人确定的实际供餐天数及用餐人数结算，标准每生每天5元。</w:t>
      </w:r>
    </w:p>
    <w:p w14:paraId="7D94026C">
      <w:pPr>
        <w:keepNext w:val="0"/>
        <w:keepLines w:val="0"/>
        <w:pageBreakBefore w:val="0"/>
        <w:numPr>
          <w:ilvl w:val="-1"/>
          <w:numId w:val="0"/>
        </w:numPr>
        <w:kinsoku/>
        <w:wordWrap/>
        <w:overflowPunct/>
        <w:topLinePunct w:val="0"/>
        <w:autoSpaceDE/>
        <w:autoSpaceDN/>
        <w:bidi w:val="0"/>
        <w:spacing w:line="360" w:lineRule="auto"/>
        <w:ind w:firstLine="0" w:firstLineChars="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二、采购技术要求</w:t>
      </w:r>
    </w:p>
    <w:tbl>
      <w:tblPr>
        <w:tblStyle w:val="12"/>
        <w:tblW w:w="5133" w:type="pct"/>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7"/>
        <w:gridCol w:w="1166"/>
        <w:gridCol w:w="5896"/>
        <w:gridCol w:w="794"/>
      </w:tblGrid>
      <w:tr w14:paraId="7601F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Header/>
        </w:trPr>
        <w:tc>
          <w:tcPr>
            <w:tcW w:w="397" w:type="pct"/>
            <w:noWrap w:val="0"/>
            <w:vAlign w:val="center"/>
          </w:tcPr>
          <w:p w14:paraId="2A396ED1">
            <w:pPr>
              <w:pStyle w:val="11"/>
              <w:keepNext w:val="0"/>
              <w:keepLines w:val="0"/>
              <w:pageBreakBefore w:val="0"/>
              <w:widowControl w:val="0"/>
              <w:kinsoku/>
              <w:wordWrap/>
              <w:overflowPunct/>
              <w:topLinePunct w:val="0"/>
              <w:autoSpaceDE/>
              <w:autoSpaceDN/>
              <w:bidi w:val="0"/>
              <w:adjustRightInd/>
              <w:snapToGrid/>
              <w:spacing w:line="288" w:lineRule="auto"/>
              <w:ind w:left="155"/>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pacing w:val="-2"/>
                <w:sz w:val="21"/>
                <w:szCs w:val="21"/>
                <w:highlight w:val="none"/>
              </w:rPr>
              <w:t>序号</w:t>
            </w:r>
          </w:p>
        </w:tc>
        <w:tc>
          <w:tcPr>
            <w:tcW w:w="683" w:type="pct"/>
            <w:noWrap w:val="0"/>
            <w:vAlign w:val="center"/>
          </w:tcPr>
          <w:p w14:paraId="26B50BDB">
            <w:pPr>
              <w:pStyle w:val="11"/>
              <w:keepNext w:val="0"/>
              <w:keepLines w:val="0"/>
              <w:pageBreakBefore w:val="0"/>
              <w:widowControl w:val="0"/>
              <w:kinsoku/>
              <w:wordWrap/>
              <w:overflowPunct/>
              <w:topLinePunct w:val="0"/>
              <w:autoSpaceDE/>
              <w:autoSpaceDN/>
              <w:bidi w:val="0"/>
              <w:adjustRightInd/>
              <w:snapToGrid/>
              <w:spacing w:line="288" w:lineRule="auto"/>
              <w:ind w:left="356"/>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pacing w:val="-3"/>
                <w:sz w:val="21"/>
                <w:szCs w:val="21"/>
                <w:highlight w:val="none"/>
              </w:rPr>
              <w:t>名称</w:t>
            </w:r>
          </w:p>
        </w:tc>
        <w:tc>
          <w:tcPr>
            <w:tcW w:w="3455" w:type="pct"/>
            <w:noWrap w:val="0"/>
            <w:vAlign w:val="center"/>
          </w:tcPr>
          <w:p w14:paraId="61C55EFE">
            <w:pPr>
              <w:pStyle w:val="11"/>
              <w:keepNext w:val="0"/>
              <w:keepLines w:val="0"/>
              <w:pageBreakBefore w:val="0"/>
              <w:widowControl w:val="0"/>
              <w:kinsoku/>
              <w:wordWrap/>
              <w:overflowPunct/>
              <w:topLinePunct w:val="0"/>
              <w:autoSpaceDE/>
              <w:autoSpaceDN/>
              <w:bidi w:val="0"/>
              <w:adjustRightInd/>
              <w:snapToGrid/>
              <w:spacing w:line="288" w:lineRule="auto"/>
              <w:ind w:left="2832"/>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pacing w:val="-1"/>
                <w:sz w:val="21"/>
                <w:szCs w:val="21"/>
                <w:highlight w:val="none"/>
              </w:rPr>
              <w:t>规格及技术参数</w:t>
            </w:r>
          </w:p>
        </w:tc>
        <w:tc>
          <w:tcPr>
            <w:tcW w:w="463" w:type="pct"/>
            <w:noWrap w:val="0"/>
            <w:vAlign w:val="center"/>
          </w:tcPr>
          <w:p w14:paraId="62BAD331">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pacing w:val="-3"/>
                <w:sz w:val="21"/>
                <w:szCs w:val="21"/>
                <w:highlight w:val="none"/>
              </w:rPr>
              <w:t>备注</w:t>
            </w:r>
          </w:p>
        </w:tc>
      </w:tr>
      <w:tr w14:paraId="07379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97" w:type="pct"/>
            <w:shd w:val="clear" w:color="auto" w:fill="auto"/>
            <w:noWrap w:val="0"/>
            <w:vAlign w:val="center"/>
          </w:tcPr>
          <w:p w14:paraId="25ABC4B6">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p w14:paraId="5D4D28E5">
            <w:pPr>
              <w:pStyle w:val="11"/>
              <w:keepNext w:val="0"/>
              <w:keepLines w:val="0"/>
              <w:pageBreakBefore w:val="0"/>
              <w:widowControl w:val="0"/>
              <w:kinsoku/>
              <w:wordWrap/>
              <w:overflowPunct/>
              <w:topLinePunct w:val="0"/>
              <w:autoSpaceDE/>
              <w:autoSpaceDN/>
              <w:bidi w:val="0"/>
              <w:adjustRightInd/>
              <w:snapToGrid/>
              <w:spacing w:line="288" w:lineRule="auto"/>
              <w:ind w:left="330" w:leftChars="0"/>
              <w:jc w:val="center"/>
              <w:textAlignment w:val="baseline"/>
              <w:rPr>
                <w:rFonts w:hint="eastAsia" w:ascii="仿宋" w:hAnsi="仿宋" w:eastAsia="仿宋" w:cs="仿宋"/>
                <w:color w:val="auto"/>
                <w:spacing w:val="-2"/>
                <w:sz w:val="21"/>
                <w:szCs w:val="21"/>
                <w:highlight w:val="none"/>
                <w:lang w:val="en-US" w:eastAsia="en-US" w:bidi="ar-SA"/>
              </w:rPr>
            </w:pPr>
            <w:r>
              <w:rPr>
                <w:rFonts w:hint="eastAsia" w:ascii="仿宋" w:hAnsi="仿宋" w:eastAsia="仿宋" w:cs="仿宋"/>
                <w:color w:val="auto"/>
                <w:sz w:val="21"/>
                <w:szCs w:val="21"/>
                <w:highlight w:val="none"/>
              </w:rPr>
              <w:t>1</w:t>
            </w:r>
          </w:p>
        </w:tc>
        <w:tc>
          <w:tcPr>
            <w:tcW w:w="683" w:type="pct"/>
            <w:shd w:val="clear" w:color="auto" w:fill="auto"/>
            <w:noWrap w:val="0"/>
            <w:vAlign w:val="center"/>
          </w:tcPr>
          <w:p w14:paraId="7FEAAD0E">
            <w:pPr>
              <w:pStyle w:val="11"/>
              <w:keepNext w:val="0"/>
              <w:keepLines w:val="0"/>
              <w:pageBreakBefore w:val="0"/>
              <w:widowControl w:val="0"/>
              <w:kinsoku/>
              <w:wordWrap/>
              <w:overflowPunct/>
              <w:topLinePunct w:val="0"/>
              <w:autoSpaceDE/>
              <w:autoSpaceDN/>
              <w:bidi w:val="0"/>
              <w:adjustRightInd/>
              <w:snapToGrid/>
              <w:spacing w:line="288" w:lineRule="auto"/>
              <w:ind w:left="142" w:leftChars="0"/>
              <w:jc w:val="center"/>
              <w:textAlignment w:val="baseline"/>
              <w:rPr>
                <w:rFonts w:hint="eastAsia" w:ascii="仿宋" w:hAnsi="仿宋" w:eastAsia="仿宋" w:cs="仿宋"/>
                <w:color w:val="auto"/>
                <w:spacing w:val="-3"/>
                <w:sz w:val="21"/>
                <w:szCs w:val="21"/>
                <w:highlight w:val="none"/>
                <w:lang w:val="en-US" w:eastAsia="en-US" w:bidi="ar-SA"/>
              </w:rPr>
            </w:pPr>
            <w:r>
              <w:rPr>
                <w:rFonts w:hint="eastAsia" w:ascii="仿宋" w:hAnsi="仿宋" w:eastAsia="仿宋" w:cs="仿宋"/>
                <w:color w:val="auto"/>
                <w:spacing w:val="-2"/>
                <w:sz w:val="21"/>
                <w:szCs w:val="21"/>
                <w:highlight w:val="none"/>
              </w:rPr>
              <w:t>米面粮类</w:t>
            </w:r>
          </w:p>
        </w:tc>
        <w:tc>
          <w:tcPr>
            <w:tcW w:w="3455" w:type="pct"/>
            <w:shd w:val="clear" w:color="auto" w:fill="auto"/>
            <w:noWrap w:val="0"/>
            <w:vAlign w:val="center"/>
          </w:tcPr>
          <w:p w14:paraId="003E3555">
            <w:pPr>
              <w:pStyle w:val="11"/>
              <w:keepNext w:val="0"/>
              <w:keepLines w:val="0"/>
              <w:pageBreakBefore w:val="0"/>
              <w:widowControl w:val="0"/>
              <w:kinsoku/>
              <w:wordWrap/>
              <w:overflowPunct/>
              <w:topLinePunct w:val="0"/>
              <w:autoSpaceDE/>
              <w:autoSpaceDN/>
              <w:bidi w:val="0"/>
              <w:adjustRightInd/>
              <w:snapToGrid/>
              <w:spacing w:line="288" w:lineRule="auto"/>
              <w:ind w:left="113" w:right="99" w:firstLine="1"/>
              <w:jc w:val="left"/>
              <w:textAlignment w:val="baseline"/>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2"/>
                <w:sz w:val="21"/>
                <w:szCs w:val="21"/>
                <w:highlight w:val="none"/>
              </w:rPr>
              <w:t>大米：必须符合</w:t>
            </w:r>
            <w:r>
              <w:rPr>
                <w:rFonts w:hint="eastAsia" w:ascii="仿宋" w:hAnsi="仿宋" w:eastAsia="仿宋" w:cs="仿宋"/>
                <w:b w:val="0"/>
                <w:bCs w:val="0"/>
                <w:color w:val="auto"/>
                <w:sz w:val="21"/>
                <w:szCs w:val="21"/>
                <w:highlight w:val="none"/>
              </w:rPr>
              <w:t>GB</w:t>
            </w:r>
            <w:r>
              <w:rPr>
                <w:rFonts w:hint="eastAsia" w:ascii="仿宋" w:hAnsi="仿宋" w:eastAsia="仿宋" w:cs="仿宋"/>
                <w:b w:val="0"/>
                <w:bCs w:val="0"/>
                <w:color w:val="auto"/>
                <w:spacing w:val="2"/>
                <w:sz w:val="21"/>
                <w:szCs w:val="21"/>
                <w:highlight w:val="none"/>
              </w:rPr>
              <w:t>/T1354-2018标准（如在实施过程中有新标</w:t>
            </w:r>
            <w:r>
              <w:rPr>
                <w:rFonts w:hint="eastAsia" w:ascii="仿宋" w:hAnsi="仿宋" w:eastAsia="仿宋" w:cs="仿宋"/>
                <w:b w:val="0"/>
                <w:bCs w:val="0"/>
                <w:color w:val="auto"/>
                <w:spacing w:val="1"/>
                <w:sz w:val="21"/>
                <w:szCs w:val="21"/>
                <w:highlight w:val="none"/>
              </w:rPr>
              <w:t>准则按照新</w:t>
            </w:r>
            <w:r>
              <w:rPr>
                <w:rFonts w:hint="eastAsia" w:ascii="仿宋" w:hAnsi="仿宋" w:eastAsia="仿宋" w:cs="仿宋"/>
                <w:b w:val="0"/>
                <w:bCs w:val="0"/>
                <w:color w:val="auto"/>
                <w:sz w:val="21"/>
                <w:szCs w:val="21"/>
                <w:highlight w:val="none"/>
              </w:rPr>
              <w:t>标准执行</w:t>
            </w:r>
            <w:r>
              <w:rPr>
                <w:rFonts w:hint="eastAsia" w:ascii="仿宋" w:hAnsi="仿宋" w:eastAsia="仿宋" w:cs="仿宋"/>
                <w:b w:val="0"/>
                <w:bCs w:val="0"/>
                <w:color w:val="auto"/>
                <w:spacing w:val="4"/>
                <w:sz w:val="21"/>
                <w:szCs w:val="21"/>
                <w:highlight w:val="none"/>
              </w:rPr>
              <w:t>）</w:t>
            </w:r>
            <w:r>
              <w:rPr>
                <w:rFonts w:hint="eastAsia" w:ascii="仿宋" w:hAnsi="仿宋" w:eastAsia="仿宋" w:cs="仿宋"/>
                <w:b w:val="0"/>
                <w:bCs w:val="0"/>
                <w:color w:val="auto"/>
                <w:spacing w:val="4"/>
                <w:sz w:val="21"/>
                <w:szCs w:val="21"/>
                <w:highlight w:val="none"/>
                <w:lang w:eastAsia="zh-CN"/>
              </w:rPr>
              <w:t>，</w:t>
            </w:r>
            <w:r>
              <w:rPr>
                <w:rFonts w:hint="eastAsia" w:ascii="仿宋" w:hAnsi="仿宋" w:eastAsia="仿宋" w:cs="仿宋"/>
                <w:b w:val="0"/>
                <w:bCs w:val="0"/>
                <w:color w:val="auto"/>
                <w:sz w:val="21"/>
                <w:szCs w:val="21"/>
                <w:highlight w:val="none"/>
              </w:rPr>
              <w:t>并拥有“SC”食品质量安全认证；当年</w:t>
            </w:r>
            <w:r>
              <w:rPr>
                <w:rFonts w:hint="eastAsia" w:ascii="仿宋" w:hAnsi="仿宋" w:eastAsia="仿宋" w:cs="仿宋"/>
                <w:b w:val="0"/>
                <w:bCs w:val="0"/>
                <w:color w:val="auto"/>
                <w:spacing w:val="-1"/>
                <w:sz w:val="21"/>
                <w:szCs w:val="21"/>
                <w:highlight w:val="none"/>
              </w:rPr>
              <w:t>或上年出产的优质一</w:t>
            </w:r>
            <w:r>
              <w:rPr>
                <w:rFonts w:hint="eastAsia" w:ascii="仿宋" w:hAnsi="仿宋" w:eastAsia="仿宋" w:cs="仿宋"/>
                <w:b w:val="0"/>
                <w:bCs w:val="0"/>
                <w:color w:val="auto"/>
                <w:spacing w:val="12"/>
                <w:sz w:val="21"/>
                <w:szCs w:val="21"/>
                <w:highlight w:val="none"/>
              </w:rPr>
              <w:t>级大米，严格按国家标准生产，有生产日期、合格证，并有质量检验报</w:t>
            </w:r>
            <w:r>
              <w:rPr>
                <w:rFonts w:hint="eastAsia" w:ascii="仿宋" w:hAnsi="仿宋" w:eastAsia="仿宋" w:cs="仿宋"/>
                <w:b w:val="0"/>
                <w:bCs w:val="0"/>
                <w:color w:val="auto"/>
                <w:spacing w:val="6"/>
                <w:sz w:val="21"/>
                <w:szCs w:val="21"/>
                <w:highlight w:val="none"/>
              </w:rPr>
              <w:t>告</w:t>
            </w:r>
            <w:r>
              <w:rPr>
                <w:rFonts w:hint="eastAsia" w:ascii="仿宋" w:hAnsi="仿宋" w:eastAsia="仿宋" w:cs="仿宋"/>
                <w:b w:val="0"/>
                <w:bCs w:val="0"/>
                <w:color w:val="auto"/>
                <w:spacing w:val="6"/>
                <w:sz w:val="21"/>
                <w:szCs w:val="21"/>
                <w:highlight w:val="none"/>
                <w:lang w:eastAsia="zh-CN"/>
              </w:rPr>
              <w:t>（</w:t>
            </w:r>
            <w:r>
              <w:rPr>
                <w:rFonts w:hint="eastAsia" w:ascii="仿宋" w:hAnsi="仿宋" w:eastAsia="仿宋" w:cs="仿宋"/>
                <w:b w:val="0"/>
                <w:bCs w:val="0"/>
                <w:color w:val="auto"/>
                <w:spacing w:val="6"/>
                <w:sz w:val="21"/>
                <w:szCs w:val="21"/>
                <w:highlight w:val="none"/>
                <w:lang w:val="en-US" w:eastAsia="zh-CN"/>
              </w:rPr>
              <w:t>大米应具备镉、黄曲霉毒素等指标的检测报告</w:t>
            </w:r>
            <w:r>
              <w:rPr>
                <w:rFonts w:hint="eastAsia" w:ascii="仿宋" w:hAnsi="仿宋" w:eastAsia="仿宋" w:cs="仿宋"/>
                <w:b w:val="0"/>
                <w:bCs w:val="0"/>
                <w:color w:val="auto"/>
                <w:spacing w:val="6"/>
                <w:sz w:val="21"/>
                <w:szCs w:val="21"/>
                <w:highlight w:val="none"/>
                <w:lang w:eastAsia="zh-CN"/>
              </w:rPr>
              <w:t>）</w:t>
            </w:r>
            <w:r>
              <w:rPr>
                <w:rFonts w:hint="eastAsia" w:ascii="仿宋" w:hAnsi="仿宋" w:eastAsia="仿宋" w:cs="仿宋"/>
                <w:b w:val="0"/>
                <w:bCs w:val="0"/>
                <w:color w:val="auto"/>
                <w:spacing w:val="6"/>
                <w:sz w:val="21"/>
                <w:szCs w:val="21"/>
                <w:highlight w:val="none"/>
                <w:lang w:eastAsia="zh-CN"/>
              </w:rPr>
              <w:t>，</w:t>
            </w:r>
            <w:r>
              <w:rPr>
                <w:rFonts w:hint="eastAsia" w:ascii="仿宋" w:hAnsi="仿宋" w:eastAsia="仿宋" w:cs="仿宋"/>
                <w:b w:val="0"/>
                <w:bCs w:val="0"/>
                <w:color w:val="auto"/>
                <w:spacing w:val="6"/>
                <w:sz w:val="21"/>
                <w:szCs w:val="21"/>
                <w:highlight w:val="none"/>
              </w:rPr>
              <w:t>供货时提供同批次的检验报告，且检验结果为合</w:t>
            </w:r>
            <w:r>
              <w:rPr>
                <w:rFonts w:hint="eastAsia" w:ascii="仿宋" w:hAnsi="仿宋" w:eastAsia="仿宋" w:cs="仿宋"/>
                <w:b w:val="0"/>
                <w:bCs w:val="0"/>
                <w:color w:val="auto"/>
                <w:spacing w:val="5"/>
                <w:sz w:val="21"/>
                <w:szCs w:val="21"/>
                <w:highlight w:val="none"/>
              </w:rPr>
              <w:t>格，</w:t>
            </w:r>
            <w:r>
              <w:rPr>
                <w:rFonts w:hint="eastAsia" w:ascii="仿宋" w:hAnsi="仿宋" w:eastAsia="仿宋" w:cs="仿宋"/>
                <w:b w:val="0"/>
                <w:bCs w:val="0"/>
                <w:color w:val="auto"/>
                <w:spacing w:val="5"/>
                <w:sz w:val="21"/>
                <w:szCs w:val="21"/>
                <w:highlight w:val="none"/>
              </w:rPr>
              <w:t>送达时剩余质保</w:t>
            </w:r>
            <w:r>
              <w:rPr>
                <w:rFonts w:hint="eastAsia" w:ascii="仿宋" w:hAnsi="仿宋" w:eastAsia="仿宋" w:cs="仿宋"/>
                <w:b w:val="0"/>
                <w:bCs w:val="0"/>
                <w:color w:val="auto"/>
                <w:spacing w:val="-5"/>
                <w:sz w:val="21"/>
                <w:szCs w:val="21"/>
                <w:highlight w:val="none"/>
              </w:rPr>
              <w:t>期不得低于</w:t>
            </w:r>
            <w:r>
              <w:rPr>
                <w:rFonts w:hint="eastAsia" w:ascii="仿宋" w:hAnsi="仿宋" w:eastAsia="仿宋" w:cs="仿宋"/>
                <w:b w:val="0"/>
                <w:bCs w:val="0"/>
                <w:color w:val="auto"/>
                <w:spacing w:val="-5"/>
                <w:sz w:val="21"/>
                <w:szCs w:val="21"/>
                <w:highlight w:val="none"/>
                <w:lang w:val="en-US" w:eastAsia="zh-CN"/>
              </w:rPr>
              <w:t>6</w:t>
            </w:r>
            <w:r>
              <w:rPr>
                <w:rFonts w:hint="eastAsia" w:ascii="仿宋" w:hAnsi="仿宋" w:eastAsia="仿宋" w:cs="仿宋"/>
                <w:b w:val="0"/>
                <w:bCs w:val="0"/>
                <w:color w:val="auto"/>
                <w:spacing w:val="-5"/>
                <w:sz w:val="21"/>
                <w:szCs w:val="21"/>
                <w:highlight w:val="none"/>
              </w:rPr>
              <w:t>个月。</w:t>
            </w:r>
          </w:p>
          <w:p w14:paraId="4D7721EA">
            <w:pPr>
              <w:pStyle w:val="11"/>
              <w:keepNext w:val="0"/>
              <w:keepLines w:val="0"/>
              <w:pageBreakBefore w:val="0"/>
              <w:widowControl w:val="0"/>
              <w:kinsoku/>
              <w:wordWrap/>
              <w:overflowPunct/>
              <w:topLinePunct w:val="0"/>
              <w:autoSpaceDE/>
              <w:autoSpaceDN/>
              <w:bidi w:val="0"/>
              <w:adjustRightInd/>
              <w:snapToGrid/>
              <w:spacing w:line="288" w:lineRule="auto"/>
              <w:ind w:left="113" w:leftChars="0"/>
              <w:jc w:val="left"/>
              <w:textAlignment w:val="baseline"/>
              <w:rPr>
                <w:rFonts w:hint="eastAsia" w:ascii="仿宋" w:hAnsi="仿宋" w:eastAsia="仿宋" w:cs="仿宋"/>
                <w:color w:val="auto"/>
                <w:spacing w:val="-1"/>
                <w:sz w:val="21"/>
                <w:szCs w:val="21"/>
                <w:highlight w:val="none"/>
                <w:lang w:val="en-US" w:eastAsia="en-US" w:bidi="ar-SA"/>
              </w:rPr>
            </w:pPr>
            <w:r>
              <w:rPr>
                <w:rFonts w:hint="eastAsia" w:ascii="仿宋" w:hAnsi="仿宋" w:eastAsia="仿宋" w:cs="仿宋"/>
                <w:color w:val="auto"/>
                <w:spacing w:val="-1"/>
                <w:sz w:val="21"/>
                <w:szCs w:val="21"/>
                <w:highlight w:val="none"/>
                <w:lang w:val="en-US" w:eastAsia="zh-CN"/>
              </w:rPr>
              <w:t>面粉</w:t>
            </w:r>
            <w:r>
              <w:rPr>
                <w:rFonts w:hint="eastAsia" w:ascii="仿宋" w:hAnsi="仿宋" w:eastAsia="仿宋" w:cs="仿宋"/>
                <w:color w:val="auto"/>
                <w:spacing w:val="-1"/>
                <w:sz w:val="21"/>
                <w:szCs w:val="21"/>
                <w:highlight w:val="none"/>
              </w:rPr>
              <w:t>：</w:t>
            </w:r>
            <w:r>
              <w:rPr>
                <w:rFonts w:hint="eastAsia" w:ascii="仿宋" w:hAnsi="仿宋" w:eastAsia="仿宋" w:cs="仿宋"/>
                <w:color w:val="auto"/>
                <w:spacing w:val="-1"/>
                <w:sz w:val="21"/>
                <w:szCs w:val="21"/>
                <w:highlight w:val="none"/>
                <w:lang w:val="en-US" w:eastAsia="zh-CN"/>
              </w:rPr>
              <w:t>小麦粉符合GB/T 1355-2021标准，等级为精制粉；主要用途为面条、包子、馒头、烙饼等各类中式面食；色泽正常，干爽无异味；包装袋上有注册商标及SC标注，有检验合格证、</w:t>
            </w:r>
            <w:r>
              <w:rPr>
                <w:rFonts w:hint="eastAsia" w:ascii="仿宋" w:hAnsi="仿宋" w:eastAsia="仿宋" w:cs="仿宋"/>
                <w:color w:val="auto"/>
                <w:spacing w:val="-1"/>
                <w:sz w:val="21"/>
                <w:szCs w:val="21"/>
                <w:highlight w:val="none"/>
              </w:rPr>
              <w:t>送达时剩余质保期不得低于</w:t>
            </w:r>
            <w:r>
              <w:rPr>
                <w:rFonts w:hint="eastAsia" w:ascii="仿宋" w:hAnsi="仿宋" w:eastAsia="仿宋" w:cs="仿宋"/>
                <w:color w:val="auto"/>
                <w:spacing w:val="-1"/>
                <w:sz w:val="21"/>
                <w:szCs w:val="21"/>
                <w:highlight w:val="none"/>
                <w:lang w:val="en-US" w:eastAsia="zh-CN"/>
              </w:rPr>
              <w:t>3</w:t>
            </w:r>
            <w:r>
              <w:rPr>
                <w:rFonts w:hint="eastAsia" w:ascii="仿宋" w:hAnsi="仿宋" w:eastAsia="仿宋" w:cs="仿宋"/>
                <w:color w:val="auto"/>
                <w:spacing w:val="-1"/>
                <w:sz w:val="21"/>
                <w:szCs w:val="21"/>
                <w:highlight w:val="none"/>
              </w:rPr>
              <w:t>个月。</w:t>
            </w:r>
          </w:p>
        </w:tc>
        <w:tc>
          <w:tcPr>
            <w:tcW w:w="463" w:type="pct"/>
            <w:noWrap w:val="0"/>
            <w:vAlign w:val="center"/>
          </w:tcPr>
          <w:p w14:paraId="6A6A4D29">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51D5C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97" w:type="pct"/>
            <w:noWrap w:val="0"/>
            <w:vAlign w:val="center"/>
          </w:tcPr>
          <w:p w14:paraId="0B845ACA">
            <w:pPr>
              <w:pStyle w:val="11"/>
              <w:keepNext w:val="0"/>
              <w:keepLines w:val="0"/>
              <w:pageBreakBefore w:val="0"/>
              <w:widowControl w:val="0"/>
              <w:kinsoku/>
              <w:wordWrap/>
              <w:overflowPunct/>
              <w:topLinePunct w:val="0"/>
              <w:autoSpaceDE/>
              <w:autoSpaceDN/>
              <w:bidi w:val="0"/>
              <w:adjustRightInd/>
              <w:snapToGrid/>
              <w:spacing w:line="288" w:lineRule="auto"/>
              <w:ind w:left="317" w:lef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2</w:t>
            </w:r>
          </w:p>
        </w:tc>
        <w:tc>
          <w:tcPr>
            <w:tcW w:w="683" w:type="pct"/>
            <w:noWrap w:val="0"/>
            <w:vAlign w:val="center"/>
          </w:tcPr>
          <w:p w14:paraId="46E06884">
            <w:pPr>
              <w:pStyle w:val="11"/>
              <w:keepNext w:val="0"/>
              <w:keepLines w:val="0"/>
              <w:pageBreakBefore w:val="0"/>
              <w:widowControl w:val="0"/>
              <w:kinsoku/>
              <w:wordWrap/>
              <w:overflowPunct/>
              <w:topLinePunct w:val="0"/>
              <w:autoSpaceDE/>
              <w:autoSpaceDN/>
              <w:bidi w:val="0"/>
              <w:adjustRightInd/>
              <w:snapToGrid/>
              <w:spacing w:line="288" w:lineRule="auto"/>
              <w:ind w:left="248" w:leftChars="0"/>
              <w:jc w:val="both"/>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2"/>
                <w:sz w:val="21"/>
                <w:szCs w:val="21"/>
                <w:highlight w:val="none"/>
              </w:rPr>
              <w:t>菜籽油</w:t>
            </w:r>
          </w:p>
        </w:tc>
        <w:tc>
          <w:tcPr>
            <w:tcW w:w="3455" w:type="pct"/>
            <w:noWrap w:val="0"/>
            <w:vAlign w:val="center"/>
          </w:tcPr>
          <w:p w14:paraId="2D40C670">
            <w:pPr>
              <w:pStyle w:val="11"/>
              <w:keepNext w:val="0"/>
              <w:keepLines w:val="0"/>
              <w:pageBreakBefore w:val="0"/>
              <w:widowControl w:val="0"/>
              <w:kinsoku/>
              <w:wordWrap/>
              <w:overflowPunct/>
              <w:topLinePunct w:val="0"/>
              <w:autoSpaceDE/>
              <w:autoSpaceDN/>
              <w:bidi w:val="0"/>
              <w:adjustRightInd/>
              <w:snapToGrid/>
              <w:spacing w:line="288" w:lineRule="auto"/>
              <w:ind w:left="109" w:leftChars="0" w:right="98" w:rightChars="0" w:firstLine="4" w:firstLine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b w:val="0"/>
                <w:bCs w:val="0"/>
                <w:color w:val="auto"/>
                <w:spacing w:val="11"/>
                <w:sz w:val="21"/>
                <w:szCs w:val="21"/>
                <w:highlight w:val="none"/>
              </w:rPr>
              <w:t>桶装物理压榨，国标二级及以上非转基因纯菜籽油，必须符合GB/T 1536-2021 </w:t>
            </w:r>
            <w:r>
              <w:rPr>
                <w:rFonts w:hint="eastAsia" w:ascii="仿宋" w:hAnsi="仿宋" w:eastAsia="仿宋" w:cs="仿宋"/>
                <w:b w:val="0"/>
                <w:bCs w:val="0"/>
                <w:color w:val="auto"/>
                <w:spacing w:val="-3"/>
                <w:sz w:val="21"/>
                <w:szCs w:val="21"/>
                <w:highlight w:val="none"/>
              </w:rPr>
              <w:t>（如在实施过程中有新标准则按照新标准执行</w:t>
            </w:r>
            <w:r>
              <w:rPr>
                <w:rFonts w:hint="eastAsia" w:ascii="仿宋" w:hAnsi="仿宋" w:eastAsia="仿宋" w:cs="仿宋"/>
                <w:b w:val="0"/>
                <w:bCs w:val="0"/>
                <w:color w:val="auto"/>
                <w:spacing w:val="-5"/>
                <w:sz w:val="21"/>
                <w:szCs w:val="21"/>
                <w:highlight w:val="none"/>
              </w:rPr>
              <w:t>），</w:t>
            </w:r>
            <w:r>
              <w:rPr>
                <w:rFonts w:hint="eastAsia" w:ascii="仿宋" w:hAnsi="仿宋" w:eastAsia="仿宋" w:cs="仿宋"/>
                <w:b w:val="0"/>
                <w:bCs w:val="0"/>
                <w:color w:val="auto"/>
                <w:spacing w:val="-3"/>
                <w:sz w:val="21"/>
                <w:szCs w:val="21"/>
                <w:highlight w:val="none"/>
              </w:rPr>
              <w:t>并具</w:t>
            </w:r>
            <w:r>
              <w:rPr>
                <w:rFonts w:hint="eastAsia" w:ascii="仿宋" w:hAnsi="仿宋" w:eastAsia="仿宋" w:cs="仿宋"/>
                <w:b w:val="0"/>
                <w:bCs w:val="0"/>
                <w:color w:val="auto"/>
                <w:spacing w:val="6"/>
                <w:sz w:val="21"/>
                <w:szCs w:val="21"/>
                <w:highlight w:val="none"/>
              </w:rPr>
              <w:t>有"</w:t>
            </w:r>
            <w:r>
              <w:rPr>
                <w:rFonts w:hint="eastAsia" w:ascii="仿宋" w:hAnsi="仿宋" w:eastAsia="仿宋" w:cs="仿宋"/>
                <w:b w:val="0"/>
                <w:bCs w:val="0"/>
                <w:color w:val="auto"/>
                <w:sz w:val="21"/>
                <w:szCs w:val="21"/>
                <w:highlight w:val="none"/>
              </w:rPr>
              <w:t>SC</w:t>
            </w:r>
            <w:r>
              <w:rPr>
                <w:rFonts w:hint="eastAsia" w:ascii="仿宋" w:hAnsi="仿宋" w:eastAsia="仿宋" w:cs="仿宋"/>
                <w:b w:val="0"/>
                <w:bCs w:val="0"/>
                <w:color w:val="auto"/>
                <w:spacing w:val="6"/>
                <w:sz w:val="21"/>
                <w:szCs w:val="21"/>
                <w:highlight w:val="none"/>
              </w:rPr>
              <w:t>"食品质量安全认证，感官较好、无添加</w:t>
            </w:r>
            <w:r>
              <w:rPr>
                <w:rFonts w:hint="eastAsia" w:ascii="仿宋" w:hAnsi="仿宋" w:eastAsia="仿宋" w:cs="仿宋"/>
                <w:b w:val="0"/>
                <w:bCs w:val="0"/>
                <w:color w:val="auto"/>
                <w:spacing w:val="5"/>
                <w:sz w:val="21"/>
                <w:szCs w:val="21"/>
                <w:highlight w:val="none"/>
              </w:rPr>
              <w:t>任何杂质，除菜籽香味外无</w:t>
            </w:r>
            <w:r>
              <w:rPr>
                <w:rFonts w:hint="eastAsia" w:ascii="仿宋" w:hAnsi="仿宋" w:eastAsia="仿宋" w:cs="仿宋"/>
                <w:b w:val="0"/>
                <w:bCs w:val="0"/>
                <w:color w:val="auto"/>
                <w:spacing w:val="6"/>
                <w:sz w:val="21"/>
                <w:szCs w:val="21"/>
                <w:highlight w:val="none"/>
              </w:rPr>
              <w:t>其他怪味，加热后无</w:t>
            </w:r>
            <w:r>
              <w:rPr>
                <w:rFonts w:hint="eastAsia" w:ascii="仿宋" w:hAnsi="仿宋" w:eastAsia="仿宋" w:cs="仿宋"/>
                <w:b w:val="0"/>
                <w:bCs w:val="0"/>
                <w:color w:val="auto"/>
                <w:spacing w:val="6"/>
                <w:sz w:val="21"/>
                <w:szCs w:val="21"/>
                <w:highlight w:val="none"/>
                <w:lang w:eastAsia="zh-CN"/>
              </w:rPr>
              <w:t>刺</w:t>
            </w:r>
            <w:r>
              <w:rPr>
                <w:rFonts w:hint="eastAsia" w:ascii="仿宋" w:hAnsi="仿宋" w:eastAsia="仿宋" w:cs="仿宋"/>
                <w:b w:val="0"/>
                <w:bCs w:val="0"/>
                <w:color w:val="auto"/>
                <w:spacing w:val="6"/>
                <w:sz w:val="21"/>
                <w:szCs w:val="21"/>
                <w:highlight w:val="none"/>
              </w:rPr>
              <w:t>鼻、呛人气味。有生产日期、合格证</w:t>
            </w:r>
            <w:r>
              <w:rPr>
                <w:rFonts w:hint="eastAsia" w:ascii="仿宋" w:hAnsi="仿宋" w:eastAsia="仿宋" w:cs="仿宋"/>
                <w:b w:val="0"/>
                <w:bCs w:val="0"/>
                <w:color w:val="auto"/>
                <w:spacing w:val="5"/>
                <w:sz w:val="21"/>
                <w:szCs w:val="21"/>
                <w:highlight w:val="none"/>
              </w:rPr>
              <w:t>、并有质量检</w:t>
            </w:r>
            <w:r>
              <w:rPr>
                <w:rFonts w:hint="eastAsia" w:ascii="仿宋" w:hAnsi="仿宋" w:eastAsia="仿宋" w:cs="仿宋"/>
                <w:b w:val="0"/>
                <w:bCs w:val="0"/>
                <w:color w:val="auto"/>
                <w:spacing w:val="6"/>
                <w:sz w:val="21"/>
                <w:szCs w:val="21"/>
                <w:highlight w:val="none"/>
              </w:rPr>
              <w:t>验报告。供货时有同批次检验报告，且检验报告结果为合格</w:t>
            </w:r>
            <w:r>
              <w:rPr>
                <w:rFonts w:hint="eastAsia" w:ascii="仿宋" w:hAnsi="仿宋" w:eastAsia="仿宋" w:cs="仿宋"/>
                <w:b w:val="0"/>
                <w:bCs w:val="0"/>
                <w:color w:val="auto"/>
                <w:spacing w:val="5"/>
                <w:sz w:val="21"/>
                <w:szCs w:val="21"/>
                <w:highlight w:val="none"/>
              </w:rPr>
              <w:t>，送达时剩余</w:t>
            </w:r>
            <w:r>
              <w:rPr>
                <w:rFonts w:hint="eastAsia" w:ascii="仿宋" w:hAnsi="仿宋" w:eastAsia="仿宋" w:cs="仿宋"/>
                <w:b w:val="0"/>
                <w:bCs w:val="0"/>
                <w:color w:val="auto"/>
                <w:spacing w:val="-4"/>
                <w:sz w:val="21"/>
                <w:szCs w:val="21"/>
                <w:highlight w:val="none"/>
              </w:rPr>
              <w:t>质保期不得低于6个月。</w:t>
            </w:r>
          </w:p>
        </w:tc>
        <w:tc>
          <w:tcPr>
            <w:tcW w:w="463" w:type="pct"/>
            <w:noWrap w:val="0"/>
            <w:vAlign w:val="center"/>
          </w:tcPr>
          <w:p w14:paraId="17D8FCE7">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6BB2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7" w:type="pct"/>
            <w:noWrap w:val="0"/>
            <w:vAlign w:val="center"/>
          </w:tcPr>
          <w:p w14:paraId="5946EA17">
            <w:pPr>
              <w:pStyle w:val="11"/>
              <w:keepNext w:val="0"/>
              <w:keepLines w:val="0"/>
              <w:pageBreakBefore w:val="0"/>
              <w:widowControl w:val="0"/>
              <w:kinsoku/>
              <w:wordWrap/>
              <w:overflowPunct/>
              <w:topLinePunct w:val="0"/>
              <w:autoSpaceDE/>
              <w:autoSpaceDN/>
              <w:bidi w:val="0"/>
              <w:adjustRightInd/>
              <w:snapToGrid/>
              <w:spacing w:line="288" w:lineRule="auto"/>
              <w:ind w:left="319" w:lef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3</w:t>
            </w:r>
          </w:p>
        </w:tc>
        <w:tc>
          <w:tcPr>
            <w:tcW w:w="683" w:type="pct"/>
            <w:noWrap w:val="0"/>
            <w:vAlign w:val="center"/>
          </w:tcPr>
          <w:p w14:paraId="13672CF9">
            <w:pPr>
              <w:pStyle w:val="11"/>
              <w:keepNext w:val="0"/>
              <w:keepLines w:val="0"/>
              <w:pageBreakBefore w:val="0"/>
              <w:widowControl w:val="0"/>
              <w:kinsoku/>
              <w:wordWrap/>
              <w:overflowPunct/>
              <w:topLinePunct w:val="0"/>
              <w:autoSpaceDE/>
              <w:autoSpaceDN/>
              <w:bidi w:val="0"/>
              <w:adjustRightInd/>
              <w:snapToGrid/>
              <w:spacing w:line="288" w:lineRule="auto"/>
              <w:ind w:left="147" w:leftChars="0" w:right="169" w:firstLine="206"/>
              <w:jc w:val="center"/>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鲜肉</w:t>
            </w:r>
            <w:r>
              <w:rPr>
                <w:rFonts w:hint="eastAsia" w:ascii="仿宋" w:hAnsi="仿宋" w:eastAsia="仿宋" w:cs="仿宋"/>
                <w:color w:val="auto"/>
                <w:spacing w:val="21"/>
                <w:sz w:val="21"/>
                <w:szCs w:val="21"/>
                <w:highlight w:val="none"/>
              </w:rPr>
              <w:t>（猪、</w:t>
            </w:r>
            <w:r>
              <w:rPr>
                <w:rFonts w:hint="eastAsia" w:ascii="仿宋" w:hAnsi="仿宋" w:eastAsia="仿宋" w:cs="仿宋"/>
                <w:color w:val="auto"/>
                <w:spacing w:val="-11"/>
                <w:sz w:val="21"/>
                <w:szCs w:val="21"/>
                <w:highlight w:val="none"/>
              </w:rPr>
              <w:t>牛、羊、</w:t>
            </w:r>
            <w:r>
              <w:rPr>
                <w:rFonts w:hint="eastAsia" w:ascii="仿宋" w:hAnsi="仿宋" w:eastAsia="仿宋" w:cs="仿宋"/>
                <w:color w:val="auto"/>
                <w:spacing w:val="-1"/>
                <w:sz w:val="21"/>
                <w:szCs w:val="21"/>
                <w:highlight w:val="none"/>
              </w:rPr>
              <w:t>鸡、鹅、</w:t>
            </w:r>
            <w:r>
              <w:rPr>
                <w:rFonts w:hint="eastAsia" w:ascii="仿宋" w:hAnsi="仿宋" w:eastAsia="仿宋" w:cs="仿宋"/>
                <w:color w:val="auto"/>
                <w:spacing w:val="-7"/>
                <w:sz w:val="21"/>
                <w:szCs w:val="21"/>
                <w:highlight w:val="none"/>
              </w:rPr>
              <w:t>鸭）</w:t>
            </w:r>
          </w:p>
        </w:tc>
        <w:tc>
          <w:tcPr>
            <w:tcW w:w="3455" w:type="pct"/>
            <w:noWrap w:val="0"/>
            <w:vAlign w:val="center"/>
          </w:tcPr>
          <w:p w14:paraId="40E19B09">
            <w:pPr>
              <w:pStyle w:val="11"/>
              <w:keepNext w:val="0"/>
              <w:keepLines w:val="0"/>
              <w:pageBreakBefore w:val="0"/>
              <w:widowControl w:val="0"/>
              <w:kinsoku/>
              <w:wordWrap/>
              <w:overflowPunct/>
              <w:topLinePunct w:val="0"/>
              <w:autoSpaceDE/>
              <w:autoSpaceDN/>
              <w:bidi w:val="0"/>
              <w:adjustRightInd/>
              <w:snapToGrid/>
              <w:spacing w:line="288" w:lineRule="auto"/>
              <w:ind w:left="113"/>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新鲜生猪肉：须来自国家定点屠宰场</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rPr>
              <w:t>并提供</w:t>
            </w:r>
            <w:r>
              <w:rPr>
                <w:rFonts w:hint="eastAsia" w:ascii="仿宋" w:hAnsi="仿宋" w:eastAsia="仿宋" w:cs="仿宋"/>
                <w:color w:val="auto"/>
                <w:spacing w:val="5"/>
                <w:sz w:val="21"/>
                <w:szCs w:val="21"/>
                <w:highlight w:val="none"/>
                <w:lang w:val="en-US" w:eastAsia="zh-CN"/>
              </w:rPr>
              <w:t>两证</w:t>
            </w:r>
            <w:r>
              <w:rPr>
                <w:rFonts w:hint="eastAsia" w:ascii="仿宋" w:hAnsi="仿宋" w:eastAsia="仿宋" w:cs="仿宋"/>
                <w:color w:val="auto"/>
                <w:spacing w:val="5"/>
                <w:sz w:val="21"/>
                <w:szCs w:val="21"/>
                <w:highlight w:val="none"/>
              </w:rPr>
              <w:t>两章</w:t>
            </w:r>
          </w:p>
          <w:p w14:paraId="741FB36F">
            <w:pPr>
              <w:pStyle w:val="11"/>
              <w:keepNext w:val="0"/>
              <w:keepLines w:val="0"/>
              <w:pageBreakBefore w:val="0"/>
              <w:widowControl w:val="0"/>
              <w:kinsoku/>
              <w:wordWrap/>
              <w:overflowPunct/>
              <w:topLinePunct w:val="0"/>
              <w:autoSpaceDE/>
              <w:autoSpaceDN/>
              <w:bidi w:val="0"/>
              <w:adjustRightInd/>
              <w:snapToGrid/>
              <w:spacing w:line="288" w:lineRule="auto"/>
              <w:ind w:left="112" w:right="100"/>
              <w:jc w:val="left"/>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6"/>
                <w:sz w:val="21"/>
                <w:szCs w:val="21"/>
                <w:highlight w:val="none"/>
              </w:rPr>
              <w:t>两证</w:t>
            </w:r>
            <w:r>
              <w:rPr>
                <w:rFonts w:hint="eastAsia" w:ascii="仿宋" w:hAnsi="仿宋" w:eastAsia="仿宋" w:cs="仿宋"/>
                <w:color w:val="auto"/>
                <w:spacing w:val="6"/>
                <w:sz w:val="21"/>
                <w:szCs w:val="21"/>
                <w:highlight w:val="none"/>
                <w:lang w:val="en-US" w:eastAsia="zh-CN"/>
              </w:rPr>
              <w:t>两章</w:t>
            </w:r>
            <w:r>
              <w:rPr>
                <w:rFonts w:hint="eastAsia" w:ascii="仿宋" w:hAnsi="仿宋" w:eastAsia="仿宋" w:cs="仿宋"/>
                <w:color w:val="auto"/>
                <w:spacing w:val="6"/>
                <w:sz w:val="21"/>
                <w:szCs w:val="21"/>
                <w:highlight w:val="none"/>
              </w:rPr>
              <w:t>即：有动物检疫验讫印章和动物检验验讫印章、</w:t>
            </w:r>
            <w:r>
              <w:rPr>
                <w:rFonts w:hint="eastAsia" w:ascii="仿宋" w:hAnsi="仿宋" w:eastAsia="仿宋" w:cs="仿宋"/>
                <w:color w:val="auto"/>
                <w:spacing w:val="5"/>
                <w:sz w:val="21"/>
                <w:szCs w:val="21"/>
                <w:highlight w:val="none"/>
              </w:rPr>
              <w:t>有动物检验检疫合格</w:t>
            </w:r>
            <w:r>
              <w:rPr>
                <w:rFonts w:hint="eastAsia" w:ascii="仿宋" w:hAnsi="仿宋" w:eastAsia="仿宋" w:cs="仿宋"/>
                <w:color w:val="auto"/>
                <w:spacing w:val="6"/>
                <w:sz w:val="21"/>
                <w:szCs w:val="21"/>
                <w:highlight w:val="none"/>
              </w:rPr>
              <w:t>证明和品质检验合格证明，加盖相应印章（简称</w:t>
            </w:r>
            <w:r>
              <w:rPr>
                <w:rFonts w:hint="eastAsia" w:ascii="仿宋" w:hAnsi="仿宋" w:eastAsia="仿宋" w:cs="仿宋"/>
                <w:color w:val="auto"/>
                <w:spacing w:val="5"/>
                <w:sz w:val="21"/>
                <w:szCs w:val="21"/>
                <w:highlight w:val="none"/>
              </w:rPr>
              <w:t>“两证两章”</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5"/>
                <w:sz w:val="21"/>
                <w:szCs w:val="21"/>
                <w:highlight w:val="none"/>
              </w:rPr>
              <w:t>建立猪</w:t>
            </w:r>
            <w:r>
              <w:rPr>
                <w:rFonts w:hint="eastAsia" w:ascii="仿宋" w:hAnsi="仿宋" w:eastAsia="仿宋" w:cs="仿宋"/>
                <w:color w:val="auto"/>
                <w:spacing w:val="1"/>
                <w:sz w:val="21"/>
                <w:szCs w:val="21"/>
                <w:highlight w:val="none"/>
              </w:rPr>
              <w:t>肉溯源体系（禁止供应种猪、瘟、病等异常猪肉及冻肉等劣质猪肉</w:t>
            </w:r>
            <w:r>
              <w:rPr>
                <w:rFonts w:hint="eastAsia" w:ascii="仿宋" w:hAnsi="仿宋" w:eastAsia="仿宋" w:cs="仿宋"/>
                <w:color w:val="auto"/>
                <w:spacing w:val="-8"/>
                <w:sz w:val="21"/>
                <w:szCs w:val="21"/>
                <w:highlight w:val="none"/>
              </w:rPr>
              <w:t>），</w:t>
            </w:r>
            <w:r>
              <w:rPr>
                <w:rFonts w:hint="eastAsia" w:ascii="仿宋" w:hAnsi="仿宋" w:eastAsia="仿宋" w:cs="仿宋"/>
                <w:color w:val="auto"/>
                <w:spacing w:val="1"/>
                <w:sz w:val="21"/>
                <w:szCs w:val="21"/>
                <w:highlight w:val="none"/>
              </w:rPr>
              <w:t>提</w:t>
            </w:r>
            <w:r>
              <w:rPr>
                <w:rFonts w:hint="eastAsia" w:ascii="仿宋" w:hAnsi="仿宋" w:eastAsia="仿宋" w:cs="仿宋"/>
                <w:color w:val="auto"/>
                <w:spacing w:val="-6"/>
                <w:sz w:val="21"/>
                <w:szCs w:val="21"/>
                <w:highlight w:val="none"/>
              </w:rPr>
              <w:t>供安全卫生包装物，有生产时间、批次。</w:t>
            </w:r>
          </w:p>
          <w:p w14:paraId="7C48610D">
            <w:pPr>
              <w:pStyle w:val="11"/>
              <w:keepNext w:val="0"/>
              <w:keepLines w:val="0"/>
              <w:pageBreakBefore w:val="0"/>
              <w:widowControl w:val="0"/>
              <w:kinsoku/>
              <w:wordWrap/>
              <w:overflowPunct/>
              <w:topLinePunct w:val="0"/>
              <w:autoSpaceDE/>
              <w:autoSpaceDN/>
              <w:bidi w:val="0"/>
              <w:adjustRightInd/>
              <w:snapToGrid/>
              <w:spacing w:line="288" w:lineRule="auto"/>
              <w:ind w:left="114"/>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5"/>
                <w:sz w:val="21"/>
                <w:szCs w:val="21"/>
                <w:highlight w:val="none"/>
              </w:rPr>
              <w:t>色泽：肌肉有光泽，红色均匀，脂肪乳白色</w:t>
            </w:r>
          </w:p>
          <w:p w14:paraId="2E5CF96A">
            <w:pPr>
              <w:pStyle w:val="11"/>
              <w:keepNext w:val="0"/>
              <w:keepLines w:val="0"/>
              <w:pageBreakBefore w:val="0"/>
              <w:widowControl w:val="0"/>
              <w:kinsoku/>
              <w:wordWrap/>
              <w:overflowPunct/>
              <w:topLinePunct w:val="0"/>
              <w:autoSpaceDE/>
              <w:autoSpaceDN/>
              <w:bidi w:val="0"/>
              <w:adjustRightInd/>
              <w:snapToGrid/>
              <w:spacing w:line="288" w:lineRule="auto"/>
              <w:ind w:left="112"/>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粘度：外表湿润，不粘手</w:t>
            </w:r>
          </w:p>
          <w:p w14:paraId="52F23875">
            <w:pPr>
              <w:pStyle w:val="11"/>
              <w:keepNext w:val="0"/>
              <w:keepLines w:val="0"/>
              <w:pageBreakBefore w:val="0"/>
              <w:widowControl w:val="0"/>
              <w:kinsoku/>
              <w:wordWrap/>
              <w:overflowPunct/>
              <w:topLinePunct w:val="0"/>
              <w:autoSpaceDE/>
              <w:autoSpaceDN/>
              <w:bidi w:val="0"/>
              <w:adjustRightInd/>
              <w:snapToGrid/>
              <w:spacing w:line="288" w:lineRule="auto"/>
              <w:ind w:left="113"/>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气味：具有鲜肉固有的气味，无异味</w:t>
            </w:r>
          </w:p>
          <w:p w14:paraId="67843043">
            <w:pPr>
              <w:pStyle w:val="11"/>
              <w:keepNext w:val="0"/>
              <w:keepLines w:val="0"/>
              <w:pageBreakBefore w:val="0"/>
              <w:widowControl w:val="0"/>
              <w:kinsoku/>
              <w:wordWrap/>
              <w:overflowPunct/>
              <w:topLinePunct w:val="0"/>
              <w:autoSpaceDE/>
              <w:autoSpaceDN/>
              <w:bidi w:val="0"/>
              <w:adjustRightInd/>
              <w:snapToGrid/>
              <w:spacing w:line="288" w:lineRule="auto"/>
              <w:ind w:left="112" w:leftChars="0" w:right="100" w:right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color w:val="auto"/>
                <w:spacing w:val="-4"/>
                <w:sz w:val="21"/>
                <w:szCs w:val="21"/>
                <w:highlight w:val="none"/>
              </w:rPr>
              <w:t>要求不带筋络，去骨去皮，肥肉不超过30%，育肥猪龄达8个月以上，羊肉</w:t>
            </w:r>
            <w:r>
              <w:rPr>
                <w:rFonts w:hint="eastAsia" w:ascii="仿宋" w:hAnsi="仿宋" w:eastAsia="仿宋" w:cs="仿宋"/>
                <w:color w:val="auto"/>
                <w:spacing w:val="6"/>
                <w:sz w:val="21"/>
                <w:szCs w:val="21"/>
                <w:highlight w:val="none"/>
              </w:rPr>
              <w:t>或牛肉的规格参数参照猪肉的采购要求，不带筋络，去</w:t>
            </w:r>
            <w:r>
              <w:rPr>
                <w:rFonts w:hint="eastAsia" w:ascii="仿宋" w:hAnsi="仿宋" w:eastAsia="仿宋" w:cs="仿宋"/>
                <w:color w:val="auto"/>
                <w:spacing w:val="5"/>
                <w:sz w:val="21"/>
                <w:szCs w:val="21"/>
                <w:highlight w:val="none"/>
              </w:rPr>
              <w:t>皮去骨，如需供应</w:t>
            </w:r>
            <w:r>
              <w:rPr>
                <w:rFonts w:hint="eastAsia" w:ascii="仿宋" w:hAnsi="仿宋" w:eastAsia="仿宋" w:cs="仿宋"/>
                <w:color w:val="auto"/>
                <w:spacing w:val="6"/>
                <w:sz w:val="21"/>
                <w:szCs w:val="21"/>
                <w:highlight w:val="none"/>
              </w:rPr>
              <w:t>鲜鸡鸭等鲜肉，须具有动物检验检疫合格证明和肉质品</w:t>
            </w:r>
            <w:r>
              <w:rPr>
                <w:rFonts w:hint="eastAsia" w:ascii="仿宋" w:hAnsi="仿宋" w:eastAsia="仿宋" w:cs="仿宋"/>
                <w:color w:val="auto"/>
                <w:spacing w:val="5"/>
                <w:sz w:val="21"/>
                <w:szCs w:val="21"/>
                <w:highlight w:val="none"/>
              </w:rPr>
              <w:t>质合格证，并建好</w:t>
            </w:r>
            <w:r>
              <w:rPr>
                <w:rFonts w:hint="eastAsia" w:ascii="仿宋" w:hAnsi="仿宋" w:eastAsia="仿宋" w:cs="仿宋"/>
                <w:color w:val="auto"/>
                <w:spacing w:val="6"/>
                <w:sz w:val="21"/>
                <w:szCs w:val="21"/>
                <w:highlight w:val="none"/>
              </w:rPr>
              <w:t>溯源体系。不得提供病类、疫禽类产品。为促进地方经</w:t>
            </w:r>
            <w:r>
              <w:rPr>
                <w:rFonts w:hint="eastAsia" w:ascii="仿宋" w:hAnsi="仿宋" w:eastAsia="仿宋" w:cs="仿宋"/>
                <w:color w:val="auto"/>
                <w:spacing w:val="5"/>
                <w:sz w:val="21"/>
                <w:szCs w:val="21"/>
                <w:highlight w:val="none"/>
              </w:rPr>
              <w:t>济发展，可优选本</w:t>
            </w:r>
            <w:r>
              <w:rPr>
                <w:rFonts w:hint="eastAsia" w:ascii="仿宋" w:hAnsi="仿宋" w:eastAsia="仿宋" w:cs="仿宋"/>
                <w:color w:val="auto"/>
                <w:spacing w:val="6"/>
                <w:sz w:val="21"/>
                <w:szCs w:val="21"/>
                <w:highlight w:val="none"/>
              </w:rPr>
              <w:t>地农户饲养可溯源优质育肥猪、肉牛、山羊、散养土鸡</w:t>
            </w:r>
            <w:r>
              <w:rPr>
                <w:rFonts w:hint="eastAsia" w:ascii="仿宋" w:hAnsi="仿宋" w:eastAsia="仿宋" w:cs="仿宋"/>
                <w:color w:val="auto"/>
                <w:spacing w:val="5"/>
                <w:sz w:val="21"/>
                <w:szCs w:val="21"/>
                <w:highlight w:val="none"/>
              </w:rPr>
              <w:t>、本地灰鹅、鸭子</w:t>
            </w:r>
            <w:r>
              <w:rPr>
                <w:rFonts w:hint="eastAsia" w:ascii="仿宋" w:hAnsi="仿宋" w:eastAsia="仿宋" w:cs="仿宋"/>
                <w:color w:val="auto"/>
                <w:spacing w:val="-10"/>
                <w:sz w:val="21"/>
                <w:szCs w:val="21"/>
                <w:highlight w:val="none"/>
              </w:rPr>
              <w:t>等。</w:t>
            </w:r>
          </w:p>
        </w:tc>
        <w:tc>
          <w:tcPr>
            <w:tcW w:w="463" w:type="pct"/>
            <w:noWrap w:val="0"/>
            <w:vAlign w:val="center"/>
          </w:tcPr>
          <w:p w14:paraId="29414B05">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64D5A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397" w:type="pct"/>
            <w:noWrap w:val="0"/>
            <w:vAlign w:val="center"/>
          </w:tcPr>
          <w:p w14:paraId="3A3D3F63">
            <w:pPr>
              <w:pStyle w:val="11"/>
              <w:keepNext w:val="0"/>
              <w:keepLines w:val="0"/>
              <w:pageBreakBefore w:val="0"/>
              <w:widowControl w:val="0"/>
              <w:kinsoku/>
              <w:wordWrap/>
              <w:overflowPunct/>
              <w:topLinePunct w:val="0"/>
              <w:autoSpaceDE/>
              <w:autoSpaceDN/>
              <w:bidi w:val="0"/>
              <w:adjustRightInd/>
              <w:snapToGrid/>
              <w:spacing w:line="288" w:lineRule="auto"/>
              <w:ind w:left="314" w:lef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4</w:t>
            </w:r>
          </w:p>
        </w:tc>
        <w:tc>
          <w:tcPr>
            <w:tcW w:w="683" w:type="pct"/>
            <w:noWrap w:val="0"/>
            <w:vAlign w:val="center"/>
          </w:tcPr>
          <w:p w14:paraId="552335B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禽蛋类</w:t>
            </w:r>
          </w:p>
          <w:p w14:paraId="019E4F7F">
            <w:pPr>
              <w:jc w:val="center"/>
              <w:rPr>
                <w:rFonts w:hint="eastAsia" w:ascii="仿宋" w:hAnsi="仿宋" w:eastAsia="仿宋" w:cs="仿宋"/>
                <w:color w:val="auto"/>
                <w:spacing w:val="-3"/>
                <w:sz w:val="21"/>
                <w:szCs w:val="21"/>
                <w:highlight w:val="none"/>
              </w:rPr>
            </w:pPr>
            <w:r>
              <w:rPr>
                <w:rFonts w:hint="eastAsia" w:ascii="仿宋" w:hAnsi="仿宋" w:eastAsia="仿宋" w:cs="仿宋"/>
                <w:sz w:val="21"/>
                <w:szCs w:val="21"/>
                <w:highlight w:val="none"/>
              </w:rPr>
              <w:t>（鸡蛋）</w:t>
            </w:r>
          </w:p>
        </w:tc>
        <w:tc>
          <w:tcPr>
            <w:tcW w:w="3455" w:type="pct"/>
            <w:noWrap w:val="0"/>
            <w:vAlign w:val="center"/>
          </w:tcPr>
          <w:p w14:paraId="730D105E">
            <w:pPr>
              <w:pStyle w:val="11"/>
              <w:keepNext w:val="0"/>
              <w:keepLines w:val="0"/>
              <w:pageBreakBefore w:val="0"/>
              <w:widowControl w:val="0"/>
              <w:kinsoku/>
              <w:wordWrap/>
              <w:overflowPunct/>
              <w:topLinePunct w:val="0"/>
              <w:autoSpaceDE/>
              <w:autoSpaceDN/>
              <w:bidi w:val="0"/>
              <w:adjustRightInd/>
              <w:snapToGrid/>
              <w:spacing w:line="288" w:lineRule="auto"/>
              <w:ind w:left="113" w:leftChars="0" w:right="97" w:rightChars="0" w:hanging="2" w:firstLine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color w:val="auto"/>
                <w:spacing w:val="-8"/>
                <w:sz w:val="21"/>
                <w:szCs w:val="21"/>
                <w:highlight w:val="none"/>
              </w:rPr>
              <w:t>鸡蛋：</w:t>
            </w:r>
            <w:r>
              <w:rPr>
                <w:rFonts w:hint="eastAsia" w:ascii="仿宋" w:hAnsi="仿宋" w:eastAsia="仿宋" w:cs="仿宋"/>
                <w:b w:val="0"/>
                <w:bCs w:val="0"/>
                <w:color w:val="auto"/>
                <w:spacing w:val="6"/>
                <w:sz w:val="21"/>
                <w:szCs w:val="21"/>
                <w:highlight w:val="none"/>
              </w:rPr>
              <w:t>供货时提供同批次的</w:t>
            </w:r>
            <w:r>
              <w:rPr>
                <w:rFonts w:hint="eastAsia" w:ascii="仿宋" w:hAnsi="仿宋" w:eastAsia="仿宋" w:cs="仿宋"/>
                <w:b w:val="0"/>
                <w:bCs w:val="0"/>
                <w:color w:val="auto"/>
                <w:spacing w:val="6"/>
                <w:sz w:val="21"/>
                <w:szCs w:val="21"/>
                <w:highlight w:val="none"/>
                <w:lang w:val="en-US" w:eastAsia="zh-CN"/>
              </w:rPr>
              <w:t>出厂</w:t>
            </w:r>
            <w:r>
              <w:rPr>
                <w:rFonts w:hint="eastAsia" w:ascii="仿宋" w:hAnsi="仿宋" w:eastAsia="仿宋" w:cs="仿宋"/>
                <w:b w:val="0"/>
                <w:bCs w:val="0"/>
                <w:color w:val="auto"/>
                <w:spacing w:val="6"/>
                <w:sz w:val="21"/>
                <w:szCs w:val="21"/>
                <w:highlight w:val="none"/>
              </w:rPr>
              <w:t>检验报告，且检验结果为合</w:t>
            </w:r>
            <w:r>
              <w:rPr>
                <w:rFonts w:hint="eastAsia" w:ascii="仿宋" w:hAnsi="仿宋" w:eastAsia="仿宋" w:cs="仿宋"/>
                <w:b w:val="0"/>
                <w:bCs w:val="0"/>
                <w:color w:val="auto"/>
                <w:spacing w:val="5"/>
                <w:sz w:val="21"/>
                <w:szCs w:val="21"/>
                <w:highlight w:val="none"/>
              </w:rPr>
              <w:t>格</w:t>
            </w:r>
            <w:r>
              <w:rPr>
                <w:rFonts w:hint="eastAsia" w:ascii="仿宋" w:hAnsi="仿宋" w:eastAsia="仿宋" w:cs="仿宋"/>
                <w:b w:val="0"/>
                <w:bCs w:val="0"/>
                <w:color w:val="auto"/>
                <w:spacing w:val="5"/>
                <w:sz w:val="21"/>
                <w:szCs w:val="21"/>
                <w:highlight w:val="none"/>
                <w:lang w:eastAsia="zh-CN"/>
              </w:rPr>
              <w:t>，</w:t>
            </w:r>
            <w:r>
              <w:rPr>
                <w:rFonts w:hint="eastAsia" w:ascii="仿宋" w:hAnsi="仿宋" w:eastAsia="仿宋" w:cs="仿宋"/>
                <w:color w:val="auto"/>
                <w:spacing w:val="-8"/>
                <w:sz w:val="21"/>
                <w:szCs w:val="21"/>
                <w:highlight w:val="none"/>
              </w:rPr>
              <w:t>大小均匀，每枚约60克，每</w:t>
            </w:r>
            <w:r>
              <w:rPr>
                <w:rFonts w:hint="eastAsia" w:ascii="仿宋" w:hAnsi="仿宋" w:eastAsia="仿宋" w:cs="仿宋"/>
                <w:color w:val="auto"/>
                <w:spacing w:val="-8"/>
                <w:sz w:val="21"/>
                <w:szCs w:val="21"/>
                <w:highlight w:val="none"/>
                <w:lang w:eastAsia="zh-CN"/>
              </w:rPr>
              <w:t>盘</w:t>
            </w:r>
            <w:r>
              <w:rPr>
                <w:rFonts w:hint="eastAsia" w:ascii="仿宋" w:hAnsi="仿宋" w:eastAsia="仿宋" w:cs="仿宋"/>
                <w:color w:val="auto"/>
                <w:spacing w:val="-8"/>
                <w:sz w:val="21"/>
                <w:szCs w:val="21"/>
                <w:highlight w:val="none"/>
                <w:lang w:val="en-US" w:eastAsia="zh-CN"/>
              </w:rPr>
              <w:t>30</w:t>
            </w:r>
            <w:r>
              <w:rPr>
                <w:rFonts w:hint="eastAsia" w:ascii="仿宋" w:hAnsi="仿宋" w:eastAsia="仿宋" w:cs="仿宋"/>
                <w:color w:val="auto"/>
                <w:spacing w:val="-1"/>
                <w:sz w:val="21"/>
                <w:szCs w:val="21"/>
                <w:highlight w:val="none"/>
              </w:rPr>
              <w:t>枚，每</w:t>
            </w:r>
            <w:r>
              <w:rPr>
                <w:rFonts w:hint="eastAsia" w:ascii="仿宋" w:hAnsi="仿宋" w:eastAsia="仿宋" w:cs="仿宋"/>
                <w:color w:val="auto"/>
                <w:spacing w:val="-1"/>
                <w:sz w:val="21"/>
                <w:szCs w:val="21"/>
                <w:highlight w:val="none"/>
                <w:lang w:eastAsia="zh-CN"/>
              </w:rPr>
              <w:t>盘</w:t>
            </w:r>
            <w:r>
              <w:rPr>
                <w:rFonts w:hint="eastAsia" w:ascii="仿宋" w:hAnsi="仿宋" w:eastAsia="仿宋" w:cs="仿宋"/>
                <w:color w:val="auto"/>
                <w:spacing w:val="-1"/>
                <w:sz w:val="21"/>
                <w:szCs w:val="21"/>
                <w:highlight w:val="none"/>
              </w:rPr>
              <w:t>净重约</w:t>
            </w:r>
            <w:r>
              <w:rPr>
                <w:rFonts w:hint="eastAsia" w:ascii="仿宋" w:hAnsi="仿宋" w:eastAsia="仿宋" w:cs="仿宋"/>
                <w:color w:val="auto"/>
                <w:spacing w:val="-1"/>
                <w:sz w:val="21"/>
                <w:szCs w:val="21"/>
                <w:highlight w:val="none"/>
                <w:lang w:val="en-US" w:eastAsia="zh-CN"/>
              </w:rPr>
              <w:t>3.6</w:t>
            </w:r>
            <w:r>
              <w:rPr>
                <w:rFonts w:hint="eastAsia" w:ascii="仿宋" w:hAnsi="仿宋" w:eastAsia="仿宋" w:cs="仿宋"/>
                <w:color w:val="auto"/>
                <w:spacing w:val="-1"/>
                <w:sz w:val="21"/>
                <w:szCs w:val="21"/>
                <w:highlight w:val="none"/>
              </w:rPr>
              <w:t>斤，</w:t>
            </w:r>
            <w:r>
              <w:rPr>
                <w:rFonts w:hint="eastAsia" w:ascii="仿宋" w:hAnsi="仿宋" w:eastAsia="仿宋" w:cs="仿宋"/>
                <w:color w:val="auto"/>
                <w:spacing w:val="-1"/>
                <w:sz w:val="21"/>
                <w:szCs w:val="21"/>
                <w:highlight w:val="none"/>
              </w:rPr>
              <w:t>按斤计价，排除鸡蛋大小不一，每件鸡蛋包装上</w:t>
            </w:r>
            <w:r>
              <w:rPr>
                <w:rFonts w:hint="eastAsia" w:ascii="仿宋" w:hAnsi="仿宋" w:eastAsia="仿宋" w:cs="仿宋"/>
                <w:color w:val="auto"/>
                <w:spacing w:val="-2"/>
                <w:sz w:val="21"/>
                <w:szCs w:val="21"/>
                <w:highlight w:val="none"/>
              </w:rPr>
              <w:t>须有完整的标识信息，并建好溯源体系。</w:t>
            </w:r>
          </w:p>
        </w:tc>
        <w:tc>
          <w:tcPr>
            <w:tcW w:w="463" w:type="pct"/>
            <w:noWrap w:val="0"/>
            <w:vAlign w:val="center"/>
          </w:tcPr>
          <w:p w14:paraId="72B2F0C1">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3DC9E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7" w:type="pct"/>
            <w:noWrap w:val="0"/>
            <w:vAlign w:val="center"/>
          </w:tcPr>
          <w:p w14:paraId="58A1D639">
            <w:pPr>
              <w:pStyle w:val="11"/>
              <w:keepNext w:val="0"/>
              <w:keepLines w:val="0"/>
              <w:pageBreakBefore w:val="0"/>
              <w:widowControl w:val="0"/>
              <w:kinsoku/>
              <w:wordWrap/>
              <w:overflowPunct/>
              <w:topLinePunct w:val="0"/>
              <w:autoSpaceDE/>
              <w:autoSpaceDN/>
              <w:bidi w:val="0"/>
              <w:adjustRightInd/>
              <w:snapToGrid/>
              <w:spacing w:line="288" w:lineRule="auto"/>
              <w:ind w:left="319" w:leftChars="0"/>
              <w:jc w:val="both"/>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5</w:t>
            </w:r>
          </w:p>
        </w:tc>
        <w:tc>
          <w:tcPr>
            <w:tcW w:w="683" w:type="pct"/>
            <w:noWrap w:val="0"/>
            <w:vAlign w:val="center"/>
          </w:tcPr>
          <w:p w14:paraId="13B6A8F6">
            <w:pPr>
              <w:pStyle w:val="11"/>
              <w:keepNext w:val="0"/>
              <w:keepLines w:val="0"/>
              <w:pageBreakBefore w:val="0"/>
              <w:widowControl w:val="0"/>
              <w:kinsoku/>
              <w:wordWrap/>
              <w:overflowPunct/>
              <w:topLinePunct w:val="0"/>
              <w:autoSpaceDE/>
              <w:autoSpaceDN/>
              <w:bidi w:val="0"/>
              <w:adjustRightInd/>
              <w:snapToGrid/>
              <w:spacing w:line="288" w:lineRule="auto"/>
              <w:ind w:left="146" w:leftChars="0"/>
              <w:jc w:val="center"/>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rPr>
              <w:t>蔬菜水果</w:t>
            </w:r>
            <w:r>
              <w:rPr>
                <w:rFonts w:hint="eastAsia" w:ascii="仿宋" w:hAnsi="仿宋" w:eastAsia="仿宋" w:cs="仿宋"/>
                <w:color w:val="auto"/>
                <w:sz w:val="21"/>
                <w:szCs w:val="21"/>
                <w:highlight w:val="none"/>
              </w:rPr>
              <w:t>类</w:t>
            </w:r>
          </w:p>
        </w:tc>
        <w:tc>
          <w:tcPr>
            <w:tcW w:w="3455" w:type="pct"/>
            <w:noWrap w:val="0"/>
            <w:vAlign w:val="center"/>
          </w:tcPr>
          <w:p w14:paraId="35D9AD52">
            <w:pPr>
              <w:pStyle w:val="11"/>
              <w:keepNext w:val="0"/>
              <w:keepLines w:val="0"/>
              <w:pageBreakBefore w:val="0"/>
              <w:widowControl w:val="0"/>
              <w:kinsoku/>
              <w:wordWrap/>
              <w:overflowPunct/>
              <w:topLinePunct w:val="0"/>
              <w:autoSpaceDE/>
              <w:autoSpaceDN/>
              <w:bidi w:val="0"/>
              <w:adjustRightInd/>
              <w:snapToGrid/>
              <w:spacing w:line="288" w:lineRule="auto"/>
              <w:ind w:left="113" w:right="10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应季蔬菜须本地采购，无药残、无腐烂，新鲜干净，大小均匀，色泽好。</w:t>
            </w:r>
            <w:r>
              <w:rPr>
                <w:rFonts w:hint="eastAsia" w:ascii="仿宋" w:hAnsi="仿宋" w:eastAsia="仿宋" w:cs="仿宋"/>
                <w:color w:val="auto"/>
                <w:spacing w:val="6"/>
                <w:sz w:val="21"/>
                <w:szCs w:val="21"/>
                <w:highlight w:val="none"/>
              </w:rPr>
              <w:t>蔬菜水果类，农药残留量不能超过农业部与卫</w:t>
            </w:r>
            <w:r>
              <w:rPr>
                <w:rFonts w:hint="eastAsia" w:ascii="仿宋" w:hAnsi="仿宋" w:eastAsia="仿宋" w:cs="仿宋"/>
                <w:color w:val="auto"/>
                <w:spacing w:val="5"/>
                <w:sz w:val="21"/>
                <w:szCs w:val="21"/>
                <w:highlight w:val="none"/>
              </w:rPr>
              <w:t>生部联合发布的食品安全国</w:t>
            </w:r>
            <w:r>
              <w:rPr>
                <w:rFonts w:hint="eastAsia" w:ascii="仿宋" w:hAnsi="仿宋" w:eastAsia="仿宋" w:cs="仿宋"/>
                <w:color w:val="auto"/>
                <w:sz w:val="21"/>
                <w:szCs w:val="21"/>
                <w:highlight w:val="none"/>
              </w:rPr>
              <w:t>家标准《食品中农药最大残留限量》，每批次产品进行农残快速检测，并</w:t>
            </w:r>
            <w:r>
              <w:rPr>
                <w:rFonts w:hint="eastAsia" w:ascii="仿宋" w:hAnsi="仿宋" w:eastAsia="仿宋" w:cs="仿宋"/>
                <w:color w:val="auto"/>
                <w:spacing w:val="-4"/>
                <w:sz w:val="21"/>
                <w:szCs w:val="21"/>
                <w:highlight w:val="none"/>
              </w:rPr>
              <w:t>建好溯源体系。</w:t>
            </w:r>
          </w:p>
          <w:p w14:paraId="364D86EB">
            <w:pPr>
              <w:pStyle w:val="11"/>
              <w:keepNext w:val="0"/>
              <w:keepLines w:val="0"/>
              <w:pageBreakBefore w:val="0"/>
              <w:widowControl w:val="0"/>
              <w:kinsoku/>
              <w:wordWrap/>
              <w:overflowPunct/>
              <w:topLinePunct w:val="0"/>
              <w:autoSpaceDE/>
              <w:autoSpaceDN/>
              <w:bidi w:val="0"/>
              <w:adjustRightInd/>
              <w:snapToGrid/>
              <w:spacing w:line="288" w:lineRule="auto"/>
              <w:ind w:left="114" w:right="148" w:firstLine="1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叶菜类要求新鲜，外形正常，叶梗光滑幼嫩，不干瘪凋萎，无</w:t>
            </w:r>
            <w:r>
              <w:rPr>
                <w:rFonts w:hint="eastAsia" w:ascii="仿宋" w:hAnsi="仿宋" w:eastAsia="仿宋" w:cs="仿宋"/>
                <w:color w:val="auto"/>
                <w:spacing w:val="3"/>
                <w:sz w:val="21"/>
                <w:szCs w:val="21"/>
                <w:highlight w:val="none"/>
              </w:rPr>
              <w:t>过多黄叶，</w:t>
            </w:r>
            <w:r>
              <w:rPr>
                <w:rFonts w:hint="eastAsia" w:ascii="仿宋" w:hAnsi="仿宋" w:eastAsia="仿宋" w:cs="仿宋"/>
                <w:color w:val="auto"/>
                <w:spacing w:val="-7"/>
                <w:sz w:val="21"/>
                <w:szCs w:val="21"/>
                <w:highlight w:val="none"/>
              </w:rPr>
              <w:t>色泽正常，去除根须，不含土，无虫害。农药残留不超标，非转基因。</w:t>
            </w:r>
          </w:p>
          <w:p w14:paraId="3200C772">
            <w:pPr>
              <w:pStyle w:val="11"/>
              <w:keepNext w:val="0"/>
              <w:keepLines w:val="0"/>
              <w:pageBreakBefore w:val="0"/>
              <w:widowControl w:val="0"/>
              <w:kinsoku/>
              <w:wordWrap/>
              <w:overflowPunct/>
              <w:topLinePunct w:val="0"/>
              <w:autoSpaceDE/>
              <w:autoSpaceDN/>
              <w:bidi w:val="0"/>
              <w:adjustRightInd/>
              <w:snapToGrid/>
              <w:spacing w:line="288" w:lineRule="auto"/>
              <w:ind w:left="127" w:right="104" w:hanging="14"/>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茄果类无空心，黑心，无黄斑，内部变稀等，农药残留不超标，非转基</w:t>
            </w:r>
            <w:r>
              <w:rPr>
                <w:rFonts w:hint="eastAsia" w:ascii="仿宋" w:hAnsi="仿宋" w:eastAsia="仿宋" w:cs="仿宋"/>
                <w:color w:val="auto"/>
                <w:spacing w:val="-14"/>
                <w:sz w:val="21"/>
                <w:szCs w:val="21"/>
                <w:highlight w:val="none"/>
              </w:rPr>
              <w:t>因。</w:t>
            </w:r>
          </w:p>
          <w:p w14:paraId="4487178E">
            <w:pPr>
              <w:pStyle w:val="11"/>
              <w:keepNext w:val="0"/>
              <w:keepLines w:val="0"/>
              <w:pageBreakBefore w:val="0"/>
              <w:widowControl w:val="0"/>
              <w:kinsoku/>
              <w:wordWrap/>
              <w:overflowPunct/>
              <w:topLinePunct w:val="0"/>
              <w:autoSpaceDE/>
              <w:autoSpaceDN/>
              <w:bidi w:val="0"/>
              <w:adjustRightInd/>
              <w:snapToGrid/>
              <w:spacing w:line="288" w:lineRule="auto"/>
              <w:ind w:left="112" w:right="131"/>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配菜类（根茎、瓜果类）无虫咬、发芽、发霉现象，成熟</w:t>
            </w:r>
            <w:r>
              <w:rPr>
                <w:rFonts w:hint="eastAsia" w:ascii="仿宋" w:hAnsi="仿宋" w:eastAsia="仿宋" w:cs="仿宋"/>
                <w:color w:val="auto"/>
                <w:spacing w:val="4"/>
                <w:sz w:val="21"/>
                <w:szCs w:val="21"/>
                <w:highlight w:val="none"/>
              </w:rPr>
              <w:t>度良好、新鲜。</w:t>
            </w:r>
            <w:r>
              <w:rPr>
                <w:rFonts w:hint="eastAsia" w:ascii="仿宋" w:hAnsi="仿宋" w:eastAsia="仿宋" w:cs="仿宋"/>
                <w:color w:val="auto"/>
                <w:spacing w:val="-2"/>
                <w:sz w:val="21"/>
                <w:szCs w:val="21"/>
                <w:highlight w:val="none"/>
              </w:rPr>
              <w:t>农药残留不超标，非转基因。</w:t>
            </w:r>
          </w:p>
          <w:p w14:paraId="78306375">
            <w:pPr>
              <w:pStyle w:val="11"/>
              <w:keepNext w:val="0"/>
              <w:keepLines w:val="0"/>
              <w:pageBreakBefore w:val="0"/>
              <w:widowControl w:val="0"/>
              <w:kinsoku/>
              <w:wordWrap/>
              <w:overflowPunct/>
              <w:topLinePunct w:val="0"/>
              <w:autoSpaceDE/>
              <w:autoSpaceDN/>
              <w:bidi w:val="0"/>
              <w:adjustRightInd/>
              <w:snapToGrid/>
              <w:spacing w:line="288" w:lineRule="auto"/>
              <w:ind w:left="116" w:leftChars="0" w:right="100" w:rightChars="0" w:hanging="4" w:firstLine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color w:val="auto"/>
                <w:spacing w:val="-13"/>
                <w:sz w:val="21"/>
                <w:szCs w:val="21"/>
                <w:highlight w:val="none"/>
              </w:rPr>
              <w:t>水果：当季新鲜水果。</w:t>
            </w:r>
          </w:p>
        </w:tc>
        <w:tc>
          <w:tcPr>
            <w:tcW w:w="463" w:type="pct"/>
            <w:noWrap w:val="0"/>
            <w:vAlign w:val="center"/>
          </w:tcPr>
          <w:p w14:paraId="207DE103">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0555F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97" w:type="pct"/>
            <w:noWrap w:val="0"/>
            <w:vAlign w:val="center"/>
          </w:tcPr>
          <w:p w14:paraId="297562BC">
            <w:pPr>
              <w:pStyle w:val="11"/>
              <w:keepNext w:val="0"/>
              <w:keepLines w:val="0"/>
              <w:pageBreakBefore w:val="0"/>
              <w:widowControl w:val="0"/>
              <w:kinsoku/>
              <w:wordWrap/>
              <w:overflowPunct/>
              <w:topLinePunct w:val="0"/>
              <w:autoSpaceDE/>
              <w:autoSpaceDN/>
              <w:bidi w:val="0"/>
              <w:adjustRightInd/>
              <w:snapToGrid/>
              <w:spacing w:line="288" w:lineRule="auto"/>
              <w:ind w:right="104" w:righ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rPr>
              <w:t>6</w:t>
            </w:r>
          </w:p>
        </w:tc>
        <w:tc>
          <w:tcPr>
            <w:tcW w:w="683" w:type="pct"/>
            <w:noWrap w:val="0"/>
            <w:vAlign w:val="center"/>
          </w:tcPr>
          <w:p w14:paraId="1C35BAC0">
            <w:pPr>
              <w:pStyle w:val="11"/>
              <w:keepNext w:val="0"/>
              <w:keepLines w:val="0"/>
              <w:pageBreakBefore w:val="0"/>
              <w:widowControl w:val="0"/>
              <w:kinsoku/>
              <w:wordWrap/>
              <w:overflowPunct/>
              <w:topLinePunct w:val="0"/>
              <w:autoSpaceDE/>
              <w:autoSpaceDN/>
              <w:bidi w:val="0"/>
              <w:adjustRightInd/>
              <w:snapToGrid/>
              <w:spacing w:line="288" w:lineRule="auto"/>
              <w:ind w:right="104" w:rightChars="0"/>
              <w:jc w:val="center"/>
              <w:textAlignment w:val="baseline"/>
              <w:rPr>
                <w:rFonts w:hint="eastAsia" w:ascii="仿宋" w:hAnsi="仿宋" w:eastAsia="仿宋" w:cs="仿宋"/>
                <w:color w:val="auto"/>
                <w:spacing w:val="-3"/>
                <w:sz w:val="21"/>
                <w:szCs w:val="21"/>
                <w:highlight w:val="none"/>
              </w:rPr>
            </w:pPr>
            <w:r>
              <w:rPr>
                <w:rFonts w:hint="eastAsia" w:ascii="仿宋" w:hAnsi="仿宋" w:eastAsia="仿宋" w:cs="仿宋"/>
                <w:color w:val="auto"/>
                <w:sz w:val="21"/>
                <w:szCs w:val="21"/>
                <w:highlight w:val="none"/>
              </w:rPr>
              <w:t>学生饮用奶</w:t>
            </w:r>
          </w:p>
        </w:tc>
        <w:tc>
          <w:tcPr>
            <w:tcW w:w="3455" w:type="pct"/>
            <w:noWrap w:val="0"/>
            <w:vAlign w:val="center"/>
          </w:tcPr>
          <w:p w14:paraId="55756A80">
            <w:pPr>
              <w:pStyle w:val="11"/>
              <w:keepNext w:val="0"/>
              <w:keepLines w:val="0"/>
              <w:pageBreakBefore w:val="0"/>
              <w:widowControl w:val="0"/>
              <w:kinsoku/>
              <w:wordWrap/>
              <w:overflowPunct/>
              <w:topLinePunct w:val="0"/>
              <w:autoSpaceDE/>
              <w:autoSpaceDN/>
              <w:bidi w:val="0"/>
              <w:adjustRightInd/>
              <w:snapToGrid/>
              <w:spacing w:line="288" w:lineRule="auto"/>
              <w:ind w:right="104"/>
              <w:jc w:val="lef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必须是经过“国家学生饮用奶计划”部际协调小组办公室组织的专家论证和批准，为保证质量和安全，“学生饮用奶”必须用超高温瞬时灭菌法生产，并以无菌复合纸包装为包装。在识别标志上，学生奶在包装盒上印有“中国学生饮用奶“学字标志”。作为专供在校生饮用的牛奶，学生奶不在商场上销</w:t>
            </w:r>
            <w:r>
              <w:rPr>
                <w:rFonts w:hint="eastAsia" w:ascii="仿宋" w:hAnsi="仿宋" w:eastAsia="仿宋" w:cs="仿宋"/>
                <w:b w:val="0"/>
                <w:bCs w:val="0"/>
                <w:color w:val="auto"/>
                <w:sz w:val="21"/>
                <w:szCs w:val="21"/>
                <w:highlight w:val="none"/>
              </w:rPr>
              <w:t>售</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送达时牛奶的生产日期必须在一个月内。</w:t>
            </w:r>
          </w:p>
          <w:p w14:paraId="5A9B96D7">
            <w:pPr>
              <w:pStyle w:val="3"/>
              <w:rPr>
                <w:rFonts w:hint="eastAsia" w:ascii="仿宋" w:hAnsi="仿宋" w:eastAsia="仿宋" w:cs="仿宋"/>
                <w:color w:val="auto"/>
                <w:sz w:val="21"/>
                <w:szCs w:val="21"/>
                <w:highlight w:val="none"/>
                <w:lang w:val="en-US" w:eastAsia="en-US" w:bidi="ar-SA"/>
              </w:rPr>
            </w:pPr>
            <w:r>
              <w:rPr>
                <w:rFonts w:hint="eastAsia" w:ascii="仿宋" w:hAnsi="仿宋" w:eastAsia="仿宋" w:cs="仿宋"/>
                <w:color w:val="auto"/>
                <w:sz w:val="21"/>
                <w:szCs w:val="21"/>
                <w:highlight w:val="none"/>
                <w:lang w:val="en-US" w:eastAsia="zh-CN" w:bidi="ar-SA"/>
              </w:rPr>
              <w:t>营养成分表:纯牛奶 T/DACS 016-2024:</w:t>
            </w:r>
            <w:r>
              <w:rPr>
                <w:rFonts w:hint="eastAsia" w:ascii="仿宋" w:hAnsi="仿宋" w:eastAsia="仿宋" w:cs="仿宋"/>
                <w:color w:val="auto"/>
                <w:sz w:val="21"/>
                <w:szCs w:val="21"/>
                <w:highlight w:val="none"/>
                <w:lang w:val="en-US" w:eastAsia="en-US" w:bidi="ar-SA"/>
              </w:rPr>
              <w:t>脂肪（g/100g）≥3.</w:t>
            </w:r>
            <w:r>
              <w:rPr>
                <w:rFonts w:hint="eastAsia" w:ascii="仿宋" w:hAnsi="仿宋" w:eastAsia="仿宋" w:cs="仿宋"/>
                <w:color w:val="auto"/>
                <w:sz w:val="21"/>
                <w:szCs w:val="21"/>
                <w:highlight w:val="none"/>
                <w:lang w:val="en-US" w:eastAsia="zh-CN" w:bidi="ar-SA"/>
              </w:rPr>
              <w:t>6</w:t>
            </w:r>
            <w:r>
              <w:rPr>
                <w:rFonts w:hint="eastAsia" w:ascii="仿宋" w:hAnsi="仿宋" w:eastAsia="仿宋" w:cs="仿宋"/>
                <w:color w:val="auto"/>
                <w:sz w:val="21"/>
                <w:szCs w:val="21"/>
                <w:highlight w:val="none"/>
                <w:lang w:val="en-US" w:eastAsia="en-US" w:bidi="ar-SA"/>
              </w:rPr>
              <w:t>、蛋白质（g/100g）≥3.</w:t>
            </w:r>
            <w:r>
              <w:rPr>
                <w:rFonts w:hint="eastAsia" w:ascii="仿宋" w:hAnsi="仿宋" w:eastAsia="仿宋" w:cs="仿宋"/>
                <w:color w:val="auto"/>
                <w:sz w:val="21"/>
                <w:szCs w:val="21"/>
                <w:highlight w:val="none"/>
                <w:lang w:val="en-US" w:eastAsia="zh-CN" w:bidi="ar-SA"/>
              </w:rPr>
              <w:t>0；</w:t>
            </w:r>
            <w:r>
              <w:rPr>
                <w:rFonts w:hint="eastAsia" w:ascii="仿宋" w:hAnsi="仿宋" w:eastAsia="仿宋" w:cs="仿宋"/>
                <w:color w:val="auto"/>
                <w:sz w:val="21"/>
                <w:szCs w:val="21"/>
                <w:highlight w:val="none"/>
                <w:lang w:val="en-US" w:eastAsia="en-US" w:bidi="ar-SA"/>
              </w:rPr>
              <w:t xml:space="preserve">GB 25190-2010 食品安全国家标准 </w:t>
            </w:r>
          </w:p>
          <w:p w14:paraId="61C2831E">
            <w:pPr>
              <w:pStyle w:val="3"/>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val="en-US" w:eastAsia="en-US" w:bidi="ar-SA"/>
              </w:rPr>
              <w:t>灭菌乳</w:t>
            </w:r>
            <w:r>
              <w:rPr>
                <w:rFonts w:hint="eastAsia" w:ascii="仿宋" w:hAnsi="仿宋" w:eastAsia="仿宋" w:cs="仿宋"/>
                <w:color w:val="auto"/>
                <w:sz w:val="21"/>
                <w:szCs w:val="21"/>
                <w:highlight w:val="none"/>
                <w:lang w:val="en-US" w:eastAsia="zh-CN" w:bidi="ar-SA"/>
              </w:rPr>
              <w:t>:</w:t>
            </w:r>
            <w:r>
              <w:rPr>
                <w:rFonts w:hint="eastAsia" w:ascii="仿宋" w:hAnsi="仿宋" w:eastAsia="仿宋" w:cs="仿宋"/>
                <w:color w:val="auto"/>
                <w:sz w:val="21"/>
                <w:szCs w:val="21"/>
                <w:highlight w:val="none"/>
                <w:lang w:val="en-US" w:eastAsia="en-US" w:bidi="ar-SA"/>
              </w:rPr>
              <w:t>非脂乳固 体≥8.</w:t>
            </w:r>
            <w:r>
              <w:rPr>
                <w:rFonts w:hint="eastAsia" w:ascii="仿宋" w:hAnsi="仿宋" w:eastAsia="仿宋" w:cs="仿宋"/>
                <w:color w:val="auto"/>
                <w:sz w:val="21"/>
                <w:szCs w:val="21"/>
                <w:highlight w:val="none"/>
                <w:lang w:val="en-US" w:eastAsia="zh-CN" w:bidi="ar-SA"/>
              </w:rPr>
              <w:t>1</w:t>
            </w:r>
            <w:r>
              <w:rPr>
                <w:rFonts w:hint="eastAsia" w:ascii="仿宋" w:hAnsi="仿宋" w:eastAsia="仿宋" w:cs="仿宋"/>
                <w:color w:val="auto"/>
                <w:sz w:val="21"/>
                <w:szCs w:val="21"/>
                <w:highlight w:val="none"/>
                <w:lang w:val="en-US" w:eastAsia="en-US" w:bidi="ar-SA"/>
              </w:rPr>
              <w:t>、酸度(°T)：12-18、黄曲霉毒素M1(μg/kg) ≤0.5、三聚氰胺(mg/kg)：阴性、商业无菌</w:t>
            </w:r>
            <w:r>
              <w:rPr>
                <w:rFonts w:hint="eastAsia" w:ascii="仿宋" w:hAnsi="仿宋" w:eastAsia="仿宋" w:cs="仿宋"/>
                <w:color w:val="auto"/>
                <w:sz w:val="21"/>
                <w:szCs w:val="21"/>
                <w:highlight w:val="none"/>
                <w:lang w:val="en-US" w:eastAsia="zh-CN" w:bidi="ar-SA"/>
              </w:rPr>
              <w:t>。</w:t>
            </w:r>
          </w:p>
        </w:tc>
        <w:tc>
          <w:tcPr>
            <w:tcW w:w="463" w:type="pct"/>
            <w:noWrap w:val="0"/>
            <w:vAlign w:val="center"/>
          </w:tcPr>
          <w:p w14:paraId="0AED48A2">
            <w:pPr>
              <w:pStyle w:val="11"/>
              <w:keepNext w:val="0"/>
              <w:keepLines w:val="0"/>
              <w:pageBreakBefore w:val="0"/>
              <w:widowControl w:val="0"/>
              <w:kinsoku/>
              <w:wordWrap/>
              <w:overflowPunct/>
              <w:topLinePunct w:val="0"/>
              <w:autoSpaceDE/>
              <w:autoSpaceDN/>
              <w:bidi w:val="0"/>
              <w:adjustRightInd/>
              <w:snapToGrid/>
              <w:spacing w:line="288" w:lineRule="auto"/>
              <w:ind w:left="127" w:leftChars="0" w:right="104" w:rightChars="0" w:hanging="14" w:firstLineChars="0"/>
              <w:jc w:val="center"/>
              <w:textAlignment w:val="baseline"/>
              <w:rPr>
                <w:rFonts w:hint="eastAsia" w:ascii="仿宋" w:hAnsi="仿宋" w:eastAsia="仿宋" w:cs="仿宋"/>
                <w:color w:val="auto"/>
                <w:spacing w:val="-3"/>
                <w:sz w:val="21"/>
                <w:szCs w:val="21"/>
                <w:highlight w:val="none"/>
              </w:rPr>
            </w:pPr>
          </w:p>
        </w:tc>
      </w:tr>
      <w:tr w14:paraId="601EC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397" w:type="pct"/>
            <w:noWrap w:val="0"/>
            <w:vAlign w:val="center"/>
          </w:tcPr>
          <w:p w14:paraId="38D5A6F6">
            <w:pPr>
              <w:pStyle w:val="11"/>
              <w:keepNext w:val="0"/>
              <w:keepLines w:val="0"/>
              <w:pageBreakBefore w:val="0"/>
              <w:widowControl w:val="0"/>
              <w:kinsoku/>
              <w:wordWrap/>
              <w:overflowPunct/>
              <w:topLinePunct w:val="0"/>
              <w:autoSpaceDE/>
              <w:autoSpaceDN/>
              <w:bidi w:val="0"/>
              <w:adjustRightInd/>
              <w:snapToGrid/>
              <w:spacing w:line="288" w:lineRule="auto"/>
              <w:ind w:left="320" w:leftChars="0"/>
              <w:jc w:val="center"/>
              <w:textAlignment w:val="baseline"/>
              <w:rPr>
                <w:rFonts w:hint="eastAsia" w:ascii="仿宋" w:hAnsi="仿宋" w:eastAsia="仿宋" w:cs="仿宋"/>
                <w:color w:val="auto"/>
                <w:spacing w:val="-2"/>
                <w:sz w:val="21"/>
                <w:szCs w:val="21"/>
                <w:highlight w:val="none"/>
              </w:rPr>
            </w:pPr>
            <w:r>
              <w:rPr>
                <w:rFonts w:hint="eastAsia" w:ascii="仿宋" w:hAnsi="仿宋" w:eastAsia="仿宋" w:cs="仿宋"/>
                <w:color w:val="auto"/>
                <w:sz w:val="21"/>
                <w:szCs w:val="21"/>
                <w:highlight w:val="none"/>
                <w:lang w:val="en-US" w:eastAsia="zh-CN"/>
              </w:rPr>
              <w:t>7</w:t>
            </w:r>
          </w:p>
        </w:tc>
        <w:tc>
          <w:tcPr>
            <w:tcW w:w="683" w:type="pct"/>
            <w:noWrap w:val="0"/>
            <w:vAlign w:val="center"/>
          </w:tcPr>
          <w:p w14:paraId="68CF741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调料及其</w:t>
            </w:r>
          </w:p>
          <w:p w14:paraId="618642F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他农副产</w:t>
            </w:r>
          </w:p>
          <w:p w14:paraId="3F43D8A9">
            <w:pPr>
              <w:jc w:val="center"/>
              <w:rPr>
                <w:rFonts w:hint="eastAsia" w:ascii="仿宋" w:hAnsi="仿宋" w:eastAsia="仿宋" w:cs="仿宋"/>
                <w:color w:val="auto"/>
                <w:spacing w:val="-3"/>
                <w:sz w:val="21"/>
                <w:szCs w:val="21"/>
                <w:highlight w:val="none"/>
              </w:rPr>
            </w:pPr>
            <w:r>
              <w:rPr>
                <w:rFonts w:hint="eastAsia" w:ascii="仿宋" w:hAnsi="仿宋" w:eastAsia="仿宋" w:cs="仿宋"/>
                <w:sz w:val="21"/>
                <w:szCs w:val="21"/>
                <w:highlight w:val="none"/>
              </w:rPr>
              <w:t>品类</w:t>
            </w:r>
          </w:p>
        </w:tc>
        <w:tc>
          <w:tcPr>
            <w:tcW w:w="3455" w:type="pct"/>
            <w:noWrap w:val="0"/>
            <w:vAlign w:val="center"/>
          </w:tcPr>
          <w:p w14:paraId="52290824">
            <w:pPr>
              <w:pStyle w:val="11"/>
              <w:keepNext w:val="0"/>
              <w:keepLines w:val="0"/>
              <w:pageBreakBefore w:val="0"/>
              <w:widowControl w:val="0"/>
              <w:kinsoku/>
              <w:wordWrap/>
              <w:overflowPunct/>
              <w:topLinePunct w:val="0"/>
              <w:autoSpaceDE/>
              <w:autoSpaceDN/>
              <w:bidi w:val="0"/>
              <w:adjustRightInd/>
              <w:snapToGrid/>
              <w:spacing w:line="288" w:lineRule="auto"/>
              <w:ind w:left="110" w:leftChars="0" w:right="100" w:rightChars="0" w:firstLine="3" w:firstLineChars="0"/>
              <w:jc w:val="left"/>
              <w:textAlignment w:val="baseline"/>
              <w:rPr>
                <w:rFonts w:hint="eastAsia" w:ascii="仿宋" w:hAnsi="仿宋" w:eastAsia="仿宋" w:cs="仿宋"/>
                <w:color w:val="auto"/>
                <w:spacing w:val="-1"/>
                <w:sz w:val="21"/>
                <w:szCs w:val="21"/>
                <w:highlight w:val="none"/>
              </w:rPr>
            </w:pPr>
            <w:r>
              <w:rPr>
                <w:rFonts w:hint="eastAsia" w:ascii="仿宋" w:hAnsi="仿宋" w:eastAsia="仿宋" w:cs="仿宋"/>
                <w:color w:val="auto"/>
                <w:spacing w:val="4"/>
                <w:sz w:val="21"/>
                <w:szCs w:val="21"/>
                <w:highlight w:val="none"/>
              </w:rPr>
              <w:t>调料及其他农副产品类（含干货、佐料、冻品、定型包装类食品</w:t>
            </w:r>
            <w:r>
              <w:rPr>
                <w:rFonts w:hint="eastAsia" w:ascii="仿宋" w:hAnsi="仿宋" w:eastAsia="仿宋" w:cs="仿宋"/>
                <w:color w:val="auto"/>
                <w:spacing w:val="30"/>
                <w:sz w:val="21"/>
                <w:szCs w:val="21"/>
                <w:highlight w:val="none"/>
              </w:rPr>
              <w:t>）：</w:t>
            </w:r>
            <w:r>
              <w:rPr>
                <w:rFonts w:hint="eastAsia" w:ascii="仿宋" w:hAnsi="仿宋" w:eastAsia="仿宋" w:cs="仿宋"/>
                <w:color w:val="auto"/>
                <w:spacing w:val="4"/>
                <w:sz w:val="21"/>
                <w:szCs w:val="21"/>
                <w:highlight w:val="none"/>
              </w:rPr>
              <w:t>由采</w:t>
            </w:r>
            <w:r>
              <w:rPr>
                <w:rFonts w:hint="eastAsia" w:ascii="仿宋" w:hAnsi="仿宋" w:eastAsia="仿宋" w:cs="仿宋"/>
                <w:color w:val="auto"/>
                <w:spacing w:val="-4"/>
                <w:sz w:val="21"/>
                <w:szCs w:val="21"/>
                <w:highlight w:val="none"/>
              </w:rPr>
              <w:t>购人指定品种采购，干爽、不霉烂、整齐、均匀、完整、无虫蛀，必须是</w:t>
            </w:r>
            <w:r>
              <w:rPr>
                <w:rFonts w:hint="eastAsia" w:ascii="仿宋" w:hAnsi="仿宋" w:eastAsia="仿宋" w:cs="仿宋"/>
                <w:color w:val="auto"/>
                <w:spacing w:val="6"/>
                <w:sz w:val="21"/>
                <w:szCs w:val="21"/>
                <w:highlight w:val="none"/>
              </w:rPr>
              <w:t>达到国家食品安全标准的产品；包装类食品，包装上须有完整的生产厂家</w:t>
            </w:r>
            <w:r>
              <w:rPr>
                <w:rFonts w:hint="eastAsia" w:ascii="仿宋" w:hAnsi="仿宋" w:eastAsia="仿宋" w:cs="仿宋"/>
                <w:color w:val="auto"/>
                <w:spacing w:val="5"/>
                <w:sz w:val="21"/>
                <w:szCs w:val="21"/>
                <w:highlight w:val="none"/>
              </w:rPr>
              <w:t>、生产厂址、日</w:t>
            </w:r>
            <w:r>
              <w:rPr>
                <w:rFonts w:hint="eastAsia" w:ascii="仿宋" w:hAnsi="仿宋" w:eastAsia="仿宋" w:cs="仿宋"/>
                <w:color w:val="auto"/>
                <w:spacing w:val="2"/>
                <w:sz w:val="21"/>
                <w:szCs w:val="21"/>
                <w:highlight w:val="none"/>
              </w:rPr>
              <w:t>期等，质量卫生标准符合国家相关食品卫生标准。调料、干货等必须送达</w:t>
            </w:r>
            <w:r>
              <w:rPr>
                <w:rFonts w:hint="eastAsia" w:ascii="仿宋" w:hAnsi="仿宋" w:eastAsia="仿宋" w:cs="仿宋"/>
                <w:color w:val="auto"/>
                <w:spacing w:val="-4"/>
                <w:sz w:val="21"/>
                <w:szCs w:val="21"/>
                <w:highlight w:val="none"/>
              </w:rPr>
              <w:t>时距离质保期在180天及以上。</w:t>
            </w:r>
          </w:p>
        </w:tc>
        <w:tc>
          <w:tcPr>
            <w:tcW w:w="463" w:type="pct"/>
            <w:noWrap w:val="0"/>
            <w:vAlign w:val="center"/>
          </w:tcPr>
          <w:p w14:paraId="6D27DEF9">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3"/>
                <w:sz w:val="21"/>
                <w:szCs w:val="21"/>
                <w:highlight w:val="none"/>
              </w:rPr>
            </w:pPr>
          </w:p>
        </w:tc>
      </w:tr>
      <w:tr w14:paraId="51C8D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5000" w:type="pct"/>
            <w:gridSpan w:val="4"/>
            <w:noWrap w:val="0"/>
            <w:vAlign w:val="center"/>
          </w:tcPr>
          <w:p w14:paraId="19386FB2">
            <w:pPr>
              <w:pStyle w:val="11"/>
              <w:keepNext w:val="0"/>
              <w:keepLines w:val="0"/>
              <w:pageBreakBefore w:val="0"/>
              <w:widowControl w:val="0"/>
              <w:kinsoku/>
              <w:wordWrap/>
              <w:overflowPunct/>
              <w:topLinePunct w:val="0"/>
              <w:autoSpaceDE/>
              <w:autoSpaceDN/>
              <w:bidi w:val="0"/>
              <w:adjustRightInd/>
              <w:snapToGrid/>
              <w:spacing w:line="288" w:lineRule="auto"/>
              <w:ind w:left="116" w:right="116"/>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包装要求：有品名、执行标准、质量等级、质保期、生产日期、储存方法、重量、产地、生产地址、电</w:t>
            </w:r>
            <w:r>
              <w:rPr>
                <w:rFonts w:hint="eastAsia" w:ascii="仿宋" w:hAnsi="仿宋" w:eastAsia="仿宋" w:cs="仿宋"/>
                <w:color w:val="auto"/>
                <w:spacing w:val="-10"/>
                <w:sz w:val="21"/>
                <w:szCs w:val="21"/>
                <w:highlight w:val="none"/>
              </w:rPr>
              <w:t>话。</w:t>
            </w:r>
          </w:p>
        </w:tc>
      </w:tr>
    </w:tbl>
    <w:p w14:paraId="5234C1E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严格遵守《食品安全法》、《食品安全条例》，严格按照货物国家标准规范及有关要求进行供货，不出售不洁、过期、变质食品，杜绝食物中毒事故发生，有符合卫生条件的大米、菜籽油、鸡蛋、鲜肉、鲜果蔬储藏库房，符合卫生条件，车况良好、干净卫生的车辆配送，针对夏季气温较高为防止肉类产品变质，须用0-4℃冷藏车专车专用进行本项目肉类配送，在运输前必须对运输车辆做好清洁消毒工作，以保证食品安全运输到达各校点，工作人员提供有效健康证。</w:t>
      </w:r>
    </w:p>
    <w:p w14:paraId="6D42975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4"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针对营养餐带量食谱中的食材价格，供应商需以西安市内大型农产品批发市场（例如西安西部欣桥农产品物流中心）当日挂牌价格参考实施。</w:t>
      </w:r>
    </w:p>
    <w:p w14:paraId="54A540E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4"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投标人须保质保量的向采购单位以不低于5元的标准配送供应，如发现食材存在价格偏离、质量安全隐患，甲方有权利不定期组织监督小组对食材和投标人进行监督</w:t>
      </w:r>
      <w:r>
        <w:rPr>
          <w:rFonts w:hint="eastAsia" w:ascii="仿宋" w:hAnsi="仿宋" w:eastAsia="仿宋" w:cs="仿宋"/>
          <w:color w:val="auto"/>
          <w:sz w:val="24"/>
          <w:szCs w:val="24"/>
          <w:highlight w:val="none"/>
          <w:lang w:val="en-US" w:eastAsia="zh-CN"/>
        </w:rPr>
        <w:t>；</w:t>
      </w:r>
    </w:p>
    <w:p w14:paraId="103486F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投标人负责指导各学校做好食品的保管工作，并提供食品储存保管方式方法。</w:t>
      </w:r>
    </w:p>
    <w:p w14:paraId="2C1790E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包装与加工按照采购单位要求执行：大米：25公斤/袋或50公斤/</w:t>
      </w:r>
      <w:r>
        <w:rPr>
          <w:rFonts w:hint="eastAsia" w:ascii="仿宋" w:hAnsi="仿宋" w:eastAsia="仿宋" w:cs="仿宋"/>
          <w:b w:val="0"/>
          <w:bCs w:val="0"/>
          <w:color w:val="auto"/>
          <w:sz w:val="24"/>
          <w:szCs w:val="24"/>
          <w:highlight w:val="none"/>
          <w:lang w:val="en-US" w:eastAsia="zh-CN"/>
        </w:rPr>
        <w:t>袋；</w:t>
      </w:r>
      <w:r>
        <w:rPr>
          <w:rFonts w:hint="eastAsia" w:ascii="仿宋" w:hAnsi="仿宋" w:eastAsia="仿宋" w:cs="仿宋"/>
          <w:color w:val="auto"/>
          <w:sz w:val="24"/>
          <w:szCs w:val="24"/>
          <w:highlight w:val="none"/>
          <w:lang w:val="en-US" w:eastAsia="zh-CN"/>
        </w:rPr>
        <w:t>面粉：25公斤/袋；</w:t>
      </w:r>
      <w:r>
        <w:rPr>
          <w:rFonts w:hint="eastAsia" w:ascii="仿宋" w:hAnsi="仿宋" w:eastAsia="仿宋" w:cs="仿宋"/>
          <w:b w:val="0"/>
          <w:bCs w:val="0"/>
          <w:color w:val="auto"/>
          <w:sz w:val="24"/>
          <w:szCs w:val="24"/>
          <w:highlight w:val="none"/>
          <w:lang w:val="en-US" w:eastAsia="zh-CN"/>
        </w:rPr>
        <w:t>菜籽油：16.4升一桶，</w:t>
      </w:r>
      <w:r>
        <w:rPr>
          <w:rFonts w:hint="eastAsia" w:ascii="仿宋" w:hAnsi="仿宋" w:eastAsia="仿宋" w:cs="仿宋"/>
          <w:color w:val="auto"/>
          <w:sz w:val="24"/>
          <w:szCs w:val="24"/>
          <w:highlight w:val="none"/>
          <w:lang w:val="en-US" w:eastAsia="zh-CN"/>
        </w:rPr>
        <w:t>其余货物应按配送要求分类打包，以上货物均须按照国家标准进行包装。</w:t>
      </w:r>
    </w:p>
    <w:p w14:paraId="0752CA7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在每次供货时，必须随货附送该批大米、面粉、菜籽油、鲜肉经法定检验机构出具的相关质量检验检疫合格证等证明材料，并完善留样相关台账记录资料；如采购人认为有必要再次进行检测，双方共同委托市级以上法定质量监督机构检验检测，如该批大米、面粉、菜籽油、鲜肉符合招标文件的质量要求，则检测费用由采购人承担，如不符合招标文件的质量要求，则检测费用由中标投标人承担，并视为违约。</w:t>
      </w:r>
    </w:p>
    <w:p w14:paraId="327E53A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投标人必须在配送过程中按有关部门的要求及时向配送校点提供各类票据、原始凭证，由各校清点核对、验收、签字后生效，并作为付款凭证。</w:t>
      </w:r>
    </w:p>
    <w:p w14:paraId="5163BE3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如投标人未按时每天上午9：00前送货到各指定校点,影响学生就餐的，采购单位有权从每月学生营养改善计划食品、原材料采购及配送服务货款中扣除投标人当日货款的3倍为违约赔偿金。</w:t>
      </w:r>
    </w:p>
    <w:p w14:paraId="0026BB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 w:leftChars="0" w:firstLine="48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供货期间，投标人应无条件的接受采购单位的质量及价格监督，对采购提出的问题要及时整改，整改完毕后通知采购单位检查验收，合格后书面报送采购单位备案。</w:t>
      </w:r>
    </w:p>
    <w:p w14:paraId="698E33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三、采购货物质量要求：</w:t>
      </w:r>
    </w:p>
    <w:p w14:paraId="02287D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（1）所有货物质量必须严格按照国家标准规范及有关要求执行，因所投食品的质量问题而引起的食物中毒事件,投标人依法承担所有责任。</w:t>
      </w:r>
    </w:p>
    <w:p w14:paraId="07530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必须讲诚信，所供货物不得以次充好，无过期商品、假冒伪劣产品、无以次充好现象。不得将过期米、发霉米、碎米、陈米；变质、过期的菜籽油；病死禽肉、残剩禽肉、注水禽肉；变质、发霉、不新鲜的果蔬等不合格品参杂其中；一经发现，取消其供货资格。</w:t>
      </w:r>
    </w:p>
    <w:p w14:paraId="05B0213A">
      <w:pPr>
        <w:keepNext w:val="0"/>
        <w:keepLines w:val="0"/>
        <w:pageBreakBefore w:val="0"/>
        <w:tabs>
          <w:tab w:val="left" w:pos="180"/>
        </w:tabs>
        <w:kinsoku/>
        <w:wordWrap/>
        <w:overflowPunct/>
        <w:topLinePunct w:val="0"/>
        <w:autoSpaceDE/>
        <w:autoSpaceDN/>
        <w:bidi w:val="0"/>
        <w:adjustRightInd w:val="0"/>
        <w:snapToGrid w:val="0"/>
        <w:spacing w:line="360" w:lineRule="auto"/>
        <w:ind w:firstLine="562" w:firstLineChars="200"/>
        <w:jc w:val="both"/>
        <w:rPr>
          <w:rFonts w:hint="eastAsia" w:ascii="仿宋" w:hAnsi="仿宋" w:eastAsia="仿宋" w:cs="仿宋"/>
          <w:b/>
          <w:bCs/>
          <w:snapToGrid w:val="0"/>
          <w:color w:val="auto"/>
          <w:kern w:val="0"/>
          <w:sz w:val="28"/>
          <w:szCs w:val="28"/>
          <w:highlight w:val="none"/>
          <w:lang w:val="en-US" w:eastAsia="zh-CN"/>
        </w:rPr>
      </w:pPr>
      <w:r>
        <w:rPr>
          <w:rFonts w:hint="eastAsia" w:ascii="仿宋" w:hAnsi="仿宋" w:eastAsia="仿宋" w:cs="仿宋"/>
          <w:b/>
          <w:bCs/>
          <w:snapToGrid w:val="0"/>
          <w:color w:val="auto"/>
          <w:kern w:val="0"/>
          <w:sz w:val="28"/>
          <w:szCs w:val="28"/>
          <w:highlight w:val="none"/>
          <w:lang w:val="en-US" w:eastAsia="zh-CN"/>
        </w:rPr>
        <w:t>四、配送要求</w:t>
      </w:r>
    </w:p>
    <w:p w14:paraId="0AFF2D27">
      <w:pPr>
        <w:keepNext w:val="0"/>
        <w:keepLines w:val="0"/>
        <w:pageBreakBefore w:val="0"/>
        <w:shd w:val="clear"/>
        <w:tabs>
          <w:tab w:val="left" w:pos="180"/>
        </w:tabs>
        <w:kinsoku/>
        <w:wordWrap/>
        <w:overflowPunct/>
        <w:topLinePunct w:val="0"/>
        <w:autoSpaceDE/>
        <w:autoSpaceDN/>
        <w:bidi w:val="0"/>
        <w:adjustRightInd w:val="0"/>
        <w:snapToGrid w:val="0"/>
        <w:spacing w:line="360" w:lineRule="auto"/>
        <w:ind w:firstLine="480" w:firstLineChars="200"/>
        <w:jc w:val="both"/>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（1）送货时间：米面油每两周配送一次，蛋奶每周配送一次，蔬菜、肉类每天配送一次。</w:t>
      </w:r>
    </w:p>
    <w:p w14:paraId="51D495F0">
      <w:pPr>
        <w:keepNext w:val="0"/>
        <w:keepLines w:val="0"/>
        <w:pageBreakBefore w:val="0"/>
        <w:tabs>
          <w:tab w:val="left" w:pos="180"/>
        </w:tabs>
        <w:kinsoku/>
        <w:wordWrap/>
        <w:overflowPunct/>
        <w:topLinePunct w:val="0"/>
        <w:autoSpaceDE/>
        <w:autoSpaceDN/>
        <w:bidi w:val="0"/>
        <w:adjustRightInd w:val="0"/>
        <w:snapToGrid w:val="0"/>
        <w:spacing w:line="360" w:lineRule="auto"/>
        <w:ind w:firstLine="480" w:firstLineChars="200"/>
        <w:jc w:val="both"/>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（2）供应</w:t>
      </w:r>
      <w:r>
        <w:rPr>
          <w:rFonts w:hint="eastAsia" w:ascii="仿宋" w:hAnsi="仿宋" w:eastAsia="仿宋" w:cs="仿宋"/>
          <w:snapToGrid w:val="0"/>
          <w:color w:val="auto"/>
          <w:kern w:val="0"/>
          <w:sz w:val="24"/>
          <w:szCs w:val="24"/>
          <w:highlight w:val="none"/>
          <w:lang w:eastAsia="zh-CN"/>
        </w:rPr>
        <w:t>数量：每天的配送数量以经采购人确认的人数为准，最终据实结算。</w:t>
      </w:r>
    </w:p>
    <w:p w14:paraId="3122B94B">
      <w:pPr>
        <w:keepNext w:val="0"/>
        <w:keepLines w:val="0"/>
        <w:pageBreakBefore w:val="0"/>
        <w:tabs>
          <w:tab w:val="left" w:pos="180"/>
        </w:tabs>
        <w:kinsoku/>
        <w:wordWrap/>
        <w:overflowPunct/>
        <w:topLinePunct w:val="0"/>
        <w:autoSpaceDE/>
        <w:autoSpaceDN/>
        <w:bidi w:val="0"/>
        <w:adjustRightInd w:val="0"/>
        <w:snapToGrid w:val="0"/>
        <w:spacing w:line="360" w:lineRule="auto"/>
        <w:ind w:firstLine="480" w:firstLineChars="200"/>
        <w:jc w:val="both"/>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配送地点：采购人指定地点</w:t>
      </w:r>
      <w:r>
        <w:rPr>
          <w:rFonts w:hint="eastAsia" w:ascii="仿宋" w:hAnsi="仿宋" w:eastAsia="仿宋" w:cs="仿宋"/>
          <w:snapToGrid w:val="0"/>
          <w:color w:val="auto"/>
          <w:kern w:val="0"/>
          <w:sz w:val="24"/>
          <w:szCs w:val="24"/>
          <w:highlight w:val="none"/>
        </w:rPr>
        <w:t>。</w:t>
      </w:r>
    </w:p>
    <w:p w14:paraId="370B59B9">
      <w:pPr>
        <w:keepNext w:val="0"/>
        <w:keepLines w:val="0"/>
        <w:pageBreakBefore w:val="0"/>
        <w:tabs>
          <w:tab w:val="left" w:pos="180"/>
        </w:tabs>
        <w:kinsoku/>
        <w:wordWrap/>
        <w:overflowPunct/>
        <w:topLinePunct w:val="0"/>
        <w:autoSpaceDE/>
        <w:autoSpaceDN/>
        <w:bidi w:val="0"/>
        <w:adjustRightInd w:val="0"/>
        <w:snapToGrid w:val="0"/>
        <w:spacing w:line="360" w:lineRule="auto"/>
        <w:ind w:firstLine="562" w:firstLineChars="200"/>
        <w:jc w:val="both"/>
        <w:rPr>
          <w:rFonts w:hint="eastAsia" w:ascii="仿宋" w:hAnsi="仿宋" w:eastAsia="仿宋" w:cs="仿宋"/>
          <w:b/>
          <w:bCs/>
          <w:snapToGrid w:val="0"/>
          <w:color w:val="auto"/>
          <w:kern w:val="0"/>
          <w:sz w:val="28"/>
          <w:szCs w:val="28"/>
          <w:highlight w:val="none"/>
          <w:lang w:val="en-US" w:eastAsia="zh-CN"/>
        </w:rPr>
      </w:pPr>
      <w:r>
        <w:rPr>
          <w:rFonts w:hint="eastAsia" w:ascii="仿宋" w:hAnsi="仿宋" w:eastAsia="仿宋" w:cs="仿宋"/>
          <w:b/>
          <w:bCs/>
          <w:snapToGrid w:val="0"/>
          <w:color w:val="auto"/>
          <w:kern w:val="0"/>
          <w:sz w:val="28"/>
          <w:szCs w:val="28"/>
          <w:highlight w:val="none"/>
          <w:lang w:val="en-US" w:eastAsia="zh-CN"/>
        </w:rPr>
        <w:t>五、食谱要求</w:t>
      </w:r>
    </w:p>
    <w:p w14:paraId="2C8655F5">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98" w:leftChars="0" w:firstLine="242" w:firstLineChars="100"/>
        <w:jc w:val="both"/>
        <w:textAlignment w:val="baseline"/>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val="0"/>
          <w:bCs w:val="0"/>
          <w:color w:val="auto"/>
          <w:spacing w:val="1"/>
          <w:kern w:val="2"/>
          <w:sz w:val="24"/>
          <w:szCs w:val="24"/>
          <w:highlight w:val="none"/>
          <w:lang w:val="en-US" w:eastAsia="zh-CN" w:bidi="zh-CN"/>
        </w:rPr>
        <w:t>①</w:t>
      </w:r>
      <w:r>
        <w:rPr>
          <w:rFonts w:hint="eastAsia" w:ascii="仿宋" w:hAnsi="仿宋" w:eastAsia="仿宋" w:cs="仿宋"/>
          <w:snapToGrid w:val="0"/>
          <w:color w:val="auto"/>
          <w:kern w:val="0"/>
          <w:sz w:val="24"/>
          <w:szCs w:val="24"/>
          <w:highlight w:val="none"/>
          <w:lang w:val="en-US" w:eastAsia="zh-CN" w:bidi="ar-SA"/>
        </w:rPr>
        <w:t>食谱要求（投标人自行填报）：</w:t>
      </w:r>
      <w:r>
        <w:rPr>
          <w:rFonts w:hint="eastAsia" w:ascii="仿宋" w:hAnsi="仿宋" w:eastAsia="仿宋" w:cs="仿宋"/>
          <w:b w:val="0"/>
          <w:bCs w:val="0"/>
          <w:color w:val="auto"/>
          <w:spacing w:val="1"/>
          <w:sz w:val="24"/>
          <w:szCs w:val="24"/>
          <w:highlight w:val="none"/>
          <w:lang w:val="en-US" w:eastAsia="zh-CN"/>
        </w:rPr>
        <w:t>投标人须参照以下食物种类及数量标准在投标文件中提供不低于5元 标准的营养餐带量食谱。</w:t>
      </w:r>
    </w:p>
    <w:p w14:paraId="071365B6">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学生营养餐每人每餐食物种类及数量估算表（单位：g）</w:t>
      </w:r>
    </w:p>
    <w:tbl>
      <w:tblPr>
        <w:tblStyle w:val="12"/>
        <w:tblpPr w:leftFromText="180" w:rightFromText="180" w:vertAnchor="text" w:horzAnchor="page" w:tblpX="1456" w:tblpY="327"/>
        <w:tblOverlap w:val="never"/>
        <w:tblW w:w="498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91"/>
        <w:gridCol w:w="2118"/>
        <w:gridCol w:w="2176"/>
        <w:gridCol w:w="2794"/>
      </w:tblGrid>
      <w:tr w14:paraId="22411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trPr>
        <w:tc>
          <w:tcPr>
            <w:tcW w:w="1998" w:type="pct"/>
            <w:gridSpan w:val="2"/>
            <w:noWrap w:val="0"/>
            <w:vAlign w:val="center"/>
          </w:tcPr>
          <w:p w14:paraId="2F919D2F">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b w:val="0"/>
                <w:bCs w:val="0"/>
                <w:snapToGrid w:val="0"/>
                <w:color w:val="auto"/>
                <w:spacing w:val="5"/>
                <w:kern w:val="0"/>
                <w:sz w:val="21"/>
                <w:szCs w:val="21"/>
                <w:highlight w:val="none"/>
                <w:lang w:val="en-US" w:eastAsia="en-US" w:bidi="ar-SA"/>
              </w:rPr>
            </w:pPr>
            <w:r>
              <w:rPr>
                <w:rFonts w:hint="eastAsia" w:ascii="仿宋" w:hAnsi="仿宋" w:eastAsia="仿宋" w:cs="仿宋"/>
                <w:b w:val="0"/>
                <w:bCs w:val="0"/>
                <w:snapToGrid w:val="0"/>
                <w:color w:val="auto"/>
                <w:spacing w:val="5"/>
                <w:kern w:val="0"/>
                <w:sz w:val="21"/>
                <w:szCs w:val="21"/>
                <w:highlight w:val="none"/>
                <w:lang w:val="en-US" w:eastAsia="en-US" w:bidi="ar-SA"/>
              </w:rPr>
              <w:t>食物种类</w:t>
            </w:r>
          </w:p>
        </w:tc>
        <w:tc>
          <w:tcPr>
            <w:tcW w:w="1314" w:type="pct"/>
            <w:noWrap w:val="0"/>
            <w:vAlign w:val="center"/>
          </w:tcPr>
          <w:p w14:paraId="3A8AEC60">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小学生</w:t>
            </w:r>
          </w:p>
          <w:p w14:paraId="406A3AFA">
            <w:pPr>
              <w:jc w:val="center"/>
              <w:rPr>
                <w:rFonts w:hint="eastAsia" w:ascii="仿宋" w:hAnsi="仿宋" w:eastAsia="仿宋" w:cs="仿宋"/>
                <w:b w:val="0"/>
                <w:bCs w:val="0"/>
                <w:snapToGrid w:val="0"/>
                <w:color w:val="auto"/>
                <w:spacing w:val="5"/>
                <w:kern w:val="0"/>
                <w:sz w:val="21"/>
                <w:szCs w:val="21"/>
                <w:highlight w:val="none"/>
                <w:lang w:val="en-US" w:eastAsia="zh-CN" w:bidi="ar-SA"/>
              </w:rPr>
            </w:pPr>
            <w:r>
              <w:rPr>
                <w:rFonts w:hint="eastAsia" w:ascii="仿宋" w:hAnsi="仿宋" w:eastAsia="仿宋" w:cs="仿宋"/>
                <w:sz w:val="21"/>
                <w:szCs w:val="21"/>
                <w:highlight w:val="none"/>
                <w:lang w:val="en-US" w:eastAsia="zh-CN"/>
              </w:rPr>
              <w:t>数量标准</w:t>
            </w:r>
          </w:p>
        </w:tc>
        <w:tc>
          <w:tcPr>
            <w:tcW w:w="1687" w:type="pct"/>
            <w:noWrap w:val="0"/>
            <w:vAlign w:val="center"/>
          </w:tcPr>
          <w:p w14:paraId="40405755">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中学生</w:t>
            </w:r>
          </w:p>
          <w:p w14:paraId="066AB7EE">
            <w:pPr>
              <w:jc w:val="center"/>
              <w:rPr>
                <w:rFonts w:hint="eastAsia" w:ascii="仿宋" w:hAnsi="仿宋" w:eastAsia="仿宋" w:cs="仿宋"/>
                <w:b w:val="0"/>
                <w:bCs w:val="0"/>
                <w:snapToGrid w:val="0"/>
                <w:color w:val="auto"/>
                <w:spacing w:val="5"/>
                <w:kern w:val="0"/>
                <w:sz w:val="21"/>
                <w:szCs w:val="21"/>
                <w:highlight w:val="none"/>
                <w:lang w:val="en-US" w:eastAsia="zh-CN" w:bidi="ar-SA"/>
              </w:rPr>
            </w:pPr>
            <w:r>
              <w:rPr>
                <w:rFonts w:hint="eastAsia" w:ascii="仿宋" w:hAnsi="仿宋" w:eastAsia="仿宋" w:cs="仿宋"/>
                <w:sz w:val="21"/>
                <w:szCs w:val="21"/>
                <w:highlight w:val="none"/>
                <w:lang w:val="en-US" w:eastAsia="zh-CN"/>
              </w:rPr>
              <w:t>数量标准</w:t>
            </w:r>
          </w:p>
        </w:tc>
      </w:tr>
      <w:tr w14:paraId="3E4FA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noWrap w:val="0"/>
            <w:vAlign w:val="center"/>
          </w:tcPr>
          <w:p w14:paraId="3B904C7C">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谷薯类</w:t>
            </w:r>
          </w:p>
        </w:tc>
        <w:tc>
          <w:tcPr>
            <w:tcW w:w="1279" w:type="pct"/>
            <w:noWrap w:val="0"/>
            <w:vAlign w:val="center"/>
          </w:tcPr>
          <w:p w14:paraId="5A5DDA2B">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谷薯类</w:t>
            </w:r>
          </w:p>
        </w:tc>
        <w:tc>
          <w:tcPr>
            <w:tcW w:w="1314" w:type="pct"/>
            <w:noWrap w:val="0"/>
            <w:vAlign w:val="center"/>
          </w:tcPr>
          <w:p w14:paraId="28B09950">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5"/>
                <w:position w:val="1"/>
                <w:sz w:val="21"/>
                <w:szCs w:val="21"/>
                <w:highlight w:val="none"/>
                <w:lang w:val="en-US" w:eastAsia="zh-CN"/>
              </w:rPr>
              <w:t>130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5"/>
                <w:position w:val="1"/>
                <w:sz w:val="21"/>
                <w:szCs w:val="21"/>
                <w:highlight w:val="none"/>
                <w:lang w:val="en-US" w:eastAsia="zh-CN"/>
              </w:rPr>
              <w:t>160</w:t>
            </w:r>
          </w:p>
        </w:tc>
        <w:tc>
          <w:tcPr>
            <w:tcW w:w="1687" w:type="pct"/>
            <w:noWrap w:val="0"/>
            <w:vAlign w:val="center"/>
          </w:tcPr>
          <w:p w14:paraId="39A2319B">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5"/>
                <w:position w:val="1"/>
                <w:sz w:val="21"/>
                <w:szCs w:val="21"/>
                <w:highlight w:val="none"/>
                <w:lang w:val="en-US" w:eastAsia="zh-CN"/>
              </w:rPr>
            </w:pPr>
            <w:r>
              <w:rPr>
                <w:rFonts w:hint="eastAsia" w:ascii="仿宋" w:hAnsi="仿宋" w:eastAsia="仿宋" w:cs="仿宋"/>
                <w:color w:val="auto"/>
                <w:spacing w:val="5"/>
                <w:position w:val="1"/>
                <w:sz w:val="21"/>
                <w:szCs w:val="21"/>
                <w:highlight w:val="none"/>
                <w:lang w:val="en-US" w:eastAsia="zh-CN"/>
              </w:rPr>
              <w:t>140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5"/>
                <w:position w:val="1"/>
                <w:sz w:val="21"/>
                <w:szCs w:val="21"/>
                <w:highlight w:val="none"/>
                <w:lang w:val="en-US" w:eastAsia="zh-CN"/>
              </w:rPr>
              <w:t>160</w:t>
            </w:r>
          </w:p>
        </w:tc>
      </w:tr>
      <w:tr w14:paraId="4E912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restart"/>
            <w:tcBorders>
              <w:bottom w:val="nil"/>
            </w:tcBorders>
            <w:noWrap w:val="0"/>
            <w:vAlign w:val="center"/>
          </w:tcPr>
          <w:p w14:paraId="1ED5C5EE">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蔬菜水果类</w:t>
            </w:r>
          </w:p>
        </w:tc>
        <w:tc>
          <w:tcPr>
            <w:tcW w:w="1279" w:type="pct"/>
            <w:noWrap w:val="0"/>
            <w:vAlign w:val="center"/>
          </w:tcPr>
          <w:p w14:paraId="24BCB7AD">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蔬菜类</w:t>
            </w:r>
          </w:p>
        </w:tc>
        <w:tc>
          <w:tcPr>
            <w:tcW w:w="1314" w:type="pct"/>
            <w:noWrap w:val="0"/>
            <w:vAlign w:val="center"/>
          </w:tcPr>
          <w:p w14:paraId="61D6E53E">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100</w:t>
            </w:r>
            <w:r>
              <w:rPr>
                <w:rFonts w:hint="eastAsia" w:ascii="仿宋" w:hAnsi="仿宋" w:eastAsia="仿宋" w:cs="仿宋"/>
                <w:color w:val="auto"/>
                <w:spacing w:val="4"/>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150</w:t>
            </w:r>
          </w:p>
        </w:tc>
        <w:tc>
          <w:tcPr>
            <w:tcW w:w="1687" w:type="pct"/>
            <w:noWrap w:val="0"/>
            <w:vAlign w:val="center"/>
          </w:tcPr>
          <w:p w14:paraId="4083C9E8">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120</w:t>
            </w:r>
            <w:r>
              <w:rPr>
                <w:rFonts w:hint="eastAsia" w:ascii="仿宋" w:hAnsi="仿宋" w:eastAsia="仿宋" w:cs="仿宋"/>
                <w:color w:val="auto"/>
                <w:spacing w:val="4"/>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150</w:t>
            </w:r>
          </w:p>
        </w:tc>
      </w:tr>
      <w:tr w14:paraId="3253F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continue"/>
            <w:tcBorders>
              <w:top w:val="nil"/>
            </w:tcBorders>
            <w:noWrap w:val="0"/>
            <w:vAlign w:val="center"/>
          </w:tcPr>
          <w:p w14:paraId="7344E2BD">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tc>
        <w:tc>
          <w:tcPr>
            <w:tcW w:w="1279" w:type="pct"/>
            <w:noWrap w:val="0"/>
            <w:vAlign w:val="center"/>
          </w:tcPr>
          <w:p w14:paraId="66E6E3E6">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水果类</w:t>
            </w:r>
          </w:p>
        </w:tc>
        <w:tc>
          <w:tcPr>
            <w:tcW w:w="1314" w:type="pct"/>
            <w:noWrap w:val="0"/>
            <w:vAlign w:val="center"/>
          </w:tcPr>
          <w:p w14:paraId="761F605E">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2"/>
                <w:position w:val="1"/>
                <w:sz w:val="21"/>
                <w:szCs w:val="21"/>
                <w:highlight w:val="none"/>
                <w:lang w:val="en-US" w:eastAsia="zh-CN"/>
              </w:rPr>
              <w:t>100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5"/>
                <w:position w:val="1"/>
                <w:sz w:val="21"/>
                <w:szCs w:val="21"/>
                <w:highlight w:val="none"/>
                <w:lang w:val="en-US" w:eastAsia="zh-CN"/>
              </w:rPr>
              <w:t>150</w:t>
            </w:r>
          </w:p>
        </w:tc>
        <w:tc>
          <w:tcPr>
            <w:tcW w:w="1687" w:type="pct"/>
            <w:noWrap w:val="0"/>
            <w:vAlign w:val="center"/>
          </w:tcPr>
          <w:p w14:paraId="09FF82DA">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2"/>
                <w:position w:val="1"/>
                <w:sz w:val="21"/>
                <w:szCs w:val="21"/>
                <w:highlight w:val="none"/>
                <w:lang w:val="en-US" w:eastAsia="zh-CN"/>
              </w:rPr>
              <w:t>100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5"/>
                <w:position w:val="1"/>
                <w:sz w:val="21"/>
                <w:szCs w:val="21"/>
                <w:highlight w:val="none"/>
                <w:lang w:val="en-US" w:eastAsia="zh-CN"/>
              </w:rPr>
              <w:t>150</w:t>
            </w:r>
          </w:p>
        </w:tc>
      </w:tr>
      <w:tr w14:paraId="05CC5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restart"/>
            <w:tcBorders>
              <w:bottom w:val="nil"/>
            </w:tcBorders>
            <w:noWrap w:val="0"/>
            <w:vAlign w:val="center"/>
          </w:tcPr>
          <w:p w14:paraId="175A0DDC">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肉蛋奶类</w:t>
            </w:r>
          </w:p>
        </w:tc>
        <w:tc>
          <w:tcPr>
            <w:tcW w:w="1279" w:type="pct"/>
            <w:noWrap w:val="0"/>
            <w:vAlign w:val="center"/>
          </w:tcPr>
          <w:p w14:paraId="22C40DF4">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畜禽肉类</w:t>
            </w:r>
          </w:p>
        </w:tc>
        <w:tc>
          <w:tcPr>
            <w:tcW w:w="1314" w:type="pct"/>
            <w:noWrap w:val="0"/>
            <w:vAlign w:val="center"/>
          </w:tcPr>
          <w:p w14:paraId="051A6589">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20</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30</w:t>
            </w:r>
          </w:p>
        </w:tc>
        <w:tc>
          <w:tcPr>
            <w:tcW w:w="1687" w:type="pct"/>
            <w:noWrap w:val="0"/>
            <w:vAlign w:val="center"/>
          </w:tcPr>
          <w:p w14:paraId="4BB3D6B2">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25</w:t>
            </w:r>
            <w:r>
              <w:rPr>
                <w:rFonts w:hint="eastAsia" w:ascii="仿宋" w:hAnsi="仿宋" w:eastAsia="仿宋" w:cs="仿宋"/>
                <w:color w:val="auto"/>
                <w:spacing w:val="5"/>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30</w:t>
            </w:r>
          </w:p>
        </w:tc>
      </w:tr>
      <w:tr w14:paraId="470F8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continue"/>
            <w:tcBorders>
              <w:top w:val="nil"/>
              <w:bottom w:val="nil"/>
            </w:tcBorders>
            <w:noWrap w:val="0"/>
            <w:vAlign w:val="center"/>
          </w:tcPr>
          <w:p w14:paraId="6A5B996F">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tc>
        <w:tc>
          <w:tcPr>
            <w:tcW w:w="1279" w:type="pct"/>
            <w:noWrap w:val="0"/>
            <w:vAlign w:val="center"/>
          </w:tcPr>
          <w:p w14:paraId="57194F2E">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鱼虾类</w:t>
            </w:r>
          </w:p>
        </w:tc>
        <w:tc>
          <w:tcPr>
            <w:tcW w:w="1314" w:type="pct"/>
            <w:noWrap w:val="0"/>
            <w:vAlign w:val="center"/>
          </w:tcPr>
          <w:p w14:paraId="3248BC84">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10</w:t>
            </w:r>
            <w:r>
              <w:rPr>
                <w:rFonts w:hint="eastAsia" w:ascii="仿宋" w:hAnsi="仿宋" w:eastAsia="仿宋" w:cs="仿宋"/>
                <w:color w:val="auto"/>
                <w:spacing w:val="4"/>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20</w:t>
            </w:r>
          </w:p>
        </w:tc>
        <w:tc>
          <w:tcPr>
            <w:tcW w:w="1687" w:type="pct"/>
            <w:noWrap w:val="0"/>
            <w:vAlign w:val="center"/>
          </w:tcPr>
          <w:p w14:paraId="567F4A8C">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lang w:val="en-US" w:eastAsia="zh-CN"/>
              </w:rPr>
            </w:pPr>
            <w:r>
              <w:rPr>
                <w:rFonts w:hint="eastAsia" w:ascii="仿宋" w:hAnsi="仿宋" w:eastAsia="仿宋" w:cs="仿宋"/>
                <w:color w:val="auto"/>
                <w:spacing w:val="4"/>
                <w:position w:val="1"/>
                <w:sz w:val="21"/>
                <w:szCs w:val="21"/>
                <w:highlight w:val="none"/>
                <w:lang w:val="en-US" w:eastAsia="zh-CN"/>
              </w:rPr>
              <w:t>15</w:t>
            </w:r>
            <w:r>
              <w:rPr>
                <w:rFonts w:hint="eastAsia" w:ascii="仿宋" w:hAnsi="仿宋" w:eastAsia="仿宋" w:cs="仿宋"/>
                <w:color w:val="auto"/>
                <w:spacing w:val="4"/>
                <w:position w:val="1"/>
                <w:sz w:val="21"/>
                <w:szCs w:val="21"/>
                <w:highlight w:val="none"/>
              </w:rPr>
              <w:t>～</w:t>
            </w:r>
            <w:r>
              <w:rPr>
                <w:rFonts w:hint="eastAsia" w:ascii="仿宋" w:hAnsi="仿宋" w:eastAsia="仿宋" w:cs="仿宋"/>
                <w:color w:val="auto"/>
                <w:spacing w:val="4"/>
                <w:position w:val="1"/>
                <w:sz w:val="21"/>
                <w:szCs w:val="21"/>
                <w:highlight w:val="none"/>
                <w:lang w:val="en-US" w:eastAsia="zh-CN"/>
              </w:rPr>
              <w:t>20</w:t>
            </w:r>
          </w:p>
        </w:tc>
      </w:tr>
      <w:tr w14:paraId="5B2A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continue"/>
            <w:tcBorders>
              <w:top w:val="nil"/>
              <w:bottom w:val="nil"/>
            </w:tcBorders>
            <w:noWrap w:val="0"/>
            <w:vAlign w:val="center"/>
          </w:tcPr>
          <w:p w14:paraId="36AE067D">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tc>
        <w:tc>
          <w:tcPr>
            <w:tcW w:w="1279" w:type="pct"/>
            <w:noWrap w:val="0"/>
            <w:vAlign w:val="center"/>
          </w:tcPr>
          <w:p w14:paraId="1B377B3F">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蛋类</w:t>
            </w:r>
          </w:p>
        </w:tc>
        <w:tc>
          <w:tcPr>
            <w:tcW w:w="1314" w:type="pct"/>
            <w:noWrap w:val="0"/>
            <w:vAlign w:val="center"/>
          </w:tcPr>
          <w:p w14:paraId="53F5C436">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4"/>
                <w:position w:val="1"/>
                <w:sz w:val="21"/>
                <w:szCs w:val="21"/>
                <w:highlight w:val="none"/>
              </w:rPr>
              <w:t>30～</w:t>
            </w:r>
            <w:r>
              <w:rPr>
                <w:rFonts w:hint="eastAsia" w:ascii="仿宋" w:hAnsi="仿宋" w:eastAsia="仿宋" w:cs="仿宋"/>
                <w:color w:val="auto"/>
                <w:spacing w:val="4"/>
                <w:position w:val="1"/>
                <w:sz w:val="21"/>
                <w:szCs w:val="21"/>
                <w:highlight w:val="none"/>
                <w:lang w:val="en-US" w:eastAsia="zh-CN"/>
              </w:rPr>
              <w:t>50</w:t>
            </w:r>
          </w:p>
        </w:tc>
        <w:tc>
          <w:tcPr>
            <w:tcW w:w="1687" w:type="pct"/>
            <w:noWrap w:val="0"/>
            <w:vAlign w:val="center"/>
          </w:tcPr>
          <w:p w14:paraId="42A1DFFC">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5"/>
                <w:position w:val="1"/>
                <w:sz w:val="21"/>
                <w:szCs w:val="21"/>
                <w:highlight w:val="none"/>
              </w:rPr>
            </w:pPr>
            <w:r>
              <w:rPr>
                <w:rFonts w:hint="eastAsia" w:ascii="仿宋" w:hAnsi="仿宋" w:eastAsia="仿宋" w:cs="仿宋"/>
                <w:color w:val="auto"/>
                <w:spacing w:val="5"/>
                <w:position w:val="1"/>
                <w:sz w:val="21"/>
                <w:szCs w:val="21"/>
                <w:highlight w:val="none"/>
              </w:rPr>
              <w:t>40～50</w:t>
            </w:r>
          </w:p>
        </w:tc>
      </w:tr>
      <w:tr w14:paraId="7BD1E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vMerge w:val="continue"/>
            <w:tcBorders>
              <w:top w:val="nil"/>
            </w:tcBorders>
            <w:noWrap w:val="0"/>
            <w:vAlign w:val="center"/>
          </w:tcPr>
          <w:p w14:paraId="716DE4FF">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p>
        </w:tc>
        <w:tc>
          <w:tcPr>
            <w:tcW w:w="1279" w:type="pct"/>
            <w:noWrap w:val="0"/>
            <w:vAlign w:val="center"/>
          </w:tcPr>
          <w:p w14:paraId="25B12DD3">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奶及奶制品</w:t>
            </w:r>
          </w:p>
        </w:tc>
        <w:tc>
          <w:tcPr>
            <w:tcW w:w="1314" w:type="pct"/>
            <w:noWrap w:val="0"/>
            <w:vAlign w:val="center"/>
          </w:tcPr>
          <w:p w14:paraId="6728EF75">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2"/>
                <w:position w:val="1"/>
                <w:sz w:val="21"/>
                <w:szCs w:val="21"/>
                <w:highlight w:val="none"/>
              </w:rPr>
              <w:t>150～</w:t>
            </w:r>
            <w:r>
              <w:rPr>
                <w:rFonts w:hint="eastAsia" w:ascii="仿宋" w:hAnsi="仿宋" w:eastAsia="仿宋" w:cs="仿宋"/>
                <w:color w:val="auto"/>
                <w:spacing w:val="2"/>
                <w:position w:val="1"/>
                <w:sz w:val="21"/>
                <w:szCs w:val="21"/>
                <w:highlight w:val="none"/>
                <w:lang w:val="en-US" w:eastAsia="zh-CN"/>
              </w:rPr>
              <w:t>200</w:t>
            </w:r>
          </w:p>
        </w:tc>
        <w:tc>
          <w:tcPr>
            <w:tcW w:w="1687" w:type="pct"/>
            <w:noWrap w:val="0"/>
            <w:vAlign w:val="center"/>
          </w:tcPr>
          <w:p w14:paraId="0A20A523">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rPr>
            </w:pPr>
            <w:r>
              <w:rPr>
                <w:rFonts w:hint="eastAsia" w:ascii="仿宋" w:hAnsi="仿宋" w:eastAsia="仿宋" w:cs="仿宋"/>
                <w:color w:val="auto"/>
                <w:spacing w:val="2"/>
                <w:position w:val="1"/>
                <w:sz w:val="21"/>
                <w:szCs w:val="21"/>
                <w:highlight w:val="none"/>
              </w:rPr>
              <w:t>150～</w:t>
            </w:r>
            <w:r>
              <w:rPr>
                <w:rFonts w:hint="eastAsia" w:ascii="仿宋" w:hAnsi="仿宋" w:eastAsia="仿宋" w:cs="仿宋"/>
                <w:color w:val="auto"/>
                <w:spacing w:val="2"/>
                <w:position w:val="1"/>
                <w:sz w:val="21"/>
                <w:szCs w:val="21"/>
                <w:highlight w:val="none"/>
                <w:lang w:val="en-US" w:eastAsia="zh-CN"/>
              </w:rPr>
              <w:t>200</w:t>
            </w:r>
          </w:p>
        </w:tc>
      </w:tr>
      <w:tr w14:paraId="3F1E6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9" w:type="pct"/>
            <w:noWrap w:val="0"/>
            <w:vAlign w:val="center"/>
          </w:tcPr>
          <w:p w14:paraId="640D60C0">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豆类</w:t>
            </w:r>
          </w:p>
        </w:tc>
        <w:tc>
          <w:tcPr>
            <w:tcW w:w="1279" w:type="pct"/>
            <w:noWrap w:val="0"/>
            <w:vAlign w:val="center"/>
          </w:tcPr>
          <w:p w14:paraId="68953D0D">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豆类及其制品和坚果</w:t>
            </w:r>
          </w:p>
        </w:tc>
        <w:tc>
          <w:tcPr>
            <w:tcW w:w="1314" w:type="pct"/>
            <w:noWrap w:val="0"/>
            <w:vAlign w:val="center"/>
          </w:tcPr>
          <w:p w14:paraId="73713DB2">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5"/>
                <w:position w:val="1"/>
                <w:sz w:val="21"/>
                <w:szCs w:val="21"/>
                <w:highlight w:val="none"/>
              </w:rPr>
              <w:t>25～</w:t>
            </w:r>
            <w:r>
              <w:rPr>
                <w:rFonts w:hint="eastAsia" w:ascii="仿宋" w:hAnsi="仿宋" w:eastAsia="仿宋" w:cs="仿宋"/>
                <w:color w:val="auto"/>
                <w:spacing w:val="5"/>
                <w:position w:val="1"/>
                <w:sz w:val="21"/>
                <w:szCs w:val="21"/>
                <w:highlight w:val="none"/>
                <w:lang w:val="en-US" w:eastAsia="zh-CN"/>
              </w:rPr>
              <w:t>40</w:t>
            </w:r>
          </w:p>
        </w:tc>
        <w:tc>
          <w:tcPr>
            <w:tcW w:w="1687" w:type="pct"/>
            <w:noWrap w:val="0"/>
            <w:vAlign w:val="center"/>
          </w:tcPr>
          <w:p w14:paraId="7ED9B08C">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rPr>
            </w:pPr>
            <w:r>
              <w:rPr>
                <w:rFonts w:hint="eastAsia" w:ascii="仿宋" w:hAnsi="仿宋" w:eastAsia="仿宋" w:cs="仿宋"/>
                <w:color w:val="auto"/>
                <w:spacing w:val="4"/>
                <w:position w:val="1"/>
                <w:sz w:val="21"/>
                <w:szCs w:val="21"/>
                <w:highlight w:val="none"/>
              </w:rPr>
              <w:t>30～40</w:t>
            </w:r>
          </w:p>
        </w:tc>
      </w:tr>
      <w:tr w14:paraId="7CFD2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98" w:type="pct"/>
            <w:gridSpan w:val="2"/>
            <w:noWrap w:val="0"/>
            <w:vAlign w:val="center"/>
          </w:tcPr>
          <w:p w14:paraId="6E993D57">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植物油</w:t>
            </w:r>
          </w:p>
        </w:tc>
        <w:tc>
          <w:tcPr>
            <w:tcW w:w="1314" w:type="pct"/>
            <w:noWrap w:val="0"/>
            <w:vAlign w:val="center"/>
          </w:tcPr>
          <w:p w14:paraId="2EB707B0">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1"/>
                <w:position w:val="1"/>
                <w:sz w:val="21"/>
                <w:szCs w:val="21"/>
                <w:highlight w:val="none"/>
                <w:lang w:val="en-US" w:eastAsia="zh-CN"/>
              </w:rPr>
              <w:t>10</w:t>
            </w:r>
            <w:r>
              <w:rPr>
                <w:rFonts w:hint="eastAsia" w:ascii="仿宋" w:hAnsi="仿宋" w:eastAsia="仿宋" w:cs="仿宋"/>
                <w:color w:val="auto"/>
                <w:spacing w:val="1"/>
                <w:position w:val="1"/>
                <w:sz w:val="21"/>
                <w:szCs w:val="21"/>
                <w:highlight w:val="none"/>
              </w:rPr>
              <w:t>～</w:t>
            </w:r>
            <w:r>
              <w:rPr>
                <w:rFonts w:hint="eastAsia" w:ascii="仿宋" w:hAnsi="仿宋" w:eastAsia="仿宋" w:cs="仿宋"/>
                <w:color w:val="auto"/>
                <w:spacing w:val="1"/>
                <w:position w:val="1"/>
                <w:sz w:val="21"/>
                <w:szCs w:val="21"/>
                <w:highlight w:val="none"/>
                <w:lang w:val="en-US" w:eastAsia="zh-CN"/>
              </w:rPr>
              <w:t>15</w:t>
            </w:r>
          </w:p>
        </w:tc>
        <w:tc>
          <w:tcPr>
            <w:tcW w:w="1687" w:type="pct"/>
            <w:noWrap w:val="0"/>
            <w:vAlign w:val="center"/>
          </w:tcPr>
          <w:p w14:paraId="042E9778">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1"/>
                <w:position w:val="1"/>
                <w:sz w:val="21"/>
                <w:szCs w:val="21"/>
                <w:highlight w:val="none"/>
                <w:lang w:val="en-US" w:eastAsia="zh-CN"/>
              </w:rPr>
            </w:pPr>
            <w:r>
              <w:rPr>
                <w:rFonts w:hint="eastAsia" w:ascii="仿宋" w:hAnsi="仿宋" w:eastAsia="仿宋" w:cs="仿宋"/>
                <w:color w:val="auto"/>
                <w:spacing w:val="1"/>
                <w:position w:val="1"/>
                <w:sz w:val="21"/>
                <w:szCs w:val="21"/>
                <w:highlight w:val="none"/>
                <w:lang w:val="en-US" w:eastAsia="zh-CN"/>
              </w:rPr>
              <w:t>10</w:t>
            </w:r>
            <w:r>
              <w:rPr>
                <w:rFonts w:hint="eastAsia" w:ascii="仿宋" w:hAnsi="仿宋" w:eastAsia="仿宋" w:cs="仿宋"/>
                <w:color w:val="auto"/>
                <w:spacing w:val="1"/>
                <w:position w:val="1"/>
                <w:sz w:val="21"/>
                <w:szCs w:val="21"/>
                <w:highlight w:val="none"/>
              </w:rPr>
              <w:t>～</w:t>
            </w:r>
            <w:r>
              <w:rPr>
                <w:rFonts w:hint="eastAsia" w:ascii="仿宋" w:hAnsi="仿宋" w:eastAsia="仿宋" w:cs="仿宋"/>
                <w:color w:val="auto"/>
                <w:spacing w:val="1"/>
                <w:position w:val="1"/>
                <w:sz w:val="21"/>
                <w:szCs w:val="21"/>
                <w:highlight w:val="none"/>
                <w:lang w:val="en-US" w:eastAsia="zh-CN"/>
              </w:rPr>
              <w:t>15</w:t>
            </w:r>
          </w:p>
        </w:tc>
      </w:tr>
      <w:tr w14:paraId="74CBF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98" w:type="pct"/>
            <w:gridSpan w:val="2"/>
            <w:noWrap w:val="0"/>
            <w:vAlign w:val="center"/>
          </w:tcPr>
          <w:p w14:paraId="4F9DABE6">
            <w:pPr>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盐</w:t>
            </w:r>
          </w:p>
        </w:tc>
        <w:tc>
          <w:tcPr>
            <w:tcW w:w="1314" w:type="pct"/>
            <w:noWrap w:val="0"/>
            <w:vAlign w:val="center"/>
          </w:tcPr>
          <w:p w14:paraId="07ECC246">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2"/>
                <w:position w:val="1"/>
                <w:sz w:val="21"/>
                <w:szCs w:val="21"/>
                <w:highlight w:val="none"/>
                <w:lang w:val="en-US" w:eastAsia="zh-CN"/>
              </w:rPr>
            </w:pPr>
            <w:r>
              <w:rPr>
                <w:rFonts w:hint="eastAsia" w:ascii="仿宋" w:hAnsi="仿宋" w:eastAsia="仿宋" w:cs="仿宋"/>
                <w:color w:val="auto"/>
                <w:spacing w:val="5"/>
                <w:position w:val="1"/>
                <w:sz w:val="21"/>
                <w:szCs w:val="21"/>
                <w:highlight w:val="none"/>
              </w:rPr>
              <w:t>4～5</w:t>
            </w:r>
            <w:r>
              <w:rPr>
                <w:rFonts w:hint="eastAsia" w:ascii="仿宋" w:hAnsi="仿宋" w:eastAsia="仿宋" w:cs="仿宋"/>
                <w:color w:val="auto"/>
                <w:spacing w:val="5"/>
                <w:position w:val="1"/>
                <w:sz w:val="21"/>
                <w:szCs w:val="21"/>
                <w:highlight w:val="none"/>
                <w:lang w:val="en-US" w:eastAsia="zh-CN"/>
              </w:rPr>
              <w:t>.5</w:t>
            </w:r>
          </w:p>
        </w:tc>
        <w:tc>
          <w:tcPr>
            <w:tcW w:w="1687" w:type="pct"/>
            <w:noWrap w:val="0"/>
            <w:vAlign w:val="center"/>
          </w:tcPr>
          <w:p w14:paraId="39605A8C">
            <w:pPr>
              <w:pStyle w:val="11"/>
              <w:keepNext w:val="0"/>
              <w:keepLines w:val="0"/>
              <w:pageBreakBefore w:val="0"/>
              <w:widowControl w:val="0"/>
              <w:kinsoku/>
              <w:wordWrap/>
              <w:overflowPunct/>
              <w:topLinePunct w:val="0"/>
              <w:autoSpaceDE/>
              <w:autoSpaceDN/>
              <w:bidi w:val="0"/>
              <w:adjustRightInd/>
              <w:snapToGrid/>
              <w:spacing w:line="288" w:lineRule="auto"/>
              <w:jc w:val="center"/>
              <w:textAlignment w:val="baseline"/>
              <w:rPr>
                <w:rFonts w:hint="eastAsia" w:ascii="仿宋" w:hAnsi="仿宋" w:eastAsia="仿宋" w:cs="仿宋"/>
                <w:color w:val="auto"/>
                <w:spacing w:val="4"/>
                <w:position w:val="1"/>
                <w:sz w:val="21"/>
                <w:szCs w:val="21"/>
                <w:highlight w:val="none"/>
              </w:rPr>
            </w:pPr>
            <w:r>
              <w:rPr>
                <w:rFonts w:hint="eastAsia" w:ascii="仿宋" w:hAnsi="仿宋" w:eastAsia="仿宋" w:cs="仿宋"/>
                <w:color w:val="auto"/>
                <w:spacing w:val="4"/>
                <w:position w:val="1"/>
                <w:sz w:val="21"/>
                <w:szCs w:val="21"/>
                <w:highlight w:val="none"/>
              </w:rPr>
              <w:t>4.5～5.5</w:t>
            </w:r>
          </w:p>
        </w:tc>
      </w:tr>
    </w:tbl>
    <w:p w14:paraId="7AE9E76C">
      <w:pPr>
        <w:pStyle w:val="5"/>
        <w:keepNext w:val="0"/>
        <w:keepLines w:val="0"/>
        <w:pageBreakBefore w:val="0"/>
        <w:numPr>
          <w:ilvl w:val="0"/>
          <w:numId w:val="0"/>
        </w:numPr>
        <w:kinsoku/>
        <w:wordWrap/>
        <w:overflowPunct/>
        <w:topLinePunct w:val="0"/>
        <w:autoSpaceDE/>
        <w:autoSpaceDN/>
        <w:bidi w:val="0"/>
        <w:spacing w:line="360" w:lineRule="auto"/>
        <w:ind w:left="498" w:leftChars="0" w:firstLine="242" w:firstLineChars="100"/>
        <w:jc w:val="both"/>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val="0"/>
          <w:bCs w:val="0"/>
          <w:color w:val="auto"/>
          <w:spacing w:val="1"/>
          <w:kern w:val="2"/>
          <w:sz w:val="24"/>
          <w:szCs w:val="24"/>
          <w:highlight w:val="none"/>
          <w:lang w:val="en-US" w:eastAsia="zh-CN" w:bidi="zh-CN"/>
        </w:rPr>
        <w:t>②</w:t>
      </w:r>
      <w:r>
        <w:rPr>
          <w:rFonts w:hint="eastAsia" w:ascii="仿宋" w:hAnsi="仿宋" w:eastAsia="仿宋" w:cs="仿宋"/>
          <w:b w:val="0"/>
          <w:bCs w:val="0"/>
          <w:color w:val="auto"/>
          <w:spacing w:val="1"/>
          <w:sz w:val="24"/>
          <w:szCs w:val="24"/>
          <w:highlight w:val="none"/>
          <w:lang w:val="en-US" w:eastAsia="zh-CN"/>
        </w:rPr>
        <w:t>投标人须在投标文件中按照</w:t>
      </w:r>
      <w:r>
        <w:rPr>
          <w:rFonts w:hint="eastAsia" w:ascii="仿宋" w:hAnsi="仿宋" w:eastAsia="仿宋" w:cs="仿宋"/>
          <w:b w:val="0"/>
          <w:bCs w:val="0"/>
          <w:color w:val="auto"/>
          <w:sz w:val="24"/>
          <w:szCs w:val="24"/>
          <w:highlight w:val="none"/>
          <w:lang w:val="en-US" w:eastAsia="zh-CN"/>
        </w:rPr>
        <w:t>供餐模式及</w:t>
      </w:r>
      <w:r>
        <w:rPr>
          <w:rFonts w:hint="eastAsia" w:ascii="仿宋" w:hAnsi="仿宋" w:eastAsia="仿宋" w:cs="仿宋"/>
          <w:b w:val="0"/>
          <w:bCs w:val="0"/>
          <w:color w:val="auto"/>
          <w:spacing w:val="1"/>
          <w:sz w:val="24"/>
          <w:szCs w:val="24"/>
          <w:highlight w:val="none"/>
          <w:lang w:val="en-US" w:eastAsia="zh-CN"/>
        </w:rPr>
        <w:t>四季（春、夏、秋、冬）每季分别提供不少于4套营养餐带量食谱供采购人选择（实际数量与标准以项目实施中采购人要求为准）。</w:t>
      </w:r>
    </w:p>
    <w:p w14:paraId="00765DD4">
      <w:pPr>
        <w:pStyle w:val="5"/>
        <w:keepNext w:val="0"/>
        <w:keepLines w:val="0"/>
        <w:pageBreakBefore w:val="0"/>
        <w:numPr>
          <w:ilvl w:val="0"/>
          <w:numId w:val="0"/>
        </w:numPr>
        <w:kinsoku/>
        <w:wordWrap/>
        <w:overflowPunct/>
        <w:topLinePunct w:val="0"/>
        <w:autoSpaceDE/>
        <w:autoSpaceDN/>
        <w:bidi w:val="0"/>
        <w:adjustRightInd w:val="0"/>
        <w:snapToGrid w:val="0"/>
        <w:spacing w:line="360" w:lineRule="auto"/>
        <w:ind w:left="498" w:firstLine="242" w:firstLineChars="100"/>
        <w:jc w:val="both"/>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b w:val="0"/>
          <w:bCs w:val="0"/>
          <w:color w:val="auto"/>
          <w:spacing w:val="1"/>
          <w:kern w:val="2"/>
          <w:sz w:val="24"/>
          <w:szCs w:val="24"/>
          <w:highlight w:val="none"/>
          <w:lang w:val="en-US" w:eastAsia="zh-CN" w:bidi="zh-CN"/>
        </w:rPr>
        <w:t>③</w:t>
      </w:r>
      <w:r>
        <w:rPr>
          <w:rFonts w:hint="eastAsia" w:ascii="仿宋" w:hAnsi="仿宋" w:eastAsia="仿宋" w:cs="仿宋"/>
          <w:b w:val="0"/>
          <w:bCs w:val="0"/>
          <w:color w:val="auto"/>
          <w:spacing w:val="1"/>
          <w:sz w:val="24"/>
          <w:szCs w:val="24"/>
          <w:highlight w:val="none"/>
          <w:lang w:val="en-US" w:eastAsia="zh-CN"/>
        </w:rPr>
        <w:t>营养餐带量食谱需由从事营养行业的专业人员编制（提供相关人员证书）。</w:t>
      </w:r>
    </w:p>
    <w:p w14:paraId="1400C8EF">
      <w:pPr>
        <w:keepNext w:val="0"/>
        <w:keepLines w:val="0"/>
        <w:pageBreakBefore w:val="0"/>
        <w:tabs>
          <w:tab w:val="left" w:pos="180"/>
        </w:tabs>
        <w:kinsoku/>
        <w:wordWrap/>
        <w:overflowPunct/>
        <w:topLinePunct w:val="0"/>
        <w:autoSpaceDE/>
        <w:autoSpaceDN/>
        <w:bidi w:val="0"/>
        <w:adjustRightInd w:val="0"/>
        <w:snapToGrid w:val="0"/>
        <w:spacing w:line="360" w:lineRule="auto"/>
        <w:ind w:firstLine="562" w:firstLineChars="200"/>
        <w:jc w:val="both"/>
        <w:rPr>
          <w:rFonts w:hint="default" w:ascii="仿宋" w:hAnsi="仿宋" w:eastAsia="仿宋" w:cs="仿宋"/>
          <w:b/>
          <w:bCs/>
          <w:snapToGrid w:val="0"/>
          <w:color w:val="auto"/>
          <w:kern w:val="0"/>
          <w:sz w:val="28"/>
          <w:szCs w:val="28"/>
          <w:highlight w:val="none"/>
          <w:lang w:val="en-US" w:eastAsia="zh-CN"/>
        </w:rPr>
      </w:pPr>
      <w:r>
        <w:rPr>
          <w:rFonts w:hint="eastAsia" w:ascii="仿宋" w:hAnsi="仿宋" w:eastAsia="仿宋" w:cs="仿宋"/>
          <w:b/>
          <w:bCs/>
          <w:snapToGrid w:val="0"/>
          <w:color w:val="auto"/>
          <w:kern w:val="0"/>
          <w:sz w:val="28"/>
          <w:szCs w:val="28"/>
          <w:highlight w:val="none"/>
          <w:lang w:val="en-US" w:eastAsia="zh-CN"/>
        </w:rPr>
        <w:t>六、商务要求</w:t>
      </w:r>
    </w:p>
    <w:p w14:paraId="2B60CC9D">
      <w:pPr>
        <w:keepNext w:val="0"/>
        <w:keepLines w:val="0"/>
        <w:pageBreakBefore w:val="0"/>
        <w:tabs>
          <w:tab w:val="left" w:pos="180"/>
        </w:tabs>
        <w:kinsoku/>
        <w:wordWrap/>
        <w:overflowPunct/>
        <w:topLinePunct w:val="0"/>
        <w:autoSpaceDE/>
        <w:autoSpaceDN/>
        <w:bidi w:val="0"/>
        <w:adjustRightInd w:val="0"/>
        <w:snapToGrid w:val="0"/>
        <w:spacing w:line="360" w:lineRule="auto"/>
        <w:ind w:firstLine="480" w:firstLineChars="200"/>
        <w:jc w:val="both"/>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eastAsia="zh-CN"/>
        </w:rPr>
        <w:t>）服务</w:t>
      </w:r>
      <w:r>
        <w:rPr>
          <w:rFonts w:hint="eastAsia" w:ascii="仿宋" w:hAnsi="仿宋" w:eastAsia="仿宋" w:cs="仿宋"/>
          <w:snapToGrid w:val="0"/>
          <w:color w:val="auto"/>
          <w:kern w:val="0"/>
          <w:sz w:val="24"/>
          <w:szCs w:val="24"/>
          <w:highlight w:val="none"/>
        </w:rPr>
        <w:t>期：</w:t>
      </w:r>
      <w:r>
        <w:rPr>
          <w:rFonts w:hint="eastAsia" w:ascii="仿宋" w:hAnsi="仿宋" w:eastAsia="仿宋" w:cs="仿宋"/>
          <w:snapToGrid w:val="0"/>
          <w:color w:val="auto"/>
          <w:kern w:val="0"/>
          <w:sz w:val="24"/>
          <w:szCs w:val="24"/>
          <w:highlight w:val="none"/>
          <w:lang w:eastAsia="zh-CN"/>
        </w:rPr>
        <w:t>自合同签订之日起一年。暂定配送周期为200日历天（仅针对学生在校时间），具体以实际在校人数及配送天数据实结算。</w:t>
      </w:r>
    </w:p>
    <w:p w14:paraId="63B1559A">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合同价款：学校每月提前一周向供应商提交本月食材订购清单，乙方根据市场价给出清单产品报价，报价应包括食材名称、规格、品牌、单价、总价等内容，由甲方牵头联合学校及乙方在沣西新城区域内选择3个超市或市场进行询价，综合参考市场同等产品质量和价格后确认订单；</w:t>
      </w:r>
    </w:p>
    <w:p w14:paraId="1C4755F9">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当月供货结束后，由供应商核算各校食材数量及资金，将食材资金核算结果经各学校确认后双方签字（盖章）由供应商报工作部审核，审核无误后，供应商开票，营养改善计划资金下拨后，由工作部负责结算。</w:t>
      </w:r>
    </w:p>
    <w:p w14:paraId="3CDE746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4"/>
          <w:szCs w:val="24"/>
          <w:highlight w:val="none"/>
          <w:lang w:val="zh-CN" w:eastAsia="zh-CN"/>
        </w:rPr>
      </w:pP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lang w:val="zh-CN" w:eastAsia="zh-CN"/>
        </w:rPr>
        <w:t>付款方式：按照实际供应量，合同生效后，按月支付。</w:t>
      </w:r>
    </w:p>
    <w:p w14:paraId="48F1B85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4"/>
          <w:szCs w:val="24"/>
          <w:highlight w:val="none"/>
          <w:lang w:val="zh-CN" w:eastAsia="zh-CN"/>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lang w:val="zh-CN" w:eastAsia="zh-CN"/>
        </w:rPr>
        <w:t>结算方式：银行转账。</w:t>
      </w:r>
    </w:p>
    <w:p w14:paraId="6E9B012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i w:val="0"/>
          <w:iCs w:val="0"/>
          <w:color w:val="auto"/>
          <w:sz w:val="28"/>
          <w:szCs w:val="28"/>
          <w:highlight w:val="none"/>
          <w:lang w:val="zh-CN" w:eastAsia="zh-CN"/>
        </w:rPr>
      </w:pPr>
      <w:r>
        <w:rPr>
          <w:rFonts w:hint="eastAsia" w:ascii="仿宋" w:hAnsi="仿宋" w:eastAsia="仿宋" w:cs="仿宋"/>
          <w:i w:val="0"/>
          <w:iCs w:val="0"/>
          <w:color w:val="auto"/>
          <w:sz w:val="24"/>
          <w:szCs w:val="24"/>
          <w:highlight w:val="none"/>
          <w:lang w:val="en-US" w:eastAsia="zh-CN"/>
        </w:rPr>
        <w:t>（5）</w:t>
      </w:r>
      <w:r>
        <w:rPr>
          <w:rFonts w:hint="eastAsia" w:ascii="仿宋" w:hAnsi="仿宋" w:eastAsia="仿宋" w:cs="仿宋"/>
          <w:i w:val="0"/>
          <w:iCs w:val="0"/>
          <w:color w:val="auto"/>
          <w:sz w:val="24"/>
          <w:szCs w:val="24"/>
          <w:highlight w:val="none"/>
          <w:lang w:val="zh-CN" w:eastAsia="zh-CN"/>
        </w:rPr>
        <w:t>结算单位：由采购人负责结算，乙方开具等额发票交采购人。</w:t>
      </w:r>
    </w:p>
    <w:p w14:paraId="3EA1AD99">
      <w:pPr>
        <w:pStyle w:val="6"/>
        <w:keepNext w:val="0"/>
        <w:keepLines w:val="0"/>
        <w:pageBreakBefore w:val="0"/>
        <w:kinsoku/>
        <w:wordWrap/>
        <w:overflowPunct/>
        <w:topLinePunct w:val="0"/>
        <w:autoSpaceDE/>
        <w:autoSpaceDN/>
        <w:bidi w:val="0"/>
        <w:spacing w:line="360" w:lineRule="auto"/>
        <w:ind w:left="0" w:leftChars="0" w:firstLine="0" w:firstLineChars="0"/>
        <w:jc w:val="both"/>
        <w:rPr>
          <w:rFonts w:hint="eastAsia" w:ascii="仿宋" w:hAnsi="仿宋" w:eastAsia="仿宋" w:cs="仿宋"/>
          <w:sz w:val="28"/>
          <w:szCs w:val="28"/>
          <w:highlight w:val="none"/>
          <w:lang w:val="en-US" w:eastAsia="zh-CN"/>
        </w:rPr>
      </w:pPr>
    </w:p>
    <w:p w14:paraId="107BB9D2">
      <w:pPr>
        <w:keepNext w:val="0"/>
        <w:keepLines w:val="0"/>
        <w:pageBreakBefore w:val="0"/>
        <w:kinsoku/>
        <w:wordWrap/>
        <w:overflowPunct/>
        <w:topLinePunct w:val="0"/>
        <w:autoSpaceDE/>
        <w:autoSpaceDN/>
        <w:bidi w:val="0"/>
        <w:spacing w:line="360" w:lineRule="auto"/>
        <w:ind w:firstLine="560" w:firstLineChars="200"/>
        <w:jc w:val="both"/>
        <w:rPr>
          <w:rFonts w:hint="eastAsia" w:ascii="仿宋" w:hAnsi="仿宋" w:eastAsia="仿宋" w:cs="仿宋"/>
          <w:i w:val="0"/>
          <w:iCs w:val="0"/>
          <w:color w:val="auto"/>
          <w:kern w:val="2"/>
          <w:sz w:val="28"/>
          <w:szCs w:val="28"/>
          <w:highlight w:val="none"/>
          <w:lang w:val="en-US" w:eastAsia="zh-CN" w:bidi="zh-CN"/>
        </w:rPr>
      </w:pPr>
    </w:p>
    <w:p w14:paraId="6F36C521">
      <w:pPr>
        <w:rPr>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57066"/>
    <w:multiLevelType w:val="singleLevel"/>
    <w:tmpl w:val="1F657066"/>
    <w:lvl w:ilvl="0" w:tentative="0">
      <w:start w:val="1"/>
      <w:numFmt w:val="decimal"/>
      <w:suff w:val="nothing"/>
      <w:lvlText w:val="（%1）"/>
      <w:lvlJc w:val="left"/>
      <w:pPr>
        <w:ind w:left="-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844BE"/>
    <w:rsid w:val="5AF844BE"/>
    <w:rsid w:val="63A8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宋体" w:hAnsi="Times New Roman" w:eastAsia="宋体" w:cstheme="minorBidi"/>
      <w:sz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3">
    <w:name w:val="annotation text"/>
    <w:basedOn w:val="1"/>
    <w:qFormat/>
    <w:uiPriority w:val="0"/>
    <w:pPr>
      <w:jc w:val="left"/>
    </w:pPr>
  </w:style>
  <w:style w:type="paragraph" w:styleId="4">
    <w:name w:val="Body Text Indent"/>
    <w:basedOn w:val="1"/>
    <w:next w:val="1"/>
    <w:qFormat/>
    <w:uiPriority w:val="0"/>
    <w:pPr>
      <w:widowControl/>
      <w:ind w:firstLine="652" w:firstLineChars="233"/>
    </w:pPr>
    <w:rPr>
      <w:rFonts w:ascii="Times New Roman"/>
      <w:sz w:val="28"/>
    </w:rPr>
  </w:style>
  <w:style w:type="paragraph" w:styleId="5">
    <w:name w:val="Body Text First Indent"/>
    <w:basedOn w:val="2"/>
    <w:next w:val="6"/>
    <w:qFormat/>
    <w:uiPriority w:val="99"/>
    <w:pPr>
      <w:widowControl w:val="0"/>
      <w:spacing w:after="120" w:afterLines="0"/>
      <w:ind w:firstLine="420" w:firstLineChars="100"/>
      <w:jc w:val="both"/>
    </w:pPr>
    <w:rPr>
      <w:rFonts w:ascii="宋体" w:hAnsi="Times New Roman" w:eastAsia="宋体" w:cs="Times New Roman"/>
      <w:kern w:val="2"/>
      <w:sz w:val="21"/>
      <w:lang w:val="en-US" w:eastAsia="zh-CN" w:bidi="ar-SA"/>
    </w:rPr>
  </w:style>
  <w:style w:type="paragraph" w:styleId="6">
    <w:name w:val="Body Text First Indent 2"/>
    <w:basedOn w:val="4"/>
    <w:next w:val="1"/>
    <w:qFormat/>
    <w:uiPriority w:val="99"/>
    <w:pPr>
      <w:spacing w:after="120"/>
      <w:ind w:left="420" w:leftChars="200" w:right="0" w:rightChars="0" w:firstLine="420" w:firstLineChars="200"/>
    </w:pPr>
    <w:rPr>
      <w:rFonts w:ascii="Times New Roman" w:hAnsi="Times New Roman"/>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autoRedefine/>
    <w:qFormat/>
    <w:uiPriority w:val="0"/>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3312</Words>
  <Characters>3536</Characters>
  <Lines>0</Lines>
  <Paragraphs>0</Paragraphs>
  <TotalTime>0</TotalTime>
  <ScaleCrop>false</ScaleCrop>
  <LinksUpToDate>false</LinksUpToDate>
  <CharactersWithSpaces>3548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2025-01-13T08:42:00Z</dcterms:created>
  <dc:creator>清欢</dc:creator>
  <cp:lastModifiedBy>清欢</cp:lastModifiedBy>
  <dcterms:modified xsi:type="dcterms:W3CDTF">2025-01-13T08:53:04Z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8AD3E2DFC5B740699801FB9F051039E7_11</vt:lpwstr>
  </property>
  <property fmtid="{D5CDD505-2E9C-101B-9397-08002B2CF9AE}" pid="4" name="KSOTemplateDocerSaveRecord">
    <vt:lpwstr>eyJoZGlkIjoiZmVlZjYzZGZmNWQwNzA2MzU3ODYyMTUwNWY1MDBmNDkiLCJ1c2VySWQiOiI0MTIyNjcyMjEifQ==</vt:lpwstr>
  </property>
</Properties>
</file>