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703F3">
      <w:pP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采购编号：</w:t>
      </w:r>
      <w:r>
        <w:rPr>
          <w:rFonts w:hint="eastAsia" w:asciiTheme="majorEastAsia" w:hAnsiTheme="majorEastAsia" w:eastAsiaTheme="majorEastAsia" w:cstheme="majorEastAsia"/>
          <w:b/>
          <w:bCs/>
          <w:sz w:val="28"/>
          <w:szCs w:val="28"/>
          <w:lang w:eastAsia="zh-CN"/>
        </w:rPr>
        <w:t>HXCX2025001</w:t>
      </w:r>
      <w:bookmarkStart w:id="286" w:name="_GoBack"/>
      <w:bookmarkEnd w:id="286"/>
    </w:p>
    <w:p w14:paraId="592803D2">
      <w:pPr>
        <w:spacing w:line="360" w:lineRule="auto"/>
        <w:ind w:firstLine="643" w:firstLineChars="200"/>
        <w:rPr>
          <w:rFonts w:asciiTheme="majorEastAsia" w:hAnsiTheme="majorEastAsia" w:eastAsiaTheme="majorEastAsia" w:cstheme="majorEastAsia"/>
          <w:b/>
          <w:bCs/>
          <w:sz w:val="32"/>
          <w:szCs w:val="32"/>
        </w:rPr>
      </w:pPr>
    </w:p>
    <w:p w14:paraId="52351EA9">
      <w:pPr>
        <w:spacing w:line="360" w:lineRule="auto"/>
        <w:ind w:firstLine="723" w:firstLineChars="200"/>
        <w:rPr>
          <w:rFonts w:asciiTheme="majorEastAsia" w:hAnsiTheme="majorEastAsia" w:eastAsiaTheme="majorEastAsia" w:cstheme="majorEastAsia"/>
          <w:b/>
          <w:bCs/>
          <w:sz w:val="36"/>
          <w:szCs w:val="36"/>
        </w:rPr>
      </w:pPr>
    </w:p>
    <w:p w14:paraId="4640E9B0">
      <w:pPr>
        <w:spacing w:line="20" w:lineRule="atLeas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2"/>
          <w:szCs w:val="42"/>
          <w:lang w:eastAsia="zh-CN"/>
        </w:rPr>
        <w:t>子洲县马蹄沟镇人民政府关于马蹄沟镇吉利坪村数字乡村建设工程的采购项目</w:t>
      </w:r>
    </w:p>
    <w:p w14:paraId="5C0D5052">
      <w:pPr>
        <w:spacing w:line="360" w:lineRule="auto"/>
        <w:jc w:val="center"/>
        <w:outlineLvl w:val="0"/>
        <w:rPr>
          <w:rFonts w:asciiTheme="majorEastAsia" w:hAnsiTheme="majorEastAsia" w:eastAsiaTheme="majorEastAsia" w:cstheme="majorEastAsia"/>
          <w:b/>
          <w:bCs/>
          <w:sz w:val="44"/>
          <w:szCs w:val="44"/>
        </w:rPr>
      </w:pPr>
    </w:p>
    <w:p w14:paraId="76C84F8B">
      <w:pPr>
        <w:jc w:val="center"/>
        <w:rPr>
          <w:rFonts w:asciiTheme="majorEastAsia" w:hAnsiTheme="majorEastAsia" w:eastAsiaTheme="majorEastAsia" w:cstheme="majorEastAsia"/>
          <w:b/>
          <w:bCs/>
          <w:sz w:val="72"/>
          <w:szCs w:val="72"/>
        </w:rPr>
      </w:pPr>
    </w:p>
    <w:p w14:paraId="234BEFB1">
      <w:pPr>
        <w:pStyle w:val="24"/>
        <w:ind w:firstLine="540"/>
        <w:rPr>
          <w:rFonts w:asciiTheme="majorEastAsia" w:hAnsiTheme="majorEastAsia" w:eastAsiaTheme="majorEastAsia" w:cstheme="majorEastAsia"/>
        </w:rPr>
      </w:pPr>
    </w:p>
    <w:p w14:paraId="48D7B511">
      <w:pPr>
        <w:pStyle w:val="10"/>
        <w:rPr>
          <w:rFonts w:asciiTheme="majorEastAsia" w:hAnsiTheme="majorEastAsia" w:eastAsiaTheme="majorEastAsia" w:cstheme="majorEastAsia"/>
        </w:rPr>
      </w:pPr>
    </w:p>
    <w:p w14:paraId="5743DC62">
      <w:pPr>
        <w:jc w:val="center"/>
        <w:rPr>
          <w:rFonts w:asciiTheme="majorEastAsia" w:hAnsiTheme="majorEastAsia" w:eastAsiaTheme="majorEastAsia" w:cstheme="majorEastAsia"/>
          <w:b/>
          <w:bCs/>
          <w:sz w:val="84"/>
          <w:szCs w:val="84"/>
        </w:rPr>
      </w:pPr>
      <w:r>
        <w:rPr>
          <w:rFonts w:hint="eastAsia" w:asciiTheme="majorEastAsia" w:hAnsiTheme="majorEastAsia" w:eastAsiaTheme="majorEastAsia" w:cstheme="majorEastAsia"/>
          <w:b/>
          <w:bCs/>
          <w:sz w:val="84"/>
          <w:szCs w:val="84"/>
        </w:rPr>
        <w:t>招  标  文  件</w:t>
      </w:r>
    </w:p>
    <w:p w14:paraId="266C9B05">
      <w:pPr>
        <w:rPr>
          <w:rFonts w:asciiTheme="majorEastAsia" w:hAnsiTheme="majorEastAsia" w:eastAsiaTheme="majorEastAsia" w:cstheme="majorEastAsia"/>
        </w:rPr>
      </w:pPr>
    </w:p>
    <w:p w14:paraId="471D1CD5">
      <w:pPr>
        <w:rPr>
          <w:rFonts w:asciiTheme="majorEastAsia" w:hAnsiTheme="majorEastAsia" w:eastAsiaTheme="majorEastAsia" w:cstheme="majorEastAsia"/>
        </w:rPr>
      </w:pPr>
    </w:p>
    <w:p w14:paraId="6C7815BA">
      <w:pPr>
        <w:jc w:val="center"/>
        <w:rPr>
          <w:rFonts w:asciiTheme="majorEastAsia" w:hAnsiTheme="majorEastAsia" w:eastAsiaTheme="majorEastAsia" w:cstheme="majorEastAsia"/>
          <w:szCs w:val="21"/>
        </w:rPr>
      </w:pPr>
    </w:p>
    <w:p w14:paraId="3CC7D0D4">
      <w:pPr>
        <w:pStyle w:val="10"/>
        <w:rPr>
          <w:rFonts w:asciiTheme="majorEastAsia" w:hAnsiTheme="majorEastAsia" w:eastAsiaTheme="majorEastAsia" w:cstheme="majorEastAsia"/>
          <w:szCs w:val="21"/>
        </w:rPr>
      </w:pPr>
    </w:p>
    <w:p w14:paraId="2D3508A9">
      <w:pPr>
        <w:rPr>
          <w:rFonts w:asciiTheme="majorEastAsia" w:hAnsiTheme="majorEastAsia" w:eastAsiaTheme="majorEastAsia" w:cstheme="majorEastAsia"/>
        </w:rPr>
      </w:pPr>
    </w:p>
    <w:p w14:paraId="2AA59CE0">
      <w:pPr>
        <w:pStyle w:val="24"/>
        <w:ind w:firstLine="540"/>
        <w:rPr>
          <w:rFonts w:asciiTheme="majorEastAsia" w:hAnsiTheme="majorEastAsia" w:eastAsiaTheme="majorEastAsia" w:cstheme="majorEastAsia"/>
        </w:rPr>
      </w:pPr>
    </w:p>
    <w:p w14:paraId="3A204841">
      <w:pPr>
        <w:pStyle w:val="17"/>
        <w:rPr>
          <w:rFonts w:asciiTheme="majorEastAsia" w:hAnsiTheme="majorEastAsia" w:eastAsiaTheme="majorEastAsia" w:cstheme="majorEastAsia"/>
          <w:b/>
          <w:bCs/>
          <w:sz w:val="30"/>
          <w:szCs w:val="30"/>
        </w:rPr>
      </w:pPr>
    </w:p>
    <w:p w14:paraId="57E5787B">
      <w:pPr>
        <w:pStyle w:val="17"/>
        <w:rPr>
          <w:rFonts w:asciiTheme="majorEastAsia" w:hAnsiTheme="majorEastAsia" w:eastAsiaTheme="majorEastAsia" w:cstheme="majorEastAsia"/>
        </w:rPr>
      </w:pPr>
    </w:p>
    <w:p w14:paraId="30E0D663">
      <w:pPr>
        <w:spacing w:line="360" w:lineRule="auto"/>
        <w:ind w:firstLine="643" w:firstLineChars="20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采购单位：</w:t>
      </w:r>
      <w:r>
        <w:rPr>
          <w:rFonts w:hint="eastAsia" w:asciiTheme="majorEastAsia" w:hAnsiTheme="majorEastAsia" w:eastAsiaTheme="majorEastAsia" w:cstheme="majorEastAsia"/>
          <w:b/>
          <w:bCs/>
          <w:sz w:val="32"/>
          <w:szCs w:val="32"/>
          <w:lang w:eastAsia="zh-CN"/>
        </w:rPr>
        <w:t>子洲县马蹄沟镇人民政府</w:t>
      </w:r>
    </w:p>
    <w:p w14:paraId="157ADBEC">
      <w:pPr>
        <w:spacing w:line="360" w:lineRule="auto"/>
        <w:ind w:firstLine="643" w:firstLineChars="200"/>
        <w:rPr>
          <w:rFonts w:asciiTheme="majorEastAsia" w:hAnsiTheme="majorEastAsia" w:eastAsiaTheme="majorEastAsia" w:cstheme="majorEastAsia"/>
          <w:b/>
          <w:bCs/>
          <w:sz w:val="32"/>
          <w:szCs w:val="32"/>
        </w:rPr>
      </w:pPr>
    </w:p>
    <w:p w14:paraId="59D84FED">
      <w:pPr>
        <w:spacing w:line="360" w:lineRule="auto"/>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代理机构：陕西华旭晟信项目管理有限责任公司</w:t>
      </w:r>
    </w:p>
    <w:p w14:paraId="66966212">
      <w:pPr>
        <w:spacing w:line="360" w:lineRule="auto"/>
        <w:ind w:firstLine="643" w:firstLineChars="200"/>
        <w:rPr>
          <w:rFonts w:asciiTheme="majorEastAsia" w:hAnsiTheme="majorEastAsia" w:eastAsiaTheme="majorEastAsia" w:cstheme="majorEastAsia"/>
          <w:b/>
          <w:bCs/>
          <w:sz w:val="32"/>
          <w:szCs w:val="32"/>
        </w:rPr>
      </w:pPr>
    </w:p>
    <w:p w14:paraId="213E1A31">
      <w:pPr>
        <w:spacing w:line="360" w:lineRule="auto"/>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日    期：</w:t>
      </w:r>
      <w:r>
        <w:rPr>
          <w:rFonts w:hint="eastAsia" w:asciiTheme="majorEastAsia" w:hAnsiTheme="majorEastAsia" w:eastAsiaTheme="majorEastAsia" w:cstheme="majorEastAsia"/>
          <w:b/>
          <w:bCs/>
          <w:sz w:val="32"/>
          <w:szCs w:val="32"/>
          <w:lang w:eastAsia="zh-CN"/>
        </w:rPr>
        <w:t>二零二五年一月</w:t>
      </w:r>
      <w:r>
        <w:rPr>
          <w:rFonts w:hint="eastAsia" w:asciiTheme="majorEastAsia" w:hAnsiTheme="majorEastAsia" w:eastAsiaTheme="majorEastAsia" w:cstheme="majorEastAsia"/>
          <w:b/>
          <w:bCs/>
          <w:sz w:val="32"/>
          <w:szCs w:val="32"/>
        </w:rPr>
        <w:t xml:space="preserve">          </w:t>
      </w:r>
    </w:p>
    <w:p w14:paraId="0DD8870E">
      <w:pPr>
        <w:jc w:val="center"/>
        <w:rPr>
          <w:rFonts w:asciiTheme="majorEastAsia" w:hAnsiTheme="majorEastAsia" w:eastAsiaTheme="majorEastAsia" w:cstheme="majorEastAsia"/>
          <w:b/>
          <w:sz w:val="32"/>
          <w:szCs w:val="32"/>
        </w:rPr>
      </w:pPr>
    </w:p>
    <w:p w14:paraId="34798C39">
      <w:pPr>
        <w:snapToGrid w:val="0"/>
        <w:jc w:val="center"/>
        <w:rPr>
          <w:rFonts w:asciiTheme="majorEastAsia" w:hAnsiTheme="majorEastAsia" w:eastAsiaTheme="majorEastAsia" w:cstheme="majorEastAsia"/>
          <w:b/>
          <w:sz w:val="48"/>
          <w:szCs w:val="48"/>
        </w:rPr>
        <w:sectPr>
          <w:headerReference r:id="rId3" w:type="default"/>
          <w:pgSz w:w="11906" w:h="16838"/>
          <w:pgMar w:top="1440" w:right="1449" w:bottom="1440" w:left="1417" w:header="851" w:footer="992" w:gutter="0"/>
          <w:cols w:space="720" w:num="1"/>
          <w:docGrid w:type="lines" w:linePitch="312" w:charSpace="0"/>
        </w:sectPr>
      </w:pPr>
    </w:p>
    <w:p w14:paraId="300A55A6">
      <w:pPr>
        <w:snapToGrid w:val="0"/>
        <w:jc w:val="center"/>
        <w:rPr>
          <w:rFonts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目  录</w:t>
      </w:r>
    </w:p>
    <w:p w14:paraId="3622B9F9">
      <w:pPr>
        <w:snapToGrid w:val="0"/>
        <w:spacing w:line="360" w:lineRule="auto"/>
        <w:jc w:val="center"/>
        <w:rPr>
          <w:rFonts w:asciiTheme="majorEastAsia" w:hAnsiTheme="majorEastAsia" w:eastAsiaTheme="majorEastAsia" w:cstheme="majorEastAsia"/>
          <w:b/>
          <w:sz w:val="50"/>
        </w:rPr>
      </w:pPr>
    </w:p>
    <w:sdt>
      <w:sdtPr>
        <w:rPr>
          <w:rFonts w:hint="eastAsia" w:asciiTheme="majorEastAsia" w:hAnsiTheme="majorEastAsia" w:eastAsiaTheme="majorEastAsia" w:cstheme="majorEastAsia"/>
        </w:rPr>
        <w:id w:val="147473016"/>
        <w:docPartObj>
          <w:docPartGallery w:val="Table of Contents"/>
          <w:docPartUnique/>
        </w:docPartObj>
      </w:sdtPr>
      <w:sdtEndPr>
        <w:rPr>
          <w:rFonts w:hint="eastAsia" w:asciiTheme="majorEastAsia" w:hAnsiTheme="majorEastAsia" w:eastAsiaTheme="majorEastAsia" w:cstheme="majorEastAsia"/>
          <w:szCs w:val="32"/>
        </w:rPr>
      </w:sdtEndPr>
      <w:sdtContent>
        <w:p w14:paraId="4B4801DD">
          <w:pPr>
            <w:jc w:val="center"/>
            <w:rPr>
              <w:rFonts w:asciiTheme="majorEastAsia" w:hAnsiTheme="majorEastAsia" w:eastAsiaTheme="majorEastAsia" w:cstheme="majorEastAsia"/>
            </w:rPr>
          </w:pPr>
          <w:bookmarkStart w:id="0" w:name="_Toc498326351"/>
          <w:bookmarkStart w:id="1" w:name="_Toc167591478"/>
          <w:bookmarkStart w:id="2" w:name="_Toc175033578"/>
          <w:bookmarkStart w:id="3" w:name="_Toc245657539"/>
          <w:bookmarkStart w:id="4" w:name="_Toc245176651"/>
          <w:bookmarkStart w:id="5" w:name="_Toc167590761"/>
          <w:bookmarkStart w:id="6" w:name="_Toc175032423"/>
          <w:bookmarkStart w:id="7" w:name="_Toc167591029"/>
          <w:bookmarkStart w:id="8" w:name="_Toc245658520"/>
          <w:bookmarkStart w:id="9" w:name="_Toc169846859"/>
          <w:bookmarkStart w:id="10" w:name="_Toc167591130"/>
          <w:bookmarkStart w:id="11" w:name="_Toc167591316"/>
          <w:bookmarkStart w:id="12" w:name="_Toc167849346"/>
          <w:bookmarkStart w:id="13" w:name="_Toc244623577"/>
          <w:bookmarkStart w:id="14" w:name="_Toc207897902"/>
          <w:bookmarkStart w:id="15" w:name="_Toc169846762"/>
          <w:bookmarkStart w:id="16" w:name="_Toc170980440"/>
          <w:bookmarkStart w:id="17" w:name="_Toc208337150"/>
          <w:bookmarkStart w:id="18" w:name="_Toc169838518"/>
          <w:bookmarkStart w:id="19" w:name="_Toc154482465"/>
          <w:bookmarkStart w:id="20" w:name="_Toc173549964"/>
          <w:bookmarkStart w:id="21" w:name="_Toc170980538"/>
          <w:bookmarkStart w:id="22" w:name="_Toc201650492"/>
          <w:bookmarkStart w:id="23" w:name="_Toc260242592"/>
        </w:p>
        <w:p w14:paraId="2A6058F9">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b/>
              <w:sz w:val="24"/>
            </w:rPr>
            <w:fldChar w:fldCharType="begin"/>
          </w:r>
          <w:r>
            <w:rPr>
              <w:rFonts w:hint="eastAsia" w:asciiTheme="majorEastAsia" w:hAnsiTheme="majorEastAsia" w:eastAsiaTheme="majorEastAsia" w:cstheme="majorEastAsia"/>
              <w:b/>
              <w:sz w:val="24"/>
            </w:rPr>
            <w:instrText xml:space="preserve">TOC \o "1-1" \h \u </w:instrText>
          </w:r>
          <w:r>
            <w:rPr>
              <w:rFonts w:hint="eastAsia" w:asciiTheme="majorEastAsia" w:hAnsiTheme="majorEastAsia" w:eastAsiaTheme="majorEastAsia" w:cstheme="majorEastAsia"/>
              <w:b/>
              <w:sz w:val="24"/>
            </w:rPr>
            <w:fldChar w:fldCharType="separate"/>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_Toc31076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第一章  招标公告</w:t>
          </w:r>
          <w:r>
            <w:rPr>
              <w:sz w:val="24"/>
              <w:szCs w:val="24"/>
            </w:rPr>
            <w:tab/>
          </w:r>
          <w:r>
            <w:rPr>
              <w:sz w:val="24"/>
              <w:szCs w:val="24"/>
            </w:rPr>
            <w:fldChar w:fldCharType="begin"/>
          </w:r>
          <w:r>
            <w:rPr>
              <w:sz w:val="24"/>
              <w:szCs w:val="24"/>
            </w:rPr>
            <w:instrText xml:space="preserve"> PAGEREF _Toc31076 \h </w:instrText>
          </w:r>
          <w:r>
            <w:rPr>
              <w:sz w:val="24"/>
              <w:szCs w:val="24"/>
            </w:rPr>
            <w:fldChar w:fldCharType="separate"/>
          </w:r>
          <w:r>
            <w:rPr>
              <w:sz w:val="24"/>
              <w:szCs w:val="24"/>
            </w:rPr>
            <w:t>3</w:t>
          </w:r>
          <w:r>
            <w:rPr>
              <w:sz w:val="24"/>
              <w:szCs w:val="24"/>
            </w:rPr>
            <w:fldChar w:fldCharType="end"/>
          </w:r>
          <w:r>
            <w:rPr>
              <w:rFonts w:hint="eastAsia" w:asciiTheme="majorEastAsia" w:hAnsiTheme="majorEastAsia" w:eastAsiaTheme="majorEastAsia" w:cstheme="majorEastAsia"/>
              <w:sz w:val="24"/>
              <w:szCs w:val="24"/>
            </w:rPr>
            <w:fldChar w:fldCharType="end"/>
          </w:r>
        </w:p>
        <w:p w14:paraId="59833076">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_Toc32217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 xml:space="preserve">第二章 </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投标须知前附表</w:t>
          </w:r>
          <w:r>
            <w:rPr>
              <w:sz w:val="24"/>
              <w:szCs w:val="24"/>
            </w:rPr>
            <w:tab/>
          </w:r>
          <w:r>
            <w:rPr>
              <w:sz w:val="24"/>
              <w:szCs w:val="24"/>
            </w:rPr>
            <w:fldChar w:fldCharType="begin"/>
          </w:r>
          <w:r>
            <w:rPr>
              <w:sz w:val="24"/>
              <w:szCs w:val="24"/>
            </w:rPr>
            <w:instrText xml:space="preserve"> PAGEREF _Toc32217 \h </w:instrText>
          </w:r>
          <w:r>
            <w:rPr>
              <w:sz w:val="24"/>
              <w:szCs w:val="24"/>
            </w:rPr>
            <w:fldChar w:fldCharType="separate"/>
          </w:r>
          <w:r>
            <w:rPr>
              <w:sz w:val="24"/>
              <w:szCs w:val="24"/>
            </w:rPr>
            <w:t>3</w:t>
          </w:r>
          <w:r>
            <w:rPr>
              <w:sz w:val="24"/>
              <w:szCs w:val="24"/>
            </w:rPr>
            <w:fldChar w:fldCharType="end"/>
          </w:r>
          <w:r>
            <w:rPr>
              <w:rFonts w:hint="eastAsia" w:asciiTheme="majorEastAsia" w:hAnsiTheme="majorEastAsia" w:eastAsiaTheme="majorEastAsia" w:cstheme="majorEastAsia"/>
              <w:sz w:val="24"/>
              <w:szCs w:val="24"/>
            </w:rPr>
            <w:fldChar w:fldCharType="end"/>
          </w:r>
        </w:p>
        <w:p w14:paraId="40A41CFB">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_Toc27150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第三章  投标须知</w:t>
          </w:r>
          <w:r>
            <w:rPr>
              <w:sz w:val="24"/>
              <w:szCs w:val="24"/>
            </w:rPr>
            <w:tab/>
          </w:r>
          <w:r>
            <w:rPr>
              <w:sz w:val="24"/>
              <w:szCs w:val="24"/>
            </w:rPr>
            <w:fldChar w:fldCharType="begin"/>
          </w:r>
          <w:r>
            <w:rPr>
              <w:sz w:val="24"/>
              <w:szCs w:val="24"/>
            </w:rPr>
            <w:instrText xml:space="preserve"> PAGEREF _Toc27150 \h </w:instrText>
          </w:r>
          <w:r>
            <w:rPr>
              <w:sz w:val="24"/>
              <w:szCs w:val="24"/>
            </w:rPr>
            <w:fldChar w:fldCharType="separate"/>
          </w:r>
          <w:r>
            <w:rPr>
              <w:sz w:val="24"/>
              <w:szCs w:val="24"/>
            </w:rPr>
            <w:t>14</w:t>
          </w:r>
          <w:r>
            <w:rPr>
              <w:sz w:val="24"/>
              <w:szCs w:val="24"/>
            </w:rPr>
            <w:fldChar w:fldCharType="end"/>
          </w:r>
          <w:r>
            <w:rPr>
              <w:rFonts w:hint="eastAsia" w:asciiTheme="majorEastAsia" w:hAnsiTheme="majorEastAsia" w:eastAsiaTheme="majorEastAsia" w:cstheme="majorEastAsia"/>
              <w:sz w:val="24"/>
              <w:szCs w:val="24"/>
            </w:rPr>
            <w:fldChar w:fldCharType="end"/>
          </w:r>
        </w:p>
        <w:p w14:paraId="29BE0D17">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_Toc6243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 xml:space="preserve">第四章  </w:t>
          </w:r>
          <w:r>
            <w:rPr>
              <w:rFonts w:hint="eastAsia" w:asciiTheme="majorEastAsia" w:hAnsiTheme="majorEastAsia" w:eastAsiaTheme="majorEastAsia" w:cstheme="majorEastAsia"/>
              <w:bCs/>
              <w:kern w:val="2"/>
              <w:sz w:val="24"/>
              <w:szCs w:val="24"/>
            </w:rPr>
            <w:t>采购内容及技术要求</w:t>
          </w:r>
          <w:r>
            <w:rPr>
              <w:sz w:val="24"/>
              <w:szCs w:val="24"/>
            </w:rPr>
            <w:tab/>
          </w:r>
          <w:r>
            <w:rPr>
              <w:sz w:val="24"/>
              <w:szCs w:val="24"/>
            </w:rPr>
            <w:fldChar w:fldCharType="begin"/>
          </w:r>
          <w:r>
            <w:rPr>
              <w:sz w:val="24"/>
              <w:szCs w:val="24"/>
            </w:rPr>
            <w:instrText xml:space="preserve"> PAGEREF _Toc6243 \h </w:instrText>
          </w:r>
          <w:r>
            <w:rPr>
              <w:sz w:val="24"/>
              <w:szCs w:val="24"/>
            </w:rPr>
            <w:fldChar w:fldCharType="separate"/>
          </w:r>
          <w:r>
            <w:rPr>
              <w:sz w:val="24"/>
              <w:szCs w:val="24"/>
            </w:rPr>
            <w:t>31</w:t>
          </w:r>
          <w:r>
            <w:rPr>
              <w:sz w:val="24"/>
              <w:szCs w:val="24"/>
            </w:rPr>
            <w:fldChar w:fldCharType="end"/>
          </w:r>
          <w:r>
            <w:rPr>
              <w:rFonts w:hint="eastAsia" w:asciiTheme="majorEastAsia" w:hAnsiTheme="majorEastAsia" w:eastAsiaTheme="majorEastAsia" w:cstheme="majorEastAsia"/>
              <w:sz w:val="24"/>
              <w:szCs w:val="24"/>
            </w:rPr>
            <w:fldChar w:fldCharType="end"/>
          </w:r>
        </w:p>
        <w:p w14:paraId="741F57B3">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_Toc21881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 xml:space="preserve">第五章  </w:t>
          </w:r>
          <w:r>
            <w:rPr>
              <w:rFonts w:hint="eastAsia" w:asciiTheme="majorEastAsia" w:hAnsiTheme="majorEastAsia" w:eastAsiaTheme="majorEastAsia" w:cstheme="majorEastAsia"/>
              <w:bCs/>
              <w:sz w:val="24"/>
              <w:szCs w:val="24"/>
              <w:lang w:val="zh-CN"/>
            </w:rPr>
            <w:t>商务条款</w:t>
          </w:r>
          <w:r>
            <w:rPr>
              <w:sz w:val="24"/>
              <w:szCs w:val="24"/>
            </w:rPr>
            <w:tab/>
          </w:r>
          <w:r>
            <w:rPr>
              <w:sz w:val="24"/>
              <w:szCs w:val="24"/>
            </w:rPr>
            <w:fldChar w:fldCharType="begin"/>
          </w:r>
          <w:r>
            <w:rPr>
              <w:sz w:val="24"/>
              <w:szCs w:val="24"/>
            </w:rPr>
            <w:instrText xml:space="preserve"> PAGEREF _Toc21881 \h </w:instrText>
          </w:r>
          <w:r>
            <w:rPr>
              <w:sz w:val="24"/>
              <w:szCs w:val="24"/>
            </w:rPr>
            <w:fldChar w:fldCharType="separate"/>
          </w:r>
          <w:r>
            <w:rPr>
              <w:sz w:val="24"/>
              <w:szCs w:val="24"/>
            </w:rPr>
            <w:t>31</w:t>
          </w:r>
          <w:r>
            <w:rPr>
              <w:sz w:val="24"/>
              <w:szCs w:val="24"/>
            </w:rPr>
            <w:fldChar w:fldCharType="end"/>
          </w:r>
          <w:r>
            <w:rPr>
              <w:rFonts w:hint="eastAsia" w:asciiTheme="majorEastAsia" w:hAnsiTheme="majorEastAsia" w:eastAsiaTheme="majorEastAsia" w:cstheme="majorEastAsia"/>
              <w:sz w:val="24"/>
              <w:szCs w:val="24"/>
            </w:rPr>
            <w:fldChar w:fldCharType="end"/>
          </w:r>
        </w:p>
        <w:p w14:paraId="38E68887">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_Toc8998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第六章</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合同条款</w:t>
          </w:r>
          <w:r>
            <w:rPr>
              <w:sz w:val="24"/>
              <w:szCs w:val="24"/>
            </w:rPr>
            <w:tab/>
          </w:r>
          <w:r>
            <w:rPr>
              <w:sz w:val="24"/>
              <w:szCs w:val="24"/>
            </w:rPr>
            <w:fldChar w:fldCharType="begin"/>
          </w:r>
          <w:r>
            <w:rPr>
              <w:sz w:val="24"/>
              <w:szCs w:val="24"/>
            </w:rPr>
            <w:instrText xml:space="preserve"> PAGEREF _Toc8998 \h </w:instrText>
          </w:r>
          <w:r>
            <w:rPr>
              <w:sz w:val="24"/>
              <w:szCs w:val="24"/>
            </w:rPr>
            <w:fldChar w:fldCharType="separate"/>
          </w:r>
          <w:r>
            <w:rPr>
              <w:sz w:val="24"/>
              <w:szCs w:val="24"/>
            </w:rPr>
            <w:t>41</w:t>
          </w:r>
          <w:r>
            <w:rPr>
              <w:sz w:val="24"/>
              <w:szCs w:val="24"/>
            </w:rPr>
            <w:fldChar w:fldCharType="end"/>
          </w:r>
          <w:r>
            <w:rPr>
              <w:rFonts w:hint="eastAsia" w:asciiTheme="majorEastAsia" w:hAnsiTheme="majorEastAsia" w:eastAsiaTheme="majorEastAsia" w:cstheme="majorEastAsia"/>
              <w:sz w:val="24"/>
              <w:szCs w:val="24"/>
            </w:rPr>
            <w:fldChar w:fldCharType="end"/>
          </w:r>
        </w:p>
        <w:p w14:paraId="24AE90CA">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_Toc21443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lang w:val="zh-CN"/>
            </w:rPr>
            <w:t>第</w:t>
          </w:r>
          <w:r>
            <w:rPr>
              <w:rFonts w:hint="eastAsia" w:asciiTheme="majorEastAsia" w:hAnsiTheme="majorEastAsia" w:eastAsiaTheme="majorEastAsia" w:cstheme="majorEastAsia"/>
              <w:bCs/>
              <w:sz w:val="24"/>
              <w:szCs w:val="24"/>
            </w:rPr>
            <w:t>七</w:t>
          </w:r>
          <w:r>
            <w:rPr>
              <w:rFonts w:hint="eastAsia" w:asciiTheme="majorEastAsia" w:hAnsiTheme="majorEastAsia" w:eastAsiaTheme="majorEastAsia" w:cstheme="majorEastAsia"/>
              <w:bCs/>
              <w:sz w:val="24"/>
              <w:szCs w:val="24"/>
              <w:lang w:val="zh-CN"/>
            </w:rPr>
            <w:t>章</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lang w:val="zh-CN"/>
            </w:rPr>
            <w:t>投标文件基本格式</w:t>
          </w:r>
          <w:r>
            <w:rPr>
              <w:sz w:val="24"/>
              <w:szCs w:val="24"/>
            </w:rPr>
            <w:tab/>
          </w:r>
          <w:r>
            <w:rPr>
              <w:sz w:val="24"/>
              <w:szCs w:val="24"/>
            </w:rPr>
            <w:fldChar w:fldCharType="begin"/>
          </w:r>
          <w:r>
            <w:rPr>
              <w:sz w:val="24"/>
              <w:szCs w:val="24"/>
            </w:rPr>
            <w:instrText xml:space="preserve"> PAGEREF _Toc21443 \h </w:instrText>
          </w:r>
          <w:r>
            <w:rPr>
              <w:sz w:val="24"/>
              <w:szCs w:val="24"/>
            </w:rPr>
            <w:fldChar w:fldCharType="separate"/>
          </w:r>
          <w:r>
            <w:rPr>
              <w:sz w:val="24"/>
              <w:szCs w:val="24"/>
            </w:rPr>
            <w:t>41</w:t>
          </w:r>
          <w:r>
            <w:rPr>
              <w:sz w:val="24"/>
              <w:szCs w:val="24"/>
            </w:rPr>
            <w:fldChar w:fldCharType="end"/>
          </w:r>
          <w:r>
            <w:rPr>
              <w:rFonts w:hint="eastAsia" w:asciiTheme="majorEastAsia" w:hAnsiTheme="majorEastAsia" w:eastAsiaTheme="majorEastAsia" w:cstheme="majorEastAsia"/>
              <w:sz w:val="24"/>
              <w:szCs w:val="24"/>
            </w:rPr>
            <w:fldChar w:fldCharType="end"/>
          </w:r>
        </w:p>
        <w:p w14:paraId="2CB67672">
          <w:pPr>
            <w:pStyle w:val="20"/>
            <w:keepNext w:val="0"/>
            <w:keepLines w:val="0"/>
            <w:pageBreakBefore w:val="0"/>
            <w:widowControl w:val="0"/>
            <w:tabs>
              <w:tab w:val="right" w:leader="dot" w:pos="9040"/>
            </w:tabs>
            <w:kinsoku/>
            <w:wordWrap/>
            <w:overflowPunct/>
            <w:topLinePunct w:val="0"/>
            <w:autoSpaceDE/>
            <w:autoSpaceDN/>
            <w:bidi w:val="0"/>
            <w:adjustRightInd/>
            <w:snapToGrid/>
            <w:spacing w:line="36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_Toc622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第八章  榆林市公共资源交易平台全流程电子化政府采购项目内容</w:t>
          </w:r>
          <w:r>
            <w:rPr>
              <w:sz w:val="24"/>
              <w:szCs w:val="24"/>
            </w:rPr>
            <w:tab/>
          </w:r>
          <w:r>
            <w:rPr>
              <w:sz w:val="24"/>
              <w:szCs w:val="24"/>
            </w:rPr>
            <w:fldChar w:fldCharType="begin"/>
          </w:r>
          <w:r>
            <w:rPr>
              <w:sz w:val="24"/>
              <w:szCs w:val="24"/>
            </w:rPr>
            <w:instrText xml:space="preserve"> PAGEREF _Toc622 \h </w:instrText>
          </w:r>
          <w:r>
            <w:rPr>
              <w:sz w:val="24"/>
              <w:szCs w:val="24"/>
            </w:rPr>
            <w:fldChar w:fldCharType="separate"/>
          </w:r>
          <w:r>
            <w:rPr>
              <w:sz w:val="24"/>
              <w:szCs w:val="24"/>
            </w:rPr>
            <w:t>67</w:t>
          </w:r>
          <w:r>
            <w:rPr>
              <w:sz w:val="24"/>
              <w:szCs w:val="24"/>
            </w:rPr>
            <w:fldChar w:fldCharType="end"/>
          </w:r>
          <w:r>
            <w:rPr>
              <w:rFonts w:hint="eastAsia" w:asciiTheme="majorEastAsia" w:hAnsiTheme="majorEastAsia" w:eastAsiaTheme="majorEastAsia" w:cstheme="majorEastAsia"/>
              <w:sz w:val="24"/>
              <w:szCs w:val="24"/>
            </w:rPr>
            <w:fldChar w:fldCharType="end"/>
          </w:r>
        </w:p>
        <w:p w14:paraId="4504F4DF">
          <w:pPr>
            <w:pStyle w:val="20"/>
            <w:tabs>
              <w:tab w:val="right" w:leader="dot" w:pos="9040"/>
            </w:tabs>
          </w:pPr>
        </w:p>
        <w:p w14:paraId="6A5A3A1D">
          <w:pPr>
            <w:snapToGrid w:val="0"/>
            <w:spacing w:beforeLines="100" w:afterLines="50" w:line="360" w:lineRule="auto"/>
            <w:jc w:val="center"/>
            <w:rPr>
              <w:rFonts w:asciiTheme="majorEastAsia" w:hAnsiTheme="majorEastAsia" w:eastAsiaTheme="majorEastAsia" w:cstheme="majorEastAsia"/>
              <w:b/>
              <w:sz w:val="32"/>
              <w:szCs w:val="32"/>
            </w:rPr>
            <w:sectPr>
              <w:pgSz w:w="11906" w:h="16838"/>
              <w:pgMar w:top="1440" w:right="1449" w:bottom="1440" w:left="1417" w:header="851" w:footer="992" w:gutter="0"/>
              <w:cols w:space="720" w:num="1"/>
              <w:docGrid w:type="lines" w:linePitch="312" w:charSpace="0"/>
            </w:sectPr>
          </w:pPr>
          <w:r>
            <w:rPr>
              <w:rFonts w:hint="eastAsia" w:asciiTheme="majorEastAsia" w:hAnsiTheme="majorEastAsia" w:eastAsiaTheme="majorEastAsia" w:cstheme="majorEastAsia"/>
            </w:rPr>
            <w:fldChar w:fldCharType="end"/>
          </w:r>
        </w:p>
      </w:sdtContent>
    </w:sdt>
    <w:p w14:paraId="6720DB4B">
      <w:pPr>
        <w:pStyle w:val="9"/>
        <w:bidi w:val="0"/>
        <w:jc w:val="center"/>
        <w:rPr>
          <w:rFonts w:hint="eastAsia" w:asciiTheme="majorEastAsia" w:hAnsiTheme="majorEastAsia" w:eastAsiaTheme="majorEastAsia" w:cstheme="majorEastAsia"/>
          <w:b/>
          <w:bCs/>
          <w:kern w:val="2"/>
          <w:sz w:val="28"/>
          <w:szCs w:val="28"/>
          <w:lang w:val="en-US" w:eastAsia="zh-CN" w:bidi="ar-SA"/>
        </w:rPr>
      </w:pPr>
      <w:bookmarkStart w:id="24" w:name="_Toc31076"/>
      <w:r>
        <w:rPr>
          <w:rFonts w:hint="eastAsia" w:asciiTheme="majorEastAsia" w:hAnsiTheme="majorEastAsia" w:eastAsiaTheme="majorEastAsia" w:cstheme="majorEastAsia"/>
          <w:b/>
          <w:bCs/>
          <w:kern w:val="2"/>
          <w:sz w:val="28"/>
          <w:szCs w:val="28"/>
          <w:lang w:val="en-US" w:eastAsia="zh-CN" w:bidi="ar-SA"/>
        </w:rPr>
        <w:t>第一章  招标公告</w:t>
      </w:r>
      <w:bookmarkEnd w:id="24"/>
    </w:p>
    <w:p w14:paraId="337AFA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rPr>
      </w:pPr>
      <w:bookmarkStart w:id="25" w:name="_Toc32217"/>
      <w:r>
        <w:rPr>
          <w:rStyle w:val="28"/>
          <w:rFonts w:hint="eastAsia" w:ascii="宋体" w:hAnsi="宋体" w:eastAsia="宋体" w:cs="宋体"/>
          <w:b/>
          <w:bCs/>
          <w:i w:val="0"/>
          <w:iCs w:val="0"/>
          <w:caps w:val="0"/>
          <w:color w:val="333333"/>
          <w:spacing w:val="0"/>
          <w:sz w:val="24"/>
          <w:szCs w:val="24"/>
          <w:shd w:val="clear" w:fill="FFFFFF"/>
        </w:rPr>
        <w:t>项目概况</w:t>
      </w:r>
    </w:p>
    <w:p w14:paraId="6A70C89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关于马蹄沟镇吉利坪村数字乡村建设工程的采购项目招标项目的潜在投标人应在在线获取获取招标文件，并于 2025年</w:t>
      </w:r>
      <w:r>
        <w:rPr>
          <w:rFonts w:hint="eastAsia" w:cs="宋体"/>
          <w:i w:val="0"/>
          <w:iCs w:val="0"/>
          <w:caps w:val="0"/>
          <w:color w:val="333333"/>
          <w:spacing w:val="0"/>
          <w:sz w:val="24"/>
          <w:szCs w:val="24"/>
          <w:shd w:val="clear" w:fill="FFFFFF"/>
          <w:lang w:eastAsia="zh-CN"/>
        </w:rPr>
        <w:t>02月11日13时30分</w:t>
      </w:r>
      <w:r>
        <w:rPr>
          <w:rFonts w:hint="eastAsia" w:ascii="宋体" w:hAnsi="宋体" w:eastAsia="宋体" w:cs="宋体"/>
          <w:i w:val="0"/>
          <w:iCs w:val="0"/>
          <w:caps w:val="0"/>
          <w:color w:val="333333"/>
          <w:spacing w:val="0"/>
          <w:sz w:val="24"/>
          <w:szCs w:val="24"/>
          <w:shd w:val="clear" w:fill="FFFFFF"/>
        </w:rPr>
        <w:t> （北京时间）前递交投标文件。</w:t>
      </w:r>
    </w:p>
    <w:p w14:paraId="495832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一、项目基本情况</w:t>
      </w:r>
    </w:p>
    <w:p w14:paraId="14E4AD0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项目编号：HXCX2025001</w:t>
      </w:r>
    </w:p>
    <w:p w14:paraId="70A2F0C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项目名称：关于马蹄沟镇吉利坪村数字乡村建设工程的采购项目</w:t>
      </w:r>
    </w:p>
    <w:p w14:paraId="7367B93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545626F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预算金额：2,343,126.00元</w:t>
      </w:r>
    </w:p>
    <w:p w14:paraId="12A950C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5D3B317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合同包1(子洲县马蹄沟镇人民政府关于马蹄沟镇吉利坪村数字乡村建设工程的采购项目):</w:t>
      </w:r>
    </w:p>
    <w:p w14:paraId="6AA25CD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合同包预算金额：2,343,126.00元</w:t>
      </w:r>
    </w:p>
    <w:p w14:paraId="4B8830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合同包最高限价：2,343,126.00元</w:t>
      </w:r>
    </w:p>
    <w:tbl>
      <w:tblPr>
        <w:tblStyle w:val="25"/>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1574"/>
        <w:gridCol w:w="1574"/>
        <w:gridCol w:w="948"/>
        <w:gridCol w:w="1352"/>
        <w:gridCol w:w="1752"/>
        <w:gridCol w:w="1752"/>
      </w:tblGrid>
      <w:tr w14:paraId="287E0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3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815A8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4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21270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4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46319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7A0D3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32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8A13A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75C63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7C57E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67974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3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5D2FB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4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3F36B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其他信息技术服务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CFC30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服务类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7DA1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16752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3833F">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2,343,126.00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5C4B62">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2,343,126.00</w:t>
            </w:r>
          </w:p>
        </w:tc>
      </w:tr>
    </w:tbl>
    <w:p w14:paraId="7DF875E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07EAA4A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合同履行期限：无</w:t>
      </w:r>
    </w:p>
    <w:p w14:paraId="6121B4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二、申请人的资格要求：</w:t>
      </w:r>
    </w:p>
    <w:p w14:paraId="0EF90F2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052B48F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35D9D91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合同包1(子洲县马蹄沟镇人民政府关于马蹄沟镇吉利坪村数字乡村建设工程的采购项目)落实政府采购政策需满足的资格要求如下:</w:t>
      </w:r>
    </w:p>
    <w:p w14:paraId="4353AE3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（1）《节能产品政府采购实施意见》财库〔2004〕185号;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（2）《环境标志产品政府采购实施的意见》财库〔2006〕90号；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（5）《陕西省财政厅关于进一步加大政府采购支持中小企业力度的通知》陕财办采〔2022〕5号；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（10）《关于在政府采购活动中查询及使用信用记录有关问题的通知》财库〔2016〕125号；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（11）其他需要落实的政府采购政策；</w:t>
      </w:r>
    </w:p>
    <w:p w14:paraId="3833CA8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75556F1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合同包1(子洲县马蹄沟镇人民政府关于马蹄沟镇吉利坪村数字乡村建设工程的采购项目)特定资格要求如下:</w:t>
      </w:r>
    </w:p>
    <w:p w14:paraId="5B03DF7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（2）税收缴纳证明：提供2024年1月至今已缴存的至少1个月的纳税证明（银行缴费凭证）或完税证明，依法免税的单位应提供相关证明材料；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（3）社会保障资金缴纳证明：提供2024年1月至今已缴存的至少1个月的社会保障资金缴存单据或社保机构开具的社会保险参保缴费情况证明，依法不需要缴纳社会保障资金的单位应提供相关证明材料；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财务状况报告：提供2023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（6）参加政府采购活动前三年内，在经营活动中没有重大违法记录的书面声明；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（7）提供具有履行合同所必需的设备和专业技术能力的证明材料或承诺函；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自主上报信用承诺书：投标人及其授权委托人应在“信用中国（陕西榆林）”网站(www.ylcredit.gov.cn)进行注册、登录、自主上报信用承诺书，包括：《投标人信用承诺》、《投标人委托代理人员信用承诺书》(如有)、《投标信用承诺书》及《榆林市政府采购服务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备注：本项目不接受联合体投标、不允许分包、转包，单位负责人为同一人或者存在直接控股、管理关系的不同供应商，不得参加同一合同项下的政府采购活动。</w:t>
      </w:r>
    </w:p>
    <w:p w14:paraId="74ED71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三、获取招标文件</w:t>
      </w:r>
    </w:p>
    <w:p w14:paraId="2EE621E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时间：2025年01月</w:t>
      </w:r>
      <w:r>
        <w:rPr>
          <w:rFonts w:hint="eastAsia" w:cs="宋体"/>
          <w:i w:val="0"/>
          <w:iCs w:val="0"/>
          <w:caps w:val="0"/>
          <w:color w:val="333333"/>
          <w:spacing w:val="0"/>
          <w:sz w:val="24"/>
          <w:szCs w:val="24"/>
          <w:shd w:val="clear" w:fill="FFFFFF"/>
          <w:lang w:val="en-US" w:eastAsia="zh-CN"/>
        </w:rPr>
        <w:t>21</w:t>
      </w:r>
      <w:r>
        <w:rPr>
          <w:rFonts w:hint="eastAsia" w:ascii="宋体" w:hAnsi="宋体" w:eastAsia="宋体" w:cs="宋体"/>
          <w:i w:val="0"/>
          <w:iCs w:val="0"/>
          <w:caps w:val="0"/>
          <w:color w:val="333333"/>
          <w:spacing w:val="0"/>
          <w:sz w:val="24"/>
          <w:szCs w:val="24"/>
          <w:shd w:val="clear" w:fill="FFFFFF"/>
        </w:rPr>
        <w:t>日 至 2025年01月</w:t>
      </w:r>
      <w:r>
        <w:rPr>
          <w:rFonts w:hint="eastAsia" w:cs="宋体"/>
          <w:i w:val="0"/>
          <w:iCs w:val="0"/>
          <w:caps w:val="0"/>
          <w:color w:val="333333"/>
          <w:spacing w:val="0"/>
          <w:sz w:val="24"/>
          <w:szCs w:val="24"/>
          <w:shd w:val="clear" w:fill="FFFFFF"/>
          <w:lang w:val="en-US" w:eastAsia="zh-CN"/>
        </w:rPr>
        <w:t>26</w:t>
      </w:r>
      <w:r>
        <w:rPr>
          <w:rFonts w:hint="eastAsia" w:ascii="宋体" w:hAnsi="宋体" w:eastAsia="宋体" w:cs="宋体"/>
          <w:i w:val="0"/>
          <w:iCs w:val="0"/>
          <w:caps w:val="0"/>
          <w:color w:val="333333"/>
          <w:spacing w:val="0"/>
          <w:sz w:val="24"/>
          <w:szCs w:val="24"/>
          <w:shd w:val="clear" w:fill="FFFFFF"/>
        </w:rPr>
        <w:t>日 ，每天上午 09:00:00 至 12:00:00 ，下午 12:00:00 至 17:00:00 （北京时间）</w:t>
      </w:r>
    </w:p>
    <w:p w14:paraId="0CCBFE5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途径：在线获取</w:t>
      </w:r>
    </w:p>
    <w:p w14:paraId="153B811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方式：现场获取</w:t>
      </w:r>
    </w:p>
    <w:p w14:paraId="7FBE494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 0元</w:t>
      </w:r>
    </w:p>
    <w:p w14:paraId="478162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758AB39E">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w:t>
      </w:r>
      <w:r>
        <w:rPr>
          <w:rFonts w:hint="eastAsia" w:cs="宋体"/>
          <w:i w:val="0"/>
          <w:iCs w:val="0"/>
          <w:caps w:val="0"/>
          <w:color w:val="333333"/>
          <w:spacing w:val="0"/>
          <w:sz w:val="24"/>
          <w:szCs w:val="24"/>
          <w:shd w:val="clear" w:fill="FFFFFF"/>
          <w:lang w:eastAsia="zh-CN"/>
        </w:rPr>
        <w:t>02月11日13时30分</w:t>
      </w:r>
      <w:r>
        <w:rPr>
          <w:rFonts w:hint="eastAsia" w:ascii="宋体" w:hAnsi="宋体" w:eastAsia="宋体" w:cs="宋体"/>
          <w:i w:val="0"/>
          <w:iCs w:val="0"/>
          <w:caps w:val="0"/>
          <w:color w:val="333333"/>
          <w:spacing w:val="0"/>
          <w:sz w:val="24"/>
          <w:szCs w:val="24"/>
          <w:shd w:val="clear" w:fill="FFFFFF"/>
        </w:rPr>
        <w:t>00秒 （北京时间）</w:t>
      </w:r>
    </w:p>
    <w:p w14:paraId="54EB6D6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提交投标文件地点：登录全国公共资源交易平台（陕西省•榆林市）网站〖首页〉电子交易平台〉陕西政府采购交易系统）企业端〗，在线提交</w:t>
      </w:r>
    </w:p>
    <w:p w14:paraId="3E4EAC2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开标地点：登录全国公共资源交易平台（陕西省•榆林市）网站〖首页〉不见面开标〗系统，在线参加开标过程</w:t>
      </w:r>
    </w:p>
    <w:p w14:paraId="58262F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五、公告期限</w:t>
      </w:r>
    </w:p>
    <w:p w14:paraId="22CEECBD">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118269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六、其他补充事宜</w:t>
      </w:r>
    </w:p>
    <w:p w14:paraId="0020EB7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（1）供应商可登录全国公共资源交易中心平台（陕西省） （http://www.sxggzyjy.cn/）,选择“电子交易平台-陕西政府采购交易系统-陕西省公共资源交易平台-供应商”进行登录，登录后选择“交易乙方”身份进入供应商界面进行报名并免费下载招标文件。（2）本项目采用电子化招投标的方式，供应商使用数字认证证书（CA 锁）对投标文件进行签章、加密、递交及开标时解密等相关招投标事宜。（3） 电子投标文件制作软件技术支持热线：400-998-0000，CA锁购买：榆林市市民大厦三楼E18、E19窗口办理，咨询电话0912-3452148、029-88661298或4006-369-888（陕西CA联系电话）。 （4）请各供应商获取招标文件后，按照陕西省财政厅《关于政府采购投标供应商注册登记有关事项的通知》要求，通过陕西省政府采购（http://www.ccgp-shaanxi.gov.cn/）注册登记加入陕西省政府采购投标供应商库。（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14:paraId="3544DD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28"/>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5F406D5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0030E08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名称：子洲县马蹄沟镇人民政府</w:t>
      </w:r>
    </w:p>
    <w:p w14:paraId="035830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地址：陕西省子洲县马蹄沟镇马蹄沟村</w:t>
      </w:r>
    </w:p>
    <w:p w14:paraId="1132044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联系方式：18591813777</w:t>
      </w:r>
    </w:p>
    <w:p w14:paraId="0997EE7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5491705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名称：陕西华旭晟信项目管理有限责任公司</w:t>
      </w:r>
    </w:p>
    <w:p w14:paraId="3E04320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地址：榆林市榆林大道南段富源大厦6楼602室</w:t>
      </w:r>
    </w:p>
    <w:p w14:paraId="77ED38D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联系方式：17709127880</w:t>
      </w:r>
    </w:p>
    <w:p w14:paraId="35AE37F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3C08CC5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项目联系人：刘莉娥</w:t>
      </w:r>
    </w:p>
    <w:p w14:paraId="575A4BE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电话：17709127880</w:t>
      </w:r>
    </w:p>
    <w:p w14:paraId="2CA4713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771A494D">
      <w:pP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br w:type="page"/>
      </w:r>
    </w:p>
    <w:p w14:paraId="47477CA5">
      <w:pPr>
        <w:jc w:val="center"/>
        <w:outlineLvl w:val="0"/>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 xml:space="preserve">第二章 </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投标须知前附表</w:t>
      </w:r>
      <w:bookmarkEnd w:id="25"/>
    </w:p>
    <w:bookmarkEnd w:id="0"/>
    <w:tbl>
      <w:tblPr>
        <w:tblStyle w:val="25"/>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07"/>
        <w:gridCol w:w="7014"/>
      </w:tblGrid>
      <w:tr w14:paraId="7E1A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818" w:type="dxa"/>
            <w:vAlign w:val="center"/>
          </w:tcPr>
          <w:p w14:paraId="20EFB451">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907" w:type="dxa"/>
            <w:vAlign w:val="center"/>
          </w:tcPr>
          <w:p w14:paraId="48DB0759">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条款名称</w:t>
            </w:r>
          </w:p>
        </w:tc>
        <w:tc>
          <w:tcPr>
            <w:tcW w:w="7014" w:type="dxa"/>
            <w:vAlign w:val="center"/>
          </w:tcPr>
          <w:p w14:paraId="39D92266">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说明和要求</w:t>
            </w:r>
          </w:p>
        </w:tc>
      </w:tr>
      <w:tr w14:paraId="56F8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8" w:type="dxa"/>
            <w:vAlign w:val="center"/>
          </w:tcPr>
          <w:p w14:paraId="079102F7">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907" w:type="dxa"/>
            <w:vAlign w:val="center"/>
          </w:tcPr>
          <w:p w14:paraId="053D57D4">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采购人</w:t>
            </w:r>
          </w:p>
        </w:tc>
        <w:tc>
          <w:tcPr>
            <w:tcW w:w="7014" w:type="dxa"/>
            <w:vAlign w:val="center"/>
          </w:tcPr>
          <w:p w14:paraId="3A6235FF">
            <w:pPr>
              <w:spacing w:line="360" w:lineRule="auto"/>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子洲县马蹄沟镇人民政府</w:t>
            </w:r>
          </w:p>
        </w:tc>
      </w:tr>
      <w:tr w14:paraId="21CA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8" w:type="dxa"/>
            <w:vAlign w:val="center"/>
          </w:tcPr>
          <w:p w14:paraId="3611B20D">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907" w:type="dxa"/>
            <w:vAlign w:val="center"/>
          </w:tcPr>
          <w:p w14:paraId="1FB0EB95">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采购代理机构</w:t>
            </w:r>
          </w:p>
        </w:tc>
        <w:tc>
          <w:tcPr>
            <w:tcW w:w="7014" w:type="dxa"/>
            <w:vAlign w:val="center"/>
          </w:tcPr>
          <w:p w14:paraId="4B217A7F">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陕西华旭晟信项目管理有限责任公司</w:t>
            </w:r>
          </w:p>
        </w:tc>
      </w:tr>
      <w:tr w14:paraId="3242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8" w:type="dxa"/>
            <w:vAlign w:val="center"/>
          </w:tcPr>
          <w:p w14:paraId="47915FE3">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907" w:type="dxa"/>
            <w:vAlign w:val="center"/>
          </w:tcPr>
          <w:p w14:paraId="7706DFDB">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监督管理机构</w:t>
            </w:r>
          </w:p>
        </w:tc>
        <w:tc>
          <w:tcPr>
            <w:tcW w:w="7014" w:type="dxa"/>
            <w:vAlign w:val="center"/>
          </w:tcPr>
          <w:p w14:paraId="41AA528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子洲县</w:t>
            </w:r>
            <w:r>
              <w:rPr>
                <w:rFonts w:hint="eastAsia" w:asciiTheme="majorEastAsia" w:hAnsiTheme="majorEastAsia" w:eastAsiaTheme="majorEastAsia" w:cstheme="majorEastAsia"/>
                <w:sz w:val="24"/>
              </w:rPr>
              <w:t>财政局</w:t>
            </w:r>
          </w:p>
        </w:tc>
      </w:tr>
      <w:tr w14:paraId="225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18" w:type="dxa"/>
            <w:vAlign w:val="center"/>
          </w:tcPr>
          <w:p w14:paraId="111CED13">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907" w:type="dxa"/>
            <w:vAlign w:val="center"/>
          </w:tcPr>
          <w:p w14:paraId="38BF131D">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7014" w:type="dxa"/>
            <w:vAlign w:val="center"/>
          </w:tcPr>
          <w:p w14:paraId="3870B196">
            <w:pPr>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子洲县马蹄沟镇人民政府关于马蹄沟镇吉利坪村数字乡村建设工程的采购项目</w:t>
            </w:r>
          </w:p>
        </w:tc>
      </w:tr>
      <w:tr w14:paraId="5F2D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8" w:type="dxa"/>
            <w:vAlign w:val="center"/>
          </w:tcPr>
          <w:p w14:paraId="3A30F895">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907" w:type="dxa"/>
            <w:vAlign w:val="center"/>
          </w:tcPr>
          <w:p w14:paraId="268E4A07">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项目编号</w:t>
            </w:r>
          </w:p>
        </w:tc>
        <w:tc>
          <w:tcPr>
            <w:tcW w:w="7014" w:type="dxa"/>
            <w:vAlign w:val="center"/>
          </w:tcPr>
          <w:p w14:paraId="37DBD14D">
            <w:pPr>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HXCX2025001</w:t>
            </w:r>
          </w:p>
        </w:tc>
      </w:tr>
      <w:tr w14:paraId="504B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8" w:type="dxa"/>
            <w:vAlign w:val="center"/>
          </w:tcPr>
          <w:p w14:paraId="177EE67B">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907" w:type="dxa"/>
            <w:vAlign w:val="center"/>
          </w:tcPr>
          <w:p w14:paraId="6C566BD7">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标段名称</w:t>
            </w:r>
          </w:p>
        </w:tc>
        <w:tc>
          <w:tcPr>
            <w:tcW w:w="7014" w:type="dxa"/>
            <w:vAlign w:val="center"/>
          </w:tcPr>
          <w:p w14:paraId="04319DD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r>
      <w:tr w14:paraId="19E1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8" w:type="dxa"/>
            <w:vAlign w:val="center"/>
          </w:tcPr>
          <w:p w14:paraId="2C38589D">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907" w:type="dxa"/>
            <w:vAlign w:val="center"/>
          </w:tcPr>
          <w:p w14:paraId="55221BC3">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标段编号</w:t>
            </w:r>
          </w:p>
        </w:tc>
        <w:tc>
          <w:tcPr>
            <w:tcW w:w="7014" w:type="dxa"/>
            <w:vAlign w:val="center"/>
          </w:tcPr>
          <w:p w14:paraId="6B24375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r>
      <w:tr w14:paraId="28FE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8" w:type="dxa"/>
            <w:vAlign w:val="center"/>
          </w:tcPr>
          <w:p w14:paraId="3D59EABF">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907" w:type="dxa"/>
            <w:vAlign w:val="center"/>
          </w:tcPr>
          <w:p w14:paraId="1F36162F">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采购内容及要求</w:t>
            </w:r>
          </w:p>
        </w:tc>
        <w:tc>
          <w:tcPr>
            <w:tcW w:w="7014" w:type="dxa"/>
            <w:vAlign w:val="center"/>
          </w:tcPr>
          <w:p w14:paraId="20131AAE">
            <w:pPr>
              <w:pStyle w:val="105"/>
              <w:spacing w:line="360" w:lineRule="auto"/>
              <w:ind w:firstLine="0"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详见招标文件第四章 采购内容及技术要求。</w:t>
            </w:r>
          </w:p>
        </w:tc>
      </w:tr>
      <w:tr w14:paraId="13A5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409B8F6B">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907" w:type="dxa"/>
            <w:vAlign w:val="center"/>
          </w:tcPr>
          <w:p w14:paraId="2B2EC8B9">
            <w:pPr>
              <w:spacing w:line="360" w:lineRule="auto"/>
              <w:rPr>
                <w:rFonts w:asciiTheme="majorEastAsia" w:hAnsiTheme="majorEastAsia" w:eastAsiaTheme="majorEastAsia" w:cstheme="majorEastAsia"/>
                <w:sz w:val="24"/>
                <w:highlight w:val="red"/>
              </w:rPr>
            </w:pPr>
            <w:r>
              <w:rPr>
                <w:rFonts w:hint="eastAsia" w:asciiTheme="majorEastAsia" w:hAnsiTheme="majorEastAsia" w:eastAsiaTheme="majorEastAsia" w:cstheme="majorEastAsia"/>
                <w:sz w:val="24"/>
              </w:rPr>
              <w:t>投标人资格要求</w:t>
            </w:r>
          </w:p>
        </w:tc>
        <w:tc>
          <w:tcPr>
            <w:tcW w:w="7014" w:type="dxa"/>
          </w:tcPr>
          <w:p w14:paraId="0A35487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asciiTheme="majorEastAsia" w:hAnsiTheme="majorEastAsia" w:eastAsiaTheme="majorEastAsia" w:cstheme="majorEastAsia"/>
                <w:sz w:val="24"/>
              </w:rPr>
            </w:pPr>
            <w:r>
              <w:rPr>
                <w:rFonts w:hint="eastAsia" w:ascii="宋体" w:hAnsi="宋体" w:eastAsia="宋体" w:cs="宋体"/>
                <w:i w:val="0"/>
                <w:iCs w:val="0"/>
                <w:caps w:val="0"/>
                <w:color w:val="333333"/>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（2）税收缴纳证明：提供2024年1月至今已缴存的至少1个月的纳税证明（银行缴费凭证）或完税证明，依法免税的单位应提供相关证明材料；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（3）社会保障资金缴纳证明：提供2024年1月至今已缴存的至少1个月的社会保障资金缴存单据或社保机构开具的社会保险参保缴费情况证明，依法不需要缴纳社会保障资金的单位应提供相关证明材料；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财务状况报告：提供2023年度财务审计报告；公司成立至开标日期不足一年的提供自成立以来的财务报表（至少包含资产负债表、利润表、现金流量表）或公司基本账户开户行出具自成立以来的资信证明及基本账户开户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（6）参加政府采购活动前三年内，在经营活动中没有重大违法记录的书面声明；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（7）提供具有履行合同所必需的设备和专业技术能力的证明材料或承诺函；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自主上报信用承诺书：投标人及其授权委托人应在“信用中国（陕西榆林）”网站(www.ylcredit.gov.cn)进行注册、登录、自主上报信用承诺书，包括：《投标人信用承诺》、《投标人委托代理人员信用承诺书》(如有)、《投标信用承诺书》及《榆林市政府采购服务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备注：本项目不接受联合体投标、不允许分包、转包，单位负责人为同一人或者存在直接控股、管理关系的不同供应商，不得参加同一合同项下的政府采购活动。</w:t>
            </w:r>
          </w:p>
        </w:tc>
      </w:tr>
      <w:tr w14:paraId="3653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818" w:type="dxa"/>
            <w:vAlign w:val="center"/>
          </w:tcPr>
          <w:p w14:paraId="284B3F6A">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907" w:type="dxa"/>
            <w:vAlign w:val="center"/>
          </w:tcPr>
          <w:p w14:paraId="32DB86C8">
            <w:pPr>
              <w:spacing w:line="360" w:lineRule="auto"/>
              <w:jc w:val="left"/>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服务期</w:t>
            </w:r>
          </w:p>
        </w:tc>
        <w:tc>
          <w:tcPr>
            <w:tcW w:w="7014" w:type="dxa"/>
            <w:vAlign w:val="center"/>
          </w:tcPr>
          <w:p w14:paraId="2C63B314">
            <w:pPr>
              <w:spacing w:line="360" w:lineRule="auto"/>
              <w:rPr>
                <w:rFonts w:hint="default" w:asciiTheme="majorEastAsia" w:hAnsiTheme="majorEastAsia" w:eastAsiaTheme="majorEastAsia" w:cstheme="majorEastAsia"/>
                <w:color w:val="auto"/>
                <w:sz w:val="24"/>
                <w:lang w:val="en-US" w:eastAsia="zh-CN"/>
              </w:rPr>
            </w:pPr>
            <w:r>
              <w:rPr>
                <w:rFonts w:hint="eastAsia" w:eastAsiaTheme="majorEastAsia"/>
                <w:color w:val="auto"/>
                <w:sz w:val="24"/>
                <w:lang w:val="en-US" w:eastAsia="zh-CN"/>
              </w:rPr>
              <w:t>1年</w:t>
            </w:r>
          </w:p>
        </w:tc>
      </w:tr>
      <w:tr w14:paraId="124B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38022FD5">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1907" w:type="dxa"/>
            <w:vAlign w:val="center"/>
          </w:tcPr>
          <w:p w14:paraId="333F216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投标文件数量和提交截止时间</w:t>
            </w:r>
          </w:p>
        </w:tc>
        <w:tc>
          <w:tcPr>
            <w:tcW w:w="7014" w:type="dxa"/>
          </w:tcPr>
          <w:p w14:paraId="10F88736">
            <w:pPr>
              <w:topLinePunct/>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电子文件数量:电子投标文件</w:t>
            </w:r>
            <w:r>
              <w:rPr>
                <w:rFonts w:hint="eastAsia" w:asciiTheme="majorEastAsia" w:hAnsiTheme="majorEastAsia" w:eastAsiaTheme="majorEastAsia" w:cstheme="majorEastAsia"/>
                <w:sz w:val="24"/>
                <w:u w:val="single"/>
              </w:rPr>
              <w:t xml:space="preserve"> 壹 </w:t>
            </w:r>
            <w:r>
              <w:rPr>
                <w:rFonts w:hint="eastAsia" w:asciiTheme="majorEastAsia" w:hAnsiTheme="majorEastAsia" w:eastAsiaTheme="majorEastAsia" w:cstheme="majorEastAsia"/>
                <w:sz w:val="24"/>
              </w:rPr>
              <w:t>份，后缀为（*.SXSTF）；</w:t>
            </w:r>
          </w:p>
          <w:p w14:paraId="382C73A7">
            <w:pPr>
              <w:topLinePunct/>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提交截止时间: </w:t>
            </w:r>
            <w:r>
              <w:rPr>
                <w:rFonts w:hint="eastAsia" w:asciiTheme="majorEastAsia" w:hAnsiTheme="majorEastAsia" w:eastAsiaTheme="majorEastAsia" w:cstheme="majorEastAsia"/>
                <w:sz w:val="24"/>
                <w:lang w:eastAsia="zh-CN"/>
              </w:rPr>
              <w:t>2025年02月11日13时30分</w:t>
            </w:r>
          </w:p>
          <w:p w14:paraId="4AC0C948">
            <w:pPr>
              <w:topLinePunct/>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1.电子投标文件应于投标文件提交截止时间前任意时段登录全国公共资源交易中心平台（陕西省）提交，逾期提交系统将拒绝接收。</w:t>
            </w:r>
          </w:p>
        </w:tc>
      </w:tr>
      <w:tr w14:paraId="23EB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8" w:type="dxa"/>
            <w:vAlign w:val="center"/>
          </w:tcPr>
          <w:p w14:paraId="31516307">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w:t>
            </w:r>
          </w:p>
        </w:tc>
        <w:tc>
          <w:tcPr>
            <w:tcW w:w="1907" w:type="dxa"/>
            <w:vAlign w:val="center"/>
          </w:tcPr>
          <w:p w14:paraId="6F8E383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投标文件开启时间和地点</w:t>
            </w:r>
          </w:p>
        </w:tc>
        <w:tc>
          <w:tcPr>
            <w:tcW w:w="7014" w:type="dxa"/>
            <w:vAlign w:val="center"/>
          </w:tcPr>
          <w:p w14:paraId="59D98C27">
            <w:pPr>
              <w:topLinePunct/>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开启时间：</w:t>
            </w:r>
            <w:r>
              <w:rPr>
                <w:rFonts w:hint="eastAsia" w:asciiTheme="majorEastAsia" w:hAnsiTheme="majorEastAsia" w:eastAsiaTheme="majorEastAsia" w:cstheme="majorEastAsia"/>
                <w:sz w:val="24"/>
                <w:lang w:eastAsia="zh-CN"/>
              </w:rPr>
              <w:t>2025年02月11日13时30分</w:t>
            </w:r>
            <w:r>
              <w:rPr>
                <w:rFonts w:hint="eastAsia" w:asciiTheme="majorEastAsia" w:hAnsiTheme="majorEastAsia" w:eastAsiaTheme="majorEastAsia" w:cstheme="majorEastAsia"/>
                <w:sz w:val="24"/>
              </w:rPr>
              <w:t>（同投标截止时间）</w:t>
            </w:r>
          </w:p>
          <w:p w14:paraId="6527FC3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开启地点：登录全国公共资源交易平台（陕西省•榆林市）网站〖首页〉不见面开标〗系统，在线参加开标过程</w:t>
            </w:r>
          </w:p>
        </w:tc>
      </w:tr>
      <w:tr w14:paraId="0487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8" w:type="dxa"/>
            <w:vAlign w:val="center"/>
          </w:tcPr>
          <w:p w14:paraId="048764EE">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w:t>
            </w:r>
          </w:p>
        </w:tc>
        <w:tc>
          <w:tcPr>
            <w:tcW w:w="1907" w:type="dxa"/>
            <w:vAlign w:val="center"/>
          </w:tcPr>
          <w:p w14:paraId="400CEAA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7014" w:type="dxa"/>
            <w:vAlign w:val="center"/>
          </w:tcPr>
          <w:p w14:paraId="638213B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自提交投标文件截止之日起不少于90个日历日</w:t>
            </w:r>
          </w:p>
        </w:tc>
      </w:tr>
      <w:tr w14:paraId="2709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18" w:type="dxa"/>
            <w:vAlign w:val="center"/>
          </w:tcPr>
          <w:p w14:paraId="0102B29B">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14</w:t>
            </w:r>
          </w:p>
        </w:tc>
        <w:tc>
          <w:tcPr>
            <w:tcW w:w="1907" w:type="dxa"/>
            <w:vAlign w:val="center"/>
          </w:tcPr>
          <w:p w14:paraId="62E79FD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联合体投标</w:t>
            </w:r>
          </w:p>
        </w:tc>
        <w:tc>
          <w:tcPr>
            <w:tcW w:w="7014" w:type="dxa"/>
            <w:vAlign w:val="center"/>
          </w:tcPr>
          <w:p w14:paraId="5140812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sym w:font="Wingdings" w:char="00FE"/>
            </w:r>
            <w:r>
              <w:rPr>
                <w:rFonts w:hint="eastAsia" w:asciiTheme="majorEastAsia" w:hAnsiTheme="majorEastAsia" w:eastAsiaTheme="majorEastAsia" w:cstheme="majorEastAsia"/>
                <w:b/>
                <w:bCs/>
                <w:sz w:val="24"/>
              </w:rPr>
              <w:t xml:space="preserve">不接受   </w:t>
            </w:r>
            <w:r>
              <w:rPr>
                <w:rFonts w:hint="eastAsia" w:asciiTheme="majorEastAsia" w:hAnsiTheme="majorEastAsia" w:eastAsiaTheme="majorEastAsia" w:cstheme="majorEastAsia"/>
                <w:b/>
                <w:bCs/>
                <w:sz w:val="24"/>
              </w:rPr>
              <w:sym w:font="Wingdings" w:char="00A8"/>
            </w:r>
            <w:r>
              <w:rPr>
                <w:rFonts w:hint="eastAsia" w:asciiTheme="majorEastAsia" w:hAnsiTheme="majorEastAsia" w:eastAsiaTheme="majorEastAsia" w:cstheme="majorEastAsia"/>
                <w:b/>
                <w:bCs/>
                <w:sz w:val="24"/>
              </w:rPr>
              <w:t>接受</w:t>
            </w:r>
          </w:p>
        </w:tc>
      </w:tr>
      <w:tr w14:paraId="12EC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18" w:type="dxa"/>
            <w:vAlign w:val="center"/>
          </w:tcPr>
          <w:p w14:paraId="7B7AF5E8">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w:t>
            </w:r>
          </w:p>
        </w:tc>
        <w:tc>
          <w:tcPr>
            <w:tcW w:w="1907" w:type="dxa"/>
            <w:vAlign w:val="center"/>
          </w:tcPr>
          <w:p w14:paraId="73592855">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现场勘查、标前答疑会</w:t>
            </w:r>
          </w:p>
        </w:tc>
        <w:tc>
          <w:tcPr>
            <w:tcW w:w="7014" w:type="dxa"/>
            <w:vAlign w:val="center"/>
          </w:tcPr>
          <w:p w14:paraId="4DA2E616">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sym w:font="Wingdings" w:char="00FE"/>
            </w:r>
            <w:r>
              <w:rPr>
                <w:rFonts w:hint="eastAsia" w:asciiTheme="majorEastAsia" w:hAnsiTheme="majorEastAsia" w:eastAsiaTheme="majorEastAsia" w:cstheme="majorEastAsia"/>
                <w:b/>
                <w:bCs/>
                <w:sz w:val="24"/>
              </w:rPr>
              <w:t xml:space="preserve">不组织   </w:t>
            </w:r>
            <w:r>
              <w:rPr>
                <w:rFonts w:hint="eastAsia" w:asciiTheme="majorEastAsia" w:hAnsiTheme="majorEastAsia" w:eastAsiaTheme="majorEastAsia" w:cstheme="majorEastAsia"/>
                <w:b/>
                <w:bCs/>
                <w:sz w:val="24"/>
              </w:rPr>
              <w:sym w:font="Wingdings" w:char="00A8"/>
            </w:r>
            <w:r>
              <w:rPr>
                <w:rFonts w:hint="eastAsia" w:asciiTheme="majorEastAsia" w:hAnsiTheme="majorEastAsia" w:eastAsiaTheme="majorEastAsia" w:cstheme="majorEastAsia"/>
                <w:b/>
                <w:bCs/>
                <w:sz w:val="24"/>
              </w:rPr>
              <w:t>组织</w:t>
            </w:r>
          </w:p>
          <w:p w14:paraId="18D88373">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投标人可自行安排勘察现场，由此产生的费用、不良后果、相关责任均由投标人自行承担。</w:t>
            </w:r>
          </w:p>
        </w:tc>
      </w:tr>
      <w:tr w14:paraId="760E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18" w:type="dxa"/>
            <w:vAlign w:val="center"/>
          </w:tcPr>
          <w:p w14:paraId="0E71D620">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16</w:t>
            </w:r>
          </w:p>
        </w:tc>
        <w:tc>
          <w:tcPr>
            <w:tcW w:w="1907" w:type="dxa"/>
            <w:vAlign w:val="center"/>
          </w:tcPr>
          <w:p w14:paraId="7116647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投标人对招标文件提出质疑的时间</w:t>
            </w:r>
          </w:p>
        </w:tc>
        <w:tc>
          <w:tcPr>
            <w:tcW w:w="7014" w:type="dxa"/>
            <w:vAlign w:val="center"/>
          </w:tcPr>
          <w:p w14:paraId="23BC843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投标人已依法获取其可质疑的招标文件的，可以对该文件提出质疑。对招标文件提出质疑的，应当在获取招标文件或者招标文件公告期限届满之日起7个工作日内提出，逾期提出的无效。</w:t>
            </w:r>
          </w:p>
        </w:tc>
      </w:tr>
      <w:tr w14:paraId="5DAC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57DBBD40">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17</w:t>
            </w:r>
          </w:p>
        </w:tc>
        <w:tc>
          <w:tcPr>
            <w:tcW w:w="1907" w:type="dxa"/>
            <w:vAlign w:val="center"/>
          </w:tcPr>
          <w:p w14:paraId="0EB12662">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构成招标文件的其他文件</w:t>
            </w:r>
          </w:p>
        </w:tc>
        <w:tc>
          <w:tcPr>
            <w:tcW w:w="7014" w:type="dxa"/>
            <w:vAlign w:val="center"/>
          </w:tcPr>
          <w:p w14:paraId="1FFDAA5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招标文件的澄清、修改书及有关补充通知均为招标文件的有效组成部分。</w:t>
            </w:r>
          </w:p>
          <w:p w14:paraId="4727B2FA">
            <w:pPr>
              <w:pStyle w:val="23"/>
              <w:spacing w:after="0" w:line="360" w:lineRule="auto"/>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注意事项：</w:t>
            </w:r>
            <w:r>
              <w:rPr>
                <w:rFonts w:hint="eastAsia" w:asciiTheme="majorEastAsia" w:hAnsiTheme="majorEastAsia" w:eastAsiaTheme="majorEastAsia" w:cstheme="majorEastAsia"/>
                <w:sz w:val="24"/>
              </w:rPr>
              <w:t>投标人应随时留意可能发布的变更公告，当澄清或修改的内容影响投标文件编制时，将在全国公共资源交易中心平台（陕西省）上同步发布答疑文件，此时投标人应从“项目流程·〉答疑文件下载”下载最新发布的答疑文件后缀为（*.SXSCF），并使用该文件重新编制电子投标文件后缀为（*.SXSTF），使用旧版电子招标文件或旧版答疑文件制作的电子投标文件，系统将拒绝接收。</w:t>
            </w:r>
          </w:p>
        </w:tc>
      </w:tr>
      <w:tr w14:paraId="666B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8" w:type="dxa"/>
            <w:vAlign w:val="center"/>
          </w:tcPr>
          <w:p w14:paraId="53B124AE">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w:t>
            </w:r>
          </w:p>
        </w:tc>
        <w:tc>
          <w:tcPr>
            <w:tcW w:w="1907" w:type="dxa"/>
            <w:vAlign w:val="center"/>
          </w:tcPr>
          <w:p w14:paraId="2595B181">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投标保证金 </w:t>
            </w:r>
          </w:p>
        </w:tc>
        <w:tc>
          <w:tcPr>
            <w:tcW w:w="7014" w:type="dxa"/>
            <w:vAlign w:val="center"/>
          </w:tcPr>
          <w:p w14:paraId="4FE83941">
            <w:pPr>
              <w:pStyle w:val="23"/>
              <w:spacing w:after="0" w:line="360" w:lineRule="auto"/>
              <w:ind w:firstLine="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采用“投标信用承诺书”代替投标保证金。</w:t>
            </w:r>
          </w:p>
          <w:p w14:paraId="571B215E">
            <w:pPr>
              <w:pStyle w:val="23"/>
              <w:spacing w:after="0" w:line="360" w:lineRule="auto"/>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需在网上提交《投标信用承诺》，并将《投标信用承诺》及网上已上报后的网页截图附在投标文件中。（承诺书格式详见第七章《投标文件构成及格式》，自主上报信用承诺具体要求详见投标人须知前附表26）</w:t>
            </w:r>
          </w:p>
        </w:tc>
      </w:tr>
      <w:tr w14:paraId="2779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8" w:type="dxa"/>
            <w:vAlign w:val="center"/>
          </w:tcPr>
          <w:p w14:paraId="33AE3884">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w:t>
            </w:r>
          </w:p>
        </w:tc>
        <w:tc>
          <w:tcPr>
            <w:tcW w:w="1907" w:type="dxa"/>
            <w:vAlign w:val="center"/>
          </w:tcPr>
          <w:p w14:paraId="754A2AA9">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是否允许递交备选投标方案</w:t>
            </w:r>
          </w:p>
        </w:tc>
        <w:tc>
          <w:tcPr>
            <w:tcW w:w="7014" w:type="dxa"/>
            <w:vAlign w:val="center"/>
          </w:tcPr>
          <w:p w14:paraId="4076F1F9">
            <w:pPr>
              <w:tabs>
                <w:tab w:val="left" w:pos="7013"/>
              </w:tabs>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sym w:font="Wingdings" w:char="00FE"/>
            </w:r>
            <w:r>
              <w:rPr>
                <w:rFonts w:hint="eastAsia" w:asciiTheme="majorEastAsia" w:hAnsiTheme="majorEastAsia" w:eastAsiaTheme="majorEastAsia" w:cstheme="majorEastAsia"/>
                <w:b/>
                <w:bCs/>
                <w:sz w:val="24"/>
              </w:rPr>
              <w:t xml:space="preserve">不接受   </w:t>
            </w:r>
            <w:r>
              <w:rPr>
                <w:rFonts w:hint="eastAsia" w:asciiTheme="majorEastAsia" w:hAnsiTheme="majorEastAsia" w:eastAsiaTheme="majorEastAsia" w:cstheme="majorEastAsia"/>
                <w:b/>
                <w:bCs/>
                <w:sz w:val="24"/>
              </w:rPr>
              <w:sym w:font="Wingdings" w:char="00A8"/>
            </w:r>
            <w:r>
              <w:rPr>
                <w:rFonts w:hint="eastAsia" w:asciiTheme="majorEastAsia" w:hAnsiTheme="majorEastAsia" w:eastAsiaTheme="majorEastAsia" w:cstheme="majorEastAsia"/>
                <w:b/>
                <w:bCs/>
                <w:sz w:val="24"/>
              </w:rPr>
              <w:t>接受</w:t>
            </w:r>
          </w:p>
          <w:p w14:paraId="19CBE6EA">
            <w:pPr>
              <w:tabs>
                <w:tab w:val="left" w:pos="7013"/>
              </w:tabs>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不接受备选投标方案和投标文件中出现多个报价。</w:t>
            </w:r>
          </w:p>
        </w:tc>
      </w:tr>
      <w:tr w14:paraId="718D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18" w:type="dxa"/>
            <w:vAlign w:val="center"/>
          </w:tcPr>
          <w:p w14:paraId="0D151CEF">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w:t>
            </w:r>
          </w:p>
        </w:tc>
        <w:tc>
          <w:tcPr>
            <w:tcW w:w="1907" w:type="dxa"/>
            <w:vAlign w:val="center"/>
          </w:tcPr>
          <w:p w14:paraId="4D2FAD6A">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电子投标文件签字和盖章要求</w:t>
            </w:r>
          </w:p>
        </w:tc>
        <w:tc>
          <w:tcPr>
            <w:tcW w:w="7014" w:type="dxa"/>
            <w:vAlign w:val="center"/>
          </w:tcPr>
          <w:p w14:paraId="22B7E04C">
            <w:pPr>
              <w:tabs>
                <w:tab w:val="left" w:pos="7013"/>
              </w:tabs>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后缀为“*.SXSTF”格式的电子投标文件须逐页进行电子签章，法定代表人或其委托代理人签字和盖章以所发布的投标</w:t>
            </w:r>
            <w:r>
              <w:rPr>
                <w:rFonts w:hint="eastAsia" w:asciiTheme="majorEastAsia" w:hAnsiTheme="majorEastAsia" w:eastAsiaTheme="majorEastAsia" w:cstheme="majorEastAsia"/>
                <w:sz w:val="24"/>
              </w:rPr>
              <w:t>文件构成及格式</w:t>
            </w:r>
            <w:r>
              <w:rPr>
                <w:rFonts w:hint="eastAsia" w:asciiTheme="majorEastAsia" w:hAnsiTheme="majorEastAsia" w:eastAsiaTheme="majorEastAsia" w:cstheme="majorEastAsia"/>
                <w:bCs/>
                <w:sz w:val="24"/>
              </w:rPr>
              <w:t>为准，签章是指签字和盖章，即在当事人的签字上加盖印章。</w:t>
            </w:r>
          </w:p>
          <w:p w14:paraId="629F25B1">
            <w:pPr>
              <w:tabs>
                <w:tab w:val="left" w:pos="7013"/>
              </w:tabs>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注：</w:t>
            </w:r>
            <w:r>
              <w:rPr>
                <w:rFonts w:hint="eastAsia" w:asciiTheme="majorEastAsia" w:hAnsiTheme="majorEastAsia" w:eastAsiaTheme="majorEastAsia" w:cstheme="majorEastAsia"/>
                <w:bCs/>
                <w:sz w:val="24"/>
              </w:rPr>
              <w:t>未作格式要求的除外，擅自修改签字盖章指定格式将否决投标。</w:t>
            </w:r>
          </w:p>
        </w:tc>
      </w:tr>
      <w:tr w14:paraId="20D8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18" w:type="dxa"/>
            <w:vAlign w:val="center"/>
          </w:tcPr>
          <w:p w14:paraId="1C02C49A">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w:t>
            </w:r>
          </w:p>
        </w:tc>
        <w:tc>
          <w:tcPr>
            <w:tcW w:w="1907" w:type="dxa"/>
            <w:vAlign w:val="center"/>
          </w:tcPr>
          <w:p w14:paraId="7CE8DE66">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投标报价</w:t>
            </w:r>
          </w:p>
        </w:tc>
        <w:tc>
          <w:tcPr>
            <w:tcW w:w="7014" w:type="dxa"/>
            <w:vAlign w:val="center"/>
          </w:tcPr>
          <w:p w14:paraId="55115B95">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报价是投标人响应采购项目要求的全部工作内容的价格体现，包括完成采购项目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14:paraId="66DCA413">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1.投标人应严格按照第</w:t>
            </w:r>
            <w:r>
              <w:rPr>
                <w:rFonts w:hint="eastAsia" w:asciiTheme="majorEastAsia" w:hAnsiTheme="majorEastAsia" w:eastAsiaTheme="majorEastAsia" w:cstheme="majorEastAsia"/>
                <w:sz w:val="24"/>
                <w:lang w:val="en-US" w:eastAsia="zh-CN"/>
              </w:rPr>
              <w:t>七</w:t>
            </w:r>
            <w:r>
              <w:rPr>
                <w:rFonts w:hint="eastAsia" w:asciiTheme="majorEastAsia" w:hAnsiTheme="majorEastAsia" w:eastAsiaTheme="majorEastAsia" w:cstheme="majorEastAsia"/>
                <w:sz w:val="24"/>
              </w:rPr>
              <w:t>章《投标文件构成及格式》中《开标一览表》中的相关要求填写分类报价及其他需要响应的内容。</w:t>
            </w:r>
          </w:p>
          <w:p w14:paraId="63934BC0">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2.投标报价货币：人民币；单位：元。</w:t>
            </w:r>
          </w:p>
          <w:p w14:paraId="247A2301">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3.投标报价只能提交唯一报价，并且在合同履行过程中是固定不变的，任何有选择的报价将不予接受，按无效投标处理。</w:t>
            </w:r>
          </w:p>
          <w:p w14:paraId="5717D309">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4.投标报价应遵守《中华人民共和国价格法》，投标人不得以低于成本的报价参与投标。</w:t>
            </w:r>
          </w:p>
        </w:tc>
      </w:tr>
      <w:tr w14:paraId="2D1B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8" w:type="dxa"/>
            <w:vAlign w:val="center"/>
          </w:tcPr>
          <w:p w14:paraId="46DF922C">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w:t>
            </w:r>
          </w:p>
        </w:tc>
        <w:tc>
          <w:tcPr>
            <w:tcW w:w="1907" w:type="dxa"/>
            <w:vAlign w:val="center"/>
          </w:tcPr>
          <w:p w14:paraId="72EB643E">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最高限价</w:t>
            </w:r>
          </w:p>
        </w:tc>
        <w:tc>
          <w:tcPr>
            <w:tcW w:w="7014" w:type="dxa"/>
            <w:vAlign w:val="center"/>
          </w:tcPr>
          <w:p w14:paraId="5C34ACF8">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sym w:font="Wingdings" w:char="00A8"/>
            </w:r>
            <w:r>
              <w:rPr>
                <w:rFonts w:hint="eastAsia" w:asciiTheme="majorEastAsia" w:hAnsiTheme="majorEastAsia" w:eastAsiaTheme="majorEastAsia" w:cstheme="majorEastAsia"/>
                <w:b/>
                <w:bCs/>
                <w:sz w:val="24"/>
              </w:rPr>
              <w:t xml:space="preserve">无  </w:t>
            </w:r>
            <w:r>
              <w:rPr>
                <w:rFonts w:hint="eastAsia" w:asciiTheme="majorEastAsia" w:hAnsiTheme="majorEastAsia" w:eastAsiaTheme="majorEastAsia" w:cstheme="majorEastAsia"/>
                <w:b/>
                <w:bCs/>
                <w:sz w:val="24"/>
              </w:rPr>
              <w:sym w:font="Wingdings" w:char="00FE"/>
            </w:r>
            <w:r>
              <w:rPr>
                <w:rFonts w:hint="eastAsia" w:asciiTheme="majorEastAsia" w:hAnsiTheme="majorEastAsia" w:eastAsiaTheme="majorEastAsia" w:cstheme="majorEastAsia"/>
                <w:b/>
                <w:bCs/>
                <w:sz w:val="24"/>
              </w:rPr>
              <w:t>有</w:t>
            </w:r>
          </w:p>
          <w:p w14:paraId="166667D6">
            <w:pPr>
              <w:spacing w:line="360" w:lineRule="auto"/>
              <w:rPr>
                <w:rFonts w:asciiTheme="majorEastAsia" w:hAnsiTheme="majorEastAsia" w:eastAsiaTheme="majorEastAsia" w:cstheme="majorEastAsia"/>
                <w:sz w:val="24"/>
              </w:rPr>
            </w:pPr>
            <w:bookmarkStart w:id="26" w:name="6449-1520584968142"/>
            <w:bookmarkEnd w:id="26"/>
            <w:r>
              <w:rPr>
                <w:rFonts w:hint="eastAsia" w:asciiTheme="majorEastAsia" w:hAnsiTheme="majorEastAsia" w:eastAsiaTheme="majorEastAsia" w:cstheme="majorEastAsia"/>
                <w:sz w:val="24"/>
              </w:rPr>
              <w:t>最高限价为：</w:t>
            </w:r>
            <w:r>
              <w:rPr>
                <w:rFonts w:hint="eastAsia" w:asciiTheme="majorEastAsia" w:hAnsiTheme="majorEastAsia" w:eastAsiaTheme="majorEastAsia" w:cstheme="majorEastAsia"/>
                <w:sz w:val="24"/>
                <w:lang w:val="en-US" w:eastAsia="zh-CN"/>
              </w:rPr>
              <w:t>贰佰叁拾肆万叁仟壹佰贰拾陆元整</w:t>
            </w:r>
            <w:r>
              <w:rPr>
                <w:rFonts w:hint="eastAsia" w:asciiTheme="majorEastAsia" w:hAnsiTheme="majorEastAsia" w:eastAsiaTheme="majorEastAsia" w:cstheme="majorEastAsia"/>
                <w:sz w:val="24"/>
              </w:rPr>
              <w:t>（¥2,343,126.00元）</w:t>
            </w:r>
          </w:p>
          <w:p w14:paraId="1935BE13">
            <w:pPr>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投标人的投标总报价高于最高限价者将被否决投标。</w:t>
            </w:r>
          </w:p>
        </w:tc>
      </w:tr>
      <w:tr w14:paraId="00AA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8" w:type="dxa"/>
            <w:vAlign w:val="center"/>
          </w:tcPr>
          <w:p w14:paraId="01125188">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w:t>
            </w:r>
          </w:p>
        </w:tc>
        <w:tc>
          <w:tcPr>
            <w:tcW w:w="1907" w:type="dxa"/>
            <w:vAlign w:val="center"/>
          </w:tcPr>
          <w:p w14:paraId="48EC083D">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评审办法及标准</w:t>
            </w:r>
          </w:p>
        </w:tc>
        <w:tc>
          <w:tcPr>
            <w:tcW w:w="7014" w:type="dxa"/>
            <w:vAlign w:val="center"/>
          </w:tcPr>
          <w:p w14:paraId="5733B3E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用综合评分法；综合评分法，是指投标文件满足招标文件全部实质性要求，且按照评审因素的量化指标评审得分最高的投标人为中标候选人的评标方法。评审方法、评审标准、评审因素等内容详见招标文件第三章评审办法及标准。</w:t>
            </w:r>
          </w:p>
        </w:tc>
      </w:tr>
      <w:tr w14:paraId="7C80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18" w:type="dxa"/>
            <w:vAlign w:val="center"/>
          </w:tcPr>
          <w:p w14:paraId="7E2D717D">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24</w:t>
            </w:r>
          </w:p>
        </w:tc>
        <w:tc>
          <w:tcPr>
            <w:tcW w:w="1907" w:type="dxa"/>
            <w:vAlign w:val="center"/>
          </w:tcPr>
          <w:p w14:paraId="64346983">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其它事项</w:t>
            </w:r>
          </w:p>
        </w:tc>
        <w:tc>
          <w:tcPr>
            <w:tcW w:w="7014" w:type="dxa"/>
            <w:vAlign w:val="center"/>
          </w:tcPr>
          <w:p w14:paraId="31DF666C">
            <w:pPr>
              <w:pStyle w:val="106"/>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采购项目、投标报价、评审和合同授予均以项目为单位，投标人必须就一个完整项目进行响应。中标人与采购人在成交通知书发出10日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采购活动。</w:t>
            </w:r>
          </w:p>
        </w:tc>
      </w:tr>
      <w:tr w14:paraId="4DC8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8" w:type="dxa"/>
            <w:vAlign w:val="center"/>
          </w:tcPr>
          <w:p w14:paraId="0A11F540">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25</w:t>
            </w:r>
          </w:p>
        </w:tc>
        <w:tc>
          <w:tcPr>
            <w:tcW w:w="1907" w:type="dxa"/>
            <w:vAlign w:val="center"/>
          </w:tcPr>
          <w:p w14:paraId="3B6C4FC6">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招标代理服务费</w:t>
            </w:r>
          </w:p>
        </w:tc>
        <w:tc>
          <w:tcPr>
            <w:tcW w:w="7014" w:type="dxa"/>
            <w:vAlign w:val="center"/>
          </w:tcPr>
          <w:p w14:paraId="4EF02929">
            <w:pPr>
              <w:numPr>
                <w:ilvl w:val="0"/>
                <w:numId w:val="0"/>
              </w:numPr>
              <w:spacing w:line="360" w:lineRule="auto"/>
              <w:ind w:firstLine="472" w:firstLineChars="200"/>
              <w:rPr>
                <w:rFonts w:hint="eastAsia"/>
                <w:spacing w:val="-2"/>
                <w:sz w:val="24"/>
                <w:szCs w:val="24"/>
                <w:lang w:val="en-US" w:eastAsia="zh-CN"/>
              </w:rPr>
            </w:pPr>
            <w:r>
              <w:rPr>
                <w:spacing w:val="-2"/>
                <w:sz w:val="24"/>
                <w:szCs w:val="24"/>
              </w:rPr>
              <w:t>参考国家计委</w:t>
            </w:r>
            <w:r>
              <w:rPr>
                <w:spacing w:val="-46"/>
                <w:sz w:val="24"/>
                <w:szCs w:val="24"/>
              </w:rPr>
              <w:t xml:space="preserve"> </w:t>
            </w:r>
            <w:r>
              <w:rPr>
                <w:rFonts w:ascii="Times New Roman" w:hAnsi="Times New Roman" w:eastAsia="Times New Roman" w:cs="Times New Roman"/>
                <w:spacing w:val="-2"/>
                <w:sz w:val="24"/>
                <w:szCs w:val="24"/>
              </w:rPr>
              <w:t xml:space="preserve">2002 </w:t>
            </w:r>
            <w:r>
              <w:rPr>
                <w:spacing w:val="-2"/>
                <w:sz w:val="24"/>
                <w:szCs w:val="24"/>
              </w:rPr>
              <w:t>年颁发的《招标代理服务收费管理暂行办法》</w:t>
            </w:r>
            <w:r>
              <w:rPr>
                <w:rFonts w:ascii="Times New Roman" w:hAnsi="Times New Roman" w:eastAsia="Times New Roman" w:cs="Times New Roman"/>
                <w:spacing w:val="-2"/>
                <w:sz w:val="24"/>
                <w:szCs w:val="24"/>
              </w:rPr>
              <w:t>(</w:t>
            </w:r>
            <w:r>
              <w:rPr>
                <w:spacing w:val="-2"/>
                <w:sz w:val="24"/>
                <w:szCs w:val="24"/>
              </w:rPr>
              <w:t>计</w:t>
            </w:r>
            <w:r>
              <w:rPr>
                <w:spacing w:val="-3"/>
                <w:sz w:val="24"/>
                <w:szCs w:val="24"/>
              </w:rPr>
              <w:t>价格〔</w:t>
            </w:r>
            <w:r>
              <w:rPr>
                <w:rFonts w:ascii="Times New Roman" w:hAnsi="Times New Roman" w:eastAsia="Times New Roman" w:cs="Times New Roman"/>
                <w:spacing w:val="-3"/>
                <w:sz w:val="24"/>
                <w:szCs w:val="24"/>
              </w:rPr>
              <w:t>2002</w:t>
            </w:r>
            <w:r>
              <w:rPr>
                <w:spacing w:val="-3"/>
                <w:sz w:val="24"/>
                <w:szCs w:val="24"/>
              </w:rPr>
              <w:t>〕</w:t>
            </w:r>
            <w:r>
              <w:rPr>
                <w:rFonts w:ascii="Times New Roman" w:hAnsi="Times New Roman" w:eastAsia="Times New Roman" w:cs="Times New Roman"/>
                <w:spacing w:val="-3"/>
                <w:sz w:val="24"/>
                <w:szCs w:val="24"/>
              </w:rPr>
              <w:t>1980</w:t>
            </w:r>
            <w:r>
              <w:rPr>
                <w:spacing w:val="-3"/>
                <w:sz w:val="24"/>
                <w:szCs w:val="24"/>
              </w:rPr>
              <w:t>号</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2"/>
                <w:sz w:val="24"/>
                <w:szCs w:val="24"/>
              </w:rPr>
              <w:t xml:space="preserve"> </w:t>
            </w:r>
            <w:r>
              <w:rPr>
                <w:spacing w:val="-3"/>
                <w:sz w:val="24"/>
                <w:szCs w:val="24"/>
              </w:rPr>
              <w:t>、国家发展改革委员会办公厅颁发的《关于招标</w:t>
            </w:r>
            <w:r>
              <w:rPr>
                <w:spacing w:val="-10"/>
                <w:sz w:val="24"/>
                <w:szCs w:val="24"/>
              </w:rPr>
              <w:t>代理服务费收费有关问题的通知》（发改办价格〔</w:t>
            </w:r>
            <w:r>
              <w:rPr>
                <w:rFonts w:ascii="Times New Roman" w:hAnsi="Times New Roman" w:eastAsia="Times New Roman" w:cs="Times New Roman"/>
                <w:spacing w:val="-10"/>
                <w:sz w:val="24"/>
                <w:szCs w:val="24"/>
              </w:rPr>
              <w:t>2003</w:t>
            </w:r>
            <w:r>
              <w:rPr>
                <w:spacing w:val="-10"/>
                <w:sz w:val="24"/>
                <w:szCs w:val="24"/>
              </w:rPr>
              <w:t>〕</w:t>
            </w:r>
            <w:r>
              <w:rPr>
                <w:rFonts w:ascii="Times New Roman" w:hAnsi="Times New Roman" w:eastAsia="Times New Roman" w:cs="Times New Roman"/>
                <w:spacing w:val="-10"/>
                <w:sz w:val="24"/>
                <w:szCs w:val="24"/>
              </w:rPr>
              <w:t>857</w:t>
            </w:r>
            <w:r>
              <w:rPr>
                <w:spacing w:val="-10"/>
                <w:sz w:val="24"/>
                <w:szCs w:val="24"/>
              </w:rPr>
              <w:t>号）及《</w:t>
            </w:r>
            <w:r>
              <w:rPr>
                <w:color w:val="auto"/>
                <w:spacing w:val="-10"/>
                <w:sz w:val="24"/>
                <w:szCs w:val="24"/>
              </w:rPr>
              <w:t>调</w:t>
            </w:r>
            <w:r>
              <w:rPr>
                <w:color w:val="auto"/>
                <w:spacing w:val="-4"/>
                <w:sz w:val="24"/>
                <w:szCs w:val="24"/>
              </w:rPr>
              <w:t>整后的招标代理服务收费标准》</w:t>
            </w:r>
            <w:r>
              <w:rPr>
                <w:rFonts w:ascii="Times New Roman" w:hAnsi="Times New Roman" w:eastAsia="Times New Roman" w:cs="Times New Roman"/>
                <w:color w:val="auto"/>
                <w:spacing w:val="-4"/>
                <w:sz w:val="24"/>
                <w:szCs w:val="24"/>
              </w:rPr>
              <w:t>(</w:t>
            </w:r>
            <w:r>
              <w:rPr>
                <w:rFonts w:hint="eastAsia"/>
                <w:color w:val="auto"/>
                <w:spacing w:val="-2"/>
                <w:sz w:val="24"/>
                <w:szCs w:val="24"/>
                <w:lang w:val="en-US" w:eastAsia="zh-CN"/>
              </w:rPr>
              <w:t>发改价格〔2011〕534 号)规定</w:t>
            </w:r>
            <w:r>
              <w:rPr>
                <w:rFonts w:hint="eastAsia" w:asciiTheme="majorEastAsia" w:hAnsiTheme="majorEastAsia" w:eastAsiaTheme="majorEastAsia" w:cstheme="majorEastAsia"/>
                <w:color w:val="auto"/>
                <w:sz w:val="24"/>
                <w:szCs w:val="24"/>
              </w:rPr>
              <w:t>由</w:t>
            </w:r>
            <w:r>
              <w:rPr>
                <w:rFonts w:hint="eastAsia" w:asciiTheme="majorEastAsia" w:hAnsiTheme="majorEastAsia" w:eastAsiaTheme="majorEastAsia" w:cstheme="majorEastAsia"/>
                <w:color w:val="auto"/>
                <w:sz w:val="24"/>
                <w:szCs w:val="24"/>
                <w:u w:val="single"/>
                <w:lang w:val="en-US" w:eastAsia="zh-CN"/>
              </w:rPr>
              <w:t xml:space="preserve"> 中标单位 </w:t>
            </w:r>
            <w:r>
              <w:rPr>
                <w:rFonts w:hint="eastAsia" w:asciiTheme="majorEastAsia" w:hAnsiTheme="majorEastAsia" w:eastAsiaTheme="majorEastAsia" w:cstheme="majorEastAsia"/>
                <w:color w:val="auto"/>
                <w:sz w:val="24"/>
                <w:szCs w:val="24"/>
              </w:rPr>
              <w:t>一次性支付给</w:t>
            </w:r>
            <w:r>
              <w:rPr>
                <w:rFonts w:hint="eastAsia" w:asciiTheme="majorEastAsia" w:hAnsiTheme="majorEastAsia" w:eastAsiaTheme="majorEastAsia" w:cstheme="majorEastAsia"/>
                <w:color w:val="auto"/>
                <w:sz w:val="24"/>
                <w:szCs w:val="24"/>
                <w:u w:val="single"/>
              </w:rPr>
              <w:t>陕西华旭晟信项目管理有限责任公司</w:t>
            </w:r>
            <w:r>
              <w:rPr>
                <w:rFonts w:hint="eastAsia"/>
                <w:color w:val="auto"/>
                <w:spacing w:val="-2"/>
                <w:sz w:val="24"/>
                <w:szCs w:val="24"/>
                <w:lang w:val="en-US" w:eastAsia="zh-CN"/>
              </w:rPr>
              <w:t>。</w:t>
            </w:r>
          </w:p>
          <w:p w14:paraId="5F9FCB8F">
            <w:pPr>
              <w:pStyle w:val="114"/>
              <w:spacing w:before="40" w:line="350" w:lineRule="auto"/>
              <w:ind w:right="108" w:firstLine="472" w:firstLineChars="200"/>
              <w:jc w:val="both"/>
              <w:rPr>
                <w:rFonts w:hint="eastAsia"/>
                <w:spacing w:val="-2"/>
                <w:lang w:val="en-US" w:eastAsia="zh-CN"/>
              </w:rPr>
            </w:pPr>
            <w:r>
              <w:rPr>
                <w:rFonts w:hint="eastAsia"/>
                <w:spacing w:val="-2"/>
                <w:sz w:val="24"/>
                <w:szCs w:val="24"/>
                <w:lang w:val="en-US" w:eastAsia="zh-CN"/>
              </w:rPr>
              <w:t>采购代理服务费按差额定率累进法计算：</w:t>
            </w:r>
          </w:p>
          <w:tbl>
            <w:tblPr>
              <w:tblStyle w:val="25"/>
              <w:tblW w:w="6579" w:type="dxa"/>
              <w:jc w:val="center"/>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53"/>
              <w:gridCol w:w="1651"/>
              <w:gridCol w:w="1669"/>
              <w:gridCol w:w="1506"/>
            </w:tblGrid>
            <w:tr w14:paraId="3A9CBC26">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09"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3C80F13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Style w:val="28"/>
                      <w:rFonts w:hint="default" w:ascii="Arial" w:hAnsi="Arial" w:cs="Arial"/>
                      <w:b/>
                      <w:i w:val="0"/>
                      <w:caps w:val="0"/>
                      <w:color w:val="333333"/>
                      <w:spacing w:val="0"/>
                      <w:sz w:val="18"/>
                      <w:szCs w:val="18"/>
                    </w:rPr>
                    <w:t>服费务类率型</w:t>
                  </w:r>
                </w:p>
                <w:p w14:paraId="0A0B655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Style w:val="28"/>
                      <w:rFonts w:hint="default" w:ascii="Arial" w:hAnsi="Arial" w:cs="Arial"/>
                      <w:b/>
                      <w:i w:val="0"/>
                      <w:caps w:val="0"/>
                      <w:color w:val="333333"/>
                      <w:spacing w:val="0"/>
                      <w:sz w:val="18"/>
                      <w:szCs w:val="18"/>
                    </w:rPr>
                    <w:t>中标金额(万元)</w:t>
                  </w:r>
                </w:p>
              </w:tc>
              <w:tc>
                <w:tcPr>
                  <w:tcW w:w="165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0B6EB41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Style w:val="28"/>
                      <w:rFonts w:hint="default" w:ascii="Arial" w:hAnsi="Arial" w:cs="Arial"/>
                      <w:b/>
                      <w:i w:val="0"/>
                      <w:caps w:val="0"/>
                      <w:color w:val="333333"/>
                      <w:spacing w:val="0"/>
                      <w:sz w:val="18"/>
                      <w:szCs w:val="18"/>
                    </w:rPr>
                    <w:t>货物招标</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6A1DAEE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Style w:val="28"/>
                      <w:rFonts w:hint="default" w:ascii="Arial" w:hAnsi="Arial" w:cs="Arial"/>
                      <w:b/>
                      <w:i w:val="0"/>
                      <w:caps w:val="0"/>
                      <w:color w:val="333333"/>
                      <w:spacing w:val="0"/>
                      <w:sz w:val="18"/>
                      <w:szCs w:val="18"/>
                    </w:rPr>
                    <w:t>服务招标</w:t>
                  </w:r>
                </w:p>
              </w:tc>
              <w:tc>
                <w:tcPr>
                  <w:tcW w:w="1506"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1230BCC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Style w:val="28"/>
                      <w:rFonts w:hint="default" w:ascii="Arial" w:hAnsi="Arial" w:cs="Arial"/>
                      <w:b/>
                      <w:i w:val="0"/>
                      <w:caps w:val="0"/>
                      <w:color w:val="333333"/>
                      <w:spacing w:val="0"/>
                      <w:sz w:val="18"/>
                      <w:szCs w:val="18"/>
                    </w:rPr>
                    <w:t>工程招标</w:t>
                  </w:r>
                </w:p>
              </w:tc>
            </w:tr>
            <w:tr w14:paraId="4821466C">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9"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55A3BBA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100以下</w:t>
                  </w:r>
                </w:p>
              </w:tc>
              <w:tc>
                <w:tcPr>
                  <w:tcW w:w="165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33CCFBF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1.5%</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3533CEA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1.5%</w:t>
                  </w:r>
                </w:p>
              </w:tc>
              <w:tc>
                <w:tcPr>
                  <w:tcW w:w="1506"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6CC05B5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1.0%</w:t>
                  </w:r>
                </w:p>
              </w:tc>
            </w:tr>
            <w:tr w14:paraId="6441789A">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rHeight w:val="267"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60B2402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100-500</w:t>
                  </w:r>
                </w:p>
              </w:tc>
              <w:tc>
                <w:tcPr>
                  <w:tcW w:w="165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465D2A3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1.1%</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5DE8686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0.8%</w:t>
                  </w:r>
                </w:p>
              </w:tc>
              <w:tc>
                <w:tcPr>
                  <w:tcW w:w="1506"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2048C6F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0.7%</w:t>
                  </w:r>
                </w:p>
              </w:tc>
            </w:tr>
            <w:tr w14:paraId="5690E7C9">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673B680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500-1000</w:t>
                  </w:r>
                </w:p>
              </w:tc>
              <w:tc>
                <w:tcPr>
                  <w:tcW w:w="165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6DC0819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0.8%</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32FB75D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0.45%</w:t>
                  </w:r>
                </w:p>
              </w:tc>
              <w:tc>
                <w:tcPr>
                  <w:tcW w:w="1506"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7BF56BA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0.55%</w:t>
                  </w:r>
                </w:p>
              </w:tc>
            </w:tr>
            <w:tr w14:paraId="0E97398B">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70E1469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1000-5000</w:t>
                  </w:r>
                </w:p>
              </w:tc>
              <w:tc>
                <w:tcPr>
                  <w:tcW w:w="165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0C692AB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0.5%</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7027518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0.25%</w:t>
                  </w:r>
                </w:p>
              </w:tc>
              <w:tc>
                <w:tcPr>
                  <w:tcW w:w="1506"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3A92714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0.35%</w:t>
                  </w:r>
                </w:p>
              </w:tc>
            </w:tr>
            <w:tr w14:paraId="1E8374A0">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tblCellMar>
                  <w:top w:w="0" w:type="dxa"/>
                  <w:left w:w="0" w:type="dxa"/>
                  <w:bottom w:w="0" w:type="dxa"/>
                  <w:right w:w="0" w:type="dxa"/>
                </w:tblCellMar>
              </w:tblPrEx>
              <w:trPr>
                <w:trHeight w:val="263"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1D6E723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5000-10000</w:t>
                  </w:r>
                </w:p>
              </w:tc>
              <w:tc>
                <w:tcPr>
                  <w:tcW w:w="165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250B499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0.25%</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0C0CCD2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0.1%</w:t>
                  </w:r>
                </w:p>
              </w:tc>
              <w:tc>
                <w:tcPr>
                  <w:tcW w:w="1506"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0AA7A32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0.2%</w:t>
                  </w:r>
                </w:p>
              </w:tc>
            </w:tr>
            <w:tr w14:paraId="459ED942">
              <w:tblPrEx>
                <w:tblBorders>
                  <w:top w:val="single" w:color="DFDFDF" w:sz="6" w:space="0"/>
                  <w:left w:val="single" w:color="DFDFDF" w:sz="6" w:space="0"/>
                  <w:bottom w:val="single" w:color="DFDFDF" w:sz="6" w:space="0"/>
                  <w:right w:val="single" w:color="DFDFDF"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0"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3CDCA1A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1亿~5亿</w:t>
                  </w:r>
                </w:p>
              </w:tc>
              <w:tc>
                <w:tcPr>
                  <w:tcW w:w="165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6F1C75E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0.05%</w:t>
                  </w:r>
                </w:p>
              </w:tc>
              <w:tc>
                <w:tcPr>
                  <w:tcW w:w="1669"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6AE7091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0.05%</w:t>
                  </w:r>
                </w:p>
              </w:tc>
              <w:tc>
                <w:tcPr>
                  <w:tcW w:w="1506"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90" w:type="dxa"/>
                    <w:bottom w:w="30" w:type="dxa"/>
                    <w:right w:w="90" w:type="dxa"/>
                  </w:tcMar>
                  <w:vAlign w:val="center"/>
                </w:tcPr>
                <w:p w14:paraId="5F4BC1D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0"/>
                    <w:jc w:val="center"/>
                    <w:textAlignment w:val="auto"/>
                    <w:rPr>
                      <w:color w:val="333333"/>
                    </w:rPr>
                  </w:pPr>
                  <w:r>
                    <w:rPr>
                      <w:rFonts w:hint="default" w:ascii="Arial" w:hAnsi="Arial" w:cs="Arial"/>
                      <w:i w:val="0"/>
                      <w:caps w:val="0"/>
                      <w:color w:val="333333"/>
                      <w:spacing w:val="0"/>
                      <w:sz w:val="18"/>
                      <w:szCs w:val="18"/>
                    </w:rPr>
                    <w:t>0.05%</w:t>
                  </w:r>
                </w:p>
              </w:tc>
            </w:tr>
          </w:tbl>
          <w:p w14:paraId="21299583">
            <w:pPr>
              <w:pStyle w:val="114"/>
              <w:spacing w:before="40" w:line="350" w:lineRule="auto"/>
              <w:ind w:right="108" w:firstLine="440" w:firstLineChars="200"/>
              <w:jc w:val="both"/>
              <w:rPr>
                <w:spacing w:val="-10"/>
              </w:rPr>
            </w:pPr>
            <w:r>
              <w:rPr>
                <w:spacing w:val="-10"/>
              </w:rPr>
              <w:t>例如：某工程招标项目成交金额为 678.2 万元，采购代理服务费计算 如下：</w:t>
            </w:r>
          </w:p>
          <w:p w14:paraId="729B6AAB">
            <w:pPr>
              <w:pStyle w:val="114"/>
              <w:spacing w:before="40" w:line="350" w:lineRule="auto"/>
              <w:ind w:right="108" w:firstLine="440" w:firstLineChars="200"/>
              <w:jc w:val="both"/>
              <w:rPr>
                <w:spacing w:val="-10"/>
              </w:rPr>
            </w:pPr>
            <w:r>
              <w:rPr>
                <w:spacing w:val="-10"/>
              </w:rPr>
              <w:t>100 万元*1.0%=1.00 万元  (500-100)*0.7%=2.80 万元</w:t>
            </w:r>
          </w:p>
          <w:p w14:paraId="06965E93">
            <w:pPr>
              <w:pStyle w:val="114"/>
              <w:spacing w:before="40" w:line="350" w:lineRule="auto"/>
              <w:ind w:right="108" w:firstLine="440" w:firstLineChars="200"/>
              <w:jc w:val="both"/>
              <w:rPr>
                <w:spacing w:val="-10"/>
              </w:rPr>
            </w:pPr>
            <w:r>
              <w:rPr>
                <w:spacing w:val="-10"/>
              </w:rPr>
              <w:t>(678.2-500)*0.55%=0.9801 万元</w:t>
            </w:r>
          </w:p>
          <w:p w14:paraId="199846CB">
            <w:pPr>
              <w:pStyle w:val="114"/>
              <w:spacing w:before="40" w:line="350" w:lineRule="auto"/>
              <w:ind w:right="108" w:firstLine="440" w:firstLineChars="200"/>
              <w:jc w:val="both"/>
              <w:rPr>
                <w:spacing w:val="-10"/>
                <w:sz w:val="24"/>
                <w:szCs w:val="24"/>
              </w:rPr>
            </w:pPr>
            <w:r>
              <w:rPr>
                <w:spacing w:val="-10"/>
                <w:sz w:val="24"/>
                <w:szCs w:val="24"/>
              </w:rPr>
              <w:t>服务费=1.00+2.80+0.9801=4.7801 万元。</w:t>
            </w:r>
          </w:p>
          <w:p w14:paraId="1F0D2B05">
            <w:pPr>
              <w:numPr>
                <w:ilvl w:val="0"/>
                <w:numId w:val="0"/>
              </w:numPr>
              <w:spacing w:line="360" w:lineRule="auto"/>
              <w:ind w:firstLine="440" w:firstLineChars="200"/>
              <w:rPr>
                <w:rFonts w:hint="default" w:asciiTheme="majorEastAsia" w:hAnsiTheme="majorEastAsia" w:eastAsiaTheme="majorEastAsia" w:cstheme="majorEastAsia"/>
                <w:sz w:val="24"/>
                <w:lang w:val="en-US" w:eastAsia="zh-CN"/>
              </w:rPr>
            </w:pPr>
            <w:r>
              <w:rPr>
                <w:spacing w:val="-10"/>
                <w:sz w:val="24"/>
                <w:szCs w:val="24"/>
              </w:rPr>
              <w:t>本项目项目属性：</w:t>
            </w:r>
            <w:r>
              <w:rPr>
                <w:rFonts w:hint="eastAsia"/>
                <w:b/>
                <w:bCs/>
                <w:spacing w:val="-10"/>
                <w:sz w:val="24"/>
                <w:szCs w:val="24"/>
                <w:lang w:val="en-US" w:eastAsia="zh-CN"/>
              </w:rPr>
              <w:t>服务</w:t>
            </w:r>
            <w:r>
              <w:rPr>
                <w:b/>
                <w:bCs/>
                <w:spacing w:val="-10"/>
                <w:sz w:val="24"/>
                <w:szCs w:val="24"/>
              </w:rPr>
              <w:t>招标。</w:t>
            </w:r>
          </w:p>
        </w:tc>
      </w:tr>
      <w:tr w14:paraId="41CB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8" w:type="dxa"/>
            <w:vAlign w:val="center"/>
          </w:tcPr>
          <w:p w14:paraId="646DE4CE">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26</w:t>
            </w:r>
          </w:p>
        </w:tc>
        <w:tc>
          <w:tcPr>
            <w:tcW w:w="1907" w:type="dxa"/>
            <w:vAlign w:val="center"/>
          </w:tcPr>
          <w:p w14:paraId="4548F909">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关于自主上报信用承诺书说明</w:t>
            </w:r>
          </w:p>
        </w:tc>
        <w:tc>
          <w:tcPr>
            <w:tcW w:w="7014" w:type="dxa"/>
            <w:vAlign w:val="center"/>
          </w:tcPr>
          <w:p w14:paraId="2CD8A58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所有投标人按照《榆林市公共资源交易中心关于公共资源交易信用承诺网上公示的通知》（榆交易函〔2021〕19号）文件要求，于投标文件提交截止时间前自主申报信用承诺，具体操作流程详见招标文件附件1。自主上报信用承诺书具体要求事项如下：</w:t>
            </w:r>
          </w:p>
          <w:p w14:paraId="167F81FB">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1.承诺事项名称：选择《榆林市政府采购工程类/货物类/服务类项目供应商信用承诺书》；承诺事由：“填写项目名称+项目编号”；承诺附件：按招标文件第七章给定的格式填写，需上传至承诺附件；受理部门为榆林市财政局采购科；附件承诺有效期为1年，承诺起始时间为提交投标文件截止之日。</w:t>
            </w:r>
          </w:p>
          <w:p w14:paraId="7506C43A">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承诺事项名称：选择《投标人信用承诺》；承诺事由：填写“公共资源交易平台所有活动”；承诺附件：按招标文件第七章给定的格式填写，需上传至承诺附件；受理部门为榆林市公共资源交易中心；承诺有效期同投标有效期，承诺起始时间为提交投标文件截止之日。</w:t>
            </w:r>
          </w:p>
          <w:p w14:paraId="60CB430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 承诺事项名称：选择《投标信用(保证金）承诺书》；承诺事由：填写“公共资源交易平台所有活动”；承诺附件：按招标文件第七章给定的格式填写，需上传至承诺附件；受理部门为榆林市公共资源交易中心；承诺有效期同投标有效期，承诺起始时间为提交投标文件截止之日。</w:t>
            </w:r>
          </w:p>
          <w:p w14:paraId="781386C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承诺事项名称：《投标人委托代理人员信用承诺书》；承诺事由：填写“公共资源交易平台所有活动”；承诺附件：按招标文件第七章给定的格式填写，需上传至承诺附件；受理部门为榆林市公共资源交易中心；承诺有效期同投标有效期，承诺起始时间为提交投标文件截止之日。</w:t>
            </w:r>
          </w:p>
          <w:p w14:paraId="01F6406A">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注：①法定代表人直接参与投标的无须上报和提供《投标人委托代理人员信用承诺书》。</w:t>
            </w:r>
          </w:p>
          <w:p w14:paraId="53B350F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②不见面开标结束后由采购代理机构通过平台进行核实查验，未按上述要求在“信用中国（陕西榆林）”网站进行自主上报信用承诺或投标文件中所附内容与上报内容不符的将否决投标。</w:t>
            </w:r>
          </w:p>
        </w:tc>
      </w:tr>
      <w:tr w14:paraId="5FB1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8" w:type="dxa"/>
            <w:vAlign w:val="center"/>
          </w:tcPr>
          <w:p w14:paraId="0B3C8154">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27</w:t>
            </w:r>
          </w:p>
        </w:tc>
        <w:tc>
          <w:tcPr>
            <w:tcW w:w="1907" w:type="dxa"/>
            <w:vAlign w:val="center"/>
          </w:tcPr>
          <w:p w14:paraId="23780AE8">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关于中小企业执行的优惠政策说明</w:t>
            </w:r>
          </w:p>
        </w:tc>
        <w:tc>
          <w:tcPr>
            <w:tcW w:w="7014" w:type="dxa"/>
            <w:vAlign w:val="center"/>
          </w:tcPr>
          <w:p w14:paraId="417B3989">
            <w:pPr>
              <w:pStyle w:val="23"/>
              <w:spacing w:after="0" w:line="360" w:lineRule="auto"/>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sym w:font="Wingdings" w:char="00A8"/>
            </w:r>
            <w:r>
              <w:rPr>
                <w:rFonts w:hint="eastAsia" w:asciiTheme="majorEastAsia" w:hAnsiTheme="majorEastAsia" w:eastAsiaTheme="majorEastAsia" w:cstheme="majorEastAsia"/>
                <w:sz w:val="24"/>
              </w:rPr>
              <w:t>专门面向中小企业采购项目。</w:t>
            </w:r>
          </w:p>
          <w:p w14:paraId="74AA61D3">
            <w:pPr>
              <w:pStyle w:val="23"/>
              <w:spacing w:after="0" w:line="360" w:lineRule="auto"/>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sym w:font="Wingdings" w:char="00FE"/>
            </w:r>
            <w:r>
              <w:rPr>
                <w:rFonts w:hint="eastAsia" w:asciiTheme="majorEastAsia" w:hAnsiTheme="majorEastAsia" w:eastAsiaTheme="majorEastAsia" w:cstheme="majorEastAsia"/>
                <w:sz w:val="24"/>
              </w:rPr>
              <w:t>非专门面向中小企业采购项目(价格扣除)：用扣除后的价格参与评审。小微企业的价格扣除比例为20%。</w:t>
            </w:r>
          </w:p>
          <w:p w14:paraId="5A8DEB2B">
            <w:pPr>
              <w:pStyle w:val="23"/>
              <w:spacing w:after="0" w:line="360" w:lineRule="auto"/>
              <w:ind w:firstLine="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采购标的对应的中小企业划分标准所属行业：软件和信息技术服务业</w:t>
            </w:r>
          </w:p>
        </w:tc>
      </w:tr>
      <w:tr w14:paraId="3742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18" w:type="dxa"/>
            <w:vAlign w:val="center"/>
          </w:tcPr>
          <w:p w14:paraId="281740E5">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28</w:t>
            </w:r>
          </w:p>
        </w:tc>
        <w:tc>
          <w:tcPr>
            <w:tcW w:w="1907" w:type="dxa"/>
            <w:vAlign w:val="center"/>
          </w:tcPr>
          <w:p w14:paraId="5F793E47">
            <w:pPr>
              <w:pStyle w:val="17"/>
              <w:snapToGrid/>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合同价款形式</w:t>
            </w:r>
          </w:p>
        </w:tc>
        <w:tc>
          <w:tcPr>
            <w:tcW w:w="7014" w:type="dxa"/>
            <w:vAlign w:val="center"/>
          </w:tcPr>
          <w:p w14:paraId="067276D0">
            <w:pPr>
              <w:pStyle w:val="17"/>
              <w:snapToGrid/>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本采购项目签订固定总价合同。</w:t>
            </w:r>
          </w:p>
        </w:tc>
      </w:tr>
      <w:tr w14:paraId="45FD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8" w:type="dxa"/>
            <w:vAlign w:val="center"/>
          </w:tcPr>
          <w:p w14:paraId="443C005E">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29</w:t>
            </w:r>
          </w:p>
        </w:tc>
        <w:tc>
          <w:tcPr>
            <w:tcW w:w="1907" w:type="dxa"/>
            <w:vAlign w:val="center"/>
          </w:tcPr>
          <w:p w14:paraId="3B5A8A97">
            <w:pPr>
              <w:pStyle w:val="17"/>
              <w:snapToGrid/>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政采贷业务</w:t>
            </w:r>
          </w:p>
        </w:tc>
        <w:tc>
          <w:tcPr>
            <w:tcW w:w="7014" w:type="dxa"/>
            <w:vAlign w:val="center"/>
          </w:tcPr>
          <w:p w14:paraId="522E4C8E">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p>
          <w:p w14:paraId="44E56F92">
            <w:pPr>
              <w:spacing w:line="360" w:lineRule="auto"/>
              <w:rPr>
                <w:rFonts w:asciiTheme="majorEastAsia" w:hAnsiTheme="majorEastAsia" w:eastAsiaTheme="majorEastAsia" w:cstheme="majorEastAsia"/>
                <w:szCs w:val="21"/>
              </w:rPr>
            </w:pPr>
          </w:p>
          <w:tbl>
            <w:tblPr>
              <w:tblStyle w:val="25"/>
              <w:tblpPr w:leftFromText="180" w:rightFromText="180" w:vertAnchor="page" w:horzAnchor="page" w:tblpX="103" w:tblpY="3802"/>
              <w:tblOverlap w:val="never"/>
              <w:tblW w:w="6700" w:type="dxa"/>
              <w:tblInd w:w="0" w:type="dxa"/>
              <w:tblLayout w:type="fixed"/>
              <w:tblCellMar>
                <w:top w:w="0" w:type="dxa"/>
                <w:left w:w="108" w:type="dxa"/>
                <w:bottom w:w="0" w:type="dxa"/>
                <w:right w:w="108" w:type="dxa"/>
              </w:tblCellMar>
            </w:tblPr>
            <w:tblGrid>
              <w:gridCol w:w="462"/>
              <w:gridCol w:w="699"/>
              <w:gridCol w:w="1025"/>
              <w:gridCol w:w="722"/>
              <w:gridCol w:w="747"/>
              <w:gridCol w:w="791"/>
              <w:gridCol w:w="837"/>
              <w:gridCol w:w="1417"/>
            </w:tblGrid>
            <w:tr w14:paraId="62851E7B">
              <w:tblPrEx>
                <w:tblCellMar>
                  <w:top w:w="0" w:type="dxa"/>
                  <w:left w:w="108" w:type="dxa"/>
                  <w:bottom w:w="0" w:type="dxa"/>
                  <w:right w:w="108" w:type="dxa"/>
                </w:tblCellMar>
              </w:tblPrEx>
              <w:trPr>
                <w:trHeight w:val="90" w:hRule="atLeast"/>
              </w:trPr>
              <w:tc>
                <w:tcPr>
                  <w:tcW w:w="6700" w:type="dxa"/>
                  <w:gridSpan w:val="8"/>
                  <w:tcBorders>
                    <w:top w:val="nil"/>
                    <w:left w:val="nil"/>
                    <w:bottom w:val="nil"/>
                    <w:right w:val="nil"/>
                  </w:tcBorders>
                  <w:noWrap/>
                  <w:vAlign w:val="center"/>
                </w:tcPr>
                <w:p w14:paraId="3D0269B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榆林市“政采贷”业务办理银行联系表</w:t>
                  </w:r>
                </w:p>
              </w:tc>
            </w:tr>
            <w:tr w14:paraId="2AF0FB65">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408354DA">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序号</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B8E2FB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银行名称</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FB134D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产品名称</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2608A40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贷款额度</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B8FFF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贷款期限</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5C0147D">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贷款利率</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B0B6E8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办理时效</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DBFE69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联系人</w:t>
                  </w:r>
                </w:p>
              </w:tc>
            </w:tr>
            <w:tr w14:paraId="248A77D2">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0765A129">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D2B255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长安银行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7FEC30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20EDEF9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AA874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46DDBF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17BAEE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5F83B0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魏  众15109123951</w:t>
                  </w:r>
                </w:p>
              </w:tc>
            </w:tr>
            <w:tr w14:paraId="0BDAA301">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7B9A86DB">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5FD6EDE0">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中信银行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D98C060">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政采E贷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77F8ACE8">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E91F97">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1-3年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14A9B28">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3.45%起</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77E386C">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24小时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0CDC002">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高</w:t>
                  </w:r>
                  <w:r>
                    <w:rPr>
                      <w:rFonts w:hint="eastAsia" w:asciiTheme="majorEastAsia" w:hAnsiTheme="majorEastAsia" w:eastAsiaTheme="majorEastAsia" w:cstheme="majorEastAsia"/>
                      <w:color w:val="000000"/>
                      <w:kern w:val="0"/>
                      <w:szCs w:val="21"/>
                      <w:lang w:val="en-US" w:eastAsia="zh-CN"/>
                    </w:rPr>
                    <w:t xml:space="preserve">  明</w:t>
                  </w:r>
                  <w:r>
                    <w:rPr>
                      <w:rFonts w:hint="eastAsia" w:asciiTheme="majorEastAsia" w:hAnsiTheme="majorEastAsia" w:eastAsiaTheme="majorEastAsia" w:cstheme="majorEastAsia"/>
                      <w:color w:val="000000"/>
                      <w:kern w:val="0"/>
                      <w:szCs w:val="21"/>
                    </w:rPr>
                    <w:t>18992218795</w:t>
                  </w:r>
                </w:p>
              </w:tc>
            </w:tr>
            <w:tr w14:paraId="08CEBEDB">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6B6AF0E7">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1EB656B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光大银行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4FB07B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1571BC0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B465EF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FE01D7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77BCB21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F3D743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艾思宇 13509127997</w:t>
                  </w:r>
                </w:p>
              </w:tc>
            </w:tr>
            <w:tr w14:paraId="3AE6105F">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5576A454">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4</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090D73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交通银行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A8FE6B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秦政贷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11C4A22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A1440C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8A988A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FFE8A5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625D28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张  飞15291296886</w:t>
                  </w:r>
                </w:p>
              </w:tc>
            </w:tr>
            <w:tr w14:paraId="7CE01F08">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3CF0505F">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5</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683C54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中国银行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7A63CE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6AC33C3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6E6D8D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D89E59D">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6CD167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EF0931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李  浩18691230007</w:t>
                  </w:r>
                </w:p>
              </w:tc>
            </w:tr>
            <w:tr w14:paraId="287B1738">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57C1ED1D">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5885AAF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招商银行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DEBA04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124FDEA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3B53B1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64559A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3.45%起</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458B0EDE">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C164D6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马  烨15596100007</w:t>
                  </w:r>
                </w:p>
              </w:tc>
            </w:tr>
            <w:tr w14:paraId="0D5D6E7A">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398D627F">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32C02609">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浦发银行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1723AF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政采E贷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62C9B56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A2FB4B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E2600F8">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3.8%</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25467B0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67F10F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朱  君15629169158</w:t>
                  </w:r>
                </w:p>
              </w:tc>
            </w:tr>
            <w:tr w14:paraId="637C0A0D">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6CA077F9">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8</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193A8CF6">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农商银行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AE93AE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596F2E5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9D8DF2F">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1-2年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7B73C90">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3.45%-5.8%</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7E7C2F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DBCBE9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王  璐15529875056</w:t>
                  </w:r>
                </w:p>
              </w:tc>
            </w:tr>
            <w:tr w14:paraId="16F98D34">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6DE8349E">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9</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5443771A">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农业银行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E11E4E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2D8319DB">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5D8A132">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381FB0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3.45%-3.85%</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727992F">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ADADC64">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米璐洁18966997666</w:t>
                  </w:r>
                </w:p>
              </w:tc>
            </w:tr>
            <w:tr w14:paraId="7D1FAD80">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3E451B71">
                  <w:pPr>
                    <w:widowControl/>
                    <w:jc w:val="center"/>
                    <w:textAlignment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5E6323AC">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民生银行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4FF967E">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政采E贷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086FCD65">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3000万元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A99A213">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C5AE39D">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3.45%起</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C9423A1">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5E6451F">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郝双双15991225850</w:t>
                  </w:r>
                </w:p>
              </w:tc>
            </w:tr>
            <w:tr w14:paraId="1D6D963F">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0B041267">
                  <w:pPr>
                    <w:widowControl/>
                    <w:jc w:val="center"/>
                    <w:textAlignment w:val="center"/>
                    <w:rPr>
                      <w:rFonts w:hint="default"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11</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02265CB5">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兴业银行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48E070E">
                  <w:pPr>
                    <w:widowControl/>
                    <w:jc w:val="center"/>
                    <w:textAlignment w:val="center"/>
                    <w:rPr>
                      <w:rFonts w:hint="eastAsia" w:asciiTheme="majorEastAsia" w:hAnsiTheme="majorEastAsia" w:eastAsiaTheme="majorEastAsia" w:cstheme="majorEastAsia"/>
                      <w:color w:val="000000"/>
                      <w:kern w:val="0"/>
                      <w:szCs w:val="21"/>
                      <w:lang w:eastAsia="zh-CN"/>
                    </w:rPr>
                  </w:pPr>
                  <w:r>
                    <w:rPr>
                      <w:rFonts w:hint="eastAsia" w:asciiTheme="majorEastAsia" w:hAnsiTheme="majorEastAsia" w:eastAsiaTheme="majorEastAsia" w:cstheme="majorEastAsia"/>
                      <w:color w:val="000000"/>
                      <w:kern w:val="0"/>
                      <w:szCs w:val="21"/>
                    </w:rPr>
                    <w:t>政采贷</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07EC98E7">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1000 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5442A7B">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1年期</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BEFDBED">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3.4%</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5DE0CF24">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72 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089A176">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薛万隆18709258523</w:t>
                  </w:r>
                </w:p>
              </w:tc>
            </w:tr>
            <w:tr w14:paraId="76F0FAC2">
              <w:tblPrEx>
                <w:tblCellMar>
                  <w:top w:w="0" w:type="dxa"/>
                  <w:left w:w="108" w:type="dxa"/>
                  <w:bottom w:w="0" w:type="dxa"/>
                  <w:right w:w="108" w:type="dxa"/>
                </w:tblCellMar>
              </w:tblPrEx>
              <w:trPr>
                <w:trHeight w:val="40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14:paraId="658EA6FA">
                  <w:pPr>
                    <w:widowControl/>
                    <w:jc w:val="center"/>
                    <w:textAlignment w:val="center"/>
                    <w:rPr>
                      <w:rFonts w:hint="default" w:asciiTheme="majorEastAsia" w:hAnsiTheme="majorEastAsia" w:eastAsiaTheme="majorEastAsia" w:cstheme="majorEastAsia"/>
                      <w:color w:val="000000"/>
                      <w:kern w:val="0"/>
                      <w:szCs w:val="21"/>
                      <w:lang w:val="en-US" w:eastAsia="zh-CN"/>
                    </w:rPr>
                  </w:pPr>
                  <w:r>
                    <w:rPr>
                      <w:rFonts w:hint="eastAsia" w:asciiTheme="majorEastAsia" w:hAnsiTheme="majorEastAsia" w:eastAsiaTheme="majorEastAsia" w:cstheme="majorEastAsia"/>
                      <w:color w:val="000000"/>
                      <w:kern w:val="0"/>
                      <w:szCs w:val="21"/>
                      <w:lang w:val="en-US" w:eastAsia="zh-CN"/>
                    </w:rPr>
                    <w:t>12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D09F010">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广发银行</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0D2F71F">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政采通</w:t>
                  </w:r>
                </w:p>
              </w:tc>
              <w:tc>
                <w:tcPr>
                  <w:tcW w:w="722" w:type="dxa"/>
                  <w:tcBorders>
                    <w:top w:val="single" w:color="000000" w:sz="4" w:space="0"/>
                    <w:left w:val="single" w:color="000000" w:sz="4" w:space="0"/>
                    <w:bottom w:val="single" w:color="000000" w:sz="4" w:space="0"/>
                    <w:right w:val="single" w:color="000000" w:sz="4" w:space="0"/>
                  </w:tcBorders>
                  <w:noWrap/>
                  <w:vAlign w:val="center"/>
                </w:tcPr>
                <w:p w14:paraId="6A80789E">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1000 万元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0F91D1F">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1年</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16693BE">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3.45%起</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3896FF9">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24小时</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2F8C0C0">
                  <w:pPr>
                    <w:widowControl/>
                    <w:jc w:val="center"/>
                    <w:textAlignment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李思嘉15191820101</w:t>
                  </w:r>
                </w:p>
              </w:tc>
            </w:tr>
          </w:tbl>
          <w:p w14:paraId="0E7A5A43">
            <w:pPr>
              <w:pStyle w:val="17"/>
              <w:snapToGrid/>
              <w:spacing w:line="36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rPr>
              <w:t>备注：银行排名不分先后。如产品额度、期限、利率等内容发生改变，以银行解释为准。</w:t>
            </w:r>
          </w:p>
        </w:tc>
      </w:tr>
      <w:tr w14:paraId="396B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18" w:type="dxa"/>
            <w:vAlign w:val="center"/>
          </w:tcPr>
          <w:p w14:paraId="5CA2CD1D">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w:t>
            </w:r>
          </w:p>
        </w:tc>
        <w:tc>
          <w:tcPr>
            <w:tcW w:w="1907" w:type="dxa"/>
            <w:vAlign w:val="center"/>
          </w:tcPr>
          <w:p w14:paraId="2F16BACC">
            <w:pPr>
              <w:pStyle w:val="17"/>
              <w:snapToGrid/>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其他</w:t>
            </w:r>
          </w:p>
        </w:tc>
        <w:tc>
          <w:tcPr>
            <w:tcW w:w="7014" w:type="dxa"/>
            <w:vAlign w:val="center"/>
          </w:tcPr>
          <w:p w14:paraId="0A71FE94">
            <w:pPr>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招标文件与媒体发布的采购公告不一致时，以采购公告为准；正文与投标人须知前附表表述不一致时，以投标人须知前附表为准。</w:t>
            </w:r>
          </w:p>
        </w:tc>
      </w:tr>
    </w:tbl>
    <w:p w14:paraId="197870C1">
      <w:pPr>
        <w:jc w:val="center"/>
        <w:rPr>
          <w:rFonts w:asciiTheme="majorEastAsia" w:hAnsiTheme="majorEastAsia" w:eastAsiaTheme="majorEastAsia" w:cstheme="majorEastAsia"/>
          <w:b/>
          <w:sz w:val="30"/>
          <w:szCs w:val="30"/>
        </w:rPr>
      </w:pPr>
    </w:p>
    <w:p w14:paraId="58648345">
      <w:pPr>
        <w:jc w:val="center"/>
        <w:outlineLvl w:val="0"/>
        <w:rPr>
          <w:rFonts w:asciiTheme="majorEastAsia" w:hAnsiTheme="majorEastAsia" w:eastAsiaTheme="majorEastAsia" w:cstheme="majorEastAsia"/>
          <w:b/>
          <w:sz w:val="30"/>
          <w:szCs w:val="30"/>
        </w:rPr>
        <w:sectPr>
          <w:headerReference r:id="rId4" w:type="default"/>
          <w:footerReference r:id="rId5" w:type="default"/>
          <w:pgSz w:w="11900" w:h="16838"/>
          <w:pgMar w:top="1429" w:right="1417" w:bottom="1417" w:left="1417" w:header="850" w:footer="850" w:gutter="0"/>
          <w:cols w:space="720" w:num="1"/>
          <w:docGrid w:linePitch="326" w:charSpace="0"/>
        </w:sectPr>
      </w:pPr>
    </w:p>
    <w:p w14:paraId="4EB4D435">
      <w:pPr>
        <w:jc w:val="center"/>
        <w:outlineLvl w:val="0"/>
        <w:rPr>
          <w:rFonts w:asciiTheme="majorEastAsia" w:hAnsiTheme="majorEastAsia" w:eastAsiaTheme="majorEastAsia" w:cstheme="majorEastAsia"/>
          <w:b/>
          <w:sz w:val="30"/>
          <w:szCs w:val="30"/>
        </w:rPr>
      </w:pPr>
      <w:bookmarkStart w:id="27" w:name="_Toc27150"/>
      <w:r>
        <w:rPr>
          <w:rFonts w:hint="eastAsia" w:asciiTheme="majorEastAsia" w:hAnsiTheme="majorEastAsia" w:eastAsiaTheme="majorEastAsia" w:cstheme="majorEastAsia"/>
          <w:b/>
          <w:sz w:val="30"/>
          <w:szCs w:val="30"/>
        </w:rPr>
        <w:t>第三章  投标须知</w:t>
      </w:r>
      <w:bookmarkEnd w:id="27"/>
    </w:p>
    <w:p w14:paraId="6C321E87">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一、总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6B94A37">
      <w:pPr>
        <w:spacing w:line="360" w:lineRule="auto"/>
        <w:ind w:firstLine="470"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本次招标依据《中华人民共和国政府采购法》、《政府采购货物和服务招标投标管理办法》、及国家现行有关法律法规执行。</w:t>
      </w:r>
    </w:p>
    <w:p w14:paraId="612D00CB">
      <w:pPr>
        <w:spacing w:line="360" w:lineRule="auto"/>
        <w:ind w:firstLine="472" w:firstLineChars="196"/>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1．采购人、采购代理机构、监督管理机构</w:t>
      </w:r>
    </w:p>
    <w:p w14:paraId="36F047F5">
      <w:pPr>
        <w:spacing w:line="360" w:lineRule="auto"/>
        <w:ind w:firstLine="470" w:firstLineChars="196"/>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1.1 采   购   人：</w:t>
      </w:r>
      <w:r>
        <w:rPr>
          <w:rFonts w:hint="eastAsia" w:asciiTheme="majorEastAsia" w:hAnsiTheme="majorEastAsia" w:eastAsiaTheme="majorEastAsia" w:cstheme="majorEastAsia"/>
          <w:sz w:val="24"/>
          <w:lang w:eastAsia="zh-CN"/>
        </w:rPr>
        <w:t>子洲县马蹄沟镇人民政府</w:t>
      </w:r>
    </w:p>
    <w:p w14:paraId="4D8B8A4B">
      <w:pPr>
        <w:spacing w:line="360" w:lineRule="auto"/>
        <w:ind w:firstLine="470"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 采购代理机构：陕西华旭晟信项目管理有限责任公司</w:t>
      </w:r>
    </w:p>
    <w:p w14:paraId="21CFF261">
      <w:pPr>
        <w:spacing w:line="360" w:lineRule="auto"/>
        <w:ind w:firstLine="470"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 监督管理机构：</w:t>
      </w:r>
      <w:r>
        <w:rPr>
          <w:rFonts w:hint="eastAsia" w:asciiTheme="majorEastAsia" w:hAnsiTheme="majorEastAsia" w:eastAsiaTheme="majorEastAsia" w:cstheme="majorEastAsia"/>
          <w:sz w:val="24"/>
          <w:lang w:val="en-US" w:eastAsia="zh-CN"/>
        </w:rPr>
        <w:t>子洲县</w:t>
      </w:r>
      <w:r>
        <w:rPr>
          <w:rFonts w:hint="eastAsia" w:asciiTheme="majorEastAsia" w:hAnsiTheme="majorEastAsia" w:eastAsiaTheme="majorEastAsia" w:cstheme="majorEastAsia"/>
          <w:sz w:val="24"/>
        </w:rPr>
        <w:t>财政局</w:t>
      </w:r>
    </w:p>
    <w:p w14:paraId="47F9C525">
      <w:pPr>
        <w:spacing w:line="360" w:lineRule="auto"/>
        <w:ind w:firstLine="472"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2．合格的投标人、合格的服务</w:t>
      </w:r>
    </w:p>
    <w:p w14:paraId="4B8D269B">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2.1 合格的投标人</w:t>
      </w:r>
    </w:p>
    <w:p w14:paraId="2E36EB11">
      <w:pPr>
        <w:spacing w:line="360" w:lineRule="auto"/>
        <w:ind w:firstLine="470"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2.1.1 资质要求：</w:t>
      </w:r>
    </w:p>
    <w:p w14:paraId="0A96A319">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1、符合《中华人民共和国政府采购法》第二十二条的规定；</w:t>
      </w:r>
    </w:p>
    <w:p w14:paraId="597F5389">
      <w:pPr>
        <w:pStyle w:val="22"/>
        <w:spacing w:line="360" w:lineRule="auto"/>
        <w:ind w:firstLine="420"/>
        <w:rPr>
          <w:rFonts w:asciiTheme="majorEastAsia" w:hAnsiTheme="majorEastAsia" w:eastAsiaTheme="majorEastAsia" w:cstheme="majorEastAsia"/>
          <w:bCs/>
        </w:rPr>
      </w:pPr>
      <w:r>
        <w:rPr>
          <w:rFonts w:hint="eastAsia" w:asciiTheme="majorEastAsia" w:hAnsiTheme="majorEastAsia" w:eastAsiaTheme="majorEastAsia" w:cstheme="majorEastAsia"/>
          <w:bCs/>
        </w:rPr>
        <w:t>2、落实政府采购政策需满足的资格要求：详见招标公告</w:t>
      </w:r>
    </w:p>
    <w:p w14:paraId="036BA856">
      <w:pPr>
        <w:pStyle w:val="22"/>
        <w:spacing w:line="360" w:lineRule="auto"/>
        <w:ind w:firstLine="420"/>
        <w:rPr>
          <w:rFonts w:asciiTheme="majorEastAsia" w:hAnsiTheme="majorEastAsia" w:eastAsiaTheme="majorEastAsia" w:cstheme="majorEastAsia"/>
          <w:bCs/>
        </w:rPr>
      </w:pPr>
      <w:r>
        <w:rPr>
          <w:rFonts w:hint="eastAsia" w:asciiTheme="majorEastAsia" w:hAnsiTheme="majorEastAsia" w:eastAsiaTheme="majorEastAsia" w:cstheme="majorEastAsia"/>
          <w:bCs/>
        </w:rPr>
        <w:t>3、本项目的特定资格要求：详见招标公告</w:t>
      </w:r>
    </w:p>
    <w:p w14:paraId="19EDC41D">
      <w:pPr>
        <w:pStyle w:val="10"/>
        <w:spacing w:after="0"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 xml:space="preserve"> 2.1.1.2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7F23410C">
      <w:pPr>
        <w:pStyle w:val="10"/>
        <w:spacing w:after="0"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2.1.2 本项目不接受联合体投标。</w:t>
      </w:r>
    </w:p>
    <w:p w14:paraId="7B76944F">
      <w:pPr>
        <w:spacing w:line="360" w:lineRule="auto"/>
        <w:ind w:firstLine="472" w:firstLineChars="196"/>
        <w:rPr>
          <w:rFonts w:asciiTheme="majorEastAsia" w:hAnsiTheme="majorEastAsia" w:eastAsiaTheme="majorEastAsia" w:cstheme="majorEastAsia"/>
          <w:b/>
          <w:sz w:val="24"/>
        </w:rPr>
      </w:pPr>
      <w:bookmarkStart w:id="28" w:name="_Toc167591479"/>
      <w:bookmarkStart w:id="29" w:name="_Toc170980441"/>
      <w:bookmarkStart w:id="30" w:name="_Toc169838519"/>
      <w:bookmarkStart w:id="31" w:name="_Toc167591317"/>
      <w:bookmarkStart w:id="32" w:name="_Toc167590762"/>
      <w:bookmarkStart w:id="33" w:name="_Toc167849347"/>
      <w:bookmarkStart w:id="34" w:name="_Toc244623578"/>
      <w:bookmarkStart w:id="35" w:name="_Toc175033579"/>
      <w:bookmarkStart w:id="36" w:name="_Toc169846763"/>
      <w:bookmarkStart w:id="37" w:name="_Toc245658521"/>
      <w:bookmarkStart w:id="38" w:name="_Toc170980539"/>
      <w:bookmarkStart w:id="39" w:name="_Toc169846860"/>
      <w:bookmarkStart w:id="40" w:name="_Toc245176652"/>
      <w:bookmarkStart w:id="41" w:name="_Toc245657540"/>
      <w:bookmarkStart w:id="42" w:name="_Toc208337151"/>
      <w:bookmarkStart w:id="43" w:name="_Toc154482466"/>
      <w:bookmarkStart w:id="44" w:name="_Toc173549965"/>
      <w:bookmarkStart w:id="45" w:name="_Toc167591131"/>
      <w:bookmarkStart w:id="46" w:name="_Toc167591030"/>
      <w:bookmarkStart w:id="47" w:name="_Toc207897903"/>
      <w:bookmarkStart w:id="48" w:name="_Toc175032424"/>
      <w:r>
        <w:rPr>
          <w:rFonts w:hint="eastAsia" w:asciiTheme="majorEastAsia" w:hAnsiTheme="majorEastAsia" w:eastAsiaTheme="majorEastAsia" w:cstheme="majorEastAsia"/>
          <w:b/>
          <w:sz w:val="24"/>
        </w:rPr>
        <w:t>2.2 合格的货物（产品）和服务</w:t>
      </w:r>
    </w:p>
    <w:p w14:paraId="6B96AC54">
      <w:pPr>
        <w:spacing w:line="360" w:lineRule="auto"/>
        <w:ind w:firstLine="470" w:firstLineChars="196"/>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2.2.1投标人提供的所有货物和服务，必须是合法生产、合法来源，符合国家有关标准要求，并满足招标文件规定的规格、参数、质量、价格、有效期、售后服务及投标人须承担的运输和招标文件规定的其它伴随服务等要求。</w:t>
      </w:r>
    </w:p>
    <w:p w14:paraId="7138BC1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2.2.2 采购人有权拒绝接受任何不合格的货物和服务，由此产生的费用及相关后果均由投标人自行承担。</w:t>
      </w:r>
    </w:p>
    <w:p w14:paraId="3EA1849F">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3．投标费用</w:t>
      </w:r>
    </w:p>
    <w:p w14:paraId="6222A1C8">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投标人应承担所有与准备和参加投标有关的费用。</w:t>
      </w:r>
    </w:p>
    <w:p w14:paraId="55686BA4">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二、招标文件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C206CDE">
      <w:pPr>
        <w:spacing w:line="360" w:lineRule="auto"/>
        <w:ind w:firstLine="482"/>
        <w:rPr>
          <w:rFonts w:asciiTheme="majorEastAsia" w:hAnsiTheme="majorEastAsia" w:eastAsiaTheme="majorEastAsia" w:cstheme="majorEastAsia"/>
          <w:b/>
          <w:kern w:val="1"/>
          <w:sz w:val="24"/>
        </w:rPr>
      </w:pPr>
      <w:bookmarkStart w:id="49" w:name="_Toc170980540"/>
      <w:bookmarkStart w:id="50" w:name="_Toc208337152"/>
      <w:bookmarkStart w:id="51" w:name="_Toc167849348"/>
      <w:bookmarkStart w:id="52" w:name="_Toc167591318"/>
      <w:bookmarkStart w:id="53" w:name="_Toc173549966"/>
      <w:bookmarkStart w:id="54" w:name="_Toc170980442"/>
      <w:bookmarkStart w:id="55" w:name="_Toc175032425"/>
      <w:bookmarkStart w:id="56" w:name="_Toc175033580"/>
      <w:bookmarkStart w:id="57" w:name="_Toc167591480"/>
      <w:bookmarkStart w:id="58" w:name="_Toc244623579"/>
      <w:bookmarkStart w:id="59" w:name="_Toc207897904"/>
      <w:bookmarkStart w:id="60" w:name="_Toc245657541"/>
      <w:bookmarkStart w:id="61" w:name="_Toc245658522"/>
      <w:bookmarkStart w:id="62" w:name="_Toc167590763"/>
      <w:bookmarkStart w:id="63" w:name="_Toc169846764"/>
      <w:bookmarkStart w:id="64" w:name="_Toc169846861"/>
      <w:bookmarkStart w:id="65" w:name="_Toc167591031"/>
      <w:bookmarkStart w:id="66" w:name="_Toc245176653"/>
      <w:bookmarkStart w:id="67" w:name="_Toc169838520"/>
      <w:bookmarkStart w:id="68" w:name="_Toc167591132"/>
      <w:bookmarkStart w:id="69" w:name="_Toc154482467"/>
      <w:r>
        <w:rPr>
          <w:rFonts w:hint="eastAsia" w:asciiTheme="majorEastAsia" w:hAnsiTheme="majorEastAsia" w:eastAsiaTheme="majorEastAsia" w:cstheme="majorEastAsia"/>
          <w:b/>
          <w:kern w:val="1"/>
          <w:sz w:val="24"/>
        </w:rPr>
        <w:t>4．招标文件构成</w:t>
      </w:r>
    </w:p>
    <w:p w14:paraId="39FCF95B">
      <w:pPr>
        <w:spacing w:line="360" w:lineRule="auto"/>
        <w:ind w:firstLine="47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招标文件包括下列内容：</w:t>
      </w:r>
    </w:p>
    <w:p w14:paraId="7B857CE1">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第一章  招标公告</w:t>
      </w:r>
    </w:p>
    <w:p w14:paraId="4B08A212">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第二章  投标须知前附表</w:t>
      </w:r>
    </w:p>
    <w:p w14:paraId="055F77FE">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第三章  投标须知</w:t>
      </w:r>
    </w:p>
    <w:p w14:paraId="7F53D8A6">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第四章  采购内容及技术要求</w:t>
      </w:r>
    </w:p>
    <w:p w14:paraId="239A1DA1">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第五章  商务条款</w:t>
      </w:r>
    </w:p>
    <w:p w14:paraId="4919093A">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 xml:space="preserve">第六章  合同条款  </w:t>
      </w:r>
    </w:p>
    <w:p w14:paraId="69938EFE">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第七章  投标文件基本格式</w:t>
      </w:r>
    </w:p>
    <w:p w14:paraId="75FE326E">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第八章  榆林市公共资源交易平台全流程电子化政府采购项目内容</w:t>
      </w:r>
    </w:p>
    <w:p w14:paraId="5E980CD8">
      <w:pPr>
        <w:spacing w:line="360" w:lineRule="auto"/>
        <w:ind w:firstLine="482"/>
        <w:rPr>
          <w:rFonts w:asciiTheme="majorEastAsia" w:hAnsiTheme="majorEastAsia" w:eastAsiaTheme="majorEastAsia" w:cstheme="majorEastAsia"/>
          <w:b/>
          <w:kern w:val="1"/>
          <w:sz w:val="24"/>
        </w:rPr>
      </w:pPr>
      <w:r>
        <w:rPr>
          <w:rFonts w:hint="eastAsia" w:asciiTheme="majorEastAsia" w:hAnsiTheme="majorEastAsia" w:eastAsiaTheme="majorEastAsia" w:cstheme="majorEastAsia"/>
          <w:b/>
          <w:kern w:val="1"/>
          <w:sz w:val="24"/>
        </w:rPr>
        <w:t>5．招标文件的澄清和修改</w:t>
      </w:r>
    </w:p>
    <w:p w14:paraId="0DE6814E">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 xml:space="preserve">5.1 </w:t>
      </w:r>
      <w:r>
        <w:rPr>
          <w:rFonts w:hint="eastAsia" w:asciiTheme="majorEastAsia" w:hAnsiTheme="majorEastAsia" w:eastAsiaTheme="majorEastAsia" w:cstheme="majorEastAsia"/>
          <w:sz w:val="24"/>
        </w:rPr>
        <w:t>采购代理机构可以对已发出的招标文件进行必要的澄清或者修改，</w:t>
      </w:r>
      <w:r>
        <w:rPr>
          <w:rFonts w:hint="eastAsia" w:asciiTheme="majorEastAsia" w:hAnsiTheme="majorEastAsia" w:eastAsiaTheme="majorEastAsia" w:cstheme="majorEastAsia"/>
          <w:b/>
          <w:sz w:val="24"/>
        </w:rPr>
        <w:t>但不得改变采购标的和资格条件。</w:t>
      </w:r>
      <w:r>
        <w:rPr>
          <w:rFonts w:hint="eastAsia" w:asciiTheme="majorEastAsia" w:hAnsiTheme="majorEastAsia" w:eastAsiaTheme="majorEastAsia" w:cstheme="majorEastAsia"/>
          <w:sz w:val="24"/>
        </w:rPr>
        <w:t>澄清或者修改应将在原公告发布媒体上发布澄清公告，其内容为招标文件的组成部分。</w:t>
      </w:r>
    </w:p>
    <w:p w14:paraId="157DC41B">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5.2 澄清或者修改的内容可能影响投标文件编制的，采购代理机构将在投标截止时间至少15日前，在原公告发布媒体上发布更正公告；不足15日，采购代理机构将顺延提交投标文件的截止时间。</w:t>
      </w:r>
    </w:p>
    <w:p w14:paraId="3DB4C8AD">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 xml:space="preserve">5.3 </w:t>
      </w:r>
      <w:r>
        <w:rPr>
          <w:rFonts w:hint="eastAsia" w:asciiTheme="majorEastAsia" w:hAnsiTheme="majorEastAsia" w:eastAsiaTheme="majorEastAsia" w:cstheme="majorEastAsia"/>
          <w:sz w:val="24"/>
        </w:rPr>
        <w:t>各投标人在提交投标文件截止时间之前，应随时关注下列地址发布的变更公告，也可登录全国公共资源交易平台（陕西省）政府采购交易系统查看左上角的信息提醒，采购代理机构</w:t>
      </w:r>
      <w:r>
        <w:rPr>
          <w:rFonts w:hint="eastAsia" w:asciiTheme="majorEastAsia" w:hAnsiTheme="majorEastAsia" w:eastAsiaTheme="majorEastAsia" w:cstheme="majorEastAsia"/>
          <w:b/>
          <w:sz w:val="24"/>
        </w:rPr>
        <w:t>不再单独通知，因投标人未及时关注所造成的一切后果由投标人自行承担：</w:t>
      </w:r>
    </w:p>
    <w:p w14:paraId="5B2E2034">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fldChar w:fldCharType="begin"/>
      </w:r>
      <w:r>
        <w:instrText xml:space="preserve"> HYPERLINK "http://www.ccgp-shaanxi.gov.cn" </w:instrText>
      </w:r>
      <w:r>
        <w:fldChar w:fldCharType="separate"/>
      </w:r>
      <w:r>
        <w:rPr>
          <w:rStyle w:val="35"/>
          <w:rFonts w:hint="default" w:asciiTheme="majorEastAsia" w:hAnsiTheme="majorEastAsia" w:eastAsiaTheme="majorEastAsia" w:cstheme="majorEastAsia"/>
          <w:color w:val="auto"/>
          <w:sz w:val="24"/>
          <w:szCs w:val="24"/>
        </w:rPr>
        <w:t>陕西省政府采购网</w:t>
      </w:r>
      <w:r>
        <w:rPr>
          <w:rStyle w:val="35"/>
          <w:rFonts w:hint="default" w:asciiTheme="majorEastAsia" w:hAnsiTheme="majorEastAsia" w:eastAsiaTheme="majorEastAsia" w:cstheme="majorEastAsia"/>
          <w:color w:val="auto"/>
          <w:sz w:val="24"/>
          <w:szCs w:val="24"/>
        </w:rPr>
        <w:fldChar w:fldCharType="end"/>
      </w:r>
      <w:r>
        <w:rPr>
          <w:rFonts w:hint="eastAsia" w:asciiTheme="majorEastAsia" w:hAnsiTheme="majorEastAsia" w:eastAsiaTheme="majorEastAsia" w:cstheme="majorEastAsia"/>
          <w:sz w:val="24"/>
        </w:rPr>
        <w:t>（www.ccgp-shaanxi.gov.cn）】中的〖首页·〉省级公告·〉更正公告〗；</w:t>
      </w:r>
    </w:p>
    <w:p w14:paraId="3251CD6B">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sz w:val="24"/>
        </w:rPr>
        <w:t>（2）【全国公共资源交易平台（陕西省）（http://www.sxggzyjy.cn/）】中的〖首页·〉交易大厅·〉政府采购〗。</w:t>
      </w:r>
    </w:p>
    <w:p w14:paraId="420D663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6招标文件的解释权归采购代理机构。</w:t>
      </w:r>
    </w:p>
    <w:p w14:paraId="0556C212">
      <w:pPr>
        <w:spacing w:beforeLines="50" w:afterLines="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三、投标文件的编制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72D5D07">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7．编制要求</w:t>
      </w:r>
    </w:p>
    <w:p w14:paraId="3E846669">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7.1 投标人应认真阅读招标文件的所有内容，严格按照招标文件的要求编制和提供投标文件，并保证所提供的全部资料的真实性，使投标文件对招标文件作出实质性响应。如果投标人在投标文件中没有按照招标文件要求提交全部资料或者投标文件没有对招标文件在各方面都做出实质性响应，其投标将被拒绝。</w:t>
      </w:r>
    </w:p>
    <w:p w14:paraId="71EAEE6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7.2 投标人提交的投标文件（包括项目的技术资料）以及投标人与采购代理机构就有关投标的所有来往函电均应以中文书写。</w:t>
      </w:r>
    </w:p>
    <w:p w14:paraId="1BE6BDE4">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8．投标文件构成和格式</w:t>
      </w:r>
    </w:p>
    <w:p w14:paraId="0D001769">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8.1 投标人编写的投标文件应按招标文件提供的相应格式按顺序编写。</w:t>
      </w:r>
    </w:p>
    <w:p w14:paraId="18F7E946">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8.2 投标人应按照本须知第8.1条的内容及第六章提供的格式编写投标文件，不得缺少招标文件要求填写的表格或提交的资料。</w:t>
      </w:r>
    </w:p>
    <w:p w14:paraId="5127812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8.3 投标人应将投标文件按本须知第8.1条规定的顺序编排并应编制目录，</w:t>
      </w:r>
      <w:r>
        <w:rPr>
          <w:rFonts w:hint="eastAsia" w:asciiTheme="majorEastAsia" w:hAnsiTheme="majorEastAsia" w:eastAsiaTheme="majorEastAsia" w:cstheme="majorEastAsia"/>
          <w:b/>
          <w:kern w:val="1"/>
          <w:sz w:val="24"/>
        </w:rPr>
        <w:t>采用胶装方式装订成册。</w:t>
      </w:r>
    </w:p>
    <w:p w14:paraId="458F5436">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9．投标报价</w:t>
      </w:r>
    </w:p>
    <w:p w14:paraId="24D575EE">
      <w:pPr>
        <w:spacing w:line="360" w:lineRule="auto"/>
        <w:ind w:firstLine="480" w:firstLineChars="200"/>
        <w:rPr>
          <w:rFonts w:hint="eastAsia" w:ascii="宋体" w:hAnsi="宋体" w:eastAsia="宋体" w:cs="宋体"/>
          <w:sz w:val="24"/>
          <w:szCs w:val="24"/>
          <w:highlight w:val="none"/>
        </w:rPr>
      </w:pPr>
      <w:r>
        <w:rPr>
          <w:rFonts w:hint="eastAsia" w:asciiTheme="majorEastAsia" w:hAnsiTheme="majorEastAsia" w:eastAsiaTheme="majorEastAsia" w:cstheme="majorEastAsia"/>
          <w:sz w:val="24"/>
        </w:rPr>
        <w:t>9.1 投标报价为完成本项目所要求</w:t>
      </w:r>
      <w:r>
        <w:rPr>
          <w:rFonts w:hint="eastAsia" w:asciiTheme="majorEastAsia" w:hAnsiTheme="majorEastAsia" w:eastAsiaTheme="majorEastAsia" w:cstheme="majorEastAsia"/>
          <w:sz w:val="24"/>
          <w:lang w:val="en-US" w:eastAsia="zh-CN"/>
        </w:rPr>
        <w:t>的</w:t>
      </w:r>
      <w:r>
        <w:rPr>
          <w:rFonts w:hint="eastAsia" w:ascii="宋体" w:hAnsi="宋体" w:eastAsia="宋体" w:cs="宋体"/>
          <w:sz w:val="24"/>
          <w:szCs w:val="24"/>
          <w:highlight w:val="none"/>
        </w:rPr>
        <w:t>全部工作内容的价格体现，包括投标人完成本项目所需的一切费用（包括产品运输、安装调试、保险、后期技术支持、税费、招标文件规定的其它费用）。</w:t>
      </w:r>
    </w:p>
    <w:p w14:paraId="52460D8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9.2 </w:t>
      </w:r>
      <w:r>
        <w:rPr>
          <w:rFonts w:hint="eastAsia" w:asciiTheme="majorEastAsia" w:hAnsiTheme="majorEastAsia" w:eastAsiaTheme="majorEastAsia" w:cstheme="majorEastAsia"/>
          <w:snapToGrid w:val="0"/>
          <w:sz w:val="24"/>
        </w:rPr>
        <w:t>投标人须对</w:t>
      </w:r>
      <w:r>
        <w:rPr>
          <w:rFonts w:hint="eastAsia" w:asciiTheme="majorEastAsia" w:hAnsiTheme="majorEastAsia" w:eastAsiaTheme="majorEastAsia" w:cstheme="majorEastAsia"/>
          <w:sz w:val="24"/>
        </w:rPr>
        <w:t>本项目所要求</w:t>
      </w:r>
      <w:r>
        <w:rPr>
          <w:rFonts w:hint="eastAsia" w:asciiTheme="majorEastAsia" w:hAnsiTheme="majorEastAsia" w:eastAsiaTheme="majorEastAsia" w:cstheme="majorEastAsia"/>
          <w:sz w:val="24"/>
          <w:lang w:val="en-US" w:eastAsia="zh-CN"/>
        </w:rPr>
        <w:t>的</w:t>
      </w:r>
      <w:r>
        <w:rPr>
          <w:rFonts w:hint="eastAsia" w:ascii="宋体" w:hAnsi="宋体" w:eastAsia="宋体" w:cs="宋体"/>
          <w:sz w:val="24"/>
          <w:szCs w:val="24"/>
          <w:highlight w:val="none"/>
        </w:rPr>
        <w:t>全部工作内容</w:t>
      </w:r>
      <w:r>
        <w:rPr>
          <w:rFonts w:hint="eastAsia" w:asciiTheme="majorEastAsia" w:hAnsiTheme="majorEastAsia" w:eastAsiaTheme="majorEastAsia" w:cstheme="majorEastAsia"/>
          <w:sz w:val="24"/>
        </w:rPr>
        <w:t>进行完整报价。采购人拒绝只对部分</w:t>
      </w:r>
      <w:r>
        <w:rPr>
          <w:rFonts w:hint="eastAsia" w:asciiTheme="majorEastAsia" w:hAnsiTheme="majorEastAsia" w:eastAsiaTheme="majorEastAsia" w:cstheme="majorEastAsia"/>
          <w:sz w:val="24"/>
          <w:lang w:val="en-US" w:eastAsia="zh-CN"/>
        </w:rPr>
        <w:t>内容</w:t>
      </w:r>
      <w:r>
        <w:rPr>
          <w:rFonts w:hint="eastAsia" w:asciiTheme="majorEastAsia" w:hAnsiTheme="majorEastAsia" w:eastAsiaTheme="majorEastAsia" w:cstheme="majorEastAsia"/>
          <w:sz w:val="24"/>
        </w:rPr>
        <w:t>进行报价的投标。投标人应在投标文件中的投标分项报价表上标明对本次招标拟提供</w:t>
      </w:r>
      <w:r>
        <w:rPr>
          <w:rFonts w:hint="eastAsia" w:asciiTheme="majorEastAsia" w:hAnsiTheme="majorEastAsia" w:eastAsiaTheme="majorEastAsia" w:cstheme="majorEastAsia"/>
          <w:sz w:val="24"/>
          <w:lang w:val="en-US" w:eastAsia="zh-CN"/>
        </w:rPr>
        <w:t>工作内容</w:t>
      </w:r>
      <w:r>
        <w:rPr>
          <w:rFonts w:hint="eastAsia" w:asciiTheme="majorEastAsia" w:hAnsiTheme="majorEastAsia" w:eastAsiaTheme="majorEastAsia" w:cstheme="majorEastAsia"/>
          <w:sz w:val="24"/>
        </w:rPr>
        <w:t>的单价和总价，任何有选择的报价将不予接受。</w:t>
      </w:r>
    </w:p>
    <w:p w14:paraId="21B538A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9.3. 所有根据合同或其它原因应由投标人支付的税款和其它应交纳的费用都要包括在投标人提交的投标报价中。</w:t>
      </w:r>
    </w:p>
    <w:p w14:paraId="025C552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9.4 投标人所报的投标价在合同执行过程中是固定不变的，不得以任何理由予以变更。任何包含价格调整要求的投标，将被认为是非响应性投标而予以拒绝。</w:t>
      </w:r>
    </w:p>
    <w:p w14:paraId="6B180C98">
      <w:pPr>
        <w:spacing w:line="360" w:lineRule="auto"/>
        <w:ind w:right="-199" w:rightChars="-95"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9.5 投标报价大于采购预算按废标处理。</w:t>
      </w:r>
    </w:p>
    <w:p w14:paraId="6369B9F6">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kern w:val="1"/>
          <w:sz w:val="24"/>
        </w:rPr>
        <w:t>9.6 投标人不得以低于成本的报价参加投标，投标人的投标报价明显低于其他投标人的报价，经评标委员会质询后不能在规定时间内说明理由，或说明理由经评标委员会认为不成立，则按无效标处理。</w:t>
      </w:r>
    </w:p>
    <w:p w14:paraId="18C682B9">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10．投标货币</w:t>
      </w:r>
    </w:p>
    <w:p w14:paraId="69B3744D">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10.1 投标人提供的服务一律以人民币报价。</w:t>
      </w:r>
    </w:p>
    <w:p w14:paraId="65551A70">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11．投标保证金</w:t>
      </w:r>
    </w:p>
    <w:p w14:paraId="476E2EAB">
      <w:pPr>
        <w:autoSpaceDE w:val="0"/>
        <w:autoSpaceDN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采用“投标信用承诺书”代替投标保证金。</w:t>
      </w:r>
    </w:p>
    <w:p w14:paraId="50151F75">
      <w:pPr>
        <w:autoSpaceDE w:val="0"/>
        <w:autoSpaceDN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注：需在网上提交《投标信用承诺》，并将《投标信用承诺》及网上已上报后的网页截图附在投标文件中。</w:t>
      </w:r>
    </w:p>
    <w:p w14:paraId="15B82BDD">
      <w:pPr>
        <w:autoSpaceDE w:val="0"/>
        <w:autoSpaceDN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12．投标有效期</w:t>
      </w:r>
    </w:p>
    <w:p w14:paraId="73D86E82">
      <w:pPr>
        <w:autoSpaceDE w:val="0"/>
        <w:autoSpaceDN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12.1 投标有效期为开标之日起九十（90）个日历日。投标人的投标有效期比招标文件规定短的将被视为非响应性投标而予以拒绝。</w:t>
      </w:r>
    </w:p>
    <w:p w14:paraId="59EF647A">
      <w:pPr>
        <w:autoSpaceDE w:val="0"/>
        <w:autoSpaceDN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12.2 在特殊情况下，在原投标有效期期满之前，采购人可征得投标人同意延长投标有效期。这种要求与答复均应为书面形式提交。</w:t>
      </w:r>
    </w:p>
    <w:p w14:paraId="5C55A276">
      <w:pPr>
        <w:spacing w:line="360" w:lineRule="auto"/>
        <w:ind w:firstLine="482"/>
        <w:rPr>
          <w:rFonts w:asciiTheme="majorEastAsia" w:hAnsiTheme="majorEastAsia" w:eastAsiaTheme="majorEastAsia" w:cstheme="majorEastAsia"/>
          <w:b/>
          <w:kern w:val="1"/>
          <w:sz w:val="24"/>
        </w:rPr>
      </w:pPr>
      <w:r>
        <w:rPr>
          <w:rFonts w:hint="eastAsia" w:asciiTheme="majorEastAsia" w:hAnsiTheme="majorEastAsia" w:eastAsiaTheme="majorEastAsia" w:cstheme="majorEastAsia"/>
          <w:b/>
          <w:kern w:val="1"/>
          <w:sz w:val="24"/>
        </w:rPr>
        <w:t>13．投标文件的制作和签署</w:t>
      </w:r>
    </w:p>
    <w:p w14:paraId="4D09F2FA">
      <w:pPr>
        <w:spacing w:line="360" w:lineRule="auto"/>
        <w:ind w:firstLine="480"/>
        <w:rPr>
          <w:rFonts w:asciiTheme="majorEastAsia" w:hAnsiTheme="majorEastAsia" w:eastAsiaTheme="majorEastAsia" w:cstheme="majorEastAsia"/>
          <w:kern w:val="1"/>
          <w:sz w:val="24"/>
        </w:rPr>
      </w:pPr>
      <w:bookmarkStart w:id="70" w:name="_Toc207897905"/>
      <w:bookmarkStart w:id="71" w:name="_Toc167590764"/>
      <w:bookmarkStart w:id="72" w:name="_Toc169846862"/>
      <w:bookmarkStart w:id="73" w:name="_Toc167591032"/>
      <w:bookmarkStart w:id="74" w:name="_Toc170980541"/>
      <w:bookmarkStart w:id="75" w:name="_Toc170980443"/>
      <w:bookmarkStart w:id="76" w:name="_Toc208337153"/>
      <w:bookmarkStart w:id="77" w:name="_Toc167849349"/>
      <w:bookmarkStart w:id="78" w:name="_Toc245657542"/>
      <w:bookmarkStart w:id="79" w:name="_Toc245658523"/>
      <w:bookmarkStart w:id="80" w:name="_Toc244623580"/>
      <w:bookmarkStart w:id="81" w:name="_Toc167591481"/>
      <w:bookmarkStart w:id="82" w:name="_Toc167591133"/>
      <w:bookmarkStart w:id="83" w:name="_Toc175033581"/>
      <w:bookmarkStart w:id="84" w:name="_Toc169846765"/>
      <w:bookmarkStart w:id="85" w:name="_Toc175032426"/>
      <w:bookmarkStart w:id="86" w:name="_Toc167591319"/>
      <w:bookmarkStart w:id="87" w:name="_Toc169838521"/>
      <w:bookmarkStart w:id="88" w:name="_Toc154482468"/>
      <w:bookmarkStart w:id="89" w:name="_Toc173549967"/>
      <w:bookmarkStart w:id="90" w:name="_Toc245176654"/>
      <w:r>
        <w:rPr>
          <w:rFonts w:hint="eastAsia" w:asciiTheme="majorEastAsia" w:hAnsiTheme="majorEastAsia" w:eastAsiaTheme="majorEastAsia" w:cstheme="majorEastAsia"/>
          <w:kern w:val="1"/>
          <w:sz w:val="24"/>
        </w:rPr>
        <w:t>13.1为确保采购项目顺利开展，本项目采用电子投标文件的方式。供应商在投标时须时提供电子投标文件。</w:t>
      </w:r>
    </w:p>
    <w:p w14:paraId="7E5035AF">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13.2 编制电子投标文件时，应使用最新发布的电子招标文件及专用制作工具进行编制。并使用数字认证证书（CA）对电子投标文件进行签署、加密、递交及开标时解密等相关操作。</w:t>
      </w:r>
    </w:p>
    <w:p w14:paraId="6995C0FD">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（1）电子招标文件下载</w:t>
      </w:r>
    </w:p>
    <w:p w14:paraId="569B6B7A">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供应商登录全国公共资源交易平台（陕西省）网站[电子交易平台-企业端]后，在[我的项目]中点击“项目流程-交易文件下载”下载电子招标文件（*.SXSZF）;</w:t>
      </w:r>
    </w:p>
    <w:p w14:paraId="1BA42E7A">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注意：该项目如有变更文件，则应点击“项目流程&gt;答疑文件下载”下载更新后的电子招标文件（*.SXSCF），使用旧版电子招标文件制作的电子投标文件，系统将拒绝接收。</w:t>
      </w:r>
    </w:p>
    <w:p w14:paraId="1AE76D56">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（2）电子招标文件需要使用专用软件打开、浏览</w:t>
      </w:r>
    </w:p>
    <w:p w14:paraId="7C34F7C1">
      <w:pPr>
        <w:spacing w:line="360" w:lineRule="auto"/>
        <w:ind w:firstLine="480" w:firstLineChars="200"/>
        <w:rPr>
          <w:rFonts w:asciiTheme="majorEastAsia" w:hAnsiTheme="majorEastAsia" w:eastAsiaTheme="majorEastAsia" w:cstheme="majorEastAsia"/>
          <w:kern w:val="1"/>
          <w:sz w:val="24"/>
        </w:rPr>
      </w:pPr>
      <w:bookmarkStart w:id="91" w:name="_Toc22321"/>
      <w:bookmarkStart w:id="92" w:name="_Toc5554"/>
      <w:bookmarkStart w:id="93" w:name="_Toc8108"/>
      <w:r>
        <w:rPr>
          <w:rFonts w:hint="eastAsia" w:asciiTheme="majorEastAsia" w:hAnsiTheme="majorEastAsia" w:eastAsiaTheme="majorEastAsia" w:cstheme="majorEastAsia"/>
          <w:bCs/>
          <w:sz w:val="24"/>
        </w:rPr>
        <w:t>投标供应商须在“全国公共资源交易中心平台（陕西省）（http://www.sxggzyjy.cn/）”的“服务指南”栏目“下载专区”中，免费下载“陕西省公共资源交易平台政府采购电子标书制作工具(V8.0.0.44)”，并升级至最新版本，使用该客户端制作电子投标文件，制作扩展名为“.SXSTF”的电子投标文件。”</w:t>
      </w:r>
      <w:bookmarkEnd w:id="91"/>
      <w:bookmarkEnd w:id="92"/>
      <w:bookmarkEnd w:id="93"/>
    </w:p>
    <w:p w14:paraId="04CF6075">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（3）制作电子投标文件</w:t>
      </w:r>
    </w:p>
    <w:p w14:paraId="0DA3617E">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电子投标文件同样需要使用上述软件进行编制。在编制过程中，如有技术性问题，请先翻阅操作手册或致电软件开发商，技术支持热线：4009280095、4009980000；</w:t>
      </w:r>
    </w:p>
    <w:p w14:paraId="378E019A">
      <w:pPr>
        <w:spacing w:line="360" w:lineRule="auto"/>
        <w:ind w:firstLine="48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13.3纸质版文件的编制：</w:t>
      </w:r>
    </w:p>
    <w:p w14:paraId="2C8DA8B1">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13.3.1投标供应商无需提交纸质投标文件，待采购结果公告后，由中标单位补交一正三副纸质投标文件及电子版（光盘或 U 盘，包含可编辑 word 版，签字盖章后的扫描件 1 份）投标文件一份（备案用）</w:t>
      </w:r>
    </w:p>
    <w:p w14:paraId="3DC221CE">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13.3.2投标文件封面及内容、投标函及其它有要求处均应加盖投标人印章并经法定代表人或其委托代理人签字，由委托代理人签字的在投标文件中须同时提交投标文件签署授权委托书，</w:t>
      </w:r>
      <w:r>
        <w:rPr>
          <w:rFonts w:hint="eastAsia" w:asciiTheme="majorEastAsia" w:hAnsiTheme="majorEastAsia" w:eastAsiaTheme="majorEastAsia" w:cstheme="majorEastAsia"/>
          <w:b/>
          <w:bCs/>
          <w:kern w:val="1"/>
          <w:sz w:val="24"/>
        </w:rPr>
        <w:t>纸质版文件与电子版文件签字盖章必须一致。</w:t>
      </w:r>
    </w:p>
    <w:p w14:paraId="08DFF260">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13.3.3投标文件的正本和副本应分别单独采用A4纸胶粘装订成册，装订应牢固、不易拆散、夹页、换页，不得采用活页装订，应编制目录，字迹应清晰易于辨认，文件编制应符合8.1至8.3项要求。</w:t>
      </w:r>
    </w:p>
    <w:p w14:paraId="335CB576">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13.4 除投标人对投标文件错处做必要修改外，投标文件不得行间插字、涂改和增删，如有修改错漏处，必须由投标人的法人或其授权代表在修改处签字或加盖公章后才有效。</w:t>
      </w:r>
    </w:p>
    <w:p w14:paraId="06EF118E">
      <w:pPr>
        <w:snapToGrid w:val="0"/>
        <w:spacing w:beforeLines="50" w:afterLines="50"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四、投标文件的递交</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1E9BC58">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14．投标文件的提交</w:t>
      </w:r>
    </w:p>
    <w:p w14:paraId="080DC9A0">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78538EC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15.投标人应在不迟于招标文件中规定的投标截止时间上传投标文件。</w:t>
      </w:r>
    </w:p>
    <w:p w14:paraId="448A04A1">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16．迟交的投标文件</w:t>
      </w:r>
    </w:p>
    <w:p w14:paraId="1052EBB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16.1采购代理机构将拒绝接收投标截止期后送达的任何投标文件。</w:t>
      </w:r>
    </w:p>
    <w:p w14:paraId="09E931E2">
      <w:pPr>
        <w:spacing w:line="360" w:lineRule="auto"/>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17．投标文件的修改和撤回</w:t>
      </w:r>
    </w:p>
    <w:p w14:paraId="50B59493">
      <w:pPr>
        <w:spacing w:line="360" w:lineRule="auto"/>
        <w:ind w:firstLine="480"/>
        <w:rPr>
          <w:rFonts w:asciiTheme="majorEastAsia" w:hAnsiTheme="majorEastAsia" w:eastAsiaTheme="majorEastAsia" w:cstheme="majorEastAsia"/>
          <w:sz w:val="24"/>
        </w:rPr>
      </w:pPr>
      <w:bookmarkStart w:id="94" w:name="_Toc167591320"/>
      <w:bookmarkStart w:id="95" w:name="_Toc170980542"/>
      <w:bookmarkStart w:id="96" w:name="_Toc173549968"/>
      <w:bookmarkStart w:id="97" w:name="_Toc245657543"/>
      <w:bookmarkStart w:id="98" w:name="_Toc207897906"/>
      <w:bookmarkStart w:id="99" w:name="_Toc245658524"/>
      <w:bookmarkStart w:id="100" w:name="_Toc167590765"/>
      <w:bookmarkStart w:id="101" w:name="_Toc167591482"/>
      <w:bookmarkStart w:id="102" w:name="_Toc167849350"/>
      <w:bookmarkStart w:id="103" w:name="_Toc169838522"/>
      <w:bookmarkStart w:id="104" w:name="_Toc175033582"/>
      <w:bookmarkStart w:id="105" w:name="_Toc175032427"/>
      <w:bookmarkStart w:id="106" w:name="_Toc154482469"/>
      <w:bookmarkStart w:id="107" w:name="_Toc245176655"/>
      <w:bookmarkStart w:id="108" w:name="_Toc169846766"/>
      <w:bookmarkStart w:id="109" w:name="_Toc167591033"/>
      <w:bookmarkStart w:id="110" w:name="_Toc244623581"/>
      <w:bookmarkStart w:id="111" w:name="_Toc170980444"/>
      <w:bookmarkStart w:id="112" w:name="_Toc208337154"/>
      <w:bookmarkStart w:id="113" w:name="_Toc167591134"/>
      <w:bookmarkStart w:id="114" w:name="_Toc169846863"/>
      <w:r>
        <w:rPr>
          <w:rFonts w:hint="eastAsia" w:asciiTheme="majorEastAsia" w:hAnsiTheme="majorEastAsia" w:eastAsiaTheme="majorEastAsia" w:cstheme="majorEastAsia"/>
          <w:sz w:val="24"/>
        </w:rPr>
        <w:t>17.1 在投标截止日期之后，投标人不得对其投标文件做任何修改。</w:t>
      </w:r>
    </w:p>
    <w:p w14:paraId="7B8AC883">
      <w:pPr>
        <w:snapToGrid w:val="0"/>
        <w:spacing w:line="360" w:lineRule="auto"/>
        <w:ind w:firstLine="48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17.2 从投标截止期始至招标文件确定的投标有效期期满这段时间内，投标人不得撤回其投标，否则其投标保证金将被没收。</w:t>
      </w:r>
    </w:p>
    <w:p w14:paraId="47B70219">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为确保采购项目顺利开展，本项目采用电子投标文件的方式。供应商在投标时须时提供电子投标文件。</w:t>
      </w:r>
    </w:p>
    <w:p w14:paraId="5F323C92">
      <w:pPr>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五、开标与评标</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8B70B24">
      <w:pPr>
        <w:snapToGrid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18．开标</w:t>
      </w:r>
    </w:p>
    <w:p w14:paraId="290FDEB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18.1 采购代理机构将在招标公告规定的时间和地点组织公开开标。开标会议邀请所有供应商派代表参加，开标当日，请各供应商在开标截止时间前1小时登录“不见面”开标系统进行签到。</w:t>
      </w:r>
    </w:p>
    <w:p w14:paraId="2657789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18.2</w:t>
      </w:r>
      <w:r>
        <w:rPr>
          <w:rFonts w:hint="eastAsia" w:asciiTheme="majorEastAsia" w:hAnsiTheme="majorEastAsia" w:eastAsiaTheme="majorEastAsia" w:cstheme="majorEastAsia"/>
          <w:bCs/>
          <w:sz w:val="24"/>
        </w:rPr>
        <w:t>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r>
        <w:rPr>
          <w:rFonts w:hint="eastAsia" w:asciiTheme="majorEastAsia" w:hAnsiTheme="majorEastAsia" w:eastAsiaTheme="majorEastAsia" w:cstheme="majorEastAsia"/>
          <w:sz w:val="24"/>
        </w:rPr>
        <w:t>，由电子交易系统进行自动唱标。</w:t>
      </w:r>
    </w:p>
    <w:p w14:paraId="42FC3F9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18.3 采购代理机构将在开标会议现场做开标记录。</w:t>
      </w:r>
    </w:p>
    <w:p w14:paraId="537834F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18.4 在开标环节出现下列情况之一的，其电子及纸质投标文件视为无效文件：</w:t>
      </w:r>
    </w:p>
    <w:p w14:paraId="0F10F1B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（1）供应商拒绝对电子投标文件进行解密的；</w:t>
      </w:r>
    </w:p>
    <w:p w14:paraId="65FA5708">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（2）因供应商自身原因（如CA锁与制作电子投标文件使用的CA锁不一致、或沿用旧版招标文件编制投标文件等情形），导致在规定时间内无法解密投标文件的；</w:t>
      </w:r>
    </w:p>
    <w:p w14:paraId="31CF2B4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（3）上传的电子投标文件无法打开的；</w:t>
      </w:r>
    </w:p>
    <w:p w14:paraId="6DF52F1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（4）政府采购法律法规规定的其他无效情形。</w:t>
      </w:r>
    </w:p>
    <w:p w14:paraId="24A5F0A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18.5 特殊情形下的应急处置</w:t>
      </w:r>
    </w:p>
    <w:p w14:paraId="276051A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在开标、评审过程中，如因停电、断网、电子化系统故障等特殊原因导致电子化开、评标无法正常进行时，视具体情况确定是否停止开评标活动。</w:t>
      </w:r>
    </w:p>
    <w:p w14:paraId="4512B543">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19．评标委员会</w:t>
      </w:r>
    </w:p>
    <w:p w14:paraId="3730DAC7">
      <w:pPr>
        <w:spacing w:line="360" w:lineRule="auto"/>
        <w:ind w:firstLine="480" w:firstLineChars="200"/>
        <w:rPr>
          <w:rFonts w:asciiTheme="majorEastAsia" w:hAnsiTheme="majorEastAsia" w:eastAsiaTheme="majorEastAsia" w:cstheme="majorEastAsia"/>
          <w:snapToGrid w:val="0"/>
          <w:sz w:val="24"/>
        </w:rPr>
      </w:pPr>
      <w:r>
        <w:rPr>
          <w:rFonts w:hint="eastAsia" w:asciiTheme="majorEastAsia" w:hAnsiTheme="majorEastAsia" w:eastAsiaTheme="majorEastAsia" w:cstheme="majorEastAsia"/>
          <w:sz w:val="24"/>
        </w:rPr>
        <w:t>19.1 采购人</w:t>
      </w:r>
      <w:r>
        <w:rPr>
          <w:rFonts w:hint="eastAsia" w:asciiTheme="majorEastAsia" w:hAnsiTheme="majorEastAsia" w:eastAsiaTheme="majorEastAsia" w:cstheme="majorEastAsia"/>
          <w:snapToGrid w:val="0"/>
          <w:sz w:val="24"/>
        </w:rPr>
        <w:t>将按照《</w:t>
      </w:r>
      <w:r>
        <w:rPr>
          <w:rFonts w:hint="eastAsia" w:asciiTheme="majorEastAsia" w:hAnsiTheme="majorEastAsia" w:eastAsiaTheme="majorEastAsia" w:cstheme="majorEastAsia"/>
          <w:sz w:val="24"/>
        </w:rPr>
        <w:t>中华人民共和国政府采购法</w:t>
      </w:r>
      <w:r>
        <w:rPr>
          <w:rFonts w:hint="eastAsia" w:asciiTheme="majorEastAsia" w:hAnsiTheme="majorEastAsia" w:eastAsiaTheme="majorEastAsia" w:cstheme="majorEastAsia"/>
          <w:snapToGrid w:val="0"/>
          <w:sz w:val="24"/>
        </w:rPr>
        <w:t>》、《政府采购货物和服务招标投标管理办法》及有关规定组建评标委员会。</w:t>
      </w:r>
    </w:p>
    <w:p w14:paraId="1E08EAE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19.2 评标委员会由采购人代表及评审专家组成，专家从陕西省政府采购专家库中随机抽取产生。</w:t>
      </w:r>
    </w:p>
    <w:p w14:paraId="361FE8D0">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19.3 评标委员会负责评标工作，对投标文件进行审查和评估，并向采购人提交书面评审意见。</w:t>
      </w:r>
    </w:p>
    <w:p w14:paraId="38A5DB58">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20．评标过程的保密性</w:t>
      </w:r>
    </w:p>
    <w:p w14:paraId="1082398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20.1 公开开标后，直至发布中标公告时止，凡与审查、澄清、评价和比较投标的有关资料以及授标意见等，均属保密范围，评标委员会及招标工作人员不得向投标人及与评标无关的其他人透露。</w:t>
      </w:r>
    </w:p>
    <w:p w14:paraId="2DA04BD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20.2 在评标过程中，如果投标人试图在投标文件审查、澄清、比较及授予合同方面向评标委员会或采购人施加任何影响，其投标将被拒绝。</w:t>
      </w:r>
    </w:p>
    <w:p w14:paraId="7718563C">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21、投标文件的澄清</w:t>
      </w:r>
    </w:p>
    <w:p w14:paraId="32DAD94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21.1 在评标期间，为有助于对投标文件的审查、评价和比较，评标委员会可分别要求投标人对其投标文件进行澄清或说明，有关澄清或说明的要求和答复应以书面形式提交。澄清和说明的内容不得超出投标文件的范围或改变投标文件实质性内容。</w:t>
      </w:r>
    </w:p>
    <w:p w14:paraId="7C1A7E9D">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22．投标文件的初审</w:t>
      </w:r>
    </w:p>
    <w:p w14:paraId="6F51C2D1">
      <w:pPr>
        <w:pStyle w:val="22"/>
        <w:spacing w:line="360" w:lineRule="auto"/>
        <w:ind w:firstLine="420"/>
        <w:rPr>
          <w:rFonts w:asciiTheme="majorEastAsia" w:hAnsiTheme="majorEastAsia" w:eastAsiaTheme="majorEastAsia" w:cstheme="majorEastAsia"/>
        </w:rPr>
      </w:pPr>
      <w:r>
        <w:rPr>
          <w:rFonts w:hint="eastAsia" w:asciiTheme="majorEastAsia" w:hAnsiTheme="majorEastAsia" w:eastAsiaTheme="majorEastAsia" w:cstheme="majorEastAsia"/>
        </w:rPr>
        <w:t>22.1 采购人将审查资格证明文件是否齐全有效。</w:t>
      </w:r>
    </w:p>
    <w:tbl>
      <w:tblPr>
        <w:tblStyle w:val="2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79"/>
        <w:gridCol w:w="1686"/>
        <w:gridCol w:w="7112"/>
      </w:tblGrid>
      <w:tr w14:paraId="3D4A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2" w:hRule="atLeast"/>
          <w:jc w:val="center"/>
        </w:trPr>
        <w:tc>
          <w:tcPr>
            <w:tcW w:w="779" w:type="dxa"/>
            <w:tcBorders>
              <w:top w:val="single" w:color="auto" w:sz="4" w:space="0"/>
              <w:left w:val="single" w:color="auto" w:sz="4" w:space="0"/>
              <w:bottom w:val="single" w:color="auto" w:sz="4" w:space="0"/>
              <w:right w:val="single" w:color="auto" w:sz="4" w:space="0"/>
            </w:tcBorders>
            <w:noWrap/>
            <w:vAlign w:val="center"/>
          </w:tcPr>
          <w:p w14:paraId="5CD2C969">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686" w:type="dxa"/>
            <w:tcBorders>
              <w:top w:val="single" w:color="auto" w:sz="4" w:space="0"/>
              <w:left w:val="single" w:color="auto" w:sz="4" w:space="0"/>
              <w:bottom w:val="single" w:color="auto" w:sz="4" w:space="0"/>
              <w:right w:val="single" w:color="auto" w:sz="4" w:space="0"/>
            </w:tcBorders>
            <w:noWrap/>
            <w:vAlign w:val="center"/>
          </w:tcPr>
          <w:p w14:paraId="041997ED">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审查因素</w:t>
            </w:r>
          </w:p>
        </w:tc>
        <w:tc>
          <w:tcPr>
            <w:tcW w:w="7112" w:type="dxa"/>
            <w:tcBorders>
              <w:top w:val="single" w:color="auto" w:sz="4" w:space="0"/>
              <w:left w:val="single" w:color="auto" w:sz="4" w:space="0"/>
              <w:bottom w:val="single" w:color="auto" w:sz="4" w:space="0"/>
              <w:right w:val="single" w:color="auto" w:sz="4" w:space="0"/>
            </w:tcBorders>
            <w:noWrap/>
            <w:vAlign w:val="center"/>
          </w:tcPr>
          <w:p w14:paraId="72B8AE8C">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审查标准</w:t>
            </w:r>
          </w:p>
        </w:tc>
      </w:tr>
      <w:tr w14:paraId="528A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779" w:type="dxa"/>
            <w:tcBorders>
              <w:left w:val="single" w:color="auto" w:sz="4" w:space="0"/>
              <w:right w:val="single" w:color="auto" w:sz="4" w:space="0"/>
            </w:tcBorders>
            <w:noWrap/>
            <w:vAlign w:val="center"/>
          </w:tcPr>
          <w:p w14:paraId="2B72A8C1">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686" w:type="dxa"/>
            <w:tcBorders>
              <w:top w:val="single" w:color="auto" w:sz="4" w:space="0"/>
              <w:left w:val="single" w:color="auto" w:sz="4" w:space="0"/>
              <w:bottom w:val="single" w:color="auto" w:sz="4" w:space="0"/>
              <w:right w:val="single" w:color="auto" w:sz="4" w:space="0"/>
            </w:tcBorders>
            <w:noWrap/>
            <w:vAlign w:val="center"/>
          </w:tcPr>
          <w:p w14:paraId="63C2CB4D">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有效的主体资格证明</w:t>
            </w:r>
          </w:p>
        </w:tc>
        <w:tc>
          <w:tcPr>
            <w:tcW w:w="7112" w:type="dxa"/>
            <w:tcBorders>
              <w:top w:val="single" w:color="auto" w:sz="4" w:space="0"/>
              <w:left w:val="single" w:color="auto" w:sz="4" w:space="0"/>
              <w:bottom w:val="single" w:color="auto" w:sz="4" w:space="0"/>
              <w:right w:val="single" w:color="auto" w:sz="4" w:space="0"/>
            </w:tcBorders>
            <w:noWrap/>
            <w:vAlign w:val="center"/>
          </w:tcPr>
          <w:p w14:paraId="42A26B16">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tc>
      </w:tr>
      <w:tr w14:paraId="6ABD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ign w:val="center"/>
          </w:tcPr>
          <w:p w14:paraId="7113AF4B">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686" w:type="dxa"/>
            <w:tcBorders>
              <w:top w:val="single" w:color="auto" w:sz="4" w:space="0"/>
              <w:left w:val="single" w:color="auto" w:sz="4" w:space="0"/>
              <w:bottom w:val="single" w:color="auto" w:sz="4" w:space="0"/>
              <w:right w:val="single" w:color="auto" w:sz="4" w:space="0"/>
            </w:tcBorders>
            <w:noWrap/>
            <w:vAlign w:val="center"/>
          </w:tcPr>
          <w:p w14:paraId="505FC46B">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税收缴纳证明</w:t>
            </w:r>
          </w:p>
        </w:tc>
        <w:tc>
          <w:tcPr>
            <w:tcW w:w="7112" w:type="dxa"/>
            <w:tcBorders>
              <w:top w:val="single" w:color="auto" w:sz="4" w:space="0"/>
              <w:left w:val="single" w:color="auto" w:sz="4" w:space="0"/>
              <w:bottom w:val="single" w:color="auto" w:sz="4" w:space="0"/>
              <w:right w:val="single" w:color="auto" w:sz="4" w:space="0"/>
            </w:tcBorders>
            <w:noWrap/>
            <w:vAlign w:val="center"/>
          </w:tcPr>
          <w:p w14:paraId="7E54D230">
            <w:pPr>
              <w:spacing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提供</w:t>
            </w:r>
            <w:r>
              <w:rPr>
                <w:rFonts w:hint="eastAsia" w:asciiTheme="majorEastAsia" w:hAnsiTheme="majorEastAsia" w:eastAsiaTheme="majorEastAsia" w:cstheme="majorEastAsia"/>
                <w:sz w:val="24"/>
                <w:shd w:val="clear" w:color="auto" w:fill="FFFFFF"/>
                <w:lang w:eastAsia="zh-CN"/>
              </w:rPr>
              <w:t>2024年1月至今至少1个月</w:t>
            </w:r>
            <w:r>
              <w:rPr>
                <w:rFonts w:hint="eastAsia" w:asciiTheme="majorEastAsia" w:hAnsiTheme="majorEastAsia" w:eastAsiaTheme="majorEastAsia" w:cstheme="majorEastAsia"/>
                <w:sz w:val="24"/>
                <w:shd w:val="clear" w:color="auto" w:fill="FFFFFF"/>
              </w:rPr>
              <w:t>的纳税证明（银行缴费凭证）或完税证明，依法免税的单位应提供相关证明材料；</w:t>
            </w:r>
          </w:p>
        </w:tc>
      </w:tr>
      <w:tr w14:paraId="3F49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ign w:val="center"/>
          </w:tcPr>
          <w:p w14:paraId="5DFF8614">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686" w:type="dxa"/>
            <w:tcBorders>
              <w:top w:val="single" w:color="auto" w:sz="4" w:space="0"/>
              <w:left w:val="single" w:color="auto" w:sz="4" w:space="0"/>
              <w:bottom w:val="single" w:color="auto" w:sz="4" w:space="0"/>
              <w:right w:val="single" w:color="auto" w:sz="4" w:space="0"/>
            </w:tcBorders>
            <w:noWrap/>
            <w:vAlign w:val="center"/>
          </w:tcPr>
          <w:p w14:paraId="4A214DDC">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社会保障资金缴纳证明</w:t>
            </w:r>
          </w:p>
        </w:tc>
        <w:tc>
          <w:tcPr>
            <w:tcW w:w="7112" w:type="dxa"/>
            <w:tcBorders>
              <w:top w:val="single" w:color="auto" w:sz="4" w:space="0"/>
              <w:left w:val="single" w:color="auto" w:sz="4" w:space="0"/>
              <w:bottom w:val="single" w:color="auto" w:sz="4" w:space="0"/>
              <w:right w:val="single" w:color="auto" w:sz="4" w:space="0"/>
            </w:tcBorders>
            <w:noWrap/>
            <w:vAlign w:val="center"/>
          </w:tcPr>
          <w:p w14:paraId="7061A036">
            <w:pPr>
              <w:spacing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提供</w:t>
            </w:r>
            <w:r>
              <w:rPr>
                <w:rFonts w:hint="eastAsia" w:asciiTheme="majorEastAsia" w:hAnsiTheme="majorEastAsia" w:eastAsiaTheme="majorEastAsia" w:cstheme="majorEastAsia"/>
                <w:sz w:val="24"/>
                <w:shd w:val="clear" w:color="auto" w:fill="FFFFFF"/>
                <w:lang w:eastAsia="zh-CN"/>
              </w:rPr>
              <w:t>2024年1月至今至少1个月</w:t>
            </w:r>
            <w:r>
              <w:rPr>
                <w:rFonts w:hint="eastAsia" w:asciiTheme="majorEastAsia" w:hAnsiTheme="majorEastAsia" w:eastAsiaTheme="majorEastAsia" w:cstheme="majorEastAsia"/>
                <w:sz w:val="24"/>
                <w:shd w:val="clear" w:color="auto" w:fill="FFFFFF"/>
              </w:rPr>
              <w:t>的社会保障资金缴存单据或社保机构开具的社会保险参保缴费情况证明，依法不需要缴纳社会保障资金的单位应提供相关证明材料；</w:t>
            </w:r>
          </w:p>
        </w:tc>
      </w:tr>
      <w:tr w14:paraId="6694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ign w:val="center"/>
          </w:tcPr>
          <w:p w14:paraId="75C04B87">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686" w:type="dxa"/>
            <w:tcBorders>
              <w:top w:val="single" w:color="auto" w:sz="4" w:space="0"/>
              <w:left w:val="single" w:color="auto" w:sz="4" w:space="0"/>
              <w:bottom w:val="single" w:color="auto" w:sz="4" w:space="0"/>
              <w:right w:val="single" w:color="auto" w:sz="4" w:space="0"/>
            </w:tcBorders>
            <w:noWrap/>
            <w:vAlign w:val="center"/>
          </w:tcPr>
          <w:p w14:paraId="64CC33DA">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财务要求</w:t>
            </w:r>
          </w:p>
        </w:tc>
        <w:tc>
          <w:tcPr>
            <w:tcW w:w="7112" w:type="dxa"/>
            <w:tcBorders>
              <w:top w:val="single" w:color="auto" w:sz="4" w:space="0"/>
              <w:left w:val="single" w:color="auto" w:sz="4" w:space="0"/>
              <w:bottom w:val="single" w:color="auto" w:sz="4" w:space="0"/>
              <w:right w:val="single" w:color="auto" w:sz="4" w:space="0"/>
            </w:tcBorders>
            <w:noWrap/>
            <w:vAlign w:val="center"/>
          </w:tcPr>
          <w:p w14:paraId="3E325E01">
            <w:pPr>
              <w:spacing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提供2023年度财务审计报告；公司成立至开标日期不足一年的提供自成立以来的财务报表（至少包含资产负债表、利润表、现金流量表）或公司基本账户开户行出具自成立以来的资信证明及基本账户开户证明；  </w:t>
            </w:r>
          </w:p>
        </w:tc>
      </w:tr>
      <w:tr w14:paraId="6A1D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779" w:type="dxa"/>
            <w:tcBorders>
              <w:left w:val="single" w:color="auto" w:sz="4" w:space="0"/>
              <w:right w:val="single" w:color="auto" w:sz="4" w:space="0"/>
            </w:tcBorders>
            <w:noWrap/>
            <w:vAlign w:val="center"/>
          </w:tcPr>
          <w:p w14:paraId="6B8E996C">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686" w:type="dxa"/>
            <w:tcBorders>
              <w:top w:val="single" w:color="auto" w:sz="4" w:space="0"/>
              <w:left w:val="single" w:color="auto" w:sz="4" w:space="0"/>
              <w:bottom w:val="single" w:color="auto" w:sz="4" w:space="0"/>
              <w:right w:val="single" w:color="auto" w:sz="4" w:space="0"/>
            </w:tcBorders>
            <w:noWrap/>
            <w:vAlign w:val="center"/>
          </w:tcPr>
          <w:p w14:paraId="3978AE68">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主体信用查询记录</w:t>
            </w:r>
          </w:p>
        </w:tc>
        <w:tc>
          <w:tcPr>
            <w:tcW w:w="7112" w:type="dxa"/>
            <w:tcBorders>
              <w:top w:val="single" w:color="auto" w:sz="4" w:space="0"/>
              <w:left w:val="single" w:color="auto" w:sz="4" w:space="0"/>
              <w:bottom w:val="single" w:color="auto" w:sz="4" w:space="0"/>
              <w:right w:val="single" w:color="auto" w:sz="4" w:space="0"/>
            </w:tcBorders>
            <w:noWrap/>
            <w:vAlign w:val="center"/>
          </w:tcPr>
          <w:p w14:paraId="3A54303C">
            <w:pPr>
              <w:spacing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对列入“信用中国”网站(www.creditchina.gov.cn)“失信被执行人、税收违法黑名单、异常经营名录”记录名单；“中国政府采购网”(www.ccgp.gov.cn)“政府采购严重违法失信行为信息记录”的单位，应当拒绝参与政府采购活动，提供查询截图（查询日期为从招标文件获取之日起至投标截止日前但最终以投标截止日当天查询结果为准）。</w:t>
            </w:r>
          </w:p>
        </w:tc>
      </w:tr>
      <w:tr w14:paraId="467C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ign w:val="center"/>
          </w:tcPr>
          <w:p w14:paraId="4D095DB2">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686" w:type="dxa"/>
            <w:tcBorders>
              <w:top w:val="single" w:color="auto" w:sz="4" w:space="0"/>
              <w:left w:val="single" w:color="auto" w:sz="4" w:space="0"/>
              <w:bottom w:val="single" w:color="auto" w:sz="4" w:space="0"/>
              <w:right w:val="single" w:color="auto" w:sz="4" w:space="0"/>
            </w:tcBorders>
            <w:noWrap/>
            <w:vAlign w:val="center"/>
          </w:tcPr>
          <w:p w14:paraId="06C211C6">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无违纪声明</w:t>
            </w:r>
          </w:p>
        </w:tc>
        <w:tc>
          <w:tcPr>
            <w:tcW w:w="7112" w:type="dxa"/>
            <w:tcBorders>
              <w:top w:val="single" w:color="auto" w:sz="4" w:space="0"/>
              <w:left w:val="single" w:color="auto" w:sz="4" w:space="0"/>
              <w:bottom w:val="single" w:color="auto" w:sz="4" w:space="0"/>
              <w:right w:val="single" w:color="auto" w:sz="4" w:space="0"/>
            </w:tcBorders>
            <w:noWrap/>
            <w:vAlign w:val="center"/>
          </w:tcPr>
          <w:p w14:paraId="41467285">
            <w:pPr>
              <w:spacing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参加政府采购活动前三年内，在经营活动中没有重大违法记录的书面声明；</w:t>
            </w:r>
          </w:p>
        </w:tc>
      </w:tr>
      <w:tr w14:paraId="3810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ign w:val="center"/>
          </w:tcPr>
          <w:p w14:paraId="246DCC1A">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686" w:type="dxa"/>
            <w:tcBorders>
              <w:top w:val="single" w:color="auto" w:sz="4" w:space="0"/>
              <w:left w:val="single" w:color="auto" w:sz="4" w:space="0"/>
              <w:bottom w:val="single" w:color="auto" w:sz="4" w:space="0"/>
              <w:right w:val="single" w:color="auto" w:sz="4" w:space="0"/>
            </w:tcBorders>
            <w:noWrap/>
            <w:vAlign w:val="center"/>
          </w:tcPr>
          <w:p w14:paraId="73437314">
            <w:pPr>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设备和专业技术能力的证明</w:t>
            </w:r>
          </w:p>
        </w:tc>
        <w:tc>
          <w:tcPr>
            <w:tcW w:w="7112" w:type="dxa"/>
            <w:tcBorders>
              <w:top w:val="single" w:color="auto" w:sz="4" w:space="0"/>
              <w:left w:val="single" w:color="auto" w:sz="4" w:space="0"/>
              <w:bottom w:val="single" w:color="auto" w:sz="4" w:space="0"/>
              <w:right w:val="single" w:color="auto" w:sz="4" w:space="0"/>
            </w:tcBorders>
            <w:noWrap/>
            <w:vAlign w:val="center"/>
          </w:tcPr>
          <w:p w14:paraId="6D9F0FD0">
            <w:pPr>
              <w:spacing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提供具有履行合同所必需的设备和专业技术能力的证明资料或承诺书；</w:t>
            </w:r>
          </w:p>
        </w:tc>
      </w:tr>
      <w:tr w14:paraId="3732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ign w:val="center"/>
          </w:tcPr>
          <w:p w14:paraId="2CEB22B3">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686" w:type="dxa"/>
            <w:tcBorders>
              <w:top w:val="single" w:color="auto" w:sz="4" w:space="0"/>
              <w:left w:val="single" w:color="auto" w:sz="4" w:space="0"/>
              <w:bottom w:val="single" w:color="auto" w:sz="4" w:space="0"/>
              <w:right w:val="single" w:color="auto" w:sz="4" w:space="0"/>
            </w:tcBorders>
            <w:noWrap/>
            <w:vAlign w:val="center"/>
          </w:tcPr>
          <w:p w14:paraId="111D4E4B">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自主上报信用承诺书</w:t>
            </w:r>
          </w:p>
        </w:tc>
        <w:tc>
          <w:tcPr>
            <w:tcW w:w="7112" w:type="dxa"/>
            <w:tcBorders>
              <w:top w:val="single" w:color="auto" w:sz="4" w:space="0"/>
              <w:left w:val="single" w:color="auto" w:sz="4" w:space="0"/>
              <w:bottom w:val="single" w:color="auto" w:sz="4" w:space="0"/>
              <w:right w:val="single" w:color="auto" w:sz="4" w:space="0"/>
            </w:tcBorders>
            <w:noWrap/>
            <w:vAlign w:val="center"/>
          </w:tcPr>
          <w:p w14:paraId="58CC94E1">
            <w:pPr>
              <w:spacing w:line="360" w:lineRule="auto"/>
              <w:rPr>
                <w:rFonts w:asciiTheme="majorEastAsia" w:hAnsiTheme="majorEastAsia" w:eastAsiaTheme="majorEastAsia" w:cstheme="majorEastAsia"/>
                <w:sz w:val="24"/>
              </w:rPr>
            </w:pPr>
            <w:r>
              <w:rPr>
                <w:rFonts w:hint="eastAsia" w:ascii="宋体" w:hAnsi="宋体" w:eastAsia="宋体" w:cs="宋体"/>
                <w:i w:val="0"/>
                <w:iCs w:val="0"/>
                <w:caps w:val="0"/>
                <w:color w:val="333333"/>
                <w:spacing w:val="0"/>
                <w:sz w:val="24"/>
                <w:szCs w:val="24"/>
                <w:shd w:val="clear" w:fill="FFFFFF"/>
              </w:rPr>
              <w:t>自主上报信用承诺书：投标人及其授权委托人应在“信用中国（陕西榆林）”网站(www.ylcredit.gov.cn)进行注册、登录、自主上报信用承诺书，包括：《投标人信用承诺》、《投标人委托代理人员信用承诺书》(如有)、《投标信用承诺书》及《榆林市政府采购服务类项目供应商信用承诺书》;</w:t>
            </w:r>
          </w:p>
        </w:tc>
      </w:tr>
      <w:tr w14:paraId="10B7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9577" w:type="dxa"/>
            <w:gridSpan w:val="3"/>
            <w:tcBorders>
              <w:left w:val="single" w:color="auto" w:sz="4" w:space="0"/>
              <w:bottom w:val="single" w:color="auto" w:sz="4" w:space="0"/>
              <w:right w:val="single" w:color="auto" w:sz="4" w:space="0"/>
            </w:tcBorders>
            <w:noWrap/>
            <w:vAlign w:val="center"/>
          </w:tcPr>
          <w:p w14:paraId="18D8E4BD">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注：审查不合格的投标供应商将视为非响应投标，不再进入后续评标阶段。</w:t>
            </w:r>
          </w:p>
        </w:tc>
      </w:tr>
    </w:tbl>
    <w:p w14:paraId="2C1E49DA">
      <w:pPr>
        <w:spacing w:beforeLines="50"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22.2 评标委员会将审查每份投标文件是否实质上响应了招标文件的要求。实质上响应的投标应该是与招标文件要求的全部条款、条件和规格相符，没有重大偏离或保留的投标。对关键条文的偏离、保留或反对将被认为是实质上的偏离。重大偏离或保留是指实质上影响服务内容；或者实质上与招标文件不一致，而且限制了采购人的权利或投标人的义务。纠正这些偏离或保留将会对其他实质上响应要求的投标人的竞争地位产生不公正的影响。对于投标文件中不构成实质性偏差的不正规、不一致或不规则，采购人可以接受，但这种接受将影响投标人的综合得分。评标委员会只根据投标文件本身的内容确定投标文件的响应性，而不寻求外部的证据。</w:t>
      </w:r>
    </w:p>
    <w:p w14:paraId="1C224B4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22.3 符合性评审：主要对各供应商投标文件进行商务性的审定。不符合下列情况之一的，其投标将按无效处理：</w:t>
      </w:r>
    </w:p>
    <w:tbl>
      <w:tblPr>
        <w:tblStyle w:val="25"/>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6"/>
        <w:gridCol w:w="7762"/>
        <w:gridCol w:w="659"/>
      </w:tblGrid>
      <w:tr w14:paraId="0CD9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1" w:hRule="atLeast"/>
          <w:jc w:val="center"/>
        </w:trPr>
        <w:tc>
          <w:tcPr>
            <w:tcW w:w="746" w:type="dxa"/>
            <w:tcBorders>
              <w:top w:val="single" w:color="auto" w:sz="4" w:space="0"/>
              <w:left w:val="single" w:color="auto" w:sz="4" w:space="0"/>
              <w:bottom w:val="single" w:color="auto" w:sz="4" w:space="0"/>
              <w:right w:val="single" w:color="auto" w:sz="4" w:space="0"/>
            </w:tcBorders>
            <w:noWrap/>
            <w:vAlign w:val="center"/>
          </w:tcPr>
          <w:p w14:paraId="75EE6956">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7762" w:type="dxa"/>
            <w:tcBorders>
              <w:top w:val="single" w:color="auto" w:sz="4" w:space="0"/>
              <w:left w:val="single" w:color="auto" w:sz="4" w:space="0"/>
              <w:bottom w:val="single" w:color="auto" w:sz="4" w:space="0"/>
              <w:right w:val="single" w:color="auto" w:sz="4" w:space="0"/>
            </w:tcBorders>
            <w:noWrap/>
            <w:vAlign w:val="center"/>
          </w:tcPr>
          <w:p w14:paraId="0359C80D">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审查因素</w:t>
            </w:r>
          </w:p>
        </w:tc>
        <w:tc>
          <w:tcPr>
            <w:tcW w:w="659" w:type="dxa"/>
            <w:tcBorders>
              <w:top w:val="single" w:color="auto" w:sz="4" w:space="0"/>
              <w:left w:val="single" w:color="auto" w:sz="4" w:space="0"/>
              <w:bottom w:val="single" w:color="auto" w:sz="4" w:space="0"/>
              <w:right w:val="single" w:color="auto" w:sz="4" w:space="0"/>
            </w:tcBorders>
            <w:noWrap/>
            <w:vAlign w:val="center"/>
          </w:tcPr>
          <w:p w14:paraId="3BBD12C2">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14:paraId="769C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 w:hRule="atLeast"/>
          <w:jc w:val="center"/>
        </w:trPr>
        <w:tc>
          <w:tcPr>
            <w:tcW w:w="746" w:type="dxa"/>
            <w:tcBorders>
              <w:left w:val="single" w:color="auto" w:sz="4" w:space="0"/>
              <w:right w:val="single" w:color="auto" w:sz="4" w:space="0"/>
            </w:tcBorders>
            <w:noWrap/>
            <w:vAlign w:val="center"/>
          </w:tcPr>
          <w:p w14:paraId="43B77818">
            <w:pPr>
              <w:spacing w:line="360" w:lineRule="auto"/>
              <w:jc w:val="center"/>
              <w:rPr>
                <w:rFonts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1</w:t>
            </w:r>
          </w:p>
        </w:tc>
        <w:tc>
          <w:tcPr>
            <w:tcW w:w="7762" w:type="dxa"/>
            <w:tcBorders>
              <w:top w:val="single" w:color="auto" w:sz="4" w:space="0"/>
              <w:left w:val="single" w:color="auto" w:sz="4" w:space="0"/>
              <w:bottom w:val="single" w:color="auto" w:sz="4" w:space="0"/>
              <w:right w:val="single" w:color="auto" w:sz="4" w:space="0"/>
            </w:tcBorders>
            <w:noWrap/>
            <w:vAlign w:val="center"/>
          </w:tcPr>
          <w:p w14:paraId="583DB11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投标报价同时满足以下条款：（1）投标报价符合唯一性要求；（2）开标一览表填写符合要求；（3）报价货币符合招标文件要求；（4）未超出采购预算或招标文件规定的最高限价；</w:t>
            </w:r>
          </w:p>
        </w:tc>
        <w:tc>
          <w:tcPr>
            <w:tcW w:w="659" w:type="dxa"/>
            <w:tcBorders>
              <w:top w:val="single" w:color="auto" w:sz="4" w:space="0"/>
              <w:left w:val="single" w:color="auto" w:sz="4" w:space="0"/>
              <w:bottom w:val="single" w:color="auto" w:sz="4" w:space="0"/>
              <w:right w:val="single" w:color="auto" w:sz="4" w:space="0"/>
            </w:tcBorders>
            <w:noWrap/>
            <w:vAlign w:val="center"/>
          </w:tcPr>
          <w:p w14:paraId="3BCCB099">
            <w:pPr>
              <w:spacing w:line="360" w:lineRule="auto"/>
              <w:jc w:val="center"/>
              <w:rPr>
                <w:rFonts w:asciiTheme="majorEastAsia" w:hAnsiTheme="majorEastAsia" w:eastAsiaTheme="majorEastAsia" w:cstheme="majorEastAsia"/>
                <w:b/>
                <w:bCs/>
                <w:sz w:val="24"/>
              </w:rPr>
            </w:pPr>
          </w:p>
        </w:tc>
      </w:tr>
      <w:tr w14:paraId="0397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2" w:hRule="atLeast"/>
          <w:jc w:val="center"/>
        </w:trPr>
        <w:tc>
          <w:tcPr>
            <w:tcW w:w="746" w:type="dxa"/>
            <w:tcBorders>
              <w:left w:val="single" w:color="auto" w:sz="4" w:space="0"/>
              <w:right w:val="single" w:color="auto" w:sz="4" w:space="0"/>
            </w:tcBorders>
            <w:noWrap/>
            <w:vAlign w:val="center"/>
          </w:tcPr>
          <w:p w14:paraId="20C56FD1">
            <w:pPr>
              <w:spacing w:line="360" w:lineRule="auto"/>
              <w:jc w:val="center"/>
              <w:rPr>
                <w:rFonts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2</w:t>
            </w:r>
          </w:p>
        </w:tc>
        <w:tc>
          <w:tcPr>
            <w:tcW w:w="7762" w:type="dxa"/>
            <w:tcBorders>
              <w:top w:val="single" w:color="auto" w:sz="4" w:space="0"/>
              <w:left w:val="single" w:color="auto" w:sz="4" w:space="0"/>
              <w:bottom w:val="single" w:color="auto" w:sz="4" w:space="0"/>
              <w:right w:val="single" w:color="auto" w:sz="4" w:space="0"/>
            </w:tcBorders>
            <w:noWrap/>
            <w:vAlign w:val="center"/>
          </w:tcPr>
          <w:p w14:paraId="2043E09C">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投标有效期符合招标文件要求；</w:t>
            </w:r>
          </w:p>
        </w:tc>
        <w:tc>
          <w:tcPr>
            <w:tcW w:w="659" w:type="dxa"/>
            <w:tcBorders>
              <w:top w:val="single" w:color="auto" w:sz="4" w:space="0"/>
              <w:left w:val="single" w:color="auto" w:sz="4" w:space="0"/>
              <w:bottom w:val="single" w:color="auto" w:sz="4" w:space="0"/>
              <w:right w:val="single" w:color="auto" w:sz="4" w:space="0"/>
            </w:tcBorders>
            <w:noWrap/>
            <w:vAlign w:val="center"/>
          </w:tcPr>
          <w:p w14:paraId="12A248A6">
            <w:pPr>
              <w:spacing w:line="360" w:lineRule="auto"/>
              <w:jc w:val="center"/>
              <w:rPr>
                <w:rFonts w:asciiTheme="majorEastAsia" w:hAnsiTheme="majorEastAsia" w:eastAsiaTheme="majorEastAsia" w:cstheme="majorEastAsia"/>
                <w:b/>
                <w:sz w:val="24"/>
              </w:rPr>
            </w:pPr>
          </w:p>
        </w:tc>
      </w:tr>
      <w:tr w14:paraId="1F0B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2" w:hRule="atLeast"/>
          <w:jc w:val="center"/>
        </w:trPr>
        <w:tc>
          <w:tcPr>
            <w:tcW w:w="746" w:type="dxa"/>
            <w:tcBorders>
              <w:left w:val="single" w:color="auto" w:sz="4" w:space="0"/>
              <w:right w:val="single" w:color="auto" w:sz="4" w:space="0"/>
            </w:tcBorders>
            <w:noWrap/>
            <w:vAlign w:val="center"/>
          </w:tcPr>
          <w:p w14:paraId="34D99CC6">
            <w:pPr>
              <w:spacing w:line="360" w:lineRule="auto"/>
              <w:jc w:val="center"/>
              <w:rPr>
                <w:rFonts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3</w:t>
            </w:r>
          </w:p>
        </w:tc>
        <w:tc>
          <w:tcPr>
            <w:tcW w:w="7762" w:type="dxa"/>
            <w:tcBorders>
              <w:top w:val="single" w:color="auto" w:sz="4" w:space="0"/>
              <w:left w:val="single" w:color="auto" w:sz="4" w:space="0"/>
              <w:bottom w:val="single" w:color="auto" w:sz="4" w:space="0"/>
              <w:right w:val="single" w:color="auto" w:sz="4" w:space="0"/>
            </w:tcBorders>
            <w:noWrap/>
            <w:vAlign w:val="center"/>
          </w:tcPr>
          <w:p w14:paraId="42F5E30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实质性条款完全响应招标文件要求的各项实质性条款；</w:t>
            </w:r>
          </w:p>
        </w:tc>
        <w:tc>
          <w:tcPr>
            <w:tcW w:w="659" w:type="dxa"/>
            <w:tcBorders>
              <w:top w:val="single" w:color="auto" w:sz="4" w:space="0"/>
              <w:left w:val="single" w:color="auto" w:sz="4" w:space="0"/>
              <w:bottom w:val="single" w:color="auto" w:sz="4" w:space="0"/>
              <w:right w:val="single" w:color="auto" w:sz="4" w:space="0"/>
            </w:tcBorders>
            <w:noWrap/>
            <w:vAlign w:val="center"/>
          </w:tcPr>
          <w:p w14:paraId="46280FD5">
            <w:pPr>
              <w:spacing w:line="360" w:lineRule="auto"/>
              <w:jc w:val="center"/>
              <w:rPr>
                <w:rFonts w:asciiTheme="majorEastAsia" w:hAnsiTheme="majorEastAsia" w:eastAsiaTheme="majorEastAsia" w:cstheme="majorEastAsia"/>
                <w:b/>
                <w:sz w:val="24"/>
              </w:rPr>
            </w:pPr>
          </w:p>
        </w:tc>
      </w:tr>
      <w:tr w14:paraId="1065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1" w:hRule="atLeast"/>
          <w:jc w:val="center"/>
        </w:trPr>
        <w:tc>
          <w:tcPr>
            <w:tcW w:w="746" w:type="dxa"/>
            <w:tcBorders>
              <w:left w:val="single" w:color="auto" w:sz="4" w:space="0"/>
              <w:bottom w:val="single" w:color="auto" w:sz="4" w:space="0"/>
              <w:right w:val="single" w:color="auto" w:sz="4" w:space="0"/>
            </w:tcBorders>
            <w:noWrap/>
            <w:vAlign w:val="center"/>
          </w:tcPr>
          <w:p w14:paraId="43C0B490">
            <w:pPr>
              <w:spacing w:line="360" w:lineRule="auto"/>
              <w:jc w:val="center"/>
              <w:rPr>
                <w:rFonts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4</w:t>
            </w:r>
          </w:p>
        </w:tc>
        <w:tc>
          <w:tcPr>
            <w:tcW w:w="7762" w:type="dxa"/>
            <w:tcBorders>
              <w:top w:val="single" w:color="auto" w:sz="4" w:space="0"/>
              <w:left w:val="single" w:color="auto" w:sz="4" w:space="0"/>
              <w:bottom w:val="single" w:color="auto" w:sz="4" w:space="0"/>
              <w:right w:val="single" w:color="auto" w:sz="4" w:space="0"/>
            </w:tcBorders>
            <w:noWrap/>
            <w:vAlign w:val="center"/>
          </w:tcPr>
          <w:p w14:paraId="4421B43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投标文件的语言及计量单位符合招标文件的要求；</w:t>
            </w:r>
          </w:p>
        </w:tc>
        <w:tc>
          <w:tcPr>
            <w:tcW w:w="659" w:type="dxa"/>
            <w:tcBorders>
              <w:top w:val="single" w:color="auto" w:sz="4" w:space="0"/>
              <w:left w:val="single" w:color="auto" w:sz="4" w:space="0"/>
              <w:bottom w:val="single" w:color="auto" w:sz="4" w:space="0"/>
              <w:right w:val="single" w:color="auto" w:sz="4" w:space="0"/>
            </w:tcBorders>
            <w:noWrap/>
            <w:vAlign w:val="center"/>
          </w:tcPr>
          <w:p w14:paraId="1D82BD3D">
            <w:pPr>
              <w:spacing w:line="360" w:lineRule="auto"/>
              <w:jc w:val="center"/>
              <w:rPr>
                <w:rFonts w:asciiTheme="majorEastAsia" w:hAnsiTheme="majorEastAsia" w:eastAsiaTheme="majorEastAsia" w:cstheme="majorEastAsia"/>
                <w:b/>
                <w:sz w:val="24"/>
              </w:rPr>
            </w:pPr>
          </w:p>
        </w:tc>
      </w:tr>
      <w:tr w14:paraId="6BD7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 w:hRule="atLeast"/>
          <w:jc w:val="center"/>
        </w:trPr>
        <w:tc>
          <w:tcPr>
            <w:tcW w:w="746" w:type="dxa"/>
            <w:tcBorders>
              <w:left w:val="single" w:color="auto" w:sz="4" w:space="0"/>
              <w:right w:val="single" w:color="auto" w:sz="4" w:space="0"/>
            </w:tcBorders>
            <w:noWrap/>
            <w:vAlign w:val="center"/>
          </w:tcPr>
          <w:p w14:paraId="2C3B469B">
            <w:pPr>
              <w:spacing w:line="360" w:lineRule="auto"/>
              <w:jc w:val="center"/>
              <w:rPr>
                <w:rFonts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5</w:t>
            </w:r>
          </w:p>
        </w:tc>
        <w:tc>
          <w:tcPr>
            <w:tcW w:w="7762" w:type="dxa"/>
            <w:tcBorders>
              <w:top w:val="single" w:color="auto" w:sz="4" w:space="0"/>
              <w:left w:val="single" w:color="auto" w:sz="4" w:space="0"/>
              <w:bottom w:val="single" w:color="auto" w:sz="4" w:space="0"/>
              <w:right w:val="single" w:color="auto" w:sz="4" w:space="0"/>
            </w:tcBorders>
            <w:noWrap/>
            <w:vAlign w:val="center"/>
          </w:tcPr>
          <w:p w14:paraId="169F4CD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其他情况：没有串通投标或弄虚作假或有其他违法行为；招标文件或法律法规规有关废标或否决投标规定的其他情形。</w:t>
            </w:r>
          </w:p>
        </w:tc>
        <w:tc>
          <w:tcPr>
            <w:tcW w:w="659" w:type="dxa"/>
            <w:tcBorders>
              <w:top w:val="single" w:color="auto" w:sz="4" w:space="0"/>
              <w:left w:val="single" w:color="auto" w:sz="4" w:space="0"/>
              <w:bottom w:val="single" w:color="auto" w:sz="4" w:space="0"/>
              <w:right w:val="single" w:color="auto" w:sz="4" w:space="0"/>
            </w:tcBorders>
            <w:noWrap/>
            <w:vAlign w:val="center"/>
          </w:tcPr>
          <w:p w14:paraId="6E35B0BA">
            <w:pPr>
              <w:spacing w:line="360" w:lineRule="auto"/>
              <w:jc w:val="center"/>
              <w:rPr>
                <w:rFonts w:asciiTheme="majorEastAsia" w:hAnsiTheme="majorEastAsia" w:eastAsiaTheme="majorEastAsia" w:cstheme="majorEastAsia"/>
                <w:b/>
                <w:sz w:val="24"/>
              </w:rPr>
            </w:pPr>
          </w:p>
        </w:tc>
      </w:tr>
      <w:tr w14:paraId="3195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8508" w:type="dxa"/>
            <w:gridSpan w:val="2"/>
            <w:tcBorders>
              <w:left w:val="single" w:color="auto" w:sz="4" w:space="0"/>
              <w:bottom w:val="single" w:color="auto" w:sz="4" w:space="0"/>
              <w:right w:val="single" w:color="auto" w:sz="4" w:space="0"/>
            </w:tcBorders>
            <w:noWrap/>
            <w:vAlign w:val="center"/>
          </w:tcPr>
          <w:p w14:paraId="276D395D">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备注：符合性审查不合格的投标单位不得进入下一评审环节。</w:t>
            </w:r>
          </w:p>
        </w:tc>
        <w:tc>
          <w:tcPr>
            <w:tcW w:w="659" w:type="dxa"/>
            <w:tcBorders>
              <w:top w:val="single" w:color="auto" w:sz="4" w:space="0"/>
              <w:left w:val="single" w:color="auto" w:sz="4" w:space="0"/>
              <w:bottom w:val="single" w:color="auto" w:sz="4" w:space="0"/>
              <w:right w:val="single" w:color="auto" w:sz="4" w:space="0"/>
            </w:tcBorders>
            <w:noWrap/>
            <w:vAlign w:val="center"/>
          </w:tcPr>
          <w:p w14:paraId="0842AAE8">
            <w:pPr>
              <w:spacing w:line="360" w:lineRule="auto"/>
              <w:jc w:val="center"/>
              <w:rPr>
                <w:rFonts w:asciiTheme="majorEastAsia" w:hAnsiTheme="majorEastAsia" w:eastAsiaTheme="majorEastAsia" w:cstheme="majorEastAsia"/>
                <w:b/>
                <w:sz w:val="24"/>
              </w:rPr>
            </w:pPr>
          </w:p>
        </w:tc>
      </w:tr>
    </w:tbl>
    <w:p w14:paraId="590B46A9">
      <w:pPr>
        <w:pStyle w:val="10"/>
        <w:spacing w:line="360" w:lineRule="auto"/>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22.3.1有下列情形之一的，视为投标人相互恶意串通投标响应，其投标文件按无效处理：</w:t>
      </w:r>
    </w:p>
    <w:p w14:paraId="7FDBE4E9">
      <w:pPr>
        <w:pStyle w:val="10"/>
        <w:spacing w:line="360" w:lineRule="auto"/>
        <w:ind w:firstLine="240" w:firstLineChars="100"/>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1）不同投标人的投标文件由同一单位或者个人编制；</w:t>
      </w:r>
    </w:p>
    <w:p w14:paraId="5983EA94">
      <w:pPr>
        <w:pStyle w:val="10"/>
        <w:spacing w:line="360" w:lineRule="auto"/>
        <w:ind w:firstLine="240" w:firstLineChars="100"/>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2）不同投标人委托同一单位或者个人办理投标事宜；</w:t>
      </w:r>
    </w:p>
    <w:p w14:paraId="35ADCDEF">
      <w:pPr>
        <w:pStyle w:val="10"/>
        <w:spacing w:line="360" w:lineRule="auto"/>
        <w:ind w:firstLine="240" w:firstLineChars="100"/>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3）不同投标人的响应文件载明的项目管理成员为同一人；</w:t>
      </w:r>
    </w:p>
    <w:p w14:paraId="6BF8E249">
      <w:pPr>
        <w:pStyle w:val="10"/>
        <w:spacing w:line="360" w:lineRule="auto"/>
        <w:ind w:firstLine="240" w:firstLineChars="100"/>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4）不同投标人的响应文件异常一致或者投标报价呈规律性差异；</w:t>
      </w:r>
    </w:p>
    <w:p w14:paraId="2960E8F5">
      <w:pPr>
        <w:pStyle w:val="10"/>
        <w:spacing w:line="360" w:lineRule="auto"/>
        <w:ind w:firstLine="240" w:firstLineChars="100"/>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5）不同投标人的响应文件相互混装；</w:t>
      </w:r>
    </w:p>
    <w:p w14:paraId="3B2CCF37">
      <w:pPr>
        <w:pStyle w:val="10"/>
        <w:spacing w:line="360" w:lineRule="auto"/>
        <w:ind w:firstLine="240" w:firstLineChars="100"/>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6）不同投标人的投标保证金从同一单位或者个人的账户转出；</w:t>
      </w:r>
    </w:p>
    <w:p w14:paraId="0390115D">
      <w:pPr>
        <w:pStyle w:val="10"/>
        <w:spacing w:line="360" w:lineRule="auto"/>
        <w:ind w:firstLine="240" w:firstLineChars="100"/>
        <w:rPr>
          <w:rFonts w:asciiTheme="majorEastAsia" w:hAnsiTheme="majorEastAsia" w:eastAsiaTheme="majorEastAsia" w:cstheme="majorEastAsia"/>
          <w:kern w:val="2"/>
          <w:sz w:val="24"/>
        </w:rPr>
      </w:pPr>
      <w:r>
        <w:rPr>
          <w:rFonts w:hint="eastAsia" w:asciiTheme="majorEastAsia" w:hAnsiTheme="majorEastAsia" w:eastAsiaTheme="majorEastAsia" w:cstheme="majorEastAsia"/>
          <w:kern w:val="2"/>
          <w:sz w:val="24"/>
        </w:rPr>
        <w:t>7）不同投标人的响应文件由同一单位送达。</w:t>
      </w:r>
    </w:p>
    <w:p w14:paraId="46B74BA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22.4 如果投标文件实质上没有响应招标文件的要求，评标委员会将予以拒绝，投标人不得通过修正或撤销不合要求的偏离从而使其投标成为实质上响应的投标。</w:t>
      </w:r>
    </w:p>
    <w:p w14:paraId="68F96FD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22.5 评标委员会将只对确定为实质上响应的投标进行审核，看其是否有计算上和累加上的算术错误，修正错误的原则如下：</w:t>
      </w:r>
    </w:p>
    <w:p w14:paraId="3533C1F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1）投标报价表中内容与投标文件投标分项报价表内容不一致的，应以投标报价表为准；</w:t>
      </w:r>
    </w:p>
    <w:p w14:paraId="709F81FC">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2）投标文件的大写金额和小写金额不一致的，以大写金额为准；总价金额与按单价汇总金额不一致的，以单价金额计算结果为准；单价金额小数点有明显错位的，应以总价为准，并修改单价；</w:t>
      </w:r>
    </w:p>
    <w:p w14:paraId="5AE6A70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22.6 评标委员会将按上述修正错误的原则调整投标文件中的投标报价，调整后的价格应对投标人具有约束力。如果投标人不接受修正后的价格，则其投标将被拒绝。</w:t>
      </w:r>
    </w:p>
    <w:p w14:paraId="7E58E1B8">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23．投标文件的详细评审</w:t>
      </w:r>
    </w:p>
    <w:p w14:paraId="478B8990">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23.1 评标委员会将按照第22条规定只对确定为实质上响应招标文件要求的投标进行详细的评价和比较。</w:t>
      </w:r>
    </w:p>
    <w:p w14:paraId="7C42980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23.2 评标方法：综合评分法</w:t>
      </w:r>
    </w:p>
    <w:p w14:paraId="6A3AFBB5">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评审总分值为100分，具体分值如下：</w:t>
      </w:r>
    </w:p>
    <w:tbl>
      <w:tblPr>
        <w:tblStyle w:val="26"/>
        <w:tblpPr w:leftFromText="180" w:rightFromText="180" w:vertAnchor="text" w:horzAnchor="page" w:tblpX="1214" w:tblpY="426"/>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656"/>
        <w:gridCol w:w="867"/>
      </w:tblGrid>
      <w:tr w14:paraId="762B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8" w:type="dxa"/>
            <w:noWrap/>
            <w:vAlign w:val="center"/>
          </w:tcPr>
          <w:p w14:paraId="01BF43E6">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分项名称</w:t>
            </w:r>
          </w:p>
        </w:tc>
        <w:tc>
          <w:tcPr>
            <w:tcW w:w="7656" w:type="dxa"/>
            <w:noWrap/>
            <w:vAlign w:val="center"/>
          </w:tcPr>
          <w:p w14:paraId="335EB168">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评分标准</w:t>
            </w:r>
          </w:p>
        </w:tc>
        <w:tc>
          <w:tcPr>
            <w:tcW w:w="867" w:type="dxa"/>
            <w:noWrap/>
            <w:vAlign w:val="center"/>
          </w:tcPr>
          <w:p w14:paraId="7A113223">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满分</w:t>
            </w:r>
          </w:p>
        </w:tc>
      </w:tr>
      <w:tr w14:paraId="3607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78" w:type="dxa"/>
            <w:noWrap/>
            <w:vAlign w:val="center"/>
          </w:tcPr>
          <w:p w14:paraId="09974334">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投标报价</w:t>
            </w:r>
          </w:p>
          <w:p w14:paraId="622C682B">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c>
          <w:tcPr>
            <w:tcW w:w="7656" w:type="dxa"/>
            <w:noWrap/>
          </w:tcPr>
          <w:p w14:paraId="16287211">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满足招标文件要求且投标价格最低的投标价为评标基准价，其价格分为满分。</w:t>
            </w:r>
          </w:p>
          <w:p w14:paraId="2D5CD18C">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其他投标企业的价格分数按照下列公式计算：投标报价得分数=(评标基准价／投标报价)×10，计算分数时四舍五入取小数点后两位。</w:t>
            </w:r>
          </w:p>
        </w:tc>
        <w:tc>
          <w:tcPr>
            <w:tcW w:w="867" w:type="dxa"/>
            <w:noWrap/>
            <w:vAlign w:val="center"/>
          </w:tcPr>
          <w:p w14:paraId="45B8B11D">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r>
      <w:tr w14:paraId="4262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8" w:type="dxa"/>
            <w:noWrap/>
            <w:vAlign w:val="center"/>
          </w:tcPr>
          <w:p w14:paraId="71D95BEB">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项目理解及需求分析（15分）</w:t>
            </w:r>
          </w:p>
        </w:tc>
        <w:tc>
          <w:tcPr>
            <w:tcW w:w="7656" w:type="dxa"/>
            <w:noWrap/>
          </w:tcPr>
          <w:p w14:paraId="665DAE02">
            <w:pPr>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投标人根据本项目特点，对项目理解及需求分析，具体包括：①项目背景、②需求分析、③系统总体框架</w:t>
            </w:r>
            <w:r>
              <w:rPr>
                <w:rFonts w:hint="eastAsia" w:asciiTheme="majorEastAsia" w:hAnsiTheme="majorEastAsia" w:eastAsiaTheme="majorEastAsia" w:cstheme="majorEastAsia"/>
                <w:sz w:val="24"/>
                <w:lang w:eastAsia="zh-CN"/>
              </w:rPr>
              <w:t>。</w:t>
            </w:r>
          </w:p>
          <w:p w14:paraId="6641B7CC">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注：每具有一项得5分，最多得</w:t>
            </w:r>
            <w:r>
              <w:rPr>
                <w:rFonts w:hint="eastAsia" w:asciiTheme="majorEastAsia" w:hAnsiTheme="majorEastAsia" w:eastAsiaTheme="majorEastAsia" w:cstheme="majorEastAsia"/>
                <w:sz w:val="24"/>
                <w:lang w:val="en-US" w:eastAsia="zh-CN"/>
              </w:rPr>
              <w:t>15</w:t>
            </w:r>
            <w:r>
              <w:rPr>
                <w:rFonts w:hint="eastAsia" w:asciiTheme="majorEastAsia" w:hAnsiTheme="majorEastAsia" w:eastAsiaTheme="majorEastAsia" w:cstheme="majorEastAsia"/>
                <w:sz w:val="24"/>
              </w:rPr>
              <w:t>分。在此基础上，方案中存在缺陷的，每1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867" w:type="dxa"/>
            <w:noWrap/>
            <w:vAlign w:val="center"/>
          </w:tcPr>
          <w:p w14:paraId="3A80E6B6">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15分</w:t>
            </w:r>
          </w:p>
        </w:tc>
      </w:tr>
      <w:tr w14:paraId="4A5C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8" w:type="dxa"/>
            <w:noWrap/>
            <w:vAlign w:val="center"/>
          </w:tcPr>
          <w:p w14:paraId="1EFB3F3C">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项目实施及技术方案（30分）</w:t>
            </w:r>
          </w:p>
        </w:tc>
        <w:tc>
          <w:tcPr>
            <w:tcW w:w="7656" w:type="dxa"/>
            <w:noWrap/>
          </w:tcPr>
          <w:p w14:paraId="64ADC596">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根据供应商对本项目实施与技术方案进行评审，具体包括：①项目管理方案</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②系统建设方案</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③进度及保障计划</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④质量保障方案</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⑤应急处置预案</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⑥安全保障措施。</w:t>
            </w:r>
          </w:p>
          <w:p w14:paraId="7E429A08">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注：每具有一项得5分，最多得</w:t>
            </w: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rPr>
              <w:t>分。在此基础上，方案中存在缺陷的，每1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867" w:type="dxa"/>
            <w:noWrap/>
            <w:vAlign w:val="center"/>
          </w:tcPr>
          <w:p w14:paraId="01C4C762">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30分</w:t>
            </w:r>
          </w:p>
        </w:tc>
      </w:tr>
      <w:tr w14:paraId="4025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8" w:type="dxa"/>
            <w:noWrap/>
            <w:vAlign w:val="center"/>
          </w:tcPr>
          <w:p w14:paraId="5E1FD3B8">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技术要求响应（5分）</w:t>
            </w:r>
          </w:p>
        </w:tc>
        <w:tc>
          <w:tcPr>
            <w:tcW w:w="7656" w:type="dxa"/>
            <w:noWrap/>
          </w:tcPr>
          <w:p w14:paraId="060A1A94">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招标</w:t>
            </w:r>
            <w:r>
              <w:rPr>
                <w:rFonts w:hint="eastAsia" w:asciiTheme="majorEastAsia" w:hAnsiTheme="majorEastAsia" w:eastAsiaTheme="majorEastAsia" w:cstheme="majorEastAsia"/>
                <w:sz w:val="24"/>
              </w:rPr>
              <w:t>文件</w:t>
            </w:r>
            <w:r>
              <w:rPr>
                <w:rFonts w:hint="eastAsia" w:asciiTheme="majorEastAsia" w:hAnsiTheme="majorEastAsia" w:eastAsiaTheme="majorEastAsia" w:cstheme="majorEastAsia"/>
                <w:sz w:val="24"/>
                <w:lang w:val="en-US" w:eastAsia="zh-CN"/>
              </w:rPr>
              <w:t>采购内容及技术要求</w:t>
            </w:r>
            <w:r>
              <w:rPr>
                <w:rFonts w:hint="eastAsia" w:asciiTheme="majorEastAsia" w:hAnsiTheme="majorEastAsia" w:eastAsiaTheme="majorEastAsia" w:cstheme="majorEastAsia"/>
                <w:sz w:val="24"/>
              </w:rPr>
              <w:t>中“★”项为重要技术参数，</w:t>
            </w:r>
            <w:r>
              <w:rPr>
                <w:rFonts w:hint="eastAsia" w:asciiTheme="majorEastAsia" w:hAnsiTheme="majorEastAsia" w:eastAsiaTheme="majorEastAsia" w:cstheme="majorEastAsia"/>
                <w:sz w:val="24"/>
                <w:lang w:val="en-US" w:eastAsia="zh-CN"/>
              </w:rPr>
              <w:t>需提供相应的功能证明材料（包括但不限于检测报告、产品功能截图、官网截图或公开发行的产品彩页等的复印件），本项</w:t>
            </w:r>
            <w:r>
              <w:rPr>
                <w:rFonts w:hint="eastAsia" w:asciiTheme="majorEastAsia" w:hAnsiTheme="majorEastAsia" w:eastAsiaTheme="majorEastAsia" w:cstheme="majorEastAsia"/>
                <w:sz w:val="24"/>
              </w:rPr>
              <w:t>最多得5分</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每</w:t>
            </w:r>
            <w:r>
              <w:rPr>
                <w:rFonts w:hint="eastAsia" w:asciiTheme="majorEastAsia" w:hAnsiTheme="majorEastAsia" w:eastAsiaTheme="majorEastAsia" w:cstheme="majorEastAsia"/>
                <w:sz w:val="24"/>
              </w:rPr>
              <w:t>项不满足或未提供相关佐证资料扣0.5分，扣完为止。</w:t>
            </w:r>
          </w:p>
        </w:tc>
        <w:tc>
          <w:tcPr>
            <w:tcW w:w="867" w:type="dxa"/>
            <w:noWrap/>
            <w:vAlign w:val="center"/>
          </w:tcPr>
          <w:p w14:paraId="4CAA6659">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5分</w:t>
            </w:r>
          </w:p>
        </w:tc>
      </w:tr>
      <w:tr w14:paraId="474E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8" w:type="dxa"/>
            <w:noWrap/>
            <w:vAlign w:val="center"/>
          </w:tcPr>
          <w:p w14:paraId="3D59766C">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项目组织人员方案（10分）</w:t>
            </w:r>
          </w:p>
        </w:tc>
        <w:tc>
          <w:tcPr>
            <w:tcW w:w="7656" w:type="dxa"/>
            <w:noWrap/>
          </w:tcPr>
          <w:p w14:paraId="1E6C6B57">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1、项目负责人：具有行政主管部门颁发的有效的高级信息系统项目管理师证书，得2分；</w:t>
            </w:r>
          </w:p>
          <w:p w14:paraId="06D08E5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2、拟配备其他人员（不含项目负责人），具有系统集成项目管理工程师、高级工程师、PMP证书、软件设计师或高级网络运维工程师资质的，</w:t>
            </w:r>
          </w:p>
          <w:p w14:paraId="2F1D84BD">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注：每具有一项得2分，最多得8分。 </w:t>
            </w:r>
          </w:p>
          <w:p w14:paraId="003E5148">
            <w:pPr>
              <w:numPr>
                <w:ilvl w:val="0"/>
                <w:numId w:val="2"/>
              </w:num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投标文件中需提供拟配备人员身份证、资格证书扫描件。</w:t>
            </w:r>
          </w:p>
          <w:p w14:paraId="1A7A0F7E">
            <w:pPr>
              <w:numPr>
                <w:ilvl w:val="0"/>
                <w:numId w:val="0"/>
              </w:num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（2）系统集成项目管理工程师、高级工程师、软件设计师、高级网络运维工程师资质由行政主管部门颁发；PMP 证书由 PMI 颁发； </w:t>
            </w:r>
          </w:p>
          <w:p w14:paraId="57B11D87">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（3）同一人最多仅可提供一个证书，超出部分不计入分数； </w:t>
            </w:r>
          </w:p>
          <w:p w14:paraId="54A02462">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（4）未提供或提供不符合要求的，对应评分指标不得分。</w:t>
            </w:r>
          </w:p>
        </w:tc>
        <w:tc>
          <w:tcPr>
            <w:tcW w:w="867" w:type="dxa"/>
            <w:noWrap/>
            <w:vAlign w:val="center"/>
          </w:tcPr>
          <w:p w14:paraId="0B201063">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r>
      <w:tr w14:paraId="7955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8" w:type="dxa"/>
            <w:noWrap/>
            <w:vAlign w:val="center"/>
          </w:tcPr>
          <w:p w14:paraId="6415D2AF">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售后服务（</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0分）</w:t>
            </w:r>
          </w:p>
        </w:tc>
        <w:tc>
          <w:tcPr>
            <w:tcW w:w="7656" w:type="dxa"/>
            <w:noWrap/>
          </w:tcPr>
          <w:p w14:paraId="528AA360">
            <w:pPr>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根据本项目采购需求提供相应的售后服务，具体包括：①售后服务机构</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②售后服务方案</w:t>
            </w:r>
            <w:r>
              <w:rPr>
                <w:rFonts w:hint="eastAsia" w:asciiTheme="majorEastAsia" w:hAnsiTheme="majorEastAsia" w:eastAsiaTheme="majorEastAsia" w:cstheme="majorEastAsia"/>
                <w:sz w:val="24"/>
                <w:lang w:eastAsia="zh-CN"/>
              </w:rPr>
              <w:t>。</w:t>
            </w:r>
          </w:p>
          <w:p w14:paraId="67EB4DD9">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注：每具有一项得5分，最多得</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0分。在此基础上，方案中存在缺陷的，每1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867" w:type="dxa"/>
            <w:noWrap/>
            <w:vAlign w:val="center"/>
          </w:tcPr>
          <w:p w14:paraId="401E000A">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10</w:t>
            </w:r>
            <w:r>
              <w:rPr>
                <w:rFonts w:hint="eastAsia" w:asciiTheme="majorEastAsia" w:hAnsiTheme="majorEastAsia" w:eastAsiaTheme="majorEastAsia" w:cstheme="majorEastAsia"/>
                <w:sz w:val="24"/>
              </w:rPr>
              <w:t>分</w:t>
            </w:r>
          </w:p>
        </w:tc>
      </w:tr>
      <w:tr w14:paraId="22C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8" w:type="dxa"/>
            <w:noWrap/>
            <w:vAlign w:val="center"/>
          </w:tcPr>
          <w:p w14:paraId="0203EE7E">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培训方案（10分）</w:t>
            </w:r>
          </w:p>
        </w:tc>
        <w:tc>
          <w:tcPr>
            <w:tcW w:w="7656" w:type="dxa"/>
            <w:noWrap/>
          </w:tcPr>
          <w:p w14:paraId="54ED3C31">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根据本项目采购需求提供相应的培训方案，具体包括：①培训目标及计划</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②培训内容及方式；</w:t>
            </w:r>
          </w:p>
          <w:p w14:paraId="5766FABF">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每具有一项得5分，最多得10分。在此基础上，方案中存在缺陷的，每1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c>
          <w:tcPr>
            <w:tcW w:w="867" w:type="dxa"/>
            <w:noWrap/>
            <w:vAlign w:val="center"/>
          </w:tcPr>
          <w:p w14:paraId="445F6227">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r>
      <w:tr w14:paraId="6323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8" w:type="dxa"/>
            <w:noWrap/>
            <w:vAlign w:val="center"/>
          </w:tcPr>
          <w:p w14:paraId="67C0D084">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业绩（10）</w:t>
            </w:r>
          </w:p>
        </w:tc>
        <w:tc>
          <w:tcPr>
            <w:tcW w:w="7656" w:type="dxa"/>
            <w:noWrap/>
          </w:tcPr>
          <w:p w14:paraId="0745FD9A">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投标人提供近3年类似项目合同业绩</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 xml:space="preserve"> 合同材料要求：提供单项合同或协议关键页及订单扫描件等证明材料，包含但不限于：双方签字盖章信息、采购内容、合同价款、签字盖章页等，每提供1份得</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分，满分</w:t>
            </w:r>
            <w:r>
              <w:rPr>
                <w:rFonts w:hint="eastAsia" w:asciiTheme="majorEastAsia" w:hAnsiTheme="majorEastAsia" w:eastAsiaTheme="majorEastAsia" w:cstheme="majorEastAsia"/>
                <w:sz w:val="24"/>
                <w:lang w:val="en-US" w:eastAsia="zh-CN"/>
              </w:rPr>
              <w:t>10</w:t>
            </w:r>
            <w:r>
              <w:rPr>
                <w:rFonts w:hint="eastAsia" w:asciiTheme="majorEastAsia" w:hAnsiTheme="majorEastAsia" w:eastAsiaTheme="majorEastAsia" w:cstheme="majorEastAsia"/>
                <w:sz w:val="24"/>
              </w:rPr>
              <w:t xml:space="preserve"> 分。</w:t>
            </w:r>
          </w:p>
          <w:p w14:paraId="673B17E4">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注：近 3年指 202</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年1月起至今。</w:t>
            </w:r>
          </w:p>
        </w:tc>
        <w:tc>
          <w:tcPr>
            <w:tcW w:w="867" w:type="dxa"/>
            <w:noWrap/>
            <w:vAlign w:val="center"/>
          </w:tcPr>
          <w:p w14:paraId="3A2B4E0B">
            <w:pPr>
              <w:spacing w:line="360" w:lineRule="auto"/>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10</w:t>
            </w:r>
          </w:p>
        </w:tc>
      </w:tr>
    </w:tbl>
    <w:p w14:paraId="1D6A58F3"/>
    <w:p w14:paraId="1142D35B">
      <w:pPr>
        <w:autoSpaceDE w:val="0"/>
        <w:autoSpaceDN w:val="0"/>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23.</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zh-CN"/>
        </w:rPr>
        <w:t xml:space="preserve"> 本项目落实政府采购政策</w:t>
      </w:r>
    </w:p>
    <w:p w14:paraId="61248CE1">
      <w:pPr>
        <w:autoSpaceDE w:val="0"/>
        <w:autoSpaceDN w:val="0"/>
        <w:snapToGrid w:val="0"/>
        <w:spacing w:line="360" w:lineRule="auto"/>
        <w:ind w:firstLine="482" w:firstLineChars="200"/>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23.</w:t>
      </w:r>
      <w:r>
        <w:rPr>
          <w:rFonts w:hint="eastAsia" w:asciiTheme="majorEastAsia" w:hAnsiTheme="majorEastAsia" w:eastAsiaTheme="majorEastAsia" w:cstheme="majorEastAsia"/>
          <w:b/>
          <w:sz w:val="24"/>
        </w:rPr>
        <w:t>3</w:t>
      </w:r>
      <w:r>
        <w:rPr>
          <w:rFonts w:hint="eastAsia" w:asciiTheme="majorEastAsia" w:hAnsiTheme="majorEastAsia" w:eastAsiaTheme="majorEastAsia" w:cstheme="majorEastAsia"/>
          <w:b/>
          <w:sz w:val="24"/>
          <w:lang w:val="zh-CN"/>
        </w:rPr>
        <w:t>.1 投标企业政府采购政策</w:t>
      </w:r>
    </w:p>
    <w:p w14:paraId="75D7E5F4">
      <w:pPr>
        <w:autoSpaceDE w:val="0"/>
        <w:autoSpaceDN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（1）中小企业落实政府采购政策</w:t>
      </w:r>
    </w:p>
    <w:p w14:paraId="67256A0A">
      <w:pPr>
        <w:autoSpaceDE w:val="0"/>
        <w:autoSpaceDN w:val="0"/>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2A5AAFB7">
      <w:pPr>
        <w:autoSpaceDE w:val="0"/>
        <w:autoSpaceDN w:val="0"/>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②投标人须提供中小企业声明函，以此为依据享受政府采购政策。</w:t>
      </w:r>
    </w:p>
    <w:p w14:paraId="1AE1CE57">
      <w:pPr>
        <w:autoSpaceDE w:val="0"/>
        <w:autoSpaceDN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监狱和戒毒企业</w:t>
      </w:r>
      <w:r>
        <w:rPr>
          <w:rFonts w:hint="eastAsia" w:asciiTheme="majorEastAsia" w:hAnsiTheme="majorEastAsia" w:eastAsiaTheme="majorEastAsia" w:cstheme="majorEastAsia"/>
          <w:sz w:val="24"/>
        </w:rPr>
        <w:t>落实政府采购政策</w:t>
      </w:r>
    </w:p>
    <w:p w14:paraId="5F9A6021">
      <w:pPr>
        <w:autoSpaceDE w:val="0"/>
        <w:autoSpaceDN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监狱和戒毒企业应符合《财政部</w:t>
      </w:r>
      <w:r>
        <w:rPr>
          <w:rFonts w:hint="eastAsia" w:asciiTheme="majorEastAsia" w:hAnsiTheme="majorEastAsia" w:eastAsiaTheme="majorEastAsia" w:cstheme="majorEastAsia"/>
          <w:sz w:val="24"/>
        </w:rPr>
        <w:t>、司法部关于政府采购支持监狱企业发展有关问题的通知》--财库[2014]68号</w:t>
      </w:r>
      <w:r>
        <w:rPr>
          <w:rFonts w:hint="eastAsia" w:asciiTheme="majorEastAsia" w:hAnsiTheme="majorEastAsia" w:eastAsiaTheme="majorEastAsia" w:cstheme="majorEastAsia"/>
          <w:sz w:val="24"/>
          <w:lang w:val="zh-CN"/>
        </w:rPr>
        <w:t>，并提供由省级以上监狱管理局、戒毒管理局(含新疆生产建设兵团)出具的属于监狱企业的证明</w:t>
      </w:r>
      <w:r>
        <w:rPr>
          <w:rFonts w:hint="eastAsia" w:asciiTheme="majorEastAsia" w:hAnsiTheme="majorEastAsia" w:eastAsiaTheme="majorEastAsia" w:cstheme="majorEastAsia"/>
          <w:sz w:val="24"/>
        </w:rPr>
        <w:t>。</w:t>
      </w:r>
    </w:p>
    <w:p w14:paraId="417D74AE">
      <w:pPr>
        <w:autoSpaceDE w:val="0"/>
        <w:autoSpaceDN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（3）残疾人福利性单位落实政府采购政策</w:t>
      </w:r>
    </w:p>
    <w:p w14:paraId="271F253B">
      <w:pPr>
        <w:autoSpaceDE w:val="0"/>
        <w:autoSpaceDN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残疾人福利性单位应符合财库〔2018〕141号规定，提供本单位制造的货物、承担的工程或者服务（以下简称产品），或者提供其他残疾人福利性单位制造的货物（不包括使用非残疾人福利性单位注册商标的货物）。</w:t>
      </w:r>
    </w:p>
    <w:p w14:paraId="58FB3475">
      <w:pPr>
        <w:autoSpaceDE w:val="0"/>
        <w:autoSpaceDN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②投标人须按照财库〔2018〕141号规定，提供《残疾人福利性单位声明函》，并对声明的真实性负责。以此为依据享受政府采购政策。</w:t>
      </w:r>
    </w:p>
    <w:p w14:paraId="35916226">
      <w:pPr>
        <w:autoSpaceDE w:val="0"/>
        <w:autoSpaceDN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③中标、成交投标人为残疾人福利性单位的，采购人或者其委托的采购代理机构应当随中标、成交结果同时公告其《残疾人福利性单位声明函》，接受社会监督。</w:t>
      </w:r>
    </w:p>
    <w:p w14:paraId="06CA2860">
      <w:pPr>
        <w:autoSpaceDE w:val="0"/>
        <w:autoSpaceDN w:val="0"/>
        <w:snapToGri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（4）投标人</w:t>
      </w:r>
      <w:r>
        <w:rPr>
          <w:rFonts w:hint="eastAsia" w:asciiTheme="majorEastAsia" w:hAnsiTheme="majorEastAsia" w:eastAsiaTheme="majorEastAsia" w:cstheme="majorEastAsia"/>
          <w:bCs/>
          <w:sz w:val="24"/>
        </w:rPr>
        <w:t>应如实提供以上证明文件，如存在虚假应标，将取消其投标资格。</w:t>
      </w:r>
    </w:p>
    <w:p w14:paraId="10A0E804">
      <w:pPr>
        <w:autoSpaceDE w:val="0"/>
        <w:autoSpaceDN w:val="0"/>
        <w:snapToGrid w:val="0"/>
        <w:spacing w:line="360" w:lineRule="auto"/>
        <w:ind w:firstLine="472" w:firstLineChars="196"/>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23.</w:t>
      </w:r>
      <w:r>
        <w:rPr>
          <w:rFonts w:hint="eastAsia" w:asciiTheme="majorEastAsia" w:hAnsiTheme="majorEastAsia" w:eastAsiaTheme="majorEastAsia" w:cstheme="majorEastAsia"/>
          <w:b/>
          <w:sz w:val="24"/>
        </w:rPr>
        <w:t>3</w:t>
      </w:r>
      <w:r>
        <w:rPr>
          <w:rFonts w:hint="eastAsia" w:asciiTheme="majorEastAsia" w:hAnsiTheme="majorEastAsia" w:eastAsiaTheme="majorEastAsia" w:cstheme="majorEastAsia"/>
          <w:b/>
          <w:sz w:val="24"/>
          <w:lang w:val="zh-CN"/>
        </w:rPr>
        <w:t>.2 投标产品政府采购政策</w:t>
      </w:r>
    </w:p>
    <w:p w14:paraId="09C9CB21">
      <w:pPr>
        <w:autoSpaceDE w:val="0"/>
        <w:autoSpaceDN w:val="0"/>
        <w:snapToGrid w:val="0"/>
        <w:spacing w:line="360" w:lineRule="auto"/>
        <w:ind w:firstLine="470" w:firstLineChars="19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（1）节能产品</w:t>
      </w:r>
      <w:r>
        <w:rPr>
          <w:rFonts w:hint="eastAsia" w:asciiTheme="majorEastAsia" w:hAnsiTheme="majorEastAsia" w:eastAsiaTheme="majorEastAsia" w:cstheme="majorEastAsia"/>
          <w:sz w:val="24"/>
          <w:lang w:val="zh-CN"/>
        </w:rPr>
        <w:t>根据《国务院办公厅关于建立政府强制采购节能产品制度的通知》</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国办发[2007] 51号</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的规定</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以中国政府采购网</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http://www.ccgp.gov.cn/</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公布的最新一期节能产品政府采购清单为准。</w:t>
      </w:r>
    </w:p>
    <w:p w14:paraId="55C615E6">
      <w:pPr>
        <w:autoSpaceDE w:val="0"/>
        <w:autoSpaceDN w:val="0"/>
        <w:snapToGrid w:val="0"/>
        <w:spacing w:line="360" w:lineRule="auto"/>
        <w:ind w:firstLine="470" w:firstLineChars="19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（2）环境标志产品</w:t>
      </w:r>
      <w:r>
        <w:rPr>
          <w:rFonts w:hint="eastAsia" w:asciiTheme="majorEastAsia" w:hAnsiTheme="majorEastAsia" w:eastAsiaTheme="majorEastAsia" w:cstheme="majorEastAsia"/>
          <w:sz w:val="24"/>
          <w:lang w:val="zh-CN"/>
        </w:rPr>
        <w:t>根据《环境标志产品政府采购实施的意见》</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财库</w:t>
      </w:r>
      <w:r>
        <w:rPr>
          <w:rFonts w:hint="eastAsia" w:asciiTheme="majorEastAsia" w:hAnsiTheme="majorEastAsia" w:eastAsiaTheme="majorEastAsia" w:cstheme="majorEastAsia"/>
          <w:sz w:val="24"/>
        </w:rPr>
        <w:t>[2006]90</w:t>
      </w:r>
      <w:r>
        <w:rPr>
          <w:rFonts w:hint="eastAsia" w:asciiTheme="majorEastAsia" w:hAnsiTheme="majorEastAsia" w:eastAsiaTheme="majorEastAsia" w:cstheme="majorEastAsia"/>
          <w:sz w:val="24"/>
          <w:lang w:val="zh-CN"/>
        </w:rPr>
        <w:t>号</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的规定</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以中国政府采购网</w:t>
      </w:r>
      <w:r>
        <w:rPr>
          <w:rFonts w:hint="eastAsia" w:asciiTheme="majorEastAsia" w:hAnsiTheme="majorEastAsia" w:eastAsiaTheme="majorEastAsia" w:cstheme="majorEastAsia"/>
          <w:sz w:val="24"/>
        </w:rPr>
        <w:t>（http://www.ccgp.gov.cn/）</w:t>
      </w:r>
      <w:r>
        <w:rPr>
          <w:rFonts w:hint="eastAsia" w:asciiTheme="majorEastAsia" w:hAnsiTheme="majorEastAsia" w:eastAsiaTheme="majorEastAsia" w:cstheme="majorEastAsia"/>
          <w:sz w:val="24"/>
          <w:lang w:val="zh-CN"/>
        </w:rPr>
        <w:t>公布的最新一期环境标志产品政府采购清单为准。</w:t>
      </w:r>
    </w:p>
    <w:p w14:paraId="031DD466">
      <w:pPr>
        <w:autoSpaceDE w:val="0"/>
        <w:autoSpaceDN w:val="0"/>
        <w:snapToGrid w:val="0"/>
        <w:spacing w:line="360" w:lineRule="auto"/>
        <w:ind w:firstLine="470" w:firstLineChars="19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6784120C">
      <w:pPr>
        <w:autoSpaceDE w:val="0"/>
        <w:autoSpaceDN w:val="0"/>
        <w:snapToGrid w:val="0"/>
        <w:spacing w:line="360" w:lineRule="auto"/>
        <w:ind w:firstLine="470" w:firstLineChars="19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lang w:val="zh-CN"/>
        </w:rPr>
        <w:t>若节能、环保、环境标志清单内的产品仅是构成投标产品的部件、组件或零件的，则该投标产品不享受鼓励优惠政策。</w:t>
      </w:r>
    </w:p>
    <w:p w14:paraId="37E68CD5">
      <w:pPr>
        <w:autoSpaceDE w:val="0"/>
        <w:autoSpaceDN w:val="0"/>
        <w:snapToGrid w:val="0"/>
        <w:spacing w:line="360" w:lineRule="auto"/>
        <w:ind w:firstLine="470" w:firstLineChars="19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lang w:val="zh-CN"/>
        </w:rPr>
        <w:t>同一标段的节能、环保、环境标志产品部分优惠只对属于清单内的非强制类产品进行优惠，强制类产品不给予优惠。</w:t>
      </w:r>
    </w:p>
    <w:p w14:paraId="65016DC4">
      <w:pPr>
        <w:autoSpaceDE w:val="0"/>
        <w:autoSpaceDN w:val="0"/>
        <w:snapToGrid w:val="0"/>
        <w:spacing w:line="360" w:lineRule="auto"/>
        <w:ind w:firstLine="470" w:firstLineChars="19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lang w:val="zh-CN"/>
        </w:rPr>
        <w:t>节能、环保、环境标志产品不重复优惠；同时列入国家级清单和省级清单的产品不重复优惠。</w:t>
      </w:r>
    </w:p>
    <w:p w14:paraId="74CBE8E4">
      <w:pPr>
        <w:autoSpaceDE w:val="0"/>
        <w:autoSpaceDN w:val="0"/>
        <w:snapToGrid w:val="0"/>
        <w:spacing w:line="360" w:lineRule="auto"/>
        <w:ind w:firstLine="470" w:firstLineChars="19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lang w:val="zh-CN"/>
        </w:rPr>
        <w:t>获得上述认证的产品在投标时应提供有效证明材料。以上所有证明文件复印件须加盖投标人公章并注明“与原件一致”，否则不予优惠。</w:t>
      </w:r>
    </w:p>
    <w:p w14:paraId="6DEF38F4">
      <w:pPr>
        <w:pStyle w:val="6"/>
        <w:spacing w:line="360" w:lineRule="auto"/>
        <w:ind w:firstLine="482"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充分、公平竞争保障措施</w:t>
      </w:r>
    </w:p>
    <w:p w14:paraId="2611B3C8">
      <w:pPr>
        <w:autoSpaceDE w:val="0"/>
        <w:autoSpaceDN w:val="0"/>
        <w:snapToGrid w:val="0"/>
        <w:spacing w:line="360" w:lineRule="auto"/>
        <w:ind w:firstLine="470" w:firstLineChars="196"/>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en-US" w:eastAsia="zh-CN"/>
        </w:rPr>
        <w:t>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其他同品牌投标人不作为中标候选人。</w:t>
      </w:r>
    </w:p>
    <w:p w14:paraId="48B0C9D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24.评标委员会根据</w:t>
      </w:r>
      <w:r>
        <w:rPr>
          <w:rFonts w:hint="eastAsia" w:asciiTheme="majorEastAsia" w:hAnsiTheme="majorEastAsia" w:eastAsiaTheme="majorEastAsia" w:cstheme="majorEastAsia"/>
          <w:sz w:val="24"/>
        </w:rPr>
        <w:t>原始评标记录和评标结果编写</w:t>
      </w:r>
      <w:r>
        <w:rPr>
          <w:rFonts w:hint="eastAsia" w:asciiTheme="majorEastAsia" w:hAnsiTheme="majorEastAsia" w:eastAsiaTheme="majorEastAsia" w:cstheme="majorEastAsia"/>
          <w:kern w:val="1"/>
          <w:sz w:val="24"/>
        </w:rPr>
        <w:t>评标报告，报采购人。</w:t>
      </w:r>
    </w:p>
    <w:p w14:paraId="2D701877">
      <w:pPr>
        <w:spacing w:line="360" w:lineRule="auto"/>
        <w:ind w:firstLine="480"/>
        <w:rPr>
          <w:rFonts w:asciiTheme="majorEastAsia" w:hAnsiTheme="majorEastAsia" w:eastAsiaTheme="majorEastAsia" w:cstheme="majorEastAsia"/>
          <w:b/>
          <w:kern w:val="1"/>
          <w:sz w:val="24"/>
        </w:rPr>
      </w:pPr>
      <w:r>
        <w:rPr>
          <w:rFonts w:hint="eastAsia" w:asciiTheme="majorEastAsia" w:hAnsiTheme="majorEastAsia" w:eastAsiaTheme="majorEastAsia" w:cstheme="majorEastAsia"/>
          <w:kern w:val="1"/>
          <w:sz w:val="24"/>
        </w:rPr>
        <w:t>按照综合得分高到低，推荐出一个以上三个以下中标候选单位。如果综合评分出现两个投标人得分相同的情况，按下列顺序排列：</w:t>
      </w:r>
    </w:p>
    <w:p w14:paraId="72648C99">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(1) 投标价格低的；</w:t>
      </w:r>
    </w:p>
    <w:p w14:paraId="2B03BC75">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(2) 技术评估得分高的；</w:t>
      </w:r>
    </w:p>
    <w:p w14:paraId="167BA8A3">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(3) 服务承诺优的。</w:t>
      </w:r>
    </w:p>
    <w:p w14:paraId="0938D000">
      <w:pPr>
        <w:snapToGrid w:val="0"/>
        <w:spacing w:beforeLines="50" w:afterLines="50" w:line="360" w:lineRule="auto"/>
        <w:jc w:val="center"/>
        <w:rPr>
          <w:rFonts w:asciiTheme="majorEastAsia" w:hAnsiTheme="majorEastAsia" w:eastAsiaTheme="majorEastAsia" w:cstheme="majorEastAsia"/>
          <w:b/>
          <w:sz w:val="24"/>
        </w:rPr>
      </w:pPr>
      <w:bookmarkStart w:id="115" w:name="_Toc170980543"/>
      <w:bookmarkStart w:id="116" w:name="_Toc169838523"/>
      <w:bookmarkStart w:id="117" w:name="_Toc169846767"/>
      <w:bookmarkStart w:id="118" w:name="_Toc244623582"/>
      <w:bookmarkStart w:id="119" w:name="_Toc167590766"/>
      <w:bookmarkStart w:id="120" w:name="_Toc173549969"/>
      <w:bookmarkStart w:id="121" w:name="_Toc207897907"/>
      <w:bookmarkStart w:id="122" w:name="_Toc208337155"/>
      <w:bookmarkStart w:id="123" w:name="_Toc167849351"/>
      <w:bookmarkStart w:id="124" w:name="_Toc175032428"/>
      <w:bookmarkStart w:id="125" w:name="_Toc245657544"/>
      <w:bookmarkStart w:id="126" w:name="_Toc170980445"/>
      <w:bookmarkStart w:id="127" w:name="_Toc154482470"/>
      <w:bookmarkStart w:id="128" w:name="_Toc167591034"/>
      <w:bookmarkStart w:id="129" w:name="_Toc175033583"/>
      <w:bookmarkStart w:id="130" w:name="_Toc167591483"/>
      <w:bookmarkStart w:id="131" w:name="_Toc167591135"/>
      <w:bookmarkStart w:id="132" w:name="_Toc245176656"/>
      <w:bookmarkStart w:id="133" w:name="_Toc245658525"/>
      <w:bookmarkStart w:id="134" w:name="_Toc167591321"/>
      <w:bookmarkStart w:id="135" w:name="_Toc169846864"/>
      <w:r>
        <w:rPr>
          <w:rFonts w:hint="eastAsia" w:asciiTheme="majorEastAsia" w:hAnsiTheme="majorEastAsia" w:eastAsiaTheme="majorEastAsia" w:cstheme="majorEastAsia"/>
          <w:b/>
          <w:sz w:val="24"/>
        </w:rPr>
        <w:t>六、授予合同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02A7B23">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25．中标通知书</w:t>
      </w:r>
    </w:p>
    <w:p w14:paraId="4FF6C1A6">
      <w:pPr>
        <w:spacing w:line="360" w:lineRule="auto"/>
        <w:ind w:firstLine="480" w:firstLineChars="200"/>
        <w:rPr>
          <w:rFonts w:hint="eastAsia" w:asciiTheme="majorEastAsia" w:hAnsiTheme="majorEastAsia" w:eastAsiaTheme="majorEastAsia" w:cstheme="majorEastAsia"/>
          <w:kern w:val="2"/>
          <w:sz w:val="24"/>
          <w:szCs w:val="24"/>
          <w:lang w:val="en-US" w:eastAsia="en-US" w:bidi="ar-SA"/>
        </w:rPr>
      </w:pPr>
      <w:r>
        <w:rPr>
          <w:rFonts w:hint="eastAsia" w:asciiTheme="majorEastAsia" w:hAnsiTheme="majorEastAsia" w:eastAsiaTheme="majorEastAsia" w:cstheme="majorEastAsia"/>
          <w:sz w:val="24"/>
        </w:rPr>
        <w:t>25.1</w:t>
      </w:r>
      <w:r>
        <w:rPr>
          <w:rFonts w:hint="eastAsia" w:asciiTheme="majorEastAsia" w:hAnsiTheme="majorEastAsia" w:eastAsiaTheme="majorEastAsia" w:cstheme="majorEastAsia"/>
          <w:kern w:val="2"/>
          <w:sz w:val="24"/>
          <w:szCs w:val="24"/>
          <w:lang w:val="en-US" w:eastAsia="en-US" w:bidi="ar-SA"/>
        </w:rPr>
        <w:t>采购代理机构在收到采购人的中标复函后，将在陕西省政府采购网和陕西省公共资源交易网上发布中标公告，并在规定时间向中标人发出中标通知书。</w:t>
      </w:r>
      <w:r>
        <w:rPr>
          <w:rFonts w:hint="eastAsia" w:asciiTheme="majorEastAsia" w:hAnsiTheme="majorEastAsia" w:eastAsiaTheme="majorEastAsia" w:cstheme="majorEastAsia"/>
          <w:kern w:val="2"/>
          <w:sz w:val="24"/>
          <w:szCs w:val="24"/>
          <w:lang w:val="en-US" w:eastAsia="zh-CN" w:bidi="ar-SA"/>
        </w:rPr>
        <w:t xml:space="preserve">                                                                                                                                                                                                                                                                                                                                                                                                                                                                                                                                                                                                                     </w:t>
      </w:r>
    </w:p>
    <w:p w14:paraId="5CAEAA79">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25.2 中标通知书是合同的组成部分。</w:t>
      </w:r>
    </w:p>
    <w:p w14:paraId="6BE3091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26．招标代理服务费</w:t>
      </w:r>
    </w:p>
    <w:p w14:paraId="09162D72">
      <w:pPr>
        <w:pStyle w:val="114"/>
        <w:spacing w:before="40" w:line="350" w:lineRule="auto"/>
        <w:ind w:right="108" w:firstLine="480" w:firstLineChars="200"/>
        <w:jc w:val="both"/>
        <w:rPr>
          <w:rFonts w:hint="eastAsia"/>
          <w:spacing w:val="-2"/>
          <w:lang w:val="en-US" w:eastAsia="zh-CN"/>
        </w:rPr>
      </w:pPr>
      <w:r>
        <w:rPr>
          <w:rFonts w:hint="eastAsia" w:asciiTheme="majorEastAsia" w:hAnsiTheme="majorEastAsia" w:eastAsiaTheme="majorEastAsia" w:cstheme="majorEastAsia"/>
          <w:sz w:val="24"/>
        </w:rPr>
        <w:t>26.1招标代理服务费：</w:t>
      </w:r>
      <w:r>
        <w:rPr>
          <w:spacing w:val="-2"/>
        </w:rPr>
        <w:t>参考国家计委</w:t>
      </w:r>
      <w:r>
        <w:rPr>
          <w:spacing w:val="-46"/>
        </w:rPr>
        <w:t xml:space="preserve"> </w:t>
      </w:r>
      <w:r>
        <w:rPr>
          <w:rFonts w:ascii="Times New Roman" w:hAnsi="Times New Roman" w:eastAsia="Times New Roman" w:cs="Times New Roman"/>
          <w:spacing w:val="-2"/>
        </w:rPr>
        <w:t xml:space="preserve">2002 </w:t>
      </w:r>
      <w:r>
        <w:rPr>
          <w:spacing w:val="-2"/>
        </w:rPr>
        <w:t>年颁发的《招标代理服务收费管理暂行办法》</w:t>
      </w:r>
      <w:r>
        <w:rPr>
          <w:rFonts w:ascii="Times New Roman" w:hAnsi="Times New Roman" w:eastAsia="Times New Roman" w:cs="Times New Roman"/>
          <w:spacing w:val="-2"/>
        </w:rPr>
        <w:t>(</w:t>
      </w:r>
      <w:r>
        <w:rPr>
          <w:spacing w:val="-2"/>
        </w:rPr>
        <w:t>计</w:t>
      </w:r>
      <w:r>
        <w:rPr>
          <w:spacing w:val="-3"/>
        </w:rPr>
        <w:t>价格〔</w:t>
      </w:r>
      <w:r>
        <w:rPr>
          <w:rFonts w:ascii="Times New Roman" w:hAnsi="Times New Roman" w:eastAsia="Times New Roman" w:cs="Times New Roman"/>
          <w:spacing w:val="-3"/>
        </w:rPr>
        <w:t>2002</w:t>
      </w:r>
      <w:r>
        <w:rPr>
          <w:spacing w:val="-3"/>
        </w:rPr>
        <w:t>〕</w:t>
      </w:r>
      <w:r>
        <w:rPr>
          <w:rFonts w:ascii="Times New Roman" w:hAnsi="Times New Roman" w:eastAsia="Times New Roman" w:cs="Times New Roman"/>
          <w:spacing w:val="-3"/>
        </w:rPr>
        <w:t>1980</w:t>
      </w:r>
      <w:r>
        <w:rPr>
          <w:spacing w:val="-3"/>
        </w:rPr>
        <w:t>号</w:t>
      </w:r>
      <w:r>
        <w:rPr>
          <w:rFonts w:ascii="Times New Roman" w:hAnsi="Times New Roman" w:eastAsia="Times New Roman" w:cs="Times New Roman"/>
          <w:spacing w:val="-3"/>
        </w:rPr>
        <w:t>)</w:t>
      </w:r>
      <w:r>
        <w:rPr>
          <w:rFonts w:ascii="Times New Roman" w:hAnsi="Times New Roman" w:eastAsia="Times New Roman" w:cs="Times New Roman"/>
          <w:spacing w:val="-32"/>
        </w:rPr>
        <w:t xml:space="preserve"> </w:t>
      </w:r>
      <w:r>
        <w:rPr>
          <w:spacing w:val="-3"/>
        </w:rPr>
        <w:t>、国家发展改革委员会办公厅颁发的《关于招标</w:t>
      </w:r>
      <w:r>
        <w:rPr>
          <w:spacing w:val="-10"/>
        </w:rPr>
        <w:t>代理服务费收费有关问题的通知》（发改办价格〔</w:t>
      </w:r>
      <w:r>
        <w:rPr>
          <w:rFonts w:ascii="Times New Roman" w:hAnsi="Times New Roman" w:eastAsia="Times New Roman" w:cs="Times New Roman"/>
          <w:spacing w:val="-10"/>
        </w:rPr>
        <w:t>2003</w:t>
      </w:r>
      <w:r>
        <w:rPr>
          <w:spacing w:val="-10"/>
        </w:rPr>
        <w:t>〕</w:t>
      </w:r>
      <w:r>
        <w:rPr>
          <w:rFonts w:ascii="Times New Roman" w:hAnsi="Times New Roman" w:eastAsia="Times New Roman" w:cs="Times New Roman"/>
          <w:spacing w:val="-10"/>
        </w:rPr>
        <w:t>857</w:t>
      </w:r>
      <w:r>
        <w:rPr>
          <w:spacing w:val="-10"/>
        </w:rPr>
        <w:t>号）及《调</w:t>
      </w:r>
      <w:r>
        <w:rPr>
          <w:spacing w:val="-4"/>
        </w:rPr>
        <w:t>整后的招标代理服务收费标准》</w:t>
      </w:r>
      <w:r>
        <w:rPr>
          <w:rFonts w:ascii="Times New Roman" w:hAnsi="Times New Roman" w:eastAsia="Times New Roman" w:cs="Times New Roman"/>
          <w:spacing w:val="-4"/>
        </w:rPr>
        <w:t>(</w:t>
      </w:r>
      <w:r>
        <w:rPr>
          <w:rFonts w:hint="eastAsia"/>
          <w:spacing w:val="-2"/>
          <w:lang w:val="en-US" w:eastAsia="zh-CN"/>
        </w:rPr>
        <w:t>发改价格〔2011〕534 号)规定收取。</w:t>
      </w:r>
    </w:p>
    <w:p w14:paraId="2EF76052">
      <w:pPr>
        <w:numPr>
          <w:ilvl w:val="0"/>
          <w:numId w:val="0"/>
        </w:num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26.2招标代理服务费由</w:t>
      </w:r>
      <w:r>
        <w:rPr>
          <w:rFonts w:hint="eastAsia" w:asciiTheme="majorEastAsia" w:hAnsiTheme="majorEastAsia" w:eastAsiaTheme="majorEastAsia" w:cstheme="majorEastAsia"/>
          <w:sz w:val="24"/>
          <w:u w:val="single"/>
          <w:lang w:val="en-US" w:eastAsia="zh-CN"/>
        </w:rPr>
        <w:t xml:space="preserve"> 中标单位 </w:t>
      </w:r>
      <w:r>
        <w:rPr>
          <w:rFonts w:hint="eastAsia" w:asciiTheme="majorEastAsia" w:hAnsiTheme="majorEastAsia" w:eastAsiaTheme="majorEastAsia" w:cstheme="majorEastAsia"/>
          <w:sz w:val="24"/>
        </w:rPr>
        <w:t>一次性支付给</w:t>
      </w:r>
      <w:r>
        <w:rPr>
          <w:rFonts w:hint="eastAsia" w:asciiTheme="majorEastAsia" w:hAnsiTheme="majorEastAsia" w:eastAsiaTheme="majorEastAsia" w:cstheme="majorEastAsia"/>
          <w:sz w:val="24"/>
          <w:u w:val="single"/>
        </w:rPr>
        <w:t>陕西华旭晟信项目管理有限责任公司</w:t>
      </w:r>
      <w:r>
        <w:rPr>
          <w:rFonts w:hint="eastAsia" w:asciiTheme="majorEastAsia" w:hAnsiTheme="majorEastAsia" w:eastAsiaTheme="majorEastAsia" w:cstheme="majorEastAsia"/>
          <w:sz w:val="24"/>
        </w:rPr>
        <w:t>。</w:t>
      </w:r>
    </w:p>
    <w:p w14:paraId="493DB384">
      <w:pPr>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27．签订合同</w:t>
      </w:r>
    </w:p>
    <w:p w14:paraId="64CD3411">
      <w:pPr>
        <w:spacing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27.1中标人在收到中标通知书后10日内与采购人签订合同。</w:t>
      </w:r>
    </w:p>
    <w:p w14:paraId="50CDC1B6">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27.2 如果中标人没有按照上述第26.1条或第27.1条规定执行，采购人将有充分理由取消该中标决定。在此情况下，采购人可将合同授予综合得分排序名列下一个的投标人，或重新招标。</w:t>
      </w:r>
    </w:p>
    <w:p w14:paraId="6C291AE6">
      <w:pPr>
        <w:spacing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28．其他</w:t>
      </w:r>
    </w:p>
    <w:p w14:paraId="679BBF8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28.1 拒绝商业贿赂</w:t>
      </w:r>
    </w:p>
    <w:p w14:paraId="5D64AB6B">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28.1.1投标人须填写一份《拒绝政府采购领域商业贿赂承诺书》编制在投标文件中，同时保证投标文件正、副本中都有且一致。</w:t>
      </w:r>
    </w:p>
    <w:p w14:paraId="772FD98C">
      <w:pPr>
        <w:spacing w:line="360" w:lineRule="auto"/>
        <w:ind w:firstLine="482"/>
        <w:rPr>
          <w:rFonts w:asciiTheme="majorEastAsia" w:hAnsiTheme="majorEastAsia" w:eastAsiaTheme="majorEastAsia" w:cstheme="majorEastAsia"/>
          <w:b/>
          <w:kern w:val="1"/>
          <w:sz w:val="24"/>
        </w:rPr>
      </w:pPr>
      <w:r>
        <w:rPr>
          <w:rFonts w:hint="eastAsia" w:asciiTheme="majorEastAsia" w:hAnsiTheme="majorEastAsia" w:eastAsiaTheme="majorEastAsia" w:cstheme="majorEastAsia"/>
          <w:b/>
          <w:kern w:val="1"/>
          <w:sz w:val="24"/>
        </w:rPr>
        <w:t>29、公开招标拟转为竞争性谈判程序</w:t>
      </w:r>
    </w:p>
    <w:p w14:paraId="17C45714">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招标过程中提交投标文件或者经评审实质性响应招标文件要求的投标人只有两家时，采购人、采购代理机构依据《政府采购非招标采购方式管理办法》（财政部令第74号）第二十七条第二款规定并</w:t>
      </w:r>
      <w:r>
        <w:rPr>
          <w:rFonts w:hint="eastAsia" w:asciiTheme="majorEastAsia" w:hAnsiTheme="majorEastAsia" w:eastAsiaTheme="majorEastAsia" w:cstheme="majorEastAsia"/>
          <w:sz w:val="24"/>
        </w:rPr>
        <w:t>经本级财政部门批准后可以与该两家投标人进行竞争性谈判采购，具体程序如下：</w:t>
      </w:r>
    </w:p>
    <w:p w14:paraId="747D4349">
      <w:pPr>
        <w:spacing w:line="360" w:lineRule="auto"/>
        <w:ind w:firstLine="482"/>
        <w:rPr>
          <w:rFonts w:asciiTheme="majorEastAsia" w:hAnsiTheme="majorEastAsia" w:eastAsiaTheme="majorEastAsia" w:cstheme="majorEastAsia"/>
          <w:b/>
          <w:sz w:val="24"/>
        </w:rPr>
      </w:pPr>
      <w:r>
        <w:rPr>
          <w:rFonts w:hint="eastAsia" w:asciiTheme="majorEastAsia" w:hAnsiTheme="majorEastAsia" w:eastAsiaTheme="majorEastAsia" w:cstheme="majorEastAsia"/>
          <w:b/>
          <w:kern w:val="1"/>
          <w:sz w:val="24"/>
        </w:rPr>
        <w:t>29.1 谈判小组</w:t>
      </w:r>
    </w:p>
    <w:p w14:paraId="415C775A">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kern w:val="1"/>
          <w:sz w:val="24"/>
        </w:rPr>
        <w:t>（1）原公开招标组建的评标委员会现转为谈判小组</w:t>
      </w:r>
      <w:r>
        <w:rPr>
          <w:rFonts w:hint="eastAsia" w:asciiTheme="majorEastAsia" w:hAnsiTheme="majorEastAsia" w:eastAsiaTheme="majorEastAsia" w:cstheme="majorEastAsia"/>
          <w:sz w:val="24"/>
        </w:rPr>
        <w:t>。</w:t>
      </w:r>
    </w:p>
    <w:p w14:paraId="4A4025EE">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（2）谈判小组负责谈判工作，对谈判响应文件进行审查和评估，并向采购人提交书面提交评审报告，推荐成交候选人。</w:t>
      </w:r>
    </w:p>
    <w:p w14:paraId="4209A290">
      <w:pPr>
        <w:spacing w:line="360" w:lineRule="auto"/>
        <w:ind w:firstLine="482"/>
        <w:rPr>
          <w:rFonts w:asciiTheme="majorEastAsia" w:hAnsiTheme="majorEastAsia" w:eastAsiaTheme="majorEastAsia" w:cstheme="majorEastAsia"/>
          <w:kern w:val="1"/>
          <w:sz w:val="24"/>
        </w:rPr>
      </w:pPr>
      <w:r>
        <w:rPr>
          <w:rFonts w:hint="eastAsia" w:asciiTheme="majorEastAsia" w:hAnsiTheme="majorEastAsia" w:eastAsiaTheme="majorEastAsia" w:cstheme="majorEastAsia"/>
          <w:b/>
          <w:kern w:val="1"/>
          <w:sz w:val="24"/>
        </w:rPr>
        <w:t>29.</w:t>
      </w:r>
      <w:r>
        <w:rPr>
          <w:rFonts w:hint="eastAsia" w:asciiTheme="majorEastAsia" w:hAnsiTheme="majorEastAsia" w:eastAsiaTheme="majorEastAsia" w:cstheme="majorEastAsia"/>
          <w:b/>
          <w:bCs/>
          <w:kern w:val="1"/>
          <w:sz w:val="24"/>
        </w:rPr>
        <w:t xml:space="preserve">2 </w:t>
      </w:r>
      <w:r>
        <w:rPr>
          <w:rFonts w:hint="eastAsia" w:asciiTheme="majorEastAsia" w:hAnsiTheme="majorEastAsia" w:eastAsiaTheme="majorEastAsia" w:cstheme="majorEastAsia"/>
          <w:b/>
          <w:kern w:val="1"/>
          <w:sz w:val="24"/>
        </w:rPr>
        <w:t>谈判</w:t>
      </w:r>
      <w:r>
        <w:rPr>
          <w:rFonts w:hint="eastAsia" w:asciiTheme="majorEastAsia" w:hAnsiTheme="majorEastAsia" w:eastAsiaTheme="majorEastAsia" w:cstheme="majorEastAsia"/>
          <w:b/>
          <w:bCs/>
          <w:kern w:val="1"/>
          <w:sz w:val="24"/>
        </w:rPr>
        <w:t>程序</w:t>
      </w:r>
      <w:r>
        <w:rPr>
          <w:rFonts w:hint="eastAsia" w:asciiTheme="majorEastAsia" w:hAnsiTheme="majorEastAsia" w:eastAsiaTheme="majorEastAsia" w:cstheme="majorEastAsia"/>
          <w:bCs/>
          <w:kern w:val="1"/>
          <w:sz w:val="24"/>
        </w:rPr>
        <w:t>：</w:t>
      </w:r>
    </w:p>
    <w:p w14:paraId="2132BC97">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谈判的全过程分为第一次谈判报价（原参加公开招标的投标人的投标报价作为第一次谈判报价）、资质审查、谈判过程、第二次谈判报价、最终评审等阶段，最终报价采取集中报价形式。</w:t>
      </w:r>
    </w:p>
    <w:p w14:paraId="71072FB5">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通过资质审查合格的各投标人，只有在谈判响应文件（原参加公开招标的投标人的投标文件作为谈判响应文件）及谈判承诺符合谈判文件要求和满足技术、商务需要的才有最终报价和评审的机会。谈判小组按其最终承诺和报价内容，推荐成交候选单位排序。</w:t>
      </w:r>
    </w:p>
    <w:p w14:paraId="2CF727A6">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（1）第一次报价：原参加公开招标的投标人的投标报价作为第一次谈判报价。</w:t>
      </w:r>
    </w:p>
    <w:p w14:paraId="6C33740E">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（2）符合性评审：主要对各投标人资格以及谈判响应文件进行商务和技术符合性的审定。</w:t>
      </w:r>
    </w:p>
    <w:p w14:paraId="69761E14">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（3）</w:t>
      </w:r>
      <w:r>
        <w:rPr>
          <w:rFonts w:hint="eastAsia" w:asciiTheme="majorEastAsia" w:hAnsiTheme="majorEastAsia" w:eastAsiaTheme="majorEastAsia" w:cstheme="majorEastAsia"/>
          <w:bCs/>
          <w:kern w:val="1"/>
          <w:sz w:val="24"/>
        </w:rPr>
        <w:t>谈判过程</w:t>
      </w:r>
      <w:r>
        <w:rPr>
          <w:rFonts w:hint="eastAsia" w:asciiTheme="majorEastAsia" w:hAnsiTheme="majorEastAsia" w:eastAsiaTheme="majorEastAsia" w:cstheme="majorEastAsia"/>
          <w:kern w:val="1"/>
          <w:sz w:val="24"/>
        </w:rPr>
        <w:t>：谈判小组应在符合性评审的基础上对各投标人的谈判响应文件认真阅读，并对采购内容等有关要求进行谈判。</w:t>
      </w:r>
    </w:p>
    <w:p w14:paraId="7CA5C699">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① 谈判方案（原投标方案）</w:t>
      </w:r>
    </w:p>
    <w:p w14:paraId="1505716A">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② 售后服务措施</w:t>
      </w:r>
    </w:p>
    <w:p w14:paraId="376DB987">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③ 综合评定，推荐候选成交单位。</w:t>
      </w:r>
    </w:p>
    <w:p w14:paraId="6963979A">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④ 谈判澄清：采购代理机构有权就谈判响应文件中有疑义之处或前后表述不一致的问题，向投标人提出询问或澄清。投标人必须在谈判文件规定的时间内派技术和商务人员进行澄清，有关澄清的内容应以书面形式（包括电传、传真）提交，并由投标人法定代表人或被授权人签名确认。</w:t>
      </w:r>
    </w:p>
    <w:p w14:paraId="76BD5507">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（4）第二次谈判报价</w:t>
      </w:r>
    </w:p>
    <w:p w14:paraId="57F5238A">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通过资质审查合格，投标人的谈判响应文件及谈判承诺符合谈判文件要求和满足技术、商务需要的，在规定的时间内报出第二次谈判报价。</w:t>
      </w:r>
    </w:p>
    <w:p w14:paraId="57FDC565">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（5）最终评审</w:t>
      </w:r>
    </w:p>
    <w:p w14:paraId="5863B40C">
      <w:pPr>
        <w:spacing w:line="360" w:lineRule="auto"/>
        <w:ind w:firstLine="48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14:paraId="5FA79E74">
      <w:pPr>
        <w:spacing w:line="360" w:lineRule="auto"/>
        <w:ind w:firstLine="480" w:firstLineChars="200"/>
        <w:rPr>
          <w:rFonts w:asciiTheme="majorEastAsia" w:hAnsiTheme="majorEastAsia" w:eastAsiaTheme="majorEastAsia" w:cstheme="majorEastAsia"/>
          <w:kern w:val="1"/>
          <w:sz w:val="24"/>
        </w:rPr>
      </w:pPr>
      <w:r>
        <w:rPr>
          <w:rFonts w:hint="eastAsia" w:asciiTheme="majorEastAsia" w:hAnsiTheme="majorEastAsia" w:eastAsiaTheme="majorEastAsia" w:cstheme="majorEastAsia"/>
          <w:kern w:val="1"/>
          <w:sz w:val="24"/>
        </w:rPr>
        <w:t>29.3 谈判小组根据</w:t>
      </w:r>
      <w:r>
        <w:rPr>
          <w:rFonts w:hint="eastAsia" w:asciiTheme="majorEastAsia" w:hAnsiTheme="majorEastAsia" w:eastAsiaTheme="majorEastAsia" w:cstheme="majorEastAsia"/>
          <w:sz w:val="24"/>
        </w:rPr>
        <w:t>原始谈判记录和谈判结果编写</w:t>
      </w:r>
      <w:r>
        <w:rPr>
          <w:rFonts w:hint="eastAsia" w:asciiTheme="majorEastAsia" w:hAnsiTheme="majorEastAsia" w:eastAsiaTheme="majorEastAsia" w:cstheme="majorEastAsia"/>
          <w:kern w:val="1"/>
          <w:sz w:val="24"/>
        </w:rPr>
        <w:t>谈判</w:t>
      </w:r>
      <w:r>
        <w:rPr>
          <w:rFonts w:hint="eastAsia" w:asciiTheme="majorEastAsia" w:hAnsiTheme="majorEastAsia" w:eastAsiaTheme="majorEastAsia" w:cstheme="majorEastAsia"/>
          <w:sz w:val="24"/>
        </w:rPr>
        <w:t>结果</w:t>
      </w:r>
      <w:r>
        <w:rPr>
          <w:rFonts w:hint="eastAsia" w:asciiTheme="majorEastAsia" w:hAnsiTheme="majorEastAsia" w:eastAsiaTheme="majorEastAsia" w:cstheme="majorEastAsia"/>
          <w:kern w:val="1"/>
          <w:sz w:val="24"/>
        </w:rPr>
        <w:t>报告，报采购人。</w:t>
      </w:r>
    </w:p>
    <w:p w14:paraId="74854498">
      <w:pPr>
        <w:spacing w:beforeLines="50" w:afterLines="50"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七、质疑与投诉</w:t>
      </w:r>
    </w:p>
    <w:p w14:paraId="66D146A3">
      <w:pPr>
        <w:spacing w:line="360" w:lineRule="auto"/>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30、质疑及投诉</w:t>
      </w:r>
    </w:p>
    <w:p w14:paraId="719EF613">
      <w:pPr>
        <w:spacing w:line="360" w:lineRule="auto"/>
        <w:ind w:firstLine="472" w:firstLineChars="196"/>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30.1 质疑</w:t>
      </w:r>
    </w:p>
    <w:p w14:paraId="05A64ED9">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w:t>
      </w:r>
    </w:p>
    <w:p w14:paraId="3464522E">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（2）提出质疑的供应商应当是参与本项目采购活动的供应商。</w:t>
      </w:r>
    </w:p>
    <w:p w14:paraId="2ADDD046">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（3）潜在供应商已依法获取其可质疑的采购文件的，可以对该文件提出质疑。对采购文件提出质疑的，应当在获取采购文件或者采购文件公告期限届满之日起7个工作日内一次性提出。</w:t>
      </w:r>
    </w:p>
    <w:p w14:paraId="68B741DE">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（4）供应商提出质疑应当提交质疑函和必要的证明材料，质疑函应包括下列内容：</w:t>
      </w:r>
    </w:p>
    <w:p w14:paraId="2FBADCF9">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 供应商的姓名或者名称、地址、邮编、联系人及联系电话；</w:t>
      </w:r>
    </w:p>
    <w:p w14:paraId="2BDB4015">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 质疑项目的名称、编号；</w:t>
      </w:r>
    </w:p>
    <w:p w14:paraId="506E49AE">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③ 具体、明确的质疑事项和与质疑事项相关的请求；</w:t>
      </w:r>
    </w:p>
    <w:p w14:paraId="220524B1">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④ 事实依据；</w:t>
      </w:r>
    </w:p>
    <w:p w14:paraId="5D691116">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⑤ 必要的法律依据；</w:t>
      </w:r>
    </w:p>
    <w:p w14:paraId="318DFC75">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⑥ 提出质疑的日期。</w:t>
      </w:r>
    </w:p>
    <w:p w14:paraId="597E77EC">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（5）供应商为自然人的，应当由本人签字；供应商为法人或者其他组织的，应当由法定代表人、主要负责人，或者其授权代表签字或者盖章并加盖公章。</w:t>
      </w:r>
    </w:p>
    <w:p w14:paraId="23B5913B">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F9077CB">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（7）采购人负责投标人质疑答复。采购人委托采购代理机构采购的，采购代理机构在委托授权范围内作出答复。</w:t>
      </w:r>
    </w:p>
    <w:p w14:paraId="42ADD96A">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（8）接收质疑函的方式和联系方式：</w:t>
      </w:r>
    </w:p>
    <w:p w14:paraId="592CFECA">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 接收质疑函的方式：书面递交质疑函纸质版（当面递交）或PDF格式扫描件（发至电子邮箱）</w:t>
      </w:r>
    </w:p>
    <w:p w14:paraId="1A20A8ED">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 联系方式</w:t>
      </w:r>
    </w:p>
    <w:p w14:paraId="4F3C0EEF">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采购代理机构：陕西华旭晟信项目管理有限责任公司</w:t>
      </w:r>
    </w:p>
    <w:p w14:paraId="67007C4E">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    址：</w:t>
      </w:r>
      <w:r>
        <w:rPr>
          <w:rFonts w:hint="eastAsia" w:asciiTheme="majorEastAsia" w:hAnsiTheme="majorEastAsia" w:eastAsiaTheme="majorEastAsia" w:cstheme="majorEastAsia"/>
          <w:sz w:val="24"/>
          <w:lang w:eastAsia="zh-CN"/>
        </w:rPr>
        <w:t>榆林市榆林大道南段富源大厦602室</w:t>
      </w:r>
    </w:p>
    <w:p w14:paraId="058126A8">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 系 人：刘女士</w:t>
      </w:r>
    </w:p>
    <w:p w14:paraId="18703E29">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联系方式：17709127880</w:t>
      </w:r>
    </w:p>
    <w:p w14:paraId="633700AC">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邮    箱：1023891841@qq.com  </w:t>
      </w:r>
    </w:p>
    <w:p w14:paraId="7453F641">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30.2 投诉</w:t>
      </w:r>
    </w:p>
    <w:p w14:paraId="50075D0B">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（1）质疑供应商对采购人、采购代理机构的答复不满意，或者采购人、采购代理机构未在规定时间内作出答复的，可以在答复期满后15个工作日内向同级财政部门提起投诉。</w:t>
      </w:r>
    </w:p>
    <w:p w14:paraId="573E6139">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（2）投诉人投诉时,应当提交投诉书和必要的证明材料，并按照被投诉采购人、采购代理机构（以下简称被投诉人）和与投诉事项有关的投标人数量提供投诉书的副本。投诉书应当包括下列内容：</w:t>
      </w:r>
    </w:p>
    <w:p w14:paraId="450B31E3">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 投诉人和被投诉人的姓名或者名称、通讯地址、邮编、联系人及联系电话；</w:t>
      </w:r>
    </w:p>
    <w:p w14:paraId="0E5E0FF5">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 质疑和质疑答复情况说明及相关证明材料；</w:t>
      </w:r>
    </w:p>
    <w:p w14:paraId="401A4317">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③ 具体、明确的投诉事项和与投诉事项相关的投诉请求；</w:t>
      </w:r>
    </w:p>
    <w:p w14:paraId="4536BC31">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④ 事实依据；</w:t>
      </w:r>
    </w:p>
    <w:p w14:paraId="219BC668">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⑤ 法律依据；</w:t>
      </w:r>
    </w:p>
    <w:p w14:paraId="7DD0D367">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⑥ 提起投诉的日期。</w:t>
      </w:r>
    </w:p>
    <w:p w14:paraId="49BC665E">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（3）投诉人为自然人的，应当由本人签字；投诉人为法人或者其他组织的，应当由法定代表人、主要负责人，或者其授权代表签字或者盖章，并加盖公章。</w:t>
      </w:r>
    </w:p>
    <w:p w14:paraId="6A017C00">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（4）投诉人提起投诉应当符合下列条件：</w:t>
      </w:r>
    </w:p>
    <w:p w14:paraId="6E492810">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 提起投诉前已依法进行质疑；</w:t>
      </w:r>
    </w:p>
    <w:p w14:paraId="588A25C2">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 投诉书内容符合《政府采购质疑和投诉办法》（财政部令第94号令）的规定；</w:t>
      </w:r>
    </w:p>
    <w:p w14:paraId="6ED01443">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③ 在投诉有效期限内提起投诉；</w:t>
      </w:r>
    </w:p>
    <w:p w14:paraId="6D27C4CD">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④ 同一投诉事项未经财政部门投诉处理；</w:t>
      </w:r>
    </w:p>
    <w:p w14:paraId="69578D76">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⑤ 财政部规定的其他条件。</w:t>
      </w:r>
    </w:p>
    <w:p w14:paraId="6BBE98E1">
      <w:pPr>
        <w:spacing w:line="360" w:lineRule="auto"/>
        <w:ind w:firstLine="480"/>
        <w:rPr>
          <w:rFonts w:asciiTheme="majorEastAsia" w:hAnsiTheme="majorEastAsia" w:eastAsiaTheme="majorEastAsia" w:cstheme="majorEastAsia"/>
          <w:b/>
          <w:bCs/>
          <w:sz w:val="24"/>
          <w:lang w:val="zh-CN"/>
        </w:rPr>
        <w:sectPr>
          <w:pgSz w:w="11900" w:h="16838"/>
          <w:pgMar w:top="1429" w:right="1417" w:bottom="1417" w:left="1417" w:header="850" w:footer="850" w:gutter="0"/>
          <w:cols w:space="720" w:num="1"/>
          <w:docGrid w:linePitch="326" w:charSpace="0"/>
        </w:sectPr>
      </w:pPr>
      <w:r>
        <w:rPr>
          <w:rFonts w:hint="eastAsia" w:asciiTheme="majorEastAsia" w:hAnsiTheme="majorEastAsia" w:eastAsiaTheme="majorEastAsia" w:cstheme="majorEastAsia"/>
          <w:sz w:val="24"/>
        </w:rPr>
        <w:t>（5）供应商投诉的事项不得超出已质疑事项的范围，但基于质疑答复内容提出的投诉事项除外。</w:t>
      </w:r>
      <w:bookmarkEnd w:id="22"/>
      <w:bookmarkEnd w:id="23"/>
    </w:p>
    <w:p w14:paraId="50AE6155">
      <w:pPr>
        <w:pStyle w:val="10"/>
        <w:jc w:val="center"/>
        <w:outlineLvl w:val="0"/>
        <w:rPr>
          <w:rFonts w:hint="eastAsia" w:asciiTheme="majorEastAsia" w:hAnsiTheme="majorEastAsia" w:eastAsiaTheme="majorEastAsia" w:cstheme="majorEastAsia"/>
          <w:b/>
          <w:bCs/>
          <w:kern w:val="2"/>
          <w:sz w:val="36"/>
          <w:szCs w:val="36"/>
        </w:rPr>
      </w:pPr>
      <w:bookmarkStart w:id="136" w:name="_Toc6243"/>
      <w:r>
        <w:rPr>
          <w:rFonts w:hint="eastAsia" w:asciiTheme="majorEastAsia" w:hAnsiTheme="majorEastAsia" w:eastAsiaTheme="majorEastAsia" w:cstheme="majorEastAsia"/>
          <w:b/>
          <w:bCs/>
          <w:sz w:val="36"/>
          <w:szCs w:val="36"/>
        </w:rPr>
        <w:t xml:space="preserve">第四章  </w:t>
      </w:r>
      <w:r>
        <w:rPr>
          <w:rFonts w:hint="eastAsia" w:asciiTheme="majorEastAsia" w:hAnsiTheme="majorEastAsia" w:eastAsiaTheme="majorEastAsia" w:cstheme="majorEastAsia"/>
          <w:b/>
          <w:bCs/>
          <w:kern w:val="2"/>
          <w:sz w:val="36"/>
          <w:szCs w:val="36"/>
        </w:rPr>
        <w:t>采购内容及技术要求</w:t>
      </w:r>
      <w:bookmarkEnd w:id="136"/>
    </w:p>
    <w:tbl>
      <w:tblPr>
        <w:tblStyle w:val="25"/>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938"/>
        <w:gridCol w:w="5957"/>
        <w:gridCol w:w="737"/>
        <w:gridCol w:w="688"/>
        <w:gridCol w:w="700"/>
      </w:tblGrid>
      <w:tr w14:paraId="2268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D9E1F2"/>
            <w:vAlign w:val="center"/>
          </w:tcPr>
          <w:p w14:paraId="680C76F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bookmarkStart w:id="137" w:name="_Toc21881"/>
            <w:bookmarkStart w:id="138" w:name="_Toc20973"/>
            <w:r>
              <w:rPr>
                <w:rFonts w:hint="eastAsia" w:ascii="宋体" w:hAnsi="宋体" w:eastAsia="宋体" w:cs="宋体"/>
                <w:b/>
                <w:bCs/>
                <w:i w:val="0"/>
                <w:iCs w:val="0"/>
                <w:color w:val="000000"/>
                <w:kern w:val="0"/>
                <w:sz w:val="21"/>
                <w:szCs w:val="21"/>
                <w:u w:val="none"/>
                <w:lang w:val="en-US" w:eastAsia="zh-CN" w:bidi="ar"/>
              </w:rPr>
              <w:t>一、智慧渔业相关设备</w:t>
            </w:r>
          </w:p>
        </w:tc>
      </w:tr>
      <w:tr w14:paraId="2440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F8536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4BCBC6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95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D68A2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功能参数</w:t>
            </w:r>
          </w:p>
        </w:tc>
        <w:tc>
          <w:tcPr>
            <w:tcW w:w="73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2295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B9AF0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F1A7F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6A0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8D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D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鱼池水环境数据LED屏</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0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1、点间距≤10mm。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2、颜色红绿双色。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3、分辨率≥96*48。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4、尺寸≥102cm*54cm。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5、户外防水型，防护等级IP65；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6、含立柱支架。材质热镀锌喷塑，直径≥40mm,厚度≥1.5mm;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6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1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35C3">
            <w:pPr>
              <w:jc w:val="center"/>
              <w:rPr>
                <w:rFonts w:hint="eastAsia" w:ascii="宋体" w:hAnsi="宋体" w:eastAsia="宋体" w:cs="宋体"/>
                <w:i w:val="0"/>
                <w:iCs w:val="0"/>
                <w:color w:val="000000"/>
                <w:sz w:val="21"/>
                <w:szCs w:val="21"/>
                <w:u w:val="none"/>
              </w:rPr>
            </w:pPr>
          </w:p>
        </w:tc>
      </w:tr>
      <w:tr w14:paraId="4A14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AD0D">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1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水质PH传感器</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8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1、测量范围≥0-14pH；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2、分辨率≥0.1pH；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3、精度≥±0.1pH；</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C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811D">
            <w:pPr>
              <w:jc w:val="center"/>
              <w:rPr>
                <w:rFonts w:hint="eastAsia" w:ascii="宋体" w:hAnsi="宋体" w:eastAsia="宋体" w:cs="宋体"/>
                <w:i w:val="0"/>
                <w:iCs w:val="0"/>
                <w:color w:val="000000"/>
                <w:sz w:val="21"/>
                <w:szCs w:val="21"/>
                <w:u w:val="none"/>
              </w:rPr>
            </w:pPr>
          </w:p>
        </w:tc>
      </w:tr>
      <w:tr w14:paraId="6F3A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197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溶解氧传感器（带水温）</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97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1、测量范围：0-20mg/L或0-200%饱和度；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2、精度：±3%；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3、测量原理：荧光法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4、温度测量范围：0℃～80℃，测量精度±0.5℃，温度分辨率：0.1℃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1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9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F485">
            <w:pPr>
              <w:jc w:val="center"/>
              <w:rPr>
                <w:rFonts w:hint="eastAsia" w:ascii="宋体" w:hAnsi="宋体" w:eastAsia="宋体" w:cs="宋体"/>
                <w:i w:val="0"/>
                <w:iCs w:val="0"/>
                <w:color w:val="000000"/>
                <w:sz w:val="21"/>
                <w:szCs w:val="21"/>
                <w:u w:val="none"/>
              </w:rPr>
            </w:pPr>
          </w:p>
        </w:tc>
      </w:tr>
      <w:tr w14:paraId="5D6F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D3DF0">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3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氨氮传感器</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1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1、量程≥1-1000mg/L或0.1-99.9mg/L；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2、分辨率≥1mg/L或0.1mg/L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3、精度≥±2%F.S</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A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2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8541">
            <w:pPr>
              <w:jc w:val="center"/>
              <w:rPr>
                <w:rFonts w:hint="eastAsia" w:ascii="宋体" w:hAnsi="宋体" w:eastAsia="宋体" w:cs="宋体"/>
                <w:i w:val="0"/>
                <w:iCs w:val="0"/>
                <w:color w:val="000000"/>
                <w:sz w:val="21"/>
                <w:szCs w:val="21"/>
                <w:u w:val="none"/>
              </w:rPr>
            </w:pPr>
          </w:p>
        </w:tc>
      </w:tr>
      <w:tr w14:paraId="57FA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F3E8B">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8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浊度传感器</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5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1、量程范围≥0~1000NTU；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2、分辨率≥0.1NTU,±2%，带自动刷头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4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5304">
            <w:pPr>
              <w:jc w:val="center"/>
              <w:rPr>
                <w:rFonts w:hint="eastAsia" w:ascii="宋体" w:hAnsi="宋体" w:eastAsia="宋体" w:cs="宋体"/>
                <w:i w:val="0"/>
                <w:iCs w:val="0"/>
                <w:color w:val="000000"/>
                <w:sz w:val="21"/>
                <w:szCs w:val="21"/>
                <w:u w:val="none"/>
              </w:rPr>
            </w:pPr>
          </w:p>
        </w:tc>
      </w:tr>
      <w:tr w14:paraId="0F0C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3316">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B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采集控制器</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62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1、开关量输出通道≥16路；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2、开关量输入通道≥16路；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3、支持扩展控制副模块，最多支持128路；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4、供电电压范围DC12-60V；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5、外部接口≥1路RS485，≥1路以太网接口；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6、设备运行状态灯。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7、内嵌水产控制操作系统，设定逻辑控制程序，支持定时、条件触发控制，脱机离线控制。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0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752">
            <w:pPr>
              <w:jc w:val="center"/>
              <w:rPr>
                <w:rFonts w:hint="eastAsia" w:ascii="宋体" w:hAnsi="宋体" w:eastAsia="宋体" w:cs="宋体"/>
                <w:i w:val="0"/>
                <w:iCs w:val="0"/>
                <w:color w:val="000000"/>
                <w:sz w:val="21"/>
                <w:szCs w:val="21"/>
                <w:u w:val="none"/>
              </w:rPr>
            </w:pPr>
          </w:p>
        </w:tc>
      </w:tr>
      <w:tr w14:paraId="18F1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6A0E">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7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4G通讯模块（3年流量）</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77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1、支持4G全网通网络；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2、支持多种协议；TCP/IP(版本 4.0)、PPP、UDP；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3、外部接口外≥1路RS232，≥1路以太网接口；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4、内置看门狗，支持自动监测联网状态，掉线后1分钟内自动重拨上网；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4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C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6E59">
            <w:pPr>
              <w:jc w:val="center"/>
              <w:rPr>
                <w:rFonts w:hint="eastAsia" w:ascii="宋体" w:hAnsi="宋体" w:eastAsia="宋体" w:cs="宋体"/>
                <w:i w:val="0"/>
                <w:iCs w:val="0"/>
                <w:color w:val="000000"/>
                <w:sz w:val="21"/>
                <w:szCs w:val="21"/>
                <w:u w:val="none"/>
              </w:rPr>
            </w:pPr>
          </w:p>
        </w:tc>
      </w:tr>
      <w:tr w14:paraId="0051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2F02">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2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控制配电柜</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DA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1、不锈钢材质，设备箱≥150mm*400mm*550mm，板材厚度≥1.0mm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2、供电电源380V，功率≥10KW；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3、触控显示屏，尺寸≥7寸，多点触控，分辨率≥1024*600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4、内置控制电路、具备2台增氧水泵控制功能、手自动切换开关；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0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5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C22">
            <w:pPr>
              <w:jc w:val="center"/>
              <w:rPr>
                <w:rFonts w:hint="eastAsia" w:ascii="宋体" w:hAnsi="宋体" w:eastAsia="宋体" w:cs="宋体"/>
                <w:i w:val="0"/>
                <w:iCs w:val="0"/>
                <w:color w:val="000000"/>
                <w:sz w:val="21"/>
                <w:szCs w:val="21"/>
                <w:u w:val="none"/>
              </w:rPr>
            </w:pPr>
          </w:p>
        </w:tc>
      </w:tr>
      <w:tr w14:paraId="2621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5C04">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A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安装配件</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55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1、含φ10mm以上钢筋地笼和混凝土砖石等基础；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2、尺寸按照控制柜定制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B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A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F2C">
            <w:pPr>
              <w:jc w:val="center"/>
              <w:rPr>
                <w:rFonts w:hint="eastAsia" w:ascii="宋体" w:hAnsi="宋体" w:eastAsia="宋体" w:cs="宋体"/>
                <w:i w:val="0"/>
                <w:iCs w:val="0"/>
                <w:color w:val="000000"/>
                <w:sz w:val="21"/>
                <w:szCs w:val="21"/>
                <w:u w:val="none"/>
              </w:rPr>
            </w:pPr>
          </w:p>
        </w:tc>
      </w:tr>
      <w:tr w14:paraId="5B10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EB6D6">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A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水质探头浮球</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14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1、PVC材质浮球，厚度≥1.0mm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2、浮球数量3个，直径≥110mm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8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4E8">
            <w:pPr>
              <w:jc w:val="center"/>
              <w:rPr>
                <w:rFonts w:hint="eastAsia" w:ascii="宋体" w:hAnsi="宋体" w:eastAsia="宋体" w:cs="宋体"/>
                <w:i w:val="0"/>
                <w:iCs w:val="0"/>
                <w:color w:val="000000"/>
                <w:sz w:val="21"/>
                <w:szCs w:val="21"/>
                <w:u w:val="none"/>
              </w:rPr>
            </w:pPr>
          </w:p>
        </w:tc>
      </w:tr>
      <w:tr w14:paraId="54E4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9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E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警戒视频摄像头（带支架）</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07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采用深度学习硬件及算法，支持越界侦测，区域入侵侦测，进入区域侦测和离开区域侦测，支持联动声音报警最高分辨率可达2560 × 1440 @25 fps，在该分辨率下可输出实时图像支持背光补偿，强光抑制，3D数字降噪，120 dB宽动态，1个内置麦克风，1个内置扬声器，支持双向语音对讲支持最大256 GB MicroSD/MicroSDHC/MicroSDXC卡本地存储支持DC12 V，100 mA电源输出，可用于拾音器供电,支持白光/红外双补光，白光最远可达30 m，红外最远可达50 m支持1路报警输入，1路报警输出（报警输出最大支持AC24 V/DC24 V，1 A），1路音频输入，1路音频输出符合IP66防尘防水设计，可靠性高，含立杆抱箍支架，可直接在立杆、电线杆等竖杆直接使用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3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B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3E0">
            <w:pPr>
              <w:jc w:val="center"/>
              <w:rPr>
                <w:rFonts w:hint="eastAsia" w:ascii="宋体" w:hAnsi="宋体" w:eastAsia="宋体" w:cs="宋体"/>
                <w:i w:val="0"/>
                <w:iCs w:val="0"/>
                <w:color w:val="000000"/>
                <w:sz w:val="21"/>
                <w:szCs w:val="21"/>
                <w:u w:val="none"/>
              </w:rPr>
            </w:pPr>
          </w:p>
        </w:tc>
      </w:tr>
      <w:tr w14:paraId="5FEB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C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智慧音柱</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D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30W低功耗室外智慧音柱，支持内置预录语音拨码选择</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2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B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5CDB">
            <w:pPr>
              <w:jc w:val="center"/>
              <w:rPr>
                <w:rFonts w:hint="eastAsia" w:ascii="宋体" w:hAnsi="宋体" w:eastAsia="宋体" w:cs="宋体"/>
                <w:i w:val="0"/>
                <w:iCs w:val="0"/>
                <w:color w:val="000000"/>
                <w:sz w:val="21"/>
                <w:szCs w:val="21"/>
                <w:u w:val="none"/>
              </w:rPr>
            </w:pPr>
          </w:p>
        </w:tc>
      </w:tr>
      <w:tr w14:paraId="5908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D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4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32路硬盘录像机</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B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接驳符合ONVIF、RTSP标准的众多主流厂商网络摄像机；支持接入H.265、Smart265、H.264、Smart264视频编码码流；自带4个SATA接口，最大支持满配10T硬盘；支持IP设备集中管理，包括IP设备一键添加、参数配置、批量升级、导入/导出等；最大支持8/16/16路本地同步回放；针对人、车及事件类型，支持快速回放与智能检索功能，大幅提升录像回放和检索效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7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4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93F">
            <w:pPr>
              <w:jc w:val="center"/>
              <w:rPr>
                <w:rFonts w:hint="eastAsia" w:ascii="宋体" w:hAnsi="宋体" w:eastAsia="宋体" w:cs="宋体"/>
                <w:i w:val="0"/>
                <w:iCs w:val="0"/>
                <w:color w:val="000000"/>
                <w:sz w:val="21"/>
                <w:szCs w:val="21"/>
                <w:u w:val="none"/>
              </w:rPr>
            </w:pPr>
          </w:p>
        </w:tc>
      </w:tr>
      <w:tr w14:paraId="6F00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9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8T硬盘</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F8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8T监控级存储硬盘</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4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602">
            <w:pPr>
              <w:jc w:val="center"/>
              <w:rPr>
                <w:rFonts w:hint="eastAsia" w:ascii="宋体" w:hAnsi="宋体" w:eastAsia="宋体" w:cs="宋体"/>
                <w:i w:val="0"/>
                <w:iCs w:val="0"/>
                <w:color w:val="000000"/>
                <w:sz w:val="21"/>
                <w:szCs w:val="21"/>
                <w:u w:val="none"/>
              </w:rPr>
            </w:pPr>
          </w:p>
        </w:tc>
      </w:tr>
      <w:tr w14:paraId="7C10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93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企业级路由器</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7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网络层协议：支持IPv4，TCP和UDP，ICMP等协议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路由协议：静态路由、运营商地址库等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其他协议：支持DHCP Relay、DHCP Server、DHCP Client，支持DHCP Option43/82/138等属性；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支持PPPoE Client,网络层协议：支持IPv4，TCP和UDP，ICMP等协议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路由协议：静态路由、运营商地址库等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其他协议：支持DHCP Relay、DHCP Server、DHCP Client，支持DHCP Option43/82/138等属性；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支持PPPoE Client</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5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B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74F3">
            <w:pPr>
              <w:jc w:val="center"/>
              <w:rPr>
                <w:rFonts w:hint="eastAsia" w:ascii="宋体" w:hAnsi="宋体" w:eastAsia="宋体" w:cs="宋体"/>
                <w:i w:val="0"/>
                <w:iCs w:val="0"/>
                <w:color w:val="000000"/>
                <w:sz w:val="21"/>
                <w:szCs w:val="21"/>
                <w:u w:val="none"/>
              </w:rPr>
            </w:pPr>
          </w:p>
        </w:tc>
      </w:tr>
      <w:tr w14:paraId="5A0E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7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F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汇聚交换机</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1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交换容量≥336Gbps，包转发率≥108Mpps，支持24个10/100/1000Mbps自适应电口交换机，固化4个以上SFP+万兆光口，支持VLAN、ACL、端口镜像、端口聚合等功能。</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A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4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D184">
            <w:pPr>
              <w:jc w:val="center"/>
              <w:rPr>
                <w:rFonts w:hint="eastAsia" w:ascii="宋体" w:hAnsi="宋体" w:eastAsia="宋体" w:cs="宋体"/>
                <w:i w:val="0"/>
                <w:iCs w:val="0"/>
                <w:color w:val="000000"/>
                <w:sz w:val="21"/>
                <w:szCs w:val="21"/>
                <w:u w:val="none"/>
              </w:rPr>
            </w:pPr>
          </w:p>
        </w:tc>
      </w:tr>
      <w:tr w14:paraId="22A8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A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6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近端接入交换</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46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1个以上千兆电口，2个以上千兆SC光口环网传输</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1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9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64D5">
            <w:pPr>
              <w:jc w:val="center"/>
              <w:rPr>
                <w:rFonts w:hint="eastAsia" w:ascii="宋体" w:hAnsi="宋体" w:eastAsia="宋体" w:cs="宋体"/>
                <w:i w:val="0"/>
                <w:iCs w:val="0"/>
                <w:color w:val="000000"/>
                <w:sz w:val="21"/>
                <w:szCs w:val="21"/>
                <w:u w:val="none"/>
              </w:rPr>
            </w:pPr>
          </w:p>
        </w:tc>
      </w:tr>
      <w:tr w14:paraId="62BC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8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A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远端接入交换</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6A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4个以上千兆POE口，可给警戒摄像机供电,2个以上SC光口环网传输</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D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3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4AA">
            <w:pPr>
              <w:jc w:val="center"/>
              <w:rPr>
                <w:rFonts w:hint="eastAsia" w:ascii="宋体" w:hAnsi="宋体" w:eastAsia="宋体" w:cs="宋体"/>
                <w:i w:val="0"/>
                <w:iCs w:val="0"/>
                <w:color w:val="000000"/>
                <w:sz w:val="21"/>
                <w:szCs w:val="21"/>
                <w:u w:val="none"/>
              </w:rPr>
            </w:pPr>
          </w:p>
        </w:tc>
      </w:tr>
      <w:tr w14:paraId="0087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D9E1F2"/>
            <w:vAlign w:val="center"/>
          </w:tcPr>
          <w:p w14:paraId="4840499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二、智慧大田相关设备</w:t>
            </w:r>
          </w:p>
        </w:tc>
      </w:tr>
      <w:tr w14:paraId="6517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B5496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DE0B9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95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80FB82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功能参数</w:t>
            </w:r>
          </w:p>
        </w:tc>
        <w:tc>
          <w:tcPr>
            <w:tcW w:w="73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40ED7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DBBE0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CF141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58E2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1B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D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履带式虫情测报灯</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C1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1、符合GB/T 24689.1-2009《植物保护机械虫情测报灯》标准。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2、设备结构：触摸屏操作模块、由害虫诱捕装置、害虫灭杀装置、害虫散虫装置、害虫收集装置、高清摄像机与传送装置、自动清扫虫体到装置、控制器、显示器、电源与防雷系统、网络传输模块组成。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3、≥7寸彩色触摸屏，可实现现场控制及软件远程手动监测控制：诱虫灯开启、手动拍照、光控时控切换、拍照间隔时间、有线无线网络切换功能、流量限流等功能。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4、光控控制：晚上自动开灯，白天自动关灯，在夜间工作状态下，不受瞬间强光照射改变工作状态；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5、雨控系统：雨控传感器应根据外界雨量变化自动控制测报灯工作。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6、时段控制：根据标靶害虫生活习性规律设置工作时间段和工作时长。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远程控制：可以远程控制接虫仓、诱虫灯开关、加热管开关、杀虫仓和烘干仓清空、震动电机开关、拍照开关、工作模式开关、重启和更改上传地址等功能。（提供具有CMA、CNAS标识的第三检测机构出具的检测报告复印件加盖厂家公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8、诱虫光源：20W专用诱虫光源（主波长365nm）；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9、灯体材料：整体结构采用GB32080-92不锈钢喷塑材质；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10、远红外虫体处理仓温度控制：工作15分钟后温度≥90℃，远红外虫体处理致死率不小于98%，虫体完整率不小于95%；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11、功耗：待机状态≤5W；整灯功率≤450W；供电方式：220V市电，灯管启动性能：5S内启动 ，绝缘电阻：≥2.5MQ，有漏电保护装置；撞击屏互成120度角，单屏尺寸：长595±2mm，宽213±2mm，厚≥5mm；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★12、图像采集功能：内置3000W像素高清工业摄像头，可定时采集图片上传至云平台，远程拍照和手动拍照均可。（提供具有CMA、CNAS标识的第三检测机构出具的检测报告复印件加盖厂家公章佐证）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★13、自动识别功能：能够识别害虫种类≥136种，对一、二类农作物病虫害名录中趋光性害虫的单一种类识别计数准确率≥95%。（提供具有CMA、CNAS标识的第三检测机构出具的检测报告复印件加盖厂家公章佐证）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★14、计数功能：内置光栅计数装置，可以实时记录虫子数量。（提供具有CMA、CNAS标识的第三检测机构出具的检测报告复印件加盖厂家公章佐证）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本存储：需要保留标本的保留在储存仓内，人工定期收集，对于不需要标本的虫子可直接排出机器外，避免人工去现场，只要定期去巡检即可；也可通过定位传感器实现每天自动切换接虫仓，避免不同日期采集的虫体堆叠，便于人工校对和分析，满足人工测报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16、数据管理和查看功能：可通过电脑端（PC)、手机端(APP)、小程序查看设备位置信息，监测设备工作状态，可对设备出现的故障进行分析和预警。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17、每台设备具有二维码，通过扫码可连接到售后系统进行安装和报修，具有售后 APP 查询功能。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18、定位功能：内置GPS定位功能，可在地图上查看当前设备位置、编号和在状态信息。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19、数据传输：多种联网方式4G\WIFI\有线可任意选择，可随时随地联网管理。</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0B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2F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67226">
            <w:pPr>
              <w:rPr>
                <w:rFonts w:hint="eastAsia" w:ascii="宋体" w:hAnsi="宋体" w:eastAsia="宋体" w:cs="宋体"/>
                <w:i w:val="0"/>
                <w:iCs w:val="0"/>
                <w:color w:val="000000"/>
                <w:sz w:val="21"/>
                <w:szCs w:val="21"/>
                <w:u w:val="none"/>
              </w:rPr>
            </w:pPr>
          </w:p>
        </w:tc>
      </w:tr>
      <w:tr w14:paraId="42E6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26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33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土壤墒情设备</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F7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1、7寸液晶屏显示，支持触摸输入；全中文操作菜单，操作简单方便。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2、多参数设置，可设置采集时间间隔、服务器地址等参数。数据自动保存。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3、所有采集参数同一屏幕显示。数据自动采集、实时显示。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4、配备USB接口，可将历史数据导出到U盘进行分析。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5、探头具有一致性，不同气象参数的传感器接口可以互换，不影响精度。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6、具有4G传输模块，可实时将数据上传至远端服务平台。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7、具有GPS定位模块，可实时上传位置信息。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8、记录容量≥120000条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9、记录时间间隔：1分～99小时连续可调；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10、传感器技术参数：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土壤温度测量范围：-40℃～100℃  精度：±0.3℃  分辨率：0.1℃；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土壤湿度测量范围：0～100%   精度：±0.2%   分辨率：0.1%；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土壤盐分测量范围: 0～19.99ms/cm   精度:±0.2% 分辨率：0.1%；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氮磷钾：测量精度：N：±3%、K：±3%、P：±5%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11、配置的传感器及配件：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土壤温度土壤湿度土壤盐分传感器、集线器、防雨箱、土壤墒情监测站支架， 太阳能供电系统。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★12、投标产品土壤墒情监测仪提供国家版权局出具的土壤墒情监测信息管理系统计算机软著证书；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★13、投标产品投标产品土壤墒情监测仪提供省级以上检测机构出具的土壤墒情监测信息管理系统软件产品登记测试报告.</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B7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9B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C3291">
            <w:pPr>
              <w:rPr>
                <w:rFonts w:hint="eastAsia" w:ascii="宋体" w:hAnsi="宋体" w:eastAsia="宋体" w:cs="宋体"/>
                <w:i w:val="0"/>
                <w:iCs w:val="0"/>
                <w:color w:val="000000"/>
                <w:sz w:val="21"/>
                <w:szCs w:val="21"/>
                <w:u w:val="none"/>
              </w:rPr>
            </w:pPr>
          </w:p>
        </w:tc>
      </w:tr>
      <w:tr w14:paraId="7AAB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BE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F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气象站</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FF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1、7寸全彩触摸屏，Android系统，全中文操作菜单，可在本地设置采集间隔，上传地址等。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2、数据查看：可以在采集主机同一屏幕显示采集数据信息。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3、探头具有一致性，不同气象参数的传感器接口可以互换，不影响精度。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传输及同步：支持有线和3G/4G/5G全网通无线接入互联网，可将监测数据传输到软件中心平台，具备通讯故障恢复续传功能，网络恢复正常后可利用存储的数据重新上传，可实现手机端（APP)与电脑端（PC)的数据同步共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★5、数据保存功能强大：最大可储存520000条数据，即可在主机上查看数据，也可用U盘实现存储扩展（提供具有CMA、CNAS资质的检测机构出具的检验报告复印件加盖制造商公章佐证）。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6、响应时间：≤2秒；记录时间间隔：1分～99小时连续可调。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7、空气温湿度气压一体化传感器： 同时监大气温度、大气湿度、大气气压，外置百叶箱防风防雨防辐射、通风透气、耐腐蚀、集成度高、轻便小巧、安装方便；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★8、主要传感器参数：（需在检测报告的检测结果中体现）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（1）空气温度测量范围：-40+120℃，分辨率：0.1℃，准确度：±0.4℃。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（2）空气相对湿度测量范围：0～100%，分辨率：0.1%，准确度：±2%。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（3）光照强度量程范围：0～200000LUX，分辨率：1LUX，准确度：±2％FS；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（4）风速测量范围：0-60m/s分辨率：±0.1m/s，准确度：±(0.3+0.03V)m/s。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（5）风向测量范围：0～359°，分辨率：1°,准确度：±1°。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（6）降雨量测量范围：0～4mm/min，分辨率：0.1mm，准确度：±0.1mm；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（7）大气压强测量范围：0.0hPa～1100.0hPa；精度：±0.1HPa。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（8）光合有效辐射范围：测量范围：0-4000umol/㎡.s（400-700nm），精度：±2-20umol/㎡，分辨率:1umol/㎡.s。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9、工作温度: -20℃～70℃；工作湿度: 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10、太阳能供电系统，太阳能板≥80W，电池：≥24AH；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11、内置GPS定位器，可在PC 云端地图中査看设备站点等数据，被盗可追踪。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12、气象站专业立杆，白色碳钢喷塑，高度3米，包含安装底座地笼。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★13、提供气象站管理系统软件产品证书复印件加盖厂家公章；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★14、提供具有CMA、CNAS资质的检测机构出具的检验报告复印件加盖制造商公章佐证；</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8D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09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08F2B">
            <w:pPr>
              <w:rPr>
                <w:rFonts w:hint="eastAsia" w:ascii="宋体" w:hAnsi="宋体" w:eastAsia="宋体" w:cs="宋体"/>
                <w:i w:val="0"/>
                <w:iCs w:val="0"/>
                <w:color w:val="000000"/>
                <w:sz w:val="21"/>
                <w:szCs w:val="21"/>
                <w:u w:val="none"/>
              </w:rPr>
            </w:pPr>
          </w:p>
        </w:tc>
      </w:tr>
      <w:tr w14:paraId="5DE4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2"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CC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D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智能球型摄像机</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D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双路区域入侵侦测、越界侦测、进入区域侦测和离开区域侦等智能侦测支持点击全景画面联动特写镜头，手动跟踪运动目标内置加热玻璃，有效除雾全景支持最大1920×1080@30fps高清画面输出细节支持最大2560×1440@30fps高清画面输出支持高效补光阵列，细节红外照射距离最远可达100m，全景白光照射距离最远可达30m细节支持20倍光学变倍，16倍数字变倍支持三码流技术，每路码流可独立配置分辨率及帧率码流平滑设置,适应不同场景下对图像质量、流畅性的不同要求支持ROI感兴趣区域增强编码支持隐私遮蔽支持GBK字库,支持更多汉字及生僻字叠加支持SVC自适应编码技术支持超低照度，【全景】彩色：0.0005 Lux @（F1.0, AGC ON），0 Lux with light；【细节】彩色：0.005Lux @ (F1.6，AGC ON),黑白：0.001Lux @ (F1.6, AGC ON)，0 Lux with IR支持多播功能支持3D数字降噪支持欠压检测支持OSD颜色自选，支持定时任务、一键守望、一键巡航功能支持定时抓图与事件抓图功能IP66，抗干扰能力强，适用于严酷的电磁环境，符合GB/T17626.2/3/4/5/6四级标准最大支持256GB microSD卡存储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C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A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2A588">
            <w:pPr>
              <w:rPr>
                <w:rFonts w:hint="eastAsia" w:ascii="宋体" w:hAnsi="宋体" w:eastAsia="宋体" w:cs="宋体"/>
                <w:i w:val="0"/>
                <w:iCs w:val="0"/>
                <w:color w:val="000000"/>
                <w:sz w:val="21"/>
                <w:szCs w:val="21"/>
                <w:u w:val="none"/>
              </w:rPr>
            </w:pPr>
          </w:p>
        </w:tc>
      </w:tr>
      <w:tr w14:paraId="526D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7A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2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240W120AH太阳能套装</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82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组件效率≥21%，高透光率钢化玻璃，寿命不少于25年高精度充电控制器，具备锂电池激活及预充电功能，电路能量转换效率≥96.9%具有先进冗余功能，当电池出现故障时候，只要有阳光照射，控制器即可在无电池状态正常工作（太阳能直接给负载供电功能）插拔式模块化安装方式，解决了更换电源模块在带电状态下的快速更换维修问题。有效提高了电源系统的可靠性和维修性，有效的降低高空作业的危险系数及难度，提高工作效率，方便，高效率，可靠一体化支架设计，抗风等级13级,自动工况识别，具备软件数据分析收集记录功能，根据大数据进行自我控制优化球机设备支持宽幅电压：9.0-15.0V</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B1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44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4760F">
            <w:pPr>
              <w:rPr>
                <w:rFonts w:hint="eastAsia" w:ascii="宋体" w:hAnsi="宋体" w:eastAsia="宋体" w:cs="宋体"/>
                <w:i w:val="0"/>
                <w:iCs w:val="0"/>
                <w:color w:val="000000"/>
                <w:sz w:val="21"/>
                <w:szCs w:val="21"/>
                <w:u w:val="none"/>
              </w:rPr>
            </w:pPr>
          </w:p>
        </w:tc>
      </w:tr>
      <w:tr w14:paraId="543C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E4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9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监控立杆</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48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镀锌钢管，高温静电烤漆工艺，环境适应性好组合后最大高度5000mm，下杆直径≥114mm，上杆直径≥76mm，钢管壁厚≥1.8mm可根据需求组合不同的高度，选配不同的支架，灵活方便底部法兰盘采用Q235钢板，含防水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C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28768">
            <w:pPr>
              <w:rPr>
                <w:rFonts w:hint="eastAsia" w:ascii="宋体" w:hAnsi="宋体" w:eastAsia="宋体" w:cs="宋体"/>
                <w:i w:val="0"/>
                <w:iCs w:val="0"/>
                <w:color w:val="000000"/>
                <w:sz w:val="21"/>
                <w:szCs w:val="21"/>
                <w:u w:val="none"/>
              </w:rPr>
            </w:pPr>
          </w:p>
        </w:tc>
      </w:tr>
      <w:tr w14:paraId="7DCE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4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8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无线网桥</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0E3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安全：智能识别终端 终端准入管控可靠：无线抗干扰 故障可自愈智简：APP、客户端统一管理 拓扑可视化、智能运维全千兆网口拨码快速配对点对点，点对多点传输稳定不卡顿</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F4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5F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6B921">
            <w:pPr>
              <w:rPr>
                <w:rFonts w:hint="eastAsia" w:ascii="宋体" w:hAnsi="宋体" w:eastAsia="宋体" w:cs="宋体"/>
                <w:i w:val="0"/>
                <w:iCs w:val="0"/>
                <w:color w:val="000000"/>
                <w:sz w:val="21"/>
                <w:szCs w:val="21"/>
                <w:u w:val="none"/>
              </w:rPr>
            </w:pPr>
          </w:p>
        </w:tc>
      </w:tr>
      <w:tr w14:paraId="53E9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27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7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网络摄像机</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E5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最高分辨率可达3200 × 1800 @20 fps支持越界侦测，区域入侵侦测支持背光补偿，强光抑制，3D数字降噪，120 dB宽动态支持1个RJ45 10 M/100 M自适应以太网口，1个内置麦克风支持白光/红外双补光，红外光最远可达50 m，白光最远可达30 m符合IP66防尘防水设计，可靠性高</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4E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FA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41FA7">
            <w:pPr>
              <w:rPr>
                <w:rFonts w:hint="eastAsia" w:ascii="宋体" w:hAnsi="宋体" w:eastAsia="宋体" w:cs="宋体"/>
                <w:i w:val="0"/>
                <w:iCs w:val="0"/>
                <w:color w:val="000000"/>
                <w:sz w:val="21"/>
                <w:szCs w:val="21"/>
                <w:u w:val="none"/>
              </w:rPr>
            </w:pPr>
          </w:p>
        </w:tc>
      </w:tr>
      <w:tr w14:paraId="7DF5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AC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7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1C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接驳符合ONVIF、RTSP标准的众多主流厂商网络摄像机；支持接入H.265、Smart265、H.264、Smart264视频编码码流；解码性能强劲，最大支持12路1080P解码（开启SVC增强模式后，可提升至16路1080P解码）；支持800万像素高清网络视频的预览、存储与回放；支持HDMI与VGA输出，HDMI最大支持4K超高清显示输出，VGA支持1080P高清显示输出；自带2个以上SATA接口，最大支持满配10T硬盘；支持IP设备集中管理，包括IP设备一键添加、参数配置、批量升级、导入/导出等；最大支持4/8/16/16路本地同步回放；针对人、车及事件类型，支持快速回放与智能检索功能，大幅提升录像回放和检索效率；</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36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E4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C5416">
            <w:pPr>
              <w:rPr>
                <w:rFonts w:hint="eastAsia" w:ascii="宋体" w:hAnsi="宋体" w:eastAsia="宋体" w:cs="宋体"/>
                <w:i w:val="0"/>
                <w:iCs w:val="0"/>
                <w:color w:val="000000"/>
                <w:sz w:val="21"/>
                <w:szCs w:val="21"/>
                <w:u w:val="none"/>
              </w:rPr>
            </w:pPr>
          </w:p>
        </w:tc>
      </w:tr>
      <w:tr w14:paraId="6358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BF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3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A2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8000G监控级存储硬盘</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F7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18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CB7FF">
            <w:pPr>
              <w:rPr>
                <w:rFonts w:hint="eastAsia" w:ascii="宋体" w:hAnsi="宋体" w:eastAsia="宋体" w:cs="宋体"/>
                <w:i w:val="0"/>
                <w:iCs w:val="0"/>
                <w:color w:val="000000"/>
                <w:sz w:val="21"/>
                <w:szCs w:val="21"/>
                <w:u w:val="none"/>
              </w:rPr>
            </w:pPr>
          </w:p>
        </w:tc>
      </w:tr>
      <w:tr w14:paraId="0E0A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2E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A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POE交换机</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B6F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提供8个以上千兆PoE电口，1个以上千兆电口，1个以上千兆光口。支持IEEE 802.3at/af。支持6KV防浪涌（PoE口）。支持PoE输出功率管理。千兆网络接入设计。线速转发、无阻塞设计。存储转发交换方式。坚固式高强度金属外壳。无风扇设计，高可靠性。</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2C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9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E025">
            <w:pPr>
              <w:rPr>
                <w:rFonts w:hint="eastAsia" w:ascii="宋体" w:hAnsi="宋体" w:eastAsia="宋体" w:cs="宋体"/>
                <w:i w:val="0"/>
                <w:iCs w:val="0"/>
                <w:color w:val="000000"/>
                <w:sz w:val="21"/>
                <w:szCs w:val="21"/>
                <w:u w:val="none"/>
              </w:rPr>
            </w:pPr>
          </w:p>
        </w:tc>
      </w:tr>
      <w:tr w14:paraId="33E7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07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0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监控立杆</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D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镀锌钢管，高温静电烤漆工艺，环境适应性好组合后最大高度5000mm，下杆直径≥114mm，上杆直径≥76mm，钢管壁厚≥1.8mm可根据需求组合不同的高度，选配不同的支架，灵活方便底部法兰盘采用Q235钢板，含防水箱</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E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9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11D30">
            <w:pPr>
              <w:rPr>
                <w:rFonts w:hint="eastAsia" w:ascii="宋体" w:hAnsi="宋体" w:eastAsia="宋体" w:cs="宋体"/>
                <w:i w:val="0"/>
                <w:iCs w:val="0"/>
                <w:color w:val="000000"/>
                <w:sz w:val="21"/>
                <w:szCs w:val="21"/>
                <w:u w:val="none"/>
              </w:rPr>
            </w:pPr>
          </w:p>
        </w:tc>
      </w:tr>
      <w:tr w14:paraId="1BB5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30" w:type="dxa"/>
            <w:gridSpan w:val="6"/>
            <w:tcBorders>
              <w:top w:val="single" w:color="000000" w:sz="4" w:space="0"/>
              <w:left w:val="single" w:color="000000" w:sz="4" w:space="0"/>
              <w:bottom w:val="single" w:color="000000" w:sz="4" w:space="0"/>
              <w:right w:val="single" w:color="000000" w:sz="4" w:space="0"/>
            </w:tcBorders>
            <w:shd w:val="clear" w:color="auto" w:fill="D9E1F2"/>
            <w:vAlign w:val="center"/>
          </w:tcPr>
          <w:p w14:paraId="5C43538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三、数字乡村N个应用系统及相关配套服务</w:t>
            </w:r>
          </w:p>
        </w:tc>
      </w:tr>
      <w:tr w14:paraId="7941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8A930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EB8F4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95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78F373C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功能描述</w:t>
            </w:r>
          </w:p>
        </w:tc>
        <w:tc>
          <w:tcPr>
            <w:tcW w:w="737"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9A019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88"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640EA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3D031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C66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2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数字乡村大脑中心</w:t>
            </w:r>
            <w:r>
              <w:rPr>
                <w:rFonts w:hint="eastAsia" w:ascii="宋体" w:hAnsi="宋体" w:eastAsia="宋体" w:cs="宋体"/>
                <w:b/>
                <w:bCs/>
                <w:i w:val="0"/>
                <w:iCs w:val="0"/>
                <w:color w:val="000000"/>
                <w:kern w:val="0"/>
                <w:sz w:val="21"/>
                <w:szCs w:val="21"/>
                <w:u w:val="none"/>
                <w:lang w:val="en-US" w:eastAsia="zh-CN" w:bidi="ar"/>
              </w:rPr>
              <w:t>（镇、村）</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F0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数字农业、数字农村、数字农人为主线，以“一屏观全村”为思路，依托数字乡村服务管理平台及相关产业智慧化建设，为村委会决策、指挥调度提供精准的数字依据，加强乡村产业数字化发展与提升，巩固乡村振兴发展成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以镇村两级为架构通过数字化手段提升乡村治理效率，优化资源配置，促进农业产业升级，改善农民生活质量，实现乡村全面振兴和农业农村现代化。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1、基础设施专题：展示镇、村传统基础设施，融合基础设施，创新基础设施和信息基础设施的建设情况。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三农专题：以数字化可视看板为基础，进行乡村基础情况的介绍；以数字化可视看板为基础，对乡村发展规划进行展示；以数字化可视看板为基础，进行村庄发展定位的介绍，支持图文、视频等方式的呈现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3、产业振兴专题：展示镇、村重点产业分布，展示种植、渔业、农文旅、产销数据、农业物联网设备数据；标注核心产业园区内本次数字化项目相关数据。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7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B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C4C2">
            <w:pPr>
              <w:rPr>
                <w:rFonts w:hint="eastAsia" w:ascii="宋体" w:hAnsi="宋体" w:eastAsia="宋体" w:cs="宋体"/>
                <w:i w:val="0"/>
                <w:iCs w:val="0"/>
                <w:color w:val="000000"/>
                <w:sz w:val="21"/>
                <w:szCs w:val="21"/>
                <w:u w:val="none"/>
              </w:rPr>
            </w:pPr>
          </w:p>
        </w:tc>
      </w:tr>
      <w:tr w14:paraId="4D6F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6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0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数字乡村综合服务平台</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9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乡村管理工作者提供乡村工作管理、党建服务、数字治理、惠民服务及产业可视化板块。分别从服务、治理，数据分析三个角度为基层政府提供方便、高效、便捷的数字化应用服务。同时为管理员、村民、游客提供开放的数字乡村app，让用户无需多渠道切换，可享受多样化服务，操作简单、容易上手、服务多样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1、乡村工作管理：提供工作台账、文档管理、掌上办、一户一档等功能；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2、党建服务：实现党组织管理、党员管理、志愿服务、民主评议和支部风采等功能；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3、数字治理：提供纠纷管理、服务信息公示、网格化管理等功能；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4、惠民服务：提供惠农补贴通知、生活百科、社会救助、随访入村、农业农村咨询服务、高龄津贴领取。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5、数字产业：产业监测（种植业、养殖业、农文旅等）数据监测与填报、对村集体经济组织和龙头企业信息进行台账维护。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8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2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FDFE">
            <w:pPr>
              <w:rPr>
                <w:rFonts w:hint="eastAsia" w:ascii="宋体" w:hAnsi="宋体" w:eastAsia="宋体" w:cs="宋体"/>
                <w:i w:val="0"/>
                <w:iCs w:val="0"/>
                <w:color w:val="000000"/>
                <w:sz w:val="21"/>
                <w:szCs w:val="21"/>
                <w:u w:val="none"/>
              </w:rPr>
            </w:pPr>
          </w:p>
        </w:tc>
      </w:tr>
      <w:tr w14:paraId="2566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75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4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智慧农田综合应用平台</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6F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农田信息采集：利用GIS地理信息技术，对农田地理信息、基础设施、种植作物等内容进行采集和集中管理，实现空间数据的管理与分析功能，帮助主管部门摸清基础农田信息，全面展示。满足高标农田空间数据的地图操作、数据查询、分析和统计的需求，为农田空间数据的一体化管理提供技术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2、四情监测：实时监测农田环境中的土壤墒情、气象、病虫害等关键数据，同时结合先进的数据挖掘和分析技术，对采集到的数据进行处理、分析和预测，以实现对农田环境和作物生长的精准管理；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AI虫情识别：结合设备可以展示标记出通过算法识别出来的害虫信息，提供病害知识和虫害知识库，结合病虫害防治专家经验以及农业部门多年来在植保植检过程中遇到的问题，根据不同的作物类型、受害类型进行统一的归类整理，为农业技术推广人员和农田经营者提供作物灾害的防治技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6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B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130D">
            <w:pPr>
              <w:jc w:val="center"/>
              <w:rPr>
                <w:rFonts w:hint="eastAsia" w:ascii="宋体" w:hAnsi="宋体" w:eastAsia="宋体" w:cs="宋体"/>
                <w:i w:val="0"/>
                <w:iCs w:val="0"/>
                <w:color w:val="000000"/>
                <w:sz w:val="21"/>
                <w:szCs w:val="21"/>
                <w:u w:val="none"/>
              </w:rPr>
            </w:pPr>
          </w:p>
        </w:tc>
      </w:tr>
      <w:tr w14:paraId="5553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FE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3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渔业环境监测预警平台</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B5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基于实景正射技术和数据可视化技术，通过对区域范围内养殖位置分布、养殖参数、养殖环境、养殖监控等数据的可视化分析与监测，可以准确地了解渔业养殖规律与现状，实时掌握渔业行业动态。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1、数字鱼塘展示：通过无人机实现对地表空间要素的立体观测，获取丰富多样的地理空间数据，将鱼塘正射影像图像映射到地图上，实现对地表空间监测数据的读写、管理、分析与可视化；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2、物联网采集与汇聚：水中插有数据采集传感器，通过传感器实时记录水中各参数的数值，例如PH值、温度、光照、水量、溶氧度、氨氮等，将数据通过无线网络实时的传输到渔业环境监测预警平台；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3、鱼塘感知与视频监控：接入汇聚鱼塘周边视频监控，实现鱼塘周边视频的在线浏览、回放、边界预警等功能;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监测数据分析与预警：针对收集到的鱼塘监测数据进行分析，可以帮助管理着更好地了解鱼塘的运营情况，显示每年、月、周等的使用情况。并支持将部署设备参数进行同比或环比的方式，让用户更直观的观测到鱼塘环境的变化情况以及变化规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4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9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B12D">
            <w:pPr>
              <w:jc w:val="center"/>
              <w:rPr>
                <w:rFonts w:hint="eastAsia" w:ascii="宋体" w:hAnsi="宋体" w:eastAsia="宋体" w:cs="宋体"/>
                <w:i w:val="0"/>
                <w:iCs w:val="0"/>
                <w:color w:val="000000"/>
                <w:sz w:val="21"/>
                <w:szCs w:val="21"/>
                <w:u w:val="none"/>
              </w:rPr>
            </w:pPr>
          </w:p>
        </w:tc>
      </w:tr>
      <w:tr w14:paraId="39CE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2F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D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线上农文旅</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42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别以小程序与PC端展示农业生产、农村文化和乡村旅游资源进行数字化整合，通过互联网平台进行展示、推广和销售的新型产业模式。它利用现代信息技术手段，打破地域限制，让更多人能够了解和体验乡村的魅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1、展示景点信息，点击可查看详情；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2、展示地域文化信息，点击可查看详情；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3、展示美食信息，点击可查看详情；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4、展示热门农家乐信息，点击可查看详情；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5、展示垂钓信息，点击可查看详情；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6、展示最新资讯信息，点击可查看详情；</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6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DE3F">
            <w:pPr>
              <w:jc w:val="center"/>
              <w:rPr>
                <w:rFonts w:hint="eastAsia" w:ascii="宋体" w:hAnsi="宋体" w:eastAsia="宋体" w:cs="宋体"/>
                <w:i w:val="0"/>
                <w:iCs w:val="0"/>
                <w:color w:val="000000"/>
                <w:sz w:val="21"/>
                <w:szCs w:val="21"/>
                <w:u w:val="none"/>
              </w:rPr>
            </w:pPr>
          </w:p>
        </w:tc>
      </w:tr>
      <w:tr w14:paraId="21AD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1B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A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田园乐享家（云上认养）</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9F0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养是指借助互联网技术，让人们能够在不直接接触的情况下，对特定的对象进行认养，如动物、植物、农田、果树等。这种模式打破了地域限制，让更多人能够参与到认养活动中来，体验农耕乐趣，同时促进农业和相关产业的发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1、支付成功后，用户可以通过小程序实时监控自己认养的农产品的生长情况。小程序通常会提供照片、视频等多种形式的展示，让消费者能够直观地了解农产品的生长过程；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2、当农产品成熟后，农场主会及时通知消费者进行收获。消费者可以选择亲自到农场采摘，也可以选择由农场主进行配送；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3、选择好认养项目后，用户需要签订认养协议，明确双方的权利和义务，包括农产品的交付时间、质量标准、售后服务等。签订协议后，用户支付相应的认养费用；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9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E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FBDE0">
            <w:pPr>
              <w:jc w:val="center"/>
              <w:rPr>
                <w:rFonts w:hint="eastAsia" w:ascii="宋体" w:hAnsi="宋体" w:eastAsia="宋体" w:cs="宋体"/>
                <w:i w:val="0"/>
                <w:iCs w:val="0"/>
                <w:color w:val="000000"/>
                <w:sz w:val="21"/>
                <w:szCs w:val="21"/>
                <w:u w:val="none"/>
              </w:rPr>
            </w:pPr>
          </w:p>
        </w:tc>
      </w:tr>
      <w:tr w14:paraId="661C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04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B0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数字直播间服务</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91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采用单电数码相机，搭载约3300万像素全画幅背照式Exmor R CMOS影像传感器，减少噪点，展现平滑自然的渐变和精细纹理细节‌，支持Super 35mm模式下4K60fps视频录制，全画幅模式下7K超采样4K30p录制，提供高分辨率和细节的视频‌。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A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968B2">
            <w:pPr>
              <w:jc w:val="center"/>
              <w:rPr>
                <w:rFonts w:hint="eastAsia" w:ascii="宋体" w:hAnsi="宋体" w:eastAsia="宋体" w:cs="宋体"/>
                <w:i w:val="0"/>
                <w:iCs w:val="0"/>
                <w:color w:val="000000"/>
                <w:sz w:val="21"/>
                <w:szCs w:val="21"/>
                <w:u w:val="none"/>
              </w:rPr>
            </w:pPr>
          </w:p>
        </w:tc>
      </w:tr>
      <w:tr w14:paraId="230E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873FD">
            <w:pPr>
              <w:jc w:val="center"/>
              <w:rPr>
                <w:rFonts w:hint="eastAsia" w:ascii="宋体" w:hAnsi="宋体" w:eastAsia="宋体" w:cs="宋体"/>
                <w:i w:val="0"/>
                <w:iCs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A06EB">
            <w:pPr>
              <w:jc w:val="center"/>
              <w:rPr>
                <w:rFonts w:hint="eastAsia" w:ascii="宋体" w:hAnsi="宋体" w:eastAsia="宋体" w:cs="宋体"/>
                <w:i w:val="0"/>
                <w:iCs w:val="0"/>
                <w:color w:val="000000"/>
                <w:sz w:val="21"/>
                <w:szCs w:val="21"/>
                <w:u w:val="none"/>
              </w:rPr>
            </w:pP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81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支持2600万像素，最高可达4K120P，支持4K 60p、4K 120p和HD 240p高帧率录制，支持10-bit 4:2:2内部录制，也可通过HDMI Type-A接口连接外录设备进行4K 16-bit RAW外部录制‌，5.5级防抖‌，236万像素的侧翻显示屏‌。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3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0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15201">
            <w:pPr>
              <w:jc w:val="center"/>
              <w:rPr>
                <w:rFonts w:hint="eastAsia" w:ascii="宋体" w:hAnsi="宋体" w:eastAsia="宋体" w:cs="宋体"/>
                <w:i w:val="0"/>
                <w:iCs w:val="0"/>
                <w:color w:val="000000"/>
                <w:sz w:val="21"/>
                <w:szCs w:val="21"/>
                <w:u w:val="none"/>
              </w:rPr>
            </w:pPr>
          </w:p>
        </w:tc>
      </w:tr>
      <w:tr w14:paraId="2041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5B351">
            <w:pPr>
              <w:jc w:val="center"/>
              <w:rPr>
                <w:rFonts w:hint="eastAsia" w:ascii="宋体" w:hAnsi="宋体" w:eastAsia="宋体" w:cs="宋体"/>
                <w:i w:val="0"/>
                <w:iCs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1C6C7">
            <w:pPr>
              <w:jc w:val="center"/>
              <w:rPr>
                <w:rFonts w:hint="eastAsia" w:ascii="宋体" w:hAnsi="宋体" w:eastAsia="宋体" w:cs="宋体"/>
                <w:i w:val="0"/>
                <w:iCs w:val="0"/>
                <w:color w:val="000000"/>
                <w:sz w:val="21"/>
                <w:szCs w:val="21"/>
                <w:u w:val="none"/>
              </w:rPr>
            </w:pP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6E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用于安装直播APP并进行直播互动展示，支持在线抠图功能制作水印贴片功能，支持双机位、画中画，绿幕、蓝幕抠图背景，无线投屏等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9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7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6ABD2">
            <w:pPr>
              <w:jc w:val="center"/>
              <w:rPr>
                <w:rFonts w:hint="eastAsia" w:ascii="宋体" w:hAnsi="宋体" w:eastAsia="宋体" w:cs="宋体"/>
                <w:i w:val="0"/>
                <w:iCs w:val="0"/>
                <w:color w:val="000000"/>
                <w:sz w:val="21"/>
                <w:szCs w:val="21"/>
                <w:u w:val="none"/>
              </w:rPr>
            </w:pPr>
          </w:p>
        </w:tc>
      </w:tr>
      <w:tr w14:paraId="2AD0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2E01B">
            <w:pPr>
              <w:jc w:val="center"/>
              <w:rPr>
                <w:rFonts w:hint="eastAsia" w:ascii="宋体" w:hAnsi="宋体" w:eastAsia="宋体" w:cs="宋体"/>
                <w:i w:val="0"/>
                <w:iCs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C0CB">
            <w:pPr>
              <w:jc w:val="center"/>
              <w:rPr>
                <w:rFonts w:hint="eastAsia" w:ascii="宋体" w:hAnsi="宋体" w:eastAsia="宋体" w:cs="宋体"/>
                <w:i w:val="0"/>
                <w:iCs w:val="0"/>
                <w:color w:val="000000"/>
                <w:sz w:val="21"/>
                <w:szCs w:val="21"/>
                <w:u w:val="none"/>
              </w:rPr>
            </w:pP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50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高标准、接地气、重成效、有特色”的原则，采取集中培训、基地实训、线上辅导相结合等方式，以从“短视频拍摄与制作”、“个人IP打造”、“直播带货流程”、“直播带货话术及演练”、“直播禁忌规则”、“各平台运营规则”等多个维度，熟悉直播带货电商行业，并通过训练快速掌握直播带货的方法以及引流、变现思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F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C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48999">
            <w:pPr>
              <w:jc w:val="center"/>
              <w:rPr>
                <w:rFonts w:hint="eastAsia" w:ascii="宋体" w:hAnsi="宋体" w:eastAsia="宋体" w:cs="宋体"/>
                <w:i w:val="0"/>
                <w:iCs w:val="0"/>
                <w:color w:val="000000"/>
                <w:sz w:val="21"/>
                <w:szCs w:val="21"/>
                <w:u w:val="none"/>
              </w:rPr>
            </w:pPr>
          </w:p>
        </w:tc>
      </w:tr>
      <w:tr w14:paraId="3286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C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云服务平台</w:t>
            </w:r>
          </w:p>
        </w:tc>
        <w:tc>
          <w:tcPr>
            <w:tcW w:w="5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B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私有云平台进行部署配置一：4核CPU，不低于16G内存，不低于100G硬盘，不低于10M带宽；配置二：16核CPU，不低于32G内存，不低于1T硬盘，不低于20M带宽。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1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0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67C3">
            <w:pPr>
              <w:jc w:val="left"/>
              <w:rPr>
                <w:rFonts w:hint="eastAsia" w:ascii="宋体" w:hAnsi="宋体" w:eastAsia="宋体" w:cs="宋体"/>
                <w:i w:val="0"/>
                <w:iCs w:val="0"/>
                <w:color w:val="000000"/>
                <w:sz w:val="21"/>
                <w:szCs w:val="21"/>
                <w:u w:val="none"/>
              </w:rPr>
            </w:pPr>
          </w:p>
        </w:tc>
      </w:tr>
      <w:tr w14:paraId="59F3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3B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E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集成费</w:t>
            </w:r>
          </w:p>
        </w:tc>
        <w:tc>
          <w:tcPr>
            <w:tcW w:w="5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7D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含运输、集成服务、调试安装(包含配套辅材与安装调试）。</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10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C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45BCE">
            <w:pPr>
              <w:rPr>
                <w:rFonts w:hint="eastAsia" w:ascii="宋体" w:hAnsi="宋体" w:eastAsia="宋体" w:cs="宋体"/>
                <w:i w:val="0"/>
                <w:iCs w:val="0"/>
                <w:color w:val="000000"/>
                <w:sz w:val="21"/>
                <w:szCs w:val="21"/>
                <w:u w:val="none"/>
              </w:rPr>
            </w:pPr>
          </w:p>
        </w:tc>
      </w:tr>
    </w:tbl>
    <w:p w14:paraId="0866A602">
      <w:pPr>
        <w:autoSpaceDE w:val="0"/>
        <w:autoSpaceDN w:val="0"/>
        <w:snapToGrid w:val="0"/>
        <w:spacing w:line="360" w:lineRule="auto"/>
        <w:jc w:val="center"/>
        <w:outlineLvl w:val="0"/>
        <w:rPr>
          <w:rFonts w:hint="eastAsia" w:asciiTheme="majorEastAsia" w:hAnsiTheme="majorEastAsia" w:eastAsiaTheme="majorEastAsia" w:cstheme="majorEastAsia"/>
          <w:b/>
          <w:bCs/>
          <w:sz w:val="36"/>
          <w:szCs w:val="36"/>
        </w:rPr>
      </w:pPr>
    </w:p>
    <w:p w14:paraId="45EFAE13">
      <w:pPr>
        <w:autoSpaceDE w:val="0"/>
        <w:autoSpaceDN w:val="0"/>
        <w:snapToGrid w:val="0"/>
        <w:spacing w:line="360" w:lineRule="auto"/>
        <w:jc w:val="center"/>
        <w:outlineLvl w:val="0"/>
        <w:rPr>
          <w:rFonts w:hint="eastAsia" w:asciiTheme="majorEastAsia" w:hAnsiTheme="majorEastAsia" w:eastAsiaTheme="majorEastAsia" w:cstheme="majorEastAsia"/>
          <w:b/>
          <w:bCs/>
          <w:sz w:val="36"/>
          <w:szCs w:val="36"/>
        </w:rPr>
        <w:sectPr>
          <w:pgSz w:w="11900" w:h="16838"/>
          <w:pgMar w:top="1429" w:right="1417" w:bottom="1417" w:left="1417" w:header="850" w:footer="850" w:gutter="0"/>
          <w:cols w:space="720" w:num="1"/>
          <w:docGrid w:linePitch="326" w:charSpace="0"/>
        </w:sectPr>
      </w:pPr>
    </w:p>
    <w:p w14:paraId="1D7FBBC7">
      <w:pPr>
        <w:autoSpaceDE w:val="0"/>
        <w:autoSpaceDN w:val="0"/>
        <w:snapToGrid w:val="0"/>
        <w:spacing w:line="360" w:lineRule="auto"/>
        <w:jc w:val="center"/>
        <w:outlineLvl w:val="0"/>
        <w:rPr>
          <w:rFonts w:asciiTheme="majorEastAsia" w:hAnsiTheme="majorEastAsia" w:eastAsiaTheme="majorEastAsia" w:cstheme="majorEastAsia"/>
          <w:b/>
          <w:bCs/>
          <w:sz w:val="36"/>
          <w:szCs w:val="36"/>
          <w:lang w:val="zh-CN"/>
        </w:rPr>
      </w:pPr>
      <w:r>
        <w:rPr>
          <w:rFonts w:hint="eastAsia" w:asciiTheme="majorEastAsia" w:hAnsiTheme="majorEastAsia" w:eastAsiaTheme="majorEastAsia" w:cstheme="majorEastAsia"/>
          <w:b/>
          <w:bCs/>
          <w:sz w:val="36"/>
          <w:szCs w:val="36"/>
        </w:rPr>
        <w:t xml:space="preserve">第五章  </w:t>
      </w:r>
      <w:r>
        <w:rPr>
          <w:rFonts w:hint="eastAsia" w:asciiTheme="majorEastAsia" w:hAnsiTheme="majorEastAsia" w:eastAsiaTheme="majorEastAsia" w:cstheme="majorEastAsia"/>
          <w:b/>
          <w:bCs/>
          <w:sz w:val="36"/>
          <w:szCs w:val="36"/>
          <w:lang w:val="zh-CN"/>
        </w:rPr>
        <w:t>商务条款</w:t>
      </w:r>
      <w:bookmarkEnd w:id="137"/>
      <w:bookmarkEnd w:id="138"/>
    </w:p>
    <w:p w14:paraId="1C053B75">
      <w:pPr>
        <w:pStyle w:val="10"/>
        <w:rPr>
          <w:rFonts w:asciiTheme="majorEastAsia" w:hAnsiTheme="majorEastAsia" w:eastAsiaTheme="majorEastAsia" w:cstheme="majorEastAsia"/>
          <w:lang w:val="zh-CN"/>
        </w:rPr>
      </w:pPr>
    </w:p>
    <w:p w14:paraId="29064530">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一、</w:t>
      </w:r>
      <w:r>
        <w:rPr>
          <w:rFonts w:hint="eastAsia" w:asciiTheme="majorEastAsia" w:hAnsiTheme="majorEastAsia" w:eastAsiaTheme="majorEastAsia" w:cstheme="majorEastAsia"/>
          <w:sz w:val="24"/>
          <w:szCs w:val="32"/>
          <w:lang w:eastAsia="zh-CN"/>
        </w:rPr>
        <w:t>服务期</w:t>
      </w:r>
    </w:p>
    <w:p w14:paraId="3A9CB693">
      <w:pPr>
        <w:spacing w:line="360" w:lineRule="auto"/>
        <w:ind w:firstLine="480" w:firstLineChars="200"/>
        <w:rPr>
          <w:rFonts w:hint="eastAsia" w:eastAsiaTheme="majorEastAsia"/>
          <w:sz w:val="24"/>
          <w:lang w:val="en-US" w:eastAsia="zh-CN"/>
        </w:rPr>
      </w:pPr>
      <w:r>
        <w:rPr>
          <w:rFonts w:hint="eastAsia" w:asciiTheme="majorEastAsia" w:hAnsiTheme="majorEastAsia" w:eastAsiaTheme="majorEastAsia" w:cstheme="majorEastAsia"/>
          <w:sz w:val="24"/>
          <w:szCs w:val="32"/>
        </w:rPr>
        <w:t>1、</w:t>
      </w:r>
      <w:r>
        <w:rPr>
          <w:rFonts w:hint="eastAsia" w:asciiTheme="majorEastAsia" w:hAnsiTheme="majorEastAsia" w:eastAsiaTheme="majorEastAsia" w:cstheme="majorEastAsia"/>
          <w:sz w:val="24"/>
          <w:szCs w:val="32"/>
          <w:lang w:eastAsia="zh-CN"/>
        </w:rPr>
        <w:t>服务期</w:t>
      </w:r>
      <w:r>
        <w:rPr>
          <w:rFonts w:hint="eastAsia" w:asciiTheme="majorEastAsia" w:hAnsiTheme="majorEastAsia" w:eastAsiaTheme="majorEastAsia" w:cstheme="majorEastAsia"/>
          <w:sz w:val="24"/>
          <w:szCs w:val="32"/>
        </w:rPr>
        <w:t>：</w:t>
      </w:r>
      <w:r>
        <w:rPr>
          <w:rFonts w:hint="eastAsia" w:eastAsiaTheme="majorEastAsia"/>
          <w:sz w:val="24"/>
          <w:lang w:val="en-US" w:eastAsia="zh-CN"/>
        </w:rPr>
        <w:t>1年</w:t>
      </w:r>
    </w:p>
    <w:p w14:paraId="4052C467">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2、</w:t>
      </w:r>
      <w:r>
        <w:rPr>
          <w:rFonts w:hint="eastAsia" w:asciiTheme="majorEastAsia" w:hAnsiTheme="majorEastAsia" w:eastAsiaTheme="majorEastAsia" w:cstheme="majorEastAsia"/>
          <w:sz w:val="24"/>
          <w:szCs w:val="32"/>
          <w:lang w:eastAsia="zh-CN"/>
        </w:rPr>
        <w:t>服务地点</w:t>
      </w:r>
      <w:r>
        <w:rPr>
          <w:rFonts w:hint="eastAsia" w:asciiTheme="majorEastAsia" w:hAnsiTheme="majorEastAsia" w:eastAsiaTheme="majorEastAsia" w:cstheme="majorEastAsia"/>
          <w:sz w:val="24"/>
          <w:szCs w:val="32"/>
        </w:rPr>
        <w:t>：</w:t>
      </w:r>
      <w:r>
        <w:rPr>
          <w:rFonts w:hint="eastAsia" w:asciiTheme="majorEastAsia" w:hAnsiTheme="majorEastAsia" w:eastAsiaTheme="majorEastAsia" w:cstheme="majorEastAsia"/>
          <w:sz w:val="24"/>
          <w:szCs w:val="32"/>
          <w:lang w:eastAsia="zh-CN"/>
        </w:rPr>
        <w:t>子洲县马蹄沟镇人民政府</w:t>
      </w:r>
      <w:r>
        <w:rPr>
          <w:rFonts w:hint="eastAsia" w:asciiTheme="majorEastAsia" w:hAnsiTheme="majorEastAsia" w:eastAsiaTheme="majorEastAsia" w:cstheme="majorEastAsia"/>
          <w:sz w:val="24"/>
          <w:szCs w:val="32"/>
        </w:rPr>
        <w:t>指定地点。</w:t>
      </w:r>
    </w:p>
    <w:p w14:paraId="1D27D7CF">
      <w:pPr>
        <w:spacing w:line="360" w:lineRule="auto"/>
        <w:rPr>
          <w:rFonts w:asciiTheme="majorEastAsia" w:hAnsiTheme="majorEastAsia" w:eastAsiaTheme="majorEastAsia" w:cstheme="majorEastAsia"/>
          <w:sz w:val="24"/>
          <w:szCs w:val="32"/>
        </w:rPr>
      </w:pPr>
      <w:bookmarkStart w:id="139" w:name="_Toc167715235"/>
      <w:bookmarkStart w:id="140" w:name="_Toc167712840"/>
      <w:bookmarkStart w:id="141" w:name="_Toc167714038"/>
      <w:r>
        <w:rPr>
          <w:rFonts w:hint="eastAsia" w:asciiTheme="majorEastAsia" w:hAnsiTheme="majorEastAsia" w:eastAsiaTheme="majorEastAsia" w:cstheme="majorEastAsia"/>
          <w:sz w:val="24"/>
          <w:szCs w:val="32"/>
        </w:rPr>
        <w:t>二、合同价款</w:t>
      </w:r>
    </w:p>
    <w:p w14:paraId="28F65D3C">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1、投标报价包含完成本次采购所要求的服务且验收合格的所有费用。</w:t>
      </w:r>
    </w:p>
    <w:p w14:paraId="33D452BB">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2、合同总价一次包死，不受市场价变化的影响。</w:t>
      </w:r>
    </w:p>
    <w:bookmarkEnd w:id="139"/>
    <w:bookmarkEnd w:id="140"/>
    <w:bookmarkEnd w:id="141"/>
    <w:p w14:paraId="7396CF60">
      <w:pPr>
        <w:spacing w:line="360" w:lineRule="auto"/>
        <w:rPr>
          <w:rFonts w:asciiTheme="majorEastAsia" w:hAnsiTheme="majorEastAsia" w:eastAsiaTheme="majorEastAsia" w:cstheme="majorEastAsia"/>
          <w:sz w:val="24"/>
          <w:szCs w:val="32"/>
        </w:rPr>
      </w:pPr>
      <w:bookmarkStart w:id="142" w:name="_Toc167712846"/>
      <w:bookmarkStart w:id="143" w:name="_Toc167714044"/>
      <w:bookmarkStart w:id="144" w:name="_Toc167715241"/>
      <w:r>
        <w:rPr>
          <w:rFonts w:hint="eastAsia" w:asciiTheme="majorEastAsia" w:hAnsiTheme="majorEastAsia" w:eastAsiaTheme="majorEastAsia" w:cstheme="majorEastAsia"/>
          <w:sz w:val="24"/>
          <w:szCs w:val="32"/>
        </w:rPr>
        <w:t>三、款项结算</w:t>
      </w:r>
    </w:p>
    <w:p w14:paraId="11D76F9A">
      <w:pPr>
        <w:numPr>
          <w:ilvl w:val="0"/>
          <w:numId w:val="3"/>
        </w:numPr>
        <w:spacing w:line="360" w:lineRule="auto"/>
        <w:ind w:firstLine="480" w:firstLineChars="200"/>
        <w:rPr>
          <w:rFonts w:hint="default" w:eastAsiaTheme="majorEastAsia"/>
          <w:color w:val="auto"/>
          <w:sz w:val="24"/>
          <w:lang w:val="en-US" w:eastAsia="zh-CN"/>
        </w:rPr>
      </w:pPr>
      <w:r>
        <w:rPr>
          <w:rFonts w:hint="eastAsia" w:asciiTheme="majorEastAsia" w:hAnsiTheme="majorEastAsia" w:eastAsiaTheme="majorEastAsia" w:cstheme="majorEastAsia"/>
          <w:color w:val="auto"/>
          <w:sz w:val="24"/>
        </w:rPr>
        <w:t>付款方式：</w:t>
      </w:r>
      <w:r>
        <w:rPr>
          <w:rFonts w:hint="eastAsia" w:asciiTheme="majorEastAsia" w:hAnsiTheme="majorEastAsia" w:eastAsiaTheme="majorEastAsia" w:cstheme="majorEastAsia"/>
          <w:color w:val="auto"/>
          <w:sz w:val="24"/>
          <w:lang w:val="en-US" w:eastAsia="zh-CN"/>
        </w:rPr>
        <w:t>合同签订时约定。</w:t>
      </w:r>
    </w:p>
    <w:p w14:paraId="6B0A7FF5">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2"/>
        </w:rPr>
        <w:t>2、结算方式：按照国库集中支付有关规定执</w:t>
      </w:r>
      <w:r>
        <w:rPr>
          <w:rFonts w:hint="eastAsia" w:asciiTheme="majorEastAsia" w:hAnsiTheme="majorEastAsia" w:eastAsiaTheme="majorEastAsia" w:cstheme="majorEastAsia"/>
          <w:sz w:val="24"/>
        </w:rPr>
        <w:t>行，发票开采购人。</w:t>
      </w:r>
    </w:p>
    <w:p w14:paraId="0066C158">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四、验收</w:t>
      </w:r>
    </w:p>
    <w:bookmarkEnd w:id="142"/>
    <w:bookmarkEnd w:id="143"/>
    <w:bookmarkEnd w:id="144"/>
    <w:p w14:paraId="6824BA41">
      <w:pPr>
        <w:spacing w:line="360" w:lineRule="auto"/>
        <w:ind w:firstLine="480" w:firstLineChars="200"/>
        <w:rPr>
          <w:rFonts w:asciiTheme="majorEastAsia" w:hAnsiTheme="majorEastAsia" w:eastAsiaTheme="majorEastAsia" w:cstheme="majorEastAsia"/>
          <w:sz w:val="24"/>
        </w:rPr>
      </w:pPr>
      <w:bookmarkStart w:id="145" w:name="_Toc167714047"/>
      <w:bookmarkStart w:id="146" w:name="_Toc167712849"/>
      <w:bookmarkStart w:id="147" w:name="_Toc167715244"/>
      <w:r>
        <w:rPr>
          <w:rFonts w:hint="eastAsia" w:asciiTheme="majorEastAsia" w:hAnsiTheme="majorEastAsia" w:eastAsiaTheme="majorEastAsia" w:cstheme="majorEastAsia"/>
          <w:sz w:val="24"/>
        </w:rPr>
        <w:t xml:space="preserve">按照采购合同的约定和现行国家标准、行业标准以及企业标准对每一项技术、服务、安全标准的履约情况进行确认。项目由采购方组织，邀请省库专家和监督单位与采购方共同验收，验收合格后由监督方出具验收证明。验收所产生的费用由中标人承担。                             </w:t>
      </w:r>
    </w:p>
    <w:p w14:paraId="678D713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验收依据：</w:t>
      </w:r>
    </w:p>
    <w:p w14:paraId="3E03AABD">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1、招标文件、投标文件、经济合同；</w:t>
      </w:r>
    </w:p>
    <w:p w14:paraId="34F2C52B">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2、国内相应的国家标准、行业标准及规范。</w:t>
      </w:r>
    </w:p>
    <w:bookmarkEnd w:id="145"/>
    <w:bookmarkEnd w:id="146"/>
    <w:bookmarkEnd w:id="147"/>
    <w:p w14:paraId="68C1E0F4">
      <w:pPr>
        <w:spacing w:line="360" w:lineRule="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五、违约责任：</w:t>
      </w:r>
    </w:p>
    <w:p w14:paraId="68E3ECE1">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1、按《中华人民共和国民法典》中的相关条款执行。</w:t>
      </w:r>
    </w:p>
    <w:p w14:paraId="5E138F54">
      <w:pPr>
        <w:spacing w:line="360" w:lineRule="auto"/>
        <w:ind w:firstLine="480" w:firstLineChars="200"/>
        <w:rPr>
          <w:rFonts w:asciiTheme="majorEastAsia" w:hAnsiTheme="majorEastAsia" w:eastAsiaTheme="majorEastAsia" w:cstheme="majorEastAsia"/>
          <w:sz w:val="24"/>
          <w:szCs w:val="32"/>
        </w:rPr>
        <w:sectPr>
          <w:pgSz w:w="11900" w:h="16838"/>
          <w:pgMar w:top="1429" w:right="1417" w:bottom="1417" w:left="1417" w:header="850" w:footer="850" w:gutter="0"/>
          <w:cols w:space="720" w:num="1"/>
          <w:docGrid w:linePitch="326" w:charSpace="0"/>
        </w:sectPr>
      </w:pPr>
      <w:r>
        <w:rPr>
          <w:rFonts w:hint="eastAsia" w:asciiTheme="majorEastAsia" w:hAnsiTheme="majorEastAsia" w:eastAsiaTheme="majorEastAsia" w:cstheme="majorEastAsia"/>
          <w:sz w:val="24"/>
          <w:szCs w:val="32"/>
        </w:rPr>
        <w:t>2、未按合同要求提供产品质量不能满足技术要求，招标人有权终止合同，并对供方违约行为进行追究，同时按《中华人民共和国政府采购法》的有关规定进行处罚。</w:t>
      </w:r>
    </w:p>
    <w:p w14:paraId="489FC3D1">
      <w:pPr>
        <w:autoSpaceDE w:val="0"/>
        <w:autoSpaceDN w:val="0"/>
        <w:snapToGrid w:val="0"/>
        <w:spacing w:line="360" w:lineRule="auto"/>
        <w:jc w:val="center"/>
        <w:outlineLvl w:val="0"/>
        <w:rPr>
          <w:rFonts w:asciiTheme="majorEastAsia" w:hAnsiTheme="majorEastAsia" w:eastAsiaTheme="majorEastAsia" w:cstheme="majorEastAsia"/>
          <w:b/>
          <w:bCs/>
          <w:sz w:val="36"/>
          <w:szCs w:val="36"/>
        </w:rPr>
      </w:pPr>
      <w:bookmarkStart w:id="148" w:name="_Toc8998"/>
      <w:r>
        <w:rPr>
          <w:rFonts w:hint="eastAsia" w:asciiTheme="majorEastAsia" w:hAnsiTheme="majorEastAsia" w:eastAsiaTheme="majorEastAsia" w:cstheme="majorEastAsia"/>
          <w:b/>
          <w:bCs/>
          <w:sz w:val="36"/>
          <w:szCs w:val="36"/>
        </w:rPr>
        <w:t>第六章</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合同条款</w:t>
      </w:r>
      <w:bookmarkEnd w:id="148"/>
    </w:p>
    <w:p w14:paraId="6E15B3EF">
      <w:pPr>
        <w:spacing w:line="360" w:lineRule="auto"/>
        <w:ind w:firstLine="480" w:firstLineChars="200"/>
        <w:rPr>
          <w:rFonts w:hint="eastAsia" w:asciiTheme="majorEastAsia" w:hAnsiTheme="majorEastAsia" w:eastAsiaTheme="majorEastAsia" w:cstheme="majorEastAsia"/>
          <w:sz w:val="24"/>
        </w:rPr>
      </w:pPr>
      <w:bookmarkStart w:id="149" w:name="_Toc21443"/>
      <w:r>
        <w:rPr>
          <w:rFonts w:hint="eastAsia" w:asciiTheme="majorEastAsia" w:hAnsiTheme="majorEastAsia" w:eastAsiaTheme="majorEastAsia" w:cstheme="majorEastAsia"/>
          <w:sz w:val="24"/>
        </w:rPr>
        <w:t>甲 方 ：(前款所称采购人)      住 所 ：</w:t>
      </w:r>
    </w:p>
    <w:p w14:paraId="415E203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方： (前款所称中标人))     住所：</w:t>
      </w:r>
    </w:p>
    <w:p w14:paraId="3D41C29D">
      <w:pPr>
        <w:spacing w:line="360" w:lineRule="auto"/>
        <w:ind w:firstLine="480" w:firstLineChars="200"/>
        <w:rPr>
          <w:rFonts w:hint="eastAsia" w:asciiTheme="majorEastAsia" w:hAnsiTheme="majorEastAsia" w:eastAsiaTheme="majorEastAsia" w:cstheme="majorEastAsia"/>
          <w:sz w:val="24"/>
        </w:rPr>
      </w:pPr>
    </w:p>
    <w:p w14:paraId="503190A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一 、合同内容(标的、数量、质量等): </w:t>
      </w:r>
    </w:p>
    <w:p w14:paraId="30DFA3DC">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 、合同价款</w:t>
      </w:r>
    </w:p>
    <w:p w14:paraId="7013E1CD">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1、合同总价：</w:t>
      </w:r>
    </w:p>
    <w:p w14:paraId="337DA6DC">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2、合同总价包括：</w:t>
      </w:r>
    </w:p>
    <w:p w14:paraId="270F504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3、合同为固定总价合同，不受市场价变化的影响。 </w:t>
      </w:r>
    </w:p>
    <w:p w14:paraId="1D7A579F">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 、合同结算</w:t>
      </w:r>
    </w:p>
    <w:p w14:paraId="506B965D">
      <w:pPr>
        <w:numPr>
          <w:numId w:val="0"/>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付款比例：</w:t>
      </w:r>
    </w:p>
    <w:p w14:paraId="49609572">
      <w:pPr>
        <w:numPr>
          <w:numId w:val="0"/>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2、结算方式：银行转账。</w:t>
      </w:r>
    </w:p>
    <w:p w14:paraId="752C5B2E">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3、结算单位：由           负责结算，乙方开具合同总价数的全额发票交采购人。</w:t>
      </w:r>
    </w:p>
    <w:p w14:paraId="56FDF4ED">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四、履行期限、地点及方式：</w:t>
      </w:r>
    </w:p>
    <w:p w14:paraId="76D649BE">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1、履行期限：</w:t>
      </w:r>
    </w:p>
    <w:p w14:paraId="5DB74613">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2、地点：</w:t>
      </w:r>
    </w:p>
    <w:p w14:paraId="653D9842">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3、方式：</w:t>
      </w:r>
    </w:p>
    <w:p w14:paraId="2760356D">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五、技术服务</w:t>
      </w:r>
    </w:p>
    <w:p w14:paraId="190C1CB7">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1、对技术服务的要求：</w:t>
      </w:r>
    </w:p>
    <w:p w14:paraId="3AF366C5">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2、技术资料：</w:t>
      </w:r>
    </w:p>
    <w:p w14:paraId="5D156D62">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3、技术培训：</w:t>
      </w:r>
    </w:p>
    <w:p w14:paraId="267B8071">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3-1、培训内容： </w:t>
      </w:r>
    </w:p>
    <w:p w14:paraId="0B6007D1">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3-2、培训地点： </w:t>
      </w:r>
    </w:p>
    <w:p w14:paraId="1D5B7B1A">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3-3、培训时间： </w:t>
      </w:r>
    </w:p>
    <w:p w14:paraId="07FDABC4">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3-4、培训人数：</w:t>
      </w:r>
    </w:p>
    <w:p w14:paraId="5297DC6C">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3-5、培训费用：受训人员的食宿费、资料费、培训场地费、耗材(包括水电费等)费等已包含在合同总价中，甲方不再另行支付。</w:t>
      </w:r>
    </w:p>
    <w:p w14:paraId="48391ECC">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4、售后服务</w:t>
      </w:r>
    </w:p>
    <w:p w14:paraId="2C35DF9A">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4-1、乙方在接到甲方电话通知后在   小时内派出合格的服务人员到达现场进行服 务，承担相应费用。</w:t>
      </w:r>
    </w:p>
    <w:p w14:paraId="4CC1CD70">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4-2、如果乙方在收到通知后两天内没有弥补缺陷，甲方可采取必要的补救措施， 但其风险和费用将由乙方承担，甲方根据合同规定对乙方行使的其它权力不受影响。</w:t>
      </w:r>
    </w:p>
    <w:p w14:paraId="0097EB2F">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六 、验 收</w:t>
      </w:r>
    </w:p>
    <w:p w14:paraId="66F1A68C">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1、验收：乙方完成服务内容后，向甲方提出验收申请，甲方接到乙方验收申请后 组织验收(必要时可聘请相应专家或委托相应部门验收),验收合格后，出具使用验收 合格证明。</w:t>
      </w:r>
    </w:p>
    <w:p w14:paraId="27C397E8">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2、最终验收：最终验收结果作为付款依据，乙方填写验收单，并向甲方提交实施 过程中的所有资料，以便甲方日后管理和维护。</w:t>
      </w:r>
    </w:p>
    <w:p w14:paraId="06315486">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3、质保期满后：由乙方出具质保期运行质量报告，若存在质量问题，应按相应规 定协商处理。</w:t>
      </w:r>
    </w:p>
    <w:p w14:paraId="222EE9A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4、验收依据：</w:t>
      </w:r>
    </w:p>
    <w:p w14:paraId="350B923F">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4-1、合同文本、合同附件、招标文件、投标文件。 </w:t>
      </w:r>
    </w:p>
    <w:p w14:paraId="42B19D1A">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4-2、国内相应的标准、规范。</w:t>
      </w:r>
    </w:p>
    <w:p w14:paraId="1B949FCA">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七、违约责任</w:t>
      </w:r>
    </w:p>
    <w:p w14:paraId="0E34834F">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1、按《中华人民共和国民法典》中的相关条款执行。</w:t>
      </w:r>
    </w:p>
    <w:p w14:paraId="40A0EF09">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2、乙方履约延误</w:t>
      </w:r>
    </w:p>
    <w:p w14:paraId="25BA8651">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2-1、如乙方事先未征得甲方同意并得到甲方的谅解而单方面延迟执行合同，将按</w:t>
      </w:r>
    </w:p>
    <w:p w14:paraId="1C17DE50">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违约终止合同。</w:t>
      </w:r>
    </w:p>
    <w:p w14:paraId="5935B659">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2-2、在履行合同过程中，如果乙方遇到可能妨碍按时提供服务的情况，应及时以 书面形式将拖延的事实，可能拖延的期限和理由通知甲方。甲方在收到乙方通知后，应 尽快对情况进行评价，并确定是否通过修改合同，酌情延长交货时间或对乙方加收误期 赔偿金。每延误一周的赔偿费按合同金额的百分之零点五(0.5%)计收，直至提供服务 为止。误期赔偿费的最高限额为合同价格的百分之五(5%)。 一旦达到误期赔偿费的最 高限额，甲方可终止合同。</w:t>
      </w:r>
    </w:p>
    <w:p w14:paraId="562CC82D">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3、违约终止合同：未按合同要求提供服务或不能满足技术要求，甲方会同监督机 构有权终止合同，对乙方违约行为进行追究，同时按政府采购法的有关规定进行相应的</w:t>
      </w:r>
      <w:bookmarkStart w:id="150" w:name="bookmark10"/>
      <w:bookmarkEnd w:id="150"/>
      <w:r>
        <w:rPr>
          <w:rFonts w:hint="eastAsia" w:asciiTheme="majorEastAsia" w:hAnsiTheme="majorEastAsia" w:eastAsiaTheme="majorEastAsia" w:cstheme="majorEastAsia"/>
          <w:sz w:val="24"/>
        </w:rPr>
        <w:t>处罚 。</w:t>
      </w:r>
    </w:p>
    <w:p w14:paraId="0BB91EFD">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八 、 合同组成</w:t>
      </w:r>
    </w:p>
    <w:p w14:paraId="084E7E46">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1、中标通知书</w:t>
      </w:r>
    </w:p>
    <w:p w14:paraId="5ACB0AC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2、合同文件</w:t>
      </w:r>
    </w:p>
    <w:p w14:paraId="3A3A17E6">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3、国家相关规范及标准</w:t>
      </w:r>
    </w:p>
    <w:p w14:paraId="7C0C388D">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4、招标文件</w:t>
      </w:r>
    </w:p>
    <w:p w14:paraId="3BD7EEC2">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5、投标文件</w:t>
      </w:r>
    </w:p>
    <w:p w14:paraId="29626230">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九 、解决争议的方法</w:t>
      </w:r>
    </w:p>
    <w:p w14:paraId="57A341FE">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凡因本合同引起的或与本合同有关的争议，双方应友好协商解决。协商不成时，双 方均同意采用以下第(</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)种争议解决方式：</w:t>
      </w:r>
    </w:p>
    <w:p w14:paraId="15D090A4">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1、甲、乙双方均同意向(甲方所在地人民法院)提起诉讼。</w:t>
      </w:r>
    </w:p>
    <w:p w14:paraId="253CCCD2">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2、甲、乙双方均同意向(仲裁委员会)提起仲裁。</w:t>
      </w:r>
    </w:p>
    <w:p w14:paraId="63BA4711">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十、合同生效及其它</w:t>
      </w:r>
    </w:p>
    <w:p w14:paraId="3C9838B2">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1、合同未尽事宜、由甲、乙双方协商，作为合同补充，与原合同具有同等法律效力。</w:t>
      </w:r>
    </w:p>
    <w:p w14:paraId="7F07D90A">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本合同正本 一 式    分，甲方、乙方双方分别执     份，         备 案   份 。</w:t>
      </w:r>
    </w:p>
    <w:p w14:paraId="32C68279">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3、合同经甲乙双方盖章、签字后生效，合同签订地点为    </w:t>
      </w:r>
    </w:p>
    <w:p w14:paraId="2AB1BEBC">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4、生效时间：  年  月  日</w:t>
      </w:r>
    </w:p>
    <w:p w14:paraId="5A06975C">
      <w:pPr>
        <w:spacing w:line="360" w:lineRule="auto"/>
        <w:ind w:firstLine="480" w:firstLineChars="200"/>
        <w:rPr>
          <w:rFonts w:hint="eastAsia" w:asciiTheme="majorEastAsia" w:hAnsiTheme="majorEastAsia" w:eastAsiaTheme="majorEastAsia" w:cstheme="majorEastAsia"/>
          <w:sz w:val="24"/>
        </w:rPr>
      </w:pPr>
    </w:p>
    <w:p w14:paraId="07A31497">
      <w:pPr>
        <w:spacing w:line="360" w:lineRule="auto"/>
        <w:ind w:firstLine="480" w:firstLineChars="200"/>
        <w:rPr>
          <w:rFonts w:hint="eastAsia" w:asciiTheme="majorEastAsia" w:hAnsiTheme="majorEastAsia" w:eastAsiaTheme="majorEastAsia" w:cstheme="majorEastAsia"/>
          <w:sz w:val="24"/>
        </w:rPr>
      </w:pPr>
    </w:p>
    <w:p w14:paraId="300A1F9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甲方名称(盖章):                        乙 方 名 称 ( 盖 章 ) :</w:t>
      </w:r>
    </w:p>
    <w:p w14:paraId="5BAAF1B2">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 ：                                       地址 ：</w:t>
      </w:r>
    </w:p>
    <w:p w14:paraId="70F190E7">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代表人(签字):                       代表人(签字):</w:t>
      </w:r>
    </w:p>
    <w:p w14:paraId="16C5CFA4">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电话 ：                                       电话 ：</w:t>
      </w:r>
    </w:p>
    <w:p w14:paraId="211C214D">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开户银行：                                  开户银行：</w:t>
      </w:r>
    </w:p>
    <w:p w14:paraId="76967055">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账号 ：                                       账号 ：</w:t>
      </w:r>
    </w:p>
    <w:p w14:paraId="089296CD">
      <w:pPr>
        <w:spacing w:line="360" w:lineRule="auto"/>
        <w:ind w:firstLine="480" w:firstLineChars="200"/>
        <w:rPr>
          <w:rFonts w:hint="eastAsia" w:asciiTheme="majorEastAsia" w:hAnsiTheme="majorEastAsia" w:eastAsiaTheme="majorEastAsia" w:cstheme="majorEastAsia"/>
          <w:sz w:val="24"/>
        </w:rPr>
        <w:sectPr>
          <w:footerReference r:id="rId6" w:type="default"/>
          <w:pgSz w:w="11910" w:h="16840"/>
          <w:pgMar w:top="1431" w:right="1299" w:bottom="1174" w:left="1400" w:header="0" w:footer="1039" w:gutter="0"/>
          <w:cols w:space="720" w:num="1"/>
        </w:sectPr>
      </w:pPr>
    </w:p>
    <w:p w14:paraId="520A9E5E">
      <w:pPr>
        <w:spacing w:line="360" w:lineRule="auto"/>
        <w:ind w:firstLine="723" w:firstLineChars="200"/>
        <w:jc w:val="center"/>
        <w:outlineLvl w:val="0"/>
        <w:rPr>
          <w:rFonts w:asciiTheme="majorEastAsia" w:hAnsiTheme="majorEastAsia" w:eastAsiaTheme="majorEastAsia" w:cstheme="majorEastAsia"/>
          <w:b/>
          <w:bCs/>
          <w:sz w:val="36"/>
          <w:szCs w:val="36"/>
          <w:lang w:val="zh-CN"/>
        </w:rPr>
      </w:pPr>
      <w:r>
        <w:rPr>
          <w:rFonts w:hint="eastAsia" w:asciiTheme="majorEastAsia" w:hAnsiTheme="majorEastAsia" w:eastAsiaTheme="majorEastAsia" w:cstheme="majorEastAsia"/>
          <w:b/>
          <w:bCs/>
          <w:sz w:val="36"/>
          <w:szCs w:val="36"/>
          <w:lang w:val="zh-CN"/>
        </w:rPr>
        <w:t>第</w:t>
      </w:r>
      <w:r>
        <w:rPr>
          <w:rFonts w:hint="eastAsia" w:asciiTheme="majorEastAsia" w:hAnsiTheme="majorEastAsia" w:eastAsiaTheme="majorEastAsia" w:cstheme="majorEastAsia"/>
          <w:b/>
          <w:bCs/>
          <w:sz w:val="36"/>
          <w:szCs w:val="36"/>
        </w:rPr>
        <w:t>七</w:t>
      </w:r>
      <w:r>
        <w:rPr>
          <w:rFonts w:hint="eastAsia" w:asciiTheme="majorEastAsia" w:hAnsiTheme="majorEastAsia" w:eastAsiaTheme="majorEastAsia" w:cstheme="majorEastAsia"/>
          <w:b/>
          <w:bCs/>
          <w:sz w:val="36"/>
          <w:szCs w:val="36"/>
          <w:lang w:val="zh-CN"/>
        </w:rPr>
        <w:t>章</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lang w:val="zh-CN"/>
        </w:rPr>
        <w:t>投标文件基本格式</w:t>
      </w:r>
      <w:bookmarkEnd w:id="149"/>
    </w:p>
    <w:p w14:paraId="4FA72C40">
      <w:pPr>
        <w:pStyle w:val="44"/>
        <w:snapToGrid w:val="0"/>
        <w:spacing w:line="360" w:lineRule="auto"/>
        <w:ind w:left="0" w:firstLine="0"/>
        <w:outlineLvl w:val="9"/>
        <w:rPr>
          <w:rFonts w:asciiTheme="majorEastAsia" w:hAnsiTheme="majorEastAsia" w:eastAsiaTheme="majorEastAsia" w:cstheme="majorEastAsia"/>
          <w:color w:val="auto"/>
          <w:sz w:val="24"/>
        </w:rPr>
      </w:pPr>
      <w:bookmarkStart w:id="151" w:name="_Toc174185202"/>
      <w:bookmarkStart w:id="152" w:name="_Toc86202633"/>
      <w:r>
        <w:rPr>
          <w:rFonts w:hint="eastAsia" w:asciiTheme="majorEastAsia" w:hAnsiTheme="majorEastAsia" w:eastAsiaTheme="majorEastAsia" w:cstheme="majorEastAsia"/>
          <w:color w:val="auto"/>
          <w:sz w:val="24"/>
        </w:rPr>
        <w:t>投标人提交文件须知</w:t>
      </w:r>
      <w:bookmarkEnd w:id="151"/>
      <w:bookmarkEnd w:id="152"/>
    </w:p>
    <w:p w14:paraId="17BF735A">
      <w:pPr>
        <w:numPr>
          <w:ilvl w:val="0"/>
          <w:numId w:val="4"/>
        </w:numPr>
        <w:tabs>
          <w:tab w:val="left" w:pos="0"/>
          <w:tab w:val="left" w:pos="806"/>
        </w:tabs>
        <w:snapToGrid w:val="0"/>
        <w:spacing w:line="360" w:lineRule="auto"/>
        <w:ind w:left="824" w:hanging="368"/>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投标人应严格按照招标文件填写和提交下述规定的全部格式文件以及其他有关资料，混乱的编排导致投标文件被误读或查找不到，后果由投标人承担。</w:t>
      </w:r>
    </w:p>
    <w:p w14:paraId="497EB01B">
      <w:pPr>
        <w:numPr>
          <w:ilvl w:val="0"/>
          <w:numId w:val="4"/>
        </w:numPr>
        <w:tabs>
          <w:tab w:val="left" w:pos="0"/>
          <w:tab w:val="left" w:pos="806"/>
        </w:tabs>
        <w:snapToGrid w:val="0"/>
        <w:spacing w:line="360" w:lineRule="auto"/>
        <w:ind w:left="824" w:hanging="368"/>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所附表格中要求回答的全部问题和信息都必须正面回答。</w:t>
      </w:r>
    </w:p>
    <w:p w14:paraId="1872BEC6">
      <w:pPr>
        <w:numPr>
          <w:ilvl w:val="0"/>
          <w:numId w:val="4"/>
        </w:numPr>
        <w:tabs>
          <w:tab w:val="left" w:pos="0"/>
          <w:tab w:val="left" w:pos="806"/>
        </w:tabs>
        <w:snapToGrid w:val="0"/>
        <w:spacing w:line="360" w:lineRule="auto"/>
        <w:ind w:left="824" w:hanging="368"/>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评标委员会将应用投标人提交的资料并根据自己的判断，决定投标人履行合同的合格性及能力。</w:t>
      </w:r>
    </w:p>
    <w:p w14:paraId="7EC8D23E">
      <w:pPr>
        <w:numPr>
          <w:ilvl w:val="0"/>
          <w:numId w:val="4"/>
        </w:numPr>
        <w:tabs>
          <w:tab w:val="left" w:pos="0"/>
          <w:tab w:val="left" w:pos="806"/>
        </w:tabs>
        <w:snapToGrid w:val="0"/>
        <w:spacing w:line="360" w:lineRule="auto"/>
        <w:ind w:left="824" w:hanging="368"/>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投标人提交的材料将被妥善保存，但不退还。</w:t>
      </w:r>
    </w:p>
    <w:p w14:paraId="4EC894E3">
      <w:pPr>
        <w:numPr>
          <w:ilvl w:val="0"/>
          <w:numId w:val="4"/>
        </w:numPr>
        <w:tabs>
          <w:tab w:val="left" w:pos="0"/>
          <w:tab w:val="left" w:pos="806"/>
        </w:tabs>
        <w:snapToGrid w:val="0"/>
        <w:spacing w:line="360" w:lineRule="auto"/>
        <w:ind w:left="824" w:hanging="368"/>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全部文件应按投标人须知中规定的语言和份数提交。</w:t>
      </w:r>
    </w:p>
    <w:p w14:paraId="096E6061">
      <w:pPr>
        <w:autoSpaceDE w:val="0"/>
        <w:autoSpaceDN w:val="0"/>
        <w:snapToGrid w:val="0"/>
        <w:spacing w:line="360" w:lineRule="auto"/>
        <w:jc w:val="righ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4"/>
        </w:rPr>
        <w:br w:type="page"/>
      </w:r>
    </w:p>
    <w:p w14:paraId="7D2988A7">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项目编号：</w:t>
      </w:r>
    </w:p>
    <w:p w14:paraId="78CCAE15">
      <w:pPr>
        <w:pStyle w:val="42"/>
        <w:rPr>
          <w:rFonts w:asciiTheme="majorEastAsia" w:hAnsiTheme="majorEastAsia" w:eastAsiaTheme="majorEastAsia" w:cstheme="majorEastAsia"/>
        </w:rPr>
      </w:pPr>
    </w:p>
    <w:p w14:paraId="01CA94FC">
      <w:pPr>
        <w:autoSpaceDE w:val="0"/>
        <w:autoSpaceDN w:val="0"/>
        <w:snapToGrid w:val="0"/>
        <w:spacing w:line="360" w:lineRule="auto"/>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正（副）本</w:t>
      </w:r>
    </w:p>
    <w:p w14:paraId="1D37AB2E">
      <w:pPr>
        <w:pStyle w:val="10"/>
        <w:rPr>
          <w:rFonts w:asciiTheme="majorEastAsia" w:hAnsiTheme="majorEastAsia" w:eastAsiaTheme="majorEastAsia" w:cstheme="majorEastAsia"/>
        </w:rPr>
      </w:pPr>
    </w:p>
    <w:p w14:paraId="2DAF2537">
      <w:pPr>
        <w:pStyle w:val="10"/>
        <w:rPr>
          <w:rFonts w:asciiTheme="majorEastAsia" w:hAnsiTheme="majorEastAsia" w:eastAsiaTheme="majorEastAsia" w:cstheme="majorEastAsia"/>
        </w:rPr>
      </w:pPr>
    </w:p>
    <w:p w14:paraId="1574B9CA">
      <w:pPr>
        <w:pStyle w:val="4"/>
        <w:ind w:firstLine="400"/>
        <w:rPr>
          <w:rFonts w:asciiTheme="majorEastAsia" w:hAnsiTheme="majorEastAsia" w:eastAsiaTheme="majorEastAsia" w:cstheme="majorEastAsia"/>
        </w:rPr>
      </w:pPr>
    </w:p>
    <w:p w14:paraId="292901F2">
      <w:pPr>
        <w:spacing w:line="20" w:lineRule="atLeast"/>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子洲县马蹄沟镇人民政府关于马蹄沟镇吉利坪村数字乡村建设工程的采购项目</w:t>
      </w:r>
    </w:p>
    <w:p w14:paraId="77566E0A">
      <w:pPr>
        <w:rPr>
          <w:rFonts w:asciiTheme="majorEastAsia" w:hAnsiTheme="majorEastAsia" w:eastAsiaTheme="majorEastAsia" w:cstheme="majorEastAsia"/>
        </w:rPr>
      </w:pPr>
    </w:p>
    <w:p w14:paraId="2D9752B4">
      <w:pPr>
        <w:pStyle w:val="42"/>
        <w:ind w:firstLine="1440"/>
        <w:rPr>
          <w:rFonts w:asciiTheme="majorEastAsia" w:hAnsiTheme="majorEastAsia" w:eastAsiaTheme="majorEastAsia" w:cstheme="majorEastAsia"/>
          <w:sz w:val="72"/>
          <w:szCs w:val="72"/>
        </w:rPr>
      </w:pPr>
    </w:p>
    <w:p w14:paraId="699BF0D8">
      <w:pPr>
        <w:pStyle w:val="42"/>
        <w:ind w:firstLine="1440"/>
        <w:rPr>
          <w:rFonts w:asciiTheme="majorEastAsia" w:hAnsiTheme="majorEastAsia" w:eastAsiaTheme="majorEastAsia" w:cstheme="majorEastAsia"/>
          <w:sz w:val="72"/>
          <w:szCs w:val="72"/>
        </w:rPr>
      </w:pPr>
    </w:p>
    <w:p w14:paraId="0A31A24B">
      <w:pPr>
        <w:pStyle w:val="4"/>
        <w:ind w:firstLine="400"/>
        <w:rPr>
          <w:rFonts w:asciiTheme="majorEastAsia" w:hAnsiTheme="majorEastAsia" w:eastAsiaTheme="majorEastAsia" w:cstheme="majorEastAsia"/>
        </w:rPr>
      </w:pPr>
    </w:p>
    <w:p w14:paraId="46116411">
      <w:pPr>
        <w:spacing w:line="20" w:lineRule="atLeast"/>
        <w:jc w:val="center"/>
        <w:rPr>
          <w:rFonts w:asciiTheme="majorEastAsia" w:hAnsiTheme="majorEastAsia" w:eastAsiaTheme="majorEastAsia" w:cstheme="majorEastAsia"/>
          <w:bCs/>
          <w:sz w:val="72"/>
          <w:szCs w:val="72"/>
        </w:rPr>
      </w:pPr>
      <w:r>
        <w:rPr>
          <w:rFonts w:hint="eastAsia" w:asciiTheme="majorEastAsia" w:hAnsiTheme="majorEastAsia" w:eastAsiaTheme="majorEastAsia" w:cstheme="majorEastAsia"/>
          <w:sz w:val="72"/>
          <w:szCs w:val="72"/>
        </w:rPr>
        <w:t>投 标 文 件</w:t>
      </w:r>
    </w:p>
    <w:p w14:paraId="726767C1">
      <w:pPr>
        <w:spacing w:line="20" w:lineRule="atLeast"/>
        <w:jc w:val="center"/>
        <w:rPr>
          <w:rFonts w:asciiTheme="majorEastAsia" w:hAnsiTheme="majorEastAsia" w:eastAsiaTheme="majorEastAsia" w:cstheme="majorEastAsia"/>
          <w:b/>
          <w:sz w:val="36"/>
        </w:rPr>
      </w:pPr>
    </w:p>
    <w:p w14:paraId="3706BB9D">
      <w:pPr>
        <w:spacing w:line="20" w:lineRule="atLeast"/>
        <w:jc w:val="center"/>
        <w:rPr>
          <w:rFonts w:asciiTheme="majorEastAsia" w:hAnsiTheme="majorEastAsia" w:eastAsiaTheme="majorEastAsia" w:cstheme="majorEastAsia"/>
          <w:b/>
          <w:sz w:val="36"/>
        </w:rPr>
      </w:pPr>
    </w:p>
    <w:p w14:paraId="4E562C78">
      <w:pPr>
        <w:spacing w:line="20" w:lineRule="atLeast"/>
        <w:rPr>
          <w:rFonts w:asciiTheme="majorEastAsia" w:hAnsiTheme="majorEastAsia" w:eastAsiaTheme="majorEastAsia" w:cstheme="majorEastAsia"/>
          <w:b/>
          <w:sz w:val="36"/>
        </w:rPr>
      </w:pPr>
    </w:p>
    <w:p w14:paraId="0EA0AA80">
      <w:pPr>
        <w:adjustRightInd w:val="0"/>
        <w:snapToGrid w:val="0"/>
        <w:spacing w:line="1000" w:lineRule="exact"/>
        <w:ind w:firstLine="1576"/>
        <w:rPr>
          <w:rFonts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b/>
          <w:bCs/>
          <w:sz w:val="32"/>
          <w:szCs w:val="32"/>
        </w:rPr>
        <w:t>投 标 人（盖章）</w:t>
      </w:r>
      <w:r>
        <w:rPr>
          <w:rFonts w:hint="eastAsia" w:asciiTheme="majorEastAsia" w:hAnsiTheme="majorEastAsia" w:eastAsiaTheme="majorEastAsia" w:cstheme="majorEastAsia"/>
          <w:b/>
          <w:sz w:val="32"/>
          <w:szCs w:val="32"/>
        </w:rPr>
        <w:t>：</w:t>
      </w:r>
    </w:p>
    <w:p w14:paraId="0B13BEB9">
      <w:pPr>
        <w:adjustRightInd w:val="0"/>
        <w:snapToGrid w:val="0"/>
        <w:spacing w:line="1000" w:lineRule="exact"/>
        <w:ind w:firstLine="1576"/>
        <w:rPr>
          <w:rFonts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b/>
          <w:bCs/>
          <w:sz w:val="32"/>
          <w:szCs w:val="32"/>
        </w:rPr>
        <w:t>法人或委托人（签字或盖章）：</w:t>
      </w:r>
    </w:p>
    <w:p w14:paraId="25E575B8">
      <w:pPr>
        <w:adjustRightInd w:val="0"/>
        <w:snapToGrid w:val="0"/>
        <w:spacing w:line="1000" w:lineRule="exact"/>
        <w:ind w:firstLine="1576"/>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sz w:val="32"/>
          <w:szCs w:val="32"/>
        </w:rPr>
        <w:t>日    期</w:t>
      </w:r>
      <w:r>
        <w:rPr>
          <w:rFonts w:hint="eastAsia" w:asciiTheme="majorEastAsia" w:hAnsiTheme="majorEastAsia" w:eastAsiaTheme="majorEastAsia" w:cstheme="majorEastAsia"/>
          <w:sz w:val="32"/>
          <w:szCs w:val="32"/>
        </w:rPr>
        <w:t>：</w:t>
      </w:r>
    </w:p>
    <w:p w14:paraId="5AD5F3A5">
      <w:pPr>
        <w:rPr>
          <w:rFonts w:asciiTheme="majorEastAsia" w:hAnsiTheme="majorEastAsia" w:eastAsiaTheme="majorEastAsia" w:cstheme="majorEastAsia"/>
          <w:b/>
          <w:sz w:val="48"/>
          <w:szCs w:val="48"/>
        </w:rPr>
      </w:pPr>
    </w:p>
    <w:p w14:paraId="30C9035C">
      <w:pPr>
        <w:jc w:val="center"/>
        <w:rPr>
          <w:rFonts w:asciiTheme="majorEastAsia" w:hAnsiTheme="majorEastAsia" w:eastAsiaTheme="majorEastAsia" w:cstheme="majorEastAsia"/>
          <w:b/>
          <w:sz w:val="48"/>
          <w:szCs w:val="48"/>
        </w:rPr>
      </w:pPr>
    </w:p>
    <w:p w14:paraId="76811A2E">
      <w:pPr>
        <w:rPr>
          <w:rFonts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br w:type="page"/>
      </w:r>
    </w:p>
    <w:p w14:paraId="552365CF">
      <w:pPr>
        <w:jc w:val="center"/>
        <w:rPr>
          <w:rFonts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目  录</w:t>
      </w:r>
    </w:p>
    <w:p w14:paraId="64174CBA">
      <w:pPr>
        <w:adjustRightInd w:val="0"/>
        <w:spacing w:line="480" w:lineRule="exact"/>
        <w:ind w:firstLine="1606" w:firstLineChars="500"/>
        <w:textAlignment w:val="baseline"/>
        <w:rPr>
          <w:rFonts w:asciiTheme="majorEastAsia" w:hAnsiTheme="majorEastAsia" w:eastAsiaTheme="majorEastAsia" w:cstheme="majorEastAsia"/>
          <w:b/>
          <w:sz w:val="32"/>
          <w:szCs w:val="32"/>
        </w:rPr>
      </w:pPr>
    </w:p>
    <w:p w14:paraId="05CDB4A1">
      <w:pPr>
        <w:pStyle w:val="42"/>
        <w:ind w:firstLine="4080" w:firstLineChars="17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（自拟）</w:t>
      </w:r>
    </w:p>
    <w:p w14:paraId="488F80DB">
      <w:pPr>
        <w:pStyle w:val="17"/>
        <w:rPr>
          <w:rFonts w:asciiTheme="majorEastAsia" w:hAnsiTheme="majorEastAsia" w:eastAsiaTheme="majorEastAsia" w:cstheme="majorEastAsia"/>
          <w:b/>
          <w:bCs/>
          <w:kern w:val="2"/>
          <w:sz w:val="24"/>
          <w:szCs w:val="24"/>
        </w:rPr>
      </w:pPr>
    </w:p>
    <w:p w14:paraId="49D8AC7B">
      <w:pPr>
        <w:autoSpaceDE w:val="0"/>
        <w:autoSpaceDN w:val="0"/>
        <w:adjustRightInd w:val="0"/>
        <w:snapToGrid w:val="0"/>
        <w:spacing w:beforeLines="100" w:afterLines="50" w:line="480" w:lineRule="exact"/>
        <w:textAlignment w:val="baseline"/>
        <w:rPr>
          <w:rFonts w:asciiTheme="majorEastAsia" w:hAnsiTheme="majorEastAsia" w:eastAsiaTheme="majorEastAsia" w:cstheme="majorEastAsia"/>
          <w:b/>
          <w:bCs/>
          <w:sz w:val="32"/>
          <w:szCs w:val="32"/>
        </w:rPr>
      </w:pPr>
    </w:p>
    <w:p w14:paraId="58A06E55">
      <w:pPr>
        <w:autoSpaceDE w:val="0"/>
        <w:autoSpaceDN w:val="0"/>
        <w:snapToGrid w:val="0"/>
        <w:spacing w:beforeLines="100" w:afterLines="50" w:line="600" w:lineRule="exact"/>
        <w:rPr>
          <w:rFonts w:asciiTheme="majorEastAsia" w:hAnsiTheme="majorEastAsia" w:eastAsiaTheme="majorEastAsia" w:cstheme="majorEastAsia"/>
          <w:b/>
          <w:sz w:val="32"/>
          <w:szCs w:val="32"/>
        </w:rPr>
      </w:pPr>
    </w:p>
    <w:p w14:paraId="146291BE">
      <w:pPr>
        <w:autoSpaceDE w:val="0"/>
        <w:autoSpaceDN w:val="0"/>
        <w:snapToGrid w:val="0"/>
        <w:spacing w:beforeLines="100" w:afterLines="50" w:line="600" w:lineRule="exact"/>
        <w:rPr>
          <w:rFonts w:asciiTheme="majorEastAsia" w:hAnsiTheme="majorEastAsia" w:eastAsiaTheme="majorEastAsia" w:cstheme="majorEastAsia"/>
          <w:b/>
          <w:sz w:val="32"/>
          <w:szCs w:val="32"/>
        </w:rPr>
      </w:pPr>
    </w:p>
    <w:p w14:paraId="7E124971">
      <w:pPr>
        <w:autoSpaceDE w:val="0"/>
        <w:autoSpaceDN w:val="0"/>
        <w:snapToGrid w:val="0"/>
        <w:spacing w:beforeLines="100" w:afterLines="50" w:line="600" w:lineRule="exact"/>
        <w:rPr>
          <w:rFonts w:asciiTheme="majorEastAsia" w:hAnsiTheme="majorEastAsia" w:eastAsiaTheme="majorEastAsia" w:cstheme="majorEastAsia"/>
          <w:b/>
          <w:sz w:val="32"/>
          <w:szCs w:val="32"/>
        </w:rPr>
      </w:pPr>
    </w:p>
    <w:p w14:paraId="6FB3B3E3">
      <w:pPr>
        <w:autoSpaceDE w:val="0"/>
        <w:autoSpaceDN w:val="0"/>
        <w:snapToGrid w:val="0"/>
        <w:spacing w:beforeLines="100" w:afterLines="50" w:line="600" w:lineRule="exact"/>
        <w:rPr>
          <w:rFonts w:asciiTheme="majorEastAsia" w:hAnsiTheme="majorEastAsia" w:eastAsiaTheme="majorEastAsia" w:cstheme="majorEastAsia"/>
          <w:b/>
          <w:sz w:val="32"/>
          <w:szCs w:val="32"/>
        </w:rPr>
      </w:pPr>
    </w:p>
    <w:p w14:paraId="4FB2D9D0">
      <w:pPr>
        <w:autoSpaceDE w:val="0"/>
        <w:autoSpaceDN w:val="0"/>
        <w:snapToGrid w:val="0"/>
        <w:spacing w:beforeLines="100" w:afterLines="50" w:line="600" w:lineRule="exact"/>
        <w:jc w:val="center"/>
        <w:rPr>
          <w:rFonts w:asciiTheme="majorEastAsia" w:hAnsiTheme="majorEastAsia" w:eastAsiaTheme="majorEastAsia" w:cstheme="majorEastAsia"/>
          <w:b/>
          <w:sz w:val="32"/>
          <w:szCs w:val="32"/>
        </w:rPr>
      </w:pPr>
    </w:p>
    <w:p w14:paraId="5822ECEB">
      <w:pPr>
        <w:autoSpaceDE w:val="0"/>
        <w:autoSpaceDN w:val="0"/>
        <w:snapToGrid w:val="0"/>
        <w:spacing w:beforeLines="100" w:afterLines="50" w:line="600" w:lineRule="exact"/>
        <w:jc w:val="center"/>
        <w:rPr>
          <w:rFonts w:asciiTheme="majorEastAsia" w:hAnsiTheme="majorEastAsia" w:eastAsiaTheme="majorEastAsia" w:cstheme="majorEastAsia"/>
          <w:b/>
          <w:sz w:val="32"/>
          <w:szCs w:val="32"/>
        </w:rPr>
      </w:pPr>
    </w:p>
    <w:p w14:paraId="123AFDE2">
      <w:pPr>
        <w:autoSpaceDE w:val="0"/>
        <w:autoSpaceDN w:val="0"/>
        <w:snapToGrid w:val="0"/>
        <w:spacing w:beforeLines="100" w:afterLines="50" w:line="600" w:lineRule="exact"/>
        <w:jc w:val="center"/>
        <w:rPr>
          <w:rFonts w:asciiTheme="majorEastAsia" w:hAnsiTheme="majorEastAsia" w:eastAsiaTheme="majorEastAsia" w:cstheme="majorEastAsia"/>
          <w:b/>
          <w:sz w:val="32"/>
          <w:szCs w:val="32"/>
        </w:rPr>
        <w:sectPr>
          <w:pgSz w:w="11906" w:h="16838"/>
          <w:pgMar w:top="1440" w:right="1449" w:bottom="1440" w:left="1417" w:header="851" w:footer="992" w:gutter="0"/>
          <w:cols w:space="720" w:num="1"/>
          <w:docGrid w:type="lines" w:linePitch="312" w:charSpace="0"/>
        </w:sectPr>
      </w:pPr>
    </w:p>
    <w:p w14:paraId="1BA3142C">
      <w:pPr>
        <w:autoSpaceDE w:val="0"/>
        <w:autoSpaceDN w:val="0"/>
        <w:snapToGrid w:val="0"/>
        <w:spacing w:beforeLines="100" w:afterLines="50" w:line="600" w:lineRule="exac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一、投标函</w:t>
      </w:r>
    </w:p>
    <w:p w14:paraId="5F4C527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陕西华旭晟信项目管理有限责任公司：</w:t>
      </w:r>
    </w:p>
    <w:p w14:paraId="3B4471EB">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我们收到编号</w:t>
      </w:r>
      <w:r>
        <w:rPr>
          <w:rFonts w:hint="eastAsia" w:asciiTheme="majorEastAsia" w:hAnsiTheme="majorEastAsia" w:eastAsiaTheme="majorEastAsia" w:cstheme="majorEastAsia"/>
          <w:spacing w:val="4"/>
          <w:sz w:val="24"/>
          <w:lang w:val="en-US" w:eastAsia="zh-CN"/>
        </w:rPr>
        <w:t>为</w:t>
      </w:r>
      <w:r>
        <w:rPr>
          <w:rFonts w:hint="eastAsia" w:asciiTheme="majorEastAsia" w:hAnsiTheme="majorEastAsia" w:eastAsiaTheme="majorEastAsia" w:cstheme="majorEastAsia"/>
          <w:spacing w:val="4"/>
          <w:sz w:val="24"/>
          <w:u w:val="single"/>
          <w:lang w:val="en-US" w:eastAsia="zh-CN"/>
        </w:rPr>
        <w:t xml:space="preserve">          （项目编号） </w:t>
      </w:r>
      <w:r>
        <w:rPr>
          <w:rFonts w:hint="eastAsia" w:asciiTheme="majorEastAsia" w:hAnsiTheme="majorEastAsia" w:eastAsiaTheme="majorEastAsia" w:cstheme="majorEastAsia"/>
          <w:spacing w:val="4"/>
          <w:sz w:val="24"/>
        </w:rPr>
        <w:t>的招标文件，</w:t>
      </w:r>
      <w:r>
        <w:rPr>
          <w:rFonts w:hint="eastAsia" w:asciiTheme="majorEastAsia" w:hAnsiTheme="majorEastAsia" w:eastAsiaTheme="majorEastAsia" w:cstheme="majorEastAsia"/>
          <w:sz w:val="24"/>
        </w:rPr>
        <w:t>经过对施工现场的踏勘及澄清疑问，已充分理解并掌握了本项目招标的全部有关情况，我们同意接受招标文件的全部内容和条件，并按此确定本项目投标的要约内容，以本投标文件向你方发包</w:t>
      </w:r>
      <w:r>
        <w:rPr>
          <w:rFonts w:hint="eastAsia" w:asciiTheme="majorEastAsia" w:hAnsiTheme="majorEastAsia" w:eastAsiaTheme="majorEastAsia" w:cstheme="majorEastAsia"/>
          <w:spacing w:val="4"/>
          <w:sz w:val="24"/>
        </w:rPr>
        <w:t>的</w:t>
      </w:r>
      <w:r>
        <w:rPr>
          <w:rFonts w:hint="eastAsia" w:asciiTheme="majorEastAsia" w:hAnsiTheme="majorEastAsia" w:eastAsiaTheme="majorEastAsia" w:cstheme="majorEastAsia"/>
          <w:spacing w:val="4"/>
          <w:sz w:val="24"/>
          <w:u w:val="single"/>
          <w:lang w:val="en-US" w:eastAsia="zh-CN"/>
        </w:rPr>
        <w:t xml:space="preserve">         （项目名称）</w:t>
      </w:r>
      <w:r>
        <w:rPr>
          <w:rFonts w:hint="eastAsia" w:asciiTheme="majorEastAsia" w:hAnsiTheme="majorEastAsia" w:eastAsiaTheme="majorEastAsia" w:cstheme="majorEastAsia"/>
          <w:spacing w:val="4"/>
          <w:sz w:val="24"/>
        </w:rPr>
        <w:t>公开招标的全</w:t>
      </w:r>
      <w:r>
        <w:rPr>
          <w:rFonts w:hint="eastAsia" w:asciiTheme="majorEastAsia" w:hAnsiTheme="majorEastAsia" w:eastAsiaTheme="majorEastAsia" w:cstheme="majorEastAsia"/>
          <w:sz w:val="24"/>
        </w:rPr>
        <w:t>部内容进行投标。</w:t>
      </w:r>
    </w:p>
    <w:p w14:paraId="0169AD5C">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1、本文件的所有内容，组成了我们的投标文件，并且该文件内的所有内容都是真实的。</w:t>
      </w:r>
    </w:p>
    <w:p w14:paraId="17CFECA0">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2、我们与招标人不存在可能影响招标公正性的利害关系。我们单位负责人与其它投标人不是同一人，也不存在控股</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4"/>
          <w:sz w:val="24"/>
        </w:rPr>
        <w:t>管理关系。</w:t>
      </w:r>
    </w:p>
    <w:p w14:paraId="18B508A8">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3、我们完全同意招标文件规定的招标程序及评标方法，我们完全接受并认同招标文件（包括合同条款）的全部内容，愿意遵守招标文件中的各项规定。</w:t>
      </w:r>
    </w:p>
    <w:p w14:paraId="71024069">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4、我方将严格按照有关政府采购法规及招标文件的规定参加投标。如我方中标，我方保证在接到你方发出的中标通知书起</w:t>
      </w:r>
      <w:r>
        <w:rPr>
          <w:rFonts w:hint="eastAsia" w:asciiTheme="majorEastAsia" w:hAnsiTheme="majorEastAsia" w:eastAsiaTheme="majorEastAsia" w:cstheme="majorEastAsia"/>
          <w:spacing w:val="4"/>
          <w:sz w:val="24"/>
          <w:u w:val="single"/>
        </w:rPr>
        <w:t>10</w:t>
      </w:r>
      <w:r>
        <w:rPr>
          <w:rFonts w:hint="eastAsia" w:asciiTheme="majorEastAsia" w:hAnsiTheme="majorEastAsia" w:eastAsiaTheme="majorEastAsia" w:cstheme="majorEastAsia"/>
          <w:spacing w:val="4"/>
          <w:sz w:val="24"/>
        </w:rPr>
        <w:t>日内，按中标通知书、招标文件和本投标书的约定与招标人签订合同。</w:t>
      </w:r>
    </w:p>
    <w:p w14:paraId="4C011B7F">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5、 经认真考虑和详细计算，我们在此报出最优惠的价格参与竞争(详见《投标报价表》)。</w:t>
      </w:r>
    </w:p>
    <w:p w14:paraId="0D01935D">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6、对于招标人要求进一步提供的其它资料，我们愿意尽快提供或答复。</w:t>
      </w:r>
    </w:p>
    <w:p w14:paraId="5092D8D9">
      <w:pPr>
        <w:spacing w:line="360" w:lineRule="auto"/>
        <w:ind w:firstLine="496" w:firstLineChars="200"/>
        <w:rPr>
          <w:rFonts w:asciiTheme="majorEastAsia" w:hAnsiTheme="majorEastAsia" w:eastAsiaTheme="majorEastAsia" w:cstheme="majorEastAsia"/>
          <w:spacing w:val="4"/>
          <w:sz w:val="24"/>
          <w:u w:val="single"/>
        </w:rPr>
      </w:pPr>
      <w:r>
        <w:rPr>
          <w:rFonts w:hint="eastAsia" w:asciiTheme="majorEastAsia" w:hAnsiTheme="majorEastAsia" w:eastAsiaTheme="majorEastAsia" w:cstheme="majorEastAsia"/>
          <w:spacing w:val="4"/>
          <w:sz w:val="24"/>
        </w:rPr>
        <w:t>7、投标有效期为：</w:t>
      </w:r>
      <w:r>
        <w:rPr>
          <w:rFonts w:hint="eastAsia" w:asciiTheme="majorEastAsia" w:hAnsiTheme="majorEastAsia" w:eastAsiaTheme="majorEastAsia" w:cstheme="majorEastAsia"/>
          <w:spacing w:val="4"/>
          <w:sz w:val="24"/>
          <w:u w:val="single"/>
          <w:lang w:val="en-US" w:eastAsia="zh-CN"/>
        </w:rPr>
        <w:t xml:space="preserve">              </w:t>
      </w:r>
      <w:r>
        <w:rPr>
          <w:rFonts w:hint="eastAsia" w:asciiTheme="majorEastAsia" w:hAnsiTheme="majorEastAsia" w:eastAsiaTheme="majorEastAsia" w:cstheme="majorEastAsia"/>
          <w:spacing w:val="4"/>
          <w:sz w:val="24"/>
        </w:rPr>
        <w:t>天。</w:t>
      </w:r>
    </w:p>
    <w:p w14:paraId="6CCA6504">
      <w:pPr>
        <w:spacing w:line="360" w:lineRule="auto"/>
        <w:ind w:firstLine="496" w:firstLineChars="20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8、所有关于本次投标的函电联系，请寄到下列地址：</w:t>
      </w:r>
    </w:p>
    <w:p w14:paraId="226EE257">
      <w:pPr>
        <w:pStyle w:val="17"/>
        <w:rPr>
          <w:rFonts w:asciiTheme="majorEastAsia" w:hAnsiTheme="majorEastAsia" w:eastAsiaTheme="majorEastAsia" w:cstheme="majorEastAsia"/>
        </w:rPr>
      </w:pPr>
    </w:p>
    <w:p w14:paraId="3FE8CDCE">
      <w:pPr>
        <w:spacing w:line="400" w:lineRule="exact"/>
        <w:ind w:firstLine="620" w:firstLineChars="250"/>
        <w:rPr>
          <w:rFonts w:asciiTheme="majorEastAsia" w:hAnsiTheme="majorEastAsia" w:eastAsiaTheme="majorEastAsia" w:cstheme="majorEastAsia"/>
          <w:spacing w:val="4"/>
          <w:sz w:val="24"/>
          <w:u w:val="single"/>
        </w:rPr>
      </w:pPr>
      <w:r>
        <w:rPr>
          <w:rFonts w:hint="eastAsia" w:asciiTheme="majorEastAsia" w:hAnsiTheme="majorEastAsia" w:eastAsiaTheme="majorEastAsia" w:cstheme="majorEastAsia"/>
          <w:spacing w:val="4"/>
          <w:sz w:val="24"/>
        </w:rPr>
        <w:t>投 标 人 （公章）：</w:t>
      </w:r>
      <w:r>
        <w:rPr>
          <w:rFonts w:hint="eastAsia" w:asciiTheme="majorEastAsia" w:hAnsiTheme="majorEastAsia" w:eastAsiaTheme="majorEastAsia" w:cstheme="majorEastAsia"/>
          <w:spacing w:val="4"/>
          <w:sz w:val="24"/>
          <w:u w:val="single"/>
          <w:lang w:val="en-US" w:eastAsia="zh-CN"/>
        </w:rPr>
        <w:t xml:space="preserve">                             </w:t>
      </w:r>
    </w:p>
    <w:p w14:paraId="06C5DE8D">
      <w:pPr>
        <w:spacing w:line="400" w:lineRule="exact"/>
        <w:ind w:firstLine="620" w:firstLineChars="25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地   址 / 邮   编：</w:t>
      </w:r>
      <w:r>
        <w:rPr>
          <w:rFonts w:hint="eastAsia" w:asciiTheme="majorEastAsia" w:hAnsiTheme="majorEastAsia" w:eastAsiaTheme="majorEastAsia" w:cstheme="majorEastAsia"/>
          <w:spacing w:val="4"/>
          <w:sz w:val="24"/>
          <w:u w:val="single"/>
          <w:lang w:val="en-US" w:eastAsia="zh-CN"/>
        </w:rPr>
        <w:t xml:space="preserve">                             </w:t>
      </w:r>
    </w:p>
    <w:p w14:paraId="77EBB6E0">
      <w:pPr>
        <w:spacing w:line="400" w:lineRule="exact"/>
        <w:ind w:firstLine="620" w:firstLineChars="25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电             话：</w:t>
      </w:r>
      <w:r>
        <w:rPr>
          <w:rFonts w:hint="eastAsia" w:asciiTheme="majorEastAsia" w:hAnsiTheme="majorEastAsia" w:eastAsiaTheme="majorEastAsia" w:cstheme="majorEastAsia"/>
          <w:spacing w:val="4"/>
          <w:sz w:val="24"/>
          <w:u w:val="single"/>
          <w:lang w:val="en-US" w:eastAsia="zh-CN"/>
        </w:rPr>
        <w:t xml:space="preserve">                             </w:t>
      </w:r>
    </w:p>
    <w:p w14:paraId="048CAAE7">
      <w:pPr>
        <w:spacing w:line="400" w:lineRule="exact"/>
        <w:ind w:firstLine="620" w:firstLineChars="25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传             真：</w:t>
      </w:r>
      <w:r>
        <w:rPr>
          <w:rFonts w:hint="eastAsia" w:asciiTheme="majorEastAsia" w:hAnsiTheme="majorEastAsia" w:eastAsiaTheme="majorEastAsia" w:cstheme="majorEastAsia"/>
          <w:spacing w:val="4"/>
          <w:sz w:val="24"/>
          <w:u w:val="single"/>
          <w:lang w:val="en-US" w:eastAsia="zh-CN"/>
        </w:rPr>
        <w:t xml:space="preserve">                             </w:t>
      </w:r>
    </w:p>
    <w:p w14:paraId="452BAFA9">
      <w:pPr>
        <w:spacing w:line="400" w:lineRule="exact"/>
        <w:ind w:firstLine="620" w:firstLineChars="25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开   户   银   行：</w:t>
      </w:r>
      <w:r>
        <w:rPr>
          <w:rFonts w:hint="eastAsia" w:asciiTheme="majorEastAsia" w:hAnsiTheme="majorEastAsia" w:eastAsiaTheme="majorEastAsia" w:cstheme="majorEastAsia"/>
          <w:spacing w:val="4"/>
          <w:sz w:val="24"/>
          <w:u w:val="single"/>
          <w:lang w:val="en-US" w:eastAsia="zh-CN"/>
        </w:rPr>
        <w:t xml:space="preserve">                             </w:t>
      </w:r>
    </w:p>
    <w:p w14:paraId="5CF9C2F0">
      <w:pPr>
        <w:spacing w:line="400" w:lineRule="exact"/>
        <w:ind w:firstLine="620" w:firstLineChars="25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帐             号：</w:t>
      </w:r>
      <w:r>
        <w:rPr>
          <w:rFonts w:hint="eastAsia" w:asciiTheme="majorEastAsia" w:hAnsiTheme="majorEastAsia" w:eastAsiaTheme="majorEastAsia" w:cstheme="majorEastAsia"/>
          <w:spacing w:val="4"/>
          <w:sz w:val="24"/>
          <w:u w:val="single"/>
          <w:lang w:val="en-US" w:eastAsia="zh-CN"/>
        </w:rPr>
        <w:t xml:space="preserve">                             </w:t>
      </w:r>
    </w:p>
    <w:p w14:paraId="08B51474">
      <w:pPr>
        <w:spacing w:line="400" w:lineRule="exact"/>
        <w:ind w:firstLine="620" w:firstLineChars="25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法定代表人或委托代理人（签名或盖章）：</w:t>
      </w:r>
      <w:r>
        <w:rPr>
          <w:rFonts w:hint="eastAsia" w:asciiTheme="majorEastAsia" w:hAnsiTheme="majorEastAsia" w:eastAsiaTheme="majorEastAsia" w:cstheme="majorEastAsia"/>
          <w:spacing w:val="4"/>
          <w:sz w:val="24"/>
          <w:u w:val="single"/>
          <w:lang w:val="en-US" w:eastAsia="zh-CN"/>
        </w:rPr>
        <w:t xml:space="preserve">           </w:t>
      </w:r>
    </w:p>
    <w:p w14:paraId="12284BCD">
      <w:pPr>
        <w:spacing w:line="400" w:lineRule="exact"/>
        <w:ind w:firstLine="620" w:firstLineChars="250"/>
        <w:rPr>
          <w:rFonts w:asciiTheme="majorEastAsia" w:hAnsiTheme="majorEastAsia" w:eastAsiaTheme="majorEastAsia" w:cstheme="majorEastAsia"/>
          <w:spacing w:val="4"/>
          <w:sz w:val="24"/>
        </w:rPr>
      </w:pPr>
      <w:r>
        <w:rPr>
          <w:rFonts w:hint="eastAsia" w:asciiTheme="majorEastAsia" w:hAnsiTheme="majorEastAsia" w:eastAsiaTheme="majorEastAsia" w:cstheme="majorEastAsia"/>
          <w:spacing w:val="4"/>
          <w:sz w:val="24"/>
        </w:rPr>
        <w:t>日            期：</w:t>
      </w:r>
      <w:r>
        <w:rPr>
          <w:rFonts w:hint="eastAsia" w:asciiTheme="majorEastAsia" w:hAnsiTheme="majorEastAsia" w:eastAsiaTheme="majorEastAsia" w:cstheme="majorEastAsia"/>
          <w:spacing w:val="4"/>
          <w:sz w:val="24"/>
          <w:u w:val="single"/>
          <w:lang w:val="en-US" w:eastAsia="zh-CN"/>
        </w:rPr>
        <w:t xml:space="preserve">                              </w:t>
      </w:r>
    </w:p>
    <w:p w14:paraId="1628F6BD">
      <w:pPr>
        <w:wordWrap w:val="0"/>
        <w:autoSpaceDE w:val="0"/>
        <w:autoSpaceDN w:val="0"/>
        <w:spacing w:line="400" w:lineRule="exact"/>
        <w:ind w:right="480" w:firstLine="480" w:firstLineChars="200"/>
        <w:jc w:val="right"/>
        <w:rPr>
          <w:rFonts w:asciiTheme="majorEastAsia" w:hAnsiTheme="majorEastAsia" w:eastAsiaTheme="majorEastAsia" w:cstheme="majorEastAsia"/>
          <w:sz w:val="24"/>
        </w:rPr>
        <w:sectPr>
          <w:pgSz w:w="11906" w:h="16838"/>
          <w:pgMar w:top="1440" w:right="1417" w:bottom="1440" w:left="1531" w:header="851" w:footer="992" w:gutter="0"/>
          <w:cols w:space="0" w:num="1"/>
          <w:docGrid w:type="lines" w:linePitch="312" w:charSpace="0"/>
        </w:sectPr>
      </w:pPr>
    </w:p>
    <w:p w14:paraId="48B53D2E">
      <w:pPr>
        <w:autoSpaceDE w:val="0"/>
        <w:autoSpaceDN w:val="0"/>
        <w:snapToGrid w:val="0"/>
        <w:spacing w:line="360" w:lineRule="auto"/>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二、开标一览表</w:t>
      </w:r>
    </w:p>
    <w:tbl>
      <w:tblPr>
        <w:tblStyle w:val="25"/>
        <w:tblpPr w:leftFromText="180" w:rightFromText="180" w:vertAnchor="text" w:horzAnchor="page" w:tblpX="1580" w:tblpY="736"/>
        <w:tblOverlap w:val="never"/>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6981"/>
      </w:tblGrid>
      <w:tr w14:paraId="0F3C40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63" w:hRule="atLeast"/>
        </w:trPr>
        <w:tc>
          <w:tcPr>
            <w:tcW w:w="1956" w:type="dxa"/>
            <w:tcBorders>
              <w:bottom w:val="single" w:color="auto" w:sz="4" w:space="0"/>
            </w:tcBorders>
            <w:noWrap/>
            <w:vAlign w:val="center"/>
          </w:tcPr>
          <w:p w14:paraId="1D4FE86F">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采购项目名称</w:t>
            </w:r>
          </w:p>
        </w:tc>
        <w:tc>
          <w:tcPr>
            <w:tcW w:w="6981" w:type="dxa"/>
            <w:noWrap/>
            <w:vAlign w:val="center"/>
          </w:tcPr>
          <w:p w14:paraId="0C391F2D">
            <w:pPr>
              <w:spacing w:line="360" w:lineRule="auto"/>
              <w:jc w:val="center"/>
              <w:rPr>
                <w:rFonts w:asciiTheme="majorEastAsia" w:hAnsiTheme="majorEastAsia" w:eastAsiaTheme="majorEastAsia" w:cstheme="majorEastAsia"/>
                <w:bCs/>
                <w:sz w:val="24"/>
              </w:rPr>
            </w:pPr>
          </w:p>
        </w:tc>
      </w:tr>
      <w:tr w14:paraId="26E670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3" w:hRule="atLeast"/>
        </w:trPr>
        <w:tc>
          <w:tcPr>
            <w:tcW w:w="1956" w:type="dxa"/>
            <w:tcBorders>
              <w:bottom w:val="single" w:color="auto" w:sz="4" w:space="0"/>
            </w:tcBorders>
            <w:noWrap/>
            <w:vAlign w:val="center"/>
          </w:tcPr>
          <w:p w14:paraId="486A3D9C">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采购项目编号</w:t>
            </w:r>
          </w:p>
        </w:tc>
        <w:tc>
          <w:tcPr>
            <w:tcW w:w="6981" w:type="dxa"/>
            <w:tcBorders>
              <w:bottom w:val="single" w:color="auto" w:sz="4" w:space="0"/>
            </w:tcBorders>
            <w:noWrap/>
            <w:vAlign w:val="center"/>
          </w:tcPr>
          <w:p w14:paraId="75B740A2">
            <w:pPr>
              <w:spacing w:line="360" w:lineRule="auto"/>
              <w:jc w:val="center"/>
              <w:rPr>
                <w:rFonts w:asciiTheme="majorEastAsia" w:hAnsiTheme="majorEastAsia" w:eastAsiaTheme="majorEastAsia" w:cstheme="majorEastAsia"/>
                <w:bCs/>
                <w:sz w:val="24"/>
              </w:rPr>
            </w:pPr>
          </w:p>
        </w:tc>
      </w:tr>
      <w:tr w14:paraId="469093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7" w:hRule="atLeast"/>
        </w:trPr>
        <w:tc>
          <w:tcPr>
            <w:tcW w:w="1956" w:type="dxa"/>
            <w:noWrap/>
            <w:vAlign w:val="center"/>
          </w:tcPr>
          <w:p w14:paraId="508DAC78">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供应商名称</w:t>
            </w:r>
          </w:p>
          <w:p w14:paraId="490A25CF">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(单位名称)</w:t>
            </w:r>
          </w:p>
        </w:tc>
        <w:tc>
          <w:tcPr>
            <w:tcW w:w="6981" w:type="dxa"/>
            <w:noWrap/>
            <w:vAlign w:val="center"/>
          </w:tcPr>
          <w:p w14:paraId="717141D1">
            <w:pPr>
              <w:spacing w:line="360" w:lineRule="auto"/>
              <w:jc w:val="center"/>
              <w:rPr>
                <w:rFonts w:asciiTheme="majorEastAsia" w:hAnsiTheme="majorEastAsia" w:eastAsiaTheme="majorEastAsia" w:cstheme="majorEastAsia"/>
                <w:b/>
                <w:bCs/>
                <w:sz w:val="24"/>
              </w:rPr>
            </w:pPr>
          </w:p>
        </w:tc>
      </w:tr>
      <w:tr w14:paraId="69F953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72" w:hRule="atLeast"/>
        </w:trPr>
        <w:tc>
          <w:tcPr>
            <w:tcW w:w="1956" w:type="dxa"/>
            <w:noWrap/>
            <w:vAlign w:val="center"/>
          </w:tcPr>
          <w:p w14:paraId="6118CD36">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投标报价</w:t>
            </w:r>
          </w:p>
        </w:tc>
        <w:tc>
          <w:tcPr>
            <w:tcW w:w="6981" w:type="dxa"/>
            <w:noWrap/>
          </w:tcPr>
          <w:p w14:paraId="5DEDE4A0">
            <w:pPr>
              <w:spacing w:line="360" w:lineRule="auto"/>
              <w:jc w:val="center"/>
              <w:rPr>
                <w:rFonts w:asciiTheme="majorEastAsia" w:hAnsiTheme="majorEastAsia" w:eastAsiaTheme="majorEastAsia" w:cstheme="majorEastAsia"/>
                <w:b/>
                <w:bCs/>
                <w:sz w:val="11"/>
                <w:szCs w:val="11"/>
              </w:rPr>
            </w:pPr>
          </w:p>
          <w:p w14:paraId="4E19344A">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人 民 币（大写）： 元</w:t>
            </w:r>
          </w:p>
          <w:p w14:paraId="081D1BBC">
            <w:pPr>
              <w:spacing w:line="360" w:lineRule="auto"/>
              <w:jc w:val="center"/>
              <w:rPr>
                <w:rFonts w:asciiTheme="majorEastAsia" w:hAnsiTheme="majorEastAsia" w:eastAsiaTheme="majorEastAsia" w:cstheme="majorEastAsia"/>
                <w:b/>
                <w:bCs/>
                <w:sz w:val="24"/>
              </w:rPr>
            </w:pPr>
          </w:p>
          <w:p w14:paraId="675D8AE2">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人 民 币（小写）：元</w:t>
            </w:r>
          </w:p>
        </w:tc>
      </w:tr>
      <w:tr w14:paraId="75DA79D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rPr>
        <w:tc>
          <w:tcPr>
            <w:tcW w:w="1956" w:type="dxa"/>
            <w:noWrap/>
            <w:vAlign w:val="center"/>
          </w:tcPr>
          <w:p w14:paraId="32F8D6E0">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服务期</w:t>
            </w:r>
          </w:p>
        </w:tc>
        <w:tc>
          <w:tcPr>
            <w:tcW w:w="6981" w:type="dxa"/>
            <w:noWrap/>
          </w:tcPr>
          <w:p w14:paraId="0DEFD8C8">
            <w:pPr>
              <w:spacing w:line="360" w:lineRule="auto"/>
              <w:rPr>
                <w:rFonts w:asciiTheme="majorEastAsia" w:hAnsiTheme="majorEastAsia" w:eastAsiaTheme="majorEastAsia" w:cstheme="majorEastAsia"/>
                <w:b/>
                <w:bCs/>
                <w:sz w:val="24"/>
              </w:rPr>
            </w:pPr>
          </w:p>
        </w:tc>
      </w:tr>
      <w:tr w14:paraId="6186CB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rPr>
        <w:tc>
          <w:tcPr>
            <w:tcW w:w="1956" w:type="dxa"/>
            <w:noWrap/>
            <w:vAlign w:val="center"/>
          </w:tcPr>
          <w:p w14:paraId="61406D82">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质保期</w:t>
            </w:r>
          </w:p>
        </w:tc>
        <w:tc>
          <w:tcPr>
            <w:tcW w:w="6981" w:type="dxa"/>
            <w:noWrap/>
          </w:tcPr>
          <w:p w14:paraId="00E6CBEE">
            <w:pPr>
              <w:spacing w:line="360" w:lineRule="auto"/>
              <w:rPr>
                <w:rFonts w:asciiTheme="majorEastAsia" w:hAnsiTheme="majorEastAsia" w:eastAsiaTheme="majorEastAsia" w:cstheme="majorEastAsia"/>
                <w:b/>
                <w:bCs/>
                <w:sz w:val="24"/>
              </w:rPr>
            </w:pPr>
          </w:p>
        </w:tc>
      </w:tr>
      <w:tr w14:paraId="4BAA13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2" w:hRule="atLeast"/>
        </w:trPr>
        <w:tc>
          <w:tcPr>
            <w:tcW w:w="1956" w:type="dxa"/>
            <w:noWrap/>
            <w:vAlign w:val="center"/>
          </w:tcPr>
          <w:p w14:paraId="62947BAA">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备注</w:t>
            </w:r>
          </w:p>
        </w:tc>
        <w:tc>
          <w:tcPr>
            <w:tcW w:w="6981" w:type="dxa"/>
            <w:noWrap/>
          </w:tcPr>
          <w:p w14:paraId="297D7574">
            <w:pPr>
              <w:spacing w:line="360" w:lineRule="auto"/>
              <w:rPr>
                <w:rFonts w:asciiTheme="majorEastAsia" w:hAnsiTheme="majorEastAsia" w:eastAsiaTheme="majorEastAsia" w:cstheme="majorEastAsia"/>
                <w:b/>
                <w:bCs/>
                <w:sz w:val="24"/>
              </w:rPr>
            </w:pPr>
          </w:p>
        </w:tc>
      </w:tr>
    </w:tbl>
    <w:p w14:paraId="4A904CF8">
      <w:pPr>
        <w:rPr>
          <w:rFonts w:asciiTheme="majorEastAsia" w:hAnsiTheme="majorEastAsia" w:eastAsiaTheme="majorEastAsia" w:cstheme="majorEastAsia"/>
          <w:sz w:val="24"/>
        </w:rPr>
      </w:pPr>
    </w:p>
    <w:p w14:paraId="34D5EFD6">
      <w:pPr>
        <w:ind w:firstLine="240" w:firstLineChars="100"/>
        <w:rPr>
          <w:rFonts w:asciiTheme="majorEastAsia" w:hAnsiTheme="majorEastAsia" w:eastAsiaTheme="majorEastAsia" w:cstheme="majorEastAsia"/>
          <w:sz w:val="24"/>
        </w:rPr>
      </w:pPr>
    </w:p>
    <w:p w14:paraId="58B67119">
      <w:pPr>
        <w:ind w:firstLine="240" w:firstLineChars="100"/>
        <w:rPr>
          <w:rFonts w:asciiTheme="majorEastAsia" w:hAnsiTheme="majorEastAsia" w:eastAsiaTheme="majorEastAsia" w:cstheme="majorEastAsia"/>
          <w:sz w:val="24"/>
        </w:rPr>
      </w:pPr>
    </w:p>
    <w:p w14:paraId="6679E9D8">
      <w:pPr>
        <w:spacing w:line="480" w:lineRule="auto"/>
        <w:ind w:right="-161" w:firstLine="3120" w:firstLineChars="1300"/>
        <w:rPr>
          <w:rFonts w:asciiTheme="majorEastAsia" w:hAnsiTheme="majorEastAsia" w:eastAsiaTheme="majorEastAsia" w:cstheme="majorEastAsia"/>
          <w:sz w:val="24"/>
          <w:u w:val="single"/>
        </w:rPr>
      </w:pPr>
      <w:bookmarkStart w:id="153" w:name="_Toc2598"/>
      <w:r>
        <w:rPr>
          <w:rFonts w:hint="eastAsia" w:asciiTheme="majorEastAsia" w:hAnsiTheme="majorEastAsia" w:eastAsiaTheme="majorEastAsia" w:cstheme="majorEastAsia"/>
          <w:sz w:val="24"/>
        </w:rPr>
        <w:t>法人代表或被授权代表签字：</w:t>
      </w:r>
    </w:p>
    <w:p w14:paraId="35E37CEB">
      <w:pPr>
        <w:spacing w:line="480" w:lineRule="auto"/>
        <w:ind w:right="-161" w:firstLine="3120" w:firstLineChars="13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   标   单  位  公  章：</w:t>
      </w:r>
    </w:p>
    <w:p w14:paraId="56AD1C0C">
      <w:pPr>
        <w:jc w:val="center"/>
        <w:rPr>
          <w:rFonts w:asciiTheme="majorEastAsia" w:hAnsiTheme="majorEastAsia" w:eastAsiaTheme="majorEastAsia" w:cstheme="majorEastAsia"/>
          <w:b/>
          <w:sz w:val="36"/>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                    期：</w:t>
      </w:r>
    </w:p>
    <w:p w14:paraId="115AD455">
      <w:pPr>
        <w:ind w:firstLine="562" w:firstLineChars="175"/>
        <w:jc w:val="center"/>
        <w:rPr>
          <w:rFonts w:asciiTheme="majorEastAsia" w:hAnsiTheme="majorEastAsia" w:eastAsiaTheme="majorEastAsia" w:cstheme="majorEastAsia"/>
          <w:b/>
          <w:sz w:val="32"/>
          <w:szCs w:val="32"/>
        </w:rPr>
        <w:sectPr>
          <w:pgSz w:w="11906" w:h="16838"/>
          <w:pgMar w:top="1440" w:right="1417" w:bottom="1440" w:left="1417" w:header="851" w:footer="992" w:gutter="0"/>
          <w:cols w:space="720" w:num="1"/>
          <w:docGrid w:type="lines" w:linePitch="312" w:charSpace="0"/>
        </w:sectPr>
      </w:pPr>
    </w:p>
    <w:p w14:paraId="28AB9332">
      <w:pPr>
        <w:ind w:firstLine="562" w:firstLineChars="175"/>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分项报价表</w:t>
      </w:r>
      <w:bookmarkEnd w:id="153"/>
    </w:p>
    <w:p w14:paraId="01BC73CF">
      <w:pPr>
        <w:rPr>
          <w:rFonts w:asciiTheme="majorEastAsia" w:hAnsiTheme="majorEastAsia" w:eastAsiaTheme="majorEastAsia" w:cstheme="majorEastAsia"/>
        </w:rPr>
      </w:pPr>
    </w:p>
    <w:p w14:paraId="21F53208">
      <w:pPr>
        <w:rPr>
          <w:rFonts w:asciiTheme="majorEastAsia" w:hAnsiTheme="majorEastAsia" w:eastAsiaTheme="majorEastAsia" w:cstheme="majorEastAsia"/>
        </w:rPr>
      </w:pPr>
    </w:p>
    <w:p w14:paraId="4D9F2096">
      <w:pPr>
        <w:spacing w:line="246" w:lineRule="auto"/>
        <w:rPr>
          <w:rFonts w:asciiTheme="majorEastAsia" w:hAnsiTheme="majorEastAsia" w:eastAsiaTheme="majorEastAsia" w:cstheme="majorEastAsia"/>
        </w:rPr>
      </w:pPr>
    </w:p>
    <w:p w14:paraId="66748913">
      <w:pPr>
        <w:spacing w:line="247" w:lineRule="auto"/>
        <w:rPr>
          <w:rFonts w:asciiTheme="majorEastAsia" w:hAnsiTheme="majorEastAsia" w:eastAsiaTheme="majorEastAsia" w:cstheme="majorEastAsia"/>
        </w:rPr>
      </w:pPr>
    </w:p>
    <w:p w14:paraId="045A674F">
      <w:pPr>
        <w:rPr>
          <w:rFonts w:asciiTheme="majorEastAsia" w:hAnsiTheme="majorEastAsia" w:eastAsiaTheme="majorEastAsia" w:cstheme="majorEastAsia"/>
          <w:sz w:val="24"/>
          <w:szCs w:val="21"/>
        </w:rPr>
      </w:pPr>
    </w:p>
    <w:p w14:paraId="1F2B3969">
      <w:pPr>
        <w:jc w:val="center"/>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（格式自拟）</w:t>
      </w:r>
    </w:p>
    <w:p w14:paraId="0AF1D4FD">
      <w:pPr>
        <w:pStyle w:val="17"/>
        <w:rPr>
          <w:rFonts w:asciiTheme="majorEastAsia" w:hAnsiTheme="majorEastAsia" w:eastAsiaTheme="majorEastAsia" w:cstheme="majorEastAsia"/>
          <w:sz w:val="24"/>
          <w:szCs w:val="21"/>
        </w:rPr>
      </w:pPr>
    </w:p>
    <w:p w14:paraId="33E7A6C9">
      <w:pPr>
        <w:rPr>
          <w:rFonts w:asciiTheme="majorEastAsia" w:hAnsiTheme="majorEastAsia" w:eastAsiaTheme="majorEastAsia" w:cstheme="majorEastAsia"/>
          <w:sz w:val="24"/>
          <w:szCs w:val="21"/>
        </w:rPr>
      </w:pPr>
    </w:p>
    <w:p w14:paraId="1103E705">
      <w:pPr>
        <w:pStyle w:val="17"/>
        <w:rPr>
          <w:rFonts w:asciiTheme="majorEastAsia" w:hAnsiTheme="majorEastAsia" w:eastAsiaTheme="majorEastAsia" w:cstheme="majorEastAsia"/>
          <w:sz w:val="24"/>
          <w:szCs w:val="21"/>
        </w:rPr>
      </w:pPr>
    </w:p>
    <w:p w14:paraId="75C297B8">
      <w:pPr>
        <w:rPr>
          <w:rFonts w:asciiTheme="majorEastAsia" w:hAnsiTheme="majorEastAsia" w:eastAsiaTheme="majorEastAsia" w:cstheme="majorEastAsia"/>
          <w:sz w:val="24"/>
          <w:szCs w:val="21"/>
        </w:rPr>
      </w:pPr>
    </w:p>
    <w:p w14:paraId="63EDD4B5">
      <w:pPr>
        <w:pStyle w:val="17"/>
        <w:rPr>
          <w:rFonts w:asciiTheme="majorEastAsia" w:hAnsiTheme="majorEastAsia" w:eastAsiaTheme="majorEastAsia" w:cstheme="majorEastAsia"/>
          <w:sz w:val="24"/>
          <w:szCs w:val="21"/>
        </w:rPr>
      </w:pPr>
    </w:p>
    <w:p w14:paraId="1CBEB538">
      <w:pPr>
        <w:rPr>
          <w:rFonts w:asciiTheme="majorEastAsia" w:hAnsiTheme="majorEastAsia" w:eastAsiaTheme="majorEastAsia" w:cstheme="majorEastAsia"/>
          <w:sz w:val="24"/>
          <w:szCs w:val="21"/>
        </w:rPr>
      </w:pPr>
    </w:p>
    <w:p w14:paraId="53FF9539">
      <w:pPr>
        <w:pStyle w:val="17"/>
        <w:rPr>
          <w:rFonts w:asciiTheme="majorEastAsia" w:hAnsiTheme="majorEastAsia" w:eastAsiaTheme="majorEastAsia" w:cstheme="majorEastAsia"/>
          <w:sz w:val="24"/>
          <w:szCs w:val="21"/>
        </w:rPr>
      </w:pPr>
    </w:p>
    <w:p w14:paraId="345EF3E0">
      <w:pPr>
        <w:rPr>
          <w:rFonts w:asciiTheme="majorEastAsia" w:hAnsiTheme="majorEastAsia" w:eastAsiaTheme="majorEastAsia" w:cstheme="majorEastAsia"/>
          <w:sz w:val="24"/>
          <w:szCs w:val="21"/>
        </w:rPr>
      </w:pPr>
    </w:p>
    <w:p w14:paraId="2A7A8E1A">
      <w:pPr>
        <w:pStyle w:val="17"/>
        <w:rPr>
          <w:rFonts w:asciiTheme="majorEastAsia" w:hAnsiTheme="majorEastAsia" w:eastAsiaTheme="majorEastAsia" w:cstheme="majorEastAsia"/>
          <w:sz w:val="24"/>
          <w:szCs w:val="21"/>
        </w:rPr>
      </w:pPr>
    </w:p>
    <w:p w14:paraId="4FCD2B72">
      <w:pPr>
        <w:rPr>
          <w:rFonts w:asciiTheme="majorEastAsia" w:hAnsiTheme="majorEastAsia" w:eastAsiaTheme="majorEastAsia" w:cstheme="majorEastAsia"/>
          <w:sz w:val="24"/>
          <w:szCs w:val="21"/>
        </w:rPr>
      </w:pPr>
    </w:p>
    <w:p w14:paraId="06BD33B7">
      <w:pPr>
        <w:pStyle w:val="17"/>
        <w:rPr>
          <w:rFonts w:asciiTheme="majorEastAsia" w:hAnsiTheme="majorEastAsia" w:eastAsiaTheme="majorEastAsia" w:cstheme="majorEastAsia"/>
          <w:sz w:val="24"/>
          <w:szCs w:val="21"/>
        </w:rPr>
      </w:pPr>
    </w:p>
    <w:p w14:paraId="10E349D5">
      <w:pPr>
        <w:rPr>
          <w:rFonts w:asciiTheme="majorEastAsia" w:hAnsiTheme="majorEastAsia" w:eastAsiaTheme="majorEastAsia" w:cstheme="majorEastAsia"/>
          <w:sz w:val="24"/>
          <w:szCs w:val="21"/>
        </w:rPr>
      </w:pPr>
    </w:p>
    <w:p w14:paraId="5F03C285">
      <w:pPr>
        <w:pStyle w:val="17"/>
        <w:rPr>
          <w:rFonts w:asciiTheme="majorEastAsia" w:hAnsiTheme="majorEastAsia" w:eastAsiaTheme="majorEastAsia" w:cstheme="majorEastAsia"/>
          <w:sz w:val="24"/>
          <w:szCs w:val="21"/>
        </w:rPr>
      </w:pPr>
    </w:p>
    <w:p w14:paraId="03EEF48A">
      <w:pPr>
        <w:rPr>
          <w:rFonts w:asciiTheme="majorEastAsia" w:hAnsiTheme="majorEastAsia" w:eastAsiaTheme="majorEastAsia" w:cstheme="majorEastAsia"/>
          <w:sz w:val="24"/>
          <w:szCs w:val="21"/>
        </w:rPr>
      </w:pPr>
    </w:p>
    <w:p w14:paraId="30E72381">
      <w:pPr>
        <w:pStyle w:val="17"/>
        <w:rPr>
          <w:rFonts w:asciiTheme="majorEastAsia" w:hAnsiTheme="majorEastAsia" w:eastAsiaTheme="majorEastAsia" w:cstheme="majorEastAsia"/>
        </w:rPr>
      </w:pPr>
    </w:p>
    <w:p w14:paraId="5EB20A09">
      <w:pPr>
        <w:pStyle w:val="17"/>
        <w:rPr>
          <w:rFonts w:asciiTheme="majorEastAsia" w:hAnsiTheme="majorEastAsia" w:eastAsiaTheme="majorEastAsia" w:cstheme="majorEastAsia"/>
          <w:sz w:val="24"/>
          <w:szCs w:val="21"/>
        </w:rPr>
      </w:pPr>
    </w:p>
    <w:p w14:paraId="4FD04143">
      <w:pPr>
        <w:rPr>
          <w:rFonts w:asciiTheme="majorEastAsia" w:hAnsiTheme="majorEastAsia" w:eastAsiaTheme="majorEastAsia" w:cstheme="majorEastAsia"/>
          <w:sz w:val="24"/>
          <w:szCs w:val="21"/>
        </w:rPr>
      </w:pPr>
    </w:p>
    <w:p w14:paraId="3F60BDB3">
      <w:pPr>
        <w:pStyle w:val="17"/>
        <w:rPr>
          <w:rFonts w:asciiTheme="majorEastAsia" w:hAnsiTheme="majorEastAsia" w:eastAsiaTheme="majorEastAsia" w:cstheme="majorEastAsia"/>
        </w:rPr>
      </w:pPr>
    </w:p>
    <w:p w14:paraId="598F1B53">
      <w:pPr>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注：1. 供应商须按照招标文件“采购内容及要求”中涉及的采购清单进行报价。</w:t>
      </w:r>
    </w:p>
    <w:p w14:paraId="1D2D9121">
      <w:pPr>
        <w:numPr>
          <w:ilvl w:val="0"/>
          <w:numId w:val="0"/>
        </w:numPr>
        <w:adjustRightInd w:val="0"/>
        <w:snapToGrid w:val="0"/>
        <w:spacing w:line="360" w:lineRule="auto"/>
        <w:ind w:leftChars="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如果按单价计算的结果与总价不一致，以单价为准修正总价。</w:t>
      </w:r>
    </w:p>
    <w:p w14:paraId="0615B398">
      <w:pPr>
        <w:numPr>
          <w:ilvl w:val="0"/>
          <w:numId w:val="0"/>
        </w:numPr>
        <w:adjustRightInd w:val="0"/>
        <w:snapToGrid w:val="0"/>
        <w:spacing w:line="360" w:lineRule="auto"/>
        <w:ind w:leftChars="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 xml:space="preserve">    3.货物须填写产品的品牌及规格型号。</w:t>
      </w:r>
    </w:p>
    <w:p w14:paraId="75549F06">
      <w:pPr>
        <w:adjustRightInd w:val="0"/>
        <w:snapToGrid w:val="0"/>
        <w:spacing w:line="360" w:lineRule="auto"/>
        <w:ind w:left="792" w:leftChars="225" w:hanging="319" w:hangingChars="133"/>
        <w:rPr>
          <w:rFonts w:asciiTheme="majorEastAsia" w:hAnsiTheme="majorEastAsia" w:eastAsiaTheme="majorEastAsia" w:cstheme="majorEastAsia"/>
        </w:rPr>
      </w:pP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上述投标总报价包含了供应商为此项目所支付的的一切费用，在整个合同期内不做调整。</w:t>
      </w:r>
    </w:p>
    <w:p w14:paraId="073A2F24">
      <w:pPr>
        <w:spacing w:line="480" w:lineRule="auto"/>
        <w:ind w:right="-161" w:firstLine="3120" w:firstLineChars="1300"/>
        <w:rPr>
          <w:rFonts w:asciiTheme="majorEastAsia" w:hAnsiTheme="majorEastAsia" w:eastAsiaTheme="majorEastAsia" w:cstheme="majorEastAsia"/>
          <w:sz w:val="24"/>
        </w:rPr>
      </w:pPr>
    </w:p>
    <w:p w14:paraId="28C30FB3">
      <w:pPr>
        <w:spacing w:line="480" w:lineRule="auto"/>
        <w:ind w:right="-161" w:firstLine="3120" w:firstLineChars="13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法人代表或被授权代表签字：</w:t>
      </w:r>
    </w:p>
    <w:p w14:paraId="7399C3FC">
      <w:pPr>
        <w:spacing w:line="480" w:lineRule="auto"/>
        <w:ind w:right="-161" w:firstLine="3120" w:firstLineChars="13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   标   单  位  公  章：</w:t>
      </w:r>
    </w:p>
    <w:p w14:paraId="450C1627">
      <w:pPr>
        <w:jc w:val="center"/>
        <w:rPr>
          <w:rFonts w:asciiTheme="majorEastAsia" w:hAnsiTheme="majorEastAsia" w:eastAsiaTheme="majorEastAsia" w:cstheme="majorEastAsia"/>
          <w:b/>
          <w:sz w:val="36"/>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                    期：</w:t>
      </w:r>
    </w:p>
    <w:p w14:paraId="016750CA">
      <w:pPr>
        <w:jc w:val="center"/>
        <w:rPr>
          <w:rFonts w:asciiTheme="majorEastAsia" w:hAnsiTheme="majorEastAsia" w:eastAsiaTheme="majorEastAsia" w:cstheme="majorEastAsia"/>
          <w:b/>
          <w:sz w:val="36"/>
        </w:rPr>
        <w:sectPr>
          <w:headerReference r:id="rId8" w:type="first"/>
          <w:footerReference r:id="rId10" w:type="first"/>
          <w:headerReference r:id="rId7" w:type="default"/>
          <w:footerReference r:id="rId9" w:type="default"/>
          <w:pgSz w:w="11907" w:h="16840"/>
          <w:pgMar w:top="1440" w:right="1800" w:bottom="1440" w:left="1800" w:header="907" w:footer="654" w:gutter="0"/>
          <w:cols w:space="720" w:num="1"/>
          <w:titlePg/>
          <w:docGrid w:linePitch="312" w:charSpace="0"/>
        </w:sectPr>
      </w:pPr>
    </w:p>
    <w:p w14:paraId="05847006">
      <w:pPr>
        <w:numPr>
          <w:ilvl w:val="0"/>
          <w:numId w:val="5"/>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偏离表</w:t>
      </w:r>
    </w:p>
    <w:p w14:paraId="77E8BB90">
      <w:pPr>
        <w:pStyle w:val="10"/>
        <w:rPr>
          <w:rFonts w:asciiTheme="majorEastAsia" w:hAnsiTheme="majorEastAsia" w:eastAsiaTheme="majorEastAsia" w:cstheme="majorEastAsia"/>
        </w:rPr>
      </w:pPr>
    </w:p>
    <w:p w14:paraId="6569F457">
      <w:pPr>
        <w:spacing w:afterLines="200"/>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bCs/>
          <w:sz w:val="24"/>
        </w:rPr>
        <w:t>3-1、商务偏离表</w:t>
      </w:r>
    </w:p>
    <w:tbl>
      <w:tblPr>
        <w:tblStyle w:val="25"/>
        <w:tblW w:w="9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36"/>
        <w:gridCol w:w="3266"/>
        <w:gridCol w:w="3599"/>
        <w:gridCol w:w="1062"/>
        <w:gridCol w:w="1087"/>
      </w:tblGrid>
      <w:tr w14:paraId="2E32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7" w:hRule="atLeast"/>
          <w:jc w:val="center"/>
        </w:trPr>
        <w:tc>
          <w:tcPr>
            <w:tcW w:w="836" w:type="dxa"/>
            <w:noWrap/>
            <w:vAlign w:val="center"/>
          </w:tcPr>
          <w:p w14:paraId="76C0AD16">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3266" w:type="dxa"/>
            <w:noWrap/>
            <w:vAlign w:val="center"/>
          </w:tcPr>
          <w:p w14:paraId="4C47AC66">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招标文件商务要求</w:t>
            </w:r>
          </w:p>
        </w:tc>
        <w:tc>
          <w:tcPr>
            <w:tcW w:w="3599" w:type="dxa"/>
            <w:noWrap/>
            <w:vAlign w:val="center"/>
          </w:tcPr>
          <w:p w14:paraId="3593D868">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投标文件商务响应</w:t>
            </w:r>
          </w:p>
        </w:tc>
        <w:tc>
          <w:tcPr>
            <w:tcW w:w="1062" w:type="dxa"/>
            <w:noWrap/>
            <w:vAlign w:val="center"/>
          </w:tcPr>
          <w:p w14:paraId="0B4E7519">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偏离情况</w:t>
            </w:r>
          </w:p>
        </w:tc>
        <w:tc>
          <w:tcPr>
            <w:tcW w:w="1087" w:type="dxa"/>
            <w:noWrap/>
            <w:vAlign w:val="center"/>
          </w:tcPr>
          <w:p w14:paraId="5F172A63">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14:paraId="6527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136564AD">
            <w:pPr>
              <w:spacing w:line="360" w:lineRule="auto"/>
              <w:jc w:val="center"/>
              <w:rPr>
                <w:rFonts w:asciiTheme="majorEastAsia" w:hAnsiTheme="majorEastAsia" w:eastAsiaTheme="majorEastAsia" w:cstheme="majorEastAsia"/>
                <w:sz w:val="24"/>
              </w:rPr>
            </w:pPr>
          </w:p>
        </w:tc>
        <w:tc>
          <w:tcPr>
            <w:tcW w:w="3266" w:type="dxa"/>
            <w:noWrap/>
            <w:vAlign w:val="center"/>
          </w:tcPr>
          <w:p w14:paraId="7F6C1309">
            <w:pPr>
              <w:spacing w:line="360" w:lineRule="auto"/>
              <w:jc w:val="center"/>
              <w:rPr>
                <w:rFonts w:asciiTheme="majorEastAsia" w:hAnsiTheme="majorEastAsia" w:eastAsiaTheme="majorEastAsia" w:cstheme="majorEastAsia"/>
                <w:sz w:val="24"/>
              </w:rPr>
            </w:pPr>
          </w:p>
        </w:tc>
        <w:tc>
          <w:tcPr>
            <w:tcW w:w="3599" w:type="dxa"/>
            <w:noWrap/>
            <w:vAlign w:val="center"/>
          </w:tcPr>
          <w:p w14:paraId="785A9917">
            <w:pPr>
              <w:spacing w:line="360" w:lineRule="auto"/>
              <w:jc w:val="center"/>
              <w:rPr>
                <w:rFonts w:asciiTheme="majorEastAsia" w:hAnsiTheme="majorEastAsia" w:eastAsiaTheme="majorEastAsia" w:cstheme="majorEastAsia"/>
                <w:sz w:val="24"/>
              </w:rPr>
            </w:pPr>
          </w:p>
        </w:tc>
        <w:tc>
          <w:tcPr>
            <w:tcW w:w="1062" w:type="dxa"/>
            <w:noWrap/>
            <w:vAlign w:val="center"/>
          </w:tcPr>
          <w:p w14:paraId="119717FF">
            <w:pPr>
              <w:spacing w:line="360" w:lineRule="auto"/>
              <w:jc w:val="center"/>
              <w:rPr>
                <w:rFonts w:asciiTheme="majorEastAsia" w:hAnsiTheme="majorEastAsia" w:eastAsiaTheme="majorEastAsia" w:cstheme="majorEastAsia"/>
                <w:sz w:val="24"/>
              </w:rPr>
            </w:pPr>
          </w:p>
        </w:tc>
        <w:tc>
          <w:tcPr>
            <w:tcW w:w="1087" w:type="dxa"/>
            <w:noWrap/>
            <w:vAlign w:val="center"/>
          </w:tcPr>
          <w:p w14:paraId="0F62D9B2">
            <w:pPr>
              <w:spacing w:line="360" w:lineRule="auto"/>
              <w:jc w:val="center"/>
              <w:rPr>
                <w:rFonts w:asciiTheme="majorEastAsia" w:hAnsiTheme="majorEastAsia" w:eastAsiaTheme="majorEastAsia" w:cstheme="majorEastAsia"/>
                <w:sz w:val="24"/>
              </w:rPr>
            </w:pPr>
          </w:p>
        </w:tc>
      </w:tr>
      <w:tr w14:paraId="3233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0BCA3B58">
            <w:pPr>
              <w:spacing w:line="360" w:lineRule="auto"/>
              <w:jc w:val="center"/>
              <w:rPr>
                <w:rFonts w:asciiTheme="majorEastAsia" w:hAnsiTheme="majorEastAsia" w:eastAsiaTheme="majorEastAsia" w:cstheme="majorEastAsia"/>
                <w:sz w:val="24"/>
              </w:rPr>
            </w:pPr>
          </w:p>
        </w:tc>
        <w:tc>
          <w:tcPr>
            <w:tcW w:w="3266" w:type="dxa"/>
            <w:noWrap/>
            <w:vAlign w:val="center"/>
          </w:tcPr>
          <w:p w14:paraId="7E71F872">
            <w:pPr>
              <w:spacing w:line="360" w:lineRule="auto"/>
              <w:jc w:val="center"/>
              <w:rPr>
                <w:rFonts w:asciiTheme="majorEastAsia" w:hAnsiTheme="majorEastAsia" w:eastAsiaTheme="majorEastAsia" w:cstheme="majorEastAsia"/>
                <w:sz w:val="24"/>
              </w:rPr>
            </w:pPr>
          </w:p>
        </w:tc>
        <w:tc>
          <w:tcPr>
            <w:tcW w:w="3599" w:type="dxa"/>
            <w:noWrap/>
            <w:vAlign w:val="center"/>
          </w:tcPr>
          <w:p w14:paraId="172FA730">
            <w:pPr>
              <w:spacing w:line="360" w:lineRule="auto"/>
              <w:jc w:val="center"/>
              <w:rPr>
                <w:rFonts w:asciiTheme="majorEastAsia" w:hAnsiTheme="majorEastAsia" w:eastAsiaTheme="majorEastAsia" w:cstheme="majorEastAsia"/>
                <w:sz w:val="24"/>
              </w:rPr>
            </w:pPr>
          </w:p>
        </w:tc>
        <w:tc>
          <w:tcPr>
            <w:tcW w:w="1062" w:type="dxa"/>
            <w:noWrap/>
            <w:vAlign w:val="center"/>
          </w:tcPr>
          <w:p w14:paraId="178A84B3">
            <w:pPr>
              <w:spacing w:line="360" w:lineRule="auto"/>
              <w:jc w:val="center"/>
              <w:rPr>
                <w:rFonts w:asciiTheme="majorEastAsia" w:hAnsiTheme="majorEastAsia" w:eastAsiaTheme="majorEastAsia" w:cstheme="majorEastAsia"/>
                <w:sz w:val="24"/>
              </w:rPr>
            </w:pPr>
          </w:p>
        </w:tc>
        <w:tc>
          <w:tcPr>
            <w:tcW w:w="1087" w:type="dxa"/>
            <w:noWrap/>
            <w:vAlign w:val="center"/>
          </w:tcPr>
          <w:p w14:paraId="6010D333">
            <w:pPr>
              <w:spacing w:line="360" w:lineRule="auto"/>
              <w:jc w:val="center"/>
              <w:rPr>
                <w:rFonts w:asciiTheme="majorEastAsia" w:hAnsiTheme="majorEastAsia" w:eastAsiaTheme="majorEastAsia" w:cstheme="majorEastAsia"/>
                <w:sz w:val="24"/>
              </w:rPr>
            </w:pPr>
          </w:p>
        </w:tc>
      </w:tr>
      <w:tr w14:paraId="505C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1F545594">
            <w:pPr>
              <w:spacing w:line="360" w:lineRule="auto"/>
              <w:jc w:val="center"/>
              <w:rPr>
                <w:rFonts w:asciiTheme="majorEastAsia" w:hAnsiTheme="majorEastAsia" w:eastAsiaTheme="majorEastAsia" w:cstheme="majorEastAsia"/>
                <w:sz w:val="24"/>
              </w:rPr>
            </w:pPr>
          </w:p>
        </w:tc>
        <w:tc>
          <w:tcPr>
            <w:tcW w:w="3266" w:type="dxa"/>
            <w:noWrap/>
            <w:vAlign w:val="center"/>
          </w:tcPr>
          <w:p w14:paraId="0D46E311">
            <w:pPr>
              <w:spacing w:line="360" w:lineRule="auto"/>
              <w:jc w:val="center"/>
              <w:rPr>
                <w:rFonts w:asciiTheme="majorEastAsia" w:hAnsiTheme="majorEastAsia" w:eastAsiaTheme="majorEastAsia" w:cstheme="majorEastAsia"/>
                <w:sz w:val="24"/>
              </w:rPr>
            </w:pPr>
          </w:p>
        </w:tc>
        <w:tc>
          <w:tcPr>
            <w:tcW w:w="3599" w:type="dxa"/>
            <w:noWrap/>
            <w:vAlign w:val="center"/>
          </w:tcPr>
          <w:p w14:paraId="0DBE6252">
            <w:pPr>
              <w:spacing w:line="360" w:lineRule="auto"/>
              <w:jc w:val="center"/>
              <w:rPr>
                <w:rFonts w:asciiTheme="majorEastAsia" w:hAnsiTheme="majorEastAsia" w:eastAsiaTheme="majorEastAsia" w:cstheme="majorEastAsia"/>
                <w:sz w:val="24"/>
              </w:rPr>
            </w:pPr>
          </w:p>
        </w:tc>
        <w:tc>
          <w:tcPr>
            <w:tcW w:w="1062" w:type="dxa"/>
            <w:noWrap/>
            <w:vAlign w:val="center"/>
          </w:tcPr>
          <w:p w14:paraId="10BC0277">
            <w:pPr>
              <w:spacing w:line="360" w:lineRule="auto"/>
              <w:jc w:val="center"/>
              <w:rPr>
                <w:rFonts w:asciiTheme="majorEastAsia" w:hAnsiTheme="majorEastAsia" w:eastAsiaTheme="majorEastAsia" w:cstheme="majorEastAsia"/>
                <w:sz w:val="24"/>
              </w:rPr>
            </w:pPr>
          </w:p>
        </w:tc>
        <w:tc>
          <w:tcPr>
            <w:tcW w:w="1087" w:type="dxa"/>
            <w:noWrap/>
            <w:vAlign w:val="center"/>
          </w:tcPr>
          <w:p w14:paraId="56020389">
            <w:pPr>
              <w:spacing w:line="360" w:lineRule="auto"/>
              <w:jc w:val="center"/>
              <w:rPr>
                <w:rFonts w:asciiTheme="majorEastAsia" w:hAnsiTheme="majorEastAsia" w:eastAsiaTheme="majorEastAsia" w:cstheme="majorEastAsia"/>
                <w:sz w:val="24"/>
              </w:rPr>
            </w:pPr>
          </w:p>
        </w:tc>
      </w:tr>
      <w:tr w14:paraId="4605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04E260B3">
            <w:pPr>
              <w:spacing w:line="360" w:lineRule="auto"/>
              <w:jc w:val="center"/>
              <w:rPr>
                <w:rFonts w:asciiTheme="majorEastAsia" w:hAnsiTheme="majorEastAsia" w:eastAsiaTheme="majorEastAsia" w:cstheme="majorEastAsia"/>
                <w:sz w:val="24"/>
              </w:rPr>
            </w:pPr>
          </w:p>
        </w:tc>
        <w:tc>
          <w:tcPr>
            <w:tcW w:w="3266" w:type="dxa"/>
            <w:noWrap/>
            <w:vAlign w:val="center"/>
          </w:tcPr>
          <w:p w14:paraId="30ABC195">
            <w:pPr>
              <w:spacing w:line="360" w:lineRule="auto"/>
              <w:jc w:val="center"/>
              <w:rPr>
                <w:rFonts w:asciiTheme="majorEastAsia" w:hAnsiTheme="majorEastAsia" w:eastAsiaTheme="majorEastAsia" w:cstheme="majorEastAsia"/>
                <w:sz w:val="24"/>
              </w:rPr>
            </w:pPr>
          </w:p>
        </w:tc>
        <w:tc>
          <w:tcPr>
            <w:tcW w:w="3599" w:type="dxa"/>
            <w:noWrap/>
            <w:vAlign w:val="center"/>
          </w:tcPr>
          <w:p w14:paraId="28E422D8">
            <w:pPr>
              <w:spacing w:line="360" w:lineRule="auto"/>
              <w:jc w:val="center"/>
              <w:rPr>
                <w:rFonts w:asciiTheme="majorEastAsia" w:hAnsiTheme="majorEastAsia" w:eastAsiaTheme="majorEastAsia" w:cstheme="majorEastAsia"/>
                <w:sz w:val="24"/>
              </w:rPr>
            </w:pPr>
          </w:p>
        </w:tc>
        <w:tc>
          <w:tcPr>
            <w:tcW w:w="1062" w:type="dxa"/>
            <w:noWrap/>
            <w:vAlign w:val="center"/>
          </w:tcPr>
          <w:p w14:paraId="50E5217B">
            <w:pPr>
              <w:spacing w:line="360" w:lineRule="auto"/>
              <w:jc w:val="center"/>
              <w:rPr>
                <w:rFonts w:asciiTheme="majorEastAsia" w:hAnsiTheme="majorEastAsia" w:eastAsiaTheme="majorEastAsia" w:cstheme="majorEastAsia"/>
                <w:sz w:val="24"/>
              </w:rPr>
            </w:pPr>
          </w:p>
        </w:tc>
        <w:tc>
          <w:tcPr>
            <w:tcW w:w="1087" w:type="dxa"/>
            <w:noWrap/>
            <w:vAlign w:val="center"/>
          </w:tcPr>
          <w:p w14:paraId="5A131334">
            <w:pPr>
              <w:spacing w:line="360" w:lineRule="auto"/>
              <w:jc w:val="center"/>
              <w:rPr>
                <w:rFonts w:asciiTheme="majorEastAsia" w:hAnsiTheme="majorEastAsia" w:eastAsiaTheme="majorEastAsia" w:cstheme="majorEastAsia"/>
                <w:sz w:val="24"/>
              </w:rPr>
            </w:pPr>
          </w:p>
        </w:tc>
      </w:tr>
      <w:tr w14:paraId="07A6F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082A95D5">
            <w:pPr>
              <w:spacing w:line="360" w:lineRule="auto"/>
              <w:jc w:val="center"/>
              <w:rPr>
                <w:rFonts w:asciiTheme="majorEastAsia" w:hAnsiTheme="majorEastAsia" w:eastAsiaTheme="majorEastAsia" w:cstheme="majorEastAsia"/>
                <w:sz w:val="24"/>
              </w:rPr>
            </w:pPr>
          </w:p>
        </w:tc>
        <w:tc>
          <w:tcPr>
            <w:tcW w:w="3266" w:type="dxa"/>
            <w:noWrap/>
            <w:vAlign w:val="center"/>
          </w:tcPr>
          <w:p w14:paraId="2B66BDE8">
            <w:pPr>
              <w:spacing w:line="360" w:lineRule="auto"/>
              <w:jc w:val="center"/>
              <w:rPr>
                <w:rFonts w:asciiTheme="majorEastAsia" w:hAnsiTheme="majorEastAsia" w:eastAsiaTheme="majorEastAsia" w:cstheme="majorEastAsia"/>
                <w:sz w:val="24"/>
              </w:rPr>
            </w:pPr>
          </w:p>
        </w:tc>
        <w:tc>
          <w:tcPr>
            <w:tcW w:w="3599" w:type="dxa"/>
            <w:noWrap/>
            <w:vAlign w:val="center"/>
          </w:tcPr>
          <w:p w14:paraId="60E428A2">
            <w:pPr>
              <w:spacing w:line="360" w:lineRule="auto"/>
              <w:jc w:val="center"/>
              <w:rPr>
                <w:rFonts w:asciiTheme="majorEastAsia" w:hAnsiTheme="majorEastAsia" w:eastAsiaTheme="majorEastAsia" w:cstheme="majorEastAsia"/>
                <w:sz w:val="24"/>
              </w:rPr>
            </w:pPr>
          </w:p>
        </w:tc>
        <w:tc>
          <w:tcPr>
            <w:tcW w:w="1062" w:type="dxa"/>
            <w:noWrap/>
            <w:vAlign w:val="center"/>
          </w:tcPr>
          <w:p w14:paraId="78AA9B9F">
            <w:pPr>
              <w:spacing w:line="360" w:lineRule="auto"/>
              <w:jc w:val="center"/>
              <w:rPr>
                <w:rFonts w:asciiTheme="majorEastAsia" w:hAnsiTheme="majorEastAsia" w:eastAsiaTheme="majorEastAsia" w:cstheme="majorEastAsia"/>
                <w:sz w:val="24"/>
              </w:rPr>
            </w:pPr>
          </w:p>
        </w:tc>
        <w:tc>
          <w:tcPr>
            <w:tcW w:w="1087" w:type="dxa"/>
            <w:noWrap/>
            <w:vAlign w:val="center"/>
          </w:tcPr>
          <w:p w14:paraId="177FFA58">
            <w:pPr>
              <w:spacing w:line="360" w:lineRule="auto"/>
              <w:jc w:val="center"/>
              <w:rPr>
                <w:rFonts w:asciiTheme="majorEastAsia" w:hAnsiTheme="majorEastAsia" w:eastAsiaTheme="majorEastAsia" w:cstheme="majorEastAsia"/>
                <w:sz w:val="24"/>
              </w:rPr>
            </w:pPr>
          </w:p>
        </w:tc>
      </w:tr>
      <w:tr w14:paraId="4AA7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04C21F47">
            <w:pPr>
              <w:spacing w:line="360" w:lineRule="auto"/>
              <w:jc w:val="center"/>
              <w:rPr>
                <w:rFonts w:asciiTheme="majorEastAsia" w:hAnsiTheme="majorEastAsia" w:eastAsiaTheme="majorEastAsia" w:cstheme="majorEastAsia"/>
                <w:sz w:val="24"/>
              </w:rPr>
            </w:pPr>
          </w:p>
        </w:tc>
        <w:tc>
          <w:tcPr>
            <w:tcW w:w="3266" w:type="dxa"/>
            <w:noWrap/>
            <w:vAlign w:val="center"/>
          </w:tcPr>
          <w:p w14:paraId="69445781">
            <w:pPr>
              <w:spacing w:line="360" w:lineRule="auto"/>
              <w:jc w:val="center"/>
              <w:rPr>
                <w:rFonts w:asciiTheme="majorEastAsia" w:hAnsiTheme="majorEastAsia" w:eastAsiaTheme="majorEastAsia" w:cstheme="majorEastAsia"/>
                <w:sz w:val="24"/>
              </w:rPr>
            </w:pPr>
          </w:p>
        </w:tc>
        <w:tc>
          <w:tcPr>
            <w:tcW w:w="3599" w:type="dxa"/>
            <w:noWrap/>
            <w:vAlign w:val="center"/>
          </w:tcPr>
          <w:p w14:paraId="4B5B79E5">
            <w:pPr>
              <w:spacing w:line="360" w:lineRule="auto"/>
              <w:jc w:val="center"/>
              <w:rPr>
                <w:rFonts w:asciiTheme="majorEastAsia" w:hAnsiTheme="majorEastAsia" w:eastAsiaTheme="majorEastAsia" w:cstheme="majorEastAsia"/>
                <w:sz w:val="24"/>
              </w:rPr>
            </w:pPr>
          </w:p>
        </w:tc>
        <w:tc>
          <w:tcPr>
            <w:tcW w:w="1062" w:type="dxa"/>
            <w:noWrap/>
            <w:vAlign w:val="center"/>
          </w:tcPr>
          <w:p w14:paraId="013C5371">
            <w:pPr>
              <w:spacing w:line="360" w:lineRule="auto"/>
              <w:jc w:val="center"/>
              <w:rPr>
                <w:rFonts w:asciiTheme="majorEastAsia" w:hAnsiTheme="majorEastAsia" w:eastAsiaTheme="majorEastAsia" w:cstheme="majorEastAsia"/>
                <w:sz w:val="24"/>
              </w:rPr>
            </w:pPr>
          </w:p>
        </w:tc>
        <w:tc>
          <w:tcPr>
            <w:tcW w:w="1087" w:type="dxa"/>
            <w:noWrap/>
            <w:vAlign w:val="center"/>
          </w:tcPr>
          <w:p w14:paraId="6784384E">
            <w:pPr>
              <w:spacing w:line="360" w:lineRule="auto"/>
              <w:jc w:val="center"/>
              <w:rPr>
                <w:rFonts w:asciiTheme="majorEastAsia" w:hAnsiTheme="majorEastAsia" w:eastAsiaTheme="majorEastAsia" w:cstheme="majorEastAsia"/>
                <w:sz w:val="24"/>
              </w:rPr>
            </w:pPr>
          </w:p>
        </w:tc>
      </w:tr>
      <w:tr w14:paraId="69052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1AF48A88">
            <w:pPr>
              <w:spacing w:line="360" w:lineRule="auto"/>
              <w:jc w:val="center"/>
              <w:rPr>
                <w:rFonts w:asciiTheme="majorEastAsia" w:hAnsiTheme="majorEastAsia" w:eastAsiaTheme="majorEastAsia" w:cstheme="majorEastAsia"/>
                <w:sz w:val="24"/>
              </w:rPr>
            </w:pPr>
          </w:p>
        </w:tc>
        <w:tc>
          <w:tcPr>
            <w:tcW w:w="3266" w:type="dxa"/>
            <w:noWrap/>
            <w:vAlign w:val="center"/>
          </w:tcPr>
          <w:p w14:paraId="42454616">
            <w:pPr>
              <w:spacing w:line="360" w:lineRule="auto"/>
              <w:jc w:val="center"/>
              <w:rPr>
                <w:rFonts w:asciiTheme="majorEastAsia" w:hAnsiTheme="majorEastAsia" w:eastAsiaTheme="majorEastAsia" w:cstheme="majorEastAsia"/>
                <w:sz w:val="24"/>
              </w:rPr>
            </w:pPr>
          </w:p>
        </w:tc>
        <w:tc>
          <w:tcPr>
            <w:tcW w:w="3599" w:type="dxa"/>
            <w:noWrap/>
            <w:vAlign w:val="center"/>
          </w:tcPr>
          <w:p w14:paraId="0916F778">
            <w:pPr>
              <w:spacing w:line="360" w:lineRule="auto"/>
              <w:jc w:val="center"/>
              <w:rPr>
                <w:rFonts w:asciiTheme="majorEastAsia" w:hAnsiTheme="majorEastAsia" w:eastAsiaTheme="majorEastAsia" w:cstheme="majorEastAsia"/>
                <w:sz w:val="24"/>
              </w:rPr>
            </w:pPr>
          </w:p>
        </w:tc>
        <w:tc>
          <w:tcPr>
            <w:tcW w:w="1062" w:type="dxa"/>
            <w:noWrap/>
            <w:vAlign w:val="center"/>
          </w:tcPr>
          <w:p w14:paraId="46ACDB75">
            <w:pPr>
              <w:spacing w:line="360" w:lineRule="auto"/>
              <w:jc w:val="center"/>
              <w:rPr>
                <w:rFonts w:asciiTheme="majorEastAsia" w:hAnsiTheme="majorEastAsia" w:eastAsiaTheme="majorEastAsia" w:cstheme="majorEastAsia"/>
                <w:sz w:val="24"/>
              </w:rPr>
            </w:pPr>
          </w:p>
        </w:tc>
        <w:tc>
          <w:tcPr>
            <w:tcW w:w="1087" w:type="dxa"/>
            <w:noWrap/>
            <w:vAlign w:val="center"/>
          </w:tcPr>
          <w:p w14:paraId="62B12F0B">
            <w:pPr>
              <w:spacing w:line="360" w:lineRule="auto"/>
              <w:jc w:val="center"/>
              <w:rPr>
                <w:rFonts w:asciiTheme="majorEastAsia" w:hAnsiTheme="majorEastAsia" w:eastAsiaTheme="majorEastAsia" w:cstheme="majorEastAsia"/>
                <w:sz w:val="24"/>
              </w:rPr>
            </w:pPr>
          </w:p>
        </w:tc>
      </w:tr>
      <w:tr w14:paraId="0B6F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4D5B70D5">
            <w:pPr>
              <w:spacing w:line="360" w:lineRule="auto"/>
              <w:jc w:val="center"/>
              <w:rPr>
                <w:rFonts w:asciiTheme="majorEastAsia" w:hAnsiTheme="majorEastAsia" w:eastAsiaTheme="majorEastAsia" w:cstheme="majorEastAsia"/>
                <w:sz w:val="24"/>
              </w:rPr>
            </w:pPr>
          </w:p>
        </w:tc>
        <w:tc>
          <w:tcPr>
            <w:tcW w:w="3266" w:type="dxa"/>
            <w:noWrap/>
            <w:vAlign w:val="center"/>
          </w:tcPr>
          <w:p w14:paraId="0375F107">
            <w:pPr>
              <w:spacing w:line="360" w:lineRule="auto"/>
              <w:jc w:val="center"/>
              <w:rPr>
                <w:rFonts w:asciiTheme="majorEastAsia" w:hAnsiTheme="majorEastAsia" w:eastAsiaTheme="majorEastAsia" w:cstheme="majorEastAsia"/>
                <w:sz w:val="24"/>
              </w:rPr>
            </w:pPr>
          </w:p>
        </w:tc>
        <w:tc>
          <w:tcPr>
            <w:tcW w:w="3599" w:type="dxa"/>
            <w:noWrap/>
            <w:vAlign w:val="center"/>
          </w:tcPr>
          <w:p w14:paraId="60B3DBF1">
            <w:pPr>
              <w:spacing w:line="360" w:lineRule="auto"/>
              <w:jc w:val="center"/>
              <w:rPr>
                <w:rFonts w:asciiTheme="majorEastAsia" w:hAnsiTheme="majorEastAsia" w:eastAsiaTheme="majorEastAsia" w:cstheme="majorEastAsia"/>
                <w:sz w:val="24"/>
              </w:rPr>
            </w:pPr>
          </w:p>
        </w:tc>
        <w:tc>
          <w:tcPr>
            <w:tcW w:w="1062" w:type="dxa"/>
            <w:noWrap/>
            <w:vAlign w:val="center"/>
          </w:tcPr>
          <w:p w14:paraId="699E78C0">
            <w:pPr>
              <w:spacing w:line="360" w:lineRule="auto"/>
              <w:jc w:val="center"/>
              <w:rPr>
                <w:rFonts w:asciiTheme="majorEastAsia" w:hAnsiTheme="majorEastAsia" w:eastAsiaTheme="majorEastAsia" w:cstheme="majorEastAsia"/>
                <w:sz w:val="24"/>
              </w:rPr>
            </w:pPr>
          </w:p>
        </w:tc>
        <w:tc>
          <w:tcPr>
            <w:tcW w:w="1087" w:type="dxa"/>
            <w:noWrap/>
            <w:vAlign w:val="center"/>
          </w:tcPr>
          <w:p w14:paraId="56908C75">
            <w:pPr>
              <w:spacing w:line="360" w:lineRule="auto"/>
              <w:jc w:val="center"/>
              <w:rPr>
                <w:rFonts w:asciiTheme="majorEastAsia" w:hAnsiTheme="majorEastAsia" w:eastAsiaTheme="majorEastAsia" w:cstheme="majorEastAsia"/>
                <w:sz w:val="24"/>
              </w:rPr>
            </w:pPr>
          </w:p>
        </w:tc>
      </w:tr>
      <w:tr w14:paraId="3185A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1077E822">
            <w:pPr>
              <w:spacing w:line="360" w:lineRule="auto"/>
              <w:jc w:val="center"/>
              <w:rPr>
                <w:rFonts w:asciiTheme="majorEastAsia" w:hAnsiTheme="majorEastAsia" w:eastAsiaTheme="majorEastAsia" w:cstheme="majorEastAsia"/>
                <w:sz w:val="24"/>
              </w:rPr>
            </w:pPr>
          </w:p>
        </w:tc>
        <w:tc>
          <w:tcPr>
            <w:tcW w:w="3266" w:type="dxa"/>
            <w:noWrap/>
            <w:vAlign w:val="center"/>
          </w:tcPr>
          <w:p w14:paraId="3AF41589">
            <w:pPr>
              <w:spacing w:line="360" w:lineRule="auto"/>
              <w:jc w:val="center"/>
              <w:rPr>
                <w:rFonts w:asciiTheme="majorEastAsia" w:hAnsiTheme="majorEastAsia" w:eastAsiaTheme="majorEastAsia" w:cstheme="majorEastAsia"/>
                <w:sz w:val="24"/>
              </w:rPr>
            </w:pPr>
          </w:p>
        </w:tc>
        <w:tc>
          <w:tcPr>
            <w:tcW w:w="3599" w:type="dxa"/>
            <w:noWrap/>
            <w:vAlign w:val="center"/>
          </w:tcPr>
          <w:p w14:paraId="691F73E6">
            <w:pPr>
              <w:spacing w:line="360" w:lineRule="auto"/>
              <w:jc w:val="center"/>
              <w:rPr>
                <w:rFonts w:asciiTheme="majorEastAsia" w:hAnsiTheme="majorEastAsia" w:eastAsiaTheme="majorEastAsia" w:cstheme="majorEastAsia"/>
                <w:sz w:val="24"/>
              </w:rPr>
            </w:pPr>
          </w:p>
        </w:tc>
        <w:tc>
          <w:tcPr>
            <w:tcW w:w="1062" w:type="dxa"/>
            <w:noWrap/>
            <w:vAlign w:val="center"/>
          </w:tcPr>
          <w:p w14:paraId="06A76FAC">
            <w:pPr>
              <w:spacing w:line="360" w:lineRule="auto"/>
              <w:jc w:val="center"/>
              <w:rPr>
                <w:rFonts w:asciiTheme="majorEastAsia" w:hAnsiTheme="majorEastAsia" w:eastAsiaTheme="majorEastAsia" w:cstheme="majorEastAsia"/>
                <w:sz w:val="24"/>
              </w:rPr>
            </w:pPr>
          </w:p>
        </w:tc>
        <w:tc>
          <w:tcPr>
            <w:tcW w:w="1087" w:type="dxa"/>
            <w:noWrap/>
            <w:vAlign w:val="center"/>
          </w:tcPr>
          <w:p w14:paraId="65C44F3C">
            <w:pPr>
              <w:spacing w:line="360" w:lineRule="auto"/>
              <w:jc w:val="center"/>
              <w:rPr>
                <w:rFonts w:asciiTheme="majorEastAsia" w:hAnsiTheme="majorEastAsia" w:eastAsiaTheme="majorEastAsia" w:cstheme="majorEastAsia"/>
                <w:sz w:val="24"/>
              </w:rPr>
            </w:pPr>
          </w:p>
        </w:tc>
      </w:tr>
      <w:tr w14:paraId="1DB0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7EBD4D52">
            <w:pPr>
              <w:spacing w:line="360" w:lineRule="auto"/>
              <w:jc w:val="center"/>
              <w:rPr>
                <w:rFonts w:asciiTheme="majorEastAsia" w:hAnsiTheme="majorEastAsia" w:eastAsiaTheme="majorEastAsia" w:cstheme="majorEastAsia"/>
                <w:sz w:val="24"/>
              </w:rPr>
            </w:pPr>
          </w:p>
        </w:tc>
        <w:tc>
          <w:tcPr>
            <w:tcW w:w="3266" w:type="dxa"/>
            <w:noWrap/>
            <w:vAlign w:val="center"/>
          </w:tcPr>
          <w:p w14:paraId="6817300B">
            <w:pPr>
              <w:spacing w:line="360" w:lineRule="auto"/>
              <w:jc w:val="center"/>
              <w:rPr>
                <w:rFonts w:asciiTheme="majorEastAsia" w:hAnsiTheme="majorEastAsia" w:eastAsiaTheme="majorEastAsia" w:cstheme="majorEastAsia"/>
                <w:sz w:val="24"/>
              </w:rPr>
            </w:pPr>
          </w:p>
        </w:tc>
        <w:tc>
          <w:tcPr>
            <w:tcW w:w="3599" w:type="dxa"/>
            <w:noWrap/>
            <w:vAlign w:val="center"/>
          </w:tcPr>
          <w:p w14:paraId="221E3908">
            <w:pPr>
              <w:spacing w:line="360" w:lineRule="auto"/>
              <w:jc w:val="center"/>
              <w:rPr>
                <w:rFonts w:asciiTheme="majorEastAsia" w:hAnsiTheme="majorEastAsia" w:eastAsiaTheme="majorEastAsia" w:cstheme="majorEastAsia"/>
                <w:sz w:val="24"/>
              </w:rPr>
            </w:pPr>
          </w:p>
        </w:tc>
        <w:tc>
          <w:tcPr>
            <w:tcW w:w="1062" w:type="dxa"/>
            <w:noWrap/>
            <w:vAlign w:val="center"/>
          </w:tcPr>
          <w:p w14:paraId="40159F08">
            <w:pPr>
              <w:spacing w:line="360" w:lineRule="auto"/>
              <w:jc w:val="center"/>
              <w:rPr>
                <w:rFonts w:asciiTheme="majorEastAsia" w:hAnsiTheme="majorEastAsia" w:eastAsiaTheme="majorEastAsia" w:cstheme="majorEastAsia"/>
                <w:sz w:val="24"/>
              </w:rPr>
            </w:pPr>
          </w:p>
        </w:tc>
        <w:tc>
          <w:tcPr>
            <w:tcW w:w="1087" w:type="dxa"/>
            <w:noWrap/>
            <w:vAlign w:val="center"/>
          </w:tcPr>
          <w:p w14:paraId="2E262986">
            <w:pPr>
              <w:spacing w:line="360" w:lineRule="auto"/>
              <w:jc w:val="center"/>
              <w:rPr>
                <w:rFonts w:asciiTheme="majorEastAsia" w:hAnsiTheme="majorEastAsia" w:eastAsiaTheme="majorEastAsia" w:cstheme="majorEastAsia"/>
                <w:sz w:val="24"/>
              </w:rPr>
            </w:pPr>
          </w:p>
        </w:tc>
      </w:tr>
      <w:tr w14:paraId="013AC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ign w:val="center"/>
          </w:tcPr>
          <w:p w14:paraId="339AE9E2">
            <w:pPr>
              <w:spacing w:line="360" w:lineRule="auto"/>
              <w:jc w:val="center"/>
              <w:rPr>
                <w:rFonts w:asciiTheme="majorEastAsia" w:hAnsiTheme="majorEastAsia" w:eastAsiaTheme="majorEastAsia" w:cstheme="majorEastAsia"/>
                <w:sz w:val="24"/>
              </w:rPr>
            </w:pPr>
          </w:p>
        </w:tc>
        <w:tc>
          <w:tcPr>
            <w:tcW w:w="3266" w:type="dxa"/>
            <w:noWrap/>
            <w:vAlign w:val="center"/>
          </w:tcPr>
          <w:p w14:paraId="63DBA8C5">
            <w:pPr>
              <w:spacing w:line="360" w:lineRule="auto"/>
              <w:jc w:val="center"/>
              <w:rPr>
                <w:rFonts w:asciiTheme="majorEastAsia" w:hAnsiTheme="majorEastAsia" w:eastAsiaTheme="majorEastAsia" w:cstheme="majorEastAsia"/>
                <w:sz w:val="24"/>
              </w:rPr>
            </w:pPr>
          </w:p>
        </w:tc>
        <w:tc>
          <w:tcPr>
            <w:tcW w:w="3599" w:type="dxa"/>
            <w:noWrap/>
            <w:vAlign w:val="center"/>
          </w:tcPr>
          <w:p w14:paraId="3DCF588B">
            <w:pPr>
              <w:spacing w:line="360" w:lineRule="auto"/>
              <w:jc w:val="center"/>
              <w:rPr>
                <w:rFonts w:asciiTheme="majorEastAsia" w:hAnsiTheme="majorEastAsia" w:eastAsiaTheme="majorEastAsia" w:cstheme="majorEastAsia"/>
                <w:sz w:val="24"/>
              </w:rPr>
            </w:pPr>
          </w:p>
        </w:tc>
        <w:tc>
          <w:tcPr>
            <w:tcW w:w="1062" w:type="dxa"/>
            <w:noWrap/>
            <w:vAlign w:val="center"/>
          </w:tcPr>
          <w:p w14:paraId="66D455C2">
            <w:pPr>
              <w:spacing w:line="360" w:lineRule="auto"/>
              <w:jc w:val="center"/>
              <w:rPr>
                <w:rFonts w:asciiTheme="majorEastAsia" w:hAnsiTheme="majorEastAsia" w:eastAsiaTheme="majorEastAsia" w:cstheme="majorEastAsia"/>
                <w:sz w:val="24"/>
              </w:rPr>
            </w:pPr>
          </w:p>
        </w:tc>
        <w:tc>
          <w:tcPr>
            <w:tcW w:w="1087" w:type="dxa"/>
            <w:noWrap/>
            <w:vAlign w:val="center"/>
          </w:tcPr>
          <w:p w14:paraId="46E66450">
            <w:pPr>
              <w:spacing w:line="360" w:lineRule="auto"/>
              <w:jc w:val="center"/>
              <w:rPr>
                <w:rFonts w:asciiTheme="majorEastAsia" w:hAnsiTheme="majorEastAsia" w:eastAsiaTheme="majorEastAsia" w:cstheme="majorEastAsia"/>
                <w:sz w:val="24"/>
              </w:rPr>
            </w:pPr>
          </w:p>
        </w:tc>
      </w:tr>
    </w:tbl>
    <w:p w14:paraId="425B0375">
      <w:pPr>
        <w:autoSpaceDE w:val="0"/>
        <w:autoSpaceDN w:val="0"/>
        <w:adjustRightInd w:val="0"/>
        <w:spacing w:line="360" w:lineRule="auto"/>
        <w:rPr>
          <w:rFonts w:asciiTheme="majorEastAsia" w:hAnsiTheme="majorEastAsia" w:eastAsiaTheme="majorEastAsia" w:cstheme="majorEastAsia"/>
          <w:sz w:val="24"/>
        </w:rPr>
      </w:pPr>
    </w:p>
    <w:p w14:paraId="781250EF">
      <w:pPr>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说明：</w:t>
      </w:r>
    </w:p>
    <w:p w14:paraId="39920C2C">
      <w:pPr>
        <w:numPr>
          <w:ilvl w:val="0"/>
          <w:numId w:val="6"/>
        </w:numPr>
        <w:spacing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投标文件根据招标文件商务要求填写。</w:t>
      </w:r>
    </w:p>
    <w:p w14:paraId="7384C354">
      <w:pPr>
        <w:spacing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2、偏离情况填写：正偏离、无偏离、负偏离。响应说明填写：对偏离情况做出详细说明。</w:t>
      </w:r>
    </w:p>
    <w:p w14:paraId="57C5B193">
      <w:pPr>
        <w:spacing w:line="360" w:lineRule="auto"/>
        <w:ind w:firstLine="720" w:firstLineChars="300"/>
        <w:rPr>
          <w:rFonts w:asciiTheme="majorEastAsia" w:hAnsiTheme="majorEastAsia" w:eastAsiaTheme="majorEastAsia" w:cstheme="majorEastAsia"/>
          <w:sz w:val="24"/>
        </w:rPr>
      </w:pPr>
    </w:p>
    <w:p w14:paraId="56433F62">
      <w:pPr>
        <w:spacing w:line="480" w:lineRule="auto"/>
        <w:ind w:right="-161" w:firstLine="3120" w:firstLineChars="13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法人代表或被授权代表签字：</w:t>
      </w:r>
    </w:p>
    <w:p w14:paraId="58731147">
      <w:pPr>
        <w:spacing w:line="480" w:lineRule="auto"/>
        <w:ind w:right="-161" w:firstLine="3120" w:firstLineChars="13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   标   单  位  公  章：</w:t>
      </w:r>
    </w:p>
    <w:p w14:paraId="271F2476">
      <w:pPr>
        <w:jc w:val="center"/>
        <w:rPr>
          <w:rFonts w:asciiTheme="majorEastAsia" w:hAnsiTheme="majorEastAsia" w:eastAsiaTheme="majorEastAsia" w:cstheme="majorEastAsia"/>
          <w:b/>
          <w:sz w:val="36"/>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                    期：</w:t>
      </w:r>
    </w:p>
    <w:p w14:paraId="47E4B747">
      <w:pPr>
        <w:spacing w:afterLines="20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3-2、技术参数偏离表</w:t>
      </w:r>
    </w:p>
    <w:tbl>
      <w:tblPr>
        <w:tblStyle w:val="25"/>
        <w:tblW w:w="9247"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74"/>
        <w:gridCol w:w="1865"/>
        <w:gridCol w:w="2542"/>
        <w:gridCol w:w="1255"/>
        <w:gridCol w:w="1270"/>
      </w:tblGrid>
      <w:tr w14:paraId="72D78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2" w:hRule="atLeast"/>
        </w:trPr>
        <w:tc>
          <w:tcPr>
            <w:tcW w:w="841" w:type="dxa"/>
            <w:noWrap/>
            <w:vAlign w:val="center"/>
          </w:tcPr>
          <w:p w14:paraId="6C3CBCE5">
            <w:pPr>
              <w:adjustRightInd w:val="0"/>
              <w:snapToGrid w:val="0"/>
              <w:ind w:right="23"/>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1474" w:type="dxa"/>
            <w:noWrap/>
            <w:vAlign w:val="center"/>
          </w:tcPr>
          <w:p w14:paraId="45901DCF">
            <w:pPr>
              <w:adjustRightInd w:val="0"/>
              <w:snapToGrid w:val="0"/>
              <w:ind w:right="23"/>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名称</w:t>
            </w:r>
          </w:p>
        </w:tc>
        <w:tc>
          <w:tcPr>
            <w:tcW w:w="1865" w:type="dxa"/>
            <w:noWrap/>
            <w:vAlign w:val="center"/>
          </w:tcPr>
          <w:p w14:paraId="7E94DD12">
            <w:pPr>
              <w:adjustRightInd w:val="0"/>
              <w:snapToGrid w:val="0"/>
              <w:ind w:right="23"/>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sz w:val="24"/>
              </w:rPr>
              <w:t>招标文件技术要求</w:t>
            </w:r>
          </w:p>
        </w:tc>
        <w:tc>
          <w:tcPr>
            <w:tcW w:w="2542" w:type="dxa"/>
            <w:noWrap/>
            <w:vAlign w:val="center"/>
          </w:tcPr>
          <w:p w14:paraId="3A676231">
            <w:pPr>
              <w:adjustRightInd w:val="0"/>
              <w:snapToGrid w:val="0"/>
              <w:ind w:right="23"/>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sz w:val="24"/>
              </w:rPr>
              <w:t>投标文件技术响应</w:t>
            </w:r>
          </w:p>
        </w:tc>
        <w:tc>
          <w:tcPr>
            <w:tcW w:w="1255" w:type="dxa"/>
            <w:noWrap/>
            <w:vAlign w:val="center"/>
          </w:tcPr>
          <w:p w14:paraId="7BD02F09">
            <w:pPr>
              <w:adjustRightInd w:val="0"/>
              <w:snapToGrid w:val="0"/>
              <w:ind w:right="23"/>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偏离情况</w:t>
            </w:r>
          </w:p>
        </w:tc>
        <w:tc>
          <w:tcPr>
            <w:tcW w:w="1270" w:type="dxa"/>
            <w:noWrap/>
            <w:vAlign w:val="center"/>
          </w:tcPr>
          <w:p w14:paraId="1C969F9A">
            <w:pPr>
              <w:adjustRightInd w:val="0"/>
              <w:snapToGrid w:val="0"/>
              <w:ind w:right="23"/>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备注</w:t>
            </w:r>
          </w:p>
        </w:tc>
      </w:tr>
      <w:tr w14:paraId="6A130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26BF3EC7">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53043087">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59D11DB9">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7151F6F6">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21332D76">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2EB7A818">
            <w:pPr>
              <w:adjustRightInd w:val="0"/>
              <w:snapToGrid w:val="0"/>
              <w:spacing w:line="360" w:lineRule="auto"/>
              <w:ind w:right="24"/>
              <w:rPr>
                <w:rFonts w:asciiTheme="majorEastAsia" w:hAnsiTheme="majorEastAsia" w:eastAsiaTheme="majorEastAsia" w:cstheme="majorEastAsia"/>
                <w:bCs/>
                <w:sz w:val="24"/>
              </w:rPr>
            </w:pPr>
          </w:p>
        </w:tc>
      </w:tr>
      <w:tr w14:paraId="7C909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41" w:type="dxa"/>
            <w:noWrap/>
          </w:tcPr>
          <w:p w14:paraId="3DF4ED12">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1AF5A341">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5F0FE59D">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5B035D5B">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13EC636F">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2AC2AFC3">
            <w:pPr>
              <w:adjustRightInd w:val="0"/>
              <w:snapToGrid w:val="0"/>
              <w:spacing w:line="360" w:lineRule="auto"/>
              <w:ind w:right="24"/>
              <w:rPr>
                <w:rFonts w:asciiTheme="majorEastAsia" w:hAnsiTheme="majorEastAsia" w:eastAsiaTheme="majorEastAsia" w:cstheme="majorEastAsia"/>
                <w:bCs/>
                <w:sz w:val="24"/>
              </w:rPr>
            </w:pPr>
          </w:p>
        </w:tc>
      </w:tr>
      <w:tr w14:paraId="55AD9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40C20E63">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14B2A8E2">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2ABD9034">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48241AD8">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748EB1D5">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214D4408">
            <w:pPr>
              <w:adjustRightInd w:val="0"/>
              <w:snapToGrid w:val="0"/>
              <w:spacing w:line="360" w:lineRule="auto"/>
              <w:ind w:right="24"/>
              <w:rPr>
                <w:rFonts w:asciiTheme="majorEastAsia" w:hAnsiTheme="majorEastAsia" w:eastAsiaTheme="majorEastAsia" w:cstheme="majorEastAsia"/>
                <w:bCs/>
                <w:sz w:val="24"/>
              </w:rPr>
            </w:pPr>
          </w:p>
        </w:tc>
      </w:tr>
      <w:tr w14:paraId="50978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7EB03495">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42F2B38F">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767B5D68">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07641D55">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6743F662">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1A164AE3">
            <w:pPr>
              <w:adjustRightInd w:val="0"/>
              <w:snapToGrid w:val="0"/>
              <w:spacing w:line="360" w:lineRule="auto"/>
              <w:ind w:right="24"/>
              <w:rPr>
                <w:rFonts w:asciiTheme="majorEastAsia" w:hAnsiTheme="majorEastAsia" w:eastAsiaTheme="majorEastAsia" w:cstheme="majorEastAsia"/>
                <w:bCs/>
                <w:sz w:val="24"/>
              </w:rPr>
            </w:pPr>
          </w:p>
        </w:tc>
      </w:tr>
      <w:tr w14:paraId="78FAB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647689C7">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3AC76623">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09CB1710">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63115ADE">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783521FF">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5E475D85">
            <w:pPr>
              <w:adjustRightInd w:val="0"/>
              <w:snapToGrid w:val="0"/>
              <w:spacing w:line="360" w:lineRule="auto"/>
              <w:ind w:right="24"/>
              <w:rPr>
                <w:rFonts w:asciiTheme="majorEastAsia" w:hAnsiTheme="majorEastAsia" w:eastAsiaTheme="majorEastAsia" w:cstheme="majorEastAsia"/>
                <w:bCs/>
                <w:sz w:val="24"/>
              </w:rPr>
            </w:pPr>
          </w:p>
        </w:tc>
      </w:tr>
      <w:tr w14:paraId="4E90B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32D92D86">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52BDBF63">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006E48F2">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46FD9574">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75245625">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581CBCBC">
            <w:pPr>
              <w:adjustRightInd w:val="0"/>
              <w:snapToGrid w:val="0"/>
              <w:spacing w:line="360" w:lineRule="auto"/>
              <w:ind w:right="24"/>
              <w:rPr>
                <w:rFonts w:asciiTheme="majorEastAsia" w:hAnsiTheme="majorEastAsia" w:eastAsiaTheme="majorEastAsia" w:cstheme="majorEastAsia"/>
                <w:bCs/>
                <w:sz w:val="24"/>
              </w:rPr>
            </w:pPr>
          </w:p>
        </w:tc>
      </w:tr>
      <w:tr w14:paraId="69DF9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07F0E3C9">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37EA4BCA">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29D61BF0">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03376D0A">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0BB6B1B2">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48B252F5">
            <w:pPr>
              <w:adjustRightInd w:val="0"/>
              <w:snapToGrid w:val="0"/>
              <w:spacing w:line="360" w:lineRule="auto"/>
              <w:ind w:right="24"/>
              <w:rPr>
                <w:rFonts w:asciiTheme="majorEastAsia" w:hAnsiTheme="majorEastAsia" w:eastAsiaTheme="majorEastAsia" w:cstheme="majorEastAsia"/>
                <w:bCs/>
                <w:sz w:val="24"/>
              </w:rPr>
            </w:pPr>
          </w:p>
        </w:tc>
      </w:tr>
      <w:tr w14:paraId="2CCC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502B2B48">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45915B4D">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224C0EFE">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02EF46B9">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123E4518">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4B51A5C1">
            <w:pPr>
              <w:adjustRightInd w:val="0"/>
              <w:snapToGrid w:val="0"/>
              <w:spacing w:line="360" w:lineRule="auto"/>
              <w:ind w:right="24"/>
              <w:rPr>
                <w:rFonts w:asciiTheme="majorEastAsia" w:hAnsiTheme="majorEastAsia" w:eastAsiaTheme="majorEastAsia" w:cstheme="majorEastAsia"/>
                <w:bCs/>
                <w:sz w:val="24"/>
              </w:rPr>
            </w:pPr>
          </w:p>
        </w:tc>
      </w:tr>
      <w:tr w14:paraId="4F2E6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68971833">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43FE256A">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6EC09CD7">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4694A788">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52AE91B9">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0314B7D8">
            <w:pPr>
              <w:adjustRightInd w:val="0"/>
              <w:snapToGrid w:val="0"/>
              <w:spacing w:line="360" w:lineRule="auto"/>
              <w:ind w:right="24"/>
              <w:rPr>
                <w:rFonts w:asciiTheme="majorEastAsia" w:hAnsiTheme="majorEastAsia" w:eastAsiaTheme="majorEastAsia" w:cstheme="majorEastAsia"/>
                <w:bCs/>
                <w:sz w:val="24"/>
              </w:rPr>
            </w:pPr>
          </w:p>
        </w:tc>
      </w:tr>
      <w:tr w14:paraId="5AFCE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49F8A159">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26828F77">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663E3A8B">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55A746D2">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7BD3C089">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78F53B85">
            <w:pPr>
              <w:adjustRightInd w:val="0"/>
              <w:snapToGrid w:val="0"/>
              <w:spacing w:line="360" w:lineRule="auto"/>
              <w:ind w:right="24"/>
              <w:rPr>
                <w:rFonts w:asciiTheme="majorEastAsia" w:hAnsiTheme="majorEastAsia" w:eastAsiaTheme="majorEastAsia" w:cstheme="majorEastAsia"/>
                <w:bCs/>
                <w:sz w:val="24"/>
              </w:rPr>
            </w:pPr>
          </w:p>
        </w:tc>
      </w:tr>
      <w:tr w14:paraId="30F48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7DEE48DE">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3871E7C5">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7FAE98BC">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39A4DD1E">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3309B2D3">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77681E41">
            <w:pPr>
              <w:adjustRightInd w:val="0"/>
              <w:snapToGrid w:val="0"/>
              <w:spacing w:line="360" w:lineRule="auto"/>
              <w:ind w:right="24"/>
              <w:rPr>
                <w:rFonts w:asciiTheme="majorEastAsia" w:hAnsiTheme="majorEastAsia" w:eastAsiaTheme="majorEastAsia" w:cstheme="majorEastAsia"/>
                <w:bCs/>
                <w:sz w:val="24"/>
              </w:rPr>
            </w:pPr>
          </w:p>
        </w:tc>
      </w:tr>
      <w:tr w14:paraId="7CECA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3117CE16">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51C96CCE">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46CF95ED">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789A553F">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564C1079">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3830E39B">
            <w:pPr>
              <w:adjustRightInd w:val="0"/>
              <w:snapToGrid w:val="0"/>
              <w:spacing w:line="360" w:lineRule="auto"/>
              <w:ind w:right="24"/>
              <w:rPr>
                <w:rFonts w:asciiTheme="majorEastAsia" w:hAnsiTheme="majorEastAsia" w:eastAsiaTheme="majorEastAsia" w:cstheme="majorEastAsia"/>
                <w:bCs/>
                <w:sz w:val="24"/>
              </w:rPr>
            </w:pPr>
          </w:p>
        </w:tc>
      </w:tr>
      <w:tr w14:paraId="63843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4C4ED7CA">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6C2EE65E">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6289ECBB">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0B4B0020">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1607CE90">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791548C6">
            <w:pPr>
              <w:adjustRightInd w:val="0"/>
              <w:snapToGrid w:val="0"/>
              <w:spacing w:line="360" w:lineRule="auto"/>
              <w:ind w:right="24"/>
              <w:rPr>
                <w:rFonts w:asciiTheme="majorEastAsia" w:hAnsiTheme="majorEastAsia" w:eastAsiaTheme="majorEastAsia" w:cstheme="majorEastAsia"/>
                <w:bCs/>
                <w:sz w:val="24"/>
              </w:rPr>
            </w:pPr>
          </w:p>
        </w:tc>
      </w:tr>
      <w:tr w14:paraId="52E91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tcPr>
          <w:p w14:paraId="5EAD6F60">
            <w:pPr>
              <w:adjustRightInd w:val="0"/>
              <w:snapToGrid w:val="0"/>
              <w:spacing w:line="360" w:lineRule="auto"/>
              <w:ind w:right="24"/>
              <w:rPr>
                <w:rFonts w:asciiTheme="majorEastAsia" w:hAnsiTheme="majorEastAsia" w:eastAsiaTheme="majorEastAsia" w:cstheme="majorEastAsia"/>
                <w:bCs/>
                <w:sz w:val="24"/>
              </w:rPr>
            </w:pPr>
          </w:p>
        </w:tc>
        <w:tc>
          <w:tcPr>
            <w:tcW w:w="1474" w:type="dxa"/>
            <w:noWrap/>
          </w:tcPr>
          <w:p w14:paraId="2B5B8D8C">
            <w:pPr>
              <w:adjustRightInd w:val="0"/>
              <w:snapToGrid w:val="0"/>
              <w:spacing w:line="360" w:lineRule="auto"/>
              <w:ind w:right="24"/>
              <w:rPr>
                <w:rFonts w:asciiTheme="majorEastAsia" w:hAnsiTheme="majorEastAsia" w:eastAsiaTheme="majorEastAsia" w:cstheme="majorEastAsia"/>
                <w:bCs/>
                <w:sz w:val="24"/>
              </w:rPr>
            </w:pPr>
          </w:p>
        </w:tc>
        <w:tc>
          <w:tcPr>
            <w:tcW w:w="1865" w:type="dxa"/>
            <w:noWrap/>
          </w:tcPr>
          <w:p w14:paraId="2E06CBB4">
            <w:pPr>
              <w:adjustRightInd w:val="0"/>
              <w:snapToGrid w:val="0"/>
              <w:spacing w:line="360" w:lineRule="auto"/>
              <w:ind w:right="24"/>
              <w:rPr>
                <w:rFonts w:asciiTheme="majorEastAsia" w:hAnsiTheme="majorEastAsia" w:eastAsiaTheme="majorEastAsia" w:cstheme="majorEastAsia"/>
                <w:bCs/>
                <w:sz w:val="24"/>
              </w:rPr>
            </w:pPr>
          </w:p>
        </w:tc>
        <w:tc>
          <w:tcPr>
            <w:tcW w:w="2542" w:type="dxa"/>
            <w:noWrap/>
          </w:tcPr>
          <w:p w14:paraId="21F3871D">
            <w:pPr>
              <w:adjustRightInd w:val="0"/>
              <w:snapToGrid w:val="0"/>
              <w:spacing w:line="360" w:lineRule="auto"/>
              <w:ind w:right="24"/>
              <w:rPr>
                <w:rFonts w:asciiTheme="majorEastAsia" w:hAnsiTheme="majorEastAsia" w:eastAsiaTheme="majorEastAsia" w:cstheme="majorEastAsia"/>
                <w:bCs/>
                <w:sz w:val="24"/>
              </w:rPr>
            </w:pPr>
          </w:p>
        </w:tc>
        <w:tc>
          <w:tcPr>
            <w:tcW w:w="1255" w:type="dxa"/>
            <w:noWrap/>
          </w:tcPr>
          <w:p w14:paraId="4E8B2E2B">
            <w:pPr>
              <w:adjustRightInd w:val="0"/>
              <w:snapToGrid w:val="0"/>
              <w:spacing w:line="360" w:lineRule="auto"/>
              <w:ind w:right="24"/>
              <w:rPr>
                <w:rFonts w:asciiTheme="majorEastAsia" w:hAnsiTheme="majorEastAsia" w:eastAsiaTheme="majorEastAsia" w:cstheme="majorEastAsia"/>
                <w:bCs/>
                <w:sz w:val="24"/>
              </w:rPr>
            </w:pPr>
          </w:p>
        </w:tc>
        <w:tc>
          <w:tcPr>
            <w:tcW w:w="1270" w:type="dxa"/>
            <w:noWrap/>
          </w:tcPr>
          <w:p w14:paraId="0D650530">
            <w:pPr>
              <w:adjustRightInd w:val="0"/>
              <w:snapToGrid w:val="0"/>
              <w:spacing w:line="360" w:lineRule="auto"/>
              <w:ind w:right="24"/>
              <w:rPr>
                <w:rFonts w:asciiTheme="majorEastAsia" w:hAnsiTheme="majorEastAsia" w:eastAsiaTheme="majorEastAsia" w:cstheme="majorEastAsia"/>
                <w:bCs/>
                <w:sz w:val="24"/>
              </w:rPr>
            </w:pPr>
          </w:p>
        </w:tc>
      </w:tr>
    </w:tbl>
    <w:p w14:paraId="3248F7B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注：1.投标人应按照招标文件中的技术规格（参数）的内容逐项响应。</w:t>
      </w:r>
    </w:p>
    <w:p w14:paraId="78A7B38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2.投标人应逐条如实填写投标货物的技术规格(参数),如有偏离情况须做出详细说明并提供相应的支持文件。 </w:t>
      </w:r>
    </w:p>
    <w:p w14:paraId="7B6808A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3.偏离情况填写：正偏离、无偏离、负偏离。</w:t>
      </w:r>
    </w:p>
    <w:p w14:paraId="4A237EDE">
      <w:pPr>
        <w:spacing w:line="400" w:lineRule="exact"/>
        <w:ind w:left="-141" w:leftChars="-67" w:firstLine="480" w:firstLineChars="200"/>
        <w:rPr>
          <w:rFonts w:asciiTheme="majorEastAsia" w:hAnsiTheme="majorEastAsia" w:eastAsiaTheme="majorEastAsia" w:cstheme="majorEastAsia"/>
          <w:sz w:val="24"/>
        </w:rPr>
      </w:pPr>
    </w:p>
    <w:p w14:paraId="62D1D92F">
      <w:pPr>
        <w:adjustRightInd w:val="0"/>
        <w:spacing w:line="400" w:lineRule="exact"/>
        <w:ind w:firstLine="367" w:firstLineChars="175"/>
        <w:jc w:val="left"/>
        <w:rPr>
          <w:rFonts w:asciiTheme="majorEastAsia" w:hAnsiTheme="majorEastAsia" w:eastAsiaTheme="majorEastAsia" w:cstheme="majorEastAsia"/>
          <w:bCs/>
          <w:szCs w:val="21"/>
        </w:rPr>
      </w:pPr>
    </w:p>
    <w:p w14:paraId="53CC3A28">
      <w:pPr>
        <w:spacing w:line="480" w:lineRule="auto"/>
        <w:ind w:right="-161" w:firstLine="3120" w:firstLineChars="13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法人代表或被授权代表签字：</w:t>
      </w:r>
    </w:p>
    <w:p w14:paraId="6EAA4997">
      <w:pPr>
        <w:spacing w:line="480" w:lineRule="auto"/>
        <w:ind w:right="-161" w:firstLine="3120" w:firstLineChars="13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   标   单  位  公  章：</w:t>
      </w:r>
    </w:p>
    <w:p w14:paraId="13EBCE4F">
      <w:pPr>
        <w:jc w:val="center"/>
        <w:rPr>
          <w:rFonts w:asciiTheme="majorEastAsia" w:hAnsiTheme="majorEastAsia" w:eastAsiaTheme="majorEastAsia" w:cstheme="majorEastAsia"/>
          <w:b/>
          <w:sz w:val="36"/>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                    期：</w:t>
      </w:r>
    </w:p>
    <w:p w14:paraId="2D51699B">
      <w:pP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p w14:paraId="64518C2B">
      <w:pPr>
        <w:spacing w:line="480" w:lineRule="exact"/>
        <w:ind w:left="210" w:leftChars="100"/>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sz w:val="32"/>
          <w:szCs w:val="32"/>
        </w:rPr>
        <w:t>四、</w:t>
      </w:r>
      <w:bookmarkStart w:id="154" w:name="_Toc308451529"/>
      <w:r>
        <w:rPr>
          <w:rFonts w:hint="eastAsia" w:asciiTheme="majorEastAsia" w:hAnsiTheme="majorEastAsia" w:eastAsiaTheme="majorEastAsia" w:cstheme="majorEastAsia"/>
          <w:b/>
          <w:bCs/>
          <w:sz w:val="32"/>
          <w:szCs w:val="32"/>
        </w:rPr>
        <w:t>法定代表人证明书及法定代表人授权书</w:t>
      </w:r>
    </w:p>
    <w:p w14:paraId="11D4EFF3">
      <w:pPr>
        <w:spacing w:line="480" w:lineRule="exact"/>
        <w:ind w:left="210" w:leftChars="100"/>
        <w:jc w:val="center"/>
        <w:rPr>
          <w:rFonts w:asciiTheme="majorEastAsia" w:hAnsiTheme="majorEastAsia" w:eastAsiaTheme="majorEastAsia" w:cstheme="majorEastAsia"/>
          <w:b/>
          <w:bCs/>
          <w:sz w:val="24"/>
        </w:rPr>
      </w:pPr>
      <w:bookmarkStart w:id="155" w:name="_Toc26087"/>
      <w:r>
        <w:rPr>
          <w:rFonts w:hint="eastAsia" w:asciiTheme="majorEastAsia" w:hAnsiTheme="majorEastAsia" w:eastAsiaTheme="majorEastAsia" w:cstheme="majorEastAsia"/>
          <w:b/>
          <w:bCs/>
          <w:sz w:val="24"/>
        </w:rPr>
        <w:t>4-1、法定代表人证明书</w:t>
      </w:r>
      <w:bookmarkEnd w:id="15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14:paraId="2A61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noWrap/>
          </w:tcPr>
          <w:p w14:paraId="0C10BE02">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 xml:space="preserve">致：    （采购人）     </w:t>
            </w:r>
          </w:p>
        </w:tc>
      </w:tr>
      <w:tr w14:paraId="3337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noWrap/>
            <w:vAlign w:val="center"/>
          </w:tcPr>
          <w:p w14:paraId="3004FF46">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项目名称</w:t>
            </w:r>
          </w:p>
        </w:tc>
        <w:tc>
          <w:tcPr>
            <w:tcW w:w="7883" w:type="dxa"/>
            <w:gridSpan w:val="5"/>
            <w:noWrap/>
          </w:tcPr>
          <w:p w14:paraId="07C439D0">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02B0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noWrap/>
            <w:vAlign w:val="center"/>
          </w:tcPr>
          <w:p w14:paraId="6BC981FB">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文件编号</w:t>
            </w:r>
          </w:p>
        </w:tc>
        <w:tc>
          <w:tcPr>
            <w:tcW w:w="7883" w:type="dxa"/>
            <w:gridSpan w:val="5"/>
            <w:noWrap/>
          </w:tcPr>
          <w:p w14:paraId="678E86A9">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6F9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noWrap/>
            <w:vAlign w:val="center"/>
          </w:tcPr>
          <w:p w14:paraId="0496418F">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权   限</w:t>
            </w:r>
          </w:p>
        </w:tc>
        <w:tc>
          <w:tcPr>
            <w:tcW w:w="7883" w:type="dxa"/>
            <w:gridSpan w:val="5"/>
            <w:noWrap/>
            <w:vAlign w:val="center"/>
          </w:tcPr>
          <w:p w14:paraId="7F51E05B">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办理本次采购项目的投标、联系、洽谈、签约、执行等具体事务，签署全部有关文件、文书、协议及合同。</w:t>
            </w:r>
          </w:p>
        </w:tc>
      </w:tr>
      <w:tr w14:paraId="7814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noWrap/>
            <w:vAlign w:val="center"/>
          </w:tcPr>
          <w:p w14:paraId="2A987012">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企业</w:t>
            </w:r>
          </w:p>
          <w:p w14:paraId="1B03F4AF">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信息</w:t>
            </w:r>
          </w:p>
        </w:tc>
        <w:tc>
          <w:tcPr>
            <w:tcW w:w="2281" w:type="dxa"/>
            <w:noWrap/>
          </w:tcPr>
          <w:p w14:paraId="26C218BE">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 xml:space="preserve">企 业 名 称 </w:t>
            </w:r>
          </w:p>
        </w:tc>
        <w:tc>
          <w:tcPr>
            <w:tcW w:w="5602" w:type="dxa"/>
            <w:gridSpan w:val="4"/>
            <w:noWrap/>
          </w:tcPr>
          <w:p w14:paraId="562B8146">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0C13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ign w:val="center"/>
          </w:tcPr>
          <w:p w14:paraId="7D431A64">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2281" w:type="dxa"/>
            <w:noWrap/>
          </w:tcPr>
          <w:p w14:paraId="54974BC1">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法 定 地 址</w:t>
            </w:r>
          </w:p>
        </w:tc>
        <w:tc>
          <w:tcPr>
            <w:tcW w:w="5602" w:type="dxa"/>
            <w:gridSpan w:val="4"/>
            <w:noWrap/>
          </w:tcPr>
          <w:p w14:paraId="7AEDC918">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4245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ign w:val="center"/>
          </w:tcPr>
          <w:p w14:paraId="4CD93880">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2281" w:type="dxa"/>
            <w:noWrap/>
          </w:tcPr>
          <w:p w14:paraId="2A4579D0">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统一社会信用代码</w:t>
            </w:r>
          </w:p>
        </w:tc>
        <w:tc>
          <w:tcPr>
            <w:tcW w:w="5602" w:type="dxa"/>
            <w:gridSpan w:val="4"/>
            <w:noWrap/>
          </w:tcPr>
          <w:p w14:paraId="2963E260">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7953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ign w:val="center"/>
          </w:tcPr>
          <w:p w14:paraId="55E91B4B">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2281" w:type="dxa"/>
            <w:noWrap/>
          </w:tcPr>
          <w:p w14:paraId="583147F4">
            <w:pPr>
              <w:tabs>
                <w:tab w:val="right" w:leader="dot" w:pos="9022"/>
              </w:tabs>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工商登记机关</w:t>
            </w:r>
          </w:p>
        </w:tc>
        <w:tc>
          <w:tcPr>
            <w:tcW w:w="5602" w:type="dxa"/>
            <w:gridSpan w:val="4"/>
            <w:noWrap/>
          </w:tcPr>
          <w:p w14:paraId="63E655F3">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0DEE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ign w:val="center"/>
          </w:tcPr>
          <w:p w14:paraId="4731F817">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2281" w:type="dxa"/>
            <w:noWrap/>
          </w:tcPr>
          <w:p w14:paraId="6EEAC771">
            <w:pPr>
              <w:tabs>
                <w:tab w:val="right" w:leader="dot" w:pos="9022"/>
              </w:tabs>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网    址</w:t>
            </w:r>
          </w:p>
        </w:tc>
        <w:tc>
          <w:tcPr>
            <w:tcW w:w="5602" w:type="dxa"/>
            <w:gridSpan w:val="4"/>
            <w:noWrap/>
          </w:tcPr>
          <w:p w14:paraId="43A47788">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22DF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noWrap/>
            <w:vAlign w:val="center"/>
          </w:tcPr>
          <w:p w14:paraId="2883D43F">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法定代</w:t>
            </w:r>
          </w:p>
          <w:p w14:paraId="6F5F2BB0">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表人</w:t>
            </w:r>
          </w:p>
        </w:tc>
        <w:tc>
          <w:tcPr>
            <w:tcW w:w="2281" w:type="dxa"/>
            <w:noWrap/>
          </w:tcPr>
          <w:p w14:paraId="3216401F">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姓    名</w:t>
            </w:r>
          </w:p>
        </w:tc>
        <w:tc>
          <w:tcPr>
            <w:tcW w:w="1814" w:type="dxa"/>
            <w:gridSpan w:val="2"/>
            <w:noWrap/>
          </w:tcPr>
          <w:p w14:paraId="18C1F5F4">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34" w:type="dxa"/>
            <w:noWrap/>
          </w:tcPr>
          <w:p w14:paraId="2E91D195">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性    别</w:t>
            </w:r>
          </w:p>
        </w:tc>
        <w:tc>
          <w:tcPr>
            <w:tcW w:w="2554" w:type="dxa"/>
            <w:noWrap/>
          </w:tcPr>
          <w:p w14:paraId="16A91B84">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1C1A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ign w:val="center"/>
          </w:tcPr>
          <w:p w14:paraId="5998B7D0">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2281" w:type="dxa"/>
            <w:noWrap/>
          </w:tcPr>
          <w:p w14:paraId="2E430C48">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职    务</w:t>
            </w:r>
          </w:p>
        </w:tc>
        <w:tc>
          <w:tcPr>
            <w:tcW w:w="1814" w:type="dxa"/>
            <w:gridSpan w:val="2"/>
            <w:noWrap/>
          </w:tcPr>
          <w:p w14:paraId="102B7725">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34" w:type="dxa"/>
            <w:noWrap/>
          </w:tcPr>
          <w:p w14:paraId="1EACAAE9">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联系电话</w:t>
            </w:r>
          </w:p>
        </w:tc>
        <w:tc>
          <w:tcPr>
            <w:tcW w:w="2554" w:type="dxa"/>
            <w:noWrap/>
          </w:tcPr>
          <w:p w14:paraId="7C8FDB40">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2AD0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ign w:val="center"/>
          </w:tcPr>
          <w:p w14:paraId="0404FBDD">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2281" w:type="dxa"/>
            <w:noWrap/>
          </w:tcPr>
          <w:p w14:paraId="23AA0CE0">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传    真</w:t>
            </w:r>
          </w:p>
        </w:tc>
        <w:tc>
          <w:tcPr>
            <w:tcW w:w="5602" w:type="dxa"/>
            <w:gridSpan w:val="4"/>
            <w:noWrap/>
          </w:tcPr>
          <w:p w14:paraId="0D469433">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194C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noWrap/>
            <w:vAlign w:val="center"/>
          </w:tcPr>
          <w:p w14:paraId="66571E70">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2281" w:type="dxa"/>
            <w:noWrap/>
          </w:tcPr>
          <w:p w14:paraId="178514D9">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通讯地址</w:t>
            </w:r>
          </w:p>
        </w:tc>
        <w:tc>
          <w:tcPr>
            <w:tcW w:w="5602" w:type="dxa"/>
            <w:gridSpan w:val="4"/>
            <w:noWrap/>
          </w:tcPr>
          <w:p w14:paraId="2F984B52">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5CC3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noWrap/>
          </w:tcPr>
          <w:p w14:paraId="2FD7D7ED">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p w14:paraId="658545A2">
            <w:pPr>
              <w:tabs>
                <w:tab w:val="right" w:leader="dot" w:pos="9022"/>
              </w:tabs>
              <w:autoSpaceDE w:val="0"/>
              <w:autoSpaceDN w:val="0"/>
              <w:adjustRightInd w:val="0"/>
              <w:spacing w:line="360" w:lineRule="auto"/>
              <w:jc w:val="center"/>
              <w:rPr>
                <w:rFonts w:asciiTheme="majorEastAsia" w:hAnsiTheme="majorEastAsia" w:eastAsiaTheme="majorEastAsia" w:cstheme="majorEastAsia"/>
                <w:spacing w:val="-4"/>
                <w:sz w:val="24"/>
              </w:rPr>
            </w:pPr>
          </w:p>
          <w:p w14:paraId="4F2937DF">
            <w:pPr>
              <w:tabs>
                <w:tab w:val="right" w:leader="dot" w:pos="9022"/>
              </w:tabs>
              <w:autoSpaceDE w:val="0"/>
              <w:autoSpaceDN w:val="0"/>
              <w:adjustRightInd w:val="0"/>
              <w:spacing w:line="360" w:lineRule="auto"/>
              <w:jc w:val="center"/>
              <w:rPr>
                <w:rFonts w:asciiTheme="majorEastAsia" w:hAnsiTheme="majorEastAsia" w:eastAsiaTheme="majorEastAsia" w:cstheme="majorEastAsia"/>
                <w:spacing w:val="-4"/>
                <w:sz w:val="24"/>
              </w:rPr>
            </w:pPr>
          </w:p>
          <w:p w14:paraId="56AD3E6E">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spacing w:val="-4"/>
                <w:sz w:val="24"/>
              </w:rPr>
              <w:t>法定代表人二代身份证正面复印件或扫描件</w:t>
            </w:r>
          </w:p>
          <w:p w14:paraId="02743504">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p w14:paraId="4365283C">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4627" w:type="dxa"/>
            <w:gridSpan w:val="3"/>
            <w:noWrap/>
          </w:tcPr>
          <w:p w14:paraId="7B469DF0">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p w14:paraId="58403EE6">
            <w:pPr>
              <w:tabs>
                <w:tab w:val="right" w:leader="dot" w:pos="9022"/>
              </w:tabs>
              <w:autoSpaceDE w:val="0"/>
              <w:autoSpaceDN w:val="0"/>
              <w:adjustRightInd w:val="0"/>
              <w:spacing w:line="360" w:lineRule="auto"/>
              <w:jc w:val="center"/>
              <w:rPr>
                <w:rFonts w:asciiTheme="majorEastAsia" w:hAnsiTheme="majorEastAsia" w:eastAsiaTheme="majorEastAsia" w:cstheme="majorEastAsia"/>
                <w:spacing w:val="-4"/>
                <w:sz w:val="24"/>
              </w:rPr>
            </w:pPr>
          </w:p>
          <w:p w14:paraId="5E94588C">
            <w:pPr>
              <w:tabs>
                <w:tab w:val="right" w:leader="dot" w:pos="9022"/>
              </w:tabs>
              <w:autoSpaceDE w:val="0"/>
              <w:autoSpaceDN w:val="0"/>
              <w:adjustRightInd w:val="0"/>
              <w:spacing w:line="360" w:lineRule="auto"/>
              <w:jc w:val="center"/>
              <w:rPr>
                <w:rFonts w:asciiTheme="majorEastAsia" w:hAnsiTheme="majorEastAsia" w:eastAsiaTheme="majorEastAsia" w:cstheme="majorEastAsia"/>
                <w:spacing w:val="-4"/>
                <w:sz w:val="24"/>
              </w:rPr>
            </w:pPr>
          </w:p>
          <w:p w14:paraId="6162DB09">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spacing w:val="-4"/>
                <w:sz w:val="24"/>
              </w:rPr>
              <w:t>法定代表人二代身份证反面复印件或扫描件</w:t>
            </w:r>
          </w:p>
          <w:p w14:paraId="18B8ECCD">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r>
      <w:tr w14:paraId="6ADF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noWrap/>
          </w:tcPr>
          <w:p w14:paraId="412C0B20">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法定代表人签字</w:t>
            </w:r>
            <w:r>
              <w:rPr>
                <w:rFonts w:hint="eastAsia" w:asciiTheme="majorEastAsia" w:hAnsiTheme="majorEastAsia" w:eastAsiaTheme="majorEastAsia" w:cstheme="majorEastAsia"/>
                <w:bCs/>
                <w:caps/>
                <w:sz w:val="24"/>
                <w:lang w:val="en-US" w:eastAsia="zh-CN"/>
              </w:rPr>
              <w:t>或</w:t>
            </w:r>
            <w:r>
              <w:rPr>
                <w:rFonts w:hint="eastAsia" w:asciiTheme="majorEastAsia" w:hAnsiTheme="majorEastAsia" w:eastAsiaTheme="majorEastAsia" w:cstheme="majorEastAsia"/>
                <w:bCs/>
                <w:caps/>
                <w:sz w:val="24"/>
              </w:rPr>
              <w:t>盖章：</w:t>
            </w:r>
          </w:p>
        </w:tc>
      </w:tr>
    </w:tbl>
    <w:p w14:paraId="7CB40F5C">
      <w:pPr>
        <w:spacing w:line="360" w:lineRule="auto"/>
        <w:ind w:right="-161" w:firstLine="2880" w:firstLineChars="1200"/>
        <w:rPr>
          <w:rFonts w:asciiTheme="majorEastAsia" w:hAnsiTheme="majorEastAsia" w:eastAsiaTheme="majorEastAsia" w:cstheme="majorEastAsia"/>
          <w:sz w:val="24"/>
        </w:rPr>
      </w:pPr>
    </w:p>
    <w:p w14:paraId="1145F109">
      <w:pPr>
        <w:ind w:firstLine="5280" w:firstLineChars="2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投标人（盖章）：</w:t>
      </w:r>
    </w:p>
    <w:p w14:paraId="0417501D">
      <w:pPr>
        <w:ind w:firstLine="3360" w:firstLineChars="140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日    期：</w:t>
      </w:r>
      <w:r>
        <w:rPr>
          <w:rFonts w:hint="eastAsia" w:asciiTheme="majorEastAsia" w:hAnsiTheme="majorEastAsia" w:eastAsiaTheme="majorEastAsia" w:cstheme="majorEastAsia"/>
        </w:rPr>
        <w:br w:type="page"/>
      </w:r>
      <w:bookmarkStart w:id="156" w:name="_Toc20979"/>
      <w:r>
        <w:rPr>
          <w:rFonts w:hint="eastAsia" w:asciiTheme="majorEastAsia" w:hAnsiTheme="majorEastAsia" w:eastAsiaTheme="majorEastAsia" w:cstheme="majorEastAsia"/>
          <w:b/>
          <w:bCs/>
          <w:sz w:val="24"/>
        </w:rPr>
        <w:t>4-2、法定代表人授权书</w:t>
      </w:r>
      <w:bookmarkEnd w:id="156"/>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14:paraId="4D4D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noWrap/>
          </w:tcPr>
          <w:p w14:paraId="7730CA34">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 xml:space="preserve">致：     （采购人）     </w:t>
            </w:r>
          </w:p>
        </w:tc>
      </w:tr>
      <w:tr w14:paraId="51CF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ign w:val="center"/>
          </w:tcPr>
          <w:p w14:paraId="6D667CB9">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被授</w:t>
            </w:r>
          </w:p>
          <w:p w14:paraId="66BDAFAB">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权项</w:t>
            </w:r>
          </w:p>
          <w:p w14:paraId="38EEA4CA">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目与</w:t>
            </w:r>
          </w:p>
          <w:p w14:paraId="72477ED2">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内容</w:t>
            </w:r>
          </w:p>
        </w:tc>
        <w:tc>
          <w:tcPr>
            <w:tcW w:w="1244" w:type="dxa"/>
            <w:noWrap/>
          </w:tcPr>
          <w:p w14:paraId="20AEDD43">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项目名称</w:t>
            </w:r>
          </w:p>
        </w:tc>
        <w:tc>
          <w:tcPr>
            <w:tcW w:w="6553" w:type="dxa"/>
            <w:gridSpan w:val="5"/>
            <w:noWrap/>
          </w:tcPr>
          <w:p w14:paraId="3B023AEB">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57A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tcPr>
          <w:p w14:paraId="628EE26E">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44" w:type="dxa"/>
            <w:noWrap/>
          </w:tcPr>
          <w:p w14:paraId="38CD278D">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文件编号</w:t>
            </w:r>
          </w:p>
        </w:tc>
        <w:tc>
          <w:tcPr>
            <w:tcW w:w="6553" w:type="dxa"/>
            <w:gridSpan w:val="5"/>
            <w:noWrap/>
          </w:tcPr>
          <w:p w14:paraId="5177430F">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2029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noWrap/>
          </w:tcPr>
          <w:p w14:paraId="7F8B8BCD">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44" w:type="dxa"/>
            <w:noWrap/>
            <w:vAlign w:val="center"/>
          </w:tcPr>
          <w:p w14:paraId="0BCB5C35">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授权范围</w:t>
            </w:r>
          </w:p>
        </w:tc>
        <w:tc>
          <w:tcPr>
            <w:tcW w:w="6553" w:type="dxa"/>
            <w:gridSpan w:val="5"/>
            <w:noWrap/>
          </w:tcPr>
          <w:p w14:paraId="1005ECC1">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全权办理本次采购项目的投标、联系、洽谈、签约、执行等具体事务，签署全部有关文件、文书、协议及合同。</w:t>
            </w:r>
          </w:p>
        </w:tc>
      </w:tr>
      <w:tr w14:paraId="0C0F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tcPr>
          <w:p w14:paraId="1760DD5E">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44" w:type="dxa"/>
            <w:noWrap/>
          </w:tcPr>
          <w:p w14:paraId="1E5A8AFB">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法律责任</w:t>
            </w:r>
          </w:p>
        </w:tc>
        <w:tc>
          <w:tcPr>
            <w:tcW w:w="6553" w:type="dxa"/>
            <w:gridSpan w:val="5"/>
            <w:noWrap/>
          </w:tcPr>
          <w:p w14:paraId="4D0158E2">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本公司对被授权人在本项目中的签名承担全部法律责任。</w:t>
            </w:r>
          </w:p>
        </w:tc>
      </w:tr>
      <w:tr w14:paraId="59F1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tcPr>
          <w:p w14:paraId="4D6FD64C">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44" w:type="dxa"/>
            <w:noWrap/>
            <w:vAlign w:val="center"/>
          </w:tcPr>
          <w:p w14:paraId="5FE4AE7C">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授权期限</w:t>
            </w:r>
          </w:p>
        </w:tc>
        <w:tc>
          <w:tcPr>
            <w:tcW w:w="6553" w:type="dxa"/>
            <w:gridSpan w:val="5"/>
            <w:noWrap/>
            <w:vAlign w:val="center"/>
          </w:tcPr>
          <w:p w14:paraId="75F85780">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本授权书自提交投标文件的截止之日起</w:t>
            </w:r>
            <w:r>
              <w:rPr>
                <w:rFonts w:hint="eastAsia" w:asciiTheme="majorEastAsia" w:hAnsiTheme="majorEastAsia" w:eastAsiaTheme="majorEastAsia" w:cstheme="majorEastAsia"/>
                <w:bCs/>
                <w:caps/>
                <w:sz w:val="24"/>
                <w:u w:val="single"/>
                <w:lang w:val="en-US" w:eastAsia="zh-CN"/>
              </w:rPr>
              <w:t xml:space="preserve"> </w:t>
            </w:r>
            <w:r>
              <w:rPr>
                <w:rFonts w:hint="eastAsia" w:asciiTheme="majorEastAsia" w:hAnsiTheme="majorEastAsia" w:eastAsiaTheme="majorEastAsia" w:cstheme="majorEastAsia"/>
                <w:bCs/>
                <w:caps/>
                <w:sz w:val="24"/>
              </w:rPr>
              <w:t>个日历日</w:t>
            </w:r>
          </w:p>
        </w:tc>
      </w:tr>
      <w:tr w14:paraId="5CF1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ign w:val="center"/>
          </w:tcPr>
          <w:p w14:paraId="44CB1165">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企业信息</w:t>
            </w:r>
          </w:p>
        </w:tc>
        <w:tc>
          <w:tcPr>
            <w:tcW w:w="2285" w:type="dxa"/>
            <w:gridSpan w:val="2"/>
            <w:noWrap/>
          </w:tcPr>
          <w:p w14:paraId="66E51E40">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 xml:space="preserve">企 业 名 称 </w:t>
            </w:r>
          </w:p>
        </w:tc>
        <w:tc>
          <w:tcPr>
            <w:tcW w:w="5512" w:type="dxa"/>
            <w:gridSpan w:val="4"/>
            <w:noWrap/>
            <w:vAlign w:val="center"/>
          </w:tcPr>
          <w:p w14:paraId="0A02EBA8">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p>
        </w:tc>
      </w:tr>
      <w:tr w14:paraId="1388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tcPr>
          <w:p w14:paraId="29D2831C">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2285" w:type="dxa"/>
            <w:gridSpan w:val="2"/>
            <w:noWrap/>
          </w:tcPr>
          <w:p w14:paraId="68292C7D">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法 定 地 址</w:t>
            </w:r>
          </w:p>
        </w:tc>
        <w:tc>
          <w:tcPr>
            <w:tcW w:w="5512" w:type="dxa"/>
            <w:gridSpan w:val="4"/>
            <w:noWrap/>
            <w:vAlign w:val="center"/>
          </w:tcPr>
          <w:p w14:paraId="4E7CC407">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p>
        </w:tc>
      </w:tr>
      <w:tr w14:paraId="2DA8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tcPr>
          <w:p w14:paraId="3973CB2E">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2285" w:type="dxa"/>
            <w:gridSpan w:val="2"/>
            <w:noWrap/>
          </w:tcPr>
          <w:p w14:paraId="71149720">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统一社会信用代码</w:t>
            </w:r>
          </w:p>
        </w:tc>
        <w:tc>
          <w:tcPr>
            <w:tcW w:w="5512" w:type="dxa"/>
            <w:gridSpan w:val="4"/>
            <w:noWrap/>
            <w:vAlign w:val="center"/>
          </w:tcPr>
          <w:p w14:paraId="2EEF2931">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p>
        </w:tc>
      </w:tr>
      <w:tr w14:paraId="0494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ign w:val="center"/>
          </w:tcPr>
          <w:p w14:paraId="03673D5B">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法定代表人</w:t>
            </w:r>
          </w:p>
        </w:tc>
        <w:tc>
          <w:tcPr>
            <w:tcW w:w="1244" w:type="dxa"/>
            <w:noWrap/>
            <w:vAlign w:val="center"/>
          </w:tcPr>
          <w:p w14:paraId="4A7E5973">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姓名</w:t>
            </w:r>
          </w:p>
        </w:tc>
        <w:tc>
          <w:tcPr>
            <w:tcW w:w="2472" w:type="dxa"/>
            <w:gridSpan w:val="3"/>
            <w:noWrap/>
            <w:vAlign w:val="center"/>
          </w:tcPr>
          <w:p w14:paraId="56A0E1AC">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1432" w:type="dxa"/>
            <w:noWrap/>
            <w:vAlign w:val="center"/>
          </w:tcPr>
          <w:p w14:paraId="508AC1FD">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性    别</w:t>
            </w:r>
          </w:p>
        </w:tc>
        <w:tc>
          <w:tcPr>
            <w:tcW w:w="2649" w:type="dxa"/>
            <w:noWrap/>
            <w:vAlign w:val="center"/>
          </w:tcPr>
          <w:p w14:paraId="239FFF4E">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r>
      <w:tr w14:paraId="04A8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vAlign w:val="center"/>
          </w:tcPr>
          <w:p w14:paraId="6B6F3AB5">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44" w:type="dxa"/>
            <w:noWrap/>
            <w:vAlign w:val="center"/>
          </w:tcPr>
          <w:p w14:paraId="3F2F2B82">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职务</w:t>
            </w:r>
          </w:p>
        </w:tc>
        <w:tc>
          <w:tcPr>
            <w:tcW w:w="2472" w:type="dxa"/>
            <w:gridSpan w:val="3"/>
            <w:noWrap/>
            <w:vAlign w:val="center"/>
          </w:tcPr>
          <w:p w14:paraId="56F71938">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1432" w:type="dxa"/>
            <w:noWrap/>
            <w:vAlign w:val="center"/>
          </w:tcPr>
          <w:p w14:paraId="30AEDF19">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手机号码</w:t>
            </w:r>
          </w:p>
        </w:tc>
        <w:tc>
          <w:tcPr>
            <w:tcW w:w="2649" w:type="dxa"/>
            <w:noWrap/>
            <w:vAlign w:val="center"/>
          </w:tcPr>
          <w:p w14:paraId="3F456DB4">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p>
        </w:tc>
      </w:tr>
      <w:tr w14:paraId="5CD6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noWrap/>
            <w:vAlign w:val="center"/>
          </w:tcPr>
          <w:p w14:paraId="193D93C2">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被授权人</w:t>
            </w:r>
          </w:p>
        </w:tc>
        <w:tc>
          <w:tcPr>
            <w:tcW w:w="1244" w:type="dxa"/>
            <w:noWrap/>
            <w:vAlign w:val="center"/>
          </w:tcPr>
          <w:p w14:paraId="582A42BB">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姓名</w:t>
            </w:r>
          </w:p>
        </w:tc>
        <w:tc>
          <w:tcPr>
            <w:tcW w:w="2472" w:type="dxa"/>
            <w:gridSpan w:val="3"/>
            <w:noWrap/>
            <w:vAlign w:val="center"/>
          </w:tcPr>
          <w:p w14:paraId="33F7C1AD">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1432" w:type="dxa"/>
            <w:noWrap/>
            <w:vAlign w:val="center"/>
          </w:tcPr>
          <w:p w14:paraId="697E40DD">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性    别</w:t>
            </w:r>
          </w:p>
        </w:tc>
        <w:tc>
          <w:tcPr>
            <w:tcW w:w="2649" w:type="dxa"/>
            <w:noWrap/>
            <w:vAlign w:val="center"/>
          </w:tcPr>
          <w:p w14:paraId="168891C0">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r>
      <w:tr w14:paraId="4463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noWrap/>
          </w:tcPr>
          <w:p w14:paraId="2DB7FD22">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1244" w:type="dxa"/>
            <w:noWrap/>
            <w:vAlign w:val="center"/>
          </w:tcPr>
          <w:p w14:paraId="79192E56">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职务</w:t>
            </w:r>
          </w:p>
        </w:tc>
        <w:tc>
          <w:tcPr>
            <w:tcW w:w="2472" w:type="dxa"/>
            <w:gridSpan w:val="3"/>
            <w:noWrap/>
            <w:vAlign w:val="center"/>
          </w:tcPr>
          <w:p w14:paraId="7F0EE691">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1432" w:type="dxa"/>
            <w:noWrap/>
            <w:vAlign w:val="center"/>
          </w:tcPr>
          <w:p w14:paraId="2C19DE87">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手机号码</w:t>
            </w:r>
          </w:p>
        </w:tc>
        <w:tc>
          <w:tcPr>
            <w:tcW w:w="2649" w:type="dxa"/>
            <w:noWrap/>
          </w:tcPr>
          <w:p w14:paraId="42416361">
            <w:pPr>
              <w:tabs>
                <w:tab w:val="right" w:leader="dot" w:pos="9022"/>
              </w:tabs>
              <w:autoSpaceDE w:val="0"/>
              <w:autoSpaceDN w:val="0"/>
              <w:adjustRightInd w:val="0"/>
              <w:spacing w:line="360" w:lineRule="auto"/>
              <w:rPr>
                <w:rFonts w:asciiTheme="majorEastAsia" w:hAnsiTheme="majorEastAsia" w:eastAsiaTheme="majorEastAsia" w:cstheme="majorEastAsia"/>
                <w:bCs/>
                <w:caps/>
                <w:sz w:val="24"/>
              </w:rPr>
            </w:pPr>
          </w:p>
        </w:tc>
      </w:tr>
      <w:tr w14:paraId="080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noWrap/>
          </w:tcPr>
          <w:p w14:paraId="70E4D2D7">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通讯地址</w:t>
            </w:r>
          </w:p>
        </w:tc>
        <w:tc>
          <w:tcPr>
            <w:tcW w:w="7797" w:type="dxa"/>
            <w:gridSpan w:val="6"/>
            <w:noWrap/>
          </w:tcPr>
          <w:p w14:paraId="783274B0">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11C7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noWrap/>
          </w:tcPr>
          <w:p w14:paraId="5C79ADAD">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p w14:paraId="2AFC5CFB">
            <w:pPr>
              <w:tabs>
                <w:tab w:val="right" w:leader="dot" w:pos="9022"/>
              </w:tabs>
              <w:autoSpaceDE w:val="0"/>
              <w:autoSpaceDN w:val="0"/>
              <w:adjustRightInd w:val="0"/>
              <w:spacing w:line="360" w:lineRule="auto"/>
              <w:jc w:val="center"/>
              <w:rPr>
                <w:rFonts w:asciiTheme="majorEastAsia" w:hAnsiTheme="majorEastAsia" w:eastAsiaTheme="majorEastAsia" w:cstheme="majorEastAsia"/>
                <w:spacing w:val="-4"/>
                <w:sz w:val="24"/>
              </w:rPr>
            </w:pPr>
          </w:p>
          <w:p w14:paraId="01E67FDA">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spacing w:val="-4"/>
                <w:sz w:val="24"/>
              </w:rPr>
              <w:t>法定代表人二代身份证正面复印件或扫描件</w:t>
            </w:r>
          </w:p>
          <w:p w14:paraId="3632AAC2">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p w14:paraId="36902492">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c>
          <w:tcPr>
            <w:tcW w:w="4712" w:type="dxa"/>
            <w:gridSpan w:val="3"/>
            <w:noWrap/>
          </w:tcPr>
          <w:p w14:paraId="56A46FA5">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p w14:paraId="62A5F7CD">
            <w:pPr>
              <w:tabs>
                <w:tab w:val="right" w:leader="dot" w:pos="9022"/>
              </w:tabs>
              <w:autoSpaceDE w:val="0"/>
              <w:autoSpaceDN w:val="0"/>
              <w:adjustRightInd w:val="0"/>
              <w:spacing w:line="360" w:lineRule="auto"/>
              <w:jc w:val="center"/>
              <w:rPr>
                <w:rFonts w:asciiTheme="majorEastAsia" w:hAnsiTheme="majorEastAsia" w:eastAsiaTheme="majorEastAsia" w:cstheme="majorEastAsia"/>
                <w:spacing w:val="-4"/>
                <w:sz w:val="24"/>
              </w:rPr>
            </w:pPr>
          </w:p>
          <w:p w14:paraId="7551A37B">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spacing w:val="-4"/>
                <w:sz w:val="24"/>
              </w:rPr>
              <w:t>法定代表人二代身份证反面复印件或扫描件</w:t>
            </w:r>
          </w:p>
          <w:p w14:paraId="24534AA4">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p>
        </w:tc>
      </w:tr>
      <w:tr w14:paraId="0B6B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4648" w:type="dxa"/>
            <w:gridSpan w:val="4"/>
            <w:noWrap/>
            <w:vAlign w:val="center"/>
          </w:tcPr>
          <w:p w14:paraId="1B776B2A">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spacing w:val="-4"/>
                <w:sz w:val="24"/>
              </w:rPr>
              <w:t>被授权人二代身份证正面复印件或扫描件</w:t>
            </w:r>
          </w:p>
          <w:p w14:paraId="0FCCFAF8">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c>
          <w:tcPr>
            <w:tcW w:w="4712" w:type="dxa"/>
            <w:gridSpan w:val="3"/>
            <w:noWrap/>
            <w:vAlign w:val="center"/>
          </w:tcPr>
          <w:p w14:paraId="305BBF84">
            <w:pPr>
              <w:tabs>
                <w:tab w:val="right" w:leader="dot" w:pos="9022"/>
              </w:tabs>
              <w:autoSpaceDE w:val="0"/>
              <w:autoSpaceDN w:val="0"/>
              <w:adjustRightInd w:val="0"/>
              <w:spacing w:line="360" w:lineRule="auto"/>
              <w:jc w:val="center"/>
              <w:rPr>
                <w:rFonts w:asciiTheme="majorEastAsia" w:hAnsiTheme="majorEastAsia" w:eastAsiaTheme="majorEastAsia" w:cstheme="majorEastAsia"/>
                <w:bCs/>
                <w:caps/>
                <w:sz w:val="24"/>
              </w:rPr>
            </w:pPr>
            <w:r>
              <w:rPr>
                <w:rFonts w:hint="eastAsia" w:asciiTheme="majorEastAsia" w:hAnsiTheme="majorEastAsia" w:eastAsiaTheme="majorEastAsia" w:cstheme="majorEastAsia"/>
                <w:spacing w:val="-4"/>
                <w:sz w:val="24"/>
              </w:rPr>
              <w:t>被授权人二代身份证反面复印件或扫描件</w:t>
            </w:r>
          </w:p>
          <w:p w14:paraId="366E41AD">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p>
        </w:tc>
      </w:tr>
      <w:tr w14:paraId="4635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noWrap/>
            <w:vAlign w:val="center"/>
          </w:tcPr>
          <w:p w14:paraId="1F980495">
            <w:pPr>
              <w:tabs>
                <w:tab w:val="right" w:leader="dot" w:pos="9022"/>
              </w:tabs>
              <w:autoSpaceDE w:val="0"/>
              <w:autoSpaceDN w:val="0"/>
              <w:adjustRightInd w:val="0"/>
              <w:spacing w:line="360" w:lineRule="auto"/>
              <w:jc w:val="left"/>
              <w:rPr>
                <w:rFonts w:asciiTheme="majorEastAsia" w:hAnsiTheme="majorEastAsia" w:eastAsiaTheme="majorEastAsia" w:cstheme="majorEastAsia"/>
                <w:bCs/>
                <w:caps/>
                <w:sz w:val="24"/>
              </w:rPr>
            </w:pPr>
            <w:r>
              <w:rPr>
                <w:rFonts w:hint="eastAsia" w:asciiTheme="majorEastAsia" w:hAnsiTheme="majorEastAsia" w:eastAsiaTheme="majorEastAsia" w:cstheme="majorEastAsia"/>
                <w:bCs/>
                <w:caps/>
                <w:sz w:val="24"/>
              </w:rPr>
              <w:t>法定代表人及被授权人签字：</w:t>
            </w:r>
          </w:p>
        </w:tc>
      </w:tr>
      <w:bookmarkEnd w:id="154"/>
    </w:tbl>
    <w:p w14:paraId="39BABFE1">
      <w:pPr>
        <w:rPr>
          <w:rFonts w:asciiTheme="majorEastAsia" w:hAnsiTheme="majorEastAsia" w:eastAsiaTheme="majorEastAsia" w:cstheme="majorEastAsia"/>
        </w:rPr>
      </w:pPr>
    </w:p>
    <w:p w14:paraId="098B3D6F">
      <w:pPr>
        <w:ind w:firstLine="3360" w:firstLineChars="14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投标人（盖章）：</w:t>
      </w:r>
    </w:p>
    <w:p w14:paraId="3AF28A55">
      <w:pPr>
        <w:ind w:firstLine="3360" w:firstLineChars="14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sz w:val="24"/>
        </w:rPr>
        <w:t>日    期：</w:t>
      </w:r>
      <w:r>
        <w:rPr>
          <w:rFonts w:hint="eastAsia" w:asciiTheme="majorEastAsia" w:hAnsiTheme="majorEastAsia" w:eastAsiaTheme="majorEastAsia" w:cstheme="majorEastAsia"/>
          <w:b/>
        </w:rPr>
        <w:br w:type="page"/>
      </w:r>
    </w:p>
    <w:p w14:paraId="588B0095">
      <w:pPr>
        <w:spacing w:line="44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五、投标人资格证明文件</w:t>
      </w:r>
    </w:p>
    <w:p w14:paraId="71797978">
      <w:pPr>
        <w:spacing w:line="440" w:lineRule="exact"/>
        <w:jc w:val="center"/>
        <w:rPr>
          <w:rFonts w:asciiTheme="majorEastAsia" w:hAnsiTheme="majorEastAsia" w:eastAsiaTheme="majorEastAsia" w:cstheme="majorEastAsia"/>
          <w:b/>
          <w:bCs/>
          <w:sz w:val="32"/>
          <w:szCs w:val="32"/>
        </w:rPr>
      </w:pPr>
    </w:p>
    <w:p w14:paraId="5F7A0F53">
      <w:pPr>
        <w:spacing w:beforeLines="50" w:line="400" w:lineRule="exact"/>
        <w:ind w:left="-141" w:leftChars="-67" w:firstLine="480" w:firstLineChars="200"/>
        <w:rPr>
          <w:rFonts w:asciiTheme="majorEastAsia" w:hAnsiTheme="majorEastAsia" w:eastAsiaTheme="majorEastAsia" w:cstheme="majorEastAsia"/>
          <w:sz w:val="24"/>
        </w:rPr>
        <w:sectPr>
          <w:headerReference r:id="rId12" w:type="first"/>
          <w:footerReference r:id="rId14" w:type="first"/>
          <w:headerReference r:id="rId11" w:type="default"/>
          <w:footerReference r:id="rId13" w:type="default"/>
          <w:pgSz w:w="11906" w:h="16838"/>
          <w:pgMar w:top="1440" w:right="1287" w:bottom="1440" w:left="1440" w:header="850" w:footer="992" w:gutter="0"/>
          <w:cols w:space="720" w:num="1"/>
          <w:titlePg/>
          <w:docGrid w:linePitch="360" w:charSpace="0"/>
        </w:sectPr>
      </w:pPr>
      <w:r>
        <w:rPr>
          <w:rFonts w:hint="eastAsia" w:asciiTheme="majorEastAsia" w:hAnsiTheme="majorEastAsia" w:eastAsiaTheme="majorEastAsia" w:cstheme="majorEastAsia"/>
          <w:sz w:val="24"/>
        </w:rPr>
        <w:t>投标人按“第一章 招标公告 二、申请人的资格要求 3.本项目的特定资格要求”逐一提供全部资料，缺少其中任何一项，其投标文件将被视为无效文件。其中，《</w:t>
      </w:r>
      <w:r>
        <w:rPr>
          <w:rFonts w:hint="eastAsia" w:asciiTheme="majorEastAsia" w:hAnsiTheme="majorEastAsia" w:eastAsiaTheme="majorEastAsia" w:cstheme="majorEastAsia"/>
          <w:sz w:val="24"/>
          <w:lang w:eastAsia="zh-CN"/>
        </w:rPr>
        <w:t>榆林市政府采购服务类项目供应商信用承诺书</w:t>
      </w:r>
      <w:r>
        <w:rPr>
          <w:rFonts w:hint="eastAsia" w:asciiTheme="majorEastAsia" w:hAnsiTheme="majorEastAsia" w:eastAsiaTheme="majorEastAsia" w:cstheme="majorEastAsia"/>
          <w:sz w:val="24"/>
        </w:rPr>
        <w:t>》、《投标人信用承诺》、《投标信用承诺》、《投标人委托代理人员信用承诺书》（如有）应按下文给定格式填写，否则</w:t>
      </w:r>
      <w:r>
        <w:rPr>
          <w:rFonts w:hint="eastAsia" w:asciiTheme="majorEastAsia" w:hAnsiTheme="majorEastAsia" w:eastAsiaTheme="majorEastAsia" w:cstheme="majorEastAsia"/>
          <w:b/>
          <w:bCs/>
          <w:sz w:val="24"/>
        </w:rPr>
        <w:t>按无效处理</w:t>
      </w:r>
      <w:r>
        <w:rPr>
          <w:rFonts w:hint="eastAsia" w:asciiTheme="majorEastAsia" w:hAnsiTheme="majorEastAsia" w:eastAsiaTheme="majorEastAsia" w:cstheme="majorEastAsia"/>
          <w:sz w:val="24"/>
        </w:rPr>
        <w:t>。</w:t>
      </w:r>
    </w:p>
    <w:p w14:paraId="1B1D790F">
      <w:pPr>
        <w:spacing w:line="360" w:lineRule="auto"/>
        <w:jc w:val="center"/>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榆林市政府采购服务类项目供应商信用承诺书</w:t>
      </w:r>
    </w:p>
    <w:p w14:paraId="626D56C0">
      <w:pPr>
        <w:spacing w:line="360" w:lineRule="auto"/>
        <w:ind w:firstLine="480" w:firstLineChars="200"/>
        <w:rPr>
          <w:rFonts w:asciiTheme="majorEastAsia" w:hAnsiTheme="majorEastAsia" w:eastAsiaTheme="majorEastAsia" w:cstheme="majorEastAsia"/>
          <w:sz w:val="24"/>
        </w:rPr>
      </w:pPr>
    </w:p>
    <w:p w14:paraId="7921691C">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市场主体名称：</w:t>
      </w:r>
    </w:p>
    <w:p w14:paraId="1EE18CA5">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证件类型：统一社会信用代码</w:t>
      </w:r>
    </w:p>
    <w:p w14:paraId="69468CEA">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证件号码：</w:t>
      </w:r>
    </w:p>
    <w:p w14:paraId="2468BFF1">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法人代表：</w:t>
      </w:r>
    </w:p>
    <w:p w14:paraId="14B910E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承诺有效期限：    年    月    日—    年    月    日</w:t>
      </w:r>
    </w:p>
    <w:p w14:paraId="20DF0B3F">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承诺内容：</w:t>
      </w:r>
    </w:p>
    <w:p w14:paraId="0A5725E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为维护公开、公平、公正的政府采购市场秩序，树立诚实守信的政府采购供应商形象，本单位自愿做出以下承诺：</w:t>
      </w:r>
    </w:p>
    <w:p w14:paraId="661DC042">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一、承诺本单位严格遵守国家法律、法规和规章，全面履行应尽的责任和义务，全面做到履约守信，具备《政府采购法》第二十二条第一款规定的条件;</w:t>
      </w:r>
    </w:p>
    <w:p w14:paraId="1497E12A">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二、承诺本单位提供给注册登记部门、行业管理部门、司法部门、行业组织以及在政府采购活动中提交的所有资料均合法、真实、有效，无任何伪造、修改、虚假成份，并对所提供资料的真实性负责；</w:t>
      </w:r>
    </w:p>
    <w:p w14:paraId="55E361A2">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三、承诺本单位严格依法开展生产经营活动，主动接受行业监管，自愿接受依法开展的日常检查；违法失信经营后将自愿接受约束和惩戒，并依法承担相应责任；</w:t>
      </w:r>
    </w:p>
    <w:p w14:paraId="0DAEF7D6">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四、承诺本单位自觉接受行政管理部门、行业组织、社会公众、新闻舆论的监督；</w:t>
      </w:r>
    </w:p>
    <w:p w14:paraId="16B6B26D">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五、承诺本单位自我约束、自我管理，重合同、守信用，不制假售假、商标侵权、虚假宣传、违约毁约、恶意逃债、偷税漏税、价格欺诈、垄断和不正当竞争，维护经营者、消费者的合法权益；</w:t>
      </w:r>
    </w:p>
    <w:p w14:paraId="4EC71BA8">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六、承诺本单位提出政府采购质疑和投诉坚持依法依规、诚实信用原则，在全国范围12个月内没有三次以上查无实据的政府采购投诉；</w:t>
      </w:r>
    </w:p>
    <w:p w14:paraId="0C594B64">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七、根据政府采购相关法律法规的规定需要作出的其他诺：</w:t>
      </w:r>
      <w:r>
        <w:rPr>
          <w:rFonts w:hint="eastAsia" w:asciiTheme="majorEastAsia" w:hAnsiTheme="majorEastAsia" w:eastAsiaTheme="majorEastAsia" w:cstheme="majorEastAsia"/>
          <w:sz w:val="24"/>
          <w:u w:val="single"/>
        </w:rPr>
        <w:t>         </w:t>
      </w:r>
      <w:r>
        <w:rPr>
          <w:rFonts w:hint="eastAsia" w:asciiTheme="majorEastAsia" w:hAnsiTheme="majorEastAsia" w:eastAsiaTheme="majorEastAsia" w:cstheme="majorEastAsia"/>
          <w:sz w:val="24"/>
        </w:rPr>
        <w:t>。</w:t>
      </w:r>
    </w:p>
    <w:p w14:paraId="0952DA56">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34773922">
      <w:pPr>
        <w:overflowPunct w:val="0"/>
        <w:topLinePunct/>
        <w:spacing w:line="360" w:lineRule="auto"/>
        <w:ind w:firstLine="480" w:firstLineChars="200"/>
        <w:jc w:val="left"/>
        <w:rPr>
          <w:rFonts w:asciiTheme="majorEastAsia" w:hAnsiTheme="majorEastAsia" w:eastAsiaTheme="majorEastAsia" w:cstheme="majorEastAsia"/>
          <w:sz w:val="24"/>
        </w:rPr>
      </w:pPr>
    </w:p>
    <w:p w14:paraId="03F1B930">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承诺单位（盖章）：</w:t>
      </w:r>
    </w:p>
    <w:p w14:paraId="23B90A51">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法定代表人（负责人）：</w:t>
      </w:r>
    </w:p>
    <w:p w14:paraId="3C3C1BBA">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法定代表人（负责人）身份证号：</w:t>
      </w:r>
    </w:p>
    <w:p w14:paraId="7DB4D08E">
      <w:pPr>
        <w:overflowPunct w:val="0"/>
        <w:topLinePunct/>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承诺日期：</w:t>
      </w:r>
    </w:p>
    <w:p w14:paraId="07F77E13">
      <w:pPr>
        <w:pStyle w:val="108"/>
        <w:spacing w:line="360" w:lineRule="auto"/>
        <w:ind w:firstLine="0" w:firstLineChars="0"/>
        <w:rPr>
          <w:rFonts w:asciiTheme="majorEastAsia" w:hAnsiTheme="majorEastAsia" w:eastAsiaTheme="majorEastAsia" w:cstheme="majorEastAsia"/>
          <w:b/>
          <w:bCs/>
          <w:sz w:val="24"/>
        </w:rPr>
      </w:pPr>
    </w:p>
    <w:p w14:paraId="344B60CC">
      <w:pPr>
        <w:pStyle w:val="108"/>
        <w:spacing w:line="360" w:lineRule="auto"/>
        <w:ind w:firstLine="0" w:firstLineChars="0"/>
        <w:rPr>
          <w:rFonts w:asciiTheme="majorEastAsia" w:hAnsiTheme="majorEastAsia" w:eastAsiaTheme="majorEastAsia" w:cstheme="majorEastAsia"/>
          <w:b/>
          <w:bCs/>
          <w:sz w:val="24"/>
        </w:rPr>
      </w:pPr>
    </w:p>
    <w:p w14:paraId="11F02AAF">
      <w:pPr>
        <w:pStyle w:val="108"/>
        <w:spacing w:line="360" w:lineRule="auto"/>
        <w:ind w:firstLine="0" w:firstLineChars="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szCs w:val="21"/>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Theme="majorEastAsia" w:hAnsiTheme="majorEastAsia" w:eastAsiaTheme="majorEastAsia" w:cstheme="majorEastAsia"/>
          <w:szCs w:val="21"/>
        </w:rPr>
        <w:br w:type="page"/>
      </w:r>
      <w:r>
        <w:rPr>
          <w:rFonts w:hint="eastAsia" w:asciiTheme="majorEastAsia" w:hAnsiTheme="majorEastAsia" w:eastAsiaTheme="majorEastAsia" w:cstheme="majorEastAsia"/>
          <w:b/>
          <w:bCs/>
          <w:sz w:val="24"/>
        </w:rPr>
        <w:t>投标人信用承诺</w:t>
      </w:r>
    </w:p>
    <w:p w14:paraId="1573AF0A">
      <w:pPr>
        <w:widowControl/>
        <w:spacing w:line="360" w:lineRule="auto"/>
        <w:jc w:val="left"/>
        <w:rPr>
          <w:rFonts w:hint="eastAsia" w:asciiTheme="majorEastAsia" w:hAnsiTheme="majorEastAsia" w:eastAsiaTheme="majorEastAsia" w:cstheme="majorEastAsia"/>
          <w:sz w:val="24"/>
          <w:u w:val="none"/>
          <w:lang w:val="en-US" w:eastAsia="zh-CN"/>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none"/>
          <w:lang w:val="en-US" w:eastAsia="zh-CN"/>
        </w:rPr>
        <w:t xml:space="preserve"> </w:t>
      </w:r>
    </w:p>
    <w:p w14:paraId="0D576E97">
      <w:pPr>
        <w:widowControl/>
        <w:spacing w:line="360" w:lineRule="auto"/>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统一社会信用代码：</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none"/>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法人代表：</w:t>
      </w:r>
      <w:r>
        <w:rPr>
          <w:rFonts w:hint="eastAsia" w:asciiTheme="majorEastAsia" w:hAnsiTheme="majorEastAsia" w:eastAsiaTheme="majorEastAsia" w:cstheme="majorEastAsia"/>
          <w:sz w:val="24"/>
          <w:u w:val="single"/>
          <w:lang w:val="en-US" w:eastAsia="zh-CN"/>
        </w:rPr>
        <w:t xml:space="preserve">                            </w:t>
      </w:r>
    </w:p>
    <w:p w14:paraId="4B8D14A7">
      <w:pPr>
        <w:widowControl/>
        <w:spacing w:line="360" w:lineRule="auto"/>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承诺有效期限：</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日</w:t>
      </w:r>
    </w:p>
    <w:p w14:paraId="7682DAA0">
      <w:pPr>
        <w:widowControl/>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在项目招投标活动中，我公司（单位）郑重作出以下信用承诺：</w:t>
      </w:r>
    </w:p>
    <w:p w14:paraId="0DE25911">
      <w:pPr>
        <w:widowControl/>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77B88FF2">
      <w:pPr>
        <w:widowControl/>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磋商文件和投标文件与招标人签订合同；在签订合同时向招标人提出附加条件、或者改变投标文件的实质性内容；放弃中标；不按照招标文件的规定提交履约保证金。5.招投标法规定的其它违法违规行为。</w:t>
      </w:r>
    </w:p>
    <w:p w14:paraId="19F68CDD">
      <w:pPr>
        <w:spacing w:line="360" w:lineRule="auto"/>
        <w:ind w:firstLine="480" w:firstLineChars="200"/>
        <w:rPr>
          <w:rFonts w:asciiTheme="majorEastAsia" w:hAnsiTheme="majorEastAsia" w:eastAsiaTheme="majorEastAsia" w:cstheme="majorEastAsia"/>
          <w:sz w:val="24"/>
        </w:rPr>
      </w:pPr>
      <w:bookmarkStart w:id="157" w:name="_Toc14973"/>
      <w:r>
        <w:rPr>
          <w:rFonts w:hint="eastAsia" w:asciiTheme="majorEastAsia" w:hAnsiTheme="majorEastAsia" w:eastAsiaTheme="majorEastAsia" w:cstheme="majorEastAsia"/>
          <w:sz w:val="24"/>
        </w:rPr>
        <w:t>（三）自愿接受招投标监督部门和有关行政监督部门的依法检查。</w:t>
      </w:r>
      <w:bookmarkEnd w:id="157"/>
    </w:p>
    <w:p w14:paraId="62D7E66C">
      <w:pPr>
        <w:widowControl/>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（四）同意将此信用承诺纳入陕西省公共信用信息平台和榆林市公共信用信息共享平台，并上网公示，接受社会监督。</w:t>
      </w:r>
    </w:p>
    <w:p w14:paraId="0063E898">
      <w:pPr>
        <w:widowControl/>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0B9BE99">
      <w:pPr>
        <w:widowControl/>
        <w:tabs>
          <w:tab w:val="left" w:pos="4395"/>
        </w:tabs>
        <w:adjustRightInd w:val="0"/>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法定代表人（签章）：                           投标人（盖章）：</w:t>
      </w:r>
    </w:p>
    <w:p w14:paraId="4C336FAE">
      <w:pPr>
        <w:adjustRightInd w:val="0"/>
        <w:snapToGrid w:val="0"/>
        <w:spacing w:line="360" w:lineRule="auto"/>
        <w:jc w:val="center"/>
        <w:rPr>
          <w:rFonts w:asciiTheme="majorEastAsia" w:hAnsiTheme="majorEastAsia" w:eastAsiaTheme="majorEastAsia" w:cstheme="majorEastAsia"/>
          <w:sz w:val="24"/>
        </w:rPr>
      </w:pPr>
    </w:p>
    <w:p w14:paraId="25852D89">
      <w:pPr>
        <w:adjustRightInd w:val="0"/>
        <w:snapToGri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承诺时间：年月日</w:t>
      </w:r>
    </w:p>
    <w:p w14:paraId="5488BB13">
      <w:pPr>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Cs w:val="21"/>
        </w:rPr>
        <w:t>注：</w:t>
      </w:r>
      <w:r>
        <w:rPr>
          <w:rFonts w:hint="eastAsia" w:asciiTheme="majorEastAsia" w:hAnsiTheme="majorEastAsia" w:eastAsiaTheme="majorEastAsia" w:cstheme="majorEastAsia"/>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Theme="majorEastAsia" w:hAnsiTheme="majorEastAsia" w:eastAsiaTheme="majorEastAsia" w:cstheme="majorEastAsia"/>
          <w:szCs w:val="21"/>
        </w:rPr>
        <w:br w:type="page"/>
      </w:r>
      <w:r>
        <w:rPr>
          <w:rFonts w:hint="eastAsia" w:asciiTheme="majorEastAsia" w:hAnsiTheme="majorEastAsia" w:eastAsiaTheme="majorEastAsia" w:cstheme="majorEastAsia"/>
          <w:b/>
          <w:bCs/>
          <w:sz w:val="24"/>
        </w:rPr>
        <w:t>投标信用承诺书</w:t>
      </w:r>
    </w:p>
    <w:p w14:paraId="5D1C7899">
      <w:pPr>
        <w:widowControl/>
        <w:spacing w:line="360" w:lineRule="auto"/>
        <w:jc w:val="left"/>
        <w:rPr>
          <w:rFonts w:asciiTheme="majorEastAsia" w:hAnsiTheme="majorEastAsia" w:eastAsiaTheme="majorEastAsia" w:cstheme="majorEastAsia"/>
          <w:sz w:val="24"/>
        </w:rPr>
      </w:pPr>
    </w:p>
    <w:p w14:paraId="49792A14">
      <w:pPr>
        <w:widowControl/>
        <w:spacing w:line="360" w:lineRule="auto"/>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项目标段：</w:t>
      </w:r>
      <w:r>
        <w:rPr>
          <w:rFonts w:hint="eastAsia" w:asciiTheme="majorEastAsia" w:hAnsiTheme="majorEastAsia" w:eastAsiaTheme="majorEastAsia" w:cstheme="majorEastAsia"/>
          <w:sz w:val="24"/>
          <w:u w:val="single"/>
          <w:lang w:val="en-US" w:eastAsia="zh-CN"/>
        </w:rPr>
        <w:t xml:space="preserve">                                        </w:t>
      </w:r>
    </w:p>
    <w:p w14:paraId="3839ACF5">
      <w:pPr>
        <w:widowControl/>
        <w:spacing w:line="360" w:lineRule="auto"/>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u w:val="single"/>
          <w:lang w:val="en-US" w:eastAsia="zh-CN"/>
        </w:rPr>
        <w:t xml:space="preserve">                                        </w:t>
      </w:r>
    </w:p>
    <w:p w14:paraId="1BD020A1">
      <w:pPr>
        <w:widowControl/>
        <w:spacing w:line="360" w:lineRule="auto"/>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统一社会信用代码：</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none"/>
          <w:lang w:val="en-US" w:eastAsia="zh-CN"/>
        </w:rPr>
        <w:t xml:space="preserve">  </w:t>
      </w:r>
      <w:r>
        <w:rPr>
          <w:rFonts w:hint="eastAsia" w:asciiTheme="majorEastAsia" w:hAnsiTheme="majorEastAsia" w:eastAsiaTheme="majorEastAsia" w:cstheme="majorEastAsia"/>
          <w:sz w:val="24"/>
        </w:rPr>
        <w:t>法人代表：</w:t>
      </w:r>
      <w:r>
        <w:rPr>
          <w:rFonts w:hint="eastAsia" w:asciiTheme="majorEastAsia" w:hAnsiTheme="majorEastAsia" w:eastAsiaTheme="majorEastAsia" w:cstheme="majorEastAsia"/>
          <w:sz w:val="24"/>
          <w:u w:val="single"/>
          <w:lang w:val="en-US" w:eastAsia="zh-CN"/>
        </w:rPr>
        <w:t xml:space="preserve">           </w:t>
      </w:r>
    </w:p>
    <w:p w14:paraId="4C63DB45">
      <w:pPr>
        <w:widowControl/>
        <w:adjustRightInd w:val="0"/>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在本项目标段招投标活动中，我公司（单位）自愿作出以下投标信用承诺：</w:t>
      </w:r>
    </w:p>
    <w:p w14:paraId="055EB1CF">
      <w:pPr>
        <w:widowControl/>
        <w:adjustRightInd w:val="0"/>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（一）能严格遵守法律法规、职业道德和行业规范。</w:t>
      </w:r>
    </w:p>
    <w:p w14:paraId="33319B70">
      <w:pPr>
        <w:widowControl/>
        <w:adjustRightInd w:val="0"/>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磋商文件和投标文件与招标人签订合同；在签订合同时向招标人提出附加条件、或者改变投标文件的实质性内容；放弃中标；不按照招标文件的规定提交履约保证金。5.招投标法规定的其它违法违规行为。</w:t>
      </w:r>
    </w:p>
    <w:p w14:paraId="2D0C711E">
      <w:pPr>
        <w:widowControl/>
        <w:adjustRightInd w:val="0"/>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7E8B75A2">
      <w:pPr>
        <w:widowControl/>
        <w:adjustRightInd w:val="0"/>
        <w:snapToGrid w:val="0"/>
        <w:spacing w:line="360" w:lineRule="auto"/>
        <w:ind w:firstLine="480" w:firstLineChars="200"/>
        <w:jc w:val="left"/>
        <w:rPr>
          <w:rFonts w:asciiTheme="majorEastAsia" w:hAnsiTheme="majorEastAsia" w:eastAsiaTheme="majorEastAsia" w:cstheme="majorEastAsia"/>
          <w:sz w:val="24"/>
        </w:rPr>
      </w:pPr>
    </w:p>
    <w:p w14:paraId="6D1F64EF">
      <w:pPr>
        <w:widowControl/>
        <w:tabs>
          <w:tab w:val="left" w:pos="4395"/>
        </w:tabs>
        <w:adjustRightInd w:val="0"/>
        <w:snapToGrid w:val="0"/>
        <w:spacing w:line="360" w:lineRule="auto"/>
        <w:ind w:firstLine="720" w:firstLineChars="3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法定代表人（签章）：                           投标人（盖章）：</w:t>
      </w:r>
    </w:p>
    <w:p w14:paraId="2CF368F7">
      <w:pPr>
        <w:adjustRightInd w:val="0"/>
        <w:snapToGrid w:val="0"/>
        <w:spacing w:line="360" w:lineRule="auto"/>
        <w:rPr>
          <w:rFonts w:asciiTheme="majorEastAsia" w:hAnsiTheme="majorEastAsia" w:eastAsiaTheme="majorEastAsia" w:cstheme="majorEastAsia"/>
          <w:b/>
          <w:sz w:val="24"/>
        </w:rPr>
      </w:pPr>
    </w:p>
    <w:p w14:paraId="22F4D51D">
      <w:pPr>
        <w:adjustRightInd w:val="0"/>
        <w:snapToGrid w:val="0"/>
        <w:spacing w:line="360" w:lineRule="auto"/>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承诺时间：年月日</w:t>
      </w:r>
    </w:p>
    <w:p w14:paraId="11881311">
      <w:pPr>
        <w:adjustRightInd w:val="0"/>
        <w:snapToGrid w:val="0"/>
        <w:spacing w:line="360" w:lineRule="auto"/>
        <w:rPr>
          <w:rFonts w:asciiTheme="majorEastAsia" w:hAnsiTheme="majorEastAsia" w:eastAsiaTheme="majorEastAsia" w:cstheme="majorEastAsia"/>
          <w:b/>
          <w:sz w:val="24"/>
        </w:rPr>
      </w:pPr>
    </w:p>
    <w:p w14:paraId="2F1AFCF9">
      <w:pPr>
        <w:widowControl/>
        <w:spacing w:line="360" w:lineRule="auto"/>
        <w:jc w:val="left"/>
        <w:rPr>
          <w:rFonts w:asciiTheme="majorEastAsia" w:hAnsiTheme="majorEastAsia" w:eastAsiaTheme="majorEastAsia" w:cstheme="majorEastAsia"/>
          <w:b/>
          <w:sz w:val="24"/>
        </w:rPr>
      </w:pPr>
    </w:p>
    <w:p w14:paraId="73D0310A">
      <w:pPr>
        <w:widowControl/>
        <w:spacing w:line="360" w:lineRule="auto"/>
        <w:jc w:val="left"/>
        <w:rPr>
          <w:rFonts w:asciiTheme="majorEastAsia" w:hAnsiTheme="majorEastAsia" w:eastAsiaTheme="majorEastAsia" w:cstheme="majorEastAsia"/>
          <w:b/>
          <w:sz w:val="24"/>
        </w:rPr>
      </w:pPr>
    </w:p>
    <w:p w14:paraId="20538516">
      <w:pPr>
        <w:widowControl/>
        <w:spacing w:line="360" w:lineRule="auto"/>
        <w:jc w:val="left"/>
        <w:rPr>
          <w:rFonts w:asciiTheme="majorEastAsia" w:hAnsiTheme="majorEastAsia" w:eastAsiaTheme="majorEastAsia" w:cstheme="majorEastAsia"/>
          <w:b/>
          <w:sz w:val="24"/>
        </w:rPr>
      </w:pPr>
    </w:p>
    <w:p w14:paraId="6C619E97">
      <w:pPr>
        <w:widowControl/>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说明：本承诺书效力和作用等同投标保证金，其有效期与投标有效期一致。</w:t>
      </w:r>
    </w:p>
    <w:p w14:paraId="5B7CC73B">
      <w:pPr>
        <w:widowControl/>
        <w:spacing w:line="360" w:lineRule="auto"/>
        <w:jc w:val="left"/>
        <w:rPr>
          <w:rFonts w:asciiTheme="majorEastAsia" w:hAnsiTheme="majorEastAsia" w:eastAsiaTheme="majorEastAsia" w:cstheme="majorEastAsia"/>
          <w:szCs w:val="21"/>
        </w:rPr>
      </w:pPr>
    </w:p>
    <w:p w14:paraId="4B66F793">
      <w:pPr>
        <w:widowControl/>
        <w:spacing w:line="360" w:lineRule="auto"/>
        <w:jc w:val="left"/>
        <w:rPr>
          <w:rFonts w:asciiTheme="majorEastAsia" w:hAnsiTheme="majorEastAsia" w:eastAsiaTheme="majorEastAsia" w:cstheme="majorEastAsia"/>
          <w:szCs w:val="21"/>
        </w:rPr>
        <w:sectPr>
          <w:pgSz w:w="11906" w:h="16838"/>
          <w:pgMar w:top="1440" w:right="1287" w:bottom="1440" w:left="1440" w:header="850" w:footer="992" w:gutter="0"/>
          <w:cols w:space="720" w:num="1"/>
          <w:titlePg/>
          <w:docGrid w:linePitch="360" w:charSpace="0"/>
        </w:sectPr>
      </w:pPr>
      <w:r>
        <w:rPr>
          <w:rFonts w:hint="eastAsia" w:asciiTheme="majorEastAsia" w:hAnsiTheme="majorEastAsia" w:eastAsiaTheme="majorEastAsia" w:cstheme="majorEastAsia"/>
          <w:b/>
          <w:bCs/>
          <w:szCs w:val="21"/>
        </w:rPr>
        <w:t>注：</w:t>
      </w:r>
      <w:r>
        <w:rPr>
          <w:rFonts w:hint="eastAsia" w:asciiTheme="majorEastAsia" w:hAnsiTheme="majorEastAsia" w:eastAsiaTheme="majorEastAsia" w:cstheme="majorEastAsia"/>
          <w:szCs w:val="21"/>
        </w:rPr>
        <w:t>此承诺书除附在投标文件中外还须上传至“信用中国（陕西榆林）”网站投标人自主上报信用承诺书附件。（须后附截图）</w:t>
      </w:r>
    </w:p>
    <w:p w14:paraId="00888572">
      <w:pPr>
        <w:widowControl/>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投标人委托代理人员信用承诺书</w:t>
      </w:r>
    </w:p>
    <w:p w14:paraId="11199ACF">
      <w:pPr>
        <w:widowControl/>
        <w:spacing w:line="360" w:lineRule="auto"/>
        <w:ind w:firstLine="480" w:firstLineChars="200"/>
        <w:jc w:val="left"/>
        <w:rPr>
          <w:rFonts w:asciiTheme="majorEastAsia" w:hAnsiTheme="majorEastAsia" w:eastAsiaTheme="majorEastAsia" w:cstheme="majorEastAsia"/>
          <w:sz w:val="24"/>
        </w:rPr>
      </w:pPr>
    </w:p>
    <w:p w14:paraId="2EDE8121">
      <w:pPr>
        <w:widowControl/>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项目招投标活动中，我个人郑重作出以下信用承诺：</w:t>
      </w:r>
    </w:p>
    <w:p w14:paraId="7D9B0BAF">
      <w:pPr>
        <w:widowControl/>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（一）能严格遵守法律法规、职业道德和行业规范，具有独立承担民事责任的能力；无法律法规规定禁止开展从业活动情形。我所递交的文件资料合法、真实、准确、完整、有效，无弄虚作假等情形。</w:t>
      </w:r>
    </w:p>
    <w:p w14:paraId="413A2313">
      <w:pPr>
        <w:widowControl/>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磋商文件和投标文件与招标人签订合同；在签订合同时向招标人提出附加条件、或者改变投标文件的实质性内容；放弃中标；不按照招标文件的规定提交履约保证金。5.招投标法规定的其它违法违规行为。</w:t>
      </w:r>
    </w:p>
    <w:p w14:paraId="43E0ACE4">
      <w:pPr>
        <w:spacing w:line="360" w:lineRule="auto"/>
        <w:ind w:firstLine="480" w:firstLineChars="200"/>
        <w:rPr>
          <w:rFonts w:asciiTheme="majorEastAsia" w:hAnsiTheme="majorEastAsia" w:eastAsiaTheme="majorEastAsia" w:cstheme="majorEastAsia"/>
          <w:sz w:val="24"/>
        </w:rPr>
      </w:pPr>
      <w:bookmarkStart w:id="158" w:name="_Toc14892"/>
      <w:r>
        <w:rPr>
          <w:rFonts w:hint="eastAsia" w:asciiTheme="majorEastAsia" w:hAnsiTheme="majorEastAsia" w:eastAsiaTheme="majorEastAsia" w:cstheme="majorEastAsia"/>
          <w:sz w:val="24"/>
        </w:rPr>
        <w:t>（三）自愿接受招投标监督部门和有关行政监督部门的依法检查。</w:t>
      </w:r>
      <w:bookmarkEnd w:id="158"/>
    </w:p>
    <w:p w14:paraId="45B48047">
      <w:pPr>
        <w:widowControl/>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（四）同意将此信用承诺纳入陕西省公共信用信息平台和榆林市公共信用信息共享平台，并接受社会监督。</w:t>
      </w:r>
    </w:p>
    <w:p w14:paraId="19291B7D">
      <w:pPr>
        <w:widowControl/>
        <w:spacing w:line="360" w:lineRule="auto"/>
        <w:ind w:firstLine="48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547A7028">
      <w:pPr>
        <w:widowControl/>
        <w:spacing w:line="360" w:lineRule="auto"/>
        <w:ind w:firstLine="482"/>
        <w:jc w:val="left"/>
        <w:rPr>
          <w:rFonts w:asciiTheme="majorEastAsia" w:hAnsiTheme="majorEastAsia" w:eastAsiaTheme="majorEastAsia" w:cstheme="majorEastAsia"/>
          <w:sz w:val="24"/>
        </w:rPr>
      </w:pPr>
    </w:p>
    <w:p w14:paraId="59200542">
      <w:pPr>
        <w:widowControl/>
        <w:spacing w:line="360" w:lineRule="auto"/>
        <w:ind w:firstLine="482"/>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承诺有效期限：</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日</w:t>
      </w:r>
    </w:p>
    <w:p w14:paraId="56D2FE6B">
      <w:pPr>
        <w:widowControl/>
        <w:spacing w:line="360" w:lineRule="auto"/>
        <w:ind w:firstLine="482"/>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w:t>
      </w:r>
      <w:r>
        <w:rPr>
          <w:rFonts w:hint="eastAsia" w:asciiTheme="majorEastAsia" w:hAnsiTheme="majorEastAsia" w:eastAsiaTheme="majorEastAsia" w:cstheme="majorEastAsia"/>
          <w:sz w:val="24"/>
          <w:u w:val="single"/>
          <w:lang w:val="en-US" w:eastAsia="zh-CN"/>
        </w:rPr>
        <w:t xml:space="preserve">                                   </w:t>
      </w:r>
    </w:p>
    <w:p w14:paraId="6FAF52B4">
      <w:pPr>
        <w:widowControl/>
        <w:spacing w:line="360" w:lineRule="auto"/>
        <w:ind w:firstLine="482"/>
        <w:jc w:val="lef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承诺人（签字）：</w:t>
      </w:r>
      <w:r>
        <w:rPr>
          <w:rFonts w:hint="eastAsia" w:asciiTheme="majorEastAsia" w:hAnsiTheme="majorEastAsia" w:eastAsiaTheme="majorEastAsia" w:cstheme="majorEastAsia"/>
          <w:sz w:val="24"/>
          <w:u w:val="single"/>
          <w:lang w:val="en-US" w:eastAsia="zh-CN"/>
        </w:rPr>
        <w:t xml:space="preserve">                                   </w:t>
      </w:r>
    </w:p>
    <w:p w14:paraId="549F48F2">
      <w:pPr>
        <w:widowControl/>
        <w:spacing w:line="360" w:lineRule="auto"/>
        <w:ind w:firstLine="482"/>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承诺时间：</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日</w:t>
      </w:r>
    </w:p>
    <w:p w14:paraId="36A6357C">
      <w:pPr>
        <w:spacing w:line="360" w:lineRule="auto"/>
        <w:rPr>
          <w:rFonts w:asciiTheme="majorEastAsia" w:hAnsiTheme="majorEastAsia" w:eastAsiaTheme="majorEastAsia" w:cstheme="majorEastAsia"/>
          <w:b/>
          <w:bCs/>
          <w:sz w:val="24"/>
        </w:rPr>
      </w:pPr>
    </w:p>
    <w:p w14:paraId="382D3B95">
      <w:pPr>
        <w:pStyle w:val="10"/>
        <w:spacing w:line="360" w:lineRule="auto"/>
        <w:rPr>
          <w:rFonts w:asciiTheme="majorEastAsia" w:hAnsiTheme="majorEastAsia" w:eastAsiaTheme="majorEastAsia" w:cstheme="majorEastAsia"/>
          <w:sz w:val="21"/>
          <w:szCs w:val="21"/>
        </w:rPr>
        <w:sectPr>
          <w:pgSz w:w="11906" w:h="16838"/>
          <w:pgMar w:top="1440" w:right="1287" w:bottom="1440" w:left="1440" w:header="850" w:footer="992" w:gutter="0"/>
          <w:cols w:space="720" w:num="1"/>
          <w:titlePg/>
          <w:docGrid w:linePitch="360" w:charSpace="0"/>
        </w:sectPr>
      </w:pPr>
      <w:r>
        <w:rPr>
          <w:rFonts w:hint="eastAsia" w:asciiTheme="majorEastAsia" w:hAnsiTheme="majorEastAsia" w:eastAsiaTheme="majorEastAsia" w:cstheme="majorEastAsia"/>
          <w:b/>
          <w:bCs/>
          <w:sz w:val="21"/>
          <w:szCs w:val="21"/>
        </w:rPr>
        <w:t>注：</w:t>
      </w:r>
      <w:r>
        <w:rPr>
          <w:rFonts w:hint="eastAsia" w:asciiTheme="majorEastAsia" w:hAnsiTheme="majorEastAsia" w:eastAsiaTheme="majorEastAsia" w:cstheme="majorEastAsia"/>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770C67A0">
      <w:pPr>
        <w:spacing w:line="44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六、实施方案</w:t>
      </w:r>
    </w:p>
    <w:p w14:paraId="28A2FA3F">
      <w:pPr>
        <w:tabs>
          <w:tab w:val="left" w:pos="720"/>
          <w:tab w:val="left" w:pos="8364"/>
        </w:tabs>
        <w:adjustRightInd w:val="0"/>
        <w:snapToGrid w:val="0"/>
        <w:ind w:firstLine="4320" w:firstLineChars="1800"/>
        <w:rPr>
          <w:rFonts w:asciiTheme="majorEastAsia" w:hAnsiTheme="majorEastAsia" w:eastAsiaTheme="majorEastAsia" w:cstheme="majorEastAsia"/>
          <w:sz w:val="24"/>
        </w:rPr>
      </w:pPr>
    </w:p>
    <w:p w14:paraId="1576B7C4">
      <w:pPr>
        <w:pStyle w:val="42"/>
        <w:spacing w:line="480" w:lineRule="auto"/>
        <w:ind w:firstLine="0" w:firstLineChars="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（格式自拟）</w:t>
      </w:r>
    </w:p>
    <w:p w14:paraId="525F784A">
      <w:pPr>
        <w:pStyle w:val="42"/>
        <w:spacing w:line="480" w:lineRule="auto"/>
        <w:ind w:firstLine="0" w:firstLineChars="0"/>
        <w:rPr>
          <w:rFonts w:asciiTheme="majorEastAsia" w:hAnsiTheme="majorEastAsia" w:eastAsiaTheme="majorEastAsia" w:cstheme="majorEastAsia"/>
          <w:sz w:val="24"/>
        </w:rPr>
      </w:pPr>
    </w:p>
    <w:p w14:paraId="5CF036F7">
      <w:pPr>
        <w:tabs>
          <w:tab w:val="left" w:pos="720"/>
          <w:tab w:val="left" w:pos="8364"/>
        </w:tabs>
        <w:adjustRightInd w:val="0"/>
        <w:snapToGrid w:val="0"/>
        <w:spacing w:line="360" w:lineRule="auto"/>
        <w:ind w:firstLine="5880" w:firstLineChars="2100"/>
        <w:rPr>
          <w:rFonts w:asciiTheme="majorEastAsia" w:hAnsiTheme="majorEastAsia" w:eastAsiaTheme="majorEastAsia" w:cstheme="majorEastAsia"/>
          <w:sz w:val="28"/>
          <w:szCs w:val="28"/>
        </w:rPr>
      </w:pPr>
    </w:p>
    <w:p w14:paraId="7F8F6078">
      <w:pPr>
        <w:rPr>
          <w:rFonts w:asciiTheme="majorEastAsia" w:hAnsiTheme="majorEastAsia" w:eastAsiaTheme="majorEastAsia" w:cstheme="majorEastAsia"/>
          <w:sz w:val="24"/>
        </w:rPr>
      </w:pPr>
    </w:p>
    <w:p w14:paraId="7D636ACB">
      <w:pPr>
        <w:spacing w:line="480" w:lineRule="auto"/>
        <w:ind w:firstLine="2409" w:firstLineChars="1000"/>
        <w:rPr>
          <w:rFonts w:asciiTheme="majorEastAsia" w:hAnsiTheme="majorEastAsia" w:eastAsiaTheme="majorEastAsia" w:cstheme="majorEastAsia"/>
          <w:b/>
          <w:sz w:val="24"/>
        </w:rPr>
      </w:pPr>
    </w:p>
    <w:p w14:paraId="34A115F6">
      <w:pPr>
        <w:spacing w:line="480" w:lineRule="auto"/>
        <w:ind w:firstLine="2409" w:firstLineChars="1000"/>
        <w:rPr>
          <w:rFonts w:asciiTheme="majorEastAsia" w:hAnsiTheme="majorEastAsia" w:eastAsiaTheme="majorEastAsia" w:cstheme="majorEastAsia"/>
          <w:b/>
          <w:sz w:val="24"/>
        </w:rPr>
      </w:pPr>
    </w:p>
    <w:p w14:paraId="62EB563E">
      <w:pPr>
        <w:spacing w:line="480" w:lineRule="auto"/>
        <w:rPr>
          <w:rFonts w:asciiTheme="majorEastAsia" w:hAnsiTheme="majorEastAsia" w:eastAsiaTheme="majorEastAsia" w:cstheme="majorEastAsia"/>
          <w:b/>
          <w:sz w:val="24"/>
        </w:rPr>
      </w:pPr>
    </w:p>
    <w:p w14:paraId="5DB4171F">
      <w:pPr>
        <w:pStyle w:val="42"/>
        <w:rPr>
          <w:rFonts w:asciiTheme="majorEastAsia" w:hAnsiTheme="majorEastAsia" w:eastAsiaTheme="majorEastAsia" w:cstheme="majorEastAsia"/>
        </w:rPr>
      </w:pPr>
    </w:p>
    <w:p w14:paraId="2C48F349">
      <w:pPr>
        <w:pStyle w:val="42"/>
        <w:rPr>
          <w:rFonts w:asciiTheme="majorEastAsia" w:hAnsiTheme="majorEastAsia" w:eastAsiaTheme="majorEastAsia" w:cstheme="majorEastAsia"/>
        </w:rPr>
      </w:pPr>
    </w:p>
    <w:p w14:paraId="24CA37EC">
      <w:pPr>
        <w:pStyle w:val="42"/>
        <w:rPr>
          <w:rFonts w:asciiTheme="majorEastAsia" w:hAnsiTheme="majorEastAsia" w:eastAsiaTheme="majorEastAsia" w:cstheme="majorEastAsia"/>
        </w:rPr>
      </w:pPr>
    </w:p>
    <w:p w14:paraId="4CF55A4C">
      <w:pPr>
        <w:pStyle w:val="42"/>
        <w:rPr>
          <w:rFonts w:asciiTheme="majorEastAsia" w:hAnsiTheme="majorEastAsia" w:eastAsiaTheme="majorEastAsia" w:cstheme="majorEastAsia"/>
        </w:rPr>
      </w:pPr>
    </w:p>
    <w:p w14:paraId="0E56576D">
      <w:pPr>
        <w:keepNext/>
        <w:spacing w:line="360" w:lineRule="auto"/>
        <w:rPr>
          <w:rFonts w:asciiTheme="majorEastAsia" w:hAnsiTheme="majorEastAsia" w:eastAsiaTheme="majorEastAsia" w:cstheme="majorEastAsia"/>
          <w:b/>
          <w:bCs/>
          <w:sz w:val="32"/>
          <w:szCs w:val="32"/>
        </w:rPr>
      </w:pPr>
    </w:p>
    <w:p w14:paraId="0CC9E127">
      <w:pPr>
        <w:pStyle w:val="10"/>
        <w:rPr>
          <w:rFonts w:asciiTheme="majorEastAsia" w:hAnsiTheme="majorEastAsia" w:eastAsiaTheme="majorEastAsia" w:cstheme="majorEastAsia"/>
          <w:b/>
          <w:bCs/>
          <w:sz w:val="32"/>
          <w:szCs w:val="32"/>
        </w:rPr>
      </w:pPr>
    </w:p>
    <w:p w14:paraId="4E9634D3">
      <w:pPr>
        <w:widowControl/>
        <w:jc w:val="center"/>
        <w:rPr>
          <w:rFonts w:asciiTheme="majorEastAsia" w:hAnsiTheme="majorEastAsia" w:eastAsiaTheme="majorEastAsia" w:cstheme="majorEastAsia"/>
          <w:sz w:val="24"/>
        </w:rPr>
      </w:pPr>
    </w:p>
    <w:p w14:paraId="1005EABF">
      <w:pPr>
        <w:widowControl/>
        <w:ind w:firstLine="964" w:firstLineChars="300"/>
        <w:rPr>
          <w:rFonts w:asciiTheme="majorEastAsia" w:hAnsiTheme="majorEastAsia" w:eastAsiaTheme="majorEastAsia" w:cstheme="majorEastAsia"/>
          <w:b/>
          <w:bCs/>
          <w:sz w:val="32"/>
          <w:szCs w:val="32"/>
        </w:rPr>
        <w:sectPr>
          <w:pgSz w:w="11906" w:h="16838"/>
          <w:pgMar w:top="1440" w:right="1417" w:bottom="1440" w:left="1417" w:header="851" w:footer="992" w:gutter="0"/>
          <w:cols w:space="720" w:num="1"/>
          <w:docGrid w:type="lines" w:linePitch="312" w:charSpace="0"/>
        </w:sectPr>
      </w:pPr>
    </w:p>
    <w:p w14:paraId="67776D3C">
      <w:pPr>
        <w:numPr>
          <w:ilvl w:val="1"/>
          <w:numId w:val="0"/>
        </w:numPr>
        <w:ind w:left="575"/>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七、投标人拒绝政府采购领域商业贿赂承诺书</w:t>
      </w:r>
    </w:p>
    <w:p w14:paraId="5F705514">
      <w:pPr>
        <w:numPr>
          <w:ilvl w:val="1"/>
          <w:numId w:val="0"/>
        </w:numPr>
        <w:ind w:left="575"/>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承诺书（一）</w:t>
      </w:r>
    </w:p>
    <w:p w14:paraId="36E96B55">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为响应党中央、国务院关于治理政府采购领域商业贿赂行为的号召，我单位在此庄严承诺： </w:t>
      </w:r>
    </w:p>
    <w:p w14:paraId="26A5F912">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1、在参与政府采购活动中遵纪守法、诚信经营、公平竞标。 </w:t>
      </w:r>
    </w:p>
    <w:p w14:paraId="61D60ADA">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2、不向政府采购人、采购代理机构和政府采购评审专家进行任何形式的商业贿赂以谋取交易机会。 </w:t>
      </w:r>
    </w:p>
    <w:p w14:paraId="0F4C910A">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3、不向政府采购代理机构和采购人提供虚假资质文件或采用虚假应标方式参与政府采购市场竞争并谋取中标、成交。 </w:t>
      </w:r>
    </w:p>
    <w:p w14:paraId="0A6263D8">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4、不采取“围标、陪标”等商业欺诈手段获得政府采购定单。 </w:t>
      </w:r>
    </w:p>
    <w:p w14:paraId="3DB87990">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5、不采取不正当手段低毁、排挤其他供应商。 </w:t>
      </w:r>
    </w:p>
    <w:p w14:paraId="65492381">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6、不在提供商品和服务时“偷梁换柱、以次充好”损害采购人的合法权益。 </w:t>
      </w:r>
    </w:p>
    <w:p w14:paraId="380D79D4">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7、不与采购人、采购代理机构政府采购评审专家或其它供应商恶意串通，进行质疑和投诉，维护政府采购市场秩序。 </w:t>
      </w:r>
    </w:p>
    <w:p w14:paraId="11827BDA">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8、尊重和接受政府采购监督管理部门的监督和政府采购代理机构招标采购要求，承担因违约行为给采购人造成的损失。 </w:t>
      </w:r>
    </w:p>
    <w:p w14:paraId="1DAB7FBA">
      <w:pPr>
        <w:widowControl/>
        <w:spacing w:line="520" w:lineRule="exact"/>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9、不发生其他有悖于政府采购公开、公平、公正和诚信原则的行为。 </w:t>
      </w:r>
    </w:p>
    <w:p w14:paraId="23ACB923">
      <w:pPr>
        <w:widowControl/>
        <w:spacing w:line="520" w:lineRule="exact"/>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14:paraId="42C313AE">
      <w:pPr>
        <w:widowControl/>
        <w:spacing w:line="520" w:lineRule="exact"/>
        <w:ind w:firstLine="720" w:firstLineChars="3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承诺单位：</w:t>
      </w:r>
      <w:r>
        <w:rPr>
          <w:rFonts w:hint="eastAsia" w:asciiTheme="majorEastAsia" w:hAnsiTheme="majorEastAsia" w:eastAsiaTheme="majorEastAsia" w:cstheme="majorEastAsia"/>
          <w:kern w:val="0"/>
          <w:sz w:val="24"/>
          <w:u w:val="single"/>
        </w:rPr>
        <w:t>　　                        　</w:t>
      </w:r>
      <w:r>
        <w:rPr>
          <w:rFonts w:hint="eastAsia" w:asciiTheme="majorEastAsia" w:hAnsiTheme="majorEastAsia" w:eastAsiaTheme="majorEastAsia" w:cstheme="majorEastAsia"/>
          <w:kern w:val="0"/>
          <w:sz w:val="24"/>
        </w:rPr>
        <w:t>（盖章）</w:t>
      </w:r>
    </w:p>
    <w:p w14:paraId="55FB92A0">
      <w:pPr>
        <w:widowControl/>
        <w:spacing w:line="520" w:lineRule="exact"/>
        <w:ind w:firstLine="720" w:firstLineChars="3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全权代表：</w:t>
      </w:r>
      <w:r>
        <w:rPr>
          <w:rFonts w:hint="eastAsia" w:asciiTheme="majorEastAsia" w:hAnsiTheme="majorEastAsia" w:eastAsiaTheme="majorEastAsia" w:cstheme="majorEastAsia"/>
          <w:kern w:val="0"/>
          <w:sz w:val="24"/>
          <w:u w:val="single"/>
        </w:rPr>
        <w:t>　　　　　     　　　       　</w:t>
      </w:r>
      <w:r>
        <w:rPr>
          <w:rFonts w:hint="eastAsia" w:asciiTheme="majorEastAsia" w:hAnsiTheme="majorEastAsia" w:eastAsiaTheme="majorEastAsia" w:cstheme="majorEastAsia"/>
          <w:kern w:val="0"/>
          <w:sz w:val="24"/>
        </w:rPr>
        <w:t>（签字）</w:t>
      </w:r>
    </w:p>
    <w:p w14:paraId="0647465B">
      <w:pPr>
        <w:widowControl/>
        <w:spacing w:line="520" w:lineRule="exact"/>
        <w:ind w:firstLine="720" w:firstLineChars="300"/>
        <w:jc w:val="left"/>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地　　址：</w:t>
      </w:r>
      <w:r>
        <w:rPr>
          <w:rFonts w:hint="eastAsia" w:asciiTheme="majorEastAsia" w:hAnsiTheme="majorEastAsia" w:eastAsiaTheme="majorEastAsia" w:cstheme="majorEastAsia"/>
          <w:kern w:val="0"/>
          <w:sz w:val="24"/>
          <w:u w:val="single"/>
        </w:rPr>
        <w:t>　　　　　     　　　       　</w:t>
      </w:r>
    </w:p>
    <w:p w14:paraId="04E77B1B">
      <w:pPr>
        <w:widowControl/>
        <w:spacing w:line="520" w:lineRule="exact"/>
        <w:ind w:firstLine="720" w:firstLineChars="300"/>
        <w:jc w:val="left"/>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邮    编：</w:t>
      </w:r>
      <w:r>
        <w:rPr>
          <w:rFonts w:hint="eastAsia" w:asciiTheme="majorEastAsia" w:hAnsiTheme="majorEastAsia" w:eastAsiaTheme="majorEastAsia" w:cstheme="majorEastAsia"/>
          <w:kern w:val="0"/>
          <w:sz w:val="24"/>
          <w:u w:val="single"/>
        </w:rPr>
        <w:t xml:space="preserve">　　                     　　 </w:t>
      </w:r>
    </w:p>
    <w:p w14:paraId="50BA0DD1">
      <w:pPr>
        <w:widowControl/>
        <w:spacing w:line="520" w:lineRule="exact"/>
        <w:ind w:firstLine="720" w:firstLineChars="300"/>
        <w:jc w:val="left"/>
        <w:rPr>
          <w:rFonts w:hint="eastAsia" w:asciiTheme="majorEastAsia" w:hAnsiTheme="majorEastAsia" w:eastAsiaTheme="majorEastAsia" w:cstheme="majorEastAsia"/>
          <w:kern w:val="0"/>
          <w:sz w:val="24"/>
          <w:u w:val="single"/>
          <w:lang w:eastAsia="zh-CN"/>
        </w:rPr>
      </w:pPr>
      <w:r>
        <w:rPr>
          <w:rFonts w:hint="eastAsia" w:asciiTheme="majorEastAsia" w:hAnsiTheme="majorEastAsia" w:eastAsiaTheme="majorEastAsia" w:cstheme="majorEastAsia"/>
          <w:kern w:val="0"/>
          <w:sz w:val="24"/>
        </w:rPr>
        <w:t>电　　话：</w:t>
      </w:r>
      <w:r>
        <w:rPr>
          <w:rFonts w:hint="eastAsia" w:asciiTheme="majorEastAsia" w:hAnsiTheme="majorEastAsia" w:eastAsiaTheme="majorEastAsia" w:cstheme="majorEastAsia"/>
          <w:kern w:val="0"/>
          <w:sz w:val="24"/>
          <w:u w:val="single"/>
        </w:rPr>
        <w:t>　　　                　　　　</w:t>
      </w:r>
    </w:p>
    <w:p w14:paraId="1A6D335C">
      <w:pPr>
        <w:widowControl/>
        <w:spacing w:line="520" w:lineRule="exact"/>
        <w:ind w:firstLine="720" w:firstLineChars="3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p>
    <w:p w14:paraId="785EC0A0">
      <w:pPr>
        <w:widowControl/>
        <w:spacing w:line="520" w:lineRule="exact"/>
        <w:ind w:firstLine="720" w:firstLineChars="300"/>
        <w:jc w:val="righ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4"/>
        </w:rPr>
        <w:t xml:space="preserve">  年　　月　　日   </w:t>
      </w:r>
    </w:p>
    <w:p w14:paraId="1A96871F">
      <w:pPr>
        <w:widowControl/>
        <w:spacing w:line="520" w:lineRule="exact"/>
        <w:jc w:val="center"/>
        <w:rPr>
          <w:rFonts w:asciiTheme="majorEastAsia" w:hAnsiTheme="majorEastAsia" w:eastAsiaTheme="majorEastAsia" w:cstheme="majorEastAsia"/>
          <w:b/>
          <w:sz w:val="32"/>
          <w:szCs w:val="32"/>
        </w:rPr>
      </w:pPr>
    </w:p>
    <w:p w14:paraId="6D05E032">
      <w:pPr>
        <w:widowControl/>
        <w:spacing w:line="520" w:lineRule="exac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承诺书（二）</w:t>
      </w:r>
    </w:p>
    <w:p w14:paraId="602B1C53">
      <w:pPr>
        <w:spacing w:line="360" w:lineRule="atLeast"/>
        <w:jc w:val="center"/>
        <w:rPr>
          <w:rFonts w:asciiTheme="majorEastAsia" w:hAnsiTheme="majorEastAsia" w:eastAsiaTheme="majorEastAsia" w:cstheme="majorEastAsia"/>
          <w:b/>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03D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467B4D7F">
            <w:pPr>
              <w:spacing w:line="360" w:lineRule="atLeas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致：陕西华旭晟信项目管理有限责任公司</w:t>
            </w:r>
          </w:p>
        </w:tc>
      </w:tr>
      <w:tr w14:paraId="6949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53195854">
            <w:pPr>
              <w:spacing w:line="360" w:lineRule="atLeas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作为参加贵公司组织的本次招标项目的供应商，本公司承诺：在参加本项目招标之前不存在被依法禁止经营行为、财产被接管或冻结的情况，如有隐瞒实情，愿承担一切责任及后果。</w:t>
            </w:r>
          </w:p>
        </w:tc>
      </w:tr>
      <w:tr w14:paraId="35BF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240" w:type="dxa"/>
            <w:noWrap/>
            <w:vAlign w:val="center"/>
          </w:tcPr>
          <w:p w14:paraId="41A4DC7F">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供应商</w:t>
            </w:r>
          </w:p>
        </w:tc>
        <w:tc>
          <w:tcPr>
            <w:tcW w:w="3420" w:type="dxa"/>
            <w:noWrap/>
            <w:vAlign w:val="center"/>
          </w:tcPr>
          <w:p w14:paraId="49F7C703">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w:t>
            </w:r>
          </w:p>
        </w:tc>
        <w:tc>
          <w:tcPr>
            <w:tcW w:w="2340" w:type="dxa"/>
            <w:noWrap/>
            <w:vAlign w:val="center"/>
          </w:tcPr>
          <w:p w14:paraId="1CF3862B">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p>
        </w:tc>
      </w:tr>
      <w:tr w14:paraId="2193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6F220600">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（公章）</w:t>
            </w:r>
          </w:p>
        </w:tc>
        <w:tc>
          <w:tcPr>
            <w:tcW w:w="3420" w:type="dxa"/>
            <w:noWrap/>
            <w:vAlign w:val="center"/>
          </w:tcPr>
          <w:p w14:paraId="6CBECD62">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（签字或盖章）</w:t>
            </w:r>
          </w:p>
        </w:tc>
        <w:tc>
          <w:tcPr>
            <w:tcW w:w="2340" w:type="dxa"/>
            <w:noWrap/>
            <w:vAlign w:val="center"/>
          </w:tcPr>
          <w:p w14:paraId="0D501120">
            <w:pPr>
              <w:spacing w:line="360" w:lineRule="atLeast"/>
              <w:ind w:firstLine="240" w:firstLineChars="10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bl>
    <w:p w14:paraId="39044358">
      <w:pPr>
        <w:spacing w:line="360" w:lineRule="atLeast"/>
        <w:jc w:val="center"/>
        <w:rPr>
          <w:rFonts w:asciiTheme="majorEastAsia" w:hAnsiTheme="majorEastAsia" w:eastAsiaTheme="majorEastAsia" w:cstheme="majorEastAsia"/>
          <w:b/>
          <w:sz w:val="32"/>
          <w:szCs w:val="32"/>
        </w:rPr>
      </w:pPr>
    </w:p>
    <w:p w14:paraId="6F2C5983">
      <w:pPr>
        <w:spacing w:line="360" w:lineRule="atLeas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承诺书（三）</w:t>
      </w:r>
    </w:p>
    <w:p w14:paraId="747D7B3E">
      <w:pPr>
        <w:spacing w:line="360" w:lineRule="atLeast"/>
        <w:jc w:val="center"/>
        <w:rPr>
          <w:rFonts w:asciiTheme="majorEastAsia" w:hAnsiTheme="majorEastAsia" w:eastAsiaTheme="majorEastAsia" w:cstheme="majorEastAsia"/>
          <w:b/>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D91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38E3FF6E">
            <w:pPr>
              <w:spacing w:line="360" w:lineRule="atLeas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致：陕西华旭晟信项目管理有限责任公司</w:t>
            </w:r>
          </w:p>
        </w:tc>
      </w:tr>
      <w:tr w14:paraId="6900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157408FB">
            <w:pPr>
              <w:spacing w:line="360" w:lineRule="atLeas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作为参加贵公司组织的本次招标项目的供应商，本公司郑重申告并承诺：近三年受到有关行政主管部门的行政处理、不良行为记录为</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次（没有填零），如有隐瞒实情，愿承担一切责任及后果。</w:t>
            </w:r>
          </w:p>
        </w:tc>
      </w:tr>
      <w:tr w14:paraId="3150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40" w:type="dxa"/>
            <w:noWrap/>
            <w:vAlign w:val="center"/>
          </w:tcPr>
          <w:p w14:paraId="520E79A0">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w:t>
            </w:r>
          </w:p>
        </w:tc>
        <w:tc>
          <w:tcPr>
            <w:tcW w:w="3420" w:type="dxa"/>
            <w:noWrap/>
            <w:vAlign w:val="center"/>
          </w:tcPr>
          <w:p w14:paraId="3877626A">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w:t>
            </w:r>
          </w:p>
        </w:tc>
        <w:tc>
          <w:tcPr>
            <w:tcW w:w="2340" w:type="dxa"/>
            <w:noWrap/>
            <w:vAlign w:val="center"/>
          </w:tcPr>
          <w:p w14:paraId="573F53F6">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p>
        </w:tc>
      </w:tr>
      <w:tr w14:paraId="2ECE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4280A705">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（公章）</w:t>
            </w:r>
          </w:p>
        </w:tc>
        <w:tc>
          <w:tcPr>
            <w:tcW w:w="3420" w:type="dxa"/>
            <w:noWrap/>
            <w:vAlign w:val="center"/>
          </w:tcPr>
          <w:p w14:paraId="4E82D83F">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（签字或盖章）</w:t>
            </w:r>
          </w:p>
        </w:tc>
        <w:tc>
          <w:tcPr>
            <w:tcW w:w="2340" w:type="dxa"/>
            <w:noWrap/>
            <w:vAlign w:val="center"/>
          </w:tcPr>
          <w:p w14:paraId="2CFF66D0">
            <w:pPr>
              <w:spacing w:line="360" w:lineRule="atLeast"/>
              <w:ind w:firstLine="240" w:firstLineChars="10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bl>
    <w:p w14:paraId="3466C47D">
      <w:pPr>
        <w:spacing w:line="360" w:lineRule="atLeast"/>
        <w:jc w:val="center"/>
        <w:rPr>
          <w:rFonts w:asciiTheme="majorEastAsia" w:hAnsiTheme="majorEastAsia" w:eastAsiaTheme="majorEastAsia" w:cstheme="majorEastAsia"/>
          <w:b/>
          <w:sz w:val="32"/>
          <w:szCs w:val="32"/>
        </w:rPr>
      </w:pPr>
    </w:p>
    <w:p w14:paraId="42B24017">
      <w:pPr>
        <w:spacing w:line="360" w:lineRule="atLeas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承诺书（四）</w:t>
      </w:r>
    </w:p>
    <w:p w14:paraId="574C47F8">
      <w:pPr>
        <w:spacing w:line="360" w:lineRule="atLeast"/>
        <w:jc w:val="center"/>
        <w:rPr>
          <w:rFonts w:asciiTheme="majorEastAsia" w:hAnsiTheme="majorEastAsia" w:eastAsiaTheme="majorEastAsia" w:cstheme="majorEastAsia"/>
          <w:b/>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4AE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63C96A5A">
            <w:pPr>
              <w:spacing w:line="360" w:lineRule="atLeas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致：陕西华旭晟信项目管理有限责任公司</w:t>
            </w:r>
          </w:p>
        </w:tc>
      </w:tr>
      <w:tr w14:paraId="7AAE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14DED39C">
            <w:pPr>
              <w:spacing w:line="360" w:lineRule="atLeas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作为参加贵公司组织的本次招标项目的供应商，本公司郑重申告：近三年因产品供货问题（水货、替代品、次品、翻新品等）的不法行为记录为</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rPr>
              <w:t>次（没有填零），如有隐瞒实情，愿承担一切责任及后果。</w:t>
            </w:r>
          </w:p>
          <w:p w14:paraId="5397B98E">
            <w:pPr>
              <w:spacing w:line="360" w:lineRule="atLeas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本公司承诺：本次招标标的物为正品行货。</w:t>
            </w:r>
          </w:p>
        </w:tc>
      </w:tr>
      <w:tr w14:paraId="0981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18B0ADE9">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w:t>
            </w:r>
          </w:p>
        </w:tc>
        <w:tc>
          <w:tcPr>
            <w:tcW w:w="3420" w:type="dxa"/>
            <w:noWrap/>
            <w:vAlign w:val="center"/>
          </w:tcPr>
          <w:p w14:paraId="43209394">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w:t>
            </w:r>
          </w:p>
        </w:tc>
        <w:tc>
          <w:tcPr>
            <w:tcW w:w="2340" w:type="dxa"/>
            <w:noWrap/>
            <w:vAlign w:val="center"/>
          </w:tcPr>
          <w:p w14:paraId="4CB21AF4">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p>
        </w:tc>
      </w:tr>
      <w:tr w14:paraId="380F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3240" w:type="dxa"/>
            <w:noWrap/>
            <w:vAlign w:val="center"/>
          </w:tcPr>
          <w:p w14:paraId="66ADBF53">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（公章）</w:t>
            </w:r>
          </w:p>
        </w:tc>
        <w:tc>
          <w:tcPr>
            <w:tcW w:w="3420" w:type="dxa"/>
            <w:noWrap/>
            <w:vAlign w:val="center"/>
          </w:tcPr>
          <w:p w14:paraId="455B5E01">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（签字或盖章）</w:t>
            </w:r>
          </w:p>
        </w:tc>
        <w:tc>
          <w:tcPr>
            <w:tcW w:w="2340" w:type="dxa"/>
            <w:noWrap/>
            <w:vAlign w:val="center"/>
          </w:tcPr>
          <w:p w14:paraId="37F76F28">
            <w:pPr>
              <w:spacing w:line="360" w:lineRule="atLeast"/>
              <w:ind w:firstLine="240" w:firstLineChars="10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bl>
    <w:p w14:paraId="413FEAB8">
      <w:pPr>
        <w:spacing w:line="360" w:lineRule="atLeast"/>
        <w:jc w:val="center"/>
        <w:rPr>
          <w:rFonts w:asciiTheme="majorEastAsia" w:hAnsiTheme="majorEastAsia" w:eastAsiaTheme="majorEastAsia" w:cstheme="majorEastAsia"/>
          <w:b/>
          <w:sz w:val="32"/>
          <w:szCs w:val="32"/>
        </w:rPr>
      </w:pPr>
    </w:p>
    <w:p w14:paraId="2B76C02D">
      <w:pPr>
        <w:spacing w:line="360" w:lineRule="atLeast"/>
        <w:jc w:val="center"/>
        <w:rPr>
          <w:rFonts w:asciiTheme="majorEastAsia" w:hAnsiTheme="majorEastAsia" w:eastAsiaTheme="majorEastAsia" w:cstheme="majorEastAsia"/>
          <w:b/>
          <w:sz w:val="32"/>
          <w:szCs w:val="32"/>
        </w:rPr>
      </w:pPr>
    </w:p>
    <w:p w14:paraId="432A9990">
      <w:pPr>
        <w:spacing w:line="360" w:lineRule="atLeas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承诺书（五）</w:t>
      </w:r>
    </w:p>
    <w:p w14:paraId="3B990334">
      <w:pPr>
        <w:spacing w:line="360" w:lineRule="atLeast"/>
        <w:jc w:val="center"/>
        <w:rPr>
          <w:rFonts w:asciiTheme="majorEastAsia" w:hAnsiTheme="majorEastAsia" w:eastAsiaTheme="majorEastAsia" w:cstheme="majorEastAsia"/>
          <w:b/>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D4F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060C0F3E">
            <w:pPr>
              <w:spacing w:line="360" w:lineRule="atLeas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致：陕西华旭晟信项目管理有限责任公司</w:t>
            </w:r>
          </w:p>
        </w:tc>
      </w:tr>
      <w:tr w14:paraId="17BA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7DA3F30E">
            <w:pPr>
              <w:spacing w:line="360" w:lineRule="atLeas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作为参加贵公司组织的本次招标项目的供应商，本公司承诺：参加本次招标提交的所有资质证明文件及业绩证明文件是真实的、有效的，如有隐瞒实情，愿承担一切责任及后果。</w:t>
            </w:r>
          </w:p>
        </w:tc>
      </w:tr>
      <w:tr w14:paraId="2F1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33F2F6EB">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w:t>
            </w:r>
          </w:p>
        </w:tc>
        <w:tc>
          <w:tcPr>
            <w:tcW w:w="3420" w:type="dxa"/>
            <w:noWrap/>
            <w:vAlign w:val="center"/>
          </w:tcPr>
          <w:p w14:paraId="34DEBEAF">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w:t>
            </w:r>
          </w:p>
        </w:tc>
        <w:tc>
          <w:tcPr>
            <w:tcW w:w="2340" w:type="dxa"/>
            <w:noWrap/>
            <w:vAlign w:val="center"/>
          </w:tcPr>
          <w:p w14:paraId="15294F29">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p>
        </w:tc>
      </w:tr>
      <w:tr w14:paraId="1A98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240" w:type="dxa"/>
            <w:noWrap/>
            <w:vAlign w:val="center"/>
          </w:tcPr>
          <w:p w14:paraId="2A8C588F">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（公章）</w:t>
            </w:r>
          </w:p>
        </w:tc>
        <w:tc>
          <w:tcPr>
            <w:tcW w:w="3420" w:type="dxa"/>
            <w:noWrap/>
            <w:vAlign w:val="center"/>
          </w:tcPr>
          <w:p w14:paraId="07675411">
            <w:pPr>
              <w:spacing w:line="36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（签字或盖章）</w:t>
            </w:r>
          </w:p>
        </w:tc>
        <w:tc>
          <w:tcPr>
            <w:tcW w:w="2340" w:type="dxa"/>
            <w:noWrap/>
            <w:vAlign w:val="center"/>
          </w:tcPr>
          <w:p w14:paraId="52E95444">
            <w:pPr>
              <w:spacing w:line="360" w:lineRule="atLeast"/>
              <w:ind w:firstLine="240" w:firstLineChars="10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tc>
      </w:tr>
    </w:tbl>
    <w:p w14:paraId="5E713E08">
      <w:pPr>
        <w:rPr>
          <w:rFonts w:asciiTheme="majorEastAsia" w:hAnsiTheme="majorEastAsia" w:eastAsiaTheme="majorEastAsia" w:cstheme="majorEastAsia"/>
        </w:rPr>
      </w:pPr>
    </w:p>
    <w:p w14:paraId="33E3C55D">
      <w:pPr>
        <w:pStyle w:val="10"/>
        <w:rPr>
          <w:rFonts w:asciiTheme="majorEastAsia" w:hAnsiTheme="majorEastAsia" w:eastAsiaTheme="majorEastAsia" w:cstheme="majorEastAsia"/>
        </w:rPr>
      </w:pPr>
    </w:p>
    <w:p w14:paraId="1E6ADAB7">
      <w:pPr>
        <w:spacing w:line="360" w:lineRule="auto"/>
        <w:jc w:val="center"/>
        <w:rPr>
          <w:rFonts w:asciiTheme="majorEastAsia" w:hAnsiTheme="majorEastAsia" w:eastAsiaTheme="majorEastAsia" w:cstheme="majorEastAsia"/>
          <w:b/>
          <w:sz w:val="32"/>
          <w:szCs w:val="32"/>
        </w:rPr>
      </w:pPr>
      <w:bookmarkStart w:id="159" w:name="_Toc7502"/>
      <w:bookmarkStart w:id="160" w:name="_Toc29982"/>
      <w:bookmarkStart w:id="161" w:name="_Toc1084"/>
      <w:bookmarkStart w:id="162" w:name="_Toc23423"/>
      <w:bookmarkStart w:id="163" w:name="_Toc25732"/>
      <w:r>
        <w:rPr>
          <w:rFonts w:hint="eastAsia" w:asciiTheme="majorEastAsia" w:hAnsiTheme="majorEastAsia" w:eastAsiaTheme="majorEastAsia" w:cstheme="majorEastAsia"/>
          <w:b/>
          <w:sz w:val="32"/>
          <w:szCs w:val="32"/>
        </w:rPr>
        <w:t>八、中小企业、监狱企业、残疾人福利单位声明函或证明</w:t>
      </w:r>
      <w:bookmarkEnd w:id="159"/>
    </w:p>
    <w:p w14:paraId="72C17BD1">
      <w:pPr>
        <w:pStyle w:val="10"/>
        <w:rPr>
          <w:rFonts w:asciiTheme="majorEastAsia" w:hAnsiTheme="majorEastAsia" w:eastAsiaTheme="majorEastAsia" w:cstheme="majorEastAsia"/>
        </w:rPr>
      </w:pPr>
    </w:p>
    <w:p w14:paraId="7493542B">
      <w:pPr>
        <w:spacing w:line="500" w:lineRule="exact"/>
        <w:jc w:val="center"/>
        <w:rPr>
          <w:rFonts w:asciiTheme="majorEastAsia" w:hAnsiTheme="majorEastAsia" w:eastAsiaTheme="majorEastAsia" w:cstheme="majorEastAsia"/>
          <w:b/>
          <w:spacing w:val="6"/>
          <w:sz w:val="28"/>
          <w:szCs w:val="28"/>
        </w:rPr>
      </w:pPr>
      <w:bookmarkStart w:id="164" w:name="_Toc25215"/>
      <w:r>
        <w:rPr>
          <w:rFonts w:hint="eastAsia" w:asciiTheme="majorEastAsia" w:hAnsiTheme="majorEastAsia" w:eastAsiaTheme="majorEastAsia" w:cstheme="majorEastAsia"/>
          <w:b/>
          <w:spacing w:val="6"/>
          <w:sz w:val="28"/>
          <w:szCs w:val="28"/>
        </w:rPr>
        <w:t>1.中小企业声明函</w:t>
      </w:r>
      <w:bookmarkEnd w:id="164"/>
    </w:p>
    <w:p w14:paraId="712A4D2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w:t>
      </w:r>
      <w:r>
        <w:rPr>
          <w:rFonts w:hint="eastAsia" w:ascii="宋体" w:hAnsi="宋体" w:cs="宋体"/>
          <w:color w:val="auto"/>
          <w:sz w:val="24"/>
          <w:lang w:val="en-US" w:eastAsia="zh-CN"/>
        </w:rPr>
        <w:t>中小</w:t>
      </w:r>
      <w:r>
        <w:rPr>
          <w:rFonts w:hint="eastAsia" w:ascii="宋体" w:hAnsi="宋体" w:eastAsia="宋体" w:cs="宋体"/>
          <w:color w:val="auto"/>
          <w:sz w:val="24"/>
        </w:rPr>
        <w:t>企业承接。相关企业（含联合体中的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企业）的具体情况如下：</w:t>
      </w:r>
    </w:p>
    <w:p w14:paraId="7F890295">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A9C3214">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587A550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6EEBAFE0">
      <w:pPr>
        <w:spacing w:beforeLines="50"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以上企业，不属于大企业的分支机构，不存在控股股东为大企业的情形，也不存在与大企业的负责人为同一人的情形。</w:t>
      </w:r>
    </w:p>
    <w:p w14:paraId="295EE570">
      <w:pPr>
        <w:spacing w:beforeLines="50"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本企业对上述声明内容的真实性负责。如有虚假，将依法承担相应责任。</w:t>
      </w:r>
    </w:p>
    <w:p w14:paraId="457D4C56">
      <w:pPr>
        <w:spacing w:beforeLines="50"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企业名称（盖章）：</w:t>
      </w:r>
    </w:p>
    <w:p w14:paraId="7CDA254E">
      <w:pPr>
        <w:spacing w:beforeLines="50"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日期：</w:t>
      </w:r>
    </w:p>
    <w:p w14:paraId="1D7653AF">
      <w:pPr>
        <w:pStyle w:val="24"/>
        <w:ind w:firstLine="540"/>
        <w:rPr>
          <w:rFonts w:asciiTheme="majorEastAsia" w:hAnsiTheme="majorEastAsia" w:eastAsiaTheme="majorEastAsia" w:cstheme="majorEastAsia"/>
        </w:rPr>
      </w:pPr>
    </w:p>
    <w:p w14:paraId="1ED2C750">
      <w:pPr>
        <w:spacing w:beforeLines="50"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注：从业人员、营业收入、资产总额填报上一年度数据，无上一年度数据的新成立企业可不填报。</w:t>
      </w:r>
    </w:p>
    <w:p w14:paraId="5B96CB3F">
      <w:pPr>
        <w:spacing w:line="500" w:lineRule="exact"/>
        <w:jc w:val="center"/>
        <w:rPr>
          <w:rFonts w:asciiTheme="majorEastAsia" w:hAnsiTheme="majorEastAsia" w:eastAsiaTheme="majorEastAsia" w:cstheme="majorEastAsia"/>
          <w:b/>
          <w:spacing w:val="6"/>
          <w:sz w:val="28"/>
          <w:szCs w:val="28"/>
        </w:rPr>
        <w:sectPr>
          <w:footerReference r:id="rId15" w:type="default"/>
          <w:pgSz w:w="11906" w:h="16838"/>
          <w:pgMar w:top="1440" w:right="1800" w:bottom="1440" w:left="1800" w:header="851" w:footer="992" w:gutter="0"/>
          <w:cols w:space="720" w:num="1"/>
          <w:docGrid w:type="lines" w:linePitch="312" w:charSpace="0"/>
        </w:sectPr>
      </w:pPr>
    </w:p>
    <w:p w14:paraId="2481E4EF">
      <w:pPr>
        <w:spacing w:line="500" w:lineRule="exact"/>
        <w:jc w:val="center"/>
        <w:rPr>
          <w:rFonts w:asciiTheme="majorEastAsia" w:hAnsiTheme="majorEastAsia" w:eastAsiaTheme="majorEastAsia" w:cstheme="majorEastAsia"/>
          <w:b/>
          <w:spacing w:val="6"/>
          <w:sz w:val="28"/>
          <w:szCs w:val="28"/>
        </w:rPr>
      </w:pPr>
      <w:r>
        <w:rPr>
          <w:rFonts w:hint="eastAsia" w:asciiTheme="majorEastAsia" w:hAnsiTheme="majorEastAsia" w:eastAsiaTheme="majorEastAsia" w:cstheme="majorEastAsia"/>
          <w:b/>
          <w:spacing w:val="6"/>
          <w:sz w:val="28"/>
          <w:szCs w:val="28"/>
        </w:rPr>
        <w:t>2.残疾人福利性单位声明函</w:t>
      </w:r>
      <w:bookmarkEnd w:id="160"/>
    </w:p>
    <w:p w14:paraId="065D754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（注：符合条件的残疾人福利性单位请提供本函，不符合的不提供本函）</w:t>
      </w:r>
    </w:p>
    <w:p w14:paraId="6BCA47C6">
      <w:pPr>
        <w:spacing w:line="500" w:lineRule="exact"/>
        <w:rPr>
          <w:rFonts w:asciiTheme="majorEastAsia" w:hAnsiTheme="majorEastAsia" w:eastAsiaTheme="majorEastAsia" w:cstheme="majorEastAsia"/>
          <w:b/>
          <w:spacing w:val="6"/>
          <w:sz w:val="30"/>
          <w:szCs w:val="30"/>
        </w:rPr>
      </w:pPr>
    </w:p>
    <w:p w14:paraId="6E45E80E">
      <w:pPr>
        <w:spacing w:line="500" w:lineRule="exact"/>
        <w:ind w:firstLine="504" w:firstLineChars="200"/>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本单位郑重声明，根据《财政部 民政部 中国残疾人联合会关于促进残疾人就业政府采购政策的通知》（财库</w:t>
      </w:r>
      <w:r>
        <w:rPr>
          <w:rFonts w:hint="eastAsia" w:asciiTheme="majorEastAsia" w:hAnsiTheme="majorEastAsia" w:eastAsiaTheme="majorEastAsia" w:cstheme="majorEastAsia"/>
          <w:sz w:val="24"/>
        </w:rPr>
        <w:t>〔2017〕 141</w:t>
      </w:r>
      <w:r>
        <w:rPr>
          <w:rFonts w:hint="eastAsia" w:asciiTheme="majorEastAsia" w:hAnsiTheme="majorEastAsia" w:eastAsiaTheme="majorEastAsia" w:cstheme="majorEastAsia"/>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81A1AC">
      <w:pPr>
        <w:spacing w:line="500" w:lineRule="exact"/>
        <w:ind w:firstLine="504" w:firstLineChars="200"/>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本单位对上述声明的真实性负责。如有虚假，将依法承担相应责任。</w:t>
      </w:r>
    </w:p>
    <w:p w14:paraId="4CF9CF26">
      <w:pPr>
        <w:spacing w:line="500" w:lineRule="exact"/>
        <w:rPr>
          <w:rFonts w:asciiTheme="majorEastAsia" w:hAnsiTheme="majorEastAsia" w:eastAsiaTheme="majorEastAsia" w:cstheme="majorEastAsia"/>
          <w:spacing w:val="6"/>
          <w:sz w:val="24"/>
        </w:rPr>
      </w:pPr>
    </w:p>
    <w:p w14:paraId="1FACFA32">
      <w:pPr>
        <w:tabs>
          <w:tab w:val="left" w:pos="4860"/>
        </w:tabs>
        <w:spacing w:line="500" w:lineRule="exact"/>
        <w:ind w:right="1560" w:firstLine="504" w:firstLineChars="200"/>
        <w:jc w:val="center"/>
        <w:rPr>
          <w:rFonts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 xml:space="preserve">                                  单位名称（盖章）：</w:t>
      </w:r>
    </w:p>
    <w:p w14:paraId="3EDE565B">
      <w:pPr>
        <w:adjustRightInd w:val="0"/>
        <w:snapToGrid w:val="0"/>
        <w:spacing w:line="500" w:lineRule="exact"/>
        <w:ind w:firstLine="630" w:firstLineChars="250"/>
        <w:rPr>
          <w:rFonts w:asciiTheme="majorEastAsia" w:hAnsiTheme="majorEastAsia" w:eastAsiaTheme="majorEastAsia" w:cstheme="majorEastAsia"/>
          <w:szCs w:val="21"/>
        </w:rPr>
      </w:pPr>
      <w:r>
        <w:rPr>
          <w:rFonts w:hint="eastAsia" w:asciiTheme="majorEastAsia" w:hAnsiTheme="majorEastAsia" w:eastAsiaTheme="majorEastAsia" w:cstheme="majorEastAsia"/>
          <w:spacing w:val="6"/>
          <w:sz w:val="24"/>
        </w:rPr>
        <w:t xml:space="preserve">                                         日  期：</w:t>
      </w:r>
    </w:p>
    <w:p w14:paraId="697C1695">
      <w:pPr>
        <w:adjustRightInd w:val="0"/>
        <w:snapToGrid w:val="0"/>
        <w:spacing w:line="500" w:lineRule="exact"/>
        <w:rPr>
          <w:rFonts w:asciiTheme="majorEastAsia" w:hAnsiTheme="majorEastAsia" w:eastAsiaTheme="majorEastAsia" w:cstheme="majorEastAsia"/>
          <w:szCs w:val="21"/>
        </w:rPr>
      </w:pPr>
    </w:p>
    <w:p w14:paraId="2EE5CA22">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备注：</w:t>
      </w:r>
      <w:r>
        <w:rPr>
          <w:rFonts w:hint="eastAsia" w:asciiTheme="majorEastAsia" w:hAnsiTheme="majorEastAsia" w:eastAsiaTheme="majorEastAsia" w:cstheme="majorEastAsia"/>
          <w:szCs w:val="21"/>
        </w:rPr>
        <w:t>项目不分标段的，第___标段空白处填写“/”。</w:t>
      </w:r>
    </w:p>
    <w:p w14:paraId="5A0D539F">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根据《财政部 民政部 中国残疾人联合会关于促进残疾人就业政府采购政策的通知》（财库〔2017〕141号）的规定：</w:t>
      </w:r>
    </w:p>
    <w:p w14:paraId="619FA6FB">
      <w:pPr>
        <w:tabs>
          <w:tab w:val="left" w:pos="5670"/>
        </w:tabs>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一、享受政府采购支持政策的残疾人福利性单位应当同时满足以下条件：</w:t>
      </w:r>
    </w:p>
    <w:p w14:paraId="3224A198">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（一）安置的残疾人占本单位在职职工人数的比例不低于25%（含25%），并且安置的残疾人人数不少于10人（含10人）；</w:t>
      </w:r>
    </w:p>
    <w:p w14:paraId="2A47C418">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（二）依法与安置的每位残疾人签订了一年以上（含一年）的劳动合同或服务协议；</w:t>
      </w:r>
    </w:p>
    <w:p w14:paraId="2B453A83">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（三）为安置的每位残疾人按月足额缴纳了基本养老保险、基本医疗保险、失业保险、工伤保险和生育保险等社会保险费；</w:t>
      </w:r>
    </w:p>
    <w:p w14:paraId="24C5259A">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（四）通过银行等金融机构向安置的每位残疾人，按月支付了不低于单位所在区县适用的经省级人民政府批准的月最低工资标准的工资；</w:t>
      </w:r>
    </w:p>
    <w:p w14:paraId="1268CBA2">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（五）提供本单位承担的服务（以下简称产品），或者提供其他残疾人福利性单位提供的服。</w:t>
      </w:r>
    </w:p>
    <w:p w14:paraId="02C061B9">
      <w:pPr>
        <w:tabs>
          <w:tab w:val="left" w:pos="5670"/>
        </w:tabs>
        <w:ind w:firstLine="566"/>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3714B3">
      <w:pPr>
        <w:tabs>
          <w:tab w:val="left" w:pos="5670"/>
        </w:tabs>
        <w:ind w:firstLine="420"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szCs w:val="21"/>
        </w:rPr>
        <w:t>二、中标、成交供应商为残疾人福利性单位的，采购人或者其委托的采购代理机构应当随中标、成交结果同时公告其《残疾人福利性单位声明函》，接受社会监督。</w:t>
      </w:r>
      <w:r>
        <w:rPr>
          <w:rFonts w:hint="eastAsia" w:asciiTheme="majorEastAsia" w:hAnsiTheme="majorEastAsia" w:eastAsiaTheme="majorEastAsia" w:cstheme="majorEastAsia"/>
          <w:b/>
          <w:bCs/>
          <w:szCs w:val="21"/>
        </w:rPr>
        <w:t>非残疾人福利性单位无需提供此函。</w:t>
      </w:r>
    </w:p>
    <w:p w14:paraId="1017FF7E">
      <w:pPr>
        <w:tabs>
          <w:tab w:val="left" w:pos="5670"/>
        </w:tabs>
        <w:ind w:firstLine="420" w:firstLineChars="200"/>
        <w:rPr>
          <w:rFonts w:asciiTheme="majorEastAsia" w:hAnsiTheme="majorEastAsia" w:eastAsiaTheme="majorEastAsia" w:cstheme="majorEastAsia"/>
          <w:szCs w:val="21"/>
        </w:rPr>
      </w:pPr>
    </w:p>
    <w:p w14:paraId="16AF15E8">
      <w:pPr>
        <w:tabs>
          <w:tab w:val="left" w:pos="5670"/>
        </w:tabs>
        <w:jc w:val="center"/>
        <w:rPr>
          <w:rFonts w:asciiTheme="majorEastAsia" w:hAnsiTheme="majorEastAsia" w:eastAsiaTheme="majorEastAsia" w:cstheme="majorEastAsia"/>
          <w:b/>
          <w:spacing w:val="6"/>
          <w:sz w:val="28"/>
          <w:szCs w:val="28"/>
        </w:rPr>
      </w:pPr>
      <w:r>
        <w:rPr>
          <w:rFonts w:hint="eastAsia" w:asciiTheme="majorEastAsia" w:hAnsiTheme="majorEastAsia" w:eastAsiaTheme="majorEastAsia" w:cstheme="majorEastAsia"/>
          <w:b/>
          <w:bCs/>
          <w:sz w:val="36"/>
          <w:szCs w:val="36"/>
        </w:rPr>
        <w:br w:type="page"/>
      </w:r>
      <w:bookmarkStart w:id="165" w:name="_Toc3485"/>
      <w:r>
        <w:rPr>
          <w:rFonts w:hint="eastAsia" w:asciiTheme="majorEastAsia" w:hAnsiTheme="majorEastAsia" w:eastAsiaTheme="majorEastAsia" w:cstheme="majorEastAsia"/>
          <w:b/>
          <w:bCs/>
          <w:sz w:val="28"/>
          <w:szCs w:val="28"/>
        </w:rPr>
        <w:t>3.</w:t>
      </w:r>
      <w:r>
        <w:rPr>
          <w:rFonts w:hint="eastAsia" w:asciiTheme="majorEastAsia" w:hAnsiTheme="majorEastAsia" w:eastAsiaTheme="majorEastAsia" w:cstheme="majorEastAsia"/>
          <w:b/>
          <w:spacing w:val="6"/>
          <w:sz w:val="28"/>
          <w:szCs w:val="28"/>
        </w:rPr>
        <w:t>监狱企业证明函</w:t>
      </w:r>
      <w:bookmarkEnd w:id="165"/>
    </w:p>
    <w:p w14:paraId="1E895FD0">
      <w:pPr>
        <w:pStyle w:val="17"/>
        <w:rPr>
          <w:rFonts w:asciiTheme="majorEastAsia" w:hAnsiTheme="majorEastAsia" w:eastAsiaTheme="majorEastAsia" w:cstheme="majorEastAsia"/>
        </w:rPr>
      </w:pPr>
    </w:p>
    <w:p w14:paraId="1B35B0B8">
      <w:pPr>
        <w:jc w:val="center"/>
        <w:outlineLvl w:val="0"/>
        <w:rPr>
          <w:rFonts w:asciiTheme="majorEastAsia" w:hAnsiTheme="majorEastAsia" w:eastAsiaTheme="majorEastAsia" w:cstheme="majorEastAsia"/>
          <w:sz w:val="24"/>
        </w:rPr>
      </w:pPr>
      <w:bookmarkStart w:id="166" w:name="_Toc15286"/>
      <w:bookmarkStart w:id="167" w:name="_Toc29333"/>
      <w:bookmarkStart w:id="168" w:name="_Toc20880"/>
      <w:r>
        <w:rPr>
          <w:rFonts w:hint="eastAsia" w:asciiTheme="majorEastAsia" w:hAnsiTheme="majorEastAsia" w:eastAsiaTheme="majorEastAsia" w:cstheme="majorEastAsia"/>
          <w:sz w:val="24"/>
        </w:rPr>
        <w:t>（注：符合条件的监狱企业请提供本函，不符合的不提供本函）</w:t>
      </w:r>
      <w:bookmarkEnd w:id="166"/>
      <w:bookmarkEnd w:id="167"/>
      <w:bookmarkEnd w:id="168"/>
    </w:p>
    <w:p w14:paraId="6AAB0967">
      <w:pPr>
        <w:rPr>
          <w:rFonts w:asciiTheme="majorEastAsia" w:hAnsiTheme="majorEastAsia" w:eastAsiaTheme="majorEastAsia" w:cstheme="majorEastAsia"/>
        </w:rPr>
      </w:pPr>
    </w:p>
    <w:p w14:paraId="4A994F8A">
      <w:pPr>
        <w:spacing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监狱企业参加政府采购活动，要求享受相关优惠政策的，应当提供由省级以上监狱管理局、戒毒管理局（含新疆生产建设兵团）出具的属于监狱企业的证明文件。</w:t>
      </w:r>
    </w:p>
    <w:p w14:paraId="2B9966CF">
      <w:pPr>
        <w:spacing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FB0D49">
      <w:pPr>
        <w:pStyle w:val="23"/>
        <w:ind w:firstLine="183"/>
        <w:rPr>
          <w:rFonts w:asciiTheme="majorEastAsia" w:hAnsiTheme="majorEastAsia" w:eastAsiaTheme="majorEastAsia" w:cstheme="majorEastAsia"/>
        </w:rPr>
      </w:pPr>
    </w:p>
    <w:p w14:paraId="2539CA51">
      <w:pPr>
        <w:rPr>
          <w:rFonts w:asciiTheme="majorEastAsia" w:hAnsiTheme="majorEastAsia" w:eastAsiaTheme="majorEastAsia" w:cstheme="majorEastAsia"/>
        </w:rPr>
      </w:pPr>
    </w:p>
    <w:p w14:paraId="14FD5F83">
      <w:pPr>
        <w:rPr>
          <w:rFonts w:asciiTheme="majorEastAsia" w:hAnsiTheme="majorEastAsia" w:eastAsiaTheme="majorEastAsia" w:cstheme="majorEastAsia"/>
        </w:rPr>
      </w:pPr>
    </w:p>
    <w:p w14:paraId="4ADACB76">
      <w:pPr>
        <w:rPr>
          <w:rFonts w:asciiTheme="majorEastAsia" w:hAnsiTheme="majorEastAsia" w:eastAsiaTheme="majorEastAsia" w:cstheme="majorEastAsia"/>
        </w:rPr>
      </w:pPr>
    </w:p>
    <w:p w14:paraId="5982F7F1">
      <w:pPr>
        <w:rPr>
          <w:rFonts w:asciiTheme="majorEastAsia" w:hAnsiTheme="majorEastAsia" w:eastAsiaTheme="majorEastAsia" w:cstheme="majorEastAsia"/>
        </w:rPr>
      </w:pPr>
    </w:p>
    <w:p w14:paraId="5B02D7BA">
      <w:pPr>
        <w:rPr>
          <w:rFonts w:asciiTheme="majorEastAsia" w:hAnsiTheme="majorEastAsia" w:eastAsiaTheme="majorEastAsia" w:cstheme="majorEastAsia"/>
        </w:rPr>
      </w:pPr>
    </w:p>
    <w:p w14:paraId="644A9013">
      <w:pPr>
        <w:rPr>
          <w:rFonts w:asciiTheme="majorEastAsia" w:hAnsiTheme="majorEastAsia" w:eastAsiaTheme="majorEastAsia" w:cstheme="majorEastAsia"/>
        </w:rPr>
      </w:pPr>
    </w:p>
    <w:p w14:paraId="20398250">
      <w:pPr>
        <w:widowControl/>
        <w:jc w:val="left"/>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rPr>
        <w:tab/>
      </w:r>
      <w:r>
        <w:rPr>
          <w:rFonts w:hint="eastAsia" w:asciiTheme="majorEastAsia" w:hAnsiTheme="majorEastAsia" w:eastAsiaTheme="majorEastAsia" w:cstheme="majorEastAsia"/>
          <w:kern w:val="0"/>
          <w:sz w:val="24"/>
        </w:rPr>
        <w:t>供应商（盖章）：</w:t>
      </w:r>
    </w:p>
    <w:p w14:paraId="42EAFA87">
      <w:pPr>
        <w:widowControl/>
        <w:ind w:firstLine="482"/>
        <w:jc w:val="left"/>
        <w:rPr>
          <w:rFonts w:asciiTheme="majorEastAsia" w:hAnsiTheme="majorEastAsia" w:eastAsiaTheme="majorEastAsia" w:cstheme="majorEastAsia"/>
          <w:kern w:val="0"/>
          <w:sz w:val="24"/>
        </w:rPr>
      </w:pPr>
    </w:p>
    <w:p w14:paraId="2C5B4D6F">
      <w:pPr>
        <w:widowControl/>
        <w:ind w:firstLine="480" w:firstLineChars="200"/>
        <w:jc w:val="left"/>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承诺人（签字）：</w:t>
      </w:r>
    </w:p>
    <w:p w14:paraId="22FB2F1D">
      <w:pPr>
        <w:widowControl/>
        <w:ind w:firstLine="482"/>
        <w:jc w:val="left"/>
        <w:rPr>
          <w:rFonts w:asciiTheme="majorEastAsia" w:hAnsiTheme="majorEastAsia" w:eastAsiaTheme="majorEastAsia" w:cstheme="majorEastAsia"/>
          <w:kern w:val="0"/>
          <w:sz w:val="24"/>
          <w:u w:val="single"/>
        </w:rPr>
      </w:pPr>
    </w:p>
    <w:p w14:paraId="5B078A9A">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承诺时间：年月日</w:t>
      </w:r>
    </w:p>
    <w:p w14:paraId="6D5153F8">
      <w:pPr>
        <w:pStyle w:val="17"/>
        <w:rPr>
          <w:rFonts w:asciiTheme="majorEastAsia" w:hAnsiTheme="majorEastAsia" w:eastAsiaTheme="majorEastAsia" w:cstheme="majorEastAsia"/>
          <w:sz w:val="24"/>
        </w:rPr>
      </w:pPr>
    </w:p>
    <w:p w14:paraId="7DC428C1">
      <w:pPr>
        <w:rPr>
          <w:rFonts w:asciiTheme="majorEastAsia" w:hAnsiTheme="majorEastAsia" w:eastAsiaTheme="majorEastAsia" w:cstheme="majorEastAsia"/>
        </w:rPr>
      </w:pPr>
    </w:p>
    <w:p w14:paraId="76B8B0C6">
      <w:pPr>
        <w:pStyle w:val="17"/>
        <w:rPr>
          <w:rFonts w:asciiTheme="majorEastAsia" w:hAnsiTheme="majorEastAsia" w:eastAsiaTheme="majorEastAsia" w:cstheme="majorEastAsia"/>
          <w:sz w:val="24"/>
          <w:szCs w:val="24"/>
        </w:rPr>
        <w:sectPr>
          <w:footerReference r:id="rId16" w:type="default"/>
          <w:pgSz w:w="11906" w:h="16838"/>
          <w:pgMar w:top="1440" w:right="1287" w:bottom="1440" w:left="1440" w:header="850" w:footer="992" w:gutter="0"/>
          <w:cols w:space="720" w:num="1"/>
          <w:titlePg/>
          <w:docGrid w:linePitch="360" w:charSpace="0"/>
        </w:sectPr>
      </w:pPr>
    </w:p>
    <w:bookmarkEnd w:id="161"/>
    <w:bookmarkEnd w:id="162"/>
    <w:bookmarkEnd w:id="163"/>
    <w:p w14:paraId="12FC3425">
      <w:pPr>
        <w:spacing w:line="360" w:lineRule="auto"/>
        <w:ind w:firstLine="964" w:firstLineChars="300"/>
        <w:jc w:val="center"/>
        <w:outlineLvl w:val="0"/>
        <w:rPr>
          <w:rFonts w:asciiTheme="majorEastAsia" w:hAnsiTheme="majorEastAsia" w:eastAsiaTheme="majorEastAsia" w:cstheme="majorEastAsia"/>
          <w:b/>
          <w:bCs/>
          <w:sz w:val="32"/>
          <w:szCs w:val="32"/>
        </w:rPr>
      </w:pPr>
      <w:bookmarkStart w:id="169" w:name="_Toc22483"/>
      <w:bookmarkStart w:id="170" w:name="_Toc622"/>
      <w:r>
        <w:rPr>
          <w:rFonts w:hint="eastAsia" w:asciiTheme="majorEastAsia" w:hAnsiTheme="majorEastAsia" w:eastAsiaTheme="majorEastAsia" w:cstheme="majorEastAsia"/>
          <w:b/>
          <w:bCs/>
          <w:sz w:val="32"/>
          <w:szCs w:val="32"/>
        </w:rPr>
        <w:t>第八章  榆林市公共资源交易平台全流程电子化</w:t>
      </w:r>
      <w:bookmarkStart w:id="171" w:name="_Toc23465"/>
      <w:r>
        <w:rPr>
          <w:rFonts w:hint="eastAsia" w:asciiTheme="majorEastAsia" w:hAnsiTheme="majorEastAsia" w:eastAsiaTheme="majorEastAsia" w:cstheme="majorEastAsia"/>
          <w:b/>
          <w:bCs/>
          <w:sz w:val="32"/>
          <w:szCs w:val="32"/>
        </w:rPr>
        <w:t>政府采购项目内容</w:t>
      </w:r>
      <w:bookmarkEnd w:id="169"/>
      <w:bookmarkEnd w:id="170"/>
      <w:bookmarkEnd w:id="171"/>
    </w:p>
    <w:p w14:paraId="5560333E">
      <w:pPr>
        <w:spacing w:line="360" w:lineRule="auto"/>
        <w:rPr>
          <w:rFonts w:asciiTheme="majorEastAsia" w:hAnsiTheme="majorEastAsia" w:eastAsiaTheme="majorEastAsia" w:cstheme="majorEastAsia"/>
          <w:bCs/>
          <w:sz w:val="24"/>
        </w:rPr>
      </w:pPr>
      <w:bookmarkStart w:id="172" w:name="_Toc17329"/>
      <w:bookmarkStart w:id="173" w:name="_Toc5026"/>
      <w:bookmarkStart w:id="174" w:name="_Toc24424"/>
      <w:bookmarkStart w:id="175" w:name="_Toc13044"/>
      <w:bookmarkStart w:id="176" w:name="_Toc29408"/>
      <w:bookmarkStart w:id="177" w:name="_Toc7893"/>
      <w:bookmarkStart w:id="178" w:name="_Toc30256"/>
      <w:bookmarkStart w:id="179" w:name="_Toc19434"/>
      <w:bookmarkStart w:id="180" w:name="_Toc17326"/>
      <w:bookmarkStart w:id="181" w:name="_Toc13032"/>
      <w:bookmarkStart w:id="182" w:name="_Toc21640"/>
      <w:bookmarkStart w:id="183" w:name="_Toc2927"/>
      <w:r>
        <w:rPr>
          <w:rFonts w:hint="eastAsia" w:asciiTheme="majorEastAsia" w:hAnsiTheme="majorEastAsia" w:eastAsiaTheme="majorEastAsia" w:cstheme="majorEastAsia"/>
          <w:bCs/>
          <w:sz w:val="24"/>
        </w:rPr>
        <w:t>一、关于需要特别提醒供应商的内容</w:t>
      </w:r>
      <w:bookmarkEnd w:id="172"/>
      <w:bookmarkEnd w:id="173"/>
      <w:bookmarkEnd w:id="174"/>
      <w:bookmarkEnd w:id="175"/>
      <w:bookmarkEnd w:id="176"/>
      <w:bookmarkEnd w:id="177"/>
      <w:bookmarkEnd w:id="178"/>
      <w:bookmarkEnd w:id="179"/>
      <w:bookmarkEnd w:id="180"/>
    </w:p>
    <w:p w14:paraId="4A752D59">
      <w:pPr>
        <w:spacing w:line="360" w:lineRule="auto"/>
        <w:ind w:firstLine="480" w:firstLineChars="200"/>
        <w:rPr>
          <w:rFonts w:asciiTheme="majorEastAsia" w:hAnsiTheme="majorEastAsia" w:eastAsiaTheme="majorEastAsia" w:cstheme="majorEastAsia"/>
          <w:bCs/>
          <w:sz w:val="24"/>
        </w:rPr>
      </w:pPr>
      <w:bookmarkStart w:id="184" w:name="_Toc19423"/>
      <w:bookmarkStart w:id="185" w:name="_Toc31636"/>
      <w:bookmarkStart w:id="186" w:name="_Toc3743"/>
      <w:bookmarkStart w:id="187" w:name="_Toc21400"/>
      <w:bookmarkStart w:id="188" w:name="_Toc21468"/>
      <w:bookmarkStart w:id="189" w:name="_Toc28365"/>
      <w:bookmarkStart w:id="190" w:name="_Toc9072"/>
      <w:bookmarkStart w:id="191" w:name="_Toc22444"/>
      <w:bookmarkStart w:id="192" w:name="_Toc11575"/>
      <w:r>
        <w:rPr>
          <w:rFonts w:hint="eastAsia" w:asciiTheme="majorEastAsia" w:hAnsiTheme="majorEastAsia" w:eastAsiaTheme="majorEastAsia" w:cstheme="majorEastAsia"/>
          <w:bCs/>
          <w:sz w:val="24"/>
        </w:rPr>
        <w:t>1、本项目采用电子化投标的方式投标，投标人须使用数字认证证书（CA锁）对电子投标文件进行签章、加密、递交及开标时解密等相关招投标事宜。</w:t>
      </w:r>
      <w:bookmarkEnd w:id="184"/>
      <w:bookmarkEnd w:id="185"/>
      <w:bookmarkEnd w:id="186"/>
      <w:bookmarkEnd w:id="187"/>
      <w:bookmarkEnd w:id="188"/>
    </w:p>
    <w:p w14:paraId="5A986050">
      <w:pPr>
        <w:spacing w:line="360" w:lineRule="auto"/>
        <w:ind w:firstLine="480" w:firstLineChars="200"/>
        <w:rPr>
          <w:rFonts w:asciiTheme="majorEastAsia" w:hAnsiTheme="majorEastAsia" w:eastAsiaTheme="majorEastAsia" w:cstheme="majorEastAsia"/>
          <w:bCs/>
          <w:sz w:val="24"/>
        </w:rPr>
      </w:pPr>
      <w:bookmarkStart w:id="193" w:name="_Toc16386"/>
      <w:bookmarkStart w:id="194" w:name="_Toc8218"/>
      <w:bookmarkStart w:id="195" w:name="_Toc29324"/>
      <w:bookmarkStart w:id="196" w:name="_Toc26209"/>
      <w:bookmarkStart w:id="197" w:name="_Toc21967"/>
      <w:r>
        <w:rPr>
          <w:rFonts w:hint="eastAsia" w:asciiTheme="majorEastAsia" w:hAnsiTheme="majorEastAsia" w:eastAsiaTheme="majorEastAsia" w:cstheme="majorEastAsia"/>
          <w:bCs/>
          <w:sz w:val="24"/>
        </w:rPr>
        <w:t>2、制作电子投标文件</w:t>
      </w:r>
      <w:bookmarkEnd w:id="193"/>
      <w:bookmarkEnd w:id="194"/>
      <w:bookmarkEnd w:id="195"/>
      <w:bookmarkEnd w:id="196"/>
      <w:bookmarkEnd w:id="197"/>
    </w:p>
    <w:p w14:paraId="0290EAFC">
      <w:pPr>
        <w:spacing w:line="360" w:lineRule="auto"/>
        <w:ind w:firstLine="480" w:firstLineChars="200"/>
        <w:rPr>
          <w:rFonts w:asciiTheme="majorEastAsia" w:hAnsiTheme="majorEastAsia" w:eastAsiaTheme="majorEastAsia" w:cstheme="majorEastAsia"/>
          <w:bCs/>
          <w:sz w:val="24"/>
        </w:rPr>
      </w:pPr>
      <w:bookmarkStart w:id="198" w:name="_Toc20309"/>
      <w:bookmarkStart w:id="199" w:name="_Toc22290"/>
      <w:r>
        <w:rPr>
          <w:rFonts w:hint="eastAsia" w:asciiTheme="majorEastAsia" w:hAnsiTheme="majorEastAsia" w:eastAsiaTheme="majorEastAsia" w:cstheme="majorEastAsia"/>
          <w:bCs/>
          <w:sz w:val="24"/>
        </w:rPr>
        <w:t>投标供应商须在“全国公共资源交易中心平台（陕西省）（http://www.sxggzyjy.cn/）”的“服务指南”栏目“下载专区”中，免费下载“陕西省公共资源交易平台政府采购电子标书制作工具(V8.0.0.44)”，并升级至最新版本，使用该客户端制作电子投标文件，制作扩展名为“.SXSTF”的电子投标文件。”</w:t>
      </w:r>
      <w:bookmarkEnd w:id="198"/>
      <w:bookmarkEnd w:id="199"/>
    </w:p>
    <w:p w14:paraId="096A72A7">
      <w:pPr>
        <w:spacing w:line="360" w:lineRule="auto"/>
        <w:ind w:firstLine="480" w:firstLineChars="200"/>
        <w:rPr>
          <w:rFonts w:asciiTheme="majorEastAsia" w:hAnsiTheme="majorEastAsia" w:eastAsiaTheme="majorEastAsia" w:cstheme="majorEastAsia"/>
          <w:bCs/>
          <w:sz w:val="24"/>
        </w:rPr>
      </w:pPr>
      <w:bookmarkStart w:id="200" w:name="_Toc8778"/>
      <w:bookmarkStart w:id="201" w:name="_Toc26633"/>
      <w:bookmarkStart w:id="202" w:name="_Toc11240"/>
      <w:bookmarkStart w:id="203" w:name="_Toc15991"/>
      <w:bookmarkStart w:id="204" w:name="_Toc29229"/>
      <w:r>
        <w:rPr>
          <w:rFonts w:hint="eastAsia" w:asciiTheme="majorEastAsia" w:hAnsiTheme="majorEastAsia" w:eastAsiaTheme="majorEastAsia" w:cstheme="majorEastAsia"/>
          <w:bCs/>
          <w:sz w:val="24"/>
        </w:rPr>
        <w:t>3、递交电子投标文件</w:t>
      </w:r>
      <w:bookmarkEnd w:id="200"/>
      <w:bookmarkEnd w:id="201"/>
      <w:bookmarkEnd w:id="202"/>
      <w:bookmarkEnd w:id="203"/>
      <w:bookmarkEnd w:id="204"/>
    </w:p>
    <w:p w14:paraId="0017D096">
      <w:pPr>
        <w:spacing w:line="360" w:lineRule="auto"/>
        <w:ind w:firstLine="480" w:firstLineChars="200"/>
        <w:rPr>
          <w:rFonts w:asciiTheme="majorEastAsia" w:hAnsiTheme="majorEastAsia" w:eastAsiaTheme="majorEastAsia" w:cstheme="majorEastAsia"/>
          <w:bCs/>
          <w:sz w:val="24"/>
        </w:rPr>
      </w:pPr>
      <w:bookmarkStart w:id="205" w:name="_Toc12111"/>
      <w:bookmarkStart w:id="206" w:name="_Toc26499"/>
      <w:bookmarkStart w:id="207" w:name="_Toc10172"/>
      <w:bookmarkStart w:id="208" w:name="_Toc2403"/>
      <w:bookmarkStart w:id="209" w:name="_Toc26907"/>
      <w:r>
        <w:rPr>
          <w:rFonts w:hint="eastAsia" w:asciiTheme="majorEastAsia" w:hAnsiTheme="majorEastAsia" w:eastAsiaTheme="majorEastAsia" w:cstheme="majorEastAsia"/>
          <w:bCs/>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205"/>
      <w:bookmarkEnd w:id="206"/>
      <w:bookmarkEnd w:id="207"/>
      <w:bookmarkEnd w:id="208"/>
      <w:bookmarkEnd w:id="209"/>
    </w:p>
    <w:bookmarkEnd w:id="189"/>
    <w:bookmarkEnd w:id="190"/>
    <w:bookmarkEnd w:id="191"/>
    <w:bookmarkEnd w:id="192"/>
    <w:p w14:paraId="4155398A">
      <w:pPr>
        <w:spacing w:line="360" w:lineRule="auto"/>
        <w:rPr>
          <w:rFonts w:asciiTheme="majorEastAsia" w:hAnsiTheme="majorEastAsia" w:eastAsiaTheme="majorEastAsia" w:cstheme="majorEastAsia"/>
          <w:bCs/>
          <w:sz w:val="24"/>
        </w:rPr>
      </w:pPr>
      <w:bookmarkStart w:id="210" w:name="_Toc2373"/>
      <w:bookmarkStart w:id="211" w:name="_Toc22823"/>
      <w:bookmarkStart w:id="212" w:name="_Toc18685"/>
      <w:bookmarkStart w:id="213" w:name="_Toc31754"/>
      <w:bookmarkStart w:id="214" w:name="_Toc23397"/>
      <w:bookmarkStart w:id="215" w:name="_Toc17398"/>
      <w:bookmarkStart w:id="216" w:name="_Toc14917"/>
      <w:bookmarkStart w:id="217" w:name="_Toc6717"/>
      <w:bookmarkStart w:id="218" w:name="_Toc2638"/>
      <w:r>
        <w:rPr>
          <w:rFonts w:hint="eastAsia" w:asciiTheme="majorEastAsia" w:hAnsiTheme="majorEastAsia" w:eastAsiaTheme="majorEastAsia" w:cstheme="majorEastAsia"/>
          <w:bCs/>
          <w:sz w:val="24"/>
        </w:rPr>
        <w:t>二、关于文件的制作和签名</w:t>
      </w:r>
      <w:bookmarkEnd w:id="210"/>
      <w:bookmarkEnd w:id="211"/>
      <w:bookmarkEnd w:id="212"/>
      <w:bookmarkEnd w:id="213"/>
      <w:bookmarkEnd w:id="214"/>
      <w:bookmarkEnd w:id="215"/>
      <w:bookmarkEnd w:id="216"/>
      <w:bookmarkEnd w:id="217"/>
      <w:bookmarkEnd w:id="218"/>
    </w:p>
    <w:p w14:paraId="783EB123">
      <w:pPr>
        <w:spacing w:line="360" w:lineRule="auto"/>
        <w:ind w:firstLine="480" w:firstLineChars="200"/>
        <w:rPr>
          <w:rFonts w:asciiTheme="majorEastAsia" w:hAnsiTheme="majorEastAsia" w:eastAsiaTheme="majorEastAsia" w:cstheme="majorEastAsia"/>
          <w:bCs/>
          <w:sz w:val="24"/>
        </w:rPr>
      </w:pPr>
      <w:bookmarkStart w:id="219" w:name="_Toc22512"/>
      <w:r>
        <w:rPr>
          <w:rFonts w:hint="eastAsia" w:asciiTheme="majorEastAsia" w:hAnsiTheme="majorEastAsia" w:eastAsiaTheme="majorEastAsia" w:cstheme="majorEastAsia"/>
          <w:bCs/>
          <w:sz w:val="24"/>
        </w:rPr>
        <w:t>1.</w:t>
      </w:r>
      <w:bookmarkEnd w:id="219"/>
      <w:bookmarkStart w:id="220" w:name="_Toc30680"/>
      <w:r>
        <w:rPr>
          <w:rFonts w:hint="eastAsia" w:asciiTheme="majorEastAsia" w:hAnsiTheme="majorEastAsia" w:eastAsiaTheme="majorEastAsia" w:cstheme="majorEastAsia"/>
          <w:bCs/>
          <w:sz w:val="24"/>
        </w:rPr>
        <w:t xml:space="preserve"> 编制电子投标文件时，应使用最新发布的电子招标文件及专用制作工具进行编制。并使用数字认证证书（CA）对电子投标文件进行签署、加密、递交及开标时解密等相关操作。</w:t>
      </w:r>
      <w:bookmarkEnd w:id="220"/>
    </w:p>
    <w:p w14:paraId="02323204">
      <w:pPr>
        <w:spacing w:line="360" w:lineRule="auto"/>
        <w:ind w:firstLine="240" w:firstLineChars="100"/>
        <w:rPr>
          <w:rFonts w:asciiTheme="majorEastAsia" w:hAnsiTheme="majorEastAsia" w:eastAsiaTheme="majorEastAsia" w:cstheme="majorEastAsia"/>
          <w:bCs/>
          <w:sz w:val="24"/>
        </w:rPr>
      </w:pPr>
      <w:bookmarkStart w:id="221" w:name="_Toc5190"/>
      <w:r>
        <w:rPr>
          <w:rFonts w:hint="eastAsia" w:asciiTheme="majorEastAsia" w:hAnsiTheme="majorEastAsia" w:eastAsiaTheme="majorEastAsia" w:cstheme="majorEastAsia"/>
          <w:bCs/>
          <w:sz w:val="24"/>
        </w:rPr>
        <w:t>（1）电子招标文件下载</w:t>
      </w:r>
      <w:bookmarkEnd w:id="221"/>
    </w:p>
    <w:p w14:paraId="6517854F">
      <w:pPr>
        <w:spacing w:line="360" w:lineRule="auto"/>
        <w:ind w:firstLine="480" w:firstLineChars="200"/>
        <w:rPr>
          <w:rFonts w:asciiTheme="majorEastAsia" w:hAnsiTheme="majorEastAsia" w:eastAsiaTheme="majorEastAsia" w:cstheme="majorEastAsia"/>
          <w:bCs/>
          <w:sz w:val="24"/>
        </w:rPr>
      </w:pPr>
      <w:bookmarkStart w:id="222" w:name="_Toc17854"/>
      <w:r>
        <w:rPr>
          <w:rFonts w:hint="eastAsia" w:asciiTheme="majorEastAsia" w:hAnsiTheme="majorEastAsia" w:eastAsiaTheme="majorEastAsia" w:cstheme="majorEastAsia"/>
          <w:bCs/>
          <w:sz w:val="24"/>
        </w:rPr>
        <w:t>供应商登录全国公共资源交易平台（陕西省）网站[电子交易平台-企业端]后，在[我的项目]中点击“项目流程-交易文件下载”下载电子招标文件（*.SXSZF）;</w:t>
      </w:r>
      <w:bookmarkEnd w:id="222"/>
    </w:p>
    <w:p w14:paraId="4DB1D05E">
      <w:pPr>
        <w:spacing w:line="360" w:lineRule="auto"/>
        <w:rPr>
          <w:rFonts w:asciiTheme="majorEastAsia" w:hAnsiTheme="majorEastAsia" w:eastAsiaTheme="majorEastAsia" w:cstheme="majorEastAsia"/>
          <w:bCs/>
          <w:sz w:val="24"/>
        </w:rPr>
      </w:pPr>
      <w:bookmarkStart w:id="223" w:name="_Toc27523"/>
      <w:r>
        <w:rPr>
          <w:rFonts w:hint="eastAsia" w:asciiTheme="majorEastAsia" w:hAnsiTheme="majorEastAsia" w:eastAsiaTheme="majorEastAsia" w:cstheme="majorEastAsia"/>
          <w:bCs/>
          <w:sz w:val="24"/>
        </w:rPr>
        <w:t>注意：该项目如有变更文件，则应点击“项目流程&gt;答疑文件下载”下载更新后的电子招标文件（*.SXSCF），使用旧版电子招标文件制作的电子投标文件，系统将拒绝接收。</w:t>
      </w:r>
      <w:bookmarkEnd w:id="223"/>
    </w:p>
    <w:p w14:paraId="1FB5E83C">
      <w:pPr>
        <w:spacing w:line="360" w:lineRule="auto"/>
        <w:ind w:firstLine="240" w:firstLineChars="100"/>
        <w:rPr>
          <w:rFonts w:asciiTheme="majorEastAsia" w:hAnsiTheme="majorEastAsia" w:eastAsiaTheme="majorEastAsia" w:cstheme="majorEastAsia"/>
          <w:bCs/>
          <w:sz w:val="24"/>
        </w:rPr>
      </w:pPr>
      <w:bookmarkStart w:id="224" w:name="_Toc8282"/>
      <w:r>
        <w:rPr>
          <w:rFonts w:hint="eastAsia" w:asciiTheme="majorEastAsia" w:hAnsiTheme="majorEastAsia" w:eastAsiaTheme="majorEastAsia" w:cstheme="majorEastAsia"/>
          <w:bCs/>
          <w:sz w:val="24"/>
        </w:rPr>
        <w:t>（2）电子招标文件需要使用专用软件打开、浏览</w:t>
      </w:r>
      <w:bookmarkEnd w:id="224"/>
      <w:bookmarkStart w:id="225" w:name="_Toc20814"/>
      <w:r>
        <w:rPr>
          <w:rFonts w:hint="eastAsia" w:asciiTheme="majorEastAsia" w:hAnsiTheme="majorEastAsia" w:eastAsiaTheme="majorEastAsia" w:cstheme="majorEastAsia"/>
          <w:bCs/>
          <w:sz w:val="24"/>
        </w:rPr>
        <w:t>，供应商登录全国公共资源交易平台（陕西省）网站[服务指南-下载专区]免费下载《陕西省公共资源交易平台政府采购电子标书制作工具(V8.0.0.44)》，下载网址：</w:t>
      </w:r>
      <w:r>
        <w:fldChar w:fldCharType="begin"/>
      </w:r>
      <w:r>
        <w:instrText xml:space="preserve"> HYPERLINK "https://download.bqpoint.com/download/downloaddetail.html?SourceFrom=Ztb&amp;ZtbSoftXiaQuCode=1805&amp;ZtbSoftType=tballinclusive" </w:instrText>
      </w:r>
      <w:r>
        <w:fldChar w:fldCharType="separate"/>
      </w:r>
      <w:r>
        <w:rPr>
          <w:rFonts w:hint="eastAsia" w:asciiTheme="majorEastAsia" w:hAnsiTheme="majorEastAsia" w:eastAsiaTheme="majorEastAsia" w:cstheme="majorEastAsia"/>
          <w:bCs/>
          <w:sz w:val="24"/>
        </w:rPr>
        <w:t>https://download.bqpoint.com/download/downloaddetail.html?SourceFrom=Ztb&amp;ZtbSoftXiaQuCode=1805&amp;ZtbSoftType=tballinclusive</w:t>
      </w:r>
      <w:r>
        <w:rPr>
          <w:rFonts w:hint="eastAsia" w:asciiTheme="majorEastAsia" w:hAnsiTheme="majorEastAsia" w:eastAsiaTheme="majorEastAsia" w:cstheme="majorEastAsia"/>
          <w:bCs/>
          <w:sz w:val="24"/>
        </w:rPr>
        <w:fldChar w:fldCharType="end"/>
      </w:r>
      <w:r>
        <w:rPr>
          <w:rFonts w:hint="eastAsia" w:asciiTheme="majorEastAsia" w:hAnsiTheme="majorEastAsia" w:eastAsiaTheme="majorEastAsia" w:cstheme="majorEastAsia"/>
          <w:bCs/>
          <w:sz w:val="24"/>
        </w:rPr>
        <w:t>，并升级至最新版本，使用该客户端可以打开电子招标文件。</w:t>
      </w:r>
      <w:bookmarkEnd w:id="225"/>
    </w:p>
    <w:p w14:paraId="1C7E9CA7">
      <w:pPr>
        <w:spacing w:line="360" w:lineRule="auto"/>
        <w:ind w:firstLine="240" w:firstLineChars="100"/>
        <w:rPr>
          <w:rFonts w:asciiTheme="majorEastAsia" w:hAnsiTheme="majorEastAsia" w:eastAsiaTheme="majorEastAsia" w:cstheme="majorEastAsia"/>
          <w:bCs/>
          <w:sz w:val="24"/>
        </w:rPr>
      </w:pPr>
      <w:bookmarkStart w:id="226" w:name="_Toc3479"/>
      <w:r>
        <w:rPr>
          <w:rFonts w:hint="eastAsia" w:asciiTheme="majorEastAsia" w:hAnsiTheme="majorEastAsia" w:eastAsiaTheme="majorEastAsia" w:cstheme="majorEastAsia"/>
          <w:bCs/>
          <w:sz w:val="24"/>
        </w:rPr>
        <w:t>（3）制作电子投标文件</w:t>
      </w:r>
      <w:bookmarkEnd w:id="226"/>
    </w:p>
    <w:p w14:paraId="157BC1B4">
      <w:pPr>
        <w:spacing w:line="360" w:lineRule="auto"/>
        <w:ind w:firstLine="480" w:firstLineChars="200"/>
        <w:rPr>
          <w:rFonts w:asciiTheme="majorEastAsia" w:hAnsiTheme="majorEastAsia" w:eastAsiaTheme="majorEastAsia" w:cstheme="majorEastAsia"/>
          <w:bCs/>
          <w:sz w:val="24"/>
        </w:rPr>
      </w:pPr>
      <w:bookmarkStart w:id="227" w:name="_Toc1229"/>
      <w:r>
        <w:rPr>
          <w:rFonts w:hint="eastAsia" w:asciiTheme="majorEastAsia" w:hAnsiTheme="majorEastAsia" w:eastAsiaTheme="majorEastAsia" w:cstheme="majorEastAsia"/>
          <w:bCs/>
          <w:sz w:val="24"/>
        </w:rPr>
        <w:t>电子投标文件同样需要使用上述软件进行编制。在编制过程中，如有技术性问题，请先翻阅操作手册或致电软件开发商，技术支持热线：4009280095、4009980000。</w:t>
      </w:r>
      <w:bookmarkEnd w:id="227"/>
    </w:p>
    <w:p w14:paraId="249CD027">
      <w:pPr>
        <w:spacing w:line="360" w:lineRule="auto"/>
        <w:rPr>
          <w:rFonts w:asciiTheme="majorEastAsia" w:hAnsiTheme="majorEastAsia" w:eastAsiaTheme="majorEastAsia" w:cstheme="majorEastAsia"/>
          <w:bCs/>
          <w:sz w:val="24"/>
        </w:rPr>
      </w:pPr>
      <w:bookmarkStart w:id="228" w:name="_Toc30034"/>
      <w:bookmarkStart w:id="229" w:name="_Toc9181"/>
      <w:bookmarkStart w:id="230" w:name="_Toc24522"/>
      <w:bookmarkStart w:id="231" w:name="_Toc29731"/>
      <w:bookmarkStart w:id="232" w:name="_Toc17424"/>
      <w:r>
        <w:rPr>
          <w:rFonts w:hint="eastAsia" w:asciiTheme="majorEastAsia" w:hAnsiTheme="majorEastAsia" w:eastAsiaTheme="majorEastAsia" w:cstheme="majorEastAsia"/>
          <w:bCs/>
          <w:sz w:val="24"/>
        </w:rPr>
        <w:t>四、该项目将采取“不见面”开标的形式，供应商无须到达开标现场，即可在网上直接参与开标活动。相关注意事项如下：</w:t>
      </w:r>
      <w:bookmarkEnd w:id="228"/>
      <w:bookmarkEnd w:id="229"/>
      <w:bookmarkEnd w:id="230"/>
      <w:bookmarkEnd w:id="231"/>
      <w:bookmarkEnd w:id="232"/>
    </w:p>
    <w:p w14:paraId="2420C996">
      <w:pPr>
        <w:spacing w:line="360" w:lineRule="auto"/>
        <w:ind w:firstLine="480" w:firstLineChars="200"/>
        <w:rPr>
          <w:rFonts w:asciiTheme="majorEastAsia" w:hAnsiTheme="majorEastAsia" w:eastAsiaTheme="majorEastAsia" w:cstheme="majorEastAsia"/>
          <w:bCs/>
          <w:sz w:val="24"/>
        </w:rPr>
      </w:pPr>
      <w:bookmarkStart w:id="233" w:name="_Toc28289"/>
      <w:bookmarkStart w:id="234" w:name="_Toc10914"/>
      <w:bookmarkStart w:id="235" w:name="_Toc29064"/>
      <w:bookmarkStart w:id="236" w:name="_Toc31554"/>
      <w:bookmarkStart w:id="237" w:name="_Toc25309"/>
      <w:r>
        <w:rPr>
          <w:rFonts w:hint="eastAsia" w:asciiTheme="majorEastAsia" w:hAnsiTheme="majorEastAsia" w:eastAsiaTheme="majorEastAsia" w:cstheme="majorEastAsia"/>
          <w:bCs/>
          <w:sz w:val="24"/>
        </w:rPr>
        <w:t>①开标当日，请各供应商在开标截止时间前至少提前半小时登录“不见面”开标系统登录方式有以下几种：</w:t>
      </w:r>
      <w:bookmarkEnd w:id="233"/>
      <w:bookmarkEnd w:id="234"/>
      <w:bookmarkEnd w:id="235"/>
      <w:bookmarkEnd w:id="236"/>
      <w:bookmarkEnd w:id="237"/>
    </w:p>
    <w:p w14:paraId="2C8DAB5B">
      <w:pPr>
        <w:spacing w:line="360" w:lineRule="auto"/>
        <w:ind w:firstLine="480" w:firstLineChars="200"/>
        <w:rPr>
          <w:rFonts w:asciiTheme="majorEastAsia" w:hAnsiTheme="majorEastAsia" w:eastAsiaTheme="majorEastAsia" w:cstheme="majorEastAsia"/>
          <w:bCs/>
          <w:sz w:val="24"/>
        </w:rPr>
      </w:pPr>
      <w:bookmarkStart w:id="238" w:name="_Toc15638"/>
      <w:bookmarkStart w:id="239" w:name="_Toc5810"/>
      <w:bookmarkStart w:id="240" w:name="_Toc6547"/>
      <w:bookmarkStart w:id="241" w:name="_Toc23987"/>
      <w:bookmarkStart w:id="242" w:name="_Toc136"/>
      <w:r>
        <w:rPr>
          <w:rFonts w:hint="eastAsia" w:asciiTheme="majorEastAsia" w:hAnsiTheme="majorEastAsia" w:eastAsiaTheme="majorEastAsia" w:cstheme="majorEastAsia"/>
          <w:bCs/>
          <w:sz w:val="24"/>
        </w:rPr>
        <w:t>IE浏览器输入网址：</w:t>
      </w:r>
      <w:bookmarkEnd w:id="238"/>
      <w:bookmarkEnd w:id="239"/>
      <w:bookmarkEnd w:id="240"/>
      <w:bookmarkEnd w:id="241"/>
      <w:bookmarkEnd w:id="242"/>
    </w:p>
    <w:p w14:paraId="1CD8269E">
      <w:pPr>
        <w:spacing w:line="360" w:lineRule="auto"/>
        <w:ind w:firstLine="480" w:firstLineChars="200"/>
        <w:rPr>
          <w:rFonts w:asciiTheme="majorEastAsia" w:hAnsiTheme="majorEastAsia" w:eastAsiaTheme="majorEastAsia" w:cstheme="majorEastAsia"/>
          <w:bCs/>
          <w:sz w:val="24"/>
        </w:rPr>
      </w:pPr>
      <w:bookmarkStart w:id="243" w:name="_Toc14974"/>
      <w:bookmarkStart w:id="244" w:name="_Toc31069"/>
      <w:bookmarkStart w:id="245" w:name="_Toc11544"/>
      <w:bookmarkStart w:id="246" w:name="_Toc9929"/>
      <w:bookmarkStart w:id="247" w:name="_Toc21170"/>
      <w:r>
        <w:rPr>
          <w:rFonts w:hint="eastAsia" w:asciiTheme="majorEastAsia" w:hAnsiTheme="majorEastAsia" w:eastAsiaTheme="majorEastAsia" w:cstheme="majorEastAsia"/>
          <w:bCs/>
          <w:sz w:val="24"/>
        </w:rPr>
        <w:fldChar w:fldCharType="begin"/>
      </w:r>
      <w:r>
        <w:rPr>
          <w:rFonts w:hint="eastAsia" w:asciiTheme="majorEastAsia" w:hAnsiTheme="majorEastAsia" w:eastAsiaTheme="majorEastAsia" w:cstheme="majorEastAsia"/>
          <w:bCs/>
          <w:sz w:val="24"/>
        </w:rPr>
        <w:instrText xml:space="preserve"> HYPERLINK "http://219.145.120.168:8082/BidOpeningHall/bidhall/default/login），"</w:instrText>
      </w:r>
      <w:r>
        <w:rPr>
          <w:rFonts w:hint="eastAsia" w:asciiTheme="majorEastAsia" w:hAnsiTheme="majorEastAsia" w:eastAsiaTheme="majorEastAsia" w:cstheme="majorEastAsia"/>
          <w:bCs/>
          <w:sz w:val="24"/>
        </w:rPr>
        <w:fldChar w:fldCharType="separate"/>
      </w:r>
      <w:r>
        <w:rPr>
          <w:rFonts w:hint="eastAsia" w:asciiTheme="majorEastAsia" w:hAnsiTheme="majorEastAsia" w:eastAsiaTheme="majorEastAsia" w:cstheme="majorEastAsia"/>
          <w:bCs/>
          <w:sz w:val="24"/>
        </w:rPr>
        <w:t>http://111.20.184.126:8081/BidOpeningHallCS/bidhall/dqxianyang/login.html；</w:t>
      </w:r>
      <w:r>
        <w:rPr>
          <w:rFonts w:hint="eastAsia" w:asciiTheme="majorEastAsia" w:hAnsiTheme="majorEastAsia" w:eastAsiaTheme="majorEastAsia" w:cstheme="majorEastAsia"/>
          <w:bCs/>
          <w:sz w:val="24"/>
        </w:rPr>
        <w:fldChar w:fldCharType="end"/>
      </w:r>
      <w:bookmarkEnd w:id="243"/>
      <w:bookmarkEnd w:id="244"/>
      <w:bookmarkEnd w:id="245"/>
      <w:bookmarkEnd w:id="246"/>
      <w:bookmarkEnd w:id="247"/>
    </w:p>
    <w:p w14:paraId="65B9ACBE">
      <w:pPr>
        <w:spacing w:line="360" w:lineRule="auto"/>
        <w:ind w:firstLine="480" w:firstLineChars="200"/>
        <w:rPr>
          <w:rFonts w:asciiTheme="majorEastAsia" w:hAnsiTheme="majorEastAsia" w:eastAsiaTheme="majorEastAsia" w:cstheme="majorEastAsia"/>
          <w:bCs/>
          <w:sz w:val="24"/>
        </w:rPr>
      </w:pPr>
      <w:bookmarkStart w:id="248" w:name="_Toc4145"/>
      <w:bookmarkStart w:id="249" w:name="_Toc32358"/>
      <w:bookmarkStart w:id="250" w:name="_Toc23601"/>
      <w:bookmarkStart w:id="251" w:name="_Toc2339"/>
      <w:bookmarkStart w:id="252" w:name="_Toc22457"/>
      <w:r>
        <w:rPr>
          <w:rFonts w:hint="eastAsia" w:asciiTheme="majorEastAsia" w:hAnsiTheme="majorEastAsia" w:eastAsiaTheme="majorEastAsia" w:cstheme="majorEastAsia"/>
          <w:bCs/>
          <w:sz w:val="24"/>
        </w:rPr>
        <w:t>在【全国公共资源交易平台（陕西省）】网站电子交易平台点击不见面开标模块进入；</w:t>
      </w:r>
      <w:bookmarkEnd w:id="248"/>
      <w:bookmarkEnd w:id="249"/>
      <w:bookmarkEnd w:id="250"/>
      <w:bookmarkEnd w:id="251"/>
      <w:bookmarkEnd w:id="252"/>
    </w:p>
    <w:p w14:paraId="2C49DE6A">
      <w:pPr>
        <w:spacing w:line="360" w:lineRule="auto"/>
        <w:ind w:firstLine="480" w:firstLineChars="200"/>
        <w:outlineLvl w:val="0"/>
        <w:rPr>
          <w:rFonts w:asciiTheme="majorEastAsia" w:hAnsiTheme="majorEastAsia" w:eastAsiaTheme="majorEastAsia" w:cstheme="majorEastAsia"/>
          <w:bCs/>
          <w:sz w:val="24"/>
        </w:rPr>
      </w:pPr>
      <w:bookmarkStart w:id="253" w:name="_Toc11969"/>
      <w:bookmarkStart w:id="254" w:name="_Toc3562"/>
      <w:bookmarkStart w:id="255" w:name="_Toc29673"/>
      <w:bookmarkStart w:id="256" w:name="_Toc20049"/>
      <w:bookmarkStart w:id="257" w:name="_Toc21166"/>
      <w:bookmarkStart w:id="258" w:name="_Toc28382"/>
      <w:bookmarkStart w:id="259" w:name="_Toc23882"/>
      <w:bookmarkStart w:id="260" w:name="_Toc3689"/>
      <w:r>
        <w:rPr>
          <w:rFonts w:hint="eastAsia" w:asciiTheme="majorEastAsia" w:hAnsiTheme="majorEastAsia" w:eastAsiaTheme="majorEastAsia" w:cstheme="majorEastAsia"/>
          <w:bCs/>
          <w:sz w:val="24"/>
        </w:rPr>
        <w:t>注：登录不见面开标系统请选择IE11浏览器</w:t>
      </w:r>
      <w:bookmarkEnd w:id="253"/>
      <w:bookmarkEnd w:id="254"/>
      <w:bookmarkEnd w:id="255"/>
      <w:bookmarkEnd w:id="256"/>
      <w:bookmarkEnd w:id="257"/>
      <w:bookmarkEnd w:id="258"/>
      <w:bookmarkEnd w:id="259"/>
      <w:bookmarkEnd w:id="260"/>
    </w:p>
    <w:p w14:paraId="7AC063AD">
      <w:pPr>
        <w:spacing w:line="360" w:lineRule="auto"/>
        <w:ind w:firstLine="480" w:firstLineChars="200"/>
        <w:rPr>
          <w:rFonts w:asciiTheme="majorEastAsia" w:hAnsiTheme="majorEastAsia" w:eastAsiaTheme="majorEastAsia" w:cstheme="majorEastAsia"/>
          <w:bCs/>
          <w:sz w:val="24"/>
        </w:rPr>
      </w:pPr>
      <w:bookmarkStart w:id="261" w:name="_Toc3002"/>
      <w:bookmarkStart w:id="262" w:name="_Toc5982"/>
      <w:bookmarkStart w:id="263" w:name="_Toc25466"/>
      <w:bookmarkStart w:id="264" w:name="_Toc28533"/>
      <w:bookmarkStart w:id="265" w:name="_Toc14094"/>
      <w:r>
        <w:rPr>
          <w:rFonts w:hint="eastAsia" w:asciiTheme="majorEastAsia" w:hAnsiTheme="majorEastAsia" w:eastAsiaTheme="majorEastAsia" w:cstheme="majorEastAsia"/>
          <w:bCs/>
          <w:sz w:val="24"/>
        </w:rPr>
        <w:t>②供应商应按要求及时签到（签到时间为投标截止时间前1小时内，如果未签到将视为放弃投标资格），评审过程中，评标委员会可能会就某些问题要求供应商进行在线澄清，请供应商保持在线直到评审结束；</w:t>
      </w:r>
      <w:bookmarkEnd w:id="261"/>
      <w:bookmarkEnd w:id="262"/>
      <w:bookmarkEnd w:id="263"/>
      <w:bookmarkEnd w:id="264"/>
      <w:bookmarkEnd w:id="265"/>
    </w:p>
    <w:p w14:paraId="0C4961D1">
      <w:pPr>
        <w:spacing w:line="360" w:lineRule="auto"/>
        <w:ind w:firstLine="480" w:firstLineChars="200"/>
        <w:rPr>
          <w:rFonts w:asciiTheme="majorEastAsia" w:hAnsiTheme="majorEastAsia" w:eastAsiaTheme="majorEastAsia" w:cstheme="majorEastAsia"/>
          <w:bCs/>
          <w:sz w:val="24"/>
        </w:rPr>
      </w:pPr>
      <w:bookmarkStart w:id="266" w:name="_Toc17893"/>
      <w:bookmarkStart w:id="267" w:name="_Toc10575"/>
      <w:bookmarkStart w:id="268" w:name="_Toc24908"/>
      <w:bookmarkStart w:id="269" w:name="_Toc27782"/>
      <w:r>
        <w:rPr>
          <w:rFonts w:hint="eastAsia" w:asciiTheme="majorEastAsia" w:hAnsiTheme="majorEastAsia" w:eastAsiaTheme="majorEastAsia" w:cstheme="majorEastAsia"/>
          <w:bCs/>
          <w:sz w:val="24"/>
        </w:rPr>
        <w:t>③投标供应商无需提交纸质响应文件，待采购结果公告后，由成交供应商补交一正二副 纸质响应文件及电子版（光盘或 U 盘，包含可编辑 word 版，签字盖章后的扫描件 1 份）响应文件一份（备案用）</w:t>
      </w:r>
      <w:bookmarkEnd w:id="266"/>
      <w:bookmarkEnd w:id="267"/>
      <w:bookmarkEnd w:id="268"/>
      <w:bookmarkEnd w:id="269"/>
    </w:p>
    <w:p w14:paraId="74A798D7">
      <w:pPr>
        <w:spacing w:line="360" w:lineRule="auto"/>
        <w:ind w:firstLine="480" w:firstLineChars="200"/>
        <w:rPr>
          <w:rFonts w:asciiTheme="majorEastAsia" w:hAnsiTheme="majorEastAsia" w:eastAsiaTheme="majorEastAsia" w:cstheme="majorEastAsia"/>
          <w:bCs/>
          <w:sz w:val="24"/>
        </w:rPr>
      </w:pPr>
      <w:bookmarkStart w:id="270" w:name="_Toc30945"/>
      <w:bookmarkStart w:id="271" w:name="_Toc2001"/>
      <w:bookmarkStart w:id="272" w:name="_Toc18391"/>
      <w:bookmarkStart w:id="273" w:name="_Toc14264"/>
      <w:bookmarkStart w:id="274" w:name="_Toc27404"/>
      <w:r>
        <w:rPr>
          <w:rFonts w:hint="eastAsia" w:asciiTheme="majorEastAsia" w:hAnsiTheme="majorEastAsia" w:eastAsiaTheme="majorEastAsia" w:cstheme="majorEastAsia"/>
          <w:bCs/>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70"/>
      <w:bookmarkEnd w:id="271"/>
      <w:bookmarkEnd w:id="272"/>
      <w:bookmarkEnd w:id="273"/>
      <w:bookmarkEnd w:id="274"/>
    </w:p>
    <w:p w14:paraId="0A7A2C55">
      <w:pPr>
        <w:spacing w:line="360" w:lineRule="auto"/>
        <w:ind w:firstLine="480" w:firstLineChars="200"/>
        <w:rPr>
          <w:rFonts w:asciiTheme="majorEastAsia" w:hAnsiTheme="majorEastAsia" w:eastAsiaTheme="majorEastAsia" w:cstheme="majorEastAsia"/>
          <w:bCs/>
          <w:sz w:val="24"/>
        </w:rPr>
      </w:pPr>
      <w:bookmarkStart w:id="275" w:name="_Toc18873"/>
      <w:bookmarkStart w:id="276" w:name="_Toc14040"/>
      <w:bookmarkStart w:id="277" w:name="_Toc12288"/>
      <w:bookmarkStart w:id="278" w:name="_Toc30018"/>
      <w:bookmarkStart w:id="279" w:name="_Toc1352"/>
      <w:r>
        <w:rPr>
          <w:rFonts w:hint="eastAsia" w:asciiTheme="majorEastAsia" w:hAnsiTheme="majorEastAsia" w:eastAsiaTheme="majorEastAsia" w:cstheme="majorEastAsia"/>
          <w:bCs/>
          <w:sz w:val="24"/>
        </w:rPr>
        <w:t>⑤相关技术问题，请咨询软件开发商：</w:t>
      </w:r>
      <w:bookmarkEnd w:id="275"/>
      <w:bookmarkEnd w:id="276"/>
      <w:bookmarkEnd w:id="277"/>
      <w:bookmarkEnd w:id="278"/>
      <w:bookmarkEnd w:id="279"/>
    </w:p>
    <w:p w14:paraId="37682B60">
      <w:pPr>
        <w:spacing w:line="360" w:lineRule="auto"/>
        <w:ind w:firstLine="480" w:firstLineChars="200"/>
        <w:rPr>
          <w:rFonts w:asciiTheme="majorEastAsia" w:hAnsiTheme="majorEastAsia" w:eastAsiaTheme="majorEastAsia" w:cstheme="majorEastAsia"/>
          <w:bCs/>
          <w:sz w:val="24"/>
        </w:rPr>
      </w:pPr>
      <w:bookmarkStart w:id="280" w:name="_Toc23949"/>
      <w:bookmarkStart w:id="281" w:name="_Toc17735"/>
      <w:bookmarkStart w:id="282" w:name="_Toc29562"/>
      <w:bookmarkStart w:id="283" w:name="_Toc13241"/>
      <w:bookmarkStart w:id="284" w:name="_Toc21234"/>
      <w:r>
        <w:rPr>
          <w:rFonts w:hint="eastAsia" w:asciiTheme="majorEastAsia" w:hAnsiTheme="majorEastAsia" w:eastAsiaTheme="majorEastAsia" w:cstheme="majorEastAsia"/>
          <w:bCs/>
          <w:sz w:val="24"/>
        </w:rPr>
        <w:t>技术支持热线：400-998-0000/400-928-0095</w:t>
      </w:r>
      <w:bookmarkEnd w:id="280"/>
      <w:bookmarkEnd w:id="281"/>
      <w:bookmarkEnd w:id="282"/>
      <w:bookmarkEnd w:id="283"/>
      <w:bookmarkEnd w:id="284"/>
    </w:p>
    <w:p w14:paraId="08D23C66">
      <w:pPr>
        <w:spacing w:line="360" w:lineRule="auto"/>
        <w:ind w:firstLine="480" w:firstLineChars="200"/>
        <w:rPr>
          <w:rFonts w:asciiTheme="majorEastAsia" w:hAnsiTheme="majorEastAsia" w:eastAsiaTheme="majorEastAsia" w:cstheme="majorEastAsia"/>
          <w:bCs/>
          <w:sz w:val="24"/>
        </w:rPr>
      </w:pPr>
      <w:bookmarkStart w:id="285" w:name="_Toc29721"/>
      <w:r>
        <w:rPr>
          <w:rFonts w:hint="eastAsia" w:asciiTheme="majorEastAsia" w:hAnsiTheme="majorEastAsia" w:eastAsiaTheme="majorEastAsia" w:cstheme="majorEastAsia"/>
          <w:bCs/>
          <w:sz w:val="24"/>
        </w:rPr>
        <w:t>⑥不见面开标系统操作手册下载方式：登录【全国公共资源交易平台（陕西省）】网站首页选择【服务指南】-【下载专区】-点击【关于陕西省公共资源交易平台多CA互认系统正式上线运行的通知】进行下载。</w:t>
      </w:r>
      <w:bookmarkEnd w:id="181"/>
      <w:bookmarkEnd w:id="182"/>
      <w:bookmarkEnd w:id="183"/>
      <w:bookmarkEnd w:id="285"/>
    </w:p>
    <w:p w14:paraId="53D3CEE5">
      <w:pPr>
        <w:pStyle w:val="17"/>
        <w:rPr>
          <w:rFonts w:asciiTheme="majorEastAsia" w:hAnsiTheme="majorEastAsia" w:eastAsiaTheme="majorEastAsia" w:cstheme="majorEastAsia"/>
          <w:bCs/>
          <w:sz w:val="24"/>
        </w:rPr>
      </w:pPr>
    </w:p>
    <w:p w14:paraId="47DDC5E6">
      <w:pPr>
        <w:rPr>
          <w:rFonts w:asciiTheme="majorEastAsia" w:hAnsiTheme="majorEastAsia" w:eastAsiaTheme="majorEastAsia" w:cstheme="majorEastAsia"/>
        </w:rPr>
      </w:pPr>
    </w:p>
    <w:p w14:paraId="54D7D7A3">
      <w:pPr>
        <w:rPr>
          <w:rFonts w:asciiTheme="majorEastAsia" w:hAnsiTheme="majorEastAsia" w:eastAsiaTheme="majorEastAsia" w:cstheme="majorEastAsia"/>
        </w:rPr>
      </w:pPr>
    </w:p>
    <w:sectPr>
      <w:headerReference r:id="rId17" w:type="default"/>
      <w:footerReference r:id="rId1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4DA6130-AD50-4258-97EB-D974F88DF40B}"/>
  </w:font>
  <w:font w:name="Arial">
    <w:panose1 w:val="020B0604020202020204"/>
    <w:charset w:val="01"/>
    <w:family w:val="swiss"/>
    <w:pitch w:val="default"/>
    <w:sig w:usb0="E0002EFF" w:usb1="C000785B" w:usb2="00000009" w:usb3="00000000" w:csb0="400001FF" w:csb1="FFFF0000"/>
    <w:embedRegular r:id="rId2" w:fontKey="{8D39D5FF-8B31-47F9-9D38-B32AF4E9A7E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48C24D3-5CD9-469D-A10D-62D68555E433}"/>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90A55">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0AA14F">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80AA14F">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8E5B">
    <w:pPr>
      <w:spacing w:line="174" w:lineRule="auto"/>
      <w:ind w:left="444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1502">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2DAB1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02DAB1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83BE">
    <w:pPr>
      <w:spacing w:line="280" w:lineRule="exact"/>
      <w:jc w:val="center"/>
      <w:rPr>
        <w:rFonts w:ascii="仿宋" w:hAnsi="仿宋" w:eastAsia="仿宋"/>
        <w:b/>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78D20C">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778D20C">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EE68">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708993">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C708993">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6206">
    <w:pPr>
      <w:spacing w:line="280" w:lineRule="exact"/>
      <w:jc w:val="center"/>
      <w:rPr>
        <w:rFonts w:ascii="仿宋" w:hAnsi="仿宋" w:eastAsia="仿宋"/>
        <w:b/>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8B0BA8">
                          <w:pPr>
                            <w:pStyle w:val="1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78B0BA8">
                    <w:pPr>
                      <w:pStyle w:val="1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5F88">
    <w:pPr>
      <w:pStyle w:val="17"/>
      <w:ind w:right="360"/>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B6E367">
                          <w:pPr>
                            <w:pStyle w:val="1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0B6E367">
                    <w:pPr>
                      <w:pStyle w:val="1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40C9">
    <w:pPr>
      <w:pStyle w:val="17"/>
      <w:ind w:right="360"/>
      <w:rPr>
        <w:rFonts w:ascii="宋体" w:hAnsi="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ADD4FB">
                          <w:pPr>
                            <w:pStyle w:val="1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5CADD4FB">
                    <w:pPr>
                      <w:pStyle w:val="1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AD5F">
    <w:pPr>
      <w:pStyle w:val="17"/>
      <w:ind w:right="360"/>
      <w:rPr>
        <w:rFonts w:ascii="宋体" w:hAnsi="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8ED75A">
                          <w:pPr>
                            <w:pStyle w:val="1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4D8ED75A">
                    <w:pPr>
                      <w:pStyle w:val="1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4001">
    <w:pPr>
      <w:pStyle w:val="19"/>
      <w:ind w:left="-88" w:leftChars="-106" w:right="-178" w:rightChars="-85" w:hanging="135" w:hangingChars="75"/>
      <w:jc w:val="right"/>
      <w:rPr>
        <w:bCs/>
        <w:i/>
      </w:rPr>
    </w:pPr>
  </w:p>
  <w:p w14:paraId="52846E04">
    <w:pPr>
      <w:pStyle w:val="19"/>
      <w:pBdr>
        <w:top w:val="none" w:color="auto" w:sz="0" w:space="1"/>
        <w:left w:val="none" w:color="auto" w:sz="0" w:space="4"/>
        <w:bottom w:val="none" w:color="auto" w:sz="0" w:space="1"/>
        <w:right w:val="none" w:color="auto" w:sz="0" w:space="4"/>
      </w:pBdr>
      <w:ind w:left="-88" w:leftChars="-106" w:right="-178" w:rightChars="-85" w:hanging="135" w:hangingChars="7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80F9">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4D6C">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86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B945">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124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C45C">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A955C"/>
    <w:multiLevelType w:val="singleLevel"/>
    <w:tmpl w:val="810A955C"/>
    <w:lvl w:ilvl="0" w:tentative="0">
      <w:start w:val="1"/>
      <w:numFmt w:val="decimal"/>
      <w:suff w:val="nothing"/>
      <w:lvlText w:val="%1、"/>
      <w:lvlJc w:val="left"/>
    </w:lvl>
  </w:abstractNum>
  <w:abstractNum w:abstractNumId="1">
    <w:nsid w:val="858EAED5"/>
    <w:multiLevelType w:val="singleLevel"/>
    <w:tmpl w:val="858EAED5"/>
    <w:lvl w:ilvl="0" w:tentative="0">
      <w:start w:val="3"/>
      <w:numFmt w:val="chineseCounting"/>
      <w:suff w:val="nothing"/>
      <w:lvlText w:val="%1、"/>
      <w:lvlJc w:val="left"/>
      <w:rPr>
        <w:rFonts w:hint="eastAsia"/>
      </w:rPr>
    </w:lvl>
  </w:abstractNum>
  <w:abstractNum w:abstractNumId="2">
    <w:nsid w:val="C9745F80"/>
    <w:multiLevelType w:val="singleLevel"/>
    <w:tmpl w:val="C9745F80"/>
    <w:lvl w:ilvl="0" w:tentative="0">
      <w:start w:val="1"/>
      <w:numFmt w:val="decimal"/>
      <w:suff w:val="nothing"/>
      <w:lvlText w:val="（%1）"/>
      <w:lvlJc w:val="left"/>
    </w:lvl>
  </w:abstractNum>
  <w:abstractNum w:abstractNumId="3">
    <w:nsid w:val="E3571E4A"/>
    <w:multiLevelType w:val="singleLevel"/>
    <w:tmpl w:val="E3571E4A"/>
    <w:lvl w:ilvl="0" w:tentative="0">
      <w:start w:val="1"/>
      <w:numFmt w:val="decimal"/>
      <w:suff w:val="nothing"/>
      <w:lvlText w:val="%1、"/>
      <w:lvlJc w:val="left"/>
    </w:lvl>
  </w:abstractNum>
  <w:abstractNum w:abstractNumId="4">
    <w:nsid w:val="00000022"/>
    <w:multiLevelType w:val="multilevel"/>
    <w:tmpl w:val="00000022"/>
    <w:lvl w:ilvl="0" w:tentative="0">
      <w:start w:val="1"/>
      <w:numFmt w:val="decimal"/>
      <w:lvlText w:val="%1."/>
      <w:lvlJc w:val="left"/>
      <w:pPr>
        <w:tabs>
          <w:tab w:val="left" w:pos="360"/>
        </w:tabs>
        <w:ind w:left="360" w:hanging="360"/>
      </w:pPr>
      <w:rPr>
        <w:rFonts w:hint="default"/>
        <w:sz w:val="21"/>
        <w:szCs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0"/>
        </w:tabs>
        <w:ind w:left="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5">
    <w:nsid w:val="46B853D5"/>
    <w:multiLevelType w:val="multilevel"/>
    <w:tmpl w:val="46B853D5"/>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 w:name="KSO_WPS_MARK_KEY" w:val="5c05d4db-d743-4476-86fc-1ae2bf9e8db2"/>
  </w:docVars>
  <w:rsids>
    <w:rsidRoot w:val="6D237F65"/>
    <w:rsid w:val="0019257C"/>
    <w:rsid w:val="002C47A2"/>
    <w:rsid w:val="00336659"/>
    <w:rsid w:val="003D2130"/>
    <w:rsid w:val="00433CD0"/>
    <w:rsid w:val="005A3E92"/>
    <w:rsid w:val="005F6217"/>
    <w:rsid w:val="0060361F"/>
    <w:rsid w:val="006D7F03"/>
    <w:rsid w:val="008C6BD0"/>
    <w:rsid w:val="00A05B3A"/>
    <w:rsid w:val="00A11776"/>
    <w:rsid w:val="00A45F86"/>
    <w:rsid w:val="00A87125"/>
    <w:rsid w:val="00AE7ECF"/>
    <w:rsid w:val="00C518BB"/>
    <w:rsid w:val="00CE53E9"/>
    <w:rsid w:val="00D40F1A"/>
    <w:rsid w:val="00D96366"/>
    <w:rsid w:val="00DA2F97"/>
    <w:rsid w:val="00E625DC"/>
    <w:rsid w:val="00FD2BEB"/>
    <w:rsid w:val="01332905"/>
    <w:rsid w:val="015705B3"/>
    <w:rsid w:val="02477107"/>
    <w:rsid w:val="02644081"/>
    <w:rsid w:val="02BE1B35"/>
    <w:rsid w:val="034E5986"/>
    <w:rsid w:val="035A20BD"/>
    <w:rsid w:val="03944686"/>
    <w:rsid w:val="0447561F"/>
    <w:rsid w:val="047D5898"/>
    <w:rsid w:val="04C31FFF"/>
    <w:rsid w:val="060F5837"/>
    <w:rsid w:val="067F3C7E"/>
    <w:rsid w:val="06E25862"/>
    <w:rsid w:val="07920193"/>
    <w:rsid w:val="08BB6260"/>
    <w:rsid w:val="08BD3EB9"/>
    <w:rsid w:val="08EA60B4"/>
    <w:rsid w:val="090E201A"/>
    <w:rsid w:val="09652EA6"/>
    <w:rsid w:val="097656CE"/>
    <w:rsid w:val="09FC335B"/>
    <w:rsid w:val="0A384847"/>
    <w:rsid w:val="0A84462B"/>
    <w:rsid w:val="0B0F0CF0"/>
    <w:rsid w:val="0B314C30"/>
    <w:rsid w:val="0BA42279"/>
    <w:rsid w:val="0C277DAF"/>
    <w:rsid w:val="0C3628D7"/>
    <w:rsid w:val="0C5063DF"/>
    <w:rsid w:val="0C5D2319"/>
    <w:rsid w:val="0CB565EF"/>
    <w:rsid w:val="0D2A3ABE"/>
    <w:rsid w:val="0D8728A6"/>
    <w:rsid w:val="0DFA7935"/>
    <w:rsid w:val="0E472414"/>
    <w:rsid w:val="0EF6341E"/>
    <w:rsid w:val="0F024CF3"/>
    <w:rsid w:val="0F166FD6"/>
    <w:rsid w:val="0FB36167"/>
    <w:rsid w:val="0FCF1690"/>
    <w:rsid w:val="103865E4"/>
    <w:rsid w:val="1116124C"/>
    <w:rsid w:val="121A05A5"/>
    <w:rsid w:val="1262349B"/>
    <w:rsid w:val="12B83E11"/>
    <w:rsid w:val="131E2317"/>
    <w:rsid w:val="133F6421"/>
    <w:rsid w:val="13772C66"/>
    <w:rsid w:val="140635C8"/>
    <w:rsid w:val="14757D15"/>
    <w:rsid w:val="14CA173D"/>
    <w:rsid w:val="15637B70"/>
    <w:rsid w:val="163B0388"/>
    <w:rsid w:val="166718DF"/>
    <w:rsid w:val="16F577B6"/>
    <w:rsid w:val="16FE4510"/>
    <w:rsid w:val="173F4E21"/>
    <w:rsid w:val="17555B8A"/>
    <w:rsid w:val="184A79BB"/>
    <w:rsid w:val="1881372E"/>
    <w:rsid w:val="18842DE6"/>
    <w:rsid w:val="18A706B9"/>
    <w:rsid w:val="18B13F73"/>
    <w:rsid w:val="1900380F"/>
    <w:rsid w:val="196433D5"/>
    <w:rsid w:val="19B104CA"/>
    <w:rsid w:val="19C9248B"/>
    <w:rsid w:val="1A655C77"/>
    <w:rsid w:val="1A8D6562"/>
    <w:rsid w:val="1BB12FEE"/>
    <w:rsid w:val="1BEB43DA"/>
    <w:rsid w:val="1C3A271C"/>
    <w:rsid w:val="1C5841A4"/>
    <w:rsid w:val="1C7B2E44"/>
    <w:rsid w:val="1D6769E3"/>
    <w:rsid w:val="1D7A4A46"/>
    <w:rsid w:val="1E03329C"/>
    <w:rsid w:val="1E1967B4"/>
    <w:rsid w:val="1ED038BC"/>
    <w:rsid w:val="1F817EB6"/>
    <w:rsid w:val="1FAF7250"/>
    <w:rsid w:val="1FB84369"/>
    <w:rsid w:val="1FC80DE6"/>
    <w:rsid w:val="208C494A"/>
    <w:rsid w:val="20ED4241"/>
    <w:rsid w:val="211532CF"/>
    <w:rsid w:val="21D73DBD"/>
    <w:rsid w:val="221B4B12"/>
    <w:rsid w:val="22604791"/>
    <w:rsid w:val="226715E5"/>
    <w:rsid w:val="228C2C26"/>
    <w:rsid w:val="23927AAD"/>
    <w:rsid w:val="244E1089"/>
    <w:rsid w:val="249A5B47"/>
    <w:rsid w:val="2531619F"/>
    <w:rsid w:val="254D2F3E"/>
    <w:rsid w:val="25704025"/>
    <w:rsid w:val="260A1217"/>
    <w:rsid w:val="27082C6B"/>
    <w:rsid w:val="27172436"/>
    <w:rsid w:val="27303DF5"/>
    <w:rsid w:val="27B34984"/>
    <w:rsid w:val="28446AB6"/>
    <w:rsid w:val="285067DA"/>
    <w:rsid w:val="289657EF"/>
    <w:rsid w:val="28AE461B"/>
    <w:rsid w:val="28EA6ACC"/>
    <w:rsid w:val="28F3713A"/>
    <w:rsid w:val="28FE0824"/>
    <w:rsid w:val="29023283"/>
    <w:rsid w:val="291F621E"/>
    <w:rsid w:val="29451F54"/>
    <w:rsid w:val="298E30B9"/>
    <w:rsid w:val="29A2195A"/>
    <w:rsid w:val="29B01B9A"/>
    <w:rsid w:val="29B626C9"/>
    <w:rsid w:val="29D23D56"/>
    <w:rsid w:val="29FD638B"/>
    <w:rsid w:val="2A837500"/>
    <w:rsid w:val="2AB56C65"/>
    <w:rsid w:val="2AC942AD"/>
    <w:rsid w:val="2AD62372"/>
    <w:rsid w:val="2B061C86"/>
    <w:rsid w:val="2C1F0536"/>
    <w:rsid w:val="2CED2466"/>
    <w:rsid w:val="2D48136A"/>
    <w:rsid w:val="2DC222B0"/>
    <w:rsid w:val="2EC239C3"/>
    <w:rsid w:val="2F1125F2"/>
    <w:rsid w:val="2F813D80"/>
    <w:rsid w:val="30070CEC"/>
    <w:rsid w:val="31335238"/>
    <w:rsid w:val="31583F91"/>
    <w:rsid w:val="32DF7982"/>
    <w:rsid w:val="33F23E05"/>
    <w:rsid w:val="340B64A8"/>
    <w:rsid w:val="344B60C1"/>
    <w:rsid w:val="345E2E9A"/>
    <w:rsid w:val="34F60DBE"/>
    <w:rsid w:val="3576225A"/>
    <w:rsid w:val="358856A2"/>
    <w:rsid w:val="35EF7B7B"/>
    <w:rsid w:val="36A13E14"/>
    <w:rsid w:val="36E91C88"/>
    <w:rsid w:val="37067CBC"/>
    <w:rsid w:val="380F026E"/>
    <w:rsid w:val="38127F66"/>
    <w:rsid w:val="38B81401"/>
    <w:rsid w:val="38C06F01"/>
    <w:rsid w:val="3B4F3B1C"/>
    <w:rsid w:val="3B52695B"/>
    <w:rsid w:val="3B6A2E30"/>
    <w:rsid w:val="3BFF421B"/>
    <w:rsid w:val="3C940DD1"/>
    <w:rsid w:val="3C976E9D"/>
    <w:rsid w:val="3CEA065D"/>
    <w:rsid w:val="3D0C0967"/>
    <w:rsid w:val="3D42082D"/>
    <w:rsid w:val="3E556DD3"/>
    <w:rsid w:val="3E865849"/>
    <w:rsid w:val="3EBE0387"/>
    <w:rsid w:val="3ECE0EB8"/>
    <w:rsid w:val="3F284D10"/>
    <w:rsid w:val="3F524CDD"/>
    <w:rsid w:val="3FE5028A"/>
    <w:rsid w:val="40547A6C"/>
    <w:rsid w:val="409A7C7E"/>
    <w:rsid w:val="40BC462D"/>
    <w:rsid w:val="41095A96"/>
    <w:rsid w:val="4135734F"/>
    <w:rsid w:val="41807B75"/>
    <w:rsid w:val="41BC6732"/>
    <w:rsid w:val="41F31166"/>
    <w:rsid w:val="430D6662"/>
    <w:rsid w:val="431B6011"/>
    <w:rsid w:val="43217136"/>
    <w:rsid w:val="439F5D61"/>
    <w:rsid w:val="43C1146B"/>
    <w:rsid w:val="449833E9"/>
    <w:rsid w:val="450B59A8"/>
    <w:rsid w:val="454313DE"/>
    <w:rsid w:val="45763769"/>
    <w:rsid w:val="45AD4CB1"/>
    <w:rsid w:val="46130FB8"/>
    <w:rsid w:val="46426D37"/>
    <w:rsid w:val="465E7B66"/>
    <w:rsid w:val="46800EEB"/>
    <w:rsid w:val="47A53E92"/>
    <w:rsid w:val="47C713AE"/>
    <w:rsid w:val="48051D9C"/>
    <w:rsid w:val="489A049D"/>
    <w:rsid w:val="4944382A"/>
    <w:rsid w:val="49B95BFF"/>
    <w:rsid w:val="49CE0BEE"/>
    <w:rsid w:val="4A1A5BAC"/>
    <w:rsid w:val="4A1C2405"/>
    <w:rsid w:val="4A383387"/>
    <w:rsid w:val="4A4E0A12"/>
    <w:rsid w:val="4B514F5D"/>
    <w:rsid w:val="4B8D7117"/>
    <w:rsid w:val="4BEA27BB"/>
    <w:rsid w:val="4C762B00"/>
    <w:rsid w:val="4C8E0D6B"/>
    <w:rsid w:val="4D1A0E7E"/>
    <w:rsid w:val="4D34553A"/>
    <w:rsid w:val="4DB841F3"/>
    <w:rsid w:val="4E54216E"/>
    <w:rsid w:val="4F18224D"/>
    <w:rsid w:val="4F233E57"/>
    <w:rsid w:val="4F800C16"/>
    <w:rsid w:val="501871CB"/>
    <w:rsid w:val="50865DA8"/>
    <w:rsid w:val="50C1588C"/>
    <w:rsid w:val="5239335A"/>
    <w:rsid w:val="531D09AE"/>
    <w:rsid w:val="537B7D39"/>
    <w:rsid w:val="539C35B2"/>
    <w:rsid w:val="53A46917"/>
    <w:rsid w:val="53F51B84"/>
    <w:rsid w:val="54491CB5"/>
    <w:rsid w:val="557B00B4"/>
    <w:rsid w:val="56526E9D"/>
    <w:rsid w:val="567D0A5D"/>
    <w:rsid w:val="572F3778"/>
    <w:rsid w:val="58A12453"/>
    <w:rsid w:val="59433EDE"/>
    <w:rsid w:val="5A2A7AB1"/>
    <w:rsid w:val="5A6F0DB4"/>
    <w:rsid w:val="5AA12E61"/>
    <w:rsid w:val="5AD60ABF"/>
    <w:rsid w:val="5B074CF7"/>
    <w:rsid w:val="5B6B4F9B"/>
    <w:rsid w:val="5B8A2419"/>
    <w:rsid w:val="5BD04D88"/>
    <w:rsid w:val="5C963276"/>
    <w:rsid w:val="5CC130C4"/>
    <w:rsid w:val="5CC305DF"/>
    <w:rsid w:val="5CCA36F1"/>
    <w:rsid w:val="5CCD6007"/>
    <w:rsid w:val="5D2C2B2A"/>
    <w:rsid w:val="5D8242AE"/>
    <w:rsid w:val="5DA54B0D"/>
    <w:rsid w:val="5E9547AC"/>
    <w:rsid w:val="5EC17D11"/>
    <w:rsid w:val="5EC751A8"/>
    <w:rsid w:val="5EE02561"/>
    <w:rsid w:val="5F113DDB"/>
    <w:rsid w:val="5FEA5879"/>
    <w:rsid w:val="60D91043"/>
    <w:rsid w:val="61497AAD"/>
    <w:rsid w:val="61AB1CDD"/>
    <w:rsid w:val="620449AF"/>
    <w:rsid w:val="62096F6F"/>
    <w:rsid w:val="62285994"/>
    <w:rsid w:val="63991833"/>
    <w:rsid w:val="6457391F"/>
    <w:rsid w:val="64FE7AA7"/>
    <w:rsid w:val="65AA408F"/>
    <w:rsid w:val="65E623D2"/>
    <w:rsid w:val="66125B4E"/>
    <w:rsid w:val="66FE3167"/>
    <w:rsid w:val="67423054"/>
    <w:rsid w:val="67A54606"/>
    <w:rsid w:val="67B76E85"/>
    <w:rsid w:val="683A4D06"/>
    <w:rsid w:val="693D7722"/>
    <w:rsid w:val="69C6217D"/>
    <w:rsid w:val="6AE748FF"/>
    <w:rsid w:val="6AF6662F"/>
    <w:rsid w:val="6B5E4DB4"/>
    <w:rsid w:val="6B8F683C"/>
    <w:rsid w:val="6BE82B02"/>
    <w:rsid w:val="6C320B00"/>
    <w:rsid w:val="6C5E4F5B"/>
    <w:rsid w:val="6CD7699C"/>
    <w:rsid w:val="6D237F65"/>
    <w:rsid w:val="6D4C165B"/>
    <w:rsid w:val="6E314109"/>
    <w:rsid w:val="6E971ED7"/>
    <w:rsid w:val="70003AAC"/>
    <w:rsid w:val="70043F0D"/>
    <w:rsid w:val="701939F5"/>
    <w:rsid w:val="704D3B6E"/>
    <w:rsid w:val="707728E4"/>
    <w:rsid w:val="70EB750D"/>
    <w:rsid w:val="72314B12"/>
    <w:rsid w:val="72662854"/>
    <w:rsid w:val="728C189C"/>
    <w:rsid w:val="72E905B4"/>
    <w:rsid w:val="73185F55"/>
    <w:rsid w:val="73E22138"/>
    <w:rsid w:val="743B414C"/>
    <w:rsid w:val="76642A48"/>
    <w:rsid w:val="77071BC4"/>
    <w:rsid w:val="787634F3"/>
    <w:rsid w:val="7B2120E1"/>
    <w:rsid w:val="7BAF6D37"/>
    <w:rsid w:val="7BE91898"/>
    <w:rsid w:val="7C2E52D5"/>
    <w:rsid w:val="7C871B57"/>
    <w:rsid w:val="7D0579CC"/>
    <w:rsid w:val="7DB230AD"/>
    <w:rsid w:val="7E303735"/>
    <w:rsid w:val="7F604014"/>
    <w:rsid w:val="7FBC7101"/>
    <w:rsid w:val="7FE7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paragraph" w:styleId="3">
    <w:name w:val="heading 2"/>
    <w:basedOn w:val="1"/>
    <w:next w:val="4"/>
    <w:autoRedefine/>
    <w:qFormat/>
    <w:uiPriority w:val="0"/>
    <w:pPr>
      <w:keepNext/>
      <w:keepLines/>
      <w:numPr>
        <w:ilvl w:val="1"/>
        <w:numId w:val="1"/>
      </w:numPr>
      <w:spacing w:before="260" w:after="260"/>
      <w:ind w:firstLine="0"/>
      <w:outlineLvl w:val="1"/>
    </w:pPr>
    <w:rPr>
      <w:b/>
      <w:bCs/>
      <w:sz w:val="32"/>
      <w:szCs w:val="32"/>
    </w:rPr>
  </w:style>
  <w:style w:type="paragraph" w:styleId="6">
    <w:name w:val="heading 3"/>
    <w:basedOn w:val="1"/>
    <w:next w:val="1"/>
    <w:autoRedefine/>
    <w:qFormat/>
    <w:uiPriority w:val="0"/>
    <w:pPr>
      <w:keepNext/>
      <w:keepLines/>
      <w:spacing w:line="416" w:lineRule="auto"/>
      <w:outlineLvl w:val="2"/>
    </w:pPr>
    <w:rPr>
      <w:b/>
      <w:bCs/>
      <w:sz w:val="32"/>
      <w:szCs w:val="32"/>
    </w:rPr>
  </w:style>
  <w:style w:type="paragraph" w:styleId="7">
    <w:name w:val="heading 4"/>
    <w:basedOn w:val="1"/>
    <w:next w:val="1"/>
    <w:autoRedefine/>
    <w:semiHidden/>
    <w:unhideWhenUsed/>
    <w:qFormat/>
    <w:uiPriority w:val="0"/>
    <w:pPr>
      <w:spacing w:beforeAutospacing="1" w:afterAutospacing="1"/>
      <w:jc w:val="left"/>
      <w:outlineLvl w:val="3"/>
    </w:pPr>
    <w:rPr>
      <w:rFonts w:hint="eastAsia" w:ascii="宋体" w:hAnsi="宋体"/>
      <w:b/>
      <w:bCs/>
      <w:kern w:val="0"/>
      <w:sz w:val="24"/>
    </w:rPr>
  </w:style>
  <w:style w:type="paragraph" w:styleId="8">
    <w:name w:val="heading 6"/>
    <w:basedOn w:val="1"/>
    <w:next w:val="1"/>
    <w:autoRedefine/>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kern w:val="0"/>
      <w:sz w:val="20"/>
      <w:szCs w:val="20"/>
    </w:rPr>
  </w:style>
  <w:style w:type="paragraph" w:styleId="5">
    <w:name w:val="toc 4"/>
    <w:basedOn w:val="1"/>
    <w:next w:val="1"/>
    <w:autoRedefine/>
    <w:qFormat/>
    <w:uiPriority w:val="0"/>
    <w:pPr>
      <w:ind w:left="630"/>
      <w:jc w:val="left"/>
    </w:pPr>
    <w:rPr>
      <w:rFonts w:cs="Calibri"/>
      <w:sz w:val="18"/>
      <w:szCs w:val="18"/>
    </w:rPr>
  </w:style>
  <w:style w:type="paragraph" w:styleId="9">
    <w:name w:val="annotation text"/>
    <w:basedOn w:val="1"/>
    <w:autoRedefine/>
    <w:qFormat/>
    <w:uiPriority w:val="99"/>
    <w:pPr>
      <w:adjustRightInd w:val="0"/>
      <w:spacing w:line="360" w:lineRule="atLeast"/>
      <w:jc w:val="left"/>
    </w:pPr>
    <w:rPr>
      <w:kern w:val="0"/>
      <w:sz w:val="24"/>
      <w:szCs w:val="20"/>
    </w:rPr>
  </w:style>
  <w:style w:type="paragraph" w:styleId="10">
    <w:name w:val="Body Text"/>
    <w:basedOn w:val="1"/>
    <w:autoRedefine/>
    <w:qFormat/>
    <w:uiPriority w:val="0"/>
    <w:pPr>
      <w:spacing w:after="120"/>
    </w:pPr>
    <w:rPr>
      <w:kern w:val="0"/>
      <w:sz w:val="20"/>
    </w:rPr>
  </w:style>
  <w:style w:type="paragraph" w:styleId="11">
    <w:name w:val="Body Text Indent"/>
    <w:basedOn w:val="1"/>
    <w:next w:val="10"/>
    <w:autoRedefine/>
    <w:unhideWhenUsed/>
    <w:qFormat/>
    <w:uiPriority w:val="99"/>
    <w:pPr>
      <w:spacing w:after="120"/>
      <w:ind w:left="420"/>
    </w:pPr>
  </w:style>
  <w:style w:type="paragraph" w:styleId="12">
    <w:name w:val="Block Text"/>
    <w:basedOn w:val="1"/>
    <w:autoRedefine/>
    <w:qFormat/>
    <w:uiPriority w:val="0"/>
    <w:pPr>
      <w:adjustRightInd w:val="0"/>
      <w:ind w:left="420" w:right="33"/>
      <w:jc w:val="left"/>
      <w:textAlignment w:val="baseline"/>
    </w:pPr>
    <w:rPr>
      <w:kern w:val="0"/>
      <w:sz w:val="24"/>
      <w:szCs w:val="20"/>
    </w:rPr>
  </w:style>
  <w:style w:type="paragraph" w:styleId="13">
    <w:name w:val="toc 5"/>
    <w:basedOn w:val="1"/>
    <w:next w:val="1"/>
    <w:autoRedefine/>
    <w:qFormat/>
    <w:uiPriority w:val="0"/>
    <w:pPr>
      <w:ind w:left="1680" w:leftChars="800"/>
    </w:pPr>
  </w:style>
  <w:style w:type="paragraph" w:styleId="14">
    <w:name w:val="Plain Text"/>
    <w:basedOn w:val="1"/>
    <w:autoRedefine/>
    <w:qFormat/>
    <w:uiPriority w:val="0"/>
    <w:rPr>
      <w:rFonts w:ascii="宋体" w:hAnsi="Courier New"/>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113"/>
    <w:autoRedefine/>
    <w:qFormat/>
    <w:uiPriority w:val="0"/>
    <w:rPr>
      <w:sz w:val="18"/>
      <w:szCs w:val="18"/>
    </w:rPr>
  </w:style>
  <w:style w:type="paragraph" w:styleId="17">
    <w:name w:val="footer"/>
    <w:basedOn w:val="1"/>
    <w:next w:val="10"/>
    <w:autoRedefine/>
    <w:unhideWhenUsed/>
    <w:qFormat/>
    <w:uiPriority w:val="99"/>
    <w:pPr>
      <w:tabs>
        <w:tab w:val="center" w:pos="4153"/>
        <w:tab w:val="right" w:pos="8306"/>
      </w:tabs>
      <w:snapToGrid w:val="0"/>
      <w:jc w:val="left"/>
    </w:pPr>
    <w:rPr>
      <w:kern w:val="0"/>
      <w:sz w:val="18"/>
      <w:szCs w:val="18"/>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autoRedefine/>
    <w:unhideWhenUsed/>
    <w:qFormat/>
    <w:uiPriority w:val="99"/>
    <w:pPr>
      <w:widowControl/>
      <w:jc w:val="left"/>
    </w:pPr>
    <w:rPr>
      <w:rFonts w:ascii="宋体" w:hAnsi="宋体" w:cs="宋体"/>
      <w:kern w:val="0"/>
      <w:sz w:val="24"/>
    </w:rPr>
  </w:style>
  <w:style w:type="paragraph" w:styleId="23">
    <w:name w:val="Body Text First Indent"/>
    <w:basedOn w:val="10"/>
    <w:next w:val="24"/>
    <w:autoRedefine/>
    <w:qFormat/>
    <w:uiPriority w:val="99"/>
    <w:pPr>
      <w:adjustRightInd w:val="0"/>
      <w:ind w:firstLine="420"/>
      <w:jc w:val="left"/>
      <w:textAlignment w:val="baseline"/>
    </w:pPr>
    <w:rPr>
      <w:sz w:val="21"/>
    </w:rPr>
  </w:style>
  <w:style w:type="paragraph" w:styleId="24">
    <w:name w:val="Body Text First Indent 2"/>
    <w:basedOn w:val="11"/>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qFormat/>
    <w:uiPriority w:val="0"/>
    <w:rPr>
      <w:color w:val="296FBE"/>
      <w:u w:val="none"/>
    </w:rPr>
  </w:style>
  <w:style w:type="character" w:styleId="30">
    <w:name w:val="Emphasis"/>
    <w:basedOn w:val="27"/>
    <w:autoRedefine/>
    <w:qFormat/>
    <w:uiPriority w:val="0"/>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rFonts w:hint="eastAsia" w:ascii="宋体" w:hAnsi="宋体" w:eastAsia="宋体" w:cs="宋体"/>
      <w:color w:val="000000"/>
      <w:sz w:val="18"/>
      <w:szCs w:val="18"/>
      <w:u w:val="none"/>
    </w:rPr>
  </w:style>
  <w:style w:type="character" w:styleId="36">
    <w:name w:val="HTML Code"/>
    <w:basedOn w:val="27"/>
    <w:autoRedefine/>
    <w:qFormat/>
    <w:uiPriority w:val="0"/>
    <w:rPr>
      <w:rFonts w:ascii="微软雅黑" w:hAnsi="微软雅黑" w:eastAsia="微软雅黑" w:cs="微软雅黑"/>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首行缩进"/>
    <w:basedOn w:val="1"/>
    <w:autoRedefine/>
    <w:qFormat/>
    <w:uiPriority w:val="99"/>
    <w:pPr>
      <w:ind w:firstLine="480"/>
    </w:pPr>
    <w:rPr>
      <w:lang w:val="zh-CN"/>
    </w:rPr>
  </w:style>
  <w:style w:type="paragraph" w:customStyle="1" w:styleId="42">
    <w:name w:val="正文缩进1"/>
    <w:basedOn w:val="1"/>
    <w:autoRedefine/>
    <w:qFormat/>
    <w:uiPriority w:val="0"/>
    <w:pPr>
      <w:ind w:firstLine="420" w:firstLineChars="200"/>
    </w:pPr>
  </w:style>
  <w:style w:type="paragraph" w:customStyle="1" w:styleId="43">
    <w:name w:val="样式 首行缩进:  2 字符"/>
    <w:basedOn w:val="1"/>
    <w:autoRedefine/>
    <w:qFormat/>
    <w:uiPriority w:val="0"/>
    <w:pPr>
      <w:spacing w:line="400" w:lineRule="exact"/>
      <w:ind w:firstLine="200" w:firstLineChars="200"/>
    </w:pPr>
    <w:rPr>
      <w:rFonts w:cs="宋体"/>
      <w:sz w:val="24"/>
    </w:rPr>
  </w:style>
  <w:style w:type="paragraph" w:customStyle="1" w:styleId="44">
    <w:name w:val="样式 样式 样式 样式 标题 2 + 宋体 五号 非加粗 黑色 + 段前: 6 磅 段后: 0 磅 行距: 单倍行距 + 段前:..."/>
    <w:basedOn w:val="1"/>
    <w:autoRedefine/>
    <w:qFormat/>
    <w:uiPriority w:val="0"/>
    <w:pPr>
      <w:keepNext/>
      <w:keepLines/>
      <w:tabs>
        <w:tab w:val="left" w:pos="1200"/>
      </w:tabs>
      <w:adjustRightInd w:val="0"/>
      <w:ind w:left="1200" w:hanging="360"/>
      <w:jc w:val="left"/>
      <w:textAlignment w:val="baseline"/>
      <w:outlineLvl w:val="1"/>
    </w:pPr>
    <w:rPr>
      <w:rFonts w:ascii="宋体" w:hAnsi="宋体" w:cs="宋体"/>
      <w:b/>
      <w:bCs/>
      <w:color w:val="000000"/>
      <w:kern w:val="0"/>
    </w:rPr>
  </w:style>
  <w:style w:type="paragraph" w:customStyle="1" w:styleId="45">
    <w:name w:val="title12"/>
    <w:basedOn w:val="1"/>
    <w:autoRedefine/>
    <w:qFormat/>
    <w:uiPriority w:val="0"/>
    <w:pPr>
      <w:spacing w:before="150" w:after="100" w:afterAutospacing="1"/>
      <w:jc w:val="left"/>
    </w:pPr>
    <w:rPr>
      <w:b/>
      <w:bCs/>
      <w:sz w:val="22"/>
      <w:szCs w:val="22"/>
    </w:rPr>
  </w:style>
  <w:style w:type="character" w:customStyle="1" w:styleId="46">
    <w:name w:val="biggerthanmax"/>
    <w:basedOn w:val="27"/>
    <w:autoRedefine/>
    <w:qFormat/>
    <w:uiPriority w:val="0"/>
    <w:rPr>
      <w:shd w:val="clear" w:color="auto" w:fill="FFFF00"/>
    </w:rPr>
  </w:style>
  <w:style w:type="character" w:customStyle="1" w:styleId="47">
    <w:name w:val="ico1655"/>
    <w:basedOn w:val="27"/>
    <w:autoRedefine/>
    <w:qFormat/>
    <w:uiPriority w:val="0"/>
  </w:style>
  <w:style w:type="character" w:customStyle="1" w:styleId="48">
    <w:name w:val="button"/>
    <w:basedOn w:val="27"/>
    <w:autoRedefine/>
    <w:qFormat/>
    <w:uiPriority w:val="0"/>
  </w:style>
  <w:style w:type="character" w:customStyle="1" w:styleId="49">
    <w:name w:val="cy"/>
    <w:basedOn w:val="27"/>
    <w:autoRedefine/>
    <w:qFormat/>
    <w:uiPriority w:val="0"/>
  </w:style>
  <w:style w:type="character" w:customStyle="1" w:styleId="50">
    <w:name w:val="w32"/>
    <w:basedOn w:val="27"/>
    <w:autoRedefine/>
    <w:qFormat/>
    <w:uiPriority w:val="0"/>
  </w:style>
  <w:style w:type="character" w:customStyle="1" w:styleId="51">
    <w:name w:val="active5"/>
    <w:basedOn w:val="27"/>
    <w:autoRedefine/>
    <w:qFormat/>
    <w:uiPriority w:val="0"/>
    <w:rPr>
      <w:color w:val="00FF00"/>
      <w:shd w:val="clear" w:color="auto" w:fill="111111"/>
    </w:rPr>
  </w:style>
  <w:style w:type="character" w:customStyle="1" w:styleId="52">
    <w:name w:val="hover36"/>
    <w:basedOn w:val="27"/>
    <w:autoRedefine/>
    <w:qFormat/>
    <w:uiPriority w:val="0"/>
    <w:rPr>
      <w:color w:val="FFFFFF"/>
    </w:rPr>
  </w:style>
  <w:style w:type="character" w:customStyle="1" w:styleId="53">
    <w:name w:val="estimate_gray"/>
    <w:basedOn w:val="27"/>
    <w:autoRedefine/>
    <w:qFormat/>
    <w:uiPriority w:val="0"/>
    <w:rPr>
      <w:color w:val="FFFFFF"/>
    </w:rPr>
  </w:style>
  <w:style w:type="character" w:customStyle="1" w:styleId="54">
    <w:name w:val="design_class"/>
    <w:basedOn w:val="27"/>
    <w:autoRedefine/>
    <w:qFormat/>
    <w:uiPriority w:val="0"/>
  </w:style>
  <w:style w:type="character" w:customStyle="1" w:styleId="55">
    <w:name w:val="xdrichtextbox2"/>
    <w:basedOn w:val="27"/>
    <w:autoRedefine/>
    <w:qFormat/>
    <w:uiPriority w:val="0"/>
  </w:style>
  <w:style w:type="character" w:customStyle="1" w:styleId="56">
    <w:name w:val="hilite5"/>
    <w:basedOn w:val="27"/>
    <w:autoRedefine/>
    <w:qFormat/>
    <w:uiPriority w:val="0"/>
    <w:rPr>
      <w:color w:val="FFFFFF"/>
      <w:shd w:val="clear" w:color="auto" w:fill="666666"/>
    </w:rPr>
  </w:style>
  <w:style w:type="character" w:customStyle="1" w:styleId="57">
    <w:name w:val="pagechatarealistclose_box"/>
    <w:basedOn w:val="27"/>
    <w:autoRedefine/>
    <w:qFormat/>
    <w:uiPriority w:val="0"/>
  </w:style>
  <w:style w:type="character" w:customStyle="1" w:styleId="58">
    <w:name w:val="pagechatarealistclose_box1"/>
    <w:basedOn w:val="27"/>
    <w:autoRedefine/>
    <w:qFormat/>
    <w:uiPriority w:val="0"/>
  </w:style>
  <w:style w:type="character" w:customStyle="1" w:styleId="59">
    <w:name w:val="after"/>
    <w:basedOn w:val="27"/>
    <w:autoRedefine/>
    <w:qFormat/>
    <w:uiPriority w:val="0"/>
    <w:rPr>
      <w:sz w:val="0"/>
      <w:szCs w:val="0"/>
    </w:rPr>
  </w:style>
  <w:style w:type="character" w:customStyle="1" w:styleId="60">
    <w:name w:val="cdropright"/>
    <w:basedOn w:val="27"/>
    <w:autoRedefine/>
    <w:qFormat/>
    <w:uiPriority w:val="0"/>
  </w:style>
  <w:style w:type="character" w:customStyle="1" w:styleId="61">
    <w:name w:val="drapbtn"/>
    <w:basedOn w:val="27"/>
    <w:autoRedefine/>
    <w:qFormat/>
    <w:uiPriority w:val="0"/>
  </w:style>
  <w:style w:type="character" w:customStyle="1" w:styleId="62">
    <w:name w:val="cdropleft"/>
    <w:basedOn w:val="27"/>
    <w:autoRedefine/>
    <w:qFormat/>
    <w:uiPriority w:val="0"/>
  </w:style>
  <w:style w:type="character" w:customStyle="1" w:styleId="63">
    <w:name w:val="tmpztreemove_arrow"/>
    <w:basedOn w:val="27"/>
    <w:autoRedefine/>
    <w:qFormat/>
    <w:uiPriority w:val="0"/>
  </w:style>
  <w:style w:type="character" w:customStyle="1" w:styleId="64">
    <w:name w:val="liked_gray"/>
    <w:basedOn w:val="27"/>
    <w:autoRedefine/>
    <w:qFormat/>
    <w:uiPriority w:val="0"/>
    <w:rPr>
      <w:color w:val="FFFFFF"/>
    </w:rPr>
  </w:style>
  <w:style w:type="character" w:customStyle="1" w:styleId="65">
    <w:name w:val="browse_class&gt;span"/>
    <w:basedOn w:val="27"/>
    <w:autoRedefine/>
    <w:qFormat/>
    <w:uiPriority w:val="0"/>
  </w:style>
  <w:style w:type="character" w:customStyle="1" w:styleId="66">
    <w:name w:val="moreaction32"/>
    <w:basedOn w:val="27"/>
    <w:autoRedefine/>
    <w:qFormat/>
    <w:uiPriority w:val="0"/>
  </w:style>
  <w:style w:type="character" w:customStyle="1" w:styleId="67">
    <w:name w:val="edit_class"/>
    <w:basedOn w:val="27"/>
    <w:autoRedefine/>
    <w:qFormat/>
    <w:uiPriority w:val="0"/>
  </w:style>
  <w:style w:type="character" w:customStyle="1" w:styleId="68">
    <w:name w:val="hover43"/>
    <w:basedOn w:val="27"/>
    <w:autoRedefine/>
    <w:qFormat/>
    <w:uiPriority w:val="0"/>
    <w:rPr>
      <w:color w:val="FFFFFF"/>
    </w:rPr>
  </w:style>
  <w:style w:type="character" w:customStyle="1" w:styleId="69">
    <w:name w:val="hilite6"/>
    <w:basedOn w:val="27"/>
    <w:autoRedefine/>
    <w:qFormat/>
    <w:uiPriority w:val="0"/>
    <w:rPr>
      <w:color w:val="FFFFFF"/>
      <w:shd w:val="clear" w:color="auto" w:fill="666666"/>
    </w:rPr>
  </w:style>
  <w:style w:type="character" w:customStyle="1" w:styleId="70">
    <w:name w:val="active7"/>
    <w:basedOn w:val="27"/>
    <w:autoRedefine/>
    <w:qFormat/>
    <w:uiPriority w:val="0"/>
    <w:rPr>
      <w:color w:val="00FF00"/>
      <w:shd w:val="clear" w:color="auto" w:fill="111111"/>
    </w:rPr>
  </w:style>
  <w:style w:type="character" w:customStyle="1" w:styleId="71">
    <w:name w:val="ico1656"/>
    <w:basedOn w:val="27"/>
    <w:autoRedefine/>
    <w:qFormat/>
    <w:uiPriority w:val="0"/>
  </w:style>
  <w:style w:type="character" w:customStyle="1" w:styleId="72">
    <w:name w:val="ico1657"/>
    <w:basedOn w:val="27"/>
    <w:autoRedefine/>
    <w:qFormat/>
    <w:uiPriority w:val="0"/>
  </w:style>
  <w:style w:type="character" w:customStyle="1" w:styleId="73">
    <w:name w:val="ico1658"/>
    <w:basedOn w:val="27"/>
    <w:autoRedefine/>
    <w:qFormat/>
    <w:uiPriority w:val="0"/>
  </w:style>
  <w:style w:type="character" w:customStyle="1" w:styleId="74">
    <w:name w:val="button4"/>
    <w:basedOn w:val="27"/>
    <w:autoRedefine/>
    <w:qFormat/>
    <w:uiPriority w:val="0"/>
  </w:style>
  <w:style w:type="character" w:customStyle="1" w:styleId="75">
    <w:name w:val="hilite"/>
    <w:basedOn w:val="27"/>
    <w:autoRedefine/>
    <w:qFormat/>
    <w:uiPriority w:val="0"/>
    <w:rPr>
      <w:color w:val="FFFFFF"/>
      <w:shd w:val="clear" w:color="auto" w:fill="666666"/>
    </w:rPr>
  </w:style>
  <w:style w:type="character" w:customStyle="1" w:styleId="76">
    <w:name w:val="active2"/>
    <w:basedOn w:val="27"/>
    <w:autoRedefine/>
    <w:qFormat/>
    <w:uiPriority w:val="0"/>
    <w:rPr>
      <w:color w:val="00FF00"/>
      <w:shd w:val="clear" w:color="auto" w:fill="111111"/>
    </w:rPr>
  </w:style>
  <w:style w:type="character" w:customStyle="1" w:styleId="77">
    <w:name w:val="hover38"/>
    <w:basedOn w:val="27"/>
    <w:autoRedefine/>
    <w:qFormat/>
    <w:uiPriority w:val="0"/>
    <w:rPr>
      <w:color w:val="FFFFFF"/>
    </w:rPr>
  </w:style>
  <w:style w:type="character" w:customStyle="1" w:styleId="78">
    <w:name w:val="xdrichtextbox"/>
    <w:basedOn w:val="27"/>
    <w:autoRedefine/>
    <w:qFormat/>
    <w:uiPriority w:val="0"/>
    <w:rPr>
      <w:color w:val="auto"/>
      <w:sz w:val="18"/>
      <w:szCs w:val="18"/>
      <w:u w:val="none"/>
      <w:bdr w:val="single" w:color="DCDCDC" w:sz="8" w:space="0"/>
      <w:shd w:val="clear" w:color="auto" w:fill="auto"/>
    </w:rPr>
  </w:style>
  <w:style w:type="character" w:customStyle="1" w:styleId="79">
    <w:name w:val="hover44"/>
    <w:basedOn w:val="27"/>
    <w:autoRedefine/>
    <w:qFormat/>
    <w:uiPriority w:val="0"/>
    <w:rPr>
      <w:color w:val="FFFFFF"/>
    </w:rPr>
  </w:style>
  <w:style w:type="paragraph" w:customStyle="1" w:styleId="80">
    <w:name w:val="Normal 0.51"/>
    <w:basedOn w:val="1"/>
    <w:next w:val="1"/>
    <w:autoRedefine/>
    <w:qFormat/>
    <w:uiPriority w:val="0"/>
    <w:pPr>
      <w:widowControl/>
      <w:spacing w:before="180" w:after="120"/>
      <w:ind w:left="720"/>
    </w:pPr>
    <w:rPr>
      <w:rFonts w:ascii="Times New Roman"/>
      <w:sz w:val="24"/>
    </w:rPr>
  </w:style>
  <w:style w:type="paragraph" w:customStyle="1" w:styleId="81">
    <w:name w:val="Heading #1|1"/>
    <w:basedOn w:val="1"/>
    <w:autoRedefine/>
    <w:qFormat/>
    <w:uiPriority w:val="0"/>
    <w:pPr>
      <w:spacing w:after="240"/>
      <w:jc w:val="center"/>
      <w:outlineLvl w:val="0"/>
    </w:pPr>
    <w:rPr>
      <w:rFonts w:ascii="宋体" w:hAnsi="宋体" w:cs="宋体"/>
      <w:sz w:val="40"/>
      <w:szCs w:val="40"/>
      <w:lang w:val="zh-TW" w:eastAsia="zh-TW" w:bidi="zh-TW"/>
    </w:rPr>
  </w:style>
  <w:style w:type="paragraph" w:customStyle="1" w:styleId="82">
    <w:name w:val="Body text|1"/>
    <w:basedOn w:val="1"/>
    <w:autoRedefine/>
    <w:qFormat/>
    <w:uiPriority w:val="0"/>
    <w:pPr>
      <w:spacing w:line="480" w:lineRule="auto"/>
      <w:ind w:firstLine="400"/>
    </w:pPr>
    <w:rPr>
      <w:rFonts w:ascii="宋体" w:hAnsi="宋体" w:cs="宋体"/>
      <w:sz w:val="22"/>
      <w:szCs w:val="22"/>
      <w:lang w:val="zh-TW" w:eastAsia="zh-TW" w:bidi="zh-TW"/>
    </w:rPr>
  </w:style>
  <w:style w:type="character" w:customStyle="1" w:styleId="83">
    <w:name w:val="proollist"/>
    <w:basedOn w:val="27"/>
    <w:autoRedefine/>
    <w:qFormat/>
    <w:uiPriority w:val="0"/>
  </w:style>
  <w:style w:type="character" w:customStyle="1" w:styleId="84">
    <w:name w:val="beforeinfotext"/>
    <w:basedOn w:val="27"/>
    <w:autoRedefine/>
    <w:qFormat/>
    <w:uiPriority w:val="0"/>
    <w:rPr>
      <w:color w:val="666666"/>
    </w:rPr>
  </w:style>
  <w:style w:type="character" w:customStyle="1" w:styleId="85">
    <w:name w:val="stclosebtn"/>
    <w:basedOn w:val="27"/>
    <w:autoRedefine/>
    <w:qFormat/>
    <w:uiPriority w:val="0"/>
  </w:style>
  <w:style w:type="character" w:customStyle="1" w:styleId="86">
    <w:name w:val="number"/>
    <w:basedOn w:val="27"/>
    <w:autoRedefine/>
    <w:qFormat/>
    <w:uiPriority w:val="0"/>
    <w:rPr>
      <w:color w:val="FF8833"/>
      <w:sz w:val="18"/>
      <w:szCs w:val="18"/>
    </w:rPr>
  </w:style>
  <w:style w:type="paragraph" w:customStyle="1" w:styleId="87">
    <w:name w:val="title1"/>
    <w:basedOn w:val="1"/>
    <w:autoRedefine/>
    <w:qFormat/>
    <w:uiPriority w:val="0"/>
    <w:pPr>
      <w:spacing w:before="150"/>
      <w:jc w:val="left"/>
    </w:pPr>
    <w:rPr>
      <w:b/>
      <w:bCs/>
      <w:kern w:val="0"/>
      <w:sz w:val="22"/>
      <w:szCs w:val="22"/>
    </w:rPr>
  </w:style>
  <w:style w:type="character" w:customStyle="1" w:styleId="88">
    <w:name w:val="phone"/>
    <w:basedOn w:val="27"/>
    <w:autoRedefine/>
    <w:qFormat/>
    <w:uiPriority w:val="0"/>
    <w:rPr>
      <w:color w:val="FF8833"/>
      <w:sz w:val="18"/>
      <w:szCs w:val="18"/>
    </w:rPr>
  </w:style>
  <w:style w:type="paragraph" w:customStyle="1" w:styleId="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0">
    <w:name w:val="表注1"/>
    <w:basedOn w:val="1"/>
    <w:autoRedefine/>
    <w:qFormat/>
    <w:uiPriority w:val="0"/>
    <w:pPr>
      <w:adjustRightInd w:val="0"/>
      <w:snapToGrid w:val="0"/>
      <w:spacing w:beforeLines="50" w:line="300" w:lineRule="auto"/>
      <w:ind w:left="350" w:hanging="350" w:hangingChars="350"/>
    </w:pPr>
    <w:rPr>
      <w:rFonts w:eastAsia="仿宋_GB2312"/>
      <w:bCs/>
      <w:color w:val="000000"/>
    </w:rPr>
  </w:style>
  <w:style w:type="character" w:customStyle="1" w:styleId="91">
    <w:name w:val="active"/>
    <w:basedOn w:val="27"/>
    <w:autoRedefine/>
    <w:qFormat/>
    <w:uiPriority w:val="0"/>
    <w:rPr>
      <w:color w:val="00FF00"/>
      <w:shd w:val="clear" w:color="auto" w:fill="111111"/>
    </w:rPr>
  </w:style>
  <w:style w:type="character" w:customStyle="1" w:styleId="92">
    <w:name w:val="active6"/>
    <w:basedOn w:val="27"/>
    <w:autoRedefine/>
    <w:qFormat/>
    <w:uiPriority w:val="0"/>
    <w:rPr>
      <w:color w:val="00FF00"/>
      <w:shd w:val="clear" w:color="auto" w:fill="111111"/>
    </w:rPr>
  </w:style>
  <w:style w:type="character" w:customStyle="1" w:styleId="93">
    <w:name w:val="ico1652"/>
    <w:basedOn w:val="27"/>
    <w:autoRedefine/>
    <w:qFormat/>
    <w:uiPriority w:val="0"/>
  </w:style>
  <w:style w:type="character" w:customStyle="1" w:styleId="94">
    <w:name w:val="ico1653"/>
    <w:basedOn w:val="27"/>
    <w:autoRedefine/>
    <w:qFormat/>
    <w:uiPriority w:val="0"/>
  </w:style>
  <w:style w:type="character" w:customStyle="1" w:styleId="95">
    <w:name w:val="hover45"/>
    <w:basedOn w:val="27"/>
    <w:autoRedefine/>
    <w:qFormat/>
    <w:uiPriority w:val="0"/>
    <w:rPr>
      <w:color w:val="FFFFFF"/>
    </w:rPr>
  </w:style>
  <w:style w:type="paragraph" w:customStyle="1" w:styleId="96">
    <w:name w:val="Char Char Char"/>
    <w:basedOn w:val="1"/>
    <w:autoRedefine/>
    <w:qFormat/>
    <w:uiPriority w:val="0"/>
    <w:pPr>
      <w:widowControl/>
      <w:spacing w:line="240" w:lineRule="exact"/>
      <w:jc w:val="left"/>
    </w:pPr>
  </w:style>
  <w:style w:type="character" w:customStyle="1" w:styleId="97">
    <w:name w:val="font91"/>
    <w:basedOn w:val="27"/>
    <w:autoRedefine/>
    <w:qFormat/>
    <w:uiPriority w:val="0"/>
    <w:rPr>
      <w:rFonts w:ascii="Arial" w:hAnsi="Arial" w:cs="Arial"/>
      <w:color w:val="000000"/>
      <w:sz w:val="20"/>
      <w:szCs w:val="20"/>
      <w:u w:val="none"/>
    </w:rPr>
  </w:style>
  <w:style w:type="character" w:customStyle="1" w:styleId="98">
    <w:name w:val="font41"/>
    <w:basedOn w:val="27"/>
    <w:autoRedefine/>
    <w:qFormat/>
    <w:uiPriority w:val="0"/>
    <w:rPr>
      <w:rFonts w:hint="eastAsia" w:ascii="宋体" w:hAnsi="宋体" w:eastAsia="宋体" w:cs="宋体"/>
      <w:color w:val="000000"/>
      <w:sz w:val="20"/>
      <w:szCs w:val="20"/>
      <w:u w:val="none"/>
    </w:rPr>
  </w:style>
  <w:style w:type="character" w:customStyle="1" w:styleId="99">
    <w:name w:val="font101"/>
    <w:basedOn w:val="27"/>
    <w:autoRedefine/>
    <w:qFormat/>
    <w:uiPriority w:val="0"/>
    <w:rPr>
      <w:rFonts w:ascii="宋体" w:hAnsi="宋体" w:eastAsia="宋体" w:cs="宋体"/>
      <w:color w:val="000000"/>
      <w:sz w:val="20"/>
      <w:szCs w:val="20"/>
      <w:u w:val="none"/>
    </w:rPr>
  </w:style>
  <w:style w:type="character" w:customStyle="1" w:styleId="100">
    <w:name w:val="font31"/>
    <w:basedOn w:val="27"/>
    <w:autoRedefine/>
    <w:qFormat/>
    <w:uiPriority w:val="0"/>
    <w:rPr>
      <w:rFonts w:hint="eastAsia" w:ascii="宋体" w:hAnsi="宋体" w:eastAsia="宋体" w:cs="宋体"/>
      <w:color w:val="000000"/>
      <w:sz w:val="16"/>
      <w:szCs w:val="16"/>
      <w:u w:val="none"/>
    </w:rPr>
  </w:style>
  <w:style w:type="paragraph" w:customStyle="1" w:styleId="101">
    <w:name w:val="Char Char Char Char"/>
    <w:basedOn w:val="1"/>
    <w:autoRedefine/>
    <w:qFormat/>
    <w:uiPriority w:val="0"/>
  </w:style>
  <w:style w:type="table" w:customStyle="1" w:styleId="102">
    <w:name w:val="Table Normal"/>
    <w:autoRedefine/>
    <w:unhideWhenUsed/>
    <w:qFormat/>
    <w:uiPriority w:val="0"/>
    <w:tblPr>
      <w:tblCellMar>
        <w:top w:w="0" w:type="dxa"/>
        <w:left w:w="0" w:type="dxa"/>
        <w:bottom w:w="0" w:type="dxa"/>
        <w:right w:w="0" w:type="dxa"/>
      </w:tblCellMar>
    </w:tblPr>
  </w:style>
  <w:style w:type="paragraph" w:customStyle="1" w:styleId="103">
    <w:name w:val="WPSOffice手动目录 1"/>
    <w:autoRedefine/>
    <w:qFormat/>
    <w:uiPriority w:val="0"/>
    <w:rPr>
      <w:rFonts w:ascii="Times New Roman" w:hAnsi="Times New Roman" w:eastAsia="宋体" w:cs="Times New Roman"/>
      <w:lang w:val="en-US" w:eastAsia="zh-CN" w:bidi="ar-SA"/>
    </w:rPr>
  </w:style>
  <w:style w:type="character" w:customStyle="1" w:styleId="104">
    <w:name w:val="15"/>
    <w:autoRedefine/>
    <w:qFormat/>
    <w:uiPriority w:val="0"/>
    <w:rPr>
      <w:rFonts w:hint="eastAsia" w:ascii="宋体" w:hAnsi="宋体" w:eastAsia="宋体" w:cs="宋体"/>
      <w:sz w:val="24"/>
      <w:szCs w:val="24"/>
    </w:rPr>
  </w:style>
  <w:style w:type="paragraph" w:customStyle="1" w:styleId="105">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106">
    <w:name w:val="p15"/>
    <w:basedOn w:val="1"/>
    <w:autoRedefine/>
    <w:qFormat/>
    <w:uiPriority w:val="99"/>
    <w:pPr>
      <w:widowControl/>
    </w:pPr>
    <w:rPr>
      <w:szCs w:val="21"/>
    </w:rPr>
  </w:style>
  <w:style w:type="character" w:customStyle="1" w:styleId="107">
    <w:name w:val="font21"/>
    <w:basedOn w:val="27"/>
    <w:autoRedefine/>
    <w:qFormat/>
    <w:uiPriority w:val="0"/>
    <w:rPr>
      <w:rFonts w:hint="eastAsia" w:ascii="宋体" w:hAnsi="宋体" w:eastAsia="宋体" w:cs="宋体"/>
      <w:b/>
      <w:bCs/>
      <w:color w:val="000000"/>
      <w:sz w:val="20"/>
      <w:szCs w:val="20"/>
      <w:u w:val="none"/>
    </w:rPr>
  </w:style>
  <w:style w:type="paragraph" w:customStyle="1" w:styleId="108">
    <w:name w:val="正文（缩进 2 字符）"/>
    <w:basedOn w:val="1"/>
    <w:autoRedefine/>
    <w:qFormat/>
    <w:uiPriority w:val="0"/>
    <w:pPr>
      <w:ind w:firstLine="200" w:firstLineChars="200"/>
    </w:pPr>
  </w:style>
  <w:style w:type="paragraph" w:customStyle="1" w:styleId="109">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0">
    <w:name w:val="List Paragraph"/>
    <w:basedOn w:val="1"/>
    <w:autoRedefine/>
    <w:qFormat/>
    <w:uiPriority w:val="34"/>
    <w:pPr>
      <w:ind w:firstLine="420" w:firstLineChars="200"/>
    </w:pPr>
  </w:style>
  <w:style w:type="paragraph" w:customStyle="1" w:styleId="111">
    <w:name w:val="Table Paragraph"/>
    <w:basedOn w:val="1"/>
    <w:autoRedefine/>
    <w:qFormat/>
    <w:uiPriority w:val="1"/>
  </w:style>
  <w:style w:type="character" w:customStyle="1" w:styleId="112">
    <w:name w:val="font51"/>
    <w:basedOn w:val="27"/>
    <w:autoRedefine/>
    <w:qFormat/>
    <w:uiPriority w:val="0"/>
    <w:rPr>
      <w:rFonts w:hint="eastAsia" w:ascii="楷体" w:hAnsi="楷体" w:eastAsia="楷体" w:cs="楷体"/>
      <w:color w:val="000000"/>
      <w:sz w:val="20"/>
      <w:szCs w:val="20"/>
      <w:u w:val="none"/>
    </w:rPr>
  </w:style>
  <w:style w:type="character" w:customStyle="1" w:styleId="113">
    <w:name w:val="批注框文本 Char"/>
    <w:basedOn w:val="27"/>
    <w:link w:val="16"/>
    <w:autoRedefine/>
    <w:qFormat/>
    <w:uiPriority w:val="0"/>
    <w:rPr>
      <w:rFonts w:ascii="Calibri" w:hAnsi="Calibri"/>
      <w:kern w:val="2"/>
      <w:sz w:val="18"/>
      <w:szCs w:val="18"/>
    </w:rPr>
  </w:style>
  <w:style w:type="paragraph" w:customStyle="1" w:styleId="114">
    <w:name w:val="Table Text"/>
    <w:basedOn w:val="1"/>
    <w:semiHidden/>
    <w:qFormat/>
    <w:uiPriority w:val="0"/>
    <w:rPr>
      <w:rFonts w:ascii="宋体" w:hAnsi="宋体" w:eastAsia="宋体" w:cs="宋体"/>
      <w:sz w:val="24"/>
      <w:szCs w:val="24"/>
      <w:lang w:val="en-US" w:eastAsia="en-US" w:bidi="ar-SA"/>
    </w:rPr>
  </w:style>
  <w:style w:type="paragraph" w:customStyle="1" w:styleId="115">
    <w:name w:val=" Char Char Char"/>
    <w:basedOn w:val="1"/>
    <w:qFormat/>
    <w:uiPriority w:val="0"/>
    <w:pPr>
      <w:widowControl/>
      <w:spacing w:after="160" w:afterLines="0" w:line="240" w:lineRule="exact"/>
      <w:jc w:val="left"/>
    </w:pPr>
  </w:style>
  <w:style w:type="character" w:customStyle="1" w:styleId="116">
    <w:name w:val="font61"/>
    <w:basedOn w:val="27"/>
    <w:qFormat/>
    <w:uiPriority w:val="0"/>
    <w:rPr>
      <w:rFonts w:hint="eastAsia" w:ascii="宋体" w:hAnsi="宋体" w:eastAsia="宋体" w:cs="宋体"/>
      <w:color w:val="000000"/>
      <w:sz w:val="24"/>
      <w:szCs w:val="24"/>
      <w:u w:val="none"/>
    </w:rPr>
  </w:style>
  <w:style w:type="character" w:customStyle="1" w:styleId="117">
    <w:name w:val="font81"/>
    <w:basedOn w:val="2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69</Pages>
  <Words>14007</Words>
  <Characters>15584</Characters>
  <Lines>366</Lines>
  <Paragraphs>103</Paragraphs>
  <TotalTime>16</TotalTime>
  <ScaleCrop>false</ScaleCrop>
  <LinksUpToDate>false</LinksUpToDate>
  <CharactersWithSpaces>15813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2021-09-28T02:24:00Z</dcterms:created>
  <dc:creator>刘莉娥</dc:creator>
  <cp:lastModifiedBy>黑曼巴</cp:lastModifiedBy>
  <cp:lastPrinted>2024-05-22T01:16:00Z</cp:lastPrinted>
  <dcterms:modified xsi:type="dcterms:W3CDTF">2025-01-20T08:36:16Z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7B72DCBF5EF44C5898275B8DDD64A0E7_13</vt:lpwstr>
  </property>
  <property fmtid="{D5CDD505-2E9C-101B-9397-08002B2CF9AE}" pid="4" name="KSOTemplateDocerSaveRecord">
    <vt:lpwstr>eyJoZGlkIjoiZmFjMzI4NDRiNmE3YjkzOTJiMjQ4NDY4ZjAyZDIyNjAiLCJ1c2VySWQiOiIyMTIyOTgxMjcifQ==</vt:lpwstr>
  </property>
</Properties>
</file>