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94075B">
      <w:pPr>
        <w:spacing w:before="140" w:line="225" w:lineRule="auto"/>
        <w:rPr>
          <w:rFonts w:hint="eastAsia" w:ascii="宋体" w:hAnsi="宋体" w:eastAsia="宋体" w:cs="宋体"/>
          <w:sz w:val="31"/>
          <w:szCs w:val="31"/>
          <w:highlight w:val="none"/>
          <w:lang w:eastAsia="zh-CN"/>
        </w:rPr>
      </w:pPr>
      <w:r>
        <w:rPr>
          <w:rFonts w:hint="eastAsia" w:ascii="宋体" w:hAnsi="宋体" w:eastAsia="宋体" w:cs="宋体"/>
          <w:spacing w:val="-6"/>
          <w:sz w:val="31"/>
          <w:szCs w:val="31"/>
          <w:highlight w:val="none"/>
          <w14:textOutline w14:w="5791" w14:cap="flat" w14:cmpd="sng">
            <w14:solidFill>
              <w14:srgbClr w14:val="000000"/>
            </w14:solidFill>
            <w14:prstDash w14:val="solid"/>
            <w14:miter w14:val="0"/>
          </w14:textOutline>
        </w:rPr>
        <w:t>项目编号：SHMCGAK(2025)第05号</w:t>
      </w:r>
    </w:p>
    <w:p w14:paraId="0949933C">
      <w:pPr>
        <w:pStyle w:val="6"/>
        <w:spacing w:line="248" w:lineRule="auto"/>
        <w:rPr>
          <w:rFonts w:hint="eastAsia" w:ascii="宋体" w:hAnsi="宋体" w:eastAsia="宋体" w:cs="宋体"/>
          <w:highlight w:val="none"/>
        </w:rPr>
      </w:pPr>
    </w:p>
    <w:p w14:paraId="34765DA2">
      <w:pPr>
        <w:pStyle w:val="6"/>
        <w:spacing w:line="249" w:lineRule="auto"/>
        <w:rPr>
          <w:rFonts w:hint="eastAsia" w:ascii="宋体" w:hAnsi="宋体" w:eastAsia="宋体" w:cs="宋体"/>
          <w:highlight w:val="none"/>
        </w:rPr>
      </w:pPr>
    </w:p>
    <w:p w14:paraId="5AA78986">
      <w:pPr>
        <w:pStyle w:val="6"/>
        <w:spacing w:line="249" w:lineRule="auto"/>
        <w:rPr>
          <w:rFonts w:hint="eastAsia" w:ascii="宋体" w:hAnsi="宋体" w:eastAsia="宋体" w:cs="宋体"/>
          <w:highlight w:val="none"/>
        </w:rPr>
      </w:pPr>
    </w:p>
    <w:p w14:paraId="5A3BA4E3">
      <w:pPr>
        <w:pStyle w:val="6"/>
        <w:spacing w:line="249" w:lineRule="auto"/>
        <w:rPr>
          <w:rFonts w:hint="eastAsia" w:ascii="宋体" w:hAnsi="宋体" w:eastAsia="宋体" w:cs="宋体"/>
          <w:highlight w:val="none"/>
        </w:rPr>
      </w:pPr>
    </w:p>
    <w:p w14:paraId="4AAC7EC7">
      <w:pPr>
        <w:pStyle w:val="6"/>
        <w:spacing w:line="249" w:lineRule="auto"/>
        <w:rPr>
          <w:rFonts w:hint="eastAsia" w:ascii="宋体" w:hAnsi="宋体" w:eastAsia="宋体" w:cs="宋体"/>
          <w:highlight w:val="none"/>
        </w:rPr>
      </w:pPr>
    </w:p>
    <w:p w14:paraId="2BEA2EB0">
      <w:pPr>
        <w:spacing w:before="1" w:line="218" w:lineRule="auto"/>
        <w:jc w:val="center"/>
        <w:rPr>
          <w:rFonts w:hint="eastAsia" w:ascii="宋体" w:hAnsi="宋体" w:eastAsia="宋体" w:cs="宋体"/>
          <w:spacing w:val="-2"/>
          <w:position w:val="31"/>
          <w:sz w:val="56"/>
          <w:szCs w:val="56"/>
          <w:highlight w:val="none"/>
          <w:lang w:eastAsia="zh-CN"/>
          <w14:textOutline w14:w="9448" w14:cap="flat" w14:cmpd="sng">
            <w14:solidFill>
              <w14:srgbClr w14:val="000000"/>
            </w14:solidFill>
            <w14:prstDash w14:val="solid"/>
            <w14:miter w14:val="0"/>
          </w14:textOutline>
        </w:rPr>
      </w:pPr>
      <w:r>
        <w:rPr>
          <w:rFonts w:hint="eastAsia" w:ascii="宋体" w:hAnsi="宋体" w:eastAsia="宋体" w:cs="宋体"/>
          <w:spacing w:val="-2"/>
          <w:position w:val="31"/>
          <w:sz w:val="56"/>
          <w:szCs w:val="56"/>
          <w:highlight w:val="none"/>
          <w:lang w:eastAsia="zh-CN"/>
          <w14:textOutline w14:w="9448" w14:cap="flat" w14:cmpd="sng">
            <w14:solidFill>
              <w14:srgbClr w14:val="000000"/>
            </w14:solidFill>
            <w14:prstDash w14:val="solid"/>
            <w14:miter w14:val="0"/>
          </w14:textOutline>
        </w:rPr>
        <w:t>镇坪县柿子树坪燃气等管网更新</w:t>
      </w:r>
    </w:p>
    <w:p w14:paraId="768C1087">
      <w:pPr>
        <w:spacing w:before="1" w:line="218" w:lineRule="auto"/>
        <w:jc w:val="center"/>
        <w:rPr>
          <w:rFonts w:hint="eastAsia" w:ascii="宋体" w:hAnsi="宋体" w:eastAsia="宋体" w:cs="宋体"/>
          <w:sz w:val="56"/>
          <w:szCs w:val="56"/>
          <w:highlight w:val="none"/>
          <w:lang w:eastAsia="zh-CN"/>
        </w:rPr>
      </w:pPr>
      <w:r>
        <w:rPr>
          <w:rFonts w:hint="eastAsia" w:ascii="宋体" w:hAnsi="宋体" w:eastAsia="宋体" w:cs="宋体"/>
          <w:spacing w:val="-2"/>
          <w:position w:val="31"/>
          <w:sz w:val="56"/>
          <w:szCs w:val="56"/>
          <w:highlight w:val="none"/>
          <w:lang w:eastAsia="zh-CN"/>
          <w14:textOutline w14:w="9448" w14:cap="flat" w14:cmpd="sng">
            <w14:solidFill>
              <w14:srgbClr w14:val="000000"/>
            </w14:solidFill>
            <w14:prstDash w14:val="solid"/>
            <w14:miter w14:val="0"/>
          </w14:textOutline>
        </w:rPr>
        <w:t>改造项目工程监理</w:t>
      </w:r>
    </w:p>
    <w:p w14:paraId="688C2BEF">
      <w:pPr>
        <w:pStyle w:val="6"/>
        <w:spacing w:line="242" w:lineRule="auto"/>
        <w:rPr>
          <w:rFonts w:hint="eastAsia" w:ascii="宋体" w:hAnsi="宋体" w:eastAsia="宋体" w:cs="宋体"/>
          <w:highlight w:val="none"/>
        </w:rPr>
      </w:pPr>
    </w:p>
    <w:p w14:paraId="3EFB72B6">
      <w:pPr>
        <w:spacing w:before="286" w:line="218" w:lineRule="auto"/>
        <w:jc w:val="center"/>
        <w:outlineLvl w:val="0"/>
        <w:rPr>
          <w:rFonts w:hint="eastAsia" w:ascii="宋体" w:hAnsi="宋体" w:eastAsia="宋体" w:cs="宋体"/>
          <w:highlight w:val="none"/>
        </w:rPr>
      </w:pPr>
      <w:r>
        <w:rPr>
          <w:rFonts w:hint="eastAsia" w:ascii="宋体" w:hAnsi="宋体" w:eastAsia="宋体" w:cs="宋体"/>
          <w:spacing w:val="-2"/>
          <w:position w:val="31"/>
          <w:sz w:val="56"/>
          <w:szCs w:val="56"/>
          <w:highlight w:val="none"/>
          <w:lang w:eastAsia="zh-CN"/>
          <w14:textOutline w14:w="9448" w14:cap="flat" w14:cmpd="sng">
            <w14:solidFill>
              <w14:srgbClr w14:val="000000"/>
            </w14:solidFill>
            <w14:prstDash w14:val="solid"/>
            <w14:miter w14:val="0"/>
          </w14:textOutline>
        </w:rPr>
        <w:t>竞争性磋商文件</w:t>
      </w:r>
    </w:p>
    <w:p w14:paraId="0DC7FCE1">
      <w:pPr>
        <w:pStyle w:val="6"/>
        <w:spacing w:line="254" w:lineRule="auto"/>
        <w:rPr>
          <w:rFonts w:hint="eastAsia" w:ascii="宋体" w:hAnsi="宋体" w:eastAsia="宋体" w:cs="宋体"/>
          <w:highlight w:val="none"/>
        </w:rPr>
      </w:pPr>
      <w:r>
        <w:rPr>
          <w:rFonts w:hint="eastAsia" w:ascii="宋体" w:hAnsi="宋体" w:eastAsia="宋体" w:cs="宋体"/>
          <w:b/>
          <w:bCs/>
          <w:sz w:val="36"/>
          <w:szCs w:val="36"/>
          <w:highlight w:val="none"/>
        </w:rPr>
        <w:drawing>
          <wp:anchor distT="0" distB="0" distL="114300" distR="114300" simplePos="0" relativeHeight="251660288" behindDoc="0" locked="0" layoutInCell="1" allowOverlap="1">
            <wp:simplePos x="0" y="0"/>
            <wp:positionH relativeFrom="page">
              <wp:posOffset>2569845</wp:posOffset>
            </wp:positionH>
            <wp:positionV relativeFrom="page">
              <wp:posOffset>4160520</wp:posOffset>
            </wp:positionV>
            <wp:extent cx="2387600" cy="2572385"/>
            <wp:effectExtent l="0" t="0" r="12700" b="18415"/>
            <wp:wrapSquare wrapText="bothSides"/>
            <wp:docPr id="1"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1"/>
                    <pic:cNvPicPr>
                      <a:picLocks noChangeAspect="1"/>
                    </pic:cNvPicPr>
                  </pic:nvPicPr>
                  <pic:blipFill>
                    <a:blip r:embed="rId11"/>
                    <a:stretch>
                      <a:fillRect/>
                    </a:stretch>
                  </pic:blipFill>
                  <pic:spPr>
                    <a:xfrm>
                      <a:off x="0" y="0"/>
                      <a:ext cx="2387600" cy="2572385"/>
                    </a:xfrm>
                    <a:prstGeom prst="rect">
                      <a:avLst/>
                    </a:prstGeom>
                    <a:noFill/>
                    <a:ln>
                      <a:noFill/>
                    </a:ln>
                  </pic:spPr>
                </pic:pic>
              </a:graphicData>
            </a:graphic>
          </wp:anchor>
        </w:drawing>
      </w:r>
    </w:p>
    <w:p w14:paraId="35DA96F4">
      <w:pPr>
        <w:pStyle w:val="6"/>
        <w:spacing w:line="254" w:lineRule="auto"/>
        <w:rPr>
          <w:rFonts w:hint="eastAsia" w:ascii="宋体" w:hAnsi="宋体" w:eastAsia="宋体" w:cs="宋体"/>
          <w:highlight w:val="none"/>
        </w:rPr>
      </w:pPr>
    </w:p>
    <w:p w14:paraId="64B0138A">
      <w:pPr>
        <w:pStyle w:val="6"/>
        <w:spacing w:line="255" w:lineRule="auto"/>
        <w:rPr>
          <w:rFonts w:hint="eastAsia" w:ascii="宋体" w:hAnsi="宋体" w:eastAsia="宋体" w:cs="宋体"/>
          <w:highlight w:val="none"/>
        </w:rPr>
      </w:pPr>
    </w:p>
    <w:p w14:paraId="42F123E1">
      <w:pPr>
        <w:pStyle w:val="6"/>
        <w:spacing w:line="255" w:lineRule="auto"/>
        <w:rPr>
          <w:rFonts w:hint="eastAsia" w:ascii="宋体" w:hAnsi="宋体" w:eastAsia="宋体" w:cs="宋体"/>
          <w:highlight w:val="none"/>
        </w:rPr>
      </w:pPr>
    </w:p>
    <w:p w14:paraId="15E2C06F">
      <w:pPr>
        <w:pStyle w:val="6"/>
        <w:spacing w:line="255" w:lineRule="auto"/>
        <w:rPr>
          <w:rFonts w:hint="eastAsia" w:ascii="宋体" w:hAnsi="宋体" w:eastAsia="宋体" w:cs="宋体"/>
          <w:highlight w:val="none"/>
        </w:rPr>
      </w:pPr>
    </w:p>
    <w:p w14:paraId="23BC05EC">
      <w:pPr>
        <w:pStyle w:val="6"/>
        <w:spacing w:line="255" w:lineRule="auto"/>
        <w:rPr>
          <w:rFonts w:hint="eastAsia" w:ascii="宋体" w:hAnsi="宋体" w:eastAsia="宋体" w:cs="宋体"/>
          <w:highlight w:val="none"/>
        </w:rPr>
      </w:pPr>
    </w:p>
    <w:p w14:paraId="10FFA01B">
      <w:pPr>
        <w:pStyle w:val="6"/>
        <w:spacing w:line="255" w:lineRule="auto"/>
        <w:rPr>
          <w:rFonts w:hint="eastAsia" w:ascii="宋体" w:hAnsi="宋体" w:eastAsia="宋体" w:cs="宋体"/>
          <w:highlight w:val="none"/>
        </w:rPr>
      </w:pPr>
    </w:p>
    <w:p w14:paraId="2D12B059">
      <w:pPr>
        <w:pStyle w:val="6"/>
        <w:spacing w:line="255" w:lineRule="auto"/>
        <w:rPr>
          <w:rFonts w:hint="eastAsia" w:ascii="宋体" w:hAnsi="宋体" w:eastAsia="宋体" w:cs="宋体"/>
          <w:highlight w:val="none"/>
        </w:rPr>
      </w:pPr>
    </w:p>
    <w:p w14:paraId="789A9B7D">
      <w:pPr>
        <w:pStyle w:val="6"/>
        <w:spacing w:line="255" w:lineRule="auto"/>
        <w:rPr>
          <w:rFonts w:hint="eastAsia" w:ascii="宋体" w:hAnsi="宋体" w:eastAsia="宋体" w:cs="宋体"/>
          <w:highlight w:val="none"/>
        </w:rPr>
      </w:pPr>
    </w:p>
    <w:p w14:paraId="57F67AFA">
      <w:pPr>
        <w:spacing w:before="100" w:line="624" w:lineRule="exact"/>
        <w:ind w:left="2481"/>
        <w:rPr>
          <w:rFonts w:hint="eastAsia" w:ascii="宋体" w:hAnsi="宋体" w:eastAsia="宋体" w:cs="宋体"/>
          <w:spacing w:val="7"/>
          <w:position w:val="23"/>
          <w:sz w:val="31"/>
          <w:szCs w:val="31"/>
          <w:highlight w:val="none"/>
          <w14:textOutline w14:w="5791" w14:cap="flat" w14:cmpd="sng">
            <w14:solidFill>
              <w14:srgbClr w14:val="000000"/>
            </w14:solidFill>
            <w14:prstDash w14:val="solid"/>
            <w14:miter w14:val="0"/>
          </w14:textOutline>
        </w:rPr>
      </w:pPr>
    </w:p>
    <w:p w14:paraId="0ADEB407">
      <w:pPr>
        <w:spacing w:before="100" w:line="624" w:lineRule="exact"/>
        <w:ind w:left="2481"/>
        <w:rPr>
          <w:rFonts w:hint="eastAsia" w:ascii="宋体" w:hAnsi="宋体" w:eastAsia="宋体" w:cs="宋体"/>
          <w:spacing w:val="7"/>
          <w:position w:val="23"/>
          <w:sz w:val="31"/>
          <w:szCs w:val="31"/>
          <w:highlight w:val="none"/>
          <w14:textOutline w14:w="5791" w14:cap="flat" w14:cmpd="sng">
            <w14:solidFill>
              <w14:srgbClr w14:val="000000"/>
            </w14:solidFill>
            <w14:prstDash w14:val="solid"/>
            <w14:miter w14:val="0"/>
          </w14:textOutline>
        </w:rPr>
      </w:pPr>
    </w:p>
    <w:p w14:paraId="1A1CC472">
      <w:pPr>
        <w:spacing w:before="100" w:line="624" w:lineRule="exact"/>
        <w:ind w:left="2481"/>
        <w:rPr>
          <w:rFonts w:hint="eastAsia" w:ascii="宋体" w:hAnsi="宋体" w:eastAsia="宋体" w:cs="宋体"/>
          <w:spacing w:val="7"/>
          <w:position w:val="23"/>
          <w:sz w:val="31"/>
          <w:szCs w:val="31"/>
          <w:highlight w:val="none"/>
          <w14:textOutline w14:w="5791" w14:cap="flat" w14:cmpd="sng">
            <w14:solidFill>
              <w14:srgbClr w14:val="000000"/>
            </w14:solidFill>
            <w14:prstDash w14:val="solid"/>
            <w14:miter w14:val="0"/>
          </w14:textOutline>
        </w:rPr>
      </w:pPr>
    </w:p>
    <w:p w14:paraId="0CA3EE59">
      <w:pPr>
        <w:spacing w:before="100" w:line="624" w:lineRule="exact"/>
        <w:ind w:left="2481"/>
        <w:rPr>
          <w:rFonts w:hint="eastAsia" w:ascii="宋体" w:hAnsi="宋体" w:eastAsia="宋体" w:cs="宋体"/>
          <w:spacing w:val="7"/>
          <w:position w:val="23"/>
          <w:sz w:val="31"/>
          <w:szCs w:val="31"/>
          <w:highlight w:val="none"/>
          <w14:textOutline w14:w="5791" w14:cap="flat" w14:cmpd="sng">
            <w14:solidFill>
              <w14:srgbClr w14:val="000000"/>
            </w14:solidFill>
            <w14:prstDash w14:val="solid"/>
            <w14:miter w14:val="0"/>
          </w14:textOutline>
        </w:rPr>
      </w:pPr>
    </w:p>
    <w:p w14:paraId="6DE7C0B9">
      <w:pPr>
        <w:spacing w:before="100" w:line="624" w:lineRule="exact"/>
        <w:rPr>
          <w:rFonts w:hint="eastAsia" w:ascii="宋体" w:hAnsi="宋体" w:eastAsia="宋体" w:cs="宋体"/>
          <w:spacing w:val="7"/>
          <w:position w:val="23"/>
          <w:sz w:val="36"/>
          <w:szCs w:val="36"/>
          <w:highlight w:val="none"/>
          <w14:textOutline w14:w="5791" w14:cap="flat" w14:cmpd="sng">
            <w14:solidFill>
              <w14:srgbClr w14:val="000000"/>
            </w14:solidFill>
            <w14:prstDash w14:val="solid"/>
            <w14:miter w14:val="0"/>
          </w14:textOutline>
        </w:rPr>
      </w:pPr>
    </w:p>
    <w:p w14:paraId="221842E5">
      <w:pPr>
        <w:tabs>
          <w:tab w:val="left" w:pos="5670"/>
        </w:tabs>
        <w:autoSpaceDE w:val="0"/>
        <w:autoSpaceDN w:val="0"/>
        <w:adjustRightInd w:val="0"/>
        <w:snapToGrid w:val="0"/>
        <w:spacing w:line="360" w:lineRule="auto"/>
        <w:ind w:firstLine="1084" w:firstLineChars="300"/>
        <w:jc w:val="both"/>
        <w:rPr>
          <w:rFonts w:hint="eastAsia" w:ascii="宋体" w:hAnsi="宋体" w:eastAsia="宋体" w:cs="宋体"/>
          <w:b/>
          <w:bCs/>
          <w:color w:val="auto"/>
          <w:sz w:val="36"/>
          <w:szCs w:val="36"/>
          <w:highlight w:val="none"/>
          <w:lang w:val="zh-CN"/>
        </w:rPr>
      </w:pPr>
      <w:r>
        <w:rPr>
          <w:rFonts w:hint="eastAsia" w:ascii="宋体" w:hAnsi="宋体" w:eastAsia="宋体" w:cs="宋体"/>
          <w:b/>
          <w:bCs/>
          <w:color w:val="auto"/>
          <w:sz w:val="36"/>
          <w:szCs w:val="36"/>
          <w:highlight w:val="none"/>
          <w:lang w:val="zh-CN"/>
        </w:rPr>
        <w:t>采</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lang w:val="zh-CN"/>
        </w:rPr>
        <w:t>购</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lang w:val="zh-CN"/>
        </w:rPr>
        <w:t>人：镇坪县住房和城乡建设局</w:t>
      </w:r>
    </w:p>
    <w:p w14:paraId="715F094F">
      <w:pPr>
        <w:tabs>
          <w:tab w:val="left" w:pos="5670"/>
        </w:tabs>
        <w:autoSpaceDE w:val="0"/>
        <w:autoSpaceDN w:val="0"/>
        <w:adjustRightInd w:val="0"/>
        <w:snapToGrid w:val="0"/>
        <w:spacing w:line="360" w:lineRule="auto"/>
        <w:ind w:firstLine="1084" w:firstLineChars="300"/>
        <w:jc w:val="both"/>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val="zh-CN"/>
        </w:rPr>
        <w:t>代理机构：陕西华茂建设监理咨询有限公司</w:t>
      </w:r>
    </w:p>
    <w:p w14:paraId="00630EEF">
      <w:pPr>
        <w:spacing w:line="223" w:lineRule="auto"/>
        <w:jc w:val="center"/>
        <w:rPr>
          <w:rFonts w:hint="eastAsia" w:ascii="宋体" w:hAnsi="宋体" w:eastAsia="宋体" w:cs="宋体"/>
          <w:sz w:val="36"/>
          <w:szCs w:val="36"/>
          <w:highlight w:val="none"/>
          <w:lang w:eastAsia="zh-CN"/>
        </w:rPr>
        <w:sectPr>
          <w:pgSz w:w="11907" w:h="16839"/>
          <w:pgMar w:top="1431" w:right="1635" w:bottom="0" w:left="1724" w:header="0" w:footer="0" w:gutter="0"/>
          <w:pgNumType w:fmt="decimal"/>
          <w:cols w:space="720" w:num="1"/>
        </w:sectPr>
      </w:pPr>
      <w:r>
        <w:rPr>
          <w:rFonts w:hint="eastAsia" w:ascii="宋体" w:hAnsi="宋体" w:eastAsia="宋体" w:cs="宋体"/>
          <w:b/>
          <w:bCs/>
          <w:color w:val="auto"/>
          <w:sz w:val="36"/>
          <w:szCs w:val="36"/>
          <w:highlight w:val="none"/>
          <w:lang w:val="en-US" w:eastAsia="zh-CN"/>
        </w:rPr>
        <w:t>二〇二五年一月</w:t>
      </w:r>
    </w:p>
    <w:p w14:paraId="04C6E872">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仿宋" w:hAnsi="仿宋" w:eastAsia="仿宋" w:cs="仿宋"/>
          <w:b/>
          <w:bCs/>
          <w:kern w:val="44"/>
          <w:sz w:val="32"/>
          <w:szCs w:val="32"/>
          <w:highlight w:val="none"/>
          <w:lang w:eastAsia="zh-CN"/>
        </w:rPr>
      </w:pPr>
    </w:p>
    <w:p w14:paraId="6CADF192">
      <w:pPr>
        <w:keepNext w:val="0"/>
        <w:keepLines w:val="0"/>
        <w:pageBreakBefore w:val="0"/>
        <w:widowControl/>
        <w:kinsoku/>
        <w:wordWrap/>
        <w:overflowPunct/>
        <w:topLinePunct w:val="0"/>
        <w:autoSpaceDE/>
        <w:autoSpaceDN/>
        <w:bidi w:val="0"/>
        <w:adjustRightInd/>
        <w:snapToGrid/>
        <w:spacing w:line="480" w:lineRule="exact"/>
        <w:ind w:firstLine="3614" w:firstLineChars="900"/>
        <w:jc w:val="both"/>
        <w:textAlignment w:val="auto"/>
        <w:rPr>
          <w:rFonts w:hint="eastAsia" w:ascii="宋体" w:hAnsi="宋体" w:eastAsia="宋体" w:cs="宋体"/>
          <w:b/>
          <w:bCs/>
          <w:kern w:val="44"/>
          <w:sz w:val="40"/>
          <w:szCs w:val="40"/>
          <w:highlight w:val="none"/>
        </w:rPr>
      </w:pPr>
      <w:r>
        <w:rPr>
          <w:rFonts w:hint="eastAsia" w:ascii="宋体" w:hAnsi="宋体" w:eastAsia="宋体" w:cs="宋体"/>
          <w:b/>
          <w:bCs/>
          <w:kern w:val="44"/>
          <w:sz w:val="40"/>
          <w:szCs w:val="40"/>
          <w:highlight w:val="none"/>
        </w:rPr>
        <w:t>特别提醒</w:t>
      </w:r>
    </w:p>
    <w:p w14:paraId="3874595E">
      <w:pPr>
        <w:pStyle w:val="16"/>
        <w:keepNext w:val="0"/>
        <w:keepLines w:val="0"/>
        <w:pageBreakBefore w:val="0"/>
        <w:tabs>
          <w:tab w:val="left" w:pos="4900"/>
        </w:tabs>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highlight w:val="none"/>
        </w:rPr>
      </w:pPr>
    </w:p>
    <w:p w14:paraId="50BD2F01">
      <w:pPr>
        <w:keepNext w:val="0"/>
        <w:keepLines w:val="0"/>
        <w:pageBreakBefore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b/>
          <w:bCs/>
          <w:snapToGrid w:val="0"/>
          <w:color w:val="auto"/>
          <w:sz w:val="28"/>
          <w:szCs w:val="28"/>
          <w:highlight w:val="none"/>
        </w:rPr>
      </w:pPr>
      <w:r>
        <w:rPr>
          <w:rFonts w:hint="eastAsia" w:ascii="宋体" w:hAnsi="宋体" w:eastAsia="宋体" w:cs="宋体"/>
          <w:b/>
          <w:bCs/>
          <w:snapToGrid w:val="0"/>
          <w:color w:val="auto"/>
          <w:sz w:val="28"/>
          <w:szCs w:val="28"/>
          <w:highlight w:val="none"/>
        </w:rPr>
        <w:t>1、本项目采用不见面开标系统：电子化</w:t>
      </w:r>
      <w:r>
        <w:rPr>
          <w:rFonts w:hint="eastAsia" w:ascii="宋体" w:hAnsi="宋体" w:eastAsia="宋体" w:cs="宋体"/>
          <w:b/>
          <w:bCs/>
          <w:snapToGrid w:val="0"/>
          <w:color w:val="auto"/>
          <w:sz w:val="28"/>
          <w:szCs w:val="28"/>
          <w:highlight w:val="none"/>
          <w:lang w:eastAsia="zh-CN"/>
        </w:rPr>
        <w:t>投标</w:t>
      </w:r>
      <w:r>
        <w:rPr>
          <w:rFonts w:hint="eastAsia" w:ascii="宋体" w:hAnsi="宋体" w:eastAsia="宋体" w:cs="宋体"/>
          <w:b/>
          <w:bCs/>
          <w:snapToGrid w:val="0"/>
          <w:color w:val="auto"/>
          <w:sz w:val="28"/>
          <w:szCs w:val="28"/>
          <w:highlight w:val="none"/>
        </w:rPr>
        <w:t>方式投标，投标人须使用数字认证证书（CA锁）对电子投标文件进行签章、加密、递交及开标时</w:t>
      </w:r>
      <w:r>
        <w:rPr>
          <w:rFonts w:hint="eastAsia" w:ascii="宋体" w:hAnsi="宋体" w:eastAsia="宋体" w:cs="宋体"/>
          <w:b/>
          <w:bCs/>
          <w:snapToGrid w:val="0"/>
          <w:color w:val="auto"/>
          <w:sz w:val="28"/>
          <w:szCs w:val="28"/>
          <w:highlight w:val="none"/>
          <w:lang w:eastAsia="zh-CN"/>
        </w:rPr>
        <w:t>签到、</w:t>
      </w:r>
      <w:r>
        <w:rPr>
          <w:rFonts w:hint="eastAsia" w:ascii="宋体" w:hAnsi="宋体" w:eastAsia="宋体" w:cs="宋体"/>
          <w:b/>
          <w:bCs/>
          <w:snapToGrid w:val="0"/>
          <w:color w:val="auto"/>
          <w:sz w:val="28"/>
          <w:szCs w:val="28"/>
          <w:highlight w:val="none"/>
        </w:rPr>
        <w:t>解密等相关招投标事宜。开标时投标人须携带数字认证证书（CA锁及CA主锁），如因投标人自身原因未</w:t>
      </w:r>
      <w:r>
        <w:rPr>
          <w:rFonts w:hint="eastAsia" w:ascii="宋体" w:hAnsi="宋体" w:eastAsia="宋体" w:cs="宋体"/>
          <w:b/>
          <w:bCs/>
          <w:snapToGrid w:val="0"/>
          <w:color w:val="auto"/>
          <w:sz w:val="28"/>
          <w:szCs w:val="28"/>
          <w:highlight w:val="none"/>
          <w:lang w:eastAsia="zh-CN"/>
        </w:rPr>
        <w:t>正确使用</w:t>
      </w:r>
      <w:r>
        <w:rPr>
          <w:rFonts w:hint="eastAsia" w:ascii="宋体" w:hAnsi="宋体" w:eastAsia="宋体" w:cs="宋体"/>
          <w:b/>
          <w:bCs/>
          <w:snapToGrid w:val="0"/>
          <w:color w:val="auto"/>
          <w:sz w:val="28"/>
          <w:szCs w:val="28"/>
          <w:highlight w:val="none"/>
        </w:rPr>
        <w:t>数字认证证书（CA锁和CA主锁）造成无法解密投标文件，按无效投标对待。</w:t>
      </w:r>
    </w:p>
    <w:p w14:paraId="7EA0A315">
      <w:pPr>
        <w:keepNext w:val="0"/>
        <w:keepLines w:val="0"/>
        <w:pageBreakBefore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b/>
          <w:bCs/>
          <w:snapToGrid w:val="0"/>
          <w:color w:val="auto"/>
          <w:sz w:val="28"/>
          <w:szCs w:val="28"/>
          <w:highlight w:val="none"/>
        </w:rPr>
      </w:pPr>
      <w:r>
        <w:rPr>
          <w:rFonts w:hint="eastAsia" w:ascii="宋体" w:hAnsi="宋体" w:eastAsia="宋体" w:cs="宋体"/>
          <w:b/>
          <w:bCs/>
          <w:snapToGrid w:val="0"/>
          <w:color w:val="auto"/>
          <w:sz w:val="28"/>
          <w:szCs w:val="28"/>
          <w:highlight w:val="none"/>
          <w:lang w:val="en-US" w:eastAsia="zh-CN"/>
        </w:rPr>
        <w:t>2</w:t>
      </w:r>
      <w:r>
        <w:rPr>
          <w:rFonts w:hint="eastAsia" w:ascii="宋体" w:hAnsi="宋体" w:eastAsia="宋体" w:cs="宋体"/>
          <w:b/>
          <w:bCs/>
          <w:snapToGrid w:val="0"/>
          <w:color w:val="auto"/>
          <w:sz w:val="28"/>
          <w:szCs w:val="28"/>
          <w:highlight w:val="none"/>
        </w:rPr>
        <w:t>、制作电子投标文件</w:t>
      </w:r>
    </w:p>
    <w:p w14:paraId="186E820D">
      <w:pPr>
        <w:keepNext w:val="0"/>
        <w:keepLines w:val="0"/>
        <w:pageBreakBefore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b/>
          <w:bCs/>
          <w:snapToGrid w:val="0"/>
          <w:color w:val="auto"/>
          <w:sz w:val="28"/>
          <w:szCs w:val="28"/>
          <w:highlight w:val="none"/>
        </w:rPr>
      </w:pPr>
      <w:r>
        <w:rPr>
          <w:rFonts w:hint="eastAsia" w:ascii="宋体" w:hAnsi="宋体" w:eastAsia="宋体" w:cs="宋体"/>
          <w:b/>
          <w:bCs/>
          <w:snapToGrid w:val="0"/>
          <w:color w:val="auto"/>
          <w:sz w:val="28"/>
          <w:szCs w:val="28"/>
          <w:highlight w:val="none"/>
        </w:rPr>
        <w:t>电子招标文件需要使用专用软件打开、浏览</w:t>
      </w:r>
      <w:r>
        <w:rPr>
          <w:rFonts w:hint="eastAsia" w:ascii="宋体" w:hAnsi="宋体" w:eastAsia="宋体" w:cs="宋体"/>
          <w:b/>
          <w:bCs/>
          <w:snapToGrid w:val="0"/>
          <w:color w:val="auto"/>
          <w:sz w:val="28"/>
          <w:szCs w:val="28"/>
          <w:highlight w:val="none"/>
          <w:lang w:eastAsia="zh-CN"/>
        </w:rPr>
        <w:t>，</w:t>
      </w:r>
      <w:r>
        <w:rPr>
          <w:rFonts w:hint="eastAsia" w:ascii="宋体" w:hAnsi="宋体" w:eastAsia="宋体" w:cs="宋体"/>
          <w:b/>
          <w:bCs/>
          <w:snapToGrid w:val="0"/>
          <w:color w:val="auto"/>
          <w:sz w:val="28"/>
          <w:szCs w:val="28"/>
          <w:highlight w:val="none"/>
        </w:rPr>
        <w:t>供应商登录全国公共资源交易平台（陕西省）网站[服务指南-下载专区]免费下载《陕西省公共资源交易平台政府采购电子标书制作工具》，并升级至最新版本，使用该客户端可以打开电子招标文件。软件操作手册详见全国公共资源交易平台（陕西省）网站[服务指南-下载专区]中的《陕西省公共资源交易（政府采购类）投标文件制作软件操作手册》；制作工具下载地址：</w:t>
      </w:r>
      <w:r>
        <w:rPr>
          <w:rFonts w:hint="eastAsia" w:ascii="宋体" w:hAnsi="宋体" w:eastAsia="宋体" w:cs="宋体"/>
          <w:b/>
          <w:bCs/>
          <w:snapToGrid w:val="0"/>
          <w:color w:val="auto"/>
          <w:sz w:val="28"/>
          <w:szCs w:val="28"/>
          <w:highlight w:val="none"/>
        </w:rPr>
        <w:fldChar w:fldCharType="begin"/>
      </w:r>
      <w:r>
        <w:rPr>
          <w:rFonts w:hint="eastAsia" w:ascii="宋体" w:hAnsi="宋体" w:eastAsia="宋体" w:cs="宋体"/>
          <w:b/>
          <w:bCs/>
          <w:snapToGrid w:val="0"/>
          <w:color w:val="auto"/>
          <w:sz w:val="28"/>
          <w:szCs w:val="28"/>
          <w:highlight w:val="none"/>
        </w:rPr>
        <w:instrText xml:space="preserve"> HYPERLINK "https://zhidao.bqpoint.com/epointknow2/bqepointknowquestion.html?producttype=1&amp;platformguid=684edb0d-467c-4a6a-b31b-9e7929e1fdee&amp;areacode=610000&amp;CategoryCode=16。" </w:instrText>
      </w:r>
      <w:r>
        <w:rPr>
          <w:rFonts w:hint="eastAsia" w:ascii="宋体" w:hAnsi="宋体" w:eastAsia="宋体" w:cs="宋体"/>
          <w:b/>
          <w:bCs/>
          <w:snapToGrid w:val="0"/>
          <w:color w:val="auto"/>
          <w:sz w:val="28"/>
          <w:szCs w:val="28"/>
          <w:highlight w:val="none"/>
        </w:rPr>
        <w:fldChar w:fldCharType="separate"/>
      </w:r>
      <w:r>
        <w:rPr>
          <w:rFonts w:hint="eastAsia" w:ascii="宋体" w:hAnsi="宋体" w:eastAsia="宋体" w:cs="宋体"/>
          <w:b/>
          <w:bCs/>
          <w:snapToGrid w:val="0"/>
          <w:color w:val="auto"/>
          <w:sz w:val="28"/>
          <w:szCs w:val="28"/>
          <w:highlight w:val="none"/>
        </w:rPr>
        <w:t>https://zhidao.bqpoint.com/epointknow2/bqepointknowquestion.html?producttype=1&amp;platformguid=684edb0d-467c-4a6a-b31b-9e7929e1fdee&amp;areacode=610000&amp;CategoryCode=16。</w:t>
      </w:r>
      <w:r>
        <w:rPr>
          <w:rFonts w:hint="eastAsia" w:ascii="宋体" w:hAnsi="宋体" w:eastAsia="宋体" w:cs="宋体"/>
          <w:b/>
          <w:bCs/>
          <w:snapToGrid w:val="0"/>
          <w:color w:val="auto"/>
          <w:sz w:val="28"/>
          <w:szCs w:val="28"/>
          <w:highlight w:val="none"/>
        </w:rPr>
        <w:fldChar w:fldCharType="end"/>
      </w:r>
    </w:p>
    <w:p w14:paraId="1A4DBF43">
      <w:pPr>
        <w:keepNext w:val="0"/>
        <w:keepLines w:val="0"/>
        <w:pageBreakBefore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b/>
          <w:bCs/>
          <w:snapToGrid w:val="0"/>
          <w:color w:val="auto"/>
          <w:sz w:val="28"/>
          <w:szCs w:val="28"/>
          <w:highlight w:val="none"/>
        </w:rPr>
      </w:pPr>
      <w:r>
        <w:rPr>
          <w:rFonts w:hint="eastAsia" w:ascii="宋体" w:hAnsi="宋体" w:eastAsia="宋体" w:cs="宋体"/>
          <w:b/>
          <w:bCs/>
          <w:snapToGrid w:val="0"/>
          <w:color w:val="auto"/>
          <w:sz w:val="28"/>
          <w:szCs w:val="28"/>
          <w:highlight w:val="none"/>
          <w:lang w:val="en-US" w:eastAsia="zh-CN"/>
        </w:rPr>
        <w:t>3</w:t>
      </w:r>
      <w:r>
        <w:rPr>
          <w:rFonts w:hint="eastAsia" w:ascii="宋体" w:hAnsi="宋体" w:eastAsia="宋体" w:cs="宋体"/>
          <w:b/>
          <w:bCs/>
          <w:snapToGrid w:val="0"/>
          <w:color w:val="auto"/>
          <w:sz w:val="28"/>
          <w:szCs w:val="28"/>
          <w:highlight w:val="none"/>
        </w:rPr>
        <w:t>、递交电子投标文件</w:t>
      </w:r>
    </w:p>
    <w:p w14:paraId="7359E9BE">
      <w:pPr>
        <w:keepNext w:val="0"/>
        <w:keepLines w:val="0"/>
        <w:pageBreakBefore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b/>
          <w:bCs/>
          <w:snapToGrid w:val="0"/>
          <w:color w:val="auto"/>
          <w:sz w:val="28"/>
          <w:szCs w:val="28"/>
          <w:highlight w:val="none"/>
        </w:rPr>
      </w:pPr>
      <w:r>
        <w:rPr>
          <w:rFonts w:hint="eastAsia" w:ascii="宋体" w:hAnsi="宋体" w:eastAsia="宋体" w:cs="宋体"/>
          <w:b/>
          <w:bCs/>
          <w:snapToGrid w:val="0"/>
          <w:color w:val="auto"/>
          <w:sz w:val="28"/>
          <w:szCs w:val="28"/>
          <w:highlight w:val="none"/>
        </w:rPr>
        <w:t>登录全国公共资源交易中心平台（陕西省）（http://www.sxggzyjy.cn/），选择“电子交易平台—陕西政府采购交易系统—企业端”进行登录，登录后选择“交易乙方”身份进入，进入菜单“采购业务—我的项目——项目流程——上传投标文件”，上传加密的电子投标文件。上传成功后，电子化平台将予以记录。</w:t>
      </w:r>
    </w:p>
    <w:p w14:paraId="04BFC537">
      <w:pPr>
        <w:pStyle w:val="3"/>
        <w:keepNext w:val="0"/>
        <w:keepLines w:val="0"/>
        <w:pageBreakBefore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b/>
          <w:bCs/>
          <w:snapToGrid w:val="0"/>
          <w:color w:val="auto"/>
          <w:kern w:val="2"/>
          <w:sz w:val="28"/>
          <w:szCs w:val="28"/>
          <w:highlight w:val="none"/>
          <w:lang w:val="en-US" w:eastAsia="zh-CN" w:bidi="ar-SA"/>
        </w:rPr>
      </w:pPr>
      <w:r>
        <w:rPr>
          <w:rFonts w:hint="eastAsia" w:ascii="宋体" w:hAnsi="宋体" w:eastAsia="宋体" w:cs="宋体"/>
          <w:b/>
          <w:bCs/>
          <w:snapToGrid w:val="0"/>
          <w:color w:val="auto"/>
          <w:kern w:val="2"/>
          <w:sz w:val="28"/>
          <w:szCs w:val="28"/>
          <w:highlight w:val="none"/>
          <w:lang w:val="en-US" w:eastAsia="zh-CN" w:bidi="ar-SA"/>
        </w:rPr>
        <w:t>4、不见面开标系统：打开登录页面网址选择点击右上角“登录”，在左侧选择“投标人”身份，登录地区选择“安康市不见面开标”插入CA锁登录，输入密码后，点击“登录”：（http://122.112.246.33/BidOpening/bidopeninghallaction/hall/login），投标人登录之后可以看到当前投标人今日开标项目；1、选择要开标的项目，点击进入，页面首先阅读开标流程，点击“我已阅读”进入开标大厅，点击“取消”返回项目列表页面。</w:t>
      </w:r>
    </w:p>
    <w:p w14:paraId="254812CC">
      <w:pPr>
        <w:pStyle w:val="3"/>
        <w:keepNext w:val="0"/>
        <w:keepLines w:val="0"/>
        <w:pageBreakBefore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b/>
          <w:bCs/>
          <w:snapToGrid w:val="0"/>
          <w:color w:val="auto"/>
          <w:kern w:val="2"/>
          <w:sz w:val="28"/>
          <w:szCs w:val="28"/>
          <w:highlight w:val="none"/>
          <w:lang w:val="en-US" w:eastAsia="zh-CN" w:bidi="ar-SA"/>
        </w:rPr>
      </w:pPr>
      <w:r>
        <w:rPr>
          <w:rFonts w:hint="eastAsia" w:ascii="宋体" w:hAnsi="宋体" w:eastAsia="宋体" w:cs="宋体"/>
          <w:b/>
          <w:bCs/>
          <w:snapToGrid w:val="0"/>
          <w:color w:val="auto"/>
          <w:kern w:val="2"/>
          <w:sz w:val="28"/>
          <w:szCs w:val="28"/>
          <w:highlight w:val="none"/>
          <w:lang w:val="en-US" w:eastAsia="zh-CN" w:bidi="ar-SA"/>
        </w:rPr>
        <w:t>5、开标签到</w:t>
      </w:r>
    </w:p>
    <w:p w14:paraId="2C6A4747">
      <w:pPr>
        <w:pStyle w:val="3"/>
        <w:keepNext w:val="0"/>
        <w:keepLines w:val="0"/>
        <w:pageBreakBefore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b/>
          <w:bCs/>
          <w:snapToGrid w:val="0"/>
          <w:color w:val="auto"/>
          <w:kern w:val="2"/>
          <w:sz w:val="28"/>
          <w:szCs w:val="28"/>
          <w:highlight w:val="none"/>
          <w:lang w:val="en-US" w:eastAsia="zh-CN" w:bidi="ar-SA"/>
        </w:rPr>
      </w:pPr>
      <w:r>
        <w:rPr>
          <w:rFonts w:hint="eastAsia" w:ascii="宋体" w:hAnsi="宋体" w:eastAsia="宋体" w:cs="宋体"/>
          <w:b/>
          <w:bCs/>
          <w:snapToGrid w:val="0"/>
          <w:color w:val="auto"/>
          <w:kern w:val="2"/>
          <w:sz w:val="28"/>
          <w:szCs w:val="28"/>
          <w:highlight w:val="none"/>
          <w:lang w:val="en-US" w:eastAsia="zh-CN" w:bidi="ar-SA"/>
        </w:rPr>
        <w:t>投标人等待开标时需要签到，等候开标。请在开标前完成签到，开标时间到了之后就不能签到；点击页面上“签到”按钮进行签到，开标前60分钟可以签到。签到成功之后，按钮灰化，无需再次签到，同时第一个座位图右下角出现绿色√。</w:t>
      </w:r>
    </w:p>
    <w:p w14:paraId="4A2F8E9A">
      <w:pPr>
        <w:pStyle w:val="3"/>
        <w:keepNext w:val="0"/>
        <w:keepLines w:val="0"/>
        <w:pageBreakBefore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b/>
          <w:bCs/>
          <w:snapToGrid w:val="0"/>
          <w:color w:val="auto"/>
          <w:kern w:val="2"/>
          <w:sz w:val="28"/>
          <w:szCs w:val="28"/>
          <w:highlight w:val="none"/>
          <w:lang w:val="en-US" w:eastAsia="zh-CN" w:bidi="ar-SA"/>
        </w:rPr>
      </w:pPr>
      <w:r>
        <w:rPr>
          <w:rFonts w:hint="eastAsia" w:ascii="宋体" w:hAnsi="宋体" w:eastAsia="宋体" w:cs="宋体"/>
          <w:b/>
          <w:bCs/>
          <w:snapToGrid w:val="0"/>
          <w:color w:val="auto"/>
          <w:kern w:val="2"/>
          <w:sz w:val="28"/>
          <w:szCs w:val="28"/>
          <w:highlight w:val="none"/>
          <w:lang w:val="en-US" w:eastAsia="zh-CN" w:bidi="ar-SA"/>
        </w:rPr>
        <w:t xml:space="preserve">6、评审过程中，磋商小组要求供应商提交多轮（最后）磋商报价时，供应商须登录全国公共资源交易平台（陕西省）在交易系统中提交多轮（最后）报价，并用数字认证证书（CA 锁）签章。 </w:t>
      </w:r>
    </w:p>
    <w:p w14:paraId="7EAAD6E8">
      <w:pPr>
        <w:pStyle w:val="3"/>
        <w:keepNext w:val="0"/>
        <w:keepLines w:val="0"/>
        <w:pageBreakBefore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b/>
          <w:bCs/>
          <w:snapToGrid w:val="0"/>
          <w:color w:val="auto"/>
          <w:kern w:val="2"/>
          <w:sz w:val="28"/>
          <w:szCs w:val="28"/>
          <w:highlight w:val="none"/>
          <w:lang w:val="en-US" w:eastAsia="zh-CN" w:bidi="ar-SA"/>
        </w:rPr>
      </w:pPr>
      <w:r>
        <w:rPr>
          <w:rFonts w:hint="eastAsia" w:ascii="宋体" w:hAnsi="宋体" w:eastAsia="宋体" w:cs="宋体"/>
          <w:b/>
          <w:bCs/>
          <w:snapToGrid w:val="0"/>
          <w:color w:val="auto"/>
          <w:kern w:val="2"/>
          <w:sz w:val="28"/>
          <w:szCs w:val="28"/>
          <w:highlight w:val="none"/>
          <w:lang w:val="en-US" w:eastAsia="zh-CN" w:bidi="ar-SA"/>
        </w:rPr>
        <w:t>7、注意事项</w:t>
      </w:r>
    </w:p>
    <w:p w14:paraId="334CBA21">
      <w:pPr>
        <w:pStyle w:val="3"/>
        <w:keepNext w:val="0"/>
        <w:keepLines w:val="0"/>
        <w:pageBreakBefore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b/>
          <w:bCs/>
          <w:snapToGrid w:val="0"/>
          <w:color w:val="auto"/>
          <w:kern w:val="2"/>
          <w:sz w:val="28"/>
          <w:szCs w:val="28"/>
          <w:highlight w:val="none"/>
          <w:lang w:val="en-US" w:eastAsia="zh-CN" w:bidi="ar-SA"/>
        </w:rPr>
      </w:pPr>
      <w:r>
        <w:rPr>
          <w:rFonts w:hint="eastAsia" w:ascii="宋体" w:hAnsi="宋体" w:eastAsia="宋体" w:cs="宋体"/>
          <w:b/>
          <w:bCs/>
          <w:snapToGrid w:val="0"/>
          <w:color w:val="auto"/>
          <w:kern w:val="2"/>
          <w:sz w:val="28"/>
          <w:szCs w:val="28"/>
          <w:highlight w:val="none"/>
          <w:lang w:val="en-US" w:eastAsia="zh-CN" w:bidi="ar-SA"/>
        </w:rPr>
        <w:t>（1）为顺利实现不见面开标系统的远程交互，建议投标人配置的软硬件设施有：高配置电脑、高速稳定的网络、电源（不间断）、CA锁、音视频设备（话筒、耳麦、高清摄像头、音响），浏览器要求使用IE11浏览器，且电脑已经正确安装了陕西省公共资源CA驱动。投标供应商需安装新点播放器，以便观看远程不见面开标直播画面（播放器下载链接为：</w:t>
      </w:r>
    </w:p>
    <w:p w14:paraId="046AB73D">
      <w:pPr>
        <w:pStyle w:val="3"/>
        <w:keepNext w:val="0"/>
        <w:keepLines w:val="0"/>
        <w:pageBreakBefore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b/>
          <w:bCs/>
          <w:snapToGrid w:val="0"/>
          <w:color w:val="auto"/>
          <w:kern w:val="2"/>
          <w:sz w:val="28"/>
          <w:szCs w:val="28"/>
          <w:highlight w:val="none"/>
          <w:lang w:val="en-US" w:eastAsia="zh-CN" w:bidi="ar-SA"/>
        </w:rPr>
      </w:pPr>
      <w:r>
        <w:rPr>
          <w:rFonts w:hint="eastAsia" w:ascii="宋体" w:hAnsi="宋体" w:eastAsia="宋体" w:cs="宋体"/>
          <w:b/>
          <w:bCs/>
          <w:snapToGrid w:val="0"/>
          <w:color w:val="auto"/>
          <w:kern w:val="2"/>
          <w:sz w:val="28"/>
          <w:szCs w:val="28"/>
          <w:highlight w:val="none"/>
          <w:lang w:val="en-US" w:eastAsia="zh-CN" w:bidi="ar-SA"/>
        </w:rPr>
        <w:t>https://download.bqpoint.com/download/downloaddetail.html?SourceFrom=Down&amp;SoftGuid=55aa4e06-c384-4005-bcb9-48932d410fd4）。</w:t>
      </w:r>
    </w:p>
    <w:p w14:paraId="22FDA84F">
      <w:pPr>
        <w:pStyle w:val="3"/>
        <w:keepNext w:val="0"/>
        <w:keepLines w:val="0"/>
        <w:pageBreakBefore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b/>
          <w:bCs/>
          <w:snapToGrid w:val="0"/>
          <w:color w:val="auto"/>
          <w:kern w:val="2"/>
          <w:sz w:val="28"/>
          <w:szCs w:val="28"/>
          <w:highlight w:val="none"/>
          <w:lang w:val="en-US" w:eastAsia="zh-CN" w:bidi="ar-SA"/>
        </w:rPr>
      </w:pPr>
      <w:r>
        <w:rPr>
          <w:rFonts w:hint="eastAsia" w:ascii="宋体" w:hAnsi="宋体" w:eastAsia="宋体" w:cs="宋体"/>
          <w:b/>
          <w:bCs/>
          <w:snapToGrid w:val="0"/>
          <w:color w:val="auto"/>
          <w:kern w:val="2"/>
          <w:sz w:val="28"/>
          <w:szCs w:val="28"/>
          <w:highlight w:val="none"/>
          <w:lang w:val="en-US" w:eastAsia="zh-CN" w:bidi="ar-SA"/>
        </w:rPr>
        <w:t>（2）建议投标人在开标前半小时登录不见面开标大厅，并及时签到（开标前60分钟即可签到），遇到问题及时联系客服4009280095。</w:t>
      </w:r>
    </w:p>
    <w:p w14:paraId="13D05670">
      <w:pPr>
        <w:pStyle w:val="3"/>
        <w:keepNext w:val="0"/>
        <w:keepLines w:val="0"/>
        <w:pageBreakBefore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b/>
          <w:bCs/>
          <w:snapToGrid w:val="0"/>
          <w:color w:val="auto"/>
          <w:kern w:val="2"/>
          <w:sz w:val="28"/>
          <w:szCs w:val="28"/>
          <w:highlight w:val="none"/>
          <w:lang w:val="en-US" w:eastAsia="zh-CN" w:bidi="ar-SA"/>
        </w:rPr>
      </w:pPr>
      <w:r>
        <w:rPr>
          <w:rFonts w:hint="eastAsia" w:ascii="宋体" w:hAnsi="宋体" w:eastAsia="宋体" w:cs="宋体"/>
          <w:b/>
          <w:bCs/>
          <w:snapToGrid w:val="0"/>
          <w:color w:val="auto"/>
          <w:kern w:val="2"/>
          <w:sz w:val="28"/>
          <w:szCs w:val="28"/>
          <w:highlight w:val="none"/>
          <w:lang w:val="en-US" w:eastAsia="zh-CN" w:bidi="ar-SA"/>
        </w:rPr>
        <w:t>（3）投标人需注意CA锁一定要提前准备好，并确保CA锁为制作投标文件的CA锁。</w:t>
      </w:r>
    </w:p>
    <w:p w14:paraId="2B30ABD7">
      <w:pPr>
        <w:pStyle w:val="3"/>
        <w:keepNext w:val="0"/>
        <w:keepLines w:val="0"/>
        <w:pageBreakBefore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b/>
          <w:bCs/>
          <w:snapToGrid w:val="0"/>
          <w:color w:val="auto"/>
          <w:kern w:val="2"/>
          <w:sz w:val="28"/>
          <w:szCs w:val="28"/>
          <w:highlight w:val="none"/>
          <w:lang w:val="en-US" w:eastAsia="zh-CN" w:bidi="ar-SA"/>
        </w:rPr>
      </w:pPr>
      <w:r>
        <w:rPr>
          <w:rFonts w:hint="eastAsia" w:ascii="宋体" w:hAnsi="宋体" w:eastAsia="宋体" w:cs="宋体"/>
          <w:b/>
          <w:bCs/>
          <w:snapToGrid w:val="0"/>
          <w:color w:val="auto"/>
          <w:kern w:val="2"/>
          <w:sz w:val="28"/>
          <w:szCs w:val="28"/>
          <w:highlight w:val="none"/>
          <w:lang w:val="en-US" w:eastAsia="zh-CN" w:bidi="ar-SA"/>
        </w:rPr>
        <w:t>（4）及时关注右侧公告及互动栏目信息。</w:t>
      </w:r>
    </w:p>
    <w:p w14:paraId="4E25D725">
      <w:pPr>
        <w:pStyle w:val="3"/>
        <w:keepNext w:val="0"/>
        <w:keepLines w:val="0"/>
        <w:pageBreakBefore w:val="0"/>
        <w:kinsoku/>
        <w:wordWrap/>
        <w:overflowPunct/>
        <w:topLinePunct w:val="0"/>
        <w:autoSpaceDE/>
        <w:autoSpaceDN/>
        <w:bidi w:val="0"/>
        <w:adjustRightInd/>
        <w:snapToGrid/>
        <w:spacing w:line="480" w:lineRule="exact"/>
        <w:ind w:firstLine="562" w:firstLineChars="200"/>
        <w:jc w:val="center"/>
        <w:textAlignment w:val="auto"/>
        <w:rPr>
          <w:rFonts w:hint="eastAsia" w:ascii="宋体" w:hAnsi="宋体" w:eastAsia="宋体" w:cs="宋体"/>
          <w:b/>
          <w:color w:val="auto"/>
          <w:sz w:val="28"/>
          <w:szCs w:val="28"/>
          <w:highlight w:val="none"/>
        </w:rPr>
        <w:sectPr>
          <w:footerReference r:id="rId4" w:type="first"/>
          <w:footerReference r:id="rId3" w:type="default"/>
          <w:pgSz w:w="11906" w:h="16838"/>
          <w:pgMar w:top="1440" w:right="1800" w:bottom="1440" w:left="1800" w:header="851" w:footer="992" w:gutter="0"/>
          <w:pgNumType w:fmt="decimal" w:start="1"/>
          <w:cols w:space="720" w:num="1"/>
          <w:titlePg/>
          <w:docGrid w:linePitch="312" w:charSpace="0"/>
        </w:sectPr>
      </w:pPr>
    </w:p>
    <w:p w14:paraId="7A1B137A">
      <w:pPr>
        <w:tabs>
          <w:tab w:val="left" w:pos="3739"/>
        </w:tabs>
        <w:spacing w:line="720" w:lineRule="auto"/>
        <w:jc w:val="center"/>
        <w:rPr>
          <w:rFonts w:hint="eastAsia" w:ascii="宋体" w:hAnsi="宋体" w:eastAsia="宋体" w:cs="宋体"/>
          <w:color w:val="auto"/>
          <w:sz w:val="36"/>
          <w:szCs w:val="36"/>
          <w:highlight w:val="none"/>
        </w:rPr>
      </w:pPr>
      <w:r>
        <w:rPr>
          <w:rFonts w:hint="eastAsia" w:ascii="宋体" w:hAnsi="宋体" w:eastAsia="宋体" w:cs="宋体"/>
          <w:b/>
          <w:color w:val="auto"/>
          <w:sz w:val="36"/>
          <w:szCs w:val="36"/>
          <w:highlight w:val="none"/>
        </w:rPr>
        <w:t>目  录</w:t>
      </w:r>
    </w:p>
    <w:p w14:paraId="323D6141">
      <w:pPr>
        <w:pStyle w:val="12"/>
        <w:tabs>
          <w:tab w:val="right" w:leader="dot" w:pos="8732"/>
          <w:tab w:val="clear" w:pos="9344"/>
        </w:tabs>
        <w:spacing w:line="48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_Toc7437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 xml:space="preserve">第一章  </w:t>
      </w:r>
      <w:r>
        <w:rPr>
          <w:rFonts w:hint="eastAsia" w:ascii="宋体" w:hAnsi="宋体" w:eastAsia="宋体" w:cs="宋体"/>
          <w:color w:val="auto"/>
          <w:sz w:val="30"/>
          <w:szCs w:val="30"/>
          <w:highlight w:val="none"/>
          <w:lang w:eastAsia="zh-CN"/>
        </w:rPr>
        <w:t>磋商</w:t>
      </w:r>
      <w:r>
        <w:rPr>
          <w:rFonts w:hint="eastAsia" w:ascii="宋体" w:hAnsi="宋体" w:eastAsia="宋体" w:cs="宋体"/>
          <w:color w:val="auto"/>
          <w:sz w:val="30"/>
          <w:szCs w:val="30"/>
          <w:highlight w:val="none"/>
        </w:rPr>
        <w:t>公告</w:t>
      </w:r>
      <w:r>
        <w:rPr>
          <w:rFonts w:hint="eastAsia" w:ascii="宋体" w:hAnsi="宋体" w:eastAsia="宋体" w:cs="宋体"/>
          <w:color w:val="auto"/>
          <w:sz w:val="30"/>
          <w:szCs w:val="30"/>
          <w:highlight w:val="none"/>
        </w:rPr>
        <w:tab/>
      </w:r>
      <w:r>
        <w:rPr>
          <w:rFonts w:hint="eastAsia" w:hAnsi="宋体" w:eastAsia="宋体" w:cs="宋体"/>
          <w:color w:val="auto"/>
          <w:sz w:val="30"/>
          <w:szCs w:val="30"/>
          <w:highlight w:val="none"/>
          <w:lang w:val="en-US" w:eastAsia="zh-CN"/>
        </w:rPr>
        <w:t>4</w:t>
      </w:r>
      <w:r>
        <w:rPr>
          <w:rFonts w:hint="eastAsia" w:ascii="宋体" w:hAnsi="宋体" w:eastAsia="宋体" w:cs="宋体"/>
          <w:color w:val="auto"/>
          <w:sz w:val="30"/>
          <w:szCs w:val="30"/>
          <w:highlight w:val="none"/>
        </w:rPr>
        <w:fldChar w:fldCharType="end"/>
      </w:r>
    </w:p>
    <w:p w14:paraId="26FD37D6">
      <w:pPr>
        <w:pStyle w:val="12"/>
        <w:tabs>
          <w:tab w:val="right" w:leader="dot" w:pos="8732"/>
          <w:tab w:val="clear" w:pos="9344"/>
        </w:tabs>
        <w:spacing w:line="48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_Toc236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第二章  供应商须知</w:t>
      </w:r>
      <w:r>
        <w:rPr>
          <w:rFonts w:hint="eastAsia" w:ascii="宋体" w:hAnsi="宋体" w:eastAsia="宋体" w:cs="宋体"/>
          <w:color w:val="auto"/>
          <w:sz w:val="30"/>
          <w:szCs w:val="30"/>
          <w:highlight w:val="none"/>
        </w:rPr>
        <w:tab/>
      </w:r>
      <w:r>
        <w:rPr>
          <w:rFonts w:hint="eastAsia" w:hAnsi="宋体" w:eastAsia="宋体" w:cs="宋体"/>
          <w:color w:val="auto"/>
          <w:sz w:val="30"/>
          <w:szCs w:val="30"/>
          <w:highlight w:val="none"/>
          <w:lang w:val="en-US" w:eastAsia="zh-CN"/>
        </w:rPr>
        <w:t>8</w:t>
      </w:r>
      <w:r>
        <w:rPr>
          <w:rFonts w:hint="eastAsia" w:ascii="宋体" w:hAnsi="宋体" w:eastAsia="宋体" w:cs="宋体"/>
          <w:color w:val="auto"/>
          <w:sz w:val="30"/>
          <w:szCs w:val="30"/>
          <w:highlight w:val="none"/>
        </w:rPr>
        <w:fldChar w:fldCharType="end"/>
      </w:r>
    </w:p>
    <w:p w14:paraId="027F97B2">
      <w:pPr>
        <w:pStyle w:val="12"/>
        <w:tabs>
          <w:tab w:val="right" w:leader="dot" w:pos="8732"/>
          <w:tab w:val="clear" w:pos="9344"/>
        </w:tabs>
        <w:spacing w:line="480" w:lineRule="auto"/>
        <w:jc w:val="center"/>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_Toc3567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第三章  评审办法和标准</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lang w:val="en-US" w:eastAsia="zh-CN"/>
        </w:rPr>
        <w:t>1</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lang w:val="en-US" w:eastAsia="zh-CN"/>
        </w:rPr>
        <w:t>9</w:t>
      </w:r>
    </w:p>
    <w:p w14:paraId="50232D11">
      <w:pPr>
        <w:pStyle w:val="12"/>
        <w:tabs>
          <w:tab w:val="right" w:leader="dot" w:pos="8732"/>
          <w:tab w:val="clear" w:pos="9344"/>
        </w:tabs>
        <w:spacing w:line="480" w:lineRule="auto"/>
        <w:jc w:val="center"/>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_Toc699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第四章  合同</w:t>
      </w:r>
      <w:r>
        <w:rPr>
          <w:rFonts w:hint="eastAsia" w:ascii="宋体" w:hAnsi="宋体" w:eastAsia="宋体" w:cs="宋体"/>
          <w:color w:val="auto"/>
          <w:sz w:val="30"/>
          <w:szCs w:val="30"/>
          <w:highlight w:val="none"/>
          <w:lang w:eastAsia="zh-CN"/>
        </w:rPr>
        <w:t>格式</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rPr>
        <w:fldChar w:fldCharType="end"/>
      </w:r>
      <w:r>
        <w:rPr>
          <w:rFonts w:hint="eastAsia" w:hAnsi="宋体" w:eastAsia="宋体" w:cs="宋体"/>
          <w:color w:val="auto"/>
          <w:sz w:val="30"/>
          <w:szCs w:val="30"/>
          <w:highlight w:val="none"/>
          <w:lang w:val="en-US" w:eastAsia="zh-CN"/>
        </w:rPr>
        <w:t>6</w:t>
      </w:r>
    </w:p>
    <w:p w14:paraId="5FCB8FA0">
      <w:pPr>
        <w:pStyle w:val="12"/>
        <w:tabs>
          <w:tab w:val="right" w:leader="dot" w:pos="8732"/>
          <w:tab w:val="clear" w:pos="9344"/>
        </w:tabs>
        <w:spacing w:line="480" w:lineRule="auto"/>
        <w:jc w:val="center"/>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_Toc22931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第五章  采购内容及要求</w:t>
      </w:r>
      <w:r>
        <w:rPr>
          <w:rFonts w:hint="eastAsia" w:ascii="宋体" w:hAnsi="宋体" w:eastAsia="宋体" w:cs="宋体"/>
          <w:color w:val="auto"/>
          <w:sz w:val="30"/>
          <w:szCs w:val="30"/>
          <w:highlight w:val="none"/>
        </w:rPr>
        <w:tab/>
      </w:r>
      <w:r>
        <w:rPr>
          <w:rFonts w:hint="eastAsia" w:hAnsi="宋体" w:eastAsia="宋体" w:cs="宋体"/>
          <w:color w:val="auto"/>
          <w:sz w:val="30"/>
          <w:szCs w:val="30"/>
          <w:highlight w:val="none"/>
          <w:lang w:val="en-US" w:eastAsia="zh-CN"/>
        </w:rPr>
        <w:t>4</w:t>
      </w:r>
      <w:r>
        <w:rPr>
          <w:rFonts w:hint="eastAsia" w:ascii="宋体" w:hAnsi="宋体" w:eastAsia="宋体" w:cs="宋体"/>
          <w:color w:val="auto"/>
          <w:sz w:val="30"/>
          <w:szCs w:val="30"/>
          <w:highlight w:val="none"/>
        </w:rPr>
        <w:fldChar w:fldCharType="end"/>
      </w:r>
      <w:r>
        <w:rPr>
          <w:rFonts w:hint="eastAsia" w:hAnsi="宋体" w:eastAsia="宋体" w:cs="宋体"/>
          <w:color w:val="auto"/>
          <w:sz w:val="30"/>
          <w:szCs w:val="30"/>
          <w:highlight w:val="none"/>
          <w:lang w:val="en-US" w:eastAsia="zh-CN"/>
        </w:rPr>
        <w:t>7</w:t>
      </w:r>
    </w:p>
    <w:p w14:paraId="221DBFD7">
      <w:pPr>
        <w:pStyle w:val="12"/>
        <w:tabs>
          <w:tab w:val="right" w:leader="dot" w:pos="8732"/>
          <w:tab w:val="clear" w:pos="9344"/>
        </w:tabs>
        <w:spacing w:line="480" w:lineRule="auto"/>
        <w:jc w:val="center"/>
        <w:rPr>
          <w:rFonts w:hint="eastAsia" w:ascii="宋体" w:hAnsi="宋体" w:eastAsia="宋体" w:cs="宋体"/>
          <w:b/>
          <w:bCs/>
          <w:caps/>
          <w:color w:val="auto"/>
          <w:kern w:val="2"/>
          <w:sz w:val="30"/>
          <w:szCs w:val="30"/>
          <w:highlight w:val="none"/>
          <w:lang w:val="en-US" w:eastAsia="zh-CN" w:bidi="ar-SA"/>
        </w:rPr>
        <w:sectPr>
          <w:headerReference r:id="rId5" w:type="default"/>
          <w:footerReference r:id="rId6" w:type="default"/>
          <w:pgSz w:w="11906" w:h="16838"/>
          <w:pgMar w:top="1440" w:right="1080" w:bottom="1440" w:left="1080" w:header="851" w:footer="992" w:gutter="0"/>
          <w:pgNumType w:fmt="decimal"/>
          <w:cols w:space="0" w:num="1"/>
          <w:rtlGutter w:val="0"/>
          <w:docGrid w:linePitch="312" w:charSpace="0"/>
        </w:sect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_Toc22931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w:t>
      </w:r>
      <w:r>
        <w:rPr>
          <w:rFonts w:hint="eastAsia" w:ascii="宋体" w:hAnsi="宋体" w:eastAsia="宋体" w:cs="宋体"/>
          <w:color w:val="auto"/>
          <w:sz w:val="30"/>
          <w:szCs w:val="30"/>
          <w:highlight w:val="none"/>
          <w:lang w:eastAsia="zh-CN"/>
        </w:rPr>
        <w:t>六</w:t>
      </w:r>
      <w:r>
        <w:rPr>
          <w:rFonts w:hint="eastAsia" w:ascii="宋体" w:hAnsi="宋体" w:eastAsia="宋体" w:cs="宋体"/>
          <w:color w:val="auto"/>
          <w:sz w:val="30"/>
          <w:szCs w:val="30"/>
          <w:highlight w:val="none"/>
        </w:rPr>
        <w:t>章  磋商响应文件格式</w:t>
      </w:r>
      <w:r>
        <w:rPr>
          <w:rFonts w:hint="eastAsia" w:ascii="宋体" w:hAnsi="宋体" w:eastAsia="宋体" w:cs="宋体"/>
          <w:color w:val="auto"/>
          <w:sz w:val="30"/>
          <w:szCs w:val="30"/>
          <w:highlight w:val="none"/>
        </w:rPr>
        <w:tab/>
      </w:r>
      <w:r>
        <w:rPr>
          <w:rFonts w:hint="eastAsia" w:hAnsi="宋体" w:eastAsia="宋体" w:cs="宋体"/>
          <w:color w:val="auto"/>
          <w:sz w:val="30"/>
          <w:szCs w:val="30"/>
          <w:highlight w:val="none"/>
          <w:lang w:val="en-US" w:eastAsia="zh-CN"/>
        </w:rPr>
        <w:t>4</w:t>
      </w:r>
      <w:r>
        <w:rPr>
          <w:rFonts w:hint="eastAsia" w:ascii="宋体" w:hAnsi="宋体" w:eastAsia="宋体" w:cs="宋体"/>
          <w:color w:val="auto"/>
          <w:sz w:val="30"/>
          <w:szCs w:val="30"/>
          <w:highlight w:val="none"/>
        </w:rPr>
        <w:fldChar w:fldCharType="end"/>
      </w:r>
      <w:r>
        <w:rPr>
          <w:rFonts w:hint="eastAsia" w:hAnsi="宋体" w:eastAsia="宋体" w:cs="宋体"/>
          <w:color w:val="auto"/>
          <w:sz w:val="30"/>
          <w:szCs w:val="30"/>
          <w:highlight w:val="none"/>
          <w:lang w:val="en-US" w:eastAsia="zh-CN"/>
        </w:rPr>
        <w:t>8</w:t>
      </w:r>
    </w:p>
    <w:p w14:paraId="0ADDE9B0">
      <w:pPr>
        <w:pStyle w:val="15"/>
        <w:keepNext w:val="0"/>
        <w:keepLines w:val="0"/>
        <w:pageBreakBefore w:val="0"/>
        <w:numPr>
          <w:ilvl w:val="0"/>
          <w:numId w:val="1"/>
        </w:numPr>
        <w:kinsoku/>
        <w:overflowPunct/>
        <w:topLinePunct w:val="0"/>
        <w:autoSpaceDE/>
        <w:autoSpaceDN/>
        <w:bidi w:val="0"/>
        <w:adjustRightInd/>
        <w:snapToGrid/>
        <w:spacing w:line="480" w:lineRule="exact"/>
        <w:ind w:firstLine="643" w:firstLineChars="200"/>
        <w:textAlignment w:val="auto"/>
        <w:rPr>
          <w:rFonts w:hint="eastAsia" w:ascii="宋体" w:hAnsi="宋体" w:eastAsia="宋体" w:cs="宋体"/>
          <w:color w:val="auto"/>
          <w:sz w:val="32"/>
          <w:szCs w:val="32"/>
          <w:highlight w:val="none"/>
        </w:rPr>
      </w:pPr>
      <w:bookmarkStart w:id="0" w:name="_Toc21755"/>
      <w:bookmarkStart w:id="1" w:name="_Toc415499894"/>
      <w:bookmarkStart w:id="2" w:name="_Toc58504445"/>
      <w:bookmarkStart w:id="3" w:name="_Toc12761"/>
      <w:bookmarkStart w:id="4" w:name="_Toc503063420"/>
      <w:bookmarkStart w:id="5" w:name="_Toc177995472"/>
      <w:bookmarkStart w:id="6" w:name="_Toc53722839"/>
      <w:bookmarkStart w:id="7" w:name="_Toc496324577"/>
      <w:bookmarkStart w:id="8" w:name="_Toc500747187"/>
      <w:bookmarkStart w:id="9" w:name="_Toc500747060"/>
      <w:bookmarkStart w:id="10" w:name="_Toc499711882"/>
      <w:bookmarkStart w:id="11" w:name="_Toc499711041"/>
      <w:bookmarkStart w:id="12" w:name="_Toc177817333"/>
      <w:bookmarkStart w:id="13" w:name="_Toc177189234"/>
      <w:bookmarkStart w:id="14" w:name="_Toc492955413"/>
      <w:bookmarkStart w:id="15" w:name="_Toc176882541"/>
      <w:bookmarkStart w:id="16" w:name="_Toc70687138"/>
      <w:bookmarkStart w:id="17" w:name="_Toc500746964"/>
      <w:bookmarkStart w:id="18" w:name="_Toc385992325"/>
      <w:bookmarkStart w:id="19" w:name="_Toc385992324"/>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磋商公告</w:t>
      </w:r>
      <w:bookmarkEnd w:id="0"/>
      <w:bookmarkEnd w:id="1"/>
      <w:bookmarkEnd w:id="2"/>
      <w:bookmarkEnd w:id="3"/>
    </w:p>
    <w:p w14:paraId="5B64565E">
      <w:pPr>
        <w:pStyle w:val="6"/>
        <w:keepNext w:val="0"/>
        <w:keepLines w:val="0"/>
        <w:pageBreakBefore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zh-CN" w:eastAsia="zh-CN"/>
        </w:rPr>
      </w:pPr>
      <w:bookmarkStart w:id="450" w:name="_GoBack"/>
      <w:r>
        <w:rPr>
          <w:rFonts w:hint="eastAsia" w:ascii="宋体" w:hAnsi="宋体" w:eastAsia="宋体" w:cs="宋体"/>
          <w:color w:val="auto"/>
          <w:sz w:val="24"/>
          <w:szCs w:val="24"/>
          <w:highlight w:val="none"/>
          <w:lang w:val="zh-CN" w:eastAsia="zh-CN"/>
        </w:rPr>
        <w:t>镇坪县柿子树坪燃气等管网更新改造项目工程监理潜在的投标人应在安康市公共资源交</w:t>
      </w:r>
      <w:bookmarkEnd w:id="450"/>
      <w:r>
        <w:rPr>
          <w:rFonts w:hint="eastAsia" w:ascii="宋体" w:hAnsi="宋体" w:eastAsia="宋体" w:cs="宋体"/>
          <w:color w:val="auto"/>
          <w:sz w:val="24"/>
          <w:szCs w:val="24"/>
          <w:highlight w:val="none"/>
          <w:lang w:val="zh-CN" w:eastAsia="zh-CN"/>
        </w:rPr>
        <w:t>易网上获取竞争性磋商文件，并于</w:t>
      </w: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lang w:val="zh-CN" w:eastAsia="zh-CN"/>
        </w:rPr>
        <w:t>年0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月</w:t>
      </w:r>
      <w:r>
        <w:rPr>
          <w:rFonts w:hint="eastAsia" w:ascii="宋体" w:hAnsi="宋体" w:eastAsia="宋体" w:cs="宋体"/>
          <w:color w:val="auto"/>
          <w:sz w:val="24"/>
          <w:szCs w:val="24"/>
          <w:highlight w:val="none"/>
          <w:lang w:val="en-US" w:eastAsia="zh-CN"/>
        </w:rPr>
        <w:t>06</w:t>
      </w:r>
      <w:r>
        <w:rPr>
          <w:rFonts w:hint="eastAsia" w:ascii="宋体" w:hAnsi="宋体" w:eastAsia="宋体" w:cs="宋体"/>
          <w:color w:val="auto"/>
          <w:sz w:val="24"/>
          <w:szCs w:val="24"/>
          <w:highlight w:val="none"/>
          <w:lang w:val="zh-CN" w:eastAsia="zh-CN"/>
        </w:rPr>
        <w:t>日</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lang w:val="zh-CN" w:eastAsia="zh-CN"/>
        </w:rPr>
        <w:t>时00分</w:t>
      </w:r>
      <w:r>
        <w:rPr>
          <w:rFonts w:hint="eastAsia" w:ascii="宋体" w:hAnsi="宋体" w:eastAsia="宋体" w:cs="宋体"/>
          <w:color w:val="auto"/>
          <w:sz w:val="24"/>
          <w:szCs w:val="24"/>
          <w:highlight w:val="none"/>
          <w:lang w:val="zh-CN" w:eastAsia="zh-CN"/>
        </w:rPr>
        <w:t xml:space="preserve">（北京时间）前递交投标文件。 </w:t>
      </w:r>
    </w:p>
    <w:p w14:paraId="2D18D808">
      <w:pPr>
        <w:pStyle w:val="6"/>
        <w:keepNext w:val="0"/>
        <w:keepLines w:val="0"/>
        <w:pageBreakBefore w:val="0"/>
        <w:kinsoku/>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一、项目基本情况：</w:t>
      </w:r>
    </w:p>
    <w:p w14:paraId="4BA6382D">
      <w:pPr>
        <w:pStyle w:val="6"/>
        <w:keepNext w:val="0"/>
        <w:keepLines w:val="0"/>
        <w:pageBreakBefore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项目编号：SHMCGAK(2025)第05号</w:t>
      </w:r>
    </w:p>
    <w:p w14:paraId="5E7C8C54">
      <w:pPr>
        <w:pStyle w:val="6"/>
        <w:keepNext w:val="0"/>
        <w:keepLines w:val="0"/>
        <w:pageBreakBefore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项目名称：镇坪县柿子树坪燃气等管网更新改造项目工程监理</w:t>
      </w:r>
    </w:p>
    <w:p w14:paraId="677FC287">
      <w:pPr>
        <w:pStyle w:val="6"/>
        <w:keepNext w:val="0"/>
        <w:keepLines w:val="0"/>
        <w:pageBreakBefore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采购方式：竞争性磋商</w:t>
      </w:r>
    </w:p>
    <w:p w14:paraId="278FB453">
      <w:pPr>
        <w:pStyle w:val="6"/>
        <w:keepNext w:val="0"/>
        <w:keepLines w:val="0"/>
        <w:pageBreakBefore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预算金额：</w:t>
      </w:r>
      <w:r>
        <w:rPr>
          <w:rFonts w:hint="eastAsia" w:ascii="宋体" w:hAnsi="宋体" w:eastAsia="宋体" w:cs="宋体"/>
          <w:color w:val="auto"/>
          <w:sz w:val="24"/>
          <w:szCs w:val="24"/>
          <w:highlight w:val="none"/>
          <w:lang w:val="en-US" w:eastAsia="zh-CN"/>
        </w:rPr>
        <w:t>504000.00</w:t>
      </w:r>
      <w:r>
        <w:rPr>
          <w:rFonts w:hint="eastAsia" w:ascii="宋体" w:hAnsi="宋体" w:eastAsia="宋体" w:cs="宋体"/>
          <w:color w:val="auto"/>
          <w:sz w:val="24"/>
          <w:szCs w:val="24"/>
          <w:highlight w:val="none"/>
          <w:lang w:val="zh-CN" w:eastAsia="zh-CN"/>
        </w:rPr>
        <w:t>元</w:t>
      </w:r>
    </w:p>
    <w:p w14:paraId="66CF27D0">
      <w:pPr>
        <w:pStyle w:val="6"/>
        <w:keepNext w:val="0"/>
        <w:keepLines w:val="0"/>
        <w:pageBreakBefore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采购需求：</w:t>
      </w:r>
    </w:p>
    <w:p w14:paraId="21188A48">
      <w:pPr>
        <w:pStyle w:val="6"/>
        <w:keepNext w:val="0"/>
        <w:keepLines w:val="0"/>
        <w:pageBreakBefore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合同包1(镇坪县柿子树坪燃气等管网更新改造项目工程监理):</w:t>
      </w:r>
    </w:p>
    <w:p w14:paraId="1B2DC70D">
      <w:pPr>
        <w:pStyle w:val="6"/>
        <w:keepNext w:val="0"/>
        <w:keepLines w:val="0"/>
        <w:pageBreakBefore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合同包预算金额：</w:t>
      </w:r>
      <w:r>
        <w:rPr>
          <w:rFonts w:hint="eastAsia" w:ascii="宋体" w:hAnsi="宋体" w:eastAsia="宋体" w:cs="宋体"/>
          <w:color w:val="auto"/>
          <w:sz w:val="24"/>
          <w:szCs w:val="24"/>
          <w:highlight w:val="none"/>
          <w:lang w:val="en-US" w:eastAsia="zh-CN"/>
        </w:rPr>
        <w:t>504000.00</w:t>
      </w:r>
      <w:r>
        <w:rPr>
          <w:rFonts w:hint="eastAsia" w:ascii="宋体" w:hAnsi="宋体" w:eastAsia="宋体" w:cs="宋体"/>
          <w:color w:val="auto"/>
          <w:sz w:val="24"/>
          <w:szCs w:val="24"/>
          <w:highlight w:val="none"/>
          <w:lang w:val="zh-CN" w:eastAsia="zh-CN"/>
        </w:rPr>
        <w:t>元</w:t>
      </w:r>
    </w:p>
    <w:p w14:paraId="53CE145D">
      <w:pPr>
        <w:pStyle w:val="6"/>
        <w:keepNext w:val="0"/>
        <w:keepLines w:val="0"/>
        <w:pageBreakBefore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合同包最高限价：</w:t>
      </w:r>
      <w:r>
        <w:rPr>
          <w:rFonts w:hint="eastAsia" w:ascii="宋体" w:hAnsi="宋体" w:eastAsia="宋体" w:cs="宋体"/>
          <w:color w:val="auto"/>
          <w:sz w:val="24"/>
          <w:szCs w:val="24"/>
          <w:highlight w:val="none"/>
          <w:lang w:val="en-US" w:eastAsia="zh-CN"/>
        </w:rPr>
        <w:t>504000.00</w:t>
      </w:r>
      <w:r>
        <w:rPr>
          <w:rFonts w:hint="eastAsia" w:ascii="宋体" w:hAnsi="宋体" w:eastAsia="宋体" w:cs="宋体"/>
          <w:color w:val="auto"/>
          <w:sz w:val="24"/>
          <w:szCs w:val="24"/>
          <w:highlight w:val="none"/>
          <w:lang w:val="zh-CN" w:eastAsia="zh-CN"/>
        </w:rPr>
        <w:t>元</w:t>
      </w:r>
    </w:p>
    <w:tbl>
      <w:tblPr>
        <w:tblStyle w:val="17"/>
        <w:tblW w:w="0" w:type="auto"/>
        <w:tblInd w:w="-69"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63"/>
        <w:gridCol w:w="1067"/>
        <w:gridCol w:w="2525"/>
        <w:gridCol w:w="905"/>
        <w:gridCol w:w="1725"/>
        <w:gridCol w:w="1356"/>
        <w:gridCol w:w="1814"/>
      </w:tblGrid>
      <w:tr w14:paraId="39D90A5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84"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4F0C56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right="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B98FF6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right="0" w:firstLine="241" w:firstLineChars="100"/>
              <w:jc w:val="both"/>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品目</w:t>
            </w:r>
          </w:p>
          <w:p w14:paraId="4710AF2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right="0" w:firstLine="241" w:firstLineChars="1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9D303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right="0" w:firstLine="241" w:firstLineChars="1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DB9103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right="0"/>
              <w:jc w:val="both"/>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数量</w:t>
            </w:r>
          </w:p>
          <w:p w14:paraId="623F92C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right="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37B3E9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leftChars="0" w:right="0" w:firstLine="482" w:firstLineChars="20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881DFB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right="0" w:firstLine="241" w:firstLineChars="100"/>
              <w:jc w:val="both"/>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品目</w:t>
            </w:r>
          </w:p>
          <w:p w14:paraId="138C268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right="0" w:firstLine="241" w:firstLineChars="1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预算(元)</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359F51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right="0" w:firstLine="241" w:firstLineChars="1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最高      限价(元)</w:t>
            </w:r>
          </w:p>
        </w:tc>
      </w:tr>
      <w:tr w14:paraId="0B323C1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28"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87697C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D5CD70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工程监理服务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82F836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right="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zh-CN" w:eastAsia="zh-CN"/>
              </w:rPr>
              <w:t>镇坪县柿子树坪燃气等管网更新改造项目工程监理</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848C9A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E3F508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240" w:right="0" w:hanging="240" w:hanging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D4F64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504000.00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ED26B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504000.00</w:t>
            </w:r>
          </w:p>
        </w:tc>
      </w:tr>
    </w:tbl>
    <w:p w14:paraId="69A06E6D">
      <w:pPr>
        <w:pStyle w:val="6"/>
        <w:keepNext w:val="0"/>
        <w:keepLines w:val="0"/>
        <w:pageBreakBefore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本合同包不接受联合体投标</w:t>
      </w:r>
    </w:p>
    <w:p w14:paraId="1303CD2E">
      <w:pPr>
        <w:pStyle w:val="6"/>
        <w:keepNext w:val="0"/>
        <w:keepLines w:val="0"/>
        <w:pageBreakBefore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合同履行期限：自工程开工之日起至工程竣工验收合格。</w:t>
      </w:r>
    </w:p>
    <w:p w14:paraId="0B1E2461">
      <w:pPr>
        <w:pStyle w:val="6"/>
        <w:keepNext w:val="0"/>
        <w:keepLines w:val="0"/>
        <w:pageBreakBefore w:val="0"/>
        <w:kinsoku/>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二、响应供应商的资格要求</w:t>
      </w:r>
      <w:r>
        <w:rPr>
          <w:rFonts w:hint="eastAsia" w:ascii="宋体" w:hAnsi="宋体" w:eastAsia="宋体" w:cs="宋体"/>
          <w:color w:val="auto"/>
          <w:sz w:val="24"/>
          <w:szCs w:val="24"/>
          <w:highlight w:val="none"/>
          <w:lang w:val="zh-CN" w:eastAsia="zh-CN"/>
        </w:rPr>
        <w:t xml:space="preserve"> </w:t>
      </w:r>
    </w:p>
    <w:p w14:paraId="6F2AD8A9">
      <w:pPr>
        <w:pStyle w:val="6"/>
        <w:keepNext w:val="0"/>
        <w:keepLines w:val="0"/>
        <w:pageBreakBefore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1、满足《中华人民共和国政府采购法》第二十二条规定</w:t>
      </w:r>
    </w:p>
    <w:p w14:paraId="190E99AF">
      <w:pPr>
        <w:pStyle w:val="6"/>
        <w:keepNext w:val="0"/>
        <w:keepLines w:val="0"/>
        <w:pageBreakBefore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2、落实政府采购政策需满足的资格要求：</w:t>
      </w:r>
    </w:p>
    <w:p w14:paraId="54F8BDEE">
      <w:pPr>
        <w:pStyle w:val="6"/>
        <w:keepNext w:val="0"/>
        <w:keepLines w:val="0"/>
        <w:pageBreakBefore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 xml:space="preserve">    合同包1(镇坪县柿子树坪燃气等管网更新改造项目工程监理)落实政府采购政策需满足的资格要求如下:</w:t>
      </w:r>
    </w:p>
    <w:p w14:paraId="5FC8ED38">
      <w:pPr>
        <w:pStyle w:val="6"/>
        <w:keepNext w:val="0"/>
        <w:keepLines w:val="0"/>
        <w:pageBreakBefore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（1）《政府采购促进中小企业发展管理办法》（财库〔2020〕46号）；（2）</w:t>
      </w:r>
    </w:p>
    <w:p w14:paraId="37D112F6">
      <w:pPr>
        <w:pStyle w:val="6"/>
        <w:keepNext w:val="0"/>
        <w:keepLines w:val="0"/>
        <w:pageBreakBefore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《财政部司法部关于政府采购支持监狱企业发展有关问题的通知》（财库〔2014〕</w:t>
      </w:r>
    </w:p>
    <w:p w14:paraId="449A64D0">
      <w:pPr>
        <w:pStyle w:val="6"/>
        <w:keepNext w:val="0"/>
        <w:keepLines w:val="0"/>
        <w:pageBreakBefore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68号）；（3）《财政部民政部中国残疾人联合会关于促进残疾人就业政府采购政</w:t>
      </w:r>
    </w:p>
    <w:p w14:paraId="7D2926EA">
      <w:pPr>
        <w:pStyle w:val="6"/>
        <w:keepNext w:val="0"/>
        <w:keepLines w:val="0"/>
        <w:pageBreakBefore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策的通知》（财库〔2017〕141号）；（4）《国务院办公厅关于建立政府强制采</w:t>
      </w:r>
    </w:p>
    <w:p w14:paraId="476C29B2">
      <w:pPr>
        <w:pStyle w:val="6"/>
        <w:keepNext w:val="0"/>
        <w:keepLines w:val="0"/>
        <w:pageBreakBefore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购节能产品制度的通知》(国办发〔2007〕51号)；（5）《财政部环保总局关于环</w:t>
      </w:r>
    </w:p>
    <w:p w14:paraId="1EA0F696">
      <w:pPr>
        <w:pStyle w:val="6"/>
        <w:keepNext w:val="0"/>
        <w:keepLines w:val="0"/>
        <w:pageBreakBefore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境标志产品政府采购实施的意见》(财库〔2006〕90号)；（6）《财政部发展改革</w:t>
      </w:r>
    </w:p>
    <w:p w14:paraId="24C0E07D">
      <w:pPr>
        <w:pStyle w:val="6"/>
        <w:keepNext w:val="0"/>
        <w:keepLines w:val="0"/>
        <w:pageBreakBefore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委生态环境部市场监管总局关于调整优化节能产品、环境标志产品政府采购执行</w:t>
      </w:r>
    </w:p>
    <w:p w14:paraId="04667755">
      <w:pPr>
        <w:pStyle w:val="6"/>
        <w:keepNext w:val="0"/>
        <w:keepLines w:val="0"/>
        <w:pageBreakBefore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机制的通知》（财库〔2019〕9号）；（7）《关于印发环境标志产品政府采购品</w:t>
      </w:r>
    </w:p>
    <w:p w14:paraId="4A44845B">
      <w:pPr>
        <w:pStyle w:val="6"/>
        <w:keepNext w:val="0"/>
        <w:keepLines w:val="0"/>
        <w:pageBreakBefore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目清单的通知》（财库〔2019〕18号）；（8）《关于印发节能产品政府采购品目</w:t>
      </w:r>
    </w:p>
    <w:p w14:paraId="372A1275">
      <w:pPr>
        <w:pStyle w:val="6"/>
        <w:keepNext w:val="0"/>
        <w:keepLines w:val="0"/>
        <w:pageBreakBefore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清单的通知》（财库〔2019〕19号）；（9）《财政部农业农村部国家乡村振兴局</w:t>
      </w:r>
    </w:p>
    <w:p w14:paraId="5FDC63E6">
      <w:pPr>
        <w:pStyle w:val="6"/>
        <w:keepNext w:val="0"/>
        <w:keepLines w:val="0"/>
        <w:pageBreakBefore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关于运用政府采购政策支持乡村产业振兴的通知》（财库〔2021〕19号）；（10）</w:t>
      </w:r>
    </w:p>
    <w:p w14:paraId="160C3968">
      <w:pPr>
        <w:pStyle w:val="6"/>
        <w:keepNext w:val="0"/>
        <w:keepLines w:val="0"/>
        <w:pageBreakBefore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《陕西省财政厅关于印发陕西省中小企业政府采购信用融资办法》（陕财办采〔2</w:t>
      </w:r>
    </w:p>
    <w:p w14:paraId="759E13F2">
      <w:pPr>
        <w:pStyle w:val="6"/>
        <w:keepNext w:val="0"/>
        <w:keepLines w:val="0"/>
        <w:pageBreakBefore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018〕23号）；（11）《陕西省财政厅关于加快推进我省中小企业政府采购信用融</w:t>
      </w:r>
    </w:p>
    <w:p w14:paraId="648DA296">
      <w:pPr>
        <w:pStyle w:val="6"/>
        <w:keepNext w:val="0"/>
        <w:keepLines w:val="0"/>
        <w:pageBreakBefore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资工作的通知》（陕财办采〔2020〕15号）。</w:t>
      </w:r>
    </w:p>
    <w:p w14:paraId="45A17CED">
      <w:pPr>
        <w:pStyle w:val="6"/>
        <w:keepNext w:val="0"/>
        <w:keepLines w:val="0"/>
        <w:pageBreakBefore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3、本项目的特定资格要求：</w:t>
      </w:r>
    </w:p>
    <w:p w14:paraId="3B7A5387">
      <w:pPr>
        <w:pStyle w:val="6"/>
        <w:keepNext w:val="0"/>
        <w:keepLines w:val="0"/>
        <w:pageBreakBefore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合同包1(镇坪县柿子树坪燃气等管网更新改造项目工程监理)特定资格要求如下:</w:t>
      </w:r>
    </w:p>
    <w:p w14:paraId="50F02544">
      <w:pPr>
        <w:pStyle w:val="6"/>
        <w:keepNext w:val="0"/>
        <w:keepLines w:val="0"/>
        <w:pageBreakBefore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3.1、具有独立承担民事责任能力的法人、其他组织或自然人，提供合法有效的营业执照/事业单位法人证书/专业服务机构执业许可证/民办非企业单位登记证书等相关证明，自然人参与的提供其身份证明；</w:t>
      </w:r>
    </w:p>
    <w:p w14:paraId="15FFE20D">
      <w:pPr>
        <w:pStyle w:val="6"/>
        <w:keepNext w:val="0"/>
        <w:keepLines w:val="0"/>
        <w:pageBreakBefore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sz w:val="24"/>
          <w:szCs w:val="24"/>
          <w:highlight w:val="none"/>
          <w:lang w:val="zh-CN" w:eastAsia="zh-CN"/>
        </w:rPr>
        <w:t>、法定代表人参加投标时，提供本人身份证复印件；授权代表参加投标时，提供法定代表人授权委托书、法定代表人和被授权人身份证复印件；</w:t>
      </w:r>
    </w:p>
    <w:p w14:paraId="37EE5F8F">
      <w:pPr>
        <w:pStyle w:val="6"/>
        <w:keepNext w:val="0"/>
        <w:keepLines w:val="0"/>
        <w:pageBreakBefore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3.3</w:t>
      </w:r>
      <w:r>
        <w:rPr>
          <w:rFonts w:hint="eastAsia" w:ascii="宋体" w:hAnsi="宋体" w:eastAsia="宋体" w:cs="宋体"/>
          <w:color w:val="auto"/>
          <w:sz w:val="24"/>
          <w:szCs w:val="24"/>
          <w:highlight w:val="none"/>
          <w:lang w:val="zh-CN" w:eastAsia="zh-CN"/>
        </w:rPr>
        <w:t>、本次磋商要求供应商具有国家建设行政主管部门颁发的市政公用工程监理乙级及以上资质，拟派总监理工程师具备市政公用工程专业国家注册监理工程师资格证书，且在本单位注册；</w:t>
      </w:r>
    </w:p>
    <w:p w14:paraId="559AC569">
      <w:pPr>
        <w:pStyle w:val="6"/>
        <w:keepNext w:val="0"/>
        <w:keepLines w:val="0"/>
        <w:pageBreakBefore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3.4</w:t>
      </w:r>
      <w:r>
        <w:rPr>
          <w:rFonts w:hint="eastAsia" w:ascii="宋体" w:hAnsi="宋体" w:eastAsia="宋体" w:cs="宋体"/>
          <w:color w:val="auto"/>
          <w:sz w:val="24"/>
          <w:szCs w:val="24"/>
          <w:highlight w:val="none"/>
          <w:lang w:val="zh-CN" w:eastAsia="zh-CN"/>
        </w:rPr>
        <w:t>、参加本次政府采购活动前三年内在经营活动中没有重大违纪，以及未被列入失信被执行人、重大税收违法案件当事人名单、政府采购严重违法失信行为记录名单的书面声明；</w:t>
      </w:r>
    </w:p>
    <w:p w14:paraId="3F3547D1">
      <w:pPr>
        <w:pStyle w:val="6"/>
        <w:keepNext w:val="0"/>
        <w:keepLines w:val="0"/>
        <w:pageBreakBefore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3.5</w:t>
      </w:r>
      <w:r>
        <w:rPr>
          <w:rFonts w:hint="eastAsia" w:ascii="宋体" w:hAnsi="宋体" w:eastAsia="宋体" w:cs="宋体"/>
          <w:color w:val="auto"/>
          <w:sz w:val="24"/>
          <w:szCs w:val="24"/>
          <w:highlight w:val="none"/>
          <w:lang w:val="zh-CN" w:eastAsia="zh-CN"/>
        </w:rPr>
        <w:t>、供应商通过“信用中国”网站(www.creditchina.gov.cn)和中国政府采购网(www.ccgp.gov.cn)等渠道查询相关主体信用记录，对列入失信被执行人、重大税收违法案件当事人名单、政府采购严重违法失信行为记录名单的供应商，将拒绝其参与政府采购活动；</w:t>
      </w:r>
    </w:p>
    <w:p w14:paraId="39452679">
      <w:pPr>
        <w:pStyle w:val="6"/>
        <w:keepNext w:val="0"/>
        <w:keepLines w:val="0"/>
        <w:pageBreakBefore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3.6</w:t>
      </w:r>
      <w:r>
        <w:rPr>
          <w:rFonts w:hint="eastAsia" w:ascii="宋体" w:hAnsi="宋体" w:eastAsia="宋体" w:cs="宋体"/>
          <w:color w:val="auto"/>
          <w:sz w:val="24"/>
          <w:szCs w:val="24"/>
          <w:highlight w:val="none"/>
          <w:lang w:val="zh-CN" w:eastAsia="zh-CN"/>
        </w:rPr>
        <w:t>、有依法缴纳税收和社会保障资金的良好记录（提供供应商近六个月任何一个月缴税证明和社会保障资金缴纳证明或免缴纳证明；。</w:t>
      </w:r>
    </w:p>
    <w:p w14:paraId="44E18D87">
      <w:pPr>
        <w:pStyle w:val="6"/>
        <w:keepNext w:val="0"/>
        <w:keepLines w:val="0"/>
        <w:pageBreakBefore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3.7</w:t>
      </w:r>
      <w:r>
        <w:rPr>
          <w:rFonts w:hint="eastAsia" w:ascii="宋体" w:hAnsi="宋体" w:eastAsia="宋体" w:cs="宋体"/>
          <w:color w:val="auto"/>
          <w:sz w:val="24"/>
          <w:szCs w:val="24"/>
          <w:highlight w:val="none"/>
          <w:lang w:val="zh-CN" w:eastAsia="zh-CN"/>
        </w:rPr>
        <w:t>、供应商应提供中小企业声明函（供应商为残疾人福利性单位的，提供《残疾人福利性单位声明函》；供应商为监狱企业的，提供由省级以上监狱管理局、戒毒管理局（含新疆生产建设兵团）出具的属于监狱企业的证明文件）。</w:t>
      </w:r>
    </w:p>
    <w:p w14:paraId="5FE72779">
      <w:pPr>
        <w:pStyle w:val="6"/>
        <w:keepNext w:val="0"/>
        <w:keepLines w:val="0"/>
        <w:pageBreakBefore w:val="0"/>
        <w:kinsoku/>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 xml:space="preserve">三、获取采购文件 </w:t>
      </w:r>
    </w:p>
    <w:p w14:paraId="66EE9007">
      <w:pPr>
        <w:pStyle w:val="6"/>
        <w:keepNext w:val="0"/>
        <w:keepLines w:val="0"/>
        <w:pageBreakBefore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时间：</w:t>
      </w:r>
      <w:r>
        <w:rPr>
          <w:rFonts w:hint="eastAsia" w:ascii="宋体" w:hAnsi="宋体" w:eastAsia="宋体" w:cs="宋体"/>
          <w:color w:val="auto"/>
          <w:sz w:val="24"/>
          <w:szCs w:val="24"/>
          <w:highlight w:val="none"/>
          <w:lang w:val="en-US" w:eastAsia="zh-CN"/>
        </w:rPr>
        <w:t>2025年01月22日至2025年01月27日</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eastAsia="zh-CN"/>
        </w:rPr>
        <w:t>每天上午09:00:00至12:00:00，下午14:00:00至1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val="zh-CN" w:eastAsia="zh-CN"/>
        </w:rPr>
        <w:t>0:00（北京时间,法定节假日除外）</w:t>
      </w:r>
    </w:p>
    <w:p w14:paraId="340C68F7">
      <w:pPr>
        <w:pStyle w:val="6"/>
        <w:keepNext w:val="0"/>
        <w:keepLines w:val="0"/>
        <w:pageBreakBefore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地点：全国公共资源交易中心平台（陕西省.安康市）</w:t>
      </w:r>
    </w:p>
    <w:p w14:paraId="10CDAD96">
      <w:pPr>
        <w:pStyle w:val="6"/>
        <w:keepNext w:val="0"/>
        <w:keepLines w:val="0"/>
        <w:pageBreakBefore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方式：在线获取</w:t>
      </w:r>
    </w:p>
    <w:p w14:paraId="77595892">
      <w:pPr>
        <w:pStyle w:val="6"/>
        <w:keepNext w:val="0"/>
        <w:keepLines w:val="0"/>
        <w:pageBreakBefore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售价：</w:t>
      </w:r>
      <w:r>
        <w:rPr>
          <w:rFonts w:hint="eastAsia" w:ascii="宋体" w:hAnsi="宋体" w:eastAsia="宋体" w:cs="宋体"/>
          <w:color w:val="auto"/>
          <w:sz w:val="24"/>
          <w:szCs w:val="24"/>
          <w:highlight w:val="none"/>
          <w:lang w:val="en-US" w:eastAsia="zh-CN"/>
        </w:rPr>
        <w:t>0.00</w:t>
      </w:r>
      <w:r>
        <w:rPr>
          <w:rFonts w:hint="eastAsia" w:ascii="宋体" w:hAnsi="宋体" w:eastAsia="宋体" w:cs="宋体"/>
          <w:color w:val="auto"/>
          <w:sz w:val="24"/>
          <w:szCs w:val="24"/>
          <w:highlight w:val="none"/>
          <w:lang w:val="zh-CN" w:eastAsia="zh-CN"/>
        </w:rPr>
        <w:t>元</w:t>
      </w:r>
    </w:p>
    <w:p w14:paraId="133FFDC0">
      <w:pPr>
        <w:pStyle w:val="6"/>
        <w:keepNext w:val="0"/>
        <w:keepLines w:val="0"/>
        <w:pageBreakBefore w:val="0"/>
        <w:kinsoku/>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四、响应文件递交</w:t>
      </w:r>
    </w:p>
    <w:p w14:paraId="2BAC7A3C">
      <w:pPr>
        <w:pStyle w:val="6"/>
        <w:keepNext w:val="0"/>
        <w:keepLines w:val="0"/>
        <w:pageBreakBefore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截止时间：</w:t>
      </w: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lang w:val="zh-CN" w:eastAsia="zh-CN"/>
        </w:rPr>
        <w:t>年0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月</w:t>
      </w:r>
      <w:r>
        <w:rPr>
          <w:rFonts w:hint="eastAsia" w:ascii="宋体" w:hAnsi="宋体" w:eastAsia="宋体" w:cs="宋体"/>
          <w:color w:val="auto"/>
          <w:sz w:val="24"/>
          <w:szCs w:val="24"/>
          <w:highlight w:val="none"/>
          <w:lang w:val="en-US" w:eastAsia="zh-CN"/>
        </w:rPr>
        <w:t>06</w:t>
      </w:r>
      <w:r>
        <w:rPr>
          <w:rFonts w:hint="eastAsia" w:ascii="宋体" w:hAnsi="宋体" w:eastAsia="宋体" w:cs="宋体"/>
          <w:color w:val="auto"/>
          <w:sz w:val="24"/>
          <w:szCs w:val="24"/>
          <w:highlight w:val="none"/>
          <w:lang w:val="zh-CN" w:eastAsia="zh-CN"/>
        </w:rPr>
        <w:t>日</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lang w:val="zh-CN" w:eastAsia="zh-CN"/>
        </w:rPr>
        <w:t>时00分</w:t>
      </w:r>
      <w:r>
        <w:rPr>
          <w:rFonts w:hint="eastAsia" w:ascii="宋体" w:hAnsi="宋体" w:eastAsia="宋体" w:cs="宋体"/>
          <w:color w:val="auto"/>
          <w:sz w:val="24"/>
          <w:szCs w:val="24"/>
          <w:highlight w:val="none"/>
          <w:lang w:val="zh-CN" w:eastAsia="zh-CN"/>
        </w:rPr>
        <w:t>00秒（北京时间）</w:t>
      </w:r>
    </w:p>
    <w:p w14:paraId="0A7ABB03">
      <w:pPr>
        <w:pStyle w:val="6"/>
        <w:keepNext w:val="0"/>
        <w:keepLines w:val="0"/>
        <w:pageBreakBefore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地点：全国公共资源交易中心平台（陕西省.安康市）</w:t>
      </w:r>
    </w:p>
    <w:p w14:paraId="454EF63A">
      <w:pPr>
        <w:pStyle w:val="6"/>
        <w:keepNext w:val="0"/>
        <w:keepLines w:val="0"/>
        <w:pageBreakBefore w:val="0"/>
        <w:kinsoku/>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五、开启</w:t>
      </w:r>
    </w:p>
    <w:p w14:paraId="62E366CE">
      <w:pPr>
        <w:pStyle w:val="6"/>
        <w:keepNext w:val="0"/>
        <w:keepLines w:val="0"/>
        <w:pageBreakBefore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时间：</w:t>
      </w: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lang w:val="zh-CN" w:eastAsia="zh-CN"/>
        </w:rPr>
        <w:t>年0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月</w:t>
      </w:r>
      <w:r>
        <w:rPr>
          <w:rFonts w:hint="eastAsia" w:ascii="宋体" w:hAnsi="宋体" w:eastAsia="宋体" w:cs="宋体"/>
          <w:color w:val="auto"/>
          <w:sz w:val="24"/>
          <w:szCs w:val="24"/>
          <w:highlight w:val="none"/>
          <w:lang w:val="en-US" w:eastAsia="zh-CN"/>
        </w:rPr>
        <w:t>06</w:t>
      </w:r>
      <w:r>
        <w:rPr>
          <w:rFonts w:hint="eastAsia" w:ascii="宋体" w:hAnsi="宋体" w:eastAsia="宋体" w:cs="宋体"/>
          <w:color w:val="auto"/>
          <w:sz w:val="24"/>
          <w:szCs w:val="24"/>
          <w:highlight w:val="none"/>
          <w:lang w:val="zh-CN" w:eastAsia="zh-CN"/>
        </w:rPr>
        <w:t>日</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lang w:val="zh-CN" w:eastAsia="zh-CN"/>
        </w:rPr>
        <w:t>时00分</w:t>
      </w:r>
      <w:r>
        <w:rPr>
          <w:rFonts w:hint="eastAsia" w:ascii="宋体" w:hAnsi="宋体" w:eastAsia="宋体" w:cs="宋体"/>
          <w:color w:val="auto"/>
          <w:sz w:val="24"/>
          <w:szCs w:val="24"/>
          <w:highlight w:val="none"/>
          <w:lang w:val="zh-CN" w:eastAsia="zh-CN"/>
        </w:rPr>
        <w:t>00秒（北京时间）</w:t>
      </w:r>
    </w:p>
    <w:p w14:paraId="704EB317">
      <w:pPr>
        <w:pStyle w:val="6"/>
        <w:keepNext w:val="0"/>
        <w:keepLines w:val="0"/>
        <w:pageBreakBefore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地点：</w:t>
      </w:r>
      <w:r>
        <w:rPr>
          <w:rFonts w:hint="eastAsia" w:ascii="宋体" w:hAnsi="宋体" w:eastAsia="宋体" w:cs="宋体"/>
          <w:highlight w:val="none"/>
        </w:rPr>
        <w:t>安康市公共资源交易中心不见面开标大厅</w:t>
      </w:r>
    </w:p>
    <w:p w14:paraId="5E4762D9">
      <w:pPr>
        <w:pStyle w:val="6"/>
        <w:keepNext w:val="0"/>
        <w:keepLines w:val="0"/>
        <w:pageBreakBefore w:val="0"/>
        <w:kinsoku/>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六、公告期限</w:t>
      </w:r>
    </w:p>
    <w:p w14:paraId="4239E739">
      <w:pPr>
        <w:pStyle w:val="6"/>
        <w:keepNext w:val="0"/>
        <w:keepLines w:val="0"/>
        <w:pageBreakBefore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自本公告发布之日起3个工作日。</w:t>
      </w:r>
    </w:p>
    <w:p w14:paraId="34797D3F">
      <w:pPr>
        <w:pStyle w:val="6"/>
        <w:keepNext w:val="0"/>
        <w:keepLines w:val="0"/>
        <w:pageBreakBefore w:val="0"/>
        <w:kinsoku/>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七、其他补充事宜</w:t>
      </w:r>
    </w:p>
    <w:p w14:paraId="18D9F61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融资平台：根据《陕西省财政厅关于加快推进我省中小企业政府采购信用融资工作的通知》陕财办采〔2020〕15号文件精神，有融资需求的投标人可根据自身情况，在陕西省政府采购信用融资平台（含各市分平台）自主选择金融机构及其融资产品，凭政府采购中标（成交）通知书或政府采购合同向金融机构提出融资申请。</w:t>
      </w:r>
    </w:p>
    <w:p w14:paraId="2955C18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2、磋商文件获取方式</w:t>
      </w:r>
    </w:p>
    <w:p w14:paraId="6C49B90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投标人应按《安康市公共资源交易中心关于投标企业和采购代理机构互联网注册办理CA数字证书的公告》要求办理CA数字证书。（2）投标人使用捆绑CA证书登录安康市公共资源交易中心（http://ak.sxggzyjy.cn/），选择电子交易平台中的陕西政府采购交易系统（http://www.sxggzyjy.cn:9002/TPBidder）进行登录，登录后选择“交易投标人”身份进入投标人界面进行报名。网络平台机构：安康市公共资源交易中心，联系方式：0915-2110976；使用捆绑省交易平台的CA锁登录电子交易平台，通过政府采购系统企业端进入，点击我要投标，完善相关投标信息。（3）电子竞争性磋商文件下载:供应商登录全国公共资源交易平台（陕西省）网站[电子交易平台-企业端]后，在[我的项目]中点击“项目流程-交易文件下载”下载电子采购文件（*.SXSZF）；注意：该项目如有变更文件，则应点击“项目流程&gt;答疑文件下载”下载更新后的电子采购文件（*.SXSCF），使用旧版电子采购文件制作的电子响应文件，系统将拒绝接收。（</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）未完成网上投标成功的或未在规定时间内在平台上下载竞争性磋商文件的，导致无法完成后续流程的责任自负。（</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eastAsia="zh-CN"/>
        </w:rPr>
        <w:t>）供应商须在开标前完成陕西省政府采购网入库，具体详见陕西省政府采购网《陕西省财政厅关于政府采购投标人注册登记有关事项的通知》。</w:t>
      </w:r>
    </w:p>
    <w:p w14:paraId="08334660">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w:t>
      </w:r>
      <w:r>
        <w:rPr>
          <w:rFonts w:hint="eastAsia" w:ascii="宋体" w:hAnsi="宋体" w:eastAsia="宋体" w:cs="宋体"/>
          <w:b/>
          <w:bCs/>
          <w:color w:val="auto"/>
          <w:kern w:val="2"/>
          <w:sz w:val="24"/>
          <w:szCs w:val="24"/>
          <w:highlight w:val="none"/>
        </w:rPr>
        <w:t>是否为专门面向中小企业采购：</w:t>
      </w:r>
      <w:r>
        <w:rPr>
          <w:rFonts w:hint="eastAsia" w:ascii="宋体" w:hAnsi="宋体" w:eastAsia="宋体" w:cs="宋体"/>
          <w:b/>
          <w:bCs/>
          <w:color w:val="auto"/>
          <w:kern w:val="2"/>
          <w:sz w:val="24"/>
          <w:szCs w:val="24"/>
          <w:highlight w:val="none"/>
          <w:lang w:eastAsia="zh-CN"/>
        </w:rPr>
        <w:t>是</w:t>
      </w:r>
    </w:p>
    <w:p w14:paraId="115417CA">
      <w:pPr>
        <w:pStyle w:val="6"/>
        <w:keepNext w:val="0"/>
        <w:keepLines w:val="0"/>
        <w:pageBreakBefore w:val="0"/>
        <w:kinsoku/>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八、对本次采购提出询问，请按以下方式联系。</w:t>
      </w:r>
      <w:r>
        <w:rPr>
          <w:rFonts w:hint="eastAsia" w:ascii="宋体" w:hAnsi="宋体" w:eastAsia="宋体" w:cs="宋体"/>
          <w:color w:val="auto"/>
          <w:sz w:val="24"/>
          <w:szCs w:val="24"/>
          <w:highlight w:val="none"/>
          <w:lang w:val="zh-CN" w:eastAsia="zh-CN"/>
        </w:rPr>
        <w:t xml:space="preserve"> </w:t>
      </w:r>
    </w:p>
    <w:p w14:paraId="787644BB">
      <w:pPr>
        <w:pStyle w:val="6"/>
        <w:keepNext w:val="0"/>
        <w:keepLines w:val="0"/>
        <w:pageBreakBefore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1、釆购人信息</w:t>
      </w:r>
    </w:p>
    <w:p w14:paraId="765D3678">
      <w:pPr>
        <w:pStyle w:val="6"/>
        <w:keepNext w:val="0"/>
        <w:keepLines w:val="0"/>
        <w:pageBreakBefore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名称：镇坪县住房和城乡建设局</w:t>
      </w:r>
    </w:p>
    <w:p w14:paraId="421F1D38">
      <w:pPr>
        <w:pStyle w:val="6"/>
        <w:keepNext w:val="0"/>
        <w:keepLines w:val="0"/>
        <w:pageBreakBefore w:val="0"/>
        <w:kinsoku/>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地址：</w:t>
      </w:r>
      <w:r>
        <w:rPr>
          <w:rFonts w:hint="eastAsia" w:ascii="宋体" w:hAnsi="宋体" w:eastAsia="宋体" w:cs="宋体"/>
          <w:color w:val="auto"/>
          <w:sz w:val="24"/>
          <w:szCs w:val="24"/>
          <w:highlight w:val="none"/>
          <w:lang w:val="en-US" w:eastAsia="zh-CN"/>
        </w:rPr>
        <w:t>安康市镇坪县文彩路与国新北路交叉口</w:t>
      </w:r>
    </w:p>
    <w:p w14:paraId="34D87EA4">
      <w:pPr>
        <w:pStyle w:val="6"/>
        <w:keepNext w:val="0"/>
        <w:keepLines w:val="0"/>
        <w:pageBreakBefore w:val="0"/>
        <w:kinsoku/>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联系方式：</w:t>
      </w:r>
      <w:r>
        <w:rPr>
          <w:rFonts w:hint="eastAsia" w:ascii="宋体" w:hAnsi="宋体" w:eastAsia="宋体" w:cs="宋体"/>
          <w:color w:val="auto"/>
          <w:sz w:val="24"/>
          <w:szCs w:val="24"/>
          <w:highlight w:val="none"/>
          <w:lang w:val="en-US" w:eastAsia="zh-CN"/>
        </w:rPr>
        <w:t>经办人15291501066</w:t>
      </w:r>
    </w:p>
    <w:p w14:paraId="2B6A3B56">
      <w:pPr>
        <w:pStyle w:val="6"/>
        <w:keepNext w:val="0"/>
        <w:keepLines w:val="0"/>
        <w:pageBreakBefore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2、釆购代理机构信息</w:t>
      </w:r>
    </w:p>
    <w:p w14:paraId="28D33304">
      <w:pPr>
        <w:pStyle w:val="6"/>
        <w:keepNext w:val="0"/>
        <w:keepLines w:val="0"/>
        <w:pageBreakBefore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名称：陕西华茂建设监理咨询有限公司</w:t>
      </w:r>
    </w:p>
    <w:p w14:paraId="47EB92A3">
      <w:pPr>
        <w:pStyle w:val="6"/>
        <w:keepNext w:val="0"/>
        <w:keepLines w:val="0"/>
        <w:pageBreakBefore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地址：陕西省安康市高新区博元幸福城5号楼1701室</w:t>
      </w:r>
    </w:p>
    <w:p w14:paraId="6D147590">
      <w:pPr>
        <w:pStyle w:val="6"/>
        <w:keepNext w:val="0"/>
        <w:keepLines w:val="0"/>
        <w:pageBreakBefore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联系方式：17691134841</w:t>
      </w:r>
    </w:p>
    <w:p w14:paraId="04414058">
      <w:pPr>
        <w:pStyle w:val="6"/>
        <w:keepNext w:val="0"/>
        <w:keepLines w:val="0"/>
        <w:pageBreakBefore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3、项目联系方式</w:t>
      </w:r>
    </w:p>
    <w:p w14:paraId="6A1B81AE">
      <w:pPr>
        <w:pStyle w:val="6"/>
        <w:keepNext w:val="0"/>
        <w:keepLines w:val="0"/>
        <w:pageBreakBefore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项目联系人：邓工</w:t>
      </w:r>
    </w:p>
    <w:p w14:paraId="4CEDBA87">
      <w:pPr>
        <w:pStyle w:val="6"/>
        <w:keepNext w:val="0"/>
        <w:keepLines w:val="0"/>
        <w:pageBreakBefore w:val="0"/>
        <w:kinsoku/>
        <w:overflowPunct/>
        <w:topLinePunct w:val="0"/>
        <w:autoSpaceDE/>
        <w:autoSpaceDN/>
        <w:bidi w:val="0"/>
        <w:adjustRightInd/>
        <w:snapToGrid/>
        <w:spacing w:line="480" w:lineRule="exact"/>
        <w:ind w:firstLine="480" w:firstLineChars="200"/>
        <w:textAlignment w:val="auto"/>
        <w:rPr>
          <w:rFonts w:hint="eastAsia" w:ascii="仿宋" w:hAnsi="仿宋" w:eastAsia="仿宋" w:cs="仿宋_GB2312"/>
          <w:b/>
          <w:bCs/>
          <w:color w:val="auto"/>
          <w:sz w:val="32"/>
          <w:szCs w:val="40"/>
          <w:highlight w:val="none"/>
          <w:lang w:val="en-US" w:eastAsia="zh-CN"/>
        </w:rPr>
      </w:pPr>
      <w:r>
        <w:rPr>
          <w:rFonts w:hint="eastAsia" w:ascii="宋体" w:hAnsi="宋体" w:eastAsia="宋体" w:cs="宋体"/>
          <w:color w:val="auto"/>
          <w:sz w:val="24"/>
          <w:szCs w:val="24"/>
          <w:highlight w:val="none"/>
          <w:lang w:val="zh-CN" w:eastAsia="zh-CN"/>
        </w:rPr>
        <w:t>电话：</w:t>
      </w:r>
      <w:bookmarkEnd w:id="4"/>
      <w:bookmarkEnd w:id="5"/>
      <w:bookmarkEnd w:id="6"/>
      <w:bookmarkEnd w:id="7"/>
      <w:bookmarkEnd w:id="8"/>
      <w:bookmarkEnd w:id="9"/>
      <w:bookmarkEnd w:id="10"/>
      <w:bookmarkEnd w:id="11"/>
      <w:bookmarkEnd w:id="12"/>
      <w:bookmarkEnd w:id="13"/>
      <w:bookmarkEnd w:id="14"/>
      <w:bookmarkEnd w:id="15"/>
      <w:bookmarkEnd w:id="16"/>
      <w:bookmarkEnd w:id="17"/>
      <w:bookmarkStart w:id="20" w:name="_Toc256342142"/>
      <w:bookmarkStart w:id="21" w:name="_Toc249515277"/>
      <w:bookmarkStart w:id="22" w:name="_Toc249525158"/>
      <w:bookmarkStart w:id="23" w:name="_Toc249515389"/>
      <w:bookmarkStart w:id="24" w:name="_Toc230013631"/>
      <w:bookmarkStart w:id="25" w:name="_Toc21126"/>
      <w:bookmarkStart w:id="26" w:name="_Toc31038"/>
      <w:bookmarkStart w:id="27" w:name="_Toc230583540"/>
      <w:bookmarkStart w:id="28" w:name="_Toc232176271"/>
      <w:bookmarkStart w:id="29" w:name="_Toc184043011"/>
      <w:bookmarkStart w:id="30" w:name="_Toc230099796"/>
      <w:bookmarkStart w:id="31" w:name="_Toc58504446"/>
      <w:bookmarkStart w:id="32" w:name="_Toc415499895"/>
      <w:bookmarkStart w:id="33" w:name="_Toc232395211"/>
      <w:bookmarkStart w:id="34" w:name="_Toc500747061"/>
      <w:bookmarkStart w:id="35" w:name="_Toc500746965"/>
      <w:bookmarkStart w:id="36" w:name="_Toc176882542"/>
      <w:bookmarkStart w:id="37" w:name="_Toc232176272"/>
      <w:bookmarkStart w:id="38" w:name="_Toc249515390"/>
      <w:bookmarkStart w:id="39" w:name="_Toc499711883"/>
      <w:bookmarkStart w:id="40" w:name="_Toc177189235"/>
      <w:bookmarkStart w:id="41" w:name="_Toc503063421"/>
      <w:bookmarkStart w:id="42" w:name="_Toc256342143"/>
      <w:bookmarkStart w:id="43" w:name="_Toc177817334"/>
      <w:bookmarkStart w:id="44" w:name="_Toc496324578"/>
      <w:bookmarkStart w:id="45" w:name="_Toc230099797"/>
      <w:bookmarkStart w:id="46" w:name="_Toc232395212"/>
      <w:bookmarkStart w:id="47" w:name="_Toc184043012"/>
      <w:bookmarkStart w:id="48" w:name="_Toc492955414"/>
      <w:bookmarkStart w:id="49" w:name="_Toc500747188"/>
      <w:bookmarkStart w:id="50" w:name="_Toc230583541"/>
      <w:bookmarkStart w:id="51" w:name="_Toc249515278"/>
      <w:bookmarkStart w:id="52" w:name="_Toc499711042"/>
      <w:bookmarkStart w:id="53" w:name="_Toc53722840"/>
      <w:bookmarkStart w:id="54" w:name="_Toc70687139"/>
      <w:bookmarkStart w:id="55" w:name="_Toc177995473"/>
      <w:bookmarkStart w:id="56" w:name="_Toc230013632"/>
      <w:bookmarkStart w:id="57" w:name="_Toc249525159"/>
      <w:r>
        <w:rPr>
          <w:rFonts w:hint="eastAsia" w:ascii="宋体" w:hAnsi="宋体" w:eastAsia="宋体" w:cs="宋体"/>
          <w:color w:val="auto"/>
          <w:sz w:val="24"/>
          <w:szCs w:val="24"/>
          <w:highlight w:val="none"/>
          <w:lang w:val="zh-CN" w:eastAsia="zh-CN"/>
        </w:rPr>
        <w:t>17691134841</w:t>
      </w:r>
    </w:p>
    <w:p w14:paraId="21489822">
      <w:pPr>
        <w:rPr>
          <w:rFonts w:hint="eastAsia" w:ascii="宋体" w:hAnsi="宋体" w:eastAsia="宋体" w:cs="宋体"/>
          <w:b/>
          <w:bCs/>
          <w:color w:val="auto"/>
          <w:sz w:val="32"/>
          <w:szCs w:val="40"/>
          <w:highlight w:val="none"/>
          <w:lang w:val="en-US" w:eastAsia="zh-CN"/>
        </w:rPr>
      </w:pPr>
      <w:r>
        <w:rPr>
          <w:rFonts w:hint="eastAsia" w:ascii="宋体" w:hAnsi="宋体" w:eastAsia="宋体" w:cs="宋体"/>
          <w:b/>
          <w:bCs/>
          <w:color w:val="auto"/>
          <w:sz w:val="32"/>
          <w:szCs w:val="40"/>
          <w:highlight w:val="none"/>
          <w:lang w:val="en-US" w:eastAsia="zh-CN"/>
        </w:rPr>
        <w:br w:type="page"/>
      </w:r>
    </w:p>
    <w:p w14:paraId="26CEC553">
      <w:pPr>
        <w:pStyle w:val="6"/>
        <w:numPr>
          <w:ilvl w:val="0"/>
          <w:numId w:val="0"/>
        </w:numPr>
        <w:ind w:leftChars="0" w:firstLine="3213" w:firstLineChars="1000"/>
        <w:rPr>
          <w:rFonts w:hint="eastAsia" w:ascii="宋体" w:hAnsi="宋体" w:eastAsia="宋体" w:cs="宋体"/>
          <w:b/>
          <w:bCs/>
          <w:color w:val="auto"/>
          <w:sz w:val="32"/>
          <w:szCs w:val="40"/>
          <w:highlight w:val="none"/>
        </w:rPr>
      </w:pPr>
      <w:r>
        <w:rPr>
          <w:rFonts w:hint="eastAsia" w:ascii="宋体" w:hAnsi="宋体" w:eastAsia="宋体" w:cs="宋体"/>
          <w:b/>
          <w:bCs/>
          <w:color w:val="auto"/>
          <w:sz w:val="32"/>
          <w:szCs w:val="40"/>
          <w:highlight w:val="none"/>
          <w:lang w:val="en-US" w:eastAsia="zh-CN"/>
        </w:rPr>
        <w:t xml:space="preserve">第二章 </w:t>
      </w:r>
      <w:r>
        <w:rPr>
          <w:rFonts w:hint="eastAsia" w:ascii="宋体" w:hAnsi="宋体" w:eastAsia="宋体" w:cs="宋体"/>
          <w:b/>
          <w:bCs/>
          <w:color w:val="auto"/>
          <w:sz w:val="32"/>
          <w:szCs w:val="40"/>
          <w:highlight w:val="none"/>
        </w:rPr>
        <w:t xml:space="preserve"> 供应商须知</w:t>
      </w:r>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22225275">
      <w:pPr>
        <w:keepNext w:val="0"/>
        <w:keepLines w:val="0"/>
        <w:pageBreakBefore w:val="0"/>
        <w:widowControl w:val="0"/>
        <w:numPr>
          <w:ilvl w:val="0"/>
          <w:numId w:val="0"/>
        </w:numPr>
        <w:kinsoku/>
        <w:wordWrap/>
        <w:overflowPunct/>
        <w:topLinePunct w:val="0"/>
        <w:bidi w:val="0"/>
        <w:spacing w:line="480" w:lineRule="exact"/>
        <w:ind w:leftChars="0" w:firstLine="0" w:firstLineChars="0"/>
        <w:textAlignment w:val="auto"/>
        <w:rPr>
          <w:rFonts w:hint="eastAsia" w:ascii="宋体" w:hAnsi="宋体" w:eastAsia="宋体" w:cs="宋体"/>
          <w:sz w:val="24"/>
          <w:szCs w:val="24"/>
          <w:highlight w:val="none"/>
          <w:lang w:val="en-US" w:eastAsia="zh-CN"/>
        </w:rPr>
      </w:pPr>
      <w:r>
        <w:rPr>
          <w:rFonts w:hint="eastAsia"/>
          <w:highlight w:val="none"/>
          <w:lang w:val="en-US" w:eastAsia="zh-CN"/>
        </w:rPr>
        <w:t xml:space="preserve">                              </w:t>
      </w:r>
      <w:r>
        <w:rPr>
          <w:rFonts w:hint="eastAsia" w:ascii="仿宋" w:hAnsi="仿宋" w:eastAsia="仿宋" w:cs="仿宋"/>
          <w:sz w:val="28"/>
          <w:szCs w:val="36"/>
          <w:highlight w:val="none"/>
          <w:lang w:val="en-US" w:eastAsia="zh-CN"/>
        </w:rPr>
        <w:t xml:space="preserve"> </w:t>
      </w:r>
      <w:r>
        <w:rPr>
          <w:rFonts w:hint="eastAsia" w:ascii="宋体" w:hAnsi="宋体" w:eastAsia="宋体" w:cs="宋体"/>
          <w:sz w:val="24"/>
          <w:szCs w:val="24"/>
          <w:highlight w:val="none"/>
          <w:lang w:val="en-US" w:eastAsia="zh-CN"/>
        </w:rPr>
        <w:t>（一）供应商须知前附表</w:t>
      </w:r>
    </w:p>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14:paraId="12F7479A">
      <w:pPr>
        <w:keepNext w:val="0"/>
        <w:keepLines w:val="0"/>
        <w:pageBreakBefore w:val="0"/>
        <w:widowControl w:val="0"/>
        <w:kinsoku/>
        <w:wordWrap/>
        <w:overflowPunct/>
        <w:topLinePunct w:val="0"/>
        <w:bidi w:val="0"/>
        <w:spacing w:line="480" w:lineRule="exact"/>
        <w:ind w:firstLine="0" w:firstLineChars="0"/>
        <w:jc w:val="both"/>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本表是对供应商须知的具体补充和修改，如有矛盾，均以本表为准。</w:t>
      </w:r>
    </w:p>
    <w:bookmarkEnd w:id="18"/>
    <w:tbl>
      <w:tblPr>
        <w:tblStyle w:val="17"/>
        <w:tblW w:w="9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8737"/>
      </w:tblGrid>
      <w:tr w14:paraId="234C6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blHeader/>
          <w:jc w:val="center"/>
        </w:trPr>
        <w:tc>
          <w:tcPr>
            <w:tcW w:w="1194" w:type="dxa"/>
            <w:vAlign w:val="center"/>
          </w:tcPr>
          <w:p w14:paraId="188EB5DD">
            <w:pPr>
              <w:pStyle w:val="8"/>
              <w:keepNext w:val="0"/>
              <w:keepLines w:val="0"/>
              <w:pageBreakBefore w:val="0"/>
              <w:widowControl w:val="0"/>
              <w:kinsoku/>
              <w:wordWrap/>
              <w:overflowPunct/>
              <w:topLinePunct w:val="0"/>
              <w:bidi w:val="0"/>
              <w:adjustRightInd w:val="0"/>
              <w:snapToGrid w:val="0"/>
              <w:spacing w:line="480" w:lineRule="exact"/>
              <w:ind w:firstLine="0" w:firstLineChars="0"/>
              <w:jc w:val="both"/>
              <w:textAlignment w:val="auto"/>
              <w:rPr>
                <w:rFonts w:hint="eastAsia" w:ascii="宋体" w:hAnsi="宋体" w:eastAsia="宋体" w:cs="宋体"/>
                <w:b/>
                <w:color w:val="auto"/>
                <w:sz w:val="24"/>
                <w:szCs w:val="24"/>
                <w:highlight w:val="none"/>
              </w:rPr>
            </w:pPr>
            <w:bookmarkStart w:id="58" w:name="_Hlt14560610"/>
            <w:bookmarkEnd w:id="58"/>
            <w:bookmarkStart w:id="59" w:name="_Toc499711044"/>
            <w:bookmarkStart w:id="60" w:name="_Toc492955416"/>
            <w:bookmarkStart w:id="61" w:name="_Toc503063423"/>
            <w:bookmarkStart w:id="62" w:name="_Toc389620165"/>
            <w:bookmarkStart w:id="63" w:name="_Toc500747190"/>
            <w:bookmarkStart w:id="64" w:name="_Toc385992326"/>
            <w:bookmarkStart w:id="65" w:name="_Toc496324580"/>
            <w:bookmarkStart w:id="66" w:name="_Toc500746967"/>
            <w:bookmarkStart w:id="67" w:name="_Toc499711885"/>
            <w:bookmarkStart w:id="68" w:name="_Toc500747063"/>
            <w:r>
              <w:rPr>
                <w:rFonts w:hint="eastAsia" w:ascii="宋体" w:hAnsi="宋体" w:eastAsia="宋体" w:cs="宋体"/>
                <w:b/>
                <w:color w:val="auto"/>
                <w:sz w:val="24"/>
                <w:szCs w:val="24"/>
                <w:highlight w:val="none"/>
              </w:rPr>
              <w:t>条款号</w:t>
            </w:r>
          </w:p>
        </w:tc>
        <w:tc>
          <w:tcPr>
            <w:tcW w:w="8737" w:type="dxa"/>
            <w:vAlign w:val="center"/>
          </w:tcPr>
          <w:p w14:paraId="09FDA355">
            <w:pPr>
              <w:pStyle w:val="8"/>
              <w:keepNext w:val="0"/>
              <w:keepLines w:val="0"/>
              <w:pageBreakBefore w:val="0"/>
              <w:widowControl w:val="0"/>
              <w:kinsoku/>
              <w:wordWrap/>
              <w:overflowPunct/>
              <w:topLinePunct w:val="0"/>
              <w:bidi w:val="0"/>
              <w:adjustRightInd w:val="0"/>
              <w:snapToGrid w:val="0"/>
              <w:spacing w:line="480" w:lineRule="exact"/>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内容说明</w:t>
            </w:r>
          </w:p>
        </w:tc>
      </w:tr>
      <w:tr w14:paraId="56DDD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jc w:val="center"/>
        </w:trPr>
        <w:tc>
          <w:tcPr>
            <w:tcW w:w="1194" w:type="dxa"/>
            <w:vAlign w:val="center"/>
          </w:tcPr>
          <w:p w14:paraId="5AB969A6">
            <w:pPr>
              <w:pStyle w:val="8"/>
              <w:keepNext w:val="0"/>
              <w:keepLines w:val="0"/>
              <w:pageBreakBefore w:val="0"/>
              <w:widowControl w:val="0"/>
              <w:kinsoku/>
              <w:wordWrap/>
              <w:overflowPunct/>
              <w:topLinePunct w:val="0"/>
              <w:bidi w:val="0"/>
              <w:adjustRightInd w:val="0"/>
              <w:snapToGrid w:val="0"/>
              <w:spacing w:line="48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8737" w:type="dxa"/>
            <w:vAlign w:val="center"/>
          </w:tcPr>
          <w:p w14:paraId="4F5BACD2">
            <w:pPr>
              <w:pStyle w:val="8"/>
              <w:keepNext w:val="0"/>
              <w:keepLines w:val="0"/>
              <w:pageBreakBefore w:val="0"/>
              <w:widowControl w:val="0"/>
              <w:kinsoku/>
              <w:wordWrap/>
              <w:overflowPunct/>
              <w:topLinePunct w:val="0"/>
              <w:bidi w:val="0"/>
              <w:adjustRightInd w:val="0"/>
              <w:snapToGrid w:val="0"/>
              <w:spacing w:line="480" w:lineRule="exact"/>
              <w:ind w:firstLine="0" w:firstLineChars="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项目名称：</w:t>
            </w:r>
            <w:r>
              <w:rPr>
                <w:rFonts w:hint="eastAsia" w:hAnsi="宋体" w:eastAsia="宋体" w:cs="宋体"/>
                <w:color w:val="auto"/>
                <w:sz w:val="24"/>
                <w:szCs w:val="24"/>
                <w:highlight w:val="none"/>
                <w:lang w:val="zh-CN" w:eastAsia="zh-CN"/>
              </w:rPr>
              <w:t>镇坪县柿子树坪燃气等管网更新改造项目工程监理</w:t>
            </w:r>
          </w:p>
          <w:p w14:paraId="12548124">
            <w:pPr>
              <w:pStyle w:val="8"/>
              <w:keepNext w:val="0"/>
              <w:keepLines w:val="0"/>
              <w:pageBreakBefore w:val="0"/>
              <w:widowControl w:val="0"/>
              <w:kinsoku/>
              <w:wordWrap/>
              <w:overflowPunct/>
              <w:topLinePunct w:val="0"/>
              <w:bidi w:val="0"/>
              <w:adjustRightInd w:val="0"/>
              <w:snapToGrid w:val="0"/>
              <w:spacing w:line="480" w:lineRule="exact"/>
              <w:ind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val="zh-CN" w:eastAsia="zh-CN"/>
              </w:rPr>
              <w:t>SHMCGAK(2025)第05号</w:t>
            </w:r>
          </w:p>
          <w:p w14:paraId="7011E859">
            <w:pPr>
              <w:pStyle w:val="8"/>
              <w:keepNext w:val="0"/>
              <w:keepLines w:val="0"/>
              <w:pageBreakBefore w:val="0"/>
              <w:widowControl w:val="0"/>
              <w:kinsoku/>
              <w:wordWrap/>
              <w:overflowPunct/>
              <w:topLinePunct w:val="0"/>
              <w:bidi w:val="0"/>
              <w:adjustRightInd w:val="0"/>
              <w:snapToGrid w:val="0"/>
              <w:spacing w:line="48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w:t>
            </w:r>
            <w:r>
              <w:rPr>
                <w:rFonts w:hint="eastAsia" w:hAnsi="宋体" w:eastAsia="宋体" w:cs="宋体"/>
                <w:color w:val="auto"/>
                <w:sz w:val="24"/>
                <w:szCs w:val="24"/>
                <w:highlight w:val="none"/>
                <w:lang w:val="en-US" w:eastAsia="zh-CN"/>
              </w:rPr>
              <w:t>504000.00</w:t>
            </w:r>
            <w:r>
              <w:rPr>
                <w:rFonts w:hint="eastAsia" w:ascii="宋体" w:hAnsi="宋体" w:eastAsia="宋体" w:cs="宋体"/>
                <w:color w:val="auto"/>
                <w:sz w:val="24"/>
                <w:szCs w:val="24"/>
                <w:highlight w:val="none"/>
              </w:rPr>
              <w:t>元</w:t>
            </w:r>
          </w:p>
          <w:p w14:paraId="091E60FB">
            <w:pPr>
              <w:pStyle w:val="8"/>
              <w:keepNext w:val="0"/>
              <w:keepLines w:val="0"/>
              <w:pageBreakBefore w:val="0"/>
              <w:widowControl w:val="0"/>
              <w:kinsoku/>
              <w:wordWrap/>
              <w:overflowPunct/>
              <w:topLinePunct w:val="0"/>
              <w:bidi w:val="0"/>
              <w:adjustRightInd w:val="0"/>
              <w:snapToGrid w:val="0"/>
              <w:spacing w:line="48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采购方式：竞争性磋商</w:t>
            </w:r>
          </w:p>
          <w:p w14:paraId="502AAE4B">
            <w:pPr>
              <w:pStyle w:val="8"/>
              <w:keepNext w:val="0"/>
              <w:keepLines w:val="0"/>
              <w:pageBreakBefore w:val="0"/>
              <w:widowControl w:val="0"/>
              <w:kinsoku/>
              <w:wordWrap/>
              <w:overflowPunct/>
              <w:topLinePunct w:val="0"/>
              <w:bidi w:val="0"/>
              <w:adjustRightInd w:val="0"/>
              <w:snapToGrid w:val="0"/>
              <w:spacing w:line="48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采购内容：详见本磋商文件第五章</w:t>
            </w:r>
          </w:p>
        </w:tc>
      </w:tr>
      <w:tr w14:paraId="7E0B5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194" w:type="dxa"/>
            <w:vAlign w:val="center"/>
          </w:tcPr>
          <w:p w14:paraId="11D0B22F">
            <w:pPr>
              <w:pStyle w:val="8"/>
              <w:keepNext w:val="0"/>
              <w:keepLines w:val="0"/>
              <w:pageBreakBefore w:val="0"/>
              <w:widowControl w:val="0"/>
              <w:kinsoku/>
              <w:wordWrap/>
              <w:overflowPunct/>
              <w:topLinePunct w:val="0"/>
              <w:bidi w:val="0"/>
              <w:adjustRightInd w:val="0"/>
              <w:snapToGrid w:val="0"/>
              <w:spacing w:line="48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8737" w:type="dxa"/>
            <w:vAlign w:val="center"/>
          </w:tcPr>
          <w:p w14:paraId="2C73CA7F">
            <w:pPr>
              <w:pStyle w:val="8"/>
              <w:keepNext w:val="0"/>
              <w:keepLines w:val="0"/>
              <w:pageBreakBefore w:val="0"/>
              <w:widowControl w:val="0"/>
              <w:kinsoku/>
              <w:wordWrap/>
              <w:overflowPunct/>
              <w:topLinePunct w:val="0"/>
              <w:bidi w:val="0"/>
              <w:adjustRightInd w:val="0"/>
              <w:snapToGrid w:val="0"/>
              <w:spacing w:line="480" w:lineRule="exact"/>
              <w:ind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采购人：</w:t>
            </w:r>
            <w:r>
              <w:rPr>
                <w:rFonts w:hint="eastAsia" w:hAnsi="宋体" w:eastAsia="宋体" w:cs="宋体"/>
                <w:color w:val="auto"/>
                <w:sz w:val="24"/>
                <w:szCs w:val="24"/>
                <w:highlight w:val="none"/>
                <w:lang w:eastAsia="zh-CN"/>
              </w:rPr>
              <w:t>镇坪县住房和城乡建设局</w:t>
            </w:r>
          </w:p>
        </w:tc>
      </w:tr>
      <w:tr w14:paraId="36DAC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194" w:type="dxa"/>
            <w:vAlign w:val="center"/>
          </w:tcPr>
          <w:p w14:paraId="402C28A0">
            <w:pPr>
              <w:pStyle w:val="8"/>
              <w:keepNext w:val="0"/>
              <w:keepLines w:val="0"/>
              <w:pageBreakBefore w:val="0"/>
              <w:widowControl w:val="0"/>
              <w:kinsoku/>
              <w:wordWrap/>
              <w:overflowPunct/>
              <w:topLinePunct w:val="0"/>
              <w:bidi w:val="0"/>
              <w:adjustRightInd w:val="0"/>
              <w:snapToGrid w:val="0"/>
              <w:spacing w:line="48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8737" w:type="dxa"/>
            <w:vAlign w:val="center"/>
          </w:tcPr>
          <w:p w14:paraId="6C52040E">
            <w:pPr>
              <w:pStyle w:val="8"/>
              <w:keepNext w:val="0"/>
              <w:keepLines w:val="0"/>
              <w:pageBreakBefore w:val="0"/>
              <w:widowControl w:val="0"/>
              <w:kinsoku/>
              <w:wordWrap/>
              <w:overflowPunct/>
              <w:topLinePunct w:val="0"/>
              <w:bidi w:val="0"/>
              <w:adjustRightInd w:val="0"/>
              <w:snapToGrid w:val="0"/>
              <w:spacing w:line="48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w:t>
            </w:r>
            <w:r>
              <w:rPr>
                <w:rFonts w:hint="eastAsia" w:ascii="宋体" w:hAnsi="宋体" w:eastAsia="宋体" w:cs="宋体"/>
                <w:color w:val="auto"/>
                <w:sz w:val="24"/>
                <w:szCs w:val="24"/>
                <w:highlight w:val="none"/>
                <w:lang w:val="zh-CN" w:eastAsia="zh-CN"/>
              </w:rPr>
              <w:t>陕西华茂建设监理咨询有限公司</w:t>
            </w:r>
          </w:p>
        </w:tc>
      </w:tr>
      <w:tr w14:paraId="1E1D5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4" w:type="dxa"/>
            <w:vAlign w:val="center"/>
          </w:tcPr>
          <w:p w14:paraId="1B62EDF1">
            <w:pPr>
              <w:pStyle w:val="8"/>
              <w:keepNext w:val="0"/>
              <w:keepLines w:val="0"/>
              <w:pageBreakBefore w:val="0"/>
              <w:widowControl w:val="0"/>
              <w:kinsoku/>
              <w:wordWrap/>
              <w:overflowPunct/>
              <w:topLinePunct w:val="0"/>
              <w:bidi w:val="0"/>
              <w:adjustRightInd w:val="0"/>
              <w:snapToGrid w:val="0"/>
              <w:spacing w:line="48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p>
        </w:tc>
        <w:tc>
          <w:tcPr>
            <w:tcW w:w="8737" w:type="dxa"/>
            <w:vAlign w:val="center"/>
          </w:tcPr>
          <w:p w14:paraId="6E4C2113">
            <w:pPr>
              <w:pStyle w:val="8"/>
              <w:keepNext w:val="0"/>
              <w:keepLines w:val="0"/>
              <w:pageBreakBefore w:val="0"/>
              <w:widowControl w:val="0"/>
              <w:kinsoku/>
              <w:wordWrap/>
              <w:overflowPunct/>
              <w:topLinePunct w:val="0"/>
              <w:bidi w:val="0"/>
              <w:adjustRightInd w:val="0"/>
              <w:snapToGrid w:val="0"/>
              <w:spacing w:line="48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邀请供应商的方式：发布磋商公告</w:t>
            </w:r>
          </w:p>
        </w:tc>
      </w:tr>
      <w:tr w14:paraId="0CEED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194" w:type="dxa"/>
            <w:vAlign w:val="center"/>
          </w:tcPr>
          <w:p w14:paraId="2B2F3059">
            <w:pPr>
              <w:pStyle w:val="8"/>
              <w:keepNext w:val="0"/>
              <w:keepLines w:val="0"/>
              <w:pageBreakBefore w:val="0"/>
              <w:widowControl w:val="0"/>
              <w:kinsoku/>
              <w:wordWrap/>
              <w:overflowPunct/>
              <w:topLinePunct w:val="0"/>
              <w:bidi w:val="0"/>
              <w:adjustRightInd w:val="0"/>
              <w:snapToGrid w:val="0"/>
              <w:spacing w:line="48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p>
        </w:tc>
        <w:tc>
          <w:tcPr>
            <w:tcW w:w="8737" w:type="dxa"/>
            <w:vAlign w:val="center"/>
          </w:tcPr>
          <w:p w14:paraId="06D2F5FD">
            <w:pPr>
              <w:pStyle w:val="6"/>
              <w:keepNext w:val="0"/>
              <w:keepLines w:val="0"/>
              <w:pageBreakBefore w:val="0"/>
              <w:widowControl w:val="0"/>
              <w:kinsoku/>
              <w:wordWrap/>
              <w:overflowPunct/>
              <w:topLinePunct w:val="0"/>
              <w:bidi w:val="0"/>
              <w:spacing w:line="48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对供应商的资格要求：</w:t>
            </w:r>
          </w:p>
          <w:p w14:paraId="56E94321">
            <w:pPr>
              <w:pStyle w:val="6"/>
              <w:keepNext w:val="0"/>
              <w:keepLines w:val="0"/>
              <w:pageBreakBefore w:val="0"/>
              <w:widowControl w:val="0"/>
              <w:kinsoku/>
              <w:wordWrap/>
              <w:overflowPunct/>
              <w:topLinePunct w:val="0"/>
              <w:bidi w:val="0"/>
              <w:spacing w:line="48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1、基本资格条件：符合《中华人民共和国政府采购法》第二十二条的规定；</w:t>
            </w:r>
          </w:p>
          <w:p w14:paraId="28B0C0CE">
            <w:pPr>
              <w:pStyle w:val="6"/>
              <w:keepNext w:val="0"/>
              <w:keepLines w:val="0"/>
              <w:pageBreakBefore w:val="0"/>
              <w:widowControl w:val="0"/>
              <w:kinsoku/>
              <w:wordWrap/>
              <w:overflowPunct/>
              <w:topLinePunct w:val="0"/>
              <w:bidi w:val="0"/>
              <w:spacing w:line="48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2、特定资格条件：</w:t>
            </w:r>
          </w:p>
          <w:p w14:paraId="66F00D9F">
            <w:pPr>
              <w:pStyle w:val="6"/>
              <w:keepNext w:val="0"/>
              <w:keepLines w:val="0"/>
              <w:pageBreakBefore w:val="0"/>
              <w:widowControl w:val="0"/>
              <w:kinsoku/>
              <w:wordWrap/>
              <w:overflowPunct/>
              <w:topLinePunct w:val="0"/>
              <w:bidi w:val="0"/>
              <w:spacing w:line="48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1、具有独立承担民事责任能力的法人、其他组织或自然人，提供合法有效的营业执照/事业单位法人证书/专业服务机构执业许可证/民办非企业单位登记证书等相关证明，自然人参与的提供其身份证明；</w:t>
            </w:r>
          </w:p>
          <w:p w14:paraId="7F378C88">
            <w:pPr>
              <w:pStyle w:val="6"/>
              <w:keepNext w:val="0"/>
              <w:keepLines w:val="0"/>
              <w:pageBreakBefore w:val="0"/>
              <w:widowControl w:val="0"/>
              <w:kinsoku/>
              <w:wordWrap/>
              <w:overflowPunct/>
              <w:topLinePunct w:val="0"/>
              <w:bidi w:val="0"/>
              <w:spacing w:line="48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2、法定代表人参加投标时，提供本人身份证复印件；授权代表参加投标时，提供法定代表人授权委托书、法定代表人和被授权人身份证复印件；</w:t>
            </w:r>
          </w:p>
          <w:p w14:paraId="32F8D801">
            <w:pPr>
              <w:pStyle w:val="6"/>
              <w:keepNext w:val="0"/>
              <w:keepLines w:val="0"/>
              <w:pageBreakBefore w:val="0"/>
              <w:widowControl w:val="0"/>
              <w:kinsoku/>
              <w:wordWrap/>
              <w:overflowPunct/>
              <w:topLinePunct w:val="0"/>
              <w:bidi w:val="0"/>
              <w:spacing w:line="48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3、本次磋商要求供应商具有国家建设行政主管部门颁发的市政公用工程监理乙级及以上资质，拟派总监理工程师具备市政公用工程专业国家注册监理工程师资格证 书，且在本单位注册；</w:t>
            </w:r>
          </w:p>
          <w:p w14:paraId="1CD08495">
            <w:pPr>
              <w:pStyle w:val="6"/>
              <w:keepNext w:val="0"/>
              <w:keepLines w:val="0"/>
              <w:pageBreakBefore w:val="0"/>
              <w:widowControl w:val="0"/>
              <w:kinsoku/>
              <w:wordWrap/>
              <w:overflowPunct/>
              <w:topLinePunct w:val="0"/>
              <w:bidi w:val="0"/>
              <w:spacing w:line="48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4、参加本次政府采购活动前三年内在经营活动中没有重大违纪，以及未被列入失信被执行人、重大税收违法案件当事人名单、政府采购严重违法失信行为记录名单的书面声明；</w:t>
            </w:r>
          </w:p>
          <w:p w14:paraId="5FF48CD2">
            <w:pPr>
              <w:pStyle w:val="6"/>
              <w:keepNext w:val="0"/>
              <w:keepLines w:val="0"/>
              <w:pageBreakBefore w:val="0"/>
              <w:widowControl w:val="0"/>
              <w:kinsoku/>
              <w:wordWrap/>
              <w:overflowPunct/>
              <w:topLinePunct w:val="0"/>
              <w:bidi w:val="0"/>
              <w:spacing w:line="48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5、供应商通过“信用中国”网站(www.creditchina.gov.cn)和中国政府采购网(www.ccgp.gov.cn)等渠道查询相关主体信用记录，对列入失信被执行人、重大税收违法案件当事人名单、政府采购严重违法失信行为记录名单的供应商，将拒绝其参与政府采购活动；</w:t>
            </w:r>
          </w:p>
          <w:p w14:paraId="3D1D4988">
            <w:pPr>
              <w:pStyle w:val="6"/>
              <w:keepNext w:val="0"/>
              <w:keepLines w:val="0"/>
              <w:pageBreakBefore w:val="0"/>
              <w:widowControl w:val="0"/>
              <w:kinsoku/>
              <w:wordWrap/>
              <w:overflowPunct/>
              <w:topLinePunct w:val="0"/>
              <w:bidi w:val="0"/>
              <w:spacing w:line="48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6、有依法缴纳税收和社会保障资金的良好记录（提供供应商近六个月任何一个月缴税证明和社会保障资金缴纳证明或免缴纳证明）。</w:t>
            </w:r>
          </w:p>
          <w:p w14:paraId="477894B4">
            <w:pPr>
              <w:pStyle w:val="6"/>
              <w:keepNext w:val="0"/>
              <w:keepLines w:val="0"/>
              <w:pageBreakBefore w:val="0"/>
              <w:widowControl w:val="0"/>
              <w:kinsoku/>
              <w:wordWrap/>
              <w:overflowPunct/>
              <w:topLinePunct w:val="0"/>
              <w:bidi w:val="0"/>
              <w:spacing w:line="480" w:lineRule="exact"/>
              <w:ind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7、供应商应提供中小企业声明函（供应商为残疾人福利性单位的，提供《残疾人福利性单位声明函》；供应商为监狱企业的，提供由省级以上监狱管理局、戒毒管理局（含新疆生产建设兵团）出具的属于监狱企业的证明文件）。</w:t>
            </w:r>
          </w:p>
        </w:tc>
      </w:tr>
      <w:tr w14:paraId="0C2A6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194" w:type="dxa"/>
            <w:vAlign w:val="center"/>
          </w:tcPr>
          <w:p w14:paraId="2A76E3F2">
            <w:pPr>
              <w:pStyle w:val="8"/>
              <w:keepNext w:val="0"/>
              <w:keepLines w:val="0"/>
              <w:pageBreakBefore w:val="0"/>
              <w:widowControl w:val="0"/>
              <w:kinsoku/>
              <w:wordWrap/>
              <w:overflowPunct/>
              <w:topLinePunct w:val="0"/>
              <w:bidi w:val="0"/>
              <w:adjustRightInd w:val="0"/>
              <w:snapToGrid w:val="0"/>
              <w:spacing w:line="48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p>
        </w:tc>
        <w:tc>
          <w:tcPr>
            <w:tcW w:w="8737" w:type="dxa"/>
            <w:vAlign w:val="center"/>
          </w:tcPr>
          <w:p w14:paraId="344E327C">
            <w:pPr>
              <w:pStyle w:val="28"/>
              <w:keepNext w:val="0"/>
              <w:keepLines w:val="0"/>
              <w:pageBreakBefore w:val="0"/>
              <w:widowControl w:val="0"/>
              <w:kinsoku/>
              <w:wordWrap/>
              <w:overflowPunct/>
              <w:topLinePunct w:val="0"/>
              <w:bidi w:val="0"/>
              <w:spacing w:line="480" w:lineRule="exact"/>
              <w:ind w:firstLine="0" w:firstLineChars="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是否允许联合体磋商：否</w:t>
            </w:r>
          </w:p>
        </w:tc>
      </w:tr>
      <w:tr w14:paraId="1D0D5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194" w:type="dxa"/>
            <w:vAlign w:val="center"/>
          </w:tcPr>
          <w:p w14:paraId="7E40F5C3">
            <w:pPr>
              <w:pStyle w:val="8"/>
              <w:keepNext w:val="0"/>
              <w:keepLines w:val="0"/>
              <w:pageBreakBefore w:val="0"/>
              <w:widowControl w:val="0"/>
              <w:kinsoku/>
              <w:wordWrap/>
              <w:overflowPunct/>
              <w:topLinePunct w:val="0"/>
              <w:bidi w:val="0"/>
              <w:adjustRightInd w:val="0"/>
              <w:snapToGrid w:val="0"/>
              <w:spacing w:line="48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p>
        </w:tc>
        <w:tc>
          <w:tcPr>
            <w:tcW w:w="8737" w:type="dxa"/>
            <w:vAlign w:val="center"/>
          </w:tcPr>
          <w:p w14:paraId="16564C00">
            <w:pPr>
              <w:pStyle w:val="28"/>
              <w:keepNext w:val="0"/>
              <w:keepLines w:val="0"/>
              <w:pageBreakBefore w:val="0"/>
              <w:widowControl w:val="0"/>
              <w:kinsoku/>
              <w:wordWrap/>
              <w:overflowPunct/>
              <w:topLinePunct w:val="0"/>
              <w:bidi w:val="0"/>
              <w:spacing w:line="480" w:lineRule="exact"/>
              <w:ind w:firstLine="0" w:firstLineChars="0"/>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是否为专门面向中小企业采购：</w:t>
            </w:r>
            <w:r>
              <w:rPr>
                <w:rFonts w:hint="eastAsia" w:ascii="宋体" w:hAnsi="宋体" w:eastAsia="宋体" w:cs="宋体"/>
                <w:color w:val="auto"/>
                <w:kern w:val="2"/>
                <w:sz w:val="24"/>
                <w:szCs w:val="24"/>
                <w:highlight w:val="none"/>
                <w:lang w:eastAsia="zh-CN"/>
              </w:rPr>
              <w:t>是</w:t>
            </w:r>
          </w:p>
        </w:tc>
      </w:tr>
      <w:tr w14:paraId="77212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194" w:type="dxa"/>
            <w:vAlign w:val="center"/>
          </w:tcPr>
          <w:p w14:paraId="1C1FA010">
            <w:pPr>
              <w:pStyle w:val="8"/>
              <w:keepNext w:val="0"/>
              <w:keepLines w:val="0"/>
              <w:pageBreakBefore w:val="0"/>
              <w:widowControl w:val="0"/>
              <w:kinsoku/>
              <w:wordWrap/>
              <w:overflowPunct/>
              <w:topLinePunct w:val="0"/>
              <w:bidi w:val="0"/>
              <w:adjustRightInd w:val="0"/>
              <w:snapToGrid w:val="0"/>
              <w:spacing w:line="48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w:t>
            </w:r>
          </w:p>
        </w:tc>
        <w:tc>
          <w:tcPr>
            <w:tcW w:w="8737" w:type="dxa"/>
            <w:vAlign w:val="center"/>
          </w:tcPr>
          <w:p w14:paraId="59C4A42D">
            <w:pPr>
              <w:keepNext w:val="0"/>
              <w:keepLines w:val="0"/>
              <w:pageBreakBefore w:val="0"/>
              <w:widowControl w:val="0"/>
              <w:kinsoku/>
              <w:wordWrap/>
              <w:overflowPunct/>
              <w:topLinePunct w:val="0"/>
              <w:autoSpaceDE w:val="0"/>
              <w:autoSpaceDN w:val="0"/>
              <w:bidi w:val="0"/>
              <w:adjustRightInd w:val="0"/>
              <w:spacing w:line="48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服务响应报价为提供磋商文件要求服务的所有费用，包括但不限于提供项目实施费、人工费、管理费等供应商应缴纳的所有税费、规费、保险费（如果有）等全部费用。</w:t>
            </w:r>
          </w:p>
          <w:p w14:paraId="5E86227B">
            <w:pPr>
              <w:keepNext w:val="0"/>
              <w:keepLines w:val="0"/>
              <w:pageBreakBefore w:val="0"/>
              <w:widowControl w:val="0"/>
              <w:kinsoku/>
              <w:wordWrap/>
              <w:overflowPunct/>
              <w:topLinePunct w:val="0"/>
              <w:autoSpaceDE w:val="0"/>
              <w:autoSpaceDN w:val="0"/>
              <w:bidi w:val="0"/>
              <w:adjustRightInd w:val="0"/>
              <w:spacing w:line="48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（1）报价货币：人民币；</w:t>
            </w:r>
          </w:p>
          <w:p w14:paraId="7C405A45">
            <w:pPr>
              <w:keepNext w:val="0"/>
              <w:keepLines w:val="0"/>
              <w:pageBreakBefore w:val="0"/>
              <w:widowControl w:val="0"/>
              <w:kinsoku/>
              <w:wordWrap/>
              <w:overflowPunct/>
              <w:topLinePunct w:val="0"/>
              <w:autoSpaceDE w:val="0"/>
              <w:autoSpaceDN w:val="0"/>
              <w:bidi w:val="0"/>
              <w:adjustRightInd w:val="0"/>
              <w:spacing w:line="48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（2）严格按照分项报价表进行分项报价。</w:t>
            </w:r>
          </w:p>
        </w:tc>
      </w:tr>
      <w:tr w14:paraId="35064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4" w:type="dxa"/>
            <w:vAlign w:val="center"/>
          </w:tcPr>
          <w:p w14:paraId="64B002B0">
            <w:pPr>
              <w:pStyle w:val="8"/>
              <w:keepNext w:val="0"/>
              <w:keepLines w:val="0"/>
              <w:pageBreakBefore w:val="0"/>
              <w:widowControl w:val="0"/>
              <w:kinsoku/>
              <w:wordWrap/>
              <w:overflowPunct/>
              <w:topLinePunct w:val="0"/>
              <w:bidi w:val="0"/>
              <w:adjustRightInd w:val="0"/>
              <w:snapToGrid w:val="0"/>
              <w:spacing w:line="48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w:t>
            </w:r>
          </w:p>
        </w:tc>
        <w:tc>
          <w:tcPr>
            <w:tcW w:w="8737" w:type="dxa"/>
            <w:vAlign w:val="center"/>
          </w:tcPr>
          <w:p w14:paraId="0CA3B4E5">
            <w:pPr>
              <w:pStyle w:val="8"/>
              <w:keepNext w:val="0"/>
              <w:keepLines w:val="0"/>
              <w:pageBreakBefore w:val="0"/>
              <w:widowControl w:val="0"/>
              <w:kinsoku/>
              <w:wordWrap/>
              <w:overflowPunct/>
              <w:topLinePunct w:val="0"/>
              <w:bidi w:val="0"/>
              <w:adjustRightInd w:val="0"/>
              <w:snapToGrid w:val="0"/>
              <w:spacing w:line="48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磋商有效期：自响应文件递交之</w:t>
            </w:r>
            <w:r>
              <w:rPr>
                <w:rFonts w:hint="eastAsia" w:ascii="宋体" w:hAnsi="宋体" w:eastAsia="宋体" w:cs="宋体"/>
                <w:color w:val="auto"/>
                <w:sz w:val="24"/>
                <w:szCs w:val="24"/>
                <w:highlight w:val="none"/>
                <w:shd w:val="clear" w:color="FFFFFF" w:fill="FFFFFF" w:themeFill="background1"/>
              </w:rPr>
              <w:t>日起</w:t>
            </w:r>
            <w:r>
              <w:rPr>
                <w:rFonts w:hint="eastAsia" w:ascii="宋体" w:hAnsi="宋体" w:eastAsia="宋体" w:cs="宋体"/>
                <w:color w:val="auto"/>
                <w:sz w:val="24"/>
                <w:szCs w:val="24"/>
                <w:highlight w:val="none"/>
                <w:u w:val="single"/>
                <w:shd w:val="clear" w:color="FFFFFF" w:fill="FFFFFF" w:themeFill="background1"/>
              </w:rPr>
              <w:t xml:space="preserve">  </w:t>
            </w:r>
            <w:r>
              <w:rPr>
                <w:rFonts w:hint="eastAsia" w:ascii="宋体" w:hAnsi="宋体" w:eastAsia="宋体" w:cs="宋体"/>
                <w:color w:val="auto"/>
                <w:sz w:val="24"/>
                <w:szCs w:val="24"/>
                <w:highlight w:val="none"/>
                <w:u w:val="single"/>
                <w:shd w:val="clear" w:color="FFFFFF" w:fill="FFFFFF" w:themeFill="background1"/>
                <w:lang w:val="en-US" w:eastAsia="zh-CN"/>
              </w:rPr>
              <w:t>9</w:t>
            </w:r>
            <w:r>
              <w:rPr>
                <w:rFonts w:hint="eastAsia" w:ascii="宋体" w:hAnsi="宋体" w:eastAsia="宋体" w:cs="宋体"/>
                <w:color w:val="auto"/>
                <w:sz w:val="24"/>
                <w:szCs w:val="24"/>
                <w:highlight w:val="none"/>
                <w:u w:val="single"/>
                <w:shd w:val="clear" w:color="FFFFFF" w:fill="FFFFFF" w:themeFill="background1"/>
              </w:rPr>
              <w:t xml:space="preserve">0  </w:t>
            </w:r>
            <w:r>
              <w:rPr>
                <w:rFonts w:hint="eastAsia" w:ascii="宋体" w:hAnsi="宋体" w:eastAsia="宋体" w:cs="宋体"/>
                <w:color w:val="auto"/>
                <w:sz w:val="24"/>
                <w:szCs w:val="24"/>
                <w:highlight w:val="none"/>
                <w:shd w:val="clear" w:color="FFFFFF" w:fill="FFFFFF" w:themeFill="background1"/>
              </w:rPr>
              <w:t>日历天。</w:t>
            </w:r>
          </w:p>
        </w:tc>
      </w:tr>
      <w:tr w14:paraId="2FC1B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194" w:type="dxa"/>
            <w:vAlign w:val="center"/>
          </w:tcPr>
          <w:p w14:paraId="7DD007F3">
            <w:pPr>
              <w:pStyle w:val="8"/>
              <w:keepNext w:val="0"/>
              <w:keepLines w:val="0"/>
              <w:pageBreakBefore w:val="0"/>
              <w:widowControl w:val="0"/>
              <w:kinsoku/>
              <w:wordWrap/>
              <w:overflowPunct/>
              <w:topLinePunct w:val="0"/>
              <w:bidi w:val="0"/>
              <w:adjustRightInd w:val="0"/>
              <w:snapToGrid w:val="0"/>
              <w:spacing w:line="48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w:t>
            </w:r>
          </w:p>
        </w:tc>
        <w:tc>
          <w:tcPr>
            <w:tcW w:w="8737" w:type="dxa"/>
            <w:vAlign w:val="center"/>
          </w:tcPr>
          <w:p w14:paraId="26602EF0">
            <w:pPr>
              <w:pStyle w:val="8"/>
              <w:keepNext w:val="0"/>
              <w:keepLines w:val="0"/>
              <w:pageBreakBefore w:val="0"/>
              <w:widowControl w:val="0"/>
              <w:kinsoku/>
              <w:wordWrap/>
              <w:overflowPunct/>
              <w:topLinePunct w:val="0"/>
              <w:bidi w:val="0"/>
              <w:adjustRightInd w:val="0"/>
              <w:snapToGrid w:val="0"/>
              <w:spacing w:line="48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响应文件的份数：</w:t>
            </w:r>
            <w:r>
              <w:rPr>
                <w:rFonts w:hint="eastAsia" w:ascii="宋体" w:hAnsi="宋体" w:eastAsia="宋体" w:cs="宋体"/>
                <w:color w:val="auto"/>
                <w:sz w:val="24"/>
                <w:szCs w:val="24"/>
                <w:highlight w:val="none"/>
                <w:lang w:eastAsia="zh-CN"/>
              </w:rPr>
              <w:t>本项目以上传电子文件为准。</w:t>
            </w:r>
          </w:p>
        </w:tc>
      </w:tr>
      <w:tr w14:paraId="1847A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194" w:type="dxa"/>
            <w:vAlign w:val="center"/>
          </w:tcPr>
          <w:p w14:paraId="02B081AE">
            <w:pPr>
              <w:pStyle w:val="8"/>
              <w:keepNext w:val="0"/>
              <w:keepLines w:val="0"/>
              <w:pageBreakBefore w:val="0"/>
              <w:widowControl w:val="0"/>
              <w:kinsoku/>
              <w:wordWrap/>
              <w:overflowPunct/>
              <w:topLinePunct w:val="0"/>
              <w:bidi w:val="0"/>
              <w:adjustRightInd w:val="0"/>
              <w:snapToGrid w:val="0"/>
              <w:spacing w:line="48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.1</w:t>
            </w:r>
          </w:p>
        </w:tc>
        <w:tc>
          <w:tcPr>
            <w:tcW w:w="8737" w:type="dxa"/>
            <w:vAlign w:val="center"/>
          </w:tcPr>
          <w:p w14:paraId="77AA8311">
            <w:pPr>
              <w:keepNext w:val="0"/>
              <w:keepLines w:val="0"/>
              <w:pageBreakBefore w:val="0"/>
              <w:widowControl w:val="0"/>
              <w:tabs>
                <w:tab w:val="left" w:pos="588"/>
              </w:tabs>
              <w:kinsoku/>
              <w:wordWrap/>
              <w:overflowPunct/>
              <w:topLinePunct w:val="0"/>
              <w:bidi w:val="0"/>
              <w:spacing w:line="480" w:lineRule="exact"/>
              <w:ind w:firstLine="0" w:firstLineChars="0"/>
              <w:textAlignment w:val="auto"/>
              <w:rPr>
                <w:rFonts w:hint="eastAsia" w:ascii="宋体" w:hAnsi="宋体" w:eastAsia="宋体" w:cs="宋体"/>
                <w:color w:val="auto"/>
                <w:kern w:val="24"/>
                <w:sz w:val="24"/>
                <w:szCs w:val="24"/>
                <w:highlight w:val="none"/>
              </w:rPr>
            </w:pPr>
            <w:r>
              <w:rPr>
                <w:rFonts w:hint="eastAsia" w:ascii="宋体" w:hAnsi="宋体" w:eastAsia="宋体" w:cs="宋体"/>
                <w:color w:val="auto"/>
                <w:kern w:val="24"/>
                <w:sz w:val="24"/>
                <w:szCs w:val="24"/>
                <w:highlight w:val="none"/>
              </w:rPr>
              <w:t>响应文件递交截止时间：</w:t>
            </w: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lang w:val="zh-CN" w:eastAsia="zh-CN"/>
              </w:rPr>
              <w:t>年0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月</w:t>
            </w:r>
            <w:r>
              <w:rPr>
                <w:rFonts w:hint="eastAsia" w:ascii="宋体" w:hAnsi="宋体" w:eastAsia="宋体" w:cs="宋体"/>
                <w:color w:val="auto"/>
                <w:sz w:val="24"/>
                <w:szCs w:val="24"/>
                <w:highlight w:val="none"/>
                <w:lang w:val="en-US" w:eastAsia="zh-CN"/>
              </w:rPr>
              <w:t>06</w:t>
            </w:r>
            <w:r>
              <w:rPr>
                <w:rFonts w:hint="eastAsia" w:ascii="宋体" w:hAnsi="宋体" w:eastAsia="宋体" w:cs="宋体"/>
                <w:color w:val="auto"/>
                <w:sz w:val="24"/>
                <w:szCs w:val="24"/>
                <w:highlight w:val="none"/>
                <w:lang w:val="zh-CN" w:eastAsia="zh-CN"/>
              </w:rPr>
              <w:t>日</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lang w:val="zh-CN" w:eastAsia="zh-CN"/>
              </w:rPr>
              <w:t>时</w:t>
            </w:r>
            <w:r>
              <w:rPr>
                <w:rFonts w:hint="eastAsia" w:ascii="宋体" w:hAnsi="宋体" w:eastAsia="宋体" w:cs="宋体"/>
                <w:color w:val="auto"/>
                <w:sz w:val="24"/>
                <w:szCs w:val="24"/>
                <w:highlight w:val="none"/>
                <w:lang w:val="en-US" w:eastAsia="zh-CN"/>
              </w:rPr>
              <w:t>00分</w:t>
            </w:r>
            <w:r>
              <w:rPr>
                <w:rFonts w:hint="eastAsia" w:ascii="宋体" w:hAnsi="宋体" w:eastAsia="宋体" w:cs="宋体"/>
                <w:color w:val="auto"/>
                <w:kern w:val="24"/>
                <w:sz w:val="24"/>
                <w:szCs w:val="24"/>
                <w:highlight w:val="none"/>
              </w:rPr>
              <w:t>（北京时间）。</w:t>
            </w:r>
          </w:p>
          <w:p w14:paraId="3B627DAE">
            <w:pPr>
              <w:keepNext w:val="0"/>
              <w:keepLines w:val="0"/>
              <w:pageBreakBefore w:val="0"/>
              <w:widowControl w:val="0"/>
              <w:tabs>
                <w:tab w:val="left" w:pos="588"/>
              </w:tabs>
              <w:kinsoku/>
              <w:wordWrap/>
              <w:overflowPunct/>
              <w:topLinePunct w:val="0"/>
              <w:bidi w:val="0"/>
              <w:spacing w:line="480" w:lineRule="exact"/>
              <w:ind w:firstLine="0" w:firstLineChars="0"/>
              <w:textAlignment w:val="auto"/>
              <w:rPr>
                <w:rFonts w:hint="eastAsia" w:ascii="宋体" w:hAnsi="宋体" w:eastAsia="宋体" w:cs="宋体"/>
                <w:color w:val="auto"/>
                <w:kern w:val="24"/>
                <w:sz w:val="24"/>
                <w:szCs w:val="24"/>
                <w:highlight w:val="none"/>
              </w:rPr>
            </w:pPr>
            <w:r>
              <w:rPr>
                <w:rFonts w:hint="eastAsia" w:ascii="宋体" w:hAnsi="宋体" w:eastAsia="宋体" w:cs="宋体"/>
                <w:color w:val="auto"/>
                <w:kern w:val="24"/>
                <w:sz w:val="24"/>
                <w:szCs w:val="24"/>
                <w:highlight w:val="none"/>
              </w:rPr>
              <w:t>响应文件递交地点：</w:t>
            </w:r>
            <w:r>
              <w:rPr>
                <w:rFonts w:hint="eastAsia" w:ascii="宋体" w:hAnsi="宋体" w:eastAsia="宋体" w:cs="宋体"/>
                <w:color w:val="auto"/>
                <w:kern w:val="24"/>
                <w:sz w:val="24"/>
                <w:szCs w:val="24"/>
                <w:highlight w:val="none"/>
                <w:lang w:val="en-US" w:eastAsia="zh-CN"/>
              </w:rPr>
              <w:t>全国公共资源交易中心平台（陕西省.安康市）</w:t>
            </w:r>
          </w:p>
          <w:p w14:paraId="4F8E2253">
            <w:pPr>
              <w:keepNext w:val="0"/>
              <w:keepLines w:val="0"/>
              <w:pageBreakBefore w:val="0"/>
              <w:widowControl w:val="0"/>
              <w:tabs>
                <w:tab w:val="left" w:pos="588"/>
              </w:tabs>
              <w:kinsoku/>
              <w:wordWrap/>
              <w:overflowPunct/>
              <w:topLinePunct w:val="0"/>
              <w:bidi w:val="0"/>
              <w:spacing w:line="48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4"/>
                <w:sz w:val="24"/>
                <w:szCs w:val="24"/>
                <w:highlight w:val="none"/>
              </w:rPr>
              <w:t>（1）电子响应文件</w:t>
            </w:r>
            <w:r>
              <w:rPr>
                <w:rFonts w:hint="eastAsia" w:ascii="宋体" w:hAnsi="宋体" w:eastAsia="宋体" w:cs="宋体"/>
                <w:color w:val="auto"/>
                <w:sz w:val="24"/>
                <w:szCs w:val="24"/>
                <w:highlight w:val="none"/>
                <w:lang w:val="zh-CN"/>
              </w:rPr>
              <w:t>（*.SXSTF）</w:t>
            </w:r>
            <w:r>
              <w:rPr>
                <w:rFonts w:hint="eastAsia" w:ascii="宋体" w:hAnsi="宋体" w:eastAsia="宋体" w:cs="宋体"/>
                <w:color w:val="auto"/>
                <w:kern w:val="24"/>
                <w:sz w:val="24"/>
                <w:szCs w:val="24"/>
                <w:highlight w:val="none"/>
              </w:rPr>
              <w:t>可于提交首次响应文件截止时间前任意时段登录陕西省安康市公共资源交易中心平台（http://ak.sxggzyjy.cn/）“电子交易平台-企业端”进行提交，逾期系统将拒绝接收。</w:t>
            </w:r>
          </w:p>
        </w:tc>
      </w:tr>
      <w:tr w14:paraId="5E36D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194" w:type="dxa"/>
            <w:vAlign w:val="center"/>
          </w:tcPr>
          <w:p w14:paraId="6E3B2958">
            <w:pPr>
              <w:pStyle w:val="8"/>
              <w:keepNext w:val="0"/>
              <w:keepLines w:val="0"/>
              <w:pageBreakBefore w:val="0"/>
              <w:widowControl w:val="0"/>
              <w:kinsoku/>
              <w:wordWrap/>
              <w:overflowPunct/>
              <w:topLinePunct w:val="0"/>
              <w:bidi w:val="0"/>
              <w:adjustRightInd w:val="0"/>
              <w:snapToGrid w:val="0"/>
              <w:spacing w:line="48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.1</w:t>
            </w:r>
          </w:p>
        </w:tc>
        <w:tc>
          <w:tcPr>
            <w:tcW w:w="8737" w:type="dxa"/>
            <w:vAlign w:val="center"/>
          </w:tcPr>
          <w:p w14:paraId="7A97404D">
            <w:pPr>
              <w:keepNext w:val="0"/>
              <w:keepLines w:val="0"/>
              <w:pageBreakBefore w:val="0"/>
              <w:widowControl w:val="0"/>
              <w:kinsoku/>
              <w:wordWrap/>
              <w:overflowPunct/>
              <w:topLinePunct w:val="0"/>
              <w:bidi w:val="0"/>
              <w:spacing w:line="48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磋商小组由</w:t>
            </w:r>
            <w:r>
              <w:rPr>
                <w:rFonts w:hint="eastAsia" w:ascii="宋体" w:hAnsi="宋体" w:eastAsia="宋体" w:cs="宋体"/>
                <w:color w:val="auto"/>
                <w:sz w:val="24"/>
                <w:szCs w:val="24"/>
                <w:highlight w:val="none"/>
                <w:u w:val="single"/>
              </w:rPr>
              <w:t>（3）</w:t>
            </w:r>
            <w:r>
              <w:rPr>
                <w:rFonts w:hint="eastAsia" w:ascii="宋体" w:hAnsi="宋体" w:eastAsia="宋体" w:cs="宋体"/>
                <w:color w:val="auto"/>
                <w:sz w:val="24"/>
                <w:szCs w:val="24"/>
                <w:highlight w:val="none"/>
              </w:rPr>
              <w:t>人组成，其中评审专家</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人，采购人代表</w:t>
            </w:r>
            <w:r>
              <w:rPr>
                <w:rFonts w:hint="eastAsia" w:ascii="宋体" w:hAnsi="宋体" w:eastAsia="宋体" w:cs="宋体"/>
                <w:color w:val="auto"/>
                <w:sz w:val="24"/>
                <w:szCs w:val="24"/>
                <w:highlight w:val="none"/>
                <w:u w:val="single"/>
              </w:rPr>
              <w:t xml:space="preserve"> 1</w:t>
            </w:r>
            <w:r>
              <w:rPr>
                <w:rFonts w:hint="eastAsia" w:ascii="宋体" w:hAnsi="宋体" w:eastAsia="宋体" w:cs="宋体"/>
                <w:color w:val="auto"/>
                <w:sz w:val="24"/>
                <w:szCs w:val="24"/>
                <w:highlight w:val="none"/>
              </w:rPr>
              <w:t>人。</w:t>
            </w:r>
          </w:p>
        </w:tc>
      </w:tr>
      <w:tr w14:paraId="163EE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194" w:type="dxa"/>
            <w:vAlign w:val="center"/>
          </w:tcPr>
          <w:p w14:paraId="203730D6">
            <w:pPr>
              <w:keepNext w:val="0"/>
              <w:keepLines w:val="0"/>
              <w:pageBreakBefore w:val="0"/>
              <w:widowControl w:val="0"/>
              <w:kinsoku/>
              <w:wordWrap/>
              <w:overflowPunct/>
              <w:topLinePunct w:val="0"/>
              <w:bidi w:val="0"/>
              <w:spacing w:line="48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.1</w:t>
            </w:r>
          </w:p>
        </w:tc>
        <w:tc>
          <w:tcPr>
            <w:tcW w:w="8737" w:type="dxa"/>
            <w:vAlign w:val="center"/>
          </w:tcPr>
          <w:p w14:paraId="34DFD84C">
            <w:pPr>
              <w:keepNext w:val="0"/>
              <w:keepLines w:val="0"/>
              <w:pageBreakBefore w:val="0"/>
              <w:widowControl w:val="0"/>
              <w:kinsoku/>
              <w:wordWrap/>
              <w:overflowPunct/>
              <w:topLinePunct w:val="0"/>
              <w:bidi w:val="0"/>
              <w:spacing w:line="48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本项目不要求履约保证金。</w:t>
            </w:r>
          </w:p>
        </w:tc>
      </w:tr>
    </w:tbl>
    <w:p w14:paraId="582650A6">
      <w:pPr>
        <w:rPr>
          <w:rFonts w:ascii="仿宋" w:hAnsi="仿宋" w:eastAsia="仿宋" w:cs="仿宋_GB2312"/>
          <w:color w:val="auto"/>
          <w:sz w:val="28"/>
          <w:szCs w:val="28"/>
          <w:highlight w:val="none"/>
        </w:rPr>
      </w:pPr>
      <w:bookmarkStart w:id="69" w:name="_Toc230013633"/>
      <w:bookmarkStart w:id="70" w:name="_Toc249525160"/>
      <w:bookmarkStart w:id="71" w:name="_Toc232176273"/>
      <w:bookmarkStart w:id="72" w:name="_Toc256342144"/>
      <w:bookmarkStart w:id="73" w:name="_Toc53722841"/>
      <w:bookmarkStart w:id="74" w:name="_Toc177995474"/>
      <w:bookmarkStart w:id="75" w:name="_Toc176882543"/>
      <w:bookmarkStart w:id="76" w:name="_Toc230099798"/>
      <w:bookmarkStart w:id="77" w:name="_Toc184043013"/>
      <w:bookmarkStart w:id="78" w:name="_Toc249515279"/>
      <w:bookmarkStart w:id="79" w:name="_Toc177189236"/>
      <w:bookmarkStart w:id="80" w:name="_Toc70687140"/>
      <w:bookmarkStart w:id="81" w:name="_Toc177817335"/>
      <w:bookmarkStart w:id="82" w:name="_Toc249515391"/>
      <w:bookmarkStart w:id="83" w:name="_Toc230583542"/>
      <w:bookmarkStart w:id="84" w:name="_Toc232395213"/>
      <w:r>
        <w:rPr>
          <w:rFonts w:hint="eastAsia" w:ascii="仿宋" w:hAnsi="仿宋" w:eastAsia="仿宋" w:cs="仿宋_GB2312"/>
          <w:color w:val="auto"/>
          <w:sz w:val="28"/>
          <w:szCs w:val="28"/>
          <w:highlight w:val="none"/>
        </w:rPr>
        <w:br w:type="page"/>
      </w:r>
    </w:p>
    <w:p w14:paraId="4A612460">
      <w:pPr>
        <w:pStyle w:val="27"/>
        <w:spacing w:before="24" w:after="24"/>
        <w:jc w:val="center"/>
        <w:rPr>
          <w:rFonts w:hint="eastAsia" w:ascii="宋体" w:hAnsi="宋体" w:eastAsia="宋体" w:cs="宋体"/>
          <w:color w:val="auto"/>
          <w:szCs w:val="32"/>
          <w:highlight w:val="none"/>
        </w:rPr>
      </w:pPr>
      <w:bookmarkStart w:id="85" w:name="_Toc18628"/>
      <w:r>
        <w:rPr>
          <w:rFonts w:hint="eastAsia" w:ascii="宋体" w:hAnsi="宋体" w:eastAsia="宋体" w:cs="宋体"/>
          <w:color w:val="auto"/>
          <w:szCs w:val="32"/>
          <w:highlight w:val="none"/>
        </w:rPr>
        <w:t>（二）供应商须知</w:t>
      </w:r>
      <w:bookmarkEnd w:id="85"/>
    </w:p>
    <w:p w14:paraId="58B6445E">
      <w:pPr>
        <w:pStyle w:val="27"/>
        <w:keepNext w:val="0"/>
        <w:keepLines w:val="0"/>
        <w:pageBreakBefore w:val="0"/>
        <w:kinsoku/>
        <w:wordWrap/>
        <w:overflowPunct/>
        <w:topLinePunct w:val="0"/>
        <w:bidi w:val="0"/>
        <w:spacing w:before="24" w:after="24" w:line="480" w:lineRule="exact"/>
        <w:ind w:firstLine="482" w:firstLineChars="200"/>
        <w:jc w:val="center"/>
        <w:textAlignment w:val="auto"/>
        <w:rPr>
          <w:rFonts w:hint="eastAsia" w:ascii="宋体" w:hAnsi="宋体" w:eastAsia="宋体" w:cs="宋体"/>
          <w:color w:val="auto"/>
          <w:sz w:val="24"/>
          <w:szCs w:val="24"/>
          <w:highlight w:val="none"/>
        </w:rPr>
      </w:pPr>
      <w:bookmarkStart w:id="86" w:name="_Toc29726"/>
      <w:r>
        <w:rPr>
          <w:rFonts w:hint="eastAsia" w:ascii="宋体" w:hAnsi="宋体" w:eastAsia="宋体" w:cs="宋体"/>
          <w:color w:val="auto"/>
          <w:sz w:val="24"/>
          <w:szCs w:val="24"/>
          <w:highlight w:val="none"/>
        </w:rPr>
        <w:t>一、总  则</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6"/>
    </w:p>
    <w:p w14:paraId="67EE6077">
      <w:pPr>
        <w:keepNext w:val="0"/>
        <w:keepLines w:val="0"/>
        <w:pageBreakBefore w:val="0"/>
        <w:kinsoku/>
        <w:wordWrap/>
        <w:overflowPunct/>
        <w:topLinePunct w:val="0"/>
        <w:bidi w:val="0"/>
        <w:spacing w:line="480" w:lineRule="exact"/>
        <w:ind w:firstLine="480" w:firstLineChars="200"/>
        <w:textAlignment w:val="auto"/>
        <w:rPr>
          <w:rFonts w:hint="eastAsia" w:ascii="宋体" w:hAnsi="宋体" w:eastAsia="宋体" w:cs="宋体"/>
          <w:color w:val="auto"/>
          <w:sz w:val="24"/>
          <w:szCs w:val="24"/>
          <w:highlight w:val="none"/>
        </w:rPr>
      </w:pPr>
    </w:p>
    <w:p w14:paraId="22F5E6DB">
      <w:pPr>
        <w:pStyle w:val="4"/>
        <w:keepNext w:val="0"/>
        <w:keepLines w:val="0"/>
        <w:pageBreakBefore w:val="0"/>
        <w:kinsoku/>
        <w:wordWrap/>
        <w:overflowPunct/>
        <w:topLinePunct w:val="0"/>
        <w:bidi w:val="0"/>
        <w:spacing w:line="480" w:lineRule="exact"/>
        <w:ind w:firstLine="482" w:firstLineChars="200"/>
        <w:textAlignment w:val="auto"/>
        <w:rPr>
          <w:rFonts w:hint="eastAsia" w:ascii="宋体" w:hAnsi="宋体" w:eastAsia="宋体" w:cs="宋体"/>
          <w:b/>
          <w:color w:val="auto"/>
          <w:sz w:val="24"/>
          <w:szCs w:val="24"/>
          <w:highlight w:val="none"/>
        </w:rPr>
      </w:pPr>
      <w:bookmarkStart w:id="87" w:name="_Hlt14560612"/>
      <w:bookmarkEnd w:id="87"/>
      <w:bookmarkStart w:id="88" w:name="_Toc25504"/>
      <w:bookmarkStart w:id="89" w:name="_Toc184043014"/>
      <w:bookmarkStart w:id="90" w:name="_Toc249515280"/>
      <w:bookmarkStart w:id="91" w:name="_Toc249515392"/>
      <w:bookmarkStart w:id="92" w:name="_Toc249525161"/>
      <w:r>
        <w:rPr>
          <w:rFonts w:hint="eastAsia" w:ascii="宋体" w:hAnsi="宋体" w:eastAsia="宋体" w:cs="宋体"/>
          <w:b/>
          <w:color w:val="auto"/>
          <w:sz w:val="24"/>
          <w:szCs w:val="24"/>
          <w:highlight w:val="none"/>
        </w:rPr>
        <w:t>1.     项目说明</w:t>
      </w:r>
      <w:bookmarkEnd w:id="88"/>
      <w:bookmarkEnd w:id="89"/>
      <w:bookmarkEnd w:id="90"/>
      <w:bookmarkEnd w:id="91"/>
      <w:bookmarkEnd w:id="92"/>
    </w:p>
    <w:p w14:paraId="06AB9A52">
      <w:pPr>
        <w:pStyle w:val="29"/>
        <w:keepNext w:val="0"/>
        <w:keepLines w:val="0"/>
        <w:pageBreakBefore w:val="0"/>
        <w:widowControl w:val="0"/>
        <w:tabs>
          <w:tab w:val="left" w:pos="588"/>
        </w:tabs>
        <w:kinsoku/>
        <w:wordWrap/>
        <w:overflowPunct/>
        <w:topLinePunct w:val="0"/>
        <w:bidi w:val="0"/>
        <w:spacing w:before="0" w:beforeAutospacing="0" w:after="0" w:afterAutospacing="0" w:line="480" w:lineRule="exact"/>
        <w:ind w:firstLine="480" w:firstLineChars="200"/>
        <w:textAlignment w:val="auto"/>
        <w:rPr>
          <w:rFonts w:hint="eastAsia" w:ascii="宋体" w:hAnsi="宋体" w:eastAsia="宋体" w:cs="宋体"/>
          <w:color w:val="auto"/>
          <w:kern w:val="24"/>
          <w:sz w:val="24"/>
          <w:szCs w:val="24"/>
          <w:highlight w:val="none"/>
        </w:rPr>
      </w:pPr>
      <w:r>
        <w:rPr>
          <w:rFonts w:hint="eastAsia" w:ascii="宋体" w:hAnsi="宋体" w:eastAsia="宋体" w:cs="宋体"/>
          <w:color w:val="auto"/>
          <w:kern w:val="24"/>
          <w:sz w:val="24"/>
          <w:szCs w:val="24"/>
          <w:highlight w:val="none"/>
        </w:rPr>
        <w:t>1.1    项目说明：</w:t>
      </w:r>
      <w:r>
        <w:rPr>
          <w:rFonts w:hint="eastAsia" w:ascii="宋体" w:hAnsi="宋体" w:eastAsia="宋体" w:cs="宋体"/>
          <w:b/>
          <w:color w:val="auto"/>
          <w:kern w:val="24"/>
          <w:sz w:val="24"/>
          <w:szCs w:val="24"/>
          <w:highlight w:val="none"/>
        </w:rPr>
        <w:t>见供应商须知前附表</w:t>
      </w:r>
      <w:r>
        <w:rPr>
          <w:rFonts w:hint="eastAsia" w:ascii="宋体" w:hAnsi="宋体" w:eastAsia="宋体" w:cs="宋体"/>
          <w:color w:val="auto"/>
          <w:kern w:val="24"/>
          <w:sz w:val="24"/>
          <w:szCs w:val="24"/>
          <w:highlight w:val="none"/>
        </w:rPr>
        <w:t>。</w:t>
      </w:r>
    </w:p>
    <w:p w14:paraId="6ECEC7BC">
      <w:pPr>
        <w:pStyle w:val="4"/>
        <w:keepNext w:val="0"/>
        <w:keepLines w:val="0"/>
        <w:pageBreakBefore w:val="0"/>
        <w:kinsoku/>
        <w:wordWrap/>
        <w:overflowPunct/>
        <w:topLinePunct w:val="0"/>
        <w:bidi w:val="0"/>
        <w:spacing w:line="480" w:lineRule="exact"/>
        <w:ind w:firstLine="482" w:firstLineChars="200"/>
        <w:textAlignment w:val="auto"/>
        <w:rPr>
          <w:rFonts w:hint="eastAsia" w:ascii="宋体" w:hAnsi="宋体" w:eastAsia="宋体" w:cs="宋体"/>
          <w:b/>
          <w:color w:val="auto"/>
          <w:sz w:val="24"/>
          <w:szCs w:val="24"/>
          <w:highlight w:val="none"/>
        </w:rPr>
      </w:pPr>
      <w:bookmarkStart w:id="93" w:name="_Toc249515393"/>
      <w:bookmarkStart w:id="94" w:name="_Toc31509"/>
      <w:bookmarkStart w:id="95" w:name="_Toc184043015"/>
      <w:bookmarkStart w:id="96" w:name="_Toc70687142"/>
      <w:bookmarkStart w:id="97" w:name="_Toc249515281"/>
      <w:bookmarkStart w:id="98" w:name="_Toc249525162"/>
      <w:r>
        <w:rPr>
          <w:rFonts w:hint="eastAsia" w:ascii="宋体" w:hAnsi="宋体" w:eastAsia="宋体" w:cs="宋体"/>
          <w:b/>
          <w:color w:val="auto"/>
          <w:sz w:val="24"/>
          <w:szCs w:val="24"/>
          <w:highlight w:val="none"/>
        </w:rPr>
        <w:t>2.     定义</w:t>
      </w:r>
      <w:bookmarkEnd w:id="93"/>
      <w:bookmarkEnd w:id="94"/>
      <w:bookmarkEnd w:id="95"/>
      <w:bookmarkEnd w:id="96"/>
      <w:bookmarkEnd w:id="97"/>
      <w:bookmarkEnd w:id="98"/>
    </w:p>
    <w:p w14:paraId="2F45ACB0">
      <w:pPr>
        <w:keepNext w:val="0"/>
        <w:keepLines w:val="0"/>
        <w:pageBreakBefore w:val="0"/>
        <w:tabs>
          <w:tab w:val="left" w:pos="588"/>
        </w:tabs>
        <w:kinsoku/>
        <w:wordWrap/>
        <w:overflowPunct/>
        <w:topLinePunct w:val="0"/>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采购人：</w:t>
      </w:r>
      <w:r>
        <w:rPr>
          <w:rFonts w:hint="eastAsia" w:ascii="宋体" w:hAnsi="宋体" w:eastAsia="宋体" w:cs="宋体"/>
          <w:b/>
          <w:color w:val="auto"/>
          <w:sz w:val="24"/>
          <w:szCs w:val="24"/>
          <w:highlight w:val="none"/>
        </w:rPr>
        <w:t>见供应商须知前附表</w:t>
      </w:r>
      <w:r>
        <w:rPr>
          <w:rFonts w:hint="eastAsia" w:ascii="宋体" w:hAnsi="宋体" w:eastAsia="宋体" w:cs="宋体"/>
          <w:color w:val="auto"/>
          <w:sz w:val="24"/>
          <w:szCs w:val="24"/>
          <w:highlight w:val="none"/>
        </w:rPr>
        <w:t>。</w:t>
      </w:r>
    </w:p>
    <w:p w14:paraId="75BB9591">
      <w:pPr>
        <w:pStyle w:val="6"/>
        <w:keepNext w:val="0"/>
        <w:keepLines w:val="0"/>
        <w:pageBreakBefore w:val="0"/>
        <w:kinsoku/>
        <w:wordWrap/>
        <w:overflowPunct/>
        <w:topLinePunct w:val="0"/>
        <w:bidi w:val="0"/>
        <w:spacing w:line="480" w:lineRule="exact"/>
        <w:ind w:left="0" w:leftChars="0" w:firstLine="480" w:firstLineChars="200"/>
        <w:textAlignment w:val="auto"/>
        <w:rPr>
          <w:rFonts w:hint="eastAsia" w:ascii="宋体" w:hAnsi="宋体" w:eastAsia="宋体" w:cs="宋体"/>
          <w:color w:val="auto"/>
          <w:kern w:val="24"/>
          <w:sz w:val="24"/>
          <w:szCs w:val="24"/>
          <w:highlight w:val="none"/>
        </w:rPr>
      </w:pPr>
      <w:r>
        <w:rPr>
          <w:rFonts w:hint="eastAsia" w:ascii="宋体" w:hAnsi="宋体" w:eastAsia="宋体" w:cs="宋体"/>
          <w:color w:val="auto"/>
          <w:kern w:val="24"/>
          <w:sz w:val="24"/>
          <w:szCs w:val="24"/>
          <w:highlight w:val="none"/>
        </w:rPr>
        <w:t>2.2   采购代理机构：</w:t>
      </w:r>
      <w:r>
        <w:rPr>
          <w:rFonts w:hint="eastAsia" w:ascii="宋体" w:hAnsi="宋体" w:eastAsia="宋体" w:cs="宋体"/>
          <w:b/>
          <w:color w:val="auto"/>
          <w:kern w:val="24"/>
          <w:sz w:val="24"/>
          <w:szCs w:val="24"/>
          <w:highlight w:val="none"/>
        </w:rPr>
        <w:t>见供应商须知前附表</w:t>
      </w:r>
      <w:r>
        <w:rPr>
          <w:rFonts w:hint="eastAsia" w:ascii="宋体" w:hAnsi="宋体" w:eastAsia="宋体" w:cs="宋体"/>
          <w:color w:val="auto"/>
          <w:kern w:val="24"/>
          <w:sz w:val="24"/>
          <w:szCs w:val="24"/>
          <w:highlight w:val="none"/>
        </w:rPr>
        <w:t>。</w:t>
      </w:r>
    </w:p>
    <w:p w14:paraId="06EDDA3B">
      <w:pPr>
        <w:pStyle w:val="6"/>
        <w:keepNext w:val="0"/>
        <w:keepLines w:val="0"/>
        <w:pageBreakBefore w:val="0"/>
        <w:kinsoku/>
        <w:wordWrap/>
        <w:overflowPunct/>
        <w:topLinePunct w:val="0"/>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供应商：指响应磋商文件要求、参加竞争性磋商采购的法人、其他组织或者自然人。本次政府采购项目邀请供应商方式见</w:t>
      </w:r>
      <w:r>
        <w:rPr>
          <w:rFonts w:hint="eastAsia" w:ascii="宋体" w:hAnsi="宋体" w:eastAsia="宋体" w:cs="宋体"/>
          <w:b/>
          <w:color w:val="auto"/>
          <w:sz w:val="24"/>
          <w:szCs w:val="24"/>
          <w:highlight w:val="none"/>
        </w:rPr>
        <w:t>供应商须知前附表。</w:t>
      </w:r>
    </w:p>
    <w:p w14:paraId="5DF96D44">
      <w:pPr>
        <w:pStyle w:val="6"/>
        <w:keepNext w:val="0"/>
        <w:keepLines w:val="0"/>
        <w:pageBreakBefore w:val="0"/>
        <w:tabs>
          <w:tab w:val="left" w:pos="360"/>
        </w:tabs>
        <w:kinsoku/>
        <w:wordWrap/>
        <w:overflowPunct/>
        <w:topLinePunct w:val="0"/>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磋商小组：指依据《中华人民共和国政府采购法》和财政部《政府采购竞争性磋商采购方式管理暂行办法》有关规定组建，依法依规履行其职责和义务的机构。</w:t>
      </w:r>
    </w:p>
    <w:p w14:paraId="2749AED7">
      <w:pPr>
        <w:pStyle w:val="4"/>
        <w:keepNext w:val="0"/>
        <w:keepLines w:val="0"/>
        <w:pageBreakBefore w:val="0"/>
        <w:kinsoku/>
        <w:wordWrap/>
        <w:overflowPunct/>
        <w:topLinePunct w:val="0"/>
        <w:bidi w:val="0"/>
        <w:spacing w:line="480" w:lineRule="exact"/>
        <w:ind w:firstLine="482" w:firstLineChars="200"/>
        <w:textAlignment w:val="auto"/>
        <w:rPr>
          <w:rFonts w:hint="eastAsia" w:ascii="宋体" w:hAnsi="宋体" w:eastAsia="宋体" w:cs="宋体"/>
          <w:b/>
          <w:color w:val="auto"/>
          <w:sz w:val="24"/>
          <w:szCs w:val="24"/>
          <w:highlight w:val="none"/>
        </w:rPr>
      </w:pPr>
      <w:bookmarkStart w:id="99" w:name="_Toc184043016"/>
      <w:bookmarkStart w:id="100" w:name="_Toc385992329"/>
      <w:bookmarkStart w:id="101" w:name="_Toc249515394"/>
      <w:bookmarkStart w:id="102" w:name="_Toc23705"/>
      <w:bookmarkStart w:id="103" w:name="_Toc249515282"/>
      <w:bookmarkStart w:id="104" w:name="_Toc70687143"/>
      <w:bookmarkStart w:id="105" w:name="_Toc389620168"/>
      <w:bookmarkStart w:id="106" w:name="_Toc249525163"/>
      <w:r>
        <w:rPr>
          <w:rFonts w:hint="eastAsia" w:ascii="宋体" w:hAnsi="宋体" w:eastAsia="宋体" w:cs="宋体"/>
          <w:b/>
          <w:color w:val="auto"/>
          <w:sz w:val="24"/>
          <w:szCs w:val="24"/>
          <w:highlight w:val="none"/>
        </w:rPr>
        <w:t>3.     合格的供应商</w:t>
      </w:r>
      <w:bookmarkEnd w:id="99"/>
      <w:bookmarkEnd w:id="100"/>
      <w:bookmarkEnd w:id="101"/>
      <w:bookmarkEnd w:id="102"/>
      <w:bookmarkEnd w:id="103"/>
      <w:bookmarkEnd w:id="104"/>
      <w:bookmarkEnd w:id="105"/>
      <w:bookmarkEnd w:id="106"/>
    </w:p>
    <w:p w14:paraId="371844A5">
      <w:pPr>
        <w:keepNext w:val="0"/>
        <w:keepLines w:val="0"/>
        <w:pageBreakBefore w:val="0"/>
        <w:tabs>
          <w:tab w:val="left" w:pos="588"/>
        </w:tabs>
        <w:kinsoku/>
        <w:wordWrap/>
        <w:overflowPunct/>
        <w:topLinePunct w:val="0"/>
        <w:bidi w:val="0"/>
        <w:spacing w:line="480" w:lineRule="exact"/>
        <w:ind w:firstLine="480" w:firstLineChars="200"/>
        <w:textAlignment w:val="auto"/>
        <w:rPr>
          <w:rFonts w:hint="eastAsia" w:ascii="宋体" w:hAnsi="宋体" w:eastAsia="宋体" w:cs="宋体"/>
          <w:color w:val="auto"/>
          <w:kern w:val="24"/>
          <w:sz w:val="24"/>
          <w:szCs w:val="24"/>
          <w:highlight w:val="none"/>
        </w:rPr>
      </w:pPr>
      <w:r>
        <w:rPr>
          <w:rFonts w:hint="eastAsia" w:ascii="宋体" w:hAnsi="宋体" w:eastAsia="宋体" w:cs="宋体"/>
          <w:color w:val="auto"/>
          <w:kern w:val="24"/>
          <w:sz w:val="24"/>
          <w:szCs w:val="24"/>
          <w:highlight w:val="none"/>
        </w:rPr>
        <w:t>3.1    供应商基本资质要求详见</w:t>
      </w:r>
      <w:r>
        <w:rPr>
          <w:rFonts w:hint="eastAsia" w:ascii="宋体" w:hAnsi="宋体" w:eastAsia="宋体" w:cs="宋体"/>
          <w:b/>
          <w:color w:val="auto"/>
          <w:kern w:val="24"/>
          <w:sz w:val="24"/>
          <w:szCs w:val="24"/>
          <w:highlight w:val="none"/>
        </w:rPr>
        <w:t>供应商须知前附表</w:t>
      </w:r>
      <w:r>
        <w:rPr>
          <w:rFonts w:hint="eastAsia" w:ascii="宋体" w:hAnsi="宋体" w:eastAsia="宋体" w:cs="宋体"/>
          <w:color w:val="auto"/>
          <w:kern w:val="24"/>
          <w:sz w:val="24"/>
          <w:szCs w:val="24"/>
          <w:highlight w:val="none"/>
        </w:rPr>
        <w:t>。</w:t>
      </w:r>
    </w:p>
    <w:p w14:paraId="58B702FE">
      <w:pPr>
        <w:keepNext w:val="0"/>
        <w:keepLines w:val="0"/>
        <w:pageBreakBefore w:val="0"/>
        <w:tabs>
          <w:tab w:val="left" w:pos="588"/>
        </w:tabs>
        <w:kinsoku/>
        <w:wordWrap/>
        <w:overflowPunct/>
        <w:topLinePunct w:val="0"/>
        <w:bidi w:val="0"/>
        <w:spacing w:line="480" w:lineRule="exact"/>
        <w:ind w:firstLine="480" w:firstLineChars="200"/>
        <w:textAlignment w:val="auto"/>
        <w:rPr>
          <w:rFonts w:hint="eastAsia" w:ascii="宋体" w:hAnsi="宋体" w:eastAsia="宋体" w:cs="宋体"/>
          <w:color w:val="auto"/>
          <w:kern w:val="24"/>
          <w:sz w:val="24"/>
          <w:szCs w:val="24"/>
          <w:highlight w:val="none"/>
        </w:rPr>
      </w:pPr>
      <w:r>
        <w:rPr>
          <w:rFonts w:hint="eastAsia" w:ascii="宋体" w:hAnsi="宋体" w:eastAsia="宋体" w:cs="宋体"/>
          <w:color w:val="auto"/>
          <w:kern w:val="24"/>
          <w:sz w:val="24"/>
          <w:szCs w:val="24"/>
          <w:highlight w:val="none"/>
        </w:rPr>
        <w:t>3.2    本项目将执行在政府采购活动中查询及使用信用记录的规定，具体要求为：</w:t>
      </w:r>
    </w:p>
    <w:p w14:paraId="2EC01375">
      <w:pPr>
        <w:keepNext w:val="0"/>
        <w:keepLines w:val="0"/>
        <w:pageBreakBefore w:val="0"/>
        <w:tabs>
          <w:tab w:val="left" w:pos="588"/>
        </w:tabs>
        <w:kinsoku/>
        <w:wordWrap/>
        <w:overflowPunct/>
        <w:topLinePunct w:val="0"/>
        <w:bidi w:val="0"/>
        <w:spacing w:line="480" w:lineRule="exact"/>
        <w:ind w:firstLine="480" w:firstLineChars="200"/>
        <w:textAlignment w:val="auto"/>
        <w:rPr>
          <w:rFonts w:hint="eastAsia" w:ascii="宋体" w:hAnsi="宋体" w:eastAsia="宋体" w:cs="宋体"/>
          <w:color w:val="auto"/>
          <w:kern w:val="24"/>
          <w:sz w:val="24"/>
          <w:szCs w:val="24"/>
          <w:highlight w:val="none"/>
        </w:rPr>
      </w:pPr>
      <w:r>
        <w:rPr>
          <w:rFonts w:hint="eastAsia" w:ascii="宋体" w:hAnsi="宋体" w:eastAsia="宋体" w:cs="宋体"/>
          <w:color w:val="auto"/>
          <w:kern w:val="24"/>
          <w:sz w:val="24"/>
          <w:szCs w:val="24"/>
          <w:highlight w:val="none"/>
        </w:rPr>
        <w:t>3.2.1  供应商应当未被列入失信被执行人、重大税收违法案件当事人名单、政府采购严重违法失信行为记录名单，否则不得参与政府采购活动。</w:t>
      </w:r>
    </w:p>
    <w:p w14:paraId="2D03B4C6">
      <w:pPr>
        <w:keepNext w:val="0"/>
        <w:keepLines w:val="0"/>
        <w:pageBreakBefore w:val="0"/>
        <w:tabs>
          <w:tab w:val="left" w:pos="588"/>
        </w:tabs>
        <w:kinsoku/>
        <w:wordWrap/>
        <w:overflowPunct/>
        <w:topLinePunct w:val="0"/>
        <w:bidi w:val="0"/>
        <w:spacing w:line="480" w:lineRule="exact"/>
        <w:ind w:firstLine="480" w:firstLineChars="200"/>
        <w:textAlignment w:val="auto"/>
        <w:rPr>
          <w:rFonts w:hint="eastAsia" w:ascii="宋体" w:hAnsi="宋体" w:eastAsia="宋体" w:cs="宋体"/>
          <w:color w:val="auto"/>
          <w:kern w:val="24"/>
          <w:sz w:val="24"/>
          <w:szCs w:val="24"/>
          <w:highlight w:val="none"/>
        </w:rPr>
      </w:pPr>
      <w:r>
        <w:rPr>
          <w:rFonts w:hint="eastAsia" w:ascii="宋体" w:hAnsi="宋体" w:eastAsia="宋体" w:cs="宋体"/>
          <w:color w:val="auto"/>
          <w:kern w:val="24"/>
          <w:sz w:val="24"/>
          <w:szCs w:val="24"/>
          <w:highlight w:val="none"/>
        </w:rPr>
        <w:t>3.2.2  信用信息查询的时间：响应文件递交截止时间之后至磋商</w:t>
      </w:r>
      <w:r>
        <w:rPr>
          <w:rFonts w:hint="eastAsia" w:ascii="宋体" w:hAnsi="宋体" w:eastAsia="宋体" w:cs="宋体"/>
          <w:color w:val="auto"/>
          <w:sz w:val="24"/>
          <w:szCs w:val="24"/>
          <w:highlight w:val="none"/>
        </w:rPr>
        <w:t>资格性检查结束</w:t>
      </w:r>
      <w:r>
        <w:rPr>
          <w:rFonts w:hint="eastAsia" w:ascii="宋体" w:hAnsi="宋体" w:eastAsia="宋体" w:cs="宋体"/>
          <w:color w:val="auto"/>
          <w:kern w:val="24"/>
          <w:sz w:val="24"/>
          <w:szCs w:val="24"/>
          <w:highlight w:val="none"/>
        </w:rPr>
        <w:t xml:space="preserve">。 </w:t>
      </w:r>
    </w:p>
    <w:p w14:paraId="52B6E403">
      <w:pPr>
        <w:keepNext w:val="0"/>
        <w:keepLines w:val="0"/>
        <w:pageBreakBefore w:val="0"/>
        <w:tabs>
          <w:tab w:val="left" w:pos="588"/>
        </w:tabs>
        <w:kinsoku/>
        <w:wordWrap/>
        <w:overflowPunct/>
        <w:topLinePunct w:val="0"/>
        <w:bidi w:val="0"/>
        <w:spacing w:line="480" w:lineRule="exact"/>
        <w:ind w:firstLine="480" w:firstLineChars="200"/>
        <w:textAlignment w:val="auto"/>
        <w:rPr>
          <w:rFonts w:hint="eastAsia" w:ascii="宋体" w:hAnsi="宋体" w:eastAsia="宋体" w:cs="宋体"/>
          <w:color w:val="auto"/>
          <w:kern w:val="24"/>
          <w:sz w:val="24"/>
          <w:szCs w:val="24"/>
          <w:highlight w:val="none"/>
        </w:rPr>
      </w:pPr>
      <w:r>
        <w:rPr>
          <w:rFonts w:hint="eastAsia" w:ascii="宋体" w:hAnsi="宋体" w:eastAsia="宋体" w:cs="宋体"/>
          <w:color w:val="auto"/>
          <w:kern w:val="24"/>
          <w:sz w:val="24"/>
          <w:szCs w:val="24"/>
          <w:highlight w:val="none"/>
        </w:rPr>
        <w:t xml:space="preserve">3.2.3  查询渠道：“信用中国”网站（www.creditchina.gov.cn）和中国政府采购网（www.ccgp.gov.cn）； </w:t>
      </w:r>
    </w:p>
    <w:p w14:paraId="1C06329F">
      <w:pPr>
        <w:keepNext w:val="0"/>
        <w:keepLines w:val="0"/>
        <w:pageBreakBefore w:val="0"/>
        <w:tabs>
          <w:tab w:val="left" w:pos="588"/>
        </w:tabs>
        <w:kinsoku/>
        <w:wordWrap/>
        <w:overflowPunct/>
        <w:topLinePunct w:val="0"/>
        <w:bidi w:val="0"/>
        <w:spacing w:line="480" w:lineRule="exact"/>
        <w:ind w:firstLine="480" w:firstLineChars="200"/>
        <w:textAlignment w:val="auto"/>
        <w:rPr>
          <w:rFonts w:hint="eastAsia" w:ascii="宋体" w:hAnsi="宋体" w:eastAsia="宋体" w:cs="宋体"/>
          <w:color w:val="auto"/>
          <w:kern w:val="24"/>
          <w:sz w:val="24"/>
          <w:szCs w:val="24"/>
          <w:highlight w:val="none"/>
        </w:rPr>
      </w:pPr>
      <w:r>
        <w:rPr>
          <w:rFonts w:hint="eastAsia" w:ascii="宋体" w:hAnsi="宋体" w:eastAsia="宋体" w:cs="宋体"/>
          <w:color w:val="auto"/>
          <w:kern w:val="24"/>
          <w:sz w:val="24"/>
          <w:szCs w:val="24"/>
          <w:highlight w:val="none"/>
        </w:rPr>
        <w:t xml:space="preserve">3.2.4  信用信息查询记录和证据留存具体方式：将经查询存在不良信用记录的潜在供应商的查询结果网页截图作为查询记录和证据，与其他采购文件一并保存； </w:t>
      </w:r>
    </w:p>
    <w:p w14:paraId="0E940DDA">
      <w:pPr>
        <w:keepNext w:val="0"/>
        <w:keepLines w:val="0"/>
        <w:pageBreakBefore w:val="0"/>
        <w:tabs>
          <w:tab w:val="left" w:pos="588"/>
        </w:tabs>
        <w:kinsoku/>
        <w:wordWrap/>
        <w:overflowPunct/>
        <w:topLinePunct w:val="0"/>
        <w:bidi w:val="0"/>
        <w:spacing w:line="480" w:lineRule="exact"/>
        <w:ind w:firstLine="480" w:firstLineChars="200"/>
        <w:textAlignment w:val="auto"/>
        <w:rPr>
          <w:rFonts w:hint="eastAsia" w:ascii="宋体" w:hAnsi="宋体" w:eastAsia="宋体" w:cs="宋体"/>
          <w:color w:val="auto"/>
          <w:kern w:val="24"/>
          <w:sz w:val="24"/>
          <w:szCs w:val="24"/>
          <w:highlight w:val="none"/>
        </w:rPr>
      </w:pPr>
      <w:r>
        <w:rPr>
          <w:rFonts w:hint="eastAsia" w:ascii="宋体" w:hAnsi="宋体" w:eastAsia="宋体" w:cs="宋体"/>
          <w:color w:val="auto"/>
          <w:kern w:val="24"/>
          <w:sz w:val="24"/>
          <w:szCs w:val="24"/>
          <w:highlight w:val="none"/>
        </w:rPr>
        <w:t>3.3.5  信用信息的使用规则：采购人或采购代理机构若发现参与本项目政府采购活动的供应商在存在不良信用记录的，将信用信息查询记录提交给磋商小组，作无效文件进行处理。</w:t>
      </w:r>
    </w:p>
    <w:p w14:paraId="65E1D2B6">
      <w:pPr>
        <w:keepNext w:val="0"/>
        <w:keepLines w:val="0"/>
        <w:pageBreakBefore w:val="0"/>
        <w:tabs>
          <w:tab w:val="left" w:pos="588"/>
        </w:tabs>
        <w:kinsoku/>
        <w:wordWrap/>
        <w:overflowPunct/>
        <w:topLinePunct w:val="0"/>
        <w:bidi w:val="0"/>
        <w:spacing w:line="480" w:lineRule="exact"/>
        <w:ind w:firstLine="480" w:firstLineChars="200"/>
        <w:textAlignment w:val="auto"/>
        <w:rPr>
          <w:rFonts w:hint="eastAsia" w:ascii="宋体" w:hAnsi="宋体" w:eastAsia="宋体" w:cs="宋体"/>
          <w:color w:val="auto"/>
          <w:kern w:val="24"/>
          <w:sz w:val="24"/>
          <w:szCs w:val="24"/>
          <w:highlight w:val="none"/>
        </w:rPr>
      </w:pPr>
      <w:r>
        <w:rPr>
          <w:rFonts w:hint="eastAsia" w:ascii="宋体" w:hAnsi="宋体" w:eastAsia="宋体" w:cs="宋体"/>
          <w:color w:val="auto"/>
          <w:kern w:val="24"/>
          <w:sz w:val="24"/>
          <w:szCs w:val="24"/>
          <w:highlight w:val="none"/>
        </w:rPr>
        <w:t>3.4    供应商必须向采购人领取磋商文件并登记备案，未向采购人领取磋商文件并登记备案的潜在供应商均无资格参加本次采购。</w:t>
      </w:r>
    </w:p>
    <w:p w14:paraId="6684C18C">
      <w:pPr>
        <w:keepNext w:val="0"/>
        <w:keepLines w:val="0"/>
        <w:pageBreakBefore w:val="0"/>
        <w:tabs>
          <w:tab w:val="left" w:pos="588"/>
        </w:tabs>
        <w:kinsoku/>
        <w:wordWrap/>
        <w:overflowPunct/>
        <w:topLinePunct w:val="0"/>
        <w:bidi w:val="0"/>
        <w:spacing w:line="480" w:lineRule="exact"/>
        <w:ind w:firstLine="480" w:firstLineChars="200"/>
        <w:textAlignment w:val="auto"/>
        <w:rPr>
          <w:rFonts w:hint="eastAsia" w:ascii="宋体" w:hAnsi="宋体" w:eastAsia="宋体" w:cs="宋体"/>
          <w:color w:val="auto"/>
          <w:kern w:val="24"/>
          <w:sz w:val="24"/>
          <w:szCs w:val="24"/>
          <w:highlight w:val="none"/>
        </w:rPr>
      </w:pPr>
      <w:r>
        <w:rPr>
          <w:rFonts w:hint="eastAsia" w:ascii="宋体" w:hAnsi="宋体" w:eastAsia="宋体" w:cs="宋体"/>
          <w:color w:val="auto"/>
          <w:kern w:val="24"/>
          <w:sz w:val="24"/>
          <w:szCs w:val="24"/>
          <w:highlight w:val="none"/>
        </w:rPr>
        <w:t>3.5    供应商应遵守《中华人民共和国政府采购法》及其它有关的中国法律和法规。</w:t>
      </w:r>
    </w:p>
    <w:p w14:paraId="6E6F0259">
      <w:pPr>
        <w:pStyle w:val="4"/>
        <w:keepNext w:val="0"/>
        <w:keepLines w:val="0"/>
        <w:pageBreakBefore w:val="0"/>
        <w:kinsoku/>
        <w:wordWrap/>
        <w:overflowPunct/>
        <w:topLinePunct w:val="0"/>
        <w:bidi w:val="0"/>
        <w:spacing w:line="480" w:lineRule="exact"/>
        <w:ind w:firstLine="482" w:firstLineChars="200"/>
        <w:textAlignment w:val="auto"/>
        <w:rPr>
          <w:rFonts w:hint="eastAsia" w:ascii="宋体" w:hAnsi="宋体" w:eastAsia="宋体" w:cs="宋体"/>
          <w:b/>
          <w:color w:val="auto"/>
          <w:sz w:val="24"/>
          <w:szCs w:val="24"/>
          <w:highlight w:val="none"/>
        </w:rPr>
      </w:pPr>
      <w:bookmarkStart w:id="107" w:name="_Toc249515283"/>
      <w:bookmarkStart w:id="108" w:name="_Toc249525164"/>
      <w:bookmarkStart w:id="109" w:name="_Toc26580"/>
      <w:bookmarkStart w:id="110" w:name="_Toc385992330"/>
      <w:bookmarkStart w:id="111" w:name="_Toc184043017"/>
      <w:bookmarkStart w:id="112" w:name="_Toc249515395"/>
      <w:bookmarkStart w:id="113" w:name="_Toc389620169"/>
      <w:bookmarkStart w:id="114" w:name="_Toc70687144"/>
      <w:r>
        <w:rPr>
          <w:rFonts w:hint="eastAsia" w:ascii="宋体" w:hAnsi="宋体" w:eastAsia="宋体" w:cs="宋体"/>
          <w:b/>
          <w:color w:val="auto"/>
          <w:sz w:val="24"/>
          <w:szCs w:val="24"/>
          <w:highlight w:val="none"/>
        </w:rPr>
        <w:t xml:space="preserve">4.  </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磋商费用</w:t>
      </w:r>
      <w:bookmarkEnd w:id="107"/>
      <w:bookmarkEnd w:id="108"/>
      <w:bookmarkEnd w:id="109"/>
      <w:bookmarkEnd w:id="110"/>
      <w:bookmarkEnd w:id="111"/>
      <w:bookmarkEnd w:id="112"/>
      <w:bookmarkEnd w:id="113"/>
      <w:bookmarkEnd w:id="114"/>
    </w:p>
    <w:p w14:paraId="2F58BD52">
      <w:pPr>
        <w:keepNext w:val="0"/>
        <w:keepLines w:val="0"/>
        <w:pageBreakBefore w:val="0"/>
        <w:tabs>
          <w:tab w:val="left" w:pos="588"/>
        </w:tabs>
        <w:kinsoku/>
        <w:wordWrap/>
        <w:overflowPunct/>
        <w:topLinePunct w:val="0"/>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4"/>
          <w:sz w:val="24"/>
          <w:szCs w:val="24"/>
          <w:highlight w:val="none"/>
        </w:rPr>
        <w:t>4.1    供应商应承担所有与编写和提交响应文件有关的费用，无论磋商过程和结果如何，采购人在任何情况下均无义务和责任承担这些费用。</w:t>
      </w:r>
    </w:p>
    <w:p w14:paraId="1963CB66">
      <w:pPr>
        <w:pStyle w:val="27"/>
        <w:keepNext w:val="0"/>
        <w:keepLines w:val="0"/>
        <w:pageBreakBefore w:val="0"/>
        <w:kinsoku/>
        <w:wordWrap/>
        <w:overflowPunct/>
        <w:topLinePunct w:val="0"/>
        <w:bidi w:val="0"/>
        <w:spacing w:before="24" w:after="24" w:line="480" w:lineRule="exact"/>
        <w:ind w:left="3313" w:firstLine="482" w:firstLineChars="200"/>
        <w:textAlignment w:val="auto"/>
        <w:rPr>
          <w:rFonts w:hint="eastAsia" w:ascii="宋体" w:hAnsi="宋体" w:eastAsia="宋体" w:cs="宋体"/>
          <w:color w:val="auto"/>
          <w:sz w:val="24"/>
          <w:szCs w:val="24"/>
          <w:highlight w:val="none"/>
        </w:rPr>
      </w:pPr>
      <w:bookmarkStart w:id="115" w:name="_Toc19150"/>
      <w:r>
        <w:rPr>
          <w:rFonts w:hint="eastAsia" w:ascii="宋体" w:hAnsi="宋体" w:eastAsia="宋体" w:cs="宋体"/>
          <w:color w:val="auto"/>
          <w:sz w:val="24"/>
          <w:szCs w:val="24"/>
          <w:highlight w:val="none"/>
        </w:rPr>
        <w:t>二、磋商文件说明</w:t>
      </w:r>
      <w:bookmarkEnd w:id="115"/>
    </w:p>
    <w:p w14:paraId="20905F23">
      <w:pPr>
        <w:pStyle w:val="4"/>
        <w:keepNext w:val="0"/>
        <w:keepLines w:val="0"/>
        <w:pageBreakBefore w:val="0"/>
        <w:numPr>
          <w:ilvl w:val="0"/>
          <w:numId w:val="2"/>
        </w:numPr>
        <w:kinsoku/>
        <w:wordWrap/>
        <w:overflowPunct/>
        <w:topLinePunct w:val="0"/>
        <w:bidi w:val="0"/>
        <w:spacing w:line="480" w:lineRule="exact"/>
        <w:ind w:firstLine="482" w:firstLineChars="200"/>
        <w:textAlignment w:val="auto"/>
        <w:rPr>
          <w:rFonts w:hint="eastAsia" w:ascii="宋体" w:hAnsi="宋体" w:eastAsia="宋体" w:cs="宋体"/>
          <w:b/>
          <w:color w:val="auto"/>
          <w:sz w:val="24"/>
          <w:szCs w:val="24"/>
          <w:highlight w:val="none"/>
        </w:rPr>
      </w:pPr>
      <w:bookmarkStart w:id="116" w:name="_Toc128"/>
      <w:bookmarkStart w:id="117" w:name="_Toc249515397"/>
      <w:bookmarkStart w:id="118" w:name="_Toc70687146"/>
      <w:bookmarkStart w:id="119" w:name="_Toc184043019"/>
      <w:bookmarkStart w:id="120" w:name="_Toc385992332"/>
      <w:bookmarkStart w:id="121" w:name="_Toc249515285"/>
      <w:bookmarkStart w:id="122" w:name="_Toc249525166"/>
      <w:bookmarkStart w:id="123" w:name="_Toc389620171"/>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通知</w:t>
      </w:r>
      <w:bookmarkEnd w:id="116"/>
    </w:p>
    <w:p w14:paraId="79E10327">
      <w:pPr>
        <w:keepNext w:val="0"/>
        <w:keepLines w:val="0"/>
        <w:pageBreakBefore w:val="0"/>
        <w:tabs>
          <w:tab w:val="left" w:pos="588"/>
        </w:tabs>
        <w:kinsoku/>
        <w:wordWrap/>
        <w:overflowPunct/>
        <w:topLinePunct w:val="0"/>
        <w:bidi w:val="0"/>
        <w:spacing w:line="480" w:lineRule="exact"/>
        <w:ind w:firstLine="480" w:firstLineChars="200"/>
        <w:textAlignment w:val="auto"/>
        <w:rPr>
          <w:rFonts w:hint="eastAsia" w:ascii="宋体" w:hAnsi="宋体" w:eastAsia="宋体" w:cs="宋体"/>
          <w:color w:val="auto"/>
          <w:kern w:val="24"/>
          <w:sz w:val="24"/>
          <w:szCs w:val="24"/>
          <w:highlight w:val="none"/>
        </w:rPr>
      </w:pPr>
      <w:r>
        <w:rPr>
          <w:rFonts w:hint="eastAsia" w:ascii="宋体" w:hAnsi="宋体" w:eastAsia="宋体" w:cs="宋体"/>
          <w:color w:val="auto"/>
          <w:kern w:val="24"/>
          <w:sz w:val="24"/>
          <w:szCs w:val="24"/>
          <w:highlight w:val="none"/>
        </w:rPr>
        <w:t>5.1    对与本项目有关的通知，采购人或采购代理机构将以书面（包括书面材料、信函、传真、电子邮件等，下同）的形式，送达所有与通知有关的已登记备案并领取了磋商文件的供应商（潜在供应商），传真号码以供应商登记的为准。供应商应于收到通知后按规定时间以书面方式予以回复确认。因登记有误或传真线路故障导致通知延迟送达或无法送达，采购人或采购代理机构不承担责任。</w:t>
      </w:r>
    </w:p>
    <w:p w14:paraId="32F0BC8A">
      <w:pPr>
        <w:pStyle w:val="4"/>
        <w:keepNext w:val="0"/>
        <w:keepLines w:val="0"/>
        <w:pageBreakBefore w:val="0"/>
        <w:kinsoku/>
        <w:wordWrap/>
        <w:overflowPunct/>
        <w:topLinePunct w:val="0"/>
        <w:bidi w:val="0"/>
        <w:spacing w:line="480" w:lineRule="exact"/>
        <w:ind w:firstLine="482" w:firstLineChars="200"/>
        <w:textAlignment w:val="auto"/>
        <w:rPr>
          <w:rFonts w:hint="eastAsia" w:ascii="宋体" w:hAnsi="宋体" w:eastAsia="宋体" w:cs="宋体"/>
          <w:b/>
          <w:color w:val="auto"/>
          <w:sz w:val="24"/>
          <w:szCs w:val="24"/>
          <w:highlight w:val="none"/>
        </w:rPr>
      </w:pPr>
      <w:bookmarkStart w:id="124" w:name="_Toc27223"/>
      <w:r>
        <w:rPr>
          <w:rFonts w:hint="eastAsia" w:ascii="宋体" w:hAnsi="宋体" w:eastAsia="宋体" w:cs="宋体"/>
          <w:b/>
          <w:color w:val="auto"/>
          <w:sz w:val="24"/>
          <w:szCs w:val="24"/>
          <w:highlight w:val="none"/>
        </w:rPr>
        <w:t>6.</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 xml:space="preserve"> 磋商文件的构成</w:t>
      </w:r>
      <w:bookmarkEnd w:id="117"/>
      <w:bookmarkEnd w:id="118"/>
      <w:bookmarkEnd w:id="119"/>
      <w:bookmarkEnd w:id="120"/>
      <w:bookmarkEnd w:id="121"/>
      <w:bookmarkEnd w:id="122"/>
      <w:bookmarkEnd w:id="123"/>
      <w:bookmarkEnd w:id="124"/>
    </w:p>
    <w:p w14:paraId="3DDEFDEB">
      <w:pPr>
        <w:keepNext w:val="0"/>
        <w:keepLines w:val="0"/>
        <w:pageBreakBefore w:val="0"/>
        <w:tabs>
          <w:tab w:val="left" w:pos="588"/>
        </w:tabs>
        <w:kinsoku/>
        <w:wordWrap/>
        <w:overflowPunct/>
        <w:topLinePunct w:val="0"/>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rPr>
        <w:t>1    磋商文件用以阐明供应商所需提供的货物以及其它类似的义务、采购响应程序和合同条款。磋商文件包括如下</w:t>
      </w:r>
      <w:r>
        <w:rPr>
          <w:rFonts w:hint="eastAsia" w:ascii="宋体" w:hAnsi="宋体" w:eastAsia="宋体" w:cs="宋体"/>
          <w:color w:val="auto"/>
          <w:sz w:val="24"/>
          <w:szCs w:val="24"/>
          <w:highlight w:val="none"/>
          <w:lang w:eastAsia="zh-CN"/>
        </w:rPr>
        <w:t>六</w:t>
      </w:r>
      <w:r>
        <w:rPr>
          <w:rFonts w:hint="eastAsia" w:ascii="宋体" w:hAnsi="宋体" w:eastAsia="宋体" w:cs="宋体"/>
          <w:color w:val="auto"/>
          <w:sz w:val="24"/>
          <w:szCs w:val="24"/>
          <w:highlight w:val="none"/>
        </w:rPr>
        <w:t>章内容：</w:t>
      </w:r>
    </w:p>
    <w:p w14:paraId="79CB0DB3">
      <w:pPr>
        <w:pStyle w:val="6"/>
        <w:keepNext w:val="0"/>
        <w:keepLines w:val="0"/>
        <w:pageBreakBefore w:val="0"/>
        <w:kinsoku/>
        <w:wordWrap/>
        <w:overflowPunct/>
        <w:topLinePunct w:val="0"/>
        <w:bidi w:val="0"/>
        <w:spacing w:line="48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磋商公告</w:t>
      </w:r>
    </w:p>
    <w:p w14:paraId="1B974969">
      <w:pPr>
        <w:pStyle w:val="6"/>
        <w:keepNext w:val="0"/>
        <w:keepLines w:val="0"/>
        <w:pageBreakBefore w:val="0"/>
        <w:kinsoku/>
        <w:wordWrap/>
        <w:overflowPunct/>
        <w:topLinePunct w:val="0"/>
        <w:bidi w:val="0"/>
        <w:spacing w:line="48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供应商须知</w:t>
      </w:r>
    </w:p>
    <w:p w14:paraId="757935EB">
      <w:pPr>
        <w:pStyle w:val="6"/>
        <w:keepNext w:val="0"/>
        <w:keepLines w:val="0"/>
        <w:pageBreakBefore w:val="0"/>
        <w:kinsoku/>
        <w:wordWrap/>
        <w:overflowPunct/>
        <w:topLinePunct w:val="0"/>
        <w:bidi w:val="0"/>
        <w:spacing w:line="48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评审办法和标准</w:t>
      </w:r>
    </w:p>
    <w:p w14:paraId="1F427D06">
      <w:pPr>
        <w:pStyle w:val="6"/>
        <w:keepNext w:val="0"/>
        <w:keepLines w:val="0"/>
        <w:pageBreakBefore w:val="0"/>
        <w:kinsoku/>
        <w:wordWrap/>
        <w:overflowPunct/>
        <w:topLinePunct w:val="0"/>
        <w:bidi w:val="0"/>
        <w:spacing w:line="480" w:lineRule="exact"/>
        <w:ind w:firstLine="240" w:firstLineChars="1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第四章</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合同</w:t>
      </w:r>
      <w:r>
        <w:rPr>
          <w:rFonts w:hint="eastAsia" w:ascii="宋体" w:hAnsi="宋体" w:eastAsia="宋体" w:cs="宋体"/>
          <w:color w:val="auto"/>
          <w:sz w:val="24"/>
          <w:szCs w:val="24"/>
          <w:highlight w:val="none"/>
          <w:lang w:eastAsia="zh-CN"/>
        </w:rPr>
        <w:t>格式</w:t>
      </w:r>
    </w:p>
    <w:p w14:paraId="38EDFFB9">
      <w:pPr>
        <w:pStyle w:val="6"/>
        <w:keepNext w:val="0"/>
        <w:keepLines w:val="0"/>
        <w:pageBreakBefore w:val="0"/>
        <w:kinsoku/>
        <w:wordWrap/>
        <w:overflowPunct/>
        <w:topLinePunct w:val="0"/>
        <w:bidi w:val="0"/>
        <w:spacing w:line="48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第五章</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采购内容及要求</w:t>
      </w:r>
    </w:p>
    <w:p w14:paraId="467AF877">
      <w:pPr>
        <w:pStyle w:val="6"/>
        <w:keepNext w:val="0"/>
        <w:keepLines w:val="0"/>
        <w:pageBreakBefore w:val="0"/>
        <w:kinsoku/>
        <w:wordWrap/>
        <w:overflowPunct/>
        <w:topLinePunct w:val="0"/>
        <w:bidi w:val="0"/>
        <w:spacing w:line="48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第六章</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磋商响应文件格式</w:t>
      </w:r>
    </w:p>
    <w:p w14:paraId="302FFF65">
      <w:pPr>
        <w:keepNext w:val="0"/>
        <w:keepLines w:val="0"/>
        <w:pageBreakBefore w:val="0"/>
        <w:tabs>
          <w:tab w:val="left" w:pos="588"/>
        </w:tabs>
        <w:kinsoku/>
        <w:wordWrap/>
        <w:overflowPunct/>
        <w:topLinePunct w:val="0"/>
        <w:bidi w:val="0"/>
        <w:spacing w:line="48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    供应商应认真阅读磋商文件中所有的事项、格式条款和规范要求等。供应商没有对磋商文件做出全面的实质性响应是供应商的风险。采购人有权拒绝没有对磋商文件要求做出实质性响应的响应文件。</w:t>
      </w:r>
    </w:p>
    <w:p w14:paraId="4BB10026">
      <w:pPr>
        <w:pStyle w:val="4"/>
        <w:keepNext w:val="0"/>
        <w:keepLines w:val="0"/>
        <w:pageBreakBefore w:val="0"/>
        <w:kinsoku/>
        <w:wordWrap/>
        <w:overflowPunct/>
        <w:topLinePunct w:val="0"/>
        <w:bidi w:val="0"/>
        <w:spacing w:line="480" w:lineRule="exact"/>
        <w:ind w:firstLine="482" w:firstLineChars="200"/>
        <w:textAlignment w:val="auto"/>
        <w:rPr>
          <w:rFonts w:hint="eastAsia" w:ascii="宋体" w:hAnsi="宋体" w:eastAsia="宋体" w:cs="宋体"/>
          <w:b/>
          <w:color w:val="auto"/>
          <w:sz w:val="24"/>
          <w:szCs w:val="24"/>
          <w:highlight w:val="none"/>
        </w:rPr>
      </w:pPr>
      <w:bookmarkStart w:id="125" w:name="_Toc249525167"/>
      <w:bookmarkStart w:id="126" w:name="_Toc184043020"/>
      <w:bookmarkStart w:id="127" w:name="_Toc249515398"/>
      <w:bookmarkStart w:id="128" w:name="_Toc389620172"/>
      <w:bookmarkStart w:id="129" w:name="_Toc249515286"/>
      <w:bookmarkStart w:id="130" w:name="_Toc385992333"/>
      <w:bookmarkStart w:id="131" w:name="_Toc70687147"/>
      <w:bookmarkStart w:id="132" w:name="_Toc10350"/>
      <w:r>
        <w:rPr>
          <w:rFonts w:hint="eastAsia" w:ascii="宋体" w:hAnsi="宋体" w:eastAsia="宋体" w:cs="宋体"/>
          <w:b/>
          <w:color w:val="auto"/>
          <w:sz w:val="24"/>
          <w:szCs w:val="24"/>
          <w:highlight w:val="none"/>
        </w:rPr>
        <w:t xml:space="preserve">7.  </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磋商文件的澄清</w:t>
      </w:r>
      <w:bookmarkEnd w:id="125"/>
      <w:bookmarkEnd w:id="126"/>
      <w:bookmarkEnd w:id="127"/>
      <w:bookmarkEnd w:id="128"/>
      <w:bookmarkEnd w:id="129"/>
      <w:bookmarkEnd w:id="130"/>
      <w:bookmarkEnd w:id="131"/>
      <w:r>
        <w:rPr>
          <w:rFonts w:hint="eastAsia" w:ascii="宋体" w:hAnsi="宋体" w:eastAsia="宋体" w:cs="宋体"/>
          <w:b/>
          <w:color w:val="auto"/>
          <w:sz w:val="24"/>
          <w:szCs w:val="24"/>
          <w:highlight w:val="none"/>
        </w:rPr>
        <w:t>和修改</w:t>
      </w:r>
      <w:bookmarkEnd w:id="132"/>
    </w:p>
    <w:p w14:paraId="0EC9A7E9">
      <w:pPr>
        <w:keepNext w:val="0"/>
        <w:keepLines w:val="0"/>
        <w:pageBreakBefore w:val="0"/>
        <w:tabs>
          <w:tab w:val="left" w:pos="588"/>
        </w:tabs>
        <w:kinsoku/>
        <w:wordWrap/>
        <w:overflowPunct/>
        <w:topLinePunct w:val="0"/>
        <w:bidi w:val="0"/>
        <w:spacing w:line="480" w:lineRule="exact"/>
        <w:ind w:firstLine="480" w:firstLineChars="200"/>
        <w:textAlignment w:val="auto"/>
        <w:rPr>
          <w:rFonts w:hint="eastAsia" w:ascii="宋体" w:hAnsi="宋体" w:eastAsia="宋体" w:cs="宋体"/>
          <w:color w:val="auto"/>
          <w:sz w:val="24"/>
          <w:szCs w:val="24"/>
          <w:highlight w:val="none"/>
        </w:rPr>
      </w:pPr>
      <w:bookmarkStart w:id="133" w:name="_Toc385992334"/>
      <w:bookmarkStart w:id="134" w:name="_Toc389620173"/>
      <w:bookmarkStart w:id="135" w:name="_Toc70687148"/>
      <w:r>
        <w:rPr>
          <w:rFonts w:hint="eastAsia" w:ascii="宋体" w:hAnsi="宋体" w:eastAsia="宋体" w:cs="宋体"/>
          <w:color w:val="auto"/>
          <w:sz w:val="24"/>
          <w:szCs w:val="24"/>
          <w:highlight w:val="none"/>
        </w:rPr>
        <w:t xml:space="preserve">7.1   </w:t>
      </w:r>
      <w:bookmarkEnd w:id="133"/>
      <w:bookmarkEnd w:id="134"/>
      <w:bookmarkEnd w:id="135"/>
      <w:bookmarkStart w:id="136" w:name="_Toc492955418"/>
      <w:bookmarkStart w:id="137" w:name="_Toc70687149"/>
      <w:bookmarkStart w:id="138" w:name="_Toc499711887"/>
      <w:bookmarkStart w:id="139" w:name="_Toc496324582"/>
      <w:bookmarkStart w:id="140" w:name="_Toc503063425"/>
      <w:bookmarkStart w:id="141" w:name="_Toc500746969"/>
      <w:bookmarkStart w:id="142" w:name="_Toc500747192"/>
      <w:bookmarkStart w:id="143" w:name="_Toc389620174"/>
      <w:bookmarkStart w:id="144" w:name="_Toc385992335"/>
      <w:bookmarkStart w:id="145" w:name="_Toc53722843"/>
      <w:bookmarkStart w:id="146" w:name="_Toc500747065"/>
      <w:bookmarkStart w:id="147" w:name="_Toc499711046"/>
      <w:r>
        <w:rPr>
          <w:rFonts w:hint="eastAsia" w:ascii="宋体" w:hAnsi="宋体" w:eastAsia="宋体" w:cs="宋体"/>
          <w:color w:val="auto"/>
          <w:sz w:val="24"/>
          <w:szCs w:val="24"/>
          <w:highlight w:val="none"/>
        </w:rPr>
        <w:t>在首次响应文件递交截止时间前，采购人或采购代理机构可以对已发出的磋商文件进行必要的澄清或修改，澄清或修改的内容为磋商文件的组成部分。</w:t>
      </w:r>
    </w:p>
    <w:p w14:paraId="2C870AC2">
      <w:pPr>
        <w:keepNext w:val="0"/>
        <w:keepLines w:val="0"/>
        <w:pageBreakBefore w:val="0"/>
        <w:tabs>
          <w:tab w:val="left" w:pos="588"/>
        </w:tabs>
        <w:kinsoku/>
        <w:wordWrap/>
        <w:overflowPunct/>
        <w:topLinePunct w:val="0"/>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   磋商文件的修改将以书面形式通知所有领取磋商文件的供应商，并对其具有约束力。供应商在收到上述通知后，应立即向采购人回函确认。</w:t>
      </w:r>
    </w:p>
    <w:p w14:paraId="19D302A3">
      <w:pPr>
        <w:keepNext w:val="0"/>
        <w:keepLines w:val="0"/>
        <w:pageBreakBefore w:val="0"/>
        <w:tabs>
          <w:tab w:val="left" w:pos="588"/>
        </w:tabs>
        <w:kinsoku/>
        <w:wordWrap/>
        <w:overflowPunct/>
        <w:topLinePunct w:val="0"/>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澄清或修改的内容可能影响响应文件编制的，采购人或采购代理机构可适当延长首次响应文件递交截止时间，并以书面形式通知所有领取磋商文件的供应商。</w:t>
      </w:r>
    </w:p>
    <w:p w14:paraId="130E0BF1">
      <w:pPr>
        <w:pStyle w:val="27"/>
        <w:keepNext w:val="0"/>
        <w:keepLines w:val="0"/>
        <w:pageBreakBefore w:val="0"/>
        <w:kinsoku/>
        <w:wordWrap/>
        <w:overflowPunct/>
        <w:topLinePunct w:val="0"/>
        <w:bidi w:val="0"/>
        <w:spacing w:before="24" w:after="24" w:line="480" w:lineRule="exact"/>
        <w:ind w:left="3313" w:firstLine="482" w:firstLineChars="200"/>
        <w:textAlignment w:val="auto"/>
        <w:rPr>
          <w:rFonts w:hint="eastAsia" w:ascii="宋体" w:hAnsi="宋体" w:eastAsia="宋体" w:cs="宋体"/>
          <w:color w:val="auto"/>
          <w:sz w:val="24"/>
          <w:szCs w:val="24"/>
          <w:highlight w:val="none"/>
        </w:rPr>
      </w:pPr>
      <w:bookmarkStart w:id="148" w:name="_Toc232395215"/>
      <w:bookmarkStart w:id="149" w:name="_Toc176882545"/>
      <w:bookmarkStart w:id="150" w:name="_Toc177995476"/>
      <w:bookmarkStart w:id="151" w:name="_Toc230013635"/>
      <w:bookmarkStart w:id="152" w:name="_Toc177189238"/>
      <w:bookmarkStart w:id="153" w:name="_Toc249515400"/>
      <w:bookmarkStart w:id="154" w:name="_Toc249525169"/>
      <w:bookmarkStart w:id="155" w:name="_Toc256342146"/>
      <w:bookmarkStart w:id="156" w:name="_Toc177817337"/>
      <w:bookmarkStart w:id="157" w:name="_Toc232176275"/>
      <w:bookmarkStart w:id="158" w:name="_Toc22832"/>
      <w:bookmarkStart w:id="159" w:name="_Toc184043022"/>
      <w:bookmarkStart w:id="160" w:name="_Toc249515288"/>
      <w:bookmarkStart w:id="161" w:name="_Toc230099800"/>
      <w:bookmarkStart w:id="162" w:name="_Toc230583544"/>
      <w:r>
        <w:rPr>
          <w:rFonts w:hint="eastAsia" w:ascii="宋体" w:hAnsi="宋体" w:eastAsia="宋体" w:cs="宋体"/>
          <w:color w:val="auto"/>
          <w:sz w:val="24"/>
          <w:szCs w:val="24"/>
          <w:highlight w:val="none"/>
        </w:rPr>
        <w:t>三、响应文件的编写</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0518E298">
      <w:pPr>
        <w:pStyle w:val="4"/>
        <w:keepNext w:val="0"/>
        <w:keepLines w:val="0"/>
        <w:pageBreakBefore w:val="0"/>
        <w:kinsoku/>
        <w:wordWrap/>
        <w:overflowPunct/>
        <w:topLinePunct w:val="0"/>
        <w:bidi w:val="0"/>
        <w:spacing w:line="480" w:lineRule="exact"/>
        <w:ind w:firstLine="482" w:firstLineChars="200"/>
        <w:textAlignment w:val="auto"/>
        <w:rPr>
          <w:rFonts w:hint="eastAsia" w:ascii="宋体" w:hAnsi="宋体" w:eastAsia="宋体" w:cs="宋体"/>
          <w:b/>
          <w:color w:val="auto"/>
          <w:sz w:val="24"/>
          <w:szCs w:val="24"/>
          <w:highlight w:val="none"/>
        </w:rPr>
      </w:pPr>
      <w:bookmarkStart w:id="163" w:name="_Toc249515401"/>
      <w:bookmarkStart w:id="164" w:name="_Toc30150"/>
      <w:bookmarkStart w:id="165" w:name="_Toc249525170"/>
      <w:bookmarkStart w:id="166" w:name="_Toc70687150"/>
      <w:bookmarkStart w:id="167" w:name="_Toc249515289"/>
      <w:bookmarkStart w:id="168" w:name="_Toc184043023"/>
      <w:bookmarkStart w:id="169" w:name="_Toc385992337"/>
      <w:bookmarkStart w:id="170" w:name="_Toc389620176"/>
      <w:r>
        <w:rPr>
          <w:rFonts w:hint="eastAsia" w:ascii="宋体" w:hAnsi="宋体" w:eastAsia="宋体" w:cs="宋体"/>
          <w:b/>
          <w:color w:val="auto"/>
          <w:sz w:val="24"/>
          <w:szCs w:val="24"/>
          <w:highlight w:val="none"/>
        </w:rPr>
        <w:t>8.     响应文件语言</w:t>
      </w:r>
      <w:bookmarkEnd w:id="163"/>
      <w:bookmarkEnd w:id="164"/>
      <w:bookmarkEnd w:id="165"/>
      <w:bookmarkEnd w:id="166"/>
      <w:bookmarkEnd w:id="167"/>
      <w:bookmarkEnd w:id="168"/>
    </w:p>
    <w:p w14:paraId="1D34A1C9">
      <w:pPr>
        <w:keepNext w:val="0"/>
        <w:keepLines w:val="0"/>
        <w:pageBreakBefore w:val="0"/>
        <w:tabs>
          <w:tab w:val="left" w:pos="588"/>
        </w:tabs>
        <w:kinsoku/>
        <w:wordWrap/>
        <w:overflowPunct/>
        <w:topLinePunct w:val="0"/>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    响应文件及与响应相关的所有文件均应以中文书写。</w:t>
      </w:r>
    </w:p>
    <w:p w14:paraId="15E24621">
      <w:pPr>
        <w:pStyle w:val="4"/>
        <w:keepNext w:val="0"/>
        <w:keepLines w:val="0"/>
        <w:pageBreakBefore w:val="0"/>
        <w:kinsoku/>
        <w:wordWrap/>
        <w:overflowPunct/>
        <w:topLinePunct w:val="0"/>
        <w:bidi w:val="0"/>
        <w:spacing w:line="480" w:lineRule="exact"/>
        <w:ind w:firstLine="482" w:firstLineChars="200"/>
        <w:textAlignment w:val="auto"/>
        <w:rPr>
          <w:rFonts w:hint="eastAsia" w:ascii="宋体" w:hAnsi="宋体" w:eastAsia="宋体" w:cs="宋体"/>
          <w:b/>
          <w:color w:val="auto"/>
          <w:sz w:val="24"/>
          <w:szCs w:val="24"/>
          <w:highlight w:val="none"/>
        </w:rPr>
      </w:pPr>
      <w:bookmarkStart w:id="171" w:name="_Toc249515402"/>
      <w:bookmarkStart w:id="172" w:name="_Toc184043024"/>
      <w:bookmarkStart w:id="173" w:name="_Toc18327"/>
      <w:bookmarkStart w:id="174" w:name="_Toc70687151"/>
      <w:bookmarkStart w:id="175" w:name="_Toc249525171"/>
      <w:bookmarkStart w:id="176" w:name="_Toc249515290"/>
      <w:r>
        <w:rPr>
          <w:rFonts w:hint="eastAsia" w:ascii="宋体" w:hAnsi="宋体" w:eastAsia="宋体" w:cs="宋体"/>
          <w:b/>
          <w:color w:val="auto"/>
          <w:sz w:val="24"/>
          <w:szCs w:val="24"/>
          <w:highlight w:val="none"/>
        </w:rPr>
        <w:t>9.     计量单位</w:t>
      </w:r>
      <w:bookmarkEnd w:id="169"/>
      <w:bookmarkEnd w:id="170"/>
      <w:bookmarkEnd w:id="171"/>
      <w:bookmarkEnd w:id="172"/>
      <w:bookmarkEnd w:id="173"/>
      <w:bookmarkEnd w:id="174"/>
      <w:bookmarkEnd w:id="175"/>
      <w:bookmarkEnd w:id="176"/>
    </w:p>
    <w:p w14:paraId="0A3E21A5">
      <w:pPr>
        <w:keepNext w:val="0"/>
        <w:keepLines w:val="0"/>
        <w:pageBreakBefore w:val="0"/>
        <w:tabs>
          <w:tab w:val="left" w:pos="588"/>
        </w:tabs>
        <w:kinsoku/>
        <w:wordWrap/>
        <w:overflowPunct/>
        <w:topLinePunct w:val="0"/>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    除在磋商文件的技术规格中另有规定外，计量单位应使用中华人民共和国法定计量单位。</w:t>
      </w:r>
    </w:p>
    <w:p w14:paraId="0A9D4C9E">
      <w:pPr>
        <w:pStyle w:val="4"/>
        <w:keepNext w:val="0"/>
        <w:keepLines w:val="0"/>
        <w:pageBreakBefore w:val="0"/>
        <w:kinsoku/>
        <w:wordWrap/>
        <w:overflowPunct/>
        <w:topLinePunct w:val="0"/>
        <w:bidi w:val="0"/>
        <w:spacing w:line="480" w:lineRule="exact"/>
        <w:ind w:firstLine="482" w:firstLineChars="200"/>
        <w:textAlignment w:val="auto"/>
        <w:rPr>
          <w:rFonts w:hint="eastAsia" w:ascii="宋体" w:hAnsi="宋体" w:eastAsia="宋体" w:cs="宋体"/>
          <w:b/>
          <w:color w:val="auto"/>
          <w:sz w:val="24"/>
          <w:szCs w:val="24"/>
          <w:highlight w:val="none"/>
        </w:rPr>
      </w:pPr>
      <w:bookmarkStart w:id="177" w:name="_Toc249515291"/>
      <w:bookmarkStart w:id="178" w:name="_Toc70687152"/>
      <w:bookmarkStart w:id="179" w:name="_Toc29318"/>
      <w:bookmarkStart w:id="180" w:name="_Toc249525172"/>
      <w:bookmarkStart w:id="181" w:name="_Toc249515403"/>
      <w:bookmarkStart w:id="182" w:name="_Toc184043025"/>
      <w:bookmarkStart w:id="183" w:name="_Toc385992338"/>
      <w:bookmarkStart w:id="184" w:name="_Toc389620177"/>
      <w:r>
        <w:rPr>
          <w:rFonts w:hint="eastAsia" w:ascii="宋体" w:hAnsi="宋体" w:eastAsia="宋体" w:cs="宋体"/>
          <w:b/>
          <w:color w:val="auto"/>
          <w:sz w:val="24"/>
          <w:szCs w:val="24"/>
          <w:highlight w:val="none"/>
        </w:rPr>
        <w:t>10.    响应文件的组成</w:t>
      </w:r>
      <w:bookmarkEnd w:id="177"/>
      <w:bookmarkEnd w:id="178"/>
      <w:bookmarkEnd w:id="179"/>
      <w:bookmarkEnd w:id="180"/>
      <w:bookmarkEnd w:id="181"/>
      <w:bookmarkEnd w:id="182"/>
      <w:bookmarkEnd w:id="183"/>
      <w:bookmarkEnd w:id="184"/>
    </w:p>
    <w:p w14:paraId="0F68A798">
      <w:pPr>
        <w:keepNext w:val="0"/>
        <w:keepLines w:val="0"/>
        <w:pageBreakBefore w:val="0"/>
        <w:tabs>
          <w:tab w:val="left" w:pos="588"/>
        </w:tabs>
        <w:kinsoku/>
        <w:wordWrap/>
        <w:overflowPunct/>
        <w:topLinePunct w:val="0"/>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   供应商编写的响应文件由以下</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部分组成，应包括但不限于以下内容：</w:t>
      </w:r>
    </w:p>
    <w:p w14:paraId="3AC0DDF3">
      <w:pPr>
        <w:pStyle w:val="6"/>
        <w:keepNext w:val="0"/>
        <w:keepLines w:val="0"/>
        <w:pageBreakBefore w:val="0"/>
        <w:kinsoku/>
        <w:wordWrap/>
        <w:overflowPunct/>
        <w:topLinePunct w:val="0"/>
        <w:bidi w:val="0"/>
        <w:spacing w:line="480" w:lineRule="exact"/>
        <w:ind w:left="840" w:leftChars="4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第一部分 资格证明文件</w:t>
      </w:r>
    </w:p>
    <w:p w14:paraId="6214CBF4">
      <w:pPr>
        <w:pStyle w:val="6"/>
        <w:keepNext w:val="0"/>
        <w:keepLines w:val="0"/>
        <w:pageBreakBefore w:val="0"/>
        <w:kinsoku/>
        <w:wordWrap/>
        <w:overflowPunct/>
        <w:topLinePunct w:val="0"/>
        <w:bidi w:val="0"/>
        <w:spacing w:line="480" w:lineRule="exact"/>
        <w:ind w:left="840" w:leftChars="4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第二部分 符合性证明文件</w:t>
      </w:r>
    </w:p>
    <w:p w14:paraId="4EB432A6">
      <w:pPr>
        <w:pStyle w:val="6"/>
        <w:keepNext w:val="0"/>
        <w:keepLines w:val="0"/>
        <w:pageBreakBefore w:val="0"/>
        <w:kinsoku/>
        <w:wordWrap/>
        <w:overflowPunct/>
        <w:topLinePunct w:val="0"/>
        <w:bidi w:val="0"/>
        <w:spacing w:line="480" w:lineRule="exact"/>
        <w:ind w:left="840" w:leftChars="4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第三部分 磋商方案说明</w:t>
      </w:r>
    </w:p>
    <w:p w14:paraId="6C416A62">
      <w:pPr>
        <w:keepNext w:val="0"/>
        <w:keepLines w:val="0"/>
        <w:pageBreakBefore w:val="0"/>
        <w:tabs>
          <w:tab w:val="left" w:pos="588"/>
        </w:tabs>
        <w:kinsoku/>
        <w:wordWrap/>
        <w:overflowPunct/>
        <w:topLinePunct w:val="0"/>
        <w:bidi w:val="0"/>
        <w:spacing w:line="480" w:lineRule="exact"/>
        <w:ind w:firstLine="480" w:firstLineChars="200"/>
        <w:textAlignment w:val="auto"/>
        <w:rPr>
          <w:rFonts w:hint="eastAsia" w:ascii="宋体" w:hAnsi="宋体" w:eastAsia="宋体" w:cs="宋体"/>
          <w:color w:val="auto"/>
          <w:kern w:val="24"/>
          <w:sz w:val="24"/>
          <w:szCs w:val="24"/>
          <w:highlight w:val="none"/>
        </w:rPr>
      </w:pPr>
      <w:r>
        <w:rPr>
          <w:rFonts w:hint="eastAsia" w:ascii="宋体" w:hAnsi="宋体" w:eastAsia="宋体" w:cs="宋体"/>
          <w:color w:val="auto"/>
          <w:kern w:val="24"/>
          <w:sz w:val="24"/>
          <w:szCs w:val="24"/>
          <w:highlight w:val="none"/>
        </w:rPr>
        <w:t>10.2   供应商提供的以上材料必须真实有效，任何一项的虚假将导致其响应被拒绝。</w:t>
      </w:r>
    </w:p>
    <w:p w14:paraId="7E5C3D0A">
      <w:pPr>
        <w:pStyle w:val="4"/>
        <w:keepNext w:val="0"/>
        <w:keepLines w:val="0"/>
        <w:pageBreakBefore w:val="0"/>
        <w:kinsoku/>
        <w:wordWrap/>
        <w:overflowPunct/>
        <w:topLinePunct w:val="0"/>
        <w:bidi w:val="0"/>
        <w:spacing w:line="480" w:lineRule="exact"/>
        <w:ind w:firstLine="482" w:firstLineChars="200"/>
        <w:textAlignment w:val="auto"/>
        <w:rPr>
          <w:rFonts w:hint="eastAsia" w:ascii="宋体" w:hAnsi="宋体" w:eastAsia="宋体" w:cs="宋体"/>
          <w:b/>
          <w:color w:val="auto"/>
          <w:sz w:val="24"/>
          <w:szCs w:val="24"/>
          <w:highlight w:val="none"/>
        </w:rPr>
      </w:pPr>
      <w:bookmarkStart w:id="185" w:name="_Toc184043026"/>
      <w:bookmarkStart w:id="186" w:name="_Toc70687153"/>
      <w:bookmarkStart w:id="187" w:name="_Toc385992339"/>
      <w:bookmarkStart w:id="188" w:name="_Toc249525173"/>
      <w:bookmarkStart w:id="189" w:name="_Toc26312"/>
      <w:bookmarkStart w:id="190" w:name="_Toc389620178"/>
      <w:bookmarkStart w:id="191" w:name="_Toc249515292"/>
      <w:bookmarkStart w:id="192" w:name="_Toc249515404"/>
      <w:r>
        <w:rPr>
          <w:rFonts w:hint="eastAsia" w:ascii="宋体" w:hAnsi="宋体" w:eastAsia="宋体" w:cs="宋体"/>
          <w:b/>
          <w:color w:val="auto"/>
          <w:sz w:val="24"/>
          <w:szCs w:val="24"/>
          <w:highlight w:val="none"/>
        </w:rPr>
        <w:t>11.    响应文件格式</w:t>
      </w:r>
      <w:bookmarkEnd w:id="185"/>
      <w:bookmarkEnd w:id="186"/>
      <w:bookmarkEnd w:id="187"/>
      <w:bookmarkEnd w:id="188"/>
      <w:bookmarkEnd w:id="189"/>
      <w:bookmarkEnd w:id="190"/>
      <w:bookmarkEnd w:id="191"/>
      <w:bookmarkEnd w:id="192"/>
    </w:p>
    <w:p w14:paraId="0D76622A">
      <w:pPr>
        <w:keepNext w:val="0"/>
        <w:keepLines w:val="0"/>
        <w:pageBreakBefore w:val="0"/>
        <w:tabs>
          <w:tab w:val="left" w:pos="588"/>
        </w:tabs>
        <w:kinsoku/>
        <w:wordWrap/>
        <w:overflowPunct/>
        <w:topLinePunct w:val="0"/>
        <w:bidi w:val="0"/>
        <w:spacing w:line="480" w:lineRule="exact"/>
        <w:ind w:firstLine="480" w:firstLineChars="200"/>
        <w:textAlignment w:val="auto"/>
        <w:rPr>
          <w:rFonts w:hint="eastAsia" w:ascii="宋体" w:hAnsi="宋体" w:eastAsia="宋体" w:cs="宋体"/>
          <w:color w:val="auto"/>
          <w:kern w:val="24"/>
          <w:sz w:val="24"/>
          <w:szCs w:val="24"/>
          <w:highlight w:val="none"/>
        </w:rPr>
      </w:pPr>
      <w:r>
        <w:rPr>
          <w:rFonts w:hint="eastAsia" w:ascii="宋体" w:hAnsi="宋体" w:eastAsia="宋体" w:cs="宋体"/>
          <w:color w:val="auto"/>
          <w:kern w:val="24"/>
          <w:sz w:val="24"/>
          <w:szCs w:val="24"/>
          <w:highlight w:val="none"/>
        </w:rPr>
        <w:t>11.1   对于磋商文件第六章中已经提供了格式的响应文件内容，供应商必须按提供的响应文件格式进行填写和编制，没有提供格式的可自行设计。</w:t>
      </w:r>
    </w:p>
    <w:p w14:paraId="0146AB6E">
      <w:pPr>
        <w:pStyle w:val="4"/>
        <w:keepNext w:val="0"/>
        <w:keepLines w:val="0"/>
        <w:pageBreakBefore w:val="0"/>
        <w:kinsoku/>
        <w:wordWrap/>
        <w:overflowPunct/>
        <w:topLinePunct w:val="0"/>
        <w:bidi w:val="0"/>
        <w:spacing w:line="480" w:lineRule="exact"/>
        <w:ind w:firstLine="482" w:firstLineChars="200"/>
        <w:textAlignment w:val="auto"/>
        <w:rPr>
          <w:rFonts w:hint="eastAsia" w:ascii="宋体" w:hAnsi="宋体" w:eastAsia="宋体" w:cs="宋体"/>
          <w:b/>
          <w:color w:val="auto"/>
          <w:sz w:val="24"/>
          <w:szCs w:val="24"/>
          <w:highlight w:val="none"/>
        </w:rPr>
      </w:pPr>
      <w:bookmarkStart w:id="193" w:name="_Toc26688"/>
      <w:r>
        <w:rPr>
          <w:rFonts w:hint="eastAsia" w:ascii="宋体" w:hAnsi="宋体" w:eastAsia="宋体" w:cs="宋体"/>
          <w:b/>
          <w:color w:val="auto"/>
          <w:sz w:val="24"/>
          <w:szCs w:val="24"/>
          <w:highlight w:val="none"/>
        </w:rPr>
        <w:t>12.    响应报价</w:t>
      </w:r>
      <w:bookmarkEnd w:id="193"/>
    </w:p>
    <w:p w14:paraId="775F942C">
      <w:pPr>
        <w:keepNext w:val="0"/>
        <w:keepLines w:val="0"/>
        <w:pageBreakBefore w:val="0"/>
        <w:tabs>
          <w:tab w:val="left" w:pos="0"/>
          <w:tab w:val="left" w:pos="540"/>
          <w:tab w:val="left" w:pos="720"/>
        </w:tabs>
        <w:kinsoku/>
        <w:wordWrap/>
        <w:overflowPunct/>
        <w:topLinePunct w:val="0"/>
        <w:bidi w:val="0"/>
        <w:spacing w:line="480" w:lineRule="exact"/>
        <w:ind w:firstLine="480" w:firstLineChars="200"/>
        <w:textAlignment w:val="auto"/>
        <w:rPr>
          <w:rFonts w:hint="eastAsia" w:ascii="宋体" w:hAnsi="宋体" w:eastAsia="宋体" w:cs="宋体"/>
          <w:color w:val="auto"/>
          <w:kern w:val="24"/>
          <w:sz w:val="24"/>
          <w:szCs w:val="24"/>
          <w:highlight w:val="none"/>
        </w:rPr>
      </w:pPr>
      <w:r>
        <w:rPr>
          <w:rFonts w:hint="eastAsia" w:ascii="宋体" w:hAnsi="宋体" w:eastAsia="宋体" w:cs="宋体"/>
          <w:color w:val="auto"/>
          <w:kern w:val="24"/>
          <w:sz w:val="24"/>
          <w:szCs w:val="24"/>
          <w:highlight w:val="none"/>
        </w:rPr>
        <w:t>12.1   响应报价应包括供应商为完成磋商文件中规定的本项目采购内容和范围所需要的全部费用，以及与所报货物、服务相关的所有税费，具体包括但不限于第五章列出的内容。供应商估算错误或漏项的风险一律由供应商承担。见</w:t>
      </w:r>
      <w:r>
        <w:rPr>
          <w:rFonts w:hint="eastAsia" w:ascii="宋体" w:hAnsi="宋体" w:eastAsia="宋体" w:cs="宋体"/>
          <w:b/>
          <w:color w:val="auto"/>
          <w:kern w:val="24"/>
          <w:sz w:val="24"/>
          <w:szCs w:val="24"/>
          <w:highlight w:val="none"/>
        </w:rPr>
        <w:t>供应商须知前附表。</w:t>
      </w:r>
    </w:p>
    <w:p w14:paraId="2194798E">
      <w:pPr>
        <w:keepNext w:val="0"/>
        <w:keepLines w:val="0"/>
        <w:pageBreakBefore w:val="0"/>
        <w:tabs>
          <w:tab w:val="left" w:pos="180"/>
          <w:tab w:val="left" w:pos="540"/>
        </w:tabs>
        <w:kinsoku/>
        <w:wordWrap/>
        <w:overflowPunct/>
        <w:topLinePunct w:val="0"/>
        <w:bidi w:val="0"/>
        <w:spacing w:line="480" w:lineRule="exact"/>
        <w:ind w:firstLine="480" w:firstLineChars="200"/>
        <w:textAlignment w:val="auto"/>
        <w:rPr>
          <w:rFonts w:hint="eastAsia" w:ascii="宋体" w:hAnsi="宋体" w:eastAsia="宋体" w:cs="宋体"/>
          <w:color w:val="auto"/>
          <w:kern w:val="24"/>
          <w:sz w:val="24"/>
          <w:szCs w:val="24"/>
          <w:highlight w:val="none"/>
        </w:rPr>
      </w:pPr>
      <w:r>
        <w:rPr>
          <w:rFonts w:hint="eastAsia" w:ascii="宋体" w:hAnsi="宋体" w:eastAsia="宋体" w:cs="宋体"/>
          <w:color w:val="auto"/>
          <w:kern w:val="24"/>
          <w:sz w:val="24"/>
          <w:szCs w:val="24"/>
          <w:highlight w:val="none"/>
        </w:rPr>
        <w:t>12.</w:t>
      </w:r>
      <w:r>
        <w:rPr>
          <w:rFonts w:hint="eastAsia" w:ascii="宋体" w:hAnsi="宋体" w:eastAsia="宋体" w:cs="宋体"/>
          <w:color w:val="auto"/>
          <w:kern w:val="24"/>
          <w:sz w:val="24"/>
          <w:szCs w:val="24"/>
          <w:highlight w:val="none"/>
          <w:lang w:val="en-US" w:eastAsia="zh-CN"/>
        </w:rPr>
        <w:t>2</w:t>
      </w:r>
      <w:r>
        <w:rPr>
          <w:rFonts w:hint="eastAsia" w:ascii="宋体" w:hAnsi="宋体" w:eastAsia="宋体" w:cs="宋体"/>
          <w:color w:val="auto"/>
          <w:kern w:val="24"/>
          <w:sz w:val="24"/>
          <w:szCs w:val="24"/>
          <w:highlight w:val="none"/>
        </w:rPr>
        <w:t xml:space="preserve">  供应商的所报单价在合同执行过程中是固定不变的，未经采购人许可不得以任何理由予以变更。以可调整的价格提交的响应文件将作为非实质性响应而予以拒绝。</w:t>
      </w:r>
    </w:p>
    <w:p w14:paraId="204ED0A5">
      <w:pPr>
        <w:keepNext w:val="0"/>
        <w:keepLines w:val="0"/>
        <w:pageBreakBefore w:val="0"/>
        <w:tabs>
          <w:tab w:val="left" w:pos="588"/>
        </w:tabs>
        <w:kinsoku/>
        <w:wordWrap/>
        <w:overflowPunct/>
        <w:topLinePunct w:val="0"/>
        <w:bidi w:val="0"/>
        <w:spacing w:line="480" w:lineRule="exact"/>
        <w:ind w:firstLine="480" w:firstLineChars="200"/>
        <w:textAlignment w:val="auto"/>
        <w:rPr>
          <w:rFonts w:hint="eastAsia" w:ascii="宋体" w:hAnsi="宋体" w:eastAsia="宋体" w:cs="宋体"/>
          <w:color w:val="auto"/>
          <w:kern w:val="24"/>
          <w:sz w:val="24"/>
          <w:szCs w:val="24"/>
          <w:highlight w:val="none"/>
        </w:rPr>
      </w:pPr>
      <w:r>
        <w:rPr>
          <w:rFonts w:hint="eastAsia" w:ascii="宋体" w:hAnsi="宋体" w:eastAsia="宋体" w:cs="宋体"/>
          <w:color w:val="auto"/>
          <w:kern w:val="24"/>
          <w:sz w:val="24"/>
          <w:szCs w:val="24"/>
          <w:highlight w:val="none"/>
        </w:rPr>
        <w:t>12.</w:t>
      </w:r>
      <w:r>
        <w:rPr>
          <w:rFonts w:hint="eastAsia" w:ascii="宋体" w:hAnsi="宋体" w:eastAsia="宋体" w:cs="宋体"/>
          <w:color w:val="auto"/>
          <w:kern w:val="24"/>
          <w:sz w:val="24"/>
          <w:szCs w:val="24"/>
          <w:highlight w:val="none"/>
          <w:lang w:val="en-US" w:eastAsia="zh-CN"/>
        </w:rPr>
        <w:t>3</w:t>
      </w:r>
      <w:r>
        <w:rPr>
          <w:rFonts w:hint="eastAsia" w:ascii="宋体" w:hAnsi="宋体" w:eastAsia="宋体" w:cs="宋体"/>
          <w:color w:val="auto"/>
          <w:kern w:val="24"/>
          <w:sz w:val="24"/>
          <w:szCs w:val="24"/>
          <w:highlight w:val="none"/>
        </w:rPr>
        <w:t xml:space="preserve">  供应商每次对每种</w:t>
      </w:r>
      <w:r>
        <w:rPr>
          <w:rFonts w:hint="eastAsia" w:ascii="宋体" w:hAnsi="宋体" w:eastAsia="宋体" w:cs="宋体"/>
          <w:color w:val="auto"/>
          <w:kern w:val="24"/>
          <w:sz w:val="24"/>
          <w:szCs w:val="24"/>
          <w:highlight w:val="none"/>
          <w:u w:val="single"/>
          <w:lang w:eastAsia="zh-CN"/>
        </w:rPr>
        <w:t>服务</w:t>
      </w:r>
      <w:r>
        <w:rPr>
          <w:rFonts w:hint="eastAsia" w:ascii="宋体" w:hAnsi="宋体" w:eastAsia="宋体" w:cs="宋体"/>
          <w:color w:val="auto"/>
          <w:kern w:val="24"/>
          <w:sz w:val="24"/>
          <w:szCs w:val="24"/>
          <w:highlight w:val="none"/>
        </w:rPr>
        <w:t>只允许有一个报价，采购人不接受有任何选择的报价。</w:t>
      </w:r>
    </w:p>
    <w:p w14:paraId="483A4812">
      <w:pPr>
        <w:pStyle w:val="4"/>
        <w:keepNext w:val="0"/>
        <w:keepLines w:val="0"/>
        <w:pageBreakBefore w:val="0"/>
        <w:kinsoku/>
        <w:wordWrap/>
        <w:overflowPunct/>
        <w:topLinePunct w:val="0"/>
        <w:bidi w:val="0"/>
        <w:spacing w:line="480" w:lineRule="exact"/>
        <w:ind w:firstLine="482" w:firstLineChars="200"/>
        <w:textAlignment w:val="auto"/>
        <w:rPr>
          <w:rFonts w:hint="eastAsia" w:ascii="宋体" w:hAnsi="宋体" w:eastAsia="宋体" w:cs="宋体"/>
          <w:b/>
          <w:color w:val="auto"/>
          <w:sz w:val="24"/>
          <w:szCs w:val="24"/>
          <w:highlight w:val="none"/>
        </w:rPr>
      </w:pPr>
      <w:bookmarkStart w:id="194" w:name="_Toc249515406"/>
      <w:bookmarkStart w:id="195" w:name="_Toc20687"/>
      <w:bookmarkStart w:id="196" w:name="_Toc249525175"/>
      <w:bookmarkStart w:id="197" w:name="_Toc184043028"/>
      <w:bookmarkStart w:id="198" w:name="_Toc70687155"/>
      <w:bookmarkStart w:id="199" w:name="_Toc389620180"/>
      <w:bookmarkStart w:id="200" w:name="_Toc385992341"/>
      <w:bookmarkStart w:id="201" w:name="_Toc249515294"/>
      <w:r>
        <w:rPr>
          <w:rFonts w:hint="eastAsia" w:ascii="宋体" w:hAnsi="宋体" w:eastAsia="宋体" w:cs="宋体"/>
          <w:b/>
          <w:color w:val="auto"/>
          <w:sz w:val="24"/>
          <w:szCs w:val="24"/>
          <w:highlight w:val="none"/>
        </w:rPr>
        <w:t>13. 报价货币</w:t>
      </w:r>
      <w:bookmarkEnd w:id="194"/>
      <w:bookmarkEnd w:id="195"/>
      <w:bookmarkEnd w:id="196"/>
      <w:bookmarkEnd w:id="197"/>
      <w:bookmarkEnd w:id="198"/>
      <w:bookmarkEnd w:id="199"/>
      <w:bookmarkEnd w:id="200"/>
      <w:bookmarkEnd w:id="201"/>
    </w:p>
    <w:p w14:paraId="2D1A4F3F">
      <w:pPr>
        <w:keepNext w:val="0"/>
        <w:keepLines w:val="0"/>
        <w:pageBreakBefore w:val="0"/>
        <w:tabs>
          <w:tab w:val="left" w:pos="180"/>
          <w:tab w:val="left" w:pos="540"/>
        </w:tabs>
        <w:kinsoku/>
        <w:wordWrap/>
        <w:overflowPunct/>
        <w:topLinePunct w:val="0"/>
        <w:bidi w:val="0"/>
        <w:spacing w:line="480" w:lineRule="exact"/>
        <w:ind w:firstLine="480" w:firstLineChars="200"/>
        <w:textAlignment w:val="auto"/>
        <w:rPr>
          <w:rFonts w:hint="eastAsia" w:ascii="宋体" w:hAnsi="宋体" w:eastAsia="宋体" w:cs="宋体"/>
          <w:color w:val="auto"/>
          <w:kern w:val="24"/>
          <w:sz w:val="24"/>
          <w:szCs w:val="24"/>
          <w:highlight w:val="none"/>
        </w:rPr>
      </w:pPr>
      <w:r>
        <w:rPr>
          <w:rFonts w:hint="eastAsia" w:ascii="宋体" w:hAnsi="宋体" w:eastAsia="宋体" w:cs="宋体"/>
          <w:color w:val="auto"/>
          <w:kern w:val="24"/>
          <w:sz w:val="24"/>
          <w:szCs w:val="24"/>
          <w:highlight w:val="none"/>
        </w:rPr>
        <w:t>13.1   磋商响应函、响应报价一览表、最后报价表等所有报价一律用人民币填报。采购人不接受任何非人民币币种的报价。</w:t>
      </w:r>
      <w:bookmarkStart w:id="202" w:name="_Toc385992342"/>
      <w:bookmarkStart w:id="203" w:name="_Toc389620181"/>
    </w:p>
    <w:bookmarkEnd w:id="202"/>
    <w:bookmarkEnd w:id="203"/>
    <w:p w14:paraId="44E22125">
      <w:pPr>
        <w:keepNext w:val="0"/>
        <w:keepLines w:val="0"/>
        <w:pageBreakBefore w:val="0"/>
        <w:tabs>
          <w:tab w:val="left" w:pos="588"/>
        </w:tabs>
        <w:kinsoku/>
        <w:wordWrap/>
        <w:overflowPunct/>
        <w:topLinePunct w:val="0"/>
        <w:bidi w:val="0"/>
        <w:spacing w:line="480" w:lineRule="exact"/>
        <w:ind w:firstLine="482" w:firstLineChars="200"/>
        <w:textAlignment w:val="auto"/>
        <w:rPr>
          <w:rFonts w:hint="eastAsia" w:ascii="宋体" w:hAnsi="宋体" w:eastAsia="宋体" w:cs="宋体"/>
          <w:color w:val="auto"/>
          <w:kern w:val="24"/>
          <w:sz w:val="24"/>
          <w:szCs w:val="24"/>
          <w:highlight w:val="none"/>
        </w:rPr>
      </w:pPr>
      <w:bookmarkStart w:id="204" w:name="止观"/>
      <w:bookmarkEnd w:id="204"/>
      <w:r>
        <w:rPr>
          <w:rFonts w:hint="eastAsia" w:ascii="宋体" w:hAnsi="宋体" w:eastAsia="宋体" w:cs="宋体"/>
          <w:b/>
          <w:bCs/>
          <w:color w:val="auto"/>
          <w:kern w:val="24"/>
          <w:sz w:val="24"/>
          <w:szCs w:val="24"/>
          <w:highlight w:val="none"/>
        </w:rPr>
        <w:t>14</w:t>
      </w:r>
      <w:r>
        <w:rPr>
          <w:rFonts w:hint="eastAsia" w:ascii="宋体" w:hAnsi="宋体" w:eastAsia="宋体" w:cs="宋体"/>
          <w:b/>
          <w:bCs/>
          <w:color w:val="auto"/>
          <w:kern w:val="24"/>
          <w:sz w:val="24"/>
          <w:szCs w:val="24"/>
          <w:highlight w:val="none"/>
          <w:lang w:val="en-US" w:eastAsia="zh-CN"/>
        </w:rPr>
        <w:t>.</w:t>
      </w:r>
      <w:r>
        <w:rPr>
          <w:rFonts w:hint="eastAsia" w:ascii="宋体" w:hAnsi="宋体" w:eastAsia="宋体" w:cs="宋体"/>
          <w:b/>
          <w:bCs/>
          <w:color w:val="auto"/>
          <w:kern w:val="24"/>
          <w:sz w:val="24"/>
          <w:szCs w:val="24"/>
          <w:highlight w:val="none"/>
        </w:rPr>
        <w:t xml:space="preserve">   成交供应商有下列情形之一的</w:t>
      </w:r>
      <w:r>
        <w:rPr>
          <w:rFonts w:hint="eastAsia" w:ascii="宋体" w:hAnsi="宋体" w:eastAsia="宋体" w:cs="宋体"/>
          <w:color w:val="auto"/>
          <w:kern w:val="24"/>
          <w:sz w:val="24"/>
          <w:szCs w:val="24"/>
          <w:highlight w:val="none"/>
        </w:rPr>
        <w:t>，采购代理机构</w:t>
      </w:r>
      <w:r>
        <w:rPr>
          <w:rFonts w:hint="eastAsia" w:ascii="宋体" w:hAnsi="宋体" w:eastAsia="宋体" w:cs="宋体"/>
          <w:color w:val="auto"/>
          <w:kern w:val="24"/>
          <w:sz w:val="24"/>
          <w:szCs w:val="24"/>
          <w:highlight w:val="none"/>
          <w:lang w:eastAsia="zh-CN"/>
        </w:rPr>
        <w:t>将</w:t>
      </w:r>
      <w:r>
        <w:rPr>
          <w:rFonts w:hint="eastAsia" w:ascii="宋体" w:hAnsi="宋体" w:eastAsia="宋体" w:cs="宋体"/>
          <w:color w:val="auto"/>
          <w:kern w:val="24"/>
          <w:sz w:val="24"/>
          <w:szCs w:val="24"/>
          <w:highlight w:val="none"/>
        </w:rPr>
        <w:t>在项目财政主管部门备案；情节严重的，由财政部门将其列入不良行为纪录名单予以通报，在一至三年内禁止参加政府采购活动：</w:t>
      </w:r>
    </w:p>
    <w:p w14:paraId="37CFCEF0">
      <w:pPr>
        <w:keepNext w:val="0"/>
        <w:keepLines w:val="0"/>
        <w:pageBreakBefore w:val="0"/>
        <w:numPr>
          <w:ilvl w:val="0"/>
          <w:numId w:val="0"/>
        </w:numPr>
        <w:tabs>
          <w:tab w:val="left" w:pos="588"/>
        </w:tabs>
        <w:kinsoku/>
        <w:wordWrap/>
        <w:overflowPunct/>
        <w:topLinePunct w:val="0"/>
        <w:bidi w:val="0"/>
        <w:spacing w:line="480" w:lineRule="exact"/>
        <w:ind w:leftChars="200"/>
        <w:textAlignment w:val="auto"/>
        <w:rPr>
          <w:rFonts w:hint="eastAsia" w:ascii="宋体" w:hAnsi="宋体" w:eastAsia="宋体" w:cs="宋体"/>
          <w:color w:val="auto"/>
          <w:kern w:val="24"/>
          <w:sz w:val="24"/>
          <w:szCs w:val="24"/>
          <w:highlight w:val="none"/>
        </w:rPr>
      </w:pPr>
      <w:r>
        <w:rPr>
          <w:rFonts w:hint="eastAsia" w:ascii="宋体" w:hAnsi="宋体" w:eastAsia="宋体" w:cs="宋体"/>
          <w:color w:val="auto"/>
          <w:kern w:val="24"/>
          <w:sz w:val="24"/>
          <w:szCs w:val="24"/>
          <w:highlight w:val="none"/>
          <w:lang w:eastAsia="zh-CN"/>
        </w:rPr>
        <w:t>（</w:t>
      </w:r>
      <w:r>
        <w:rPr>
          <w:rFonts w:hint="eastAsia" w:ascii="宋体" w:hAnsi="宋体" w:eastAsia="宋体" w:cs="宋体"/>
          <w:color w:val="auto"/>
          <w:kern w:val="24"/>
          <w:sz w:val="24"/>
          <w:szCs w:val="24"/>
          <w:highlight w:val="none"/>
          <w:lang w:val="en-US" w:eastAsia="zh-CN"/>
        </w:rPr>
        <w:t>1）</w:t>
      </w:r>
      <w:r>
        <w:rPr>
          <w:rFonts w:hint="eastAsia" w:ascii="宋体" w:hAnsi="宋体" w:eastAsia="宋体" w:cs="宋体"/>
          <w:color w:val="auto"/>
          <w:kern w:val="24"/>
          <w:sz w:val="24"/>
          <w:szCs w:val="24"/>
          <w:highlight w:val="none"/>
        </w:rPr>
        <w:t>供应商在提交响应文件截止时间后撤销响应文件的；</w:t>
      </w:r>
    </w:p>
    <w:p w14:paraId="7B0DED11">
      <w:pPr>
        <w:keepNext w:val="0"/>
        <w:keepLines w:val="0"/>
        <w:pageBreakBefore w:val="0"/>
        <w:numPr>
          <w:ilvl w:val="0"/>
          <w:numId w:val="0"/>
        </w:numPr>
        <w:tabs>
          <w:tab w:val="left" w:pos="588"/>
        </w:tabs>
        <w:kinsoku/>
        <w:wordWrap/>
        <w:overflowPunct/>
        <w:topLinePunct w:val="0"/>
        <w:bidi w:val="0"/>
        <w:spacing w:line="480" w:lineRule="exact"/>
        <w:ind w:leftChars="200"/>
        <w:textAlignment w:val="auto"/>
        <w:rPr>
          <w:rFonts w:hint="eastAsia" w:ascii="宋体" w:hAnsi="宋体" w:eastAsia="宋体" w:cs="宋体"/>
          <w:color w:val="auto"/>
          <w:kern w:val="24"/>
          <w:sz w:val="24"/>
          <w:szCs w:val="24"/>
          <w:highlight w:val="none"/>
        </w:rPr>
      </w:pPr>
      <w:r>
        <w:rPr>
          <w:rFonts w:hint="eastAsia" w:ascii="宋体" w:hAnsi="宋体" w:eastAsia="宋体" w:cs="宋体"/>
          <w:color w:val="auto"/>
          <w:kern w:val="24"/>
          <w:sz w:val="24"/>
          <w:szCs w:val="24"/>
          <w:highlight w:val="none"/>
          <w:lang w:eastAsia="zh-CN"/>
        </w:rPr>
        <w:t>（</w:t>
      </w:r>
      <w:r>
        <w:rPr>
          <w:rFonts w:hint="eastAsia" w:ascii="宋体" w:hAnsi="宋体" w:eastAsia="宋体" w:cs="宋体"/>
          <w:color w:val="auto"/>
          <w:kern w:val="24"/>
          <w:sz w:val="24"/>
          <w:szCs w:val="24"/>
          <w:highlight w:val="none"/>
          <w:lang w:val="en-US" w:eastAsia="zh-CN"/>
        </w:rPr>
        <w:t>2）</w:t>
      </w:r>
      <w:r>
        <w:rPr>
          <w:rFonts w:hint="eastAsia" w:ascii="宋体" w:hAnsi="宋体" w:eastAsia="宋体" w:cs="宋体"/>
          <w:color w:val="auto"/>
          <w:kern w:val="24"/>
          <w:sz w:val="24"/>
          <w:szCs w:val="24"/>
          <w:highlight w:val="none"/>
        </w:rPr>
        <w:t>供应商在响应文件中提供虚假材料的；</w:t>
      </w:r>
    </w:p>
    <w:p w14:paraId="6CAEFFDD">
      <w:pPr>
        <w:keepNext w:val="0"/>
        <w:keepLines w:val="0"/>
        <w:pageBreakBefore w:val="0"/>
        <w:numPr>
          <w:ilvl w:val="0"/>
          <w:numId w:val="0"/>
        </w:numPr>
        <w:tabs>
          <w:tab w:val="left" w:pos="588"/>
        </w:tabs>
        <w:kinsoku/>
        <w:wordWrap/>
        <w:overflowPunct/>
        <w:topLinePunct w:val="0"/>
        <w:bidi w:val="0"/>
        <w:spacing w:line="480" w:lineRule="exact"/>
        <w:ind w:leftChars="200"/>
        <w:textAlignment w:val="auto"/>
        <w:rPr>
          <w:rFonts w:hint="eastAsia" w:ascii="宋体" w:hAnsi="宋体" w:eastAsia="宋体" w:cs="宋体"/>
          <w:color w:val="auto"/>
          <w:kern w:val="24"/>
          <w:sz w:val="24"/>
          <w:szCs w:val="24"/>
          <w:highlight w:val="none"/>
        </w:rPr>
      </w:pPr>
      <w:r>
        <w:rPr>
          <w:rFonts w:hint="eastAsia" w:ascii="宋体" w:hAnsi="宋体" w:eastAsia="宋体" w:cs="宋体"/>
          <w:color w:val="auto"/>
          <w:kern w:val="24"/>
          <w:sz w:val="24"/>
          <w:szCs w:val="24"/>
          <w:highlight w:val="none"/>
          <w:lang w:eastAsia="zh-CN"/>
        </w:rPr>
        <w:t>（</w:t>
      </w:r>
      <w:r>
        <w:rPr>
          <w:rFonts w:hint="eastAsia" w:ascii="宋体" w:hAnsi="宋体" w:eastAsia="宋体" w:cs="宋体"/>
          <w:color w:val="auto"/>
          <w:kern w:val="24"/>
          <w:sz w:val="24"/>
          <w:szCs w:val="24"/>
          <w:highlight w:val="none"/>
          <w:lang w:val="en-US" w:eastAsia="zh-CN"/>
        </w:rPr>
        <w:t>3）</w:t>
      </w:r>
      <w:r>
        <w:rPr>
          <w:rFonts w:hint="eastAsia" w:ascii="宋体" w:hAnsi="宋体" w:eastAsia="宋体" w:cs="宋体"/>
          <w:color w:val="auto"/>
          <w:kern w:val="24"/>
          <w:sz w:val="24"/>
          <w:szCs w:val="24"/>
          <w:highlight w:val="none"/>
        </w:rPr>
        <w:t>除因不可抗力外，成交供应商在规定期限内未能根据本</w:t>
      </w:r>
      <w:r>
        <w:rPr>
          <w:rFonts w:hint="eastAsia" w:ascii="宋体" w:hAnsi="宋体" w:eastAsia="宋体" w:cs="宋体"/>
          <w:color w:val="auto"/>
          <w:kern w:val="24"/>
          <w:sz w:val="24"/>
          <w:szCs w:val="24"/>
          <w:highlight w:val="none"/>
          <w:lang w:eastAsia="zh-CN"/>
        </w:rPr>
        <w:t>采购文件</w:t>
      </w:r>
      <w:r>
        <w:rPr>
          <w:rFonts w:hint="eastAsia" w:ascii="宋体" w:hAnsi="宋体" w:eastAsia="宋体" w:cs="宋体"/>
          <w:color w:val="auto"/>
          <w:kern w:val="24"/>
          <w:sz w:val="24"/>
          <w:szCs w:val="24"/>
          <w:highlight w:val="none"/>
        </w:rPr>
        <w:t xml:space="preserve">规定签订合同； </w:t>
      </w:r>
    </w:p>
    <w:p w14:paraId="3F1A7A81">
      <w:pPr>
        <w:keepNext w:val="0"/>
        <w:keepLines w:val="0"/>
        <w:pageBreakBefore w:val="0"/>
        <w:numPr>
          <w:ilvl w:val="0"/>
          <w:numId w:val="0"/>
        </w:numPr>
        <w:tabs>
          <w:tab w:val="left" w:pos="588"/>
        </w:tabs>
        <w:kinsoku/>
        <w:wordWrap/>
        <w:overflowPunct/>
        <w:topLinePunct w:val="0"/>
        <w:bidi w:val="0"/>
        <w:spacing w:line="480" w:lineRule="exact"/>
        <w:ind w:leftChars="200"/>
        <w:textAlignment w:val="auto"/>
        <w:rPr>
          <w:rFonts w:hint="eastAsia" w:ascii="宋体" w:hAnsi="宋体" w:eastAsia="宋体" w:cs="宋体"/>
          <w:color w:val="auto"/>
          <w:kern w:val="24"/>
          <w:sz w:val="24"/>
          <w:szCs w:val="24"/>
          <w:highlight w:val="none"/>
        </w:rPr>
      </w:pPr>
      <w:r>
        <w:rPr>
          <w:rFonts w:hint="eastAsia" w:ascii="宋体" w:hAnsi="宋体" w:eastAsia="宋体" w:cs="宋体"/>
          <w:color w:val="auto"/>
          <w:kern w:val="24"/>
          <w:sz w:val="24"/>
          <w:szCs w:val="24"/>
          <w:highlight w:val="none"/>
          <w:lang w:eastAsia="zh-CN"/>
        </w:rPr>
        <w:t>（</w:t>
      </w:r>
      <w:r>
        <w:rPr>
          <w:rFonts w:hint="eastAsia" w:ascii="宋体" w:hAnsi="宋体" w:eastAsia="宋体" w:cs="宋体"/>
          <w:color w:val="auto"/>
          <w:kern w:val="24"/>
          <w:sz w:val="24"/>
          <w:szCs w:val="24"/>
          <w:highlight w:val="none"/>
          <w:lang w:val="en-US" w:eastAsia="zh-CN"/>
        </w:rPr>
        <w:t>4）</w:t>
      </w:r>
      <w:r>
        <w:rPr>
          <w:rFonts w:hint="eastAsia" w:ascii="宋体" w:hAnsi="宋体" w:eastAsia="宋体" w:cs="宋体"/>
          <w:color w:val="auto"/>
          <w:kern w:val="24"/>
          <w:sz w:val="24"/>
          <w:szCs w:val="24"/>
          <w:highlight w:val="none"/>
        </w:rPr>
        <w:t>供应商与采购人、其他供应商或者采购代理机构恶意串通的；</w:t>
      </w:r>
    </w:p>
    <w:p w14:paraId="2EAA34B3">
      <w:pPr>
        <w:keepNext w:val="0"/>
        <w:keepLines w:val="0"/>
        <w:pageBreakBefore w:val="0"/>
        <w:numPr>
          <w:ilvl w:val="0"/>
          <w:numId w:val="0"/>
        </w:numPr>
        <w:tabs>
          <w:tab w:val="left" w:pos="588"/>
        </w:tabs>
        <w:kinsoku/>
        <w:wordWrap/>
        <w:overflowPunct/>
        <w:topLinePunct w:val="0"/>
        <w:bidi w:val="0"/>
        <w:spacing w:line="480" w:lineRule="exact"/>
        <w:ind w:leftChars="200"/>
        <w:textAlignment w:val="auto"/>
        <w:rPr>
          <w:rFonts w:hint="eastAsia" w:ascii="宋体" w:hAnsi="宋体" w:eastAsia="宋体" w:cs="宋体"/>
          <w:color w:val="auto"/>
          <w:kern w:val="24"/>
          <w:sz w:val="24"/>
          <w:szCs w:val="24"/>
          <w:highlight w:val="none"/>
        </w:rPr>
      </w:pPr>
      <w:r>
        <w:rPr>
          <w:rFonts w:hint="eastAsia" w:ascii="宋体" w:hAnsi="宋体" w:eastAsia="宋体" w:cs="宋体"/>
          <w:color w:val="auto"/>
          <w:kern w:val="24"/>
          <w:sz w:val="24"/>
          <w:szCs w:val="24"/>
          <w:highlight w:val="none"/>
          <w:lang w:eastAsia="zh-CN"/>
        </w:rPr>
        <w:t>（</w:t>
      </w:r>
      <w:r>
        <w:rPr>
          <w:rFonts w:hint="eastAsia" w:ascii="宋体" w:hAnsi="宋体" w:eastAsia="宋体" w:cs="宋体"/>
          <w:color w:val="auto"/>
          <w:kern w:val="24"/>
          <w:sz w:val="24"/>
          <w:szCs w:val="24"/>
          <w:highlight w:val="none"/>
          <w:lang w:val="en-US" w:eastAsia="zh-CN"/>
        </w:rPr>
        <w:t>5）</w:t>
      </w:r>
      <w:r>
        <w:rPr>
          <w:rFonts w:hint="eastAsia" w:ascii="宋体" w:hAnsi="宋体" w:eastAsia="宋体" w:cs="宋体"/>
          <w:color w:val="auto"/>
          <w:kern w:val="24"/>
          <w:sz w:val="24"/>
          <w:szCs w:val="24"/>
          <w:highlight w:val="none"/>
        </w:rPr>
        <w:t>成交供应商未按本须知第29条规定缴纳服务费。</w:t>
      </w:r>
    </w:p>
    <w:p w14:paraId="27A36C1C">
      <w:pPr>
        <w:pStyle w:val="4"/>
        <w:keepNext w:val="0"/>
        <w:keepLines w:val="0"/>
        <w:pageBreakBefore w:val="0"/>
        <w:kinsoku/>
        <w:wordWrap/>
        <w:overflowPunct/>
        <w:topLinePunct w:val="0"/>
        <w:bidi w:val="0"/>
        <w:spacing w:line="480" w:lineRule="exact"/>
        <w:ind w:firstLine="482" w:firstLineChars="200"/>
        <w:textAlignment w:val="auto"/>
        <w:rPr>
          <w:rFonts w:hint="eastAsia" w:ascii="宋体" w:hAnsi="宋体" w:eastAsia="宋体" w:cs="宋体"/>
          <w:b/>
          <w:color w:val="auto"/>
          <w:sz w:val="24"/>
          <w:szCs w:val="24"/>
          <w:highlight w:val="none"/>
        </w:rPr>
      </w:pPr>
      <w:bookmarkStart w:id="205" w:name="_Toc7949"/>
      <w:bookmarkStart w:id="206" w:name="_Toc249515296"/>
      <w:bookmarkStart w:id="207" w:name="_Toc249525177"/>
      <w:bookmarkStart w:id="208" w:name="_Toc249515408"/>
      <w:r>
        <w:rPr>
          <w:rFonts w:hint="eastAsia" w:ascii="宋体" w:hAnsi="宋体" w:eastAsia="宋体" w:cs="宋体"/>
          <w:b/>
          <w:color w:val="auto"/>
          <w:sz w:val="24"/>
          <w:szCs w:val="24"/>
          <w:highlight w:val="none"/>
        </w:rPr>
        <w:t>15.    磋商有效期</w:t>
      </w:r>
      <w:bookmarkEnd w:id="205"/>
      <w:bookmarkEnd w:id="206"/>
      <w:bookmarkEnd w:id="207"/>
      <w:bookmarkEnd w:id="208"/>
    </w:p>
    <w:p w14:paraId="6AD9FF6B">
      <w:pPr>
        <w:keepNext w:val="0"/>
        <w:keepLines w:val="0"/>
        <w:pageBreakBefore w:val="0"/>
        <w:tabs>
          <w:tab w:val="left" w:pos="588"/>
        </w:tabs>
        <w:kinsoku/>
        <w:wordWrap/>
        <w:overflowPunct/>
        <w:topLinePunct w:val="0"/>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   磋商有效期见</w:t>
      </w:r>
      <w:r>
        <w:rPr>
          <w:rFonts w:hint="eastAsia" w:ascii="宋体" w:hAnsi="宋体" w:eastAsia="宋体" w:cs="宋体"/>
          <w:b/>
          <w:color w:val="auto"/>
          <w:sz w:val="24"/>
          <w:szCs w:val="24"/>
          <w:highlight w:val="none"/>
        </w:rPr>
        <w:t>本须知前附表</w:t>
      </w:r>
      <w:r>
        <w:rPr>
          <w:rFonts w:hint="eastAsia" w:ascii="宋体" w:hAnsi="宋体" w:eastAsia="宋体" w:cs="宋体"/>
          <w:color w:val="auto"/>
          <w:sz w:val="24"/>
          <w:szCs w:val="24"/>
          <w:highlight w:val="none"/>
        </w:rPr>
        <w:t>。在磋商有效期内，所有响应文件均保持有效。响应文件的有效期比本须知规定的有效期短的，将被视为非实质响应，采购人有权拒绝。</w:t>
      </w:r>
    </w:p>
    <w:p w14:paraId="53DA9486">
      <w:pPr>
        <w:keepNext w:val="0"/>
        <w:keepLines w:val="0"/>
        <w:pageBreakBefore w:val="0"/>
        <w:tabs>
          <w:tab w:val="left" w:pos="588"/>
        </w:tabs>
        <w:kinsoku/>
        <w:wordWrap/>
        <w:overflowPunct/>
        <w:topLinePunct w:val="0"/>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   特殊情况下，采购人可于原磋商有效期满之前要求供应商同意延长有效期，要求与答复均应为书面形式。供应商可以拒绝上述要求。对于同意该要求的供应商，既不要求也不允许其修改响应文件。</w:t>
      </w:r>
    </w:p>
    <w:p w14:paraId="692C9AFE">
      <w:pPr>
        <w:pStyle w:val="4"/>
        <w:keepNext w:val="0"/>
        <w:keepLines w:val="0"/>
        <w:pageBreakBefore w:val="0"/>
        <w:kinsoku/>
        <w:wordWrap/>
        <w:overflowPunct/>
        <w:topLinePunct w:val="0"/>
        <w:bidi w:val="0"/>
        <w:spacing w:line="480" w:lineRule="exact"/>
        <w:ind w:firstLine="482" w:firstLineChars="200"/>
        <w:textAlignment w:val="auto"/>
        <w:rPr>
          <w:rFonts w:hint="eastAsia" w:ascii="宋体" w:hAnsi="宋体" w:eastAsia="宋体" w:cs="宋体"/>
          <w:b/>
          <w:color w:val="auto"/>
          <w:sz w:val="24"/>
          <w:szCs w:val="24"/>
          <w:highlight w:val="none"/>
        </w:rPr>
      </w:pPr>
      <w:bookmarkStart w:id="209" w:name="_Toc249515297"/>
      <w:bookmarkStart w:id="210" w:name="_Toc16612"/>
      <w:bookmarkStart w:id="211" w:name="_Toc249515409"/>
      <w:bookmarkStart w:id="212" w:name="_Toc385992346"/>
      <w:bookmarkStart w:id="213" w:name="_Toc249525178"/>
      <w:bookmarkStart w:id="214" w:name="_Toc70687160"/>
      <w:bookmarkStart w:id="215" w:name="_Toc389620185"/>
      <w:bookmarkStart w:id="216" w:name="_Toc184043033"/>
      <w:r>
        <w:rPr>
          <w:rFonts w:hint="eastAsia" w:ascii="宋体" w:hAnsi="宋体" w:eastAsia="宋体" w:cs="宋体"/>
          <w:b/>
          <w:color w:val="auto"/>
          <w:sz w:val="24"/>
          <w:szCs w:val="24"/>
          <w:highlight w:val="none"/>
        </w:rPr>
        <w:t>16.    响应文件的制作和签署</w:t>
      </w:r>
      <w:bookmarkEnd w:id="209"/>
      <w:bookmarkEnd w:id="210"/>
      <w:bookmarkEnd w:id="211"/>
      <w:bookmarkEnd w:id="212"/>
      <w:bookmarkEnd w:id="213"/>
      <w:bookmarkEnd w:id="214"/>
      <w:bookmarkEnd w:id="215"/>
      <w:bookmarkEnd w:id="216"/>
    </w:p>
    <w:p w14:paraId="12F77028">
      <w:pPr>
        <w:keepNext w:val="0"/>
        <w:keepLines w:val="0"/>
        <w:pageBreakBefore w:val="0"/>
        <w:tabs>
          <w:tab w:val="left" w:pos="588"/>
        </w:tabs>
        <w:kinsoku/>
        <w:wordWrap/>
        <w:overflowPunct/>
        <w:topLinePunct w:val="0"/>
        <w:bidi w:val="0"/>
        <w:spacing w:line="480" w:lineRule="exact"/>
        <w:ind w:firstLine="240" w:firstLineChars="1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16.1   供应商应准备一份</w:t>
      </w:r>
      <w:r>
        <w:rPr>
          <w:rFonts w:hint="eastAsia" w:ascii="宋体" w:hAnsi="宋体" w:eastAsia="宋体" w:cs="宋体"/>
          <w:color w:val="auto"/>
          <w:sz w:val="24"/>
          <w:szCs w:val="24"/>
          <w:highlight w:val="none"/>
          <w:lang w:eastAsia="zh-CN"/>
        </w:rPr>
        <w:t>电子</w:t>
      </w:r>
      <w:r>
        <w:rPr>
          <w:rFonts w:hint="eastAsia" w:ascii="宋体" w:hAnsi="宋体" w:eastAsia="宋体" w:cs="宋体"/>
          <w:color w:val="auto"/>
          <w:sz w:val="24"/>
          <w:szCs w:val="24"/>
          <w:highlight w:val="none"/>
        </w:rPr>
        <w:t>响应文件</w:t>
      </w:r>
      <w:r>
        <w:rPr>
          <w:rFonts w:hint="eastAsia" w:ascii="宋体" w:hAnsi="宋体" w:eastAsia="宋体" w:cs="宋体"/>
          <w:color w:val="auto"/>
          <w:sz w:val="24"/>
          <w:szCs w:val="24"/>
          <w:highlight w:val="none"/>
          <w:lang w:eastAsia="zh-CN"/>
        </w:rPr>
        <w:t>。</w:t>
      </w:r>
    </w:p>
    <w:p w14:paraId="570B34C5">
      <w:pPr>
        <w:keepNext w:val="0"/>
        <w:keepLines w:val="0"/>
        <w:pageBreakBefore w:val="0"/>
        <w:tabs>
          <w:tab w:val="left" w:pos="588"/>
        </w:tabs>
        <w:kinsoku/>
        <w:wordWrap/>
        <w:overflowPunct/>
        <w:topLinePunct w:val="0"/>
        <w:bidi w:val="0"/>
        <w:spacing w:line="48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任何行间插字、涂改或增删，必须由响应文件签字人签字才有效。</w:t>
      </w:r>
    </w:p>
    <w:p w14:paraId="3852C0D0">
      <w:pPr>
        <w:keepNext w:val="0"/>
        <w:keepLines w:val="0"/>
        <w:pageBreakBefore w:val="0"/>
        <w:tabs>
          <w:tab w:val="left" w:pos="588"/>
        </w:tabs>
        <w:kinsoku/>
        <w:wordWrap/>
        <w:overflowPunct/>
        <w:topLinePunct w:val="0"/>
        <w:bidi w:val="0"/>
        <w:spacing w:line="48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采购人不接受以电报、电话、传真、电子邮件形式递交的响应文件。</w:t>
      </w:r>
    </w:p>
    <w:p w14:paraId="1B0C437A">
      <w:pPr>
        <w:keepNext w:val="0"/>
        <w:keepLines w:val="0"/>
        <w:pageBreakBefore w:val="0"/>
        <w:tabs>
          <w:tab w:val="left" w:pos="588"/>
        </w:tabs>
        <w:kinsoku/>
        <w:wordWrap/>
        <w:overflowPunct/>
        <w:topLinePunct w:val="0"/>
        <w:bidi w:val="0"/>
        <w:spacing w:line="48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供应商在磋商过程中，签订、履行、通知等事项的书面文件中的单位盖章、印章、公章等处均应使用与供应商全称相一致的公章，不得使用其他形式（如带有“专用章”等字样）的印章。如响应过程中供应商使用专用章，须提供特别说明函，明确该专用章作为相关响应文件的盖章，其效力等同于公章（该特别说明函须同时加盖供应商公章和供应商专用章）。</w:t>
      </w:r>
    </w:p>
    <w:p w14:paraId="79B6646B">
      <w:pPr>
        <w:keepNext w:val="0"/>
        <w:keepLines w:val="0"/>
        <w:pageBreakBefore w:val="0"/>
        <w:kinsoku/>
        <w:wordWrap/>
        <w:overflowPunct/>
        <w:topLinePunct w:val="0"/>
        <w:bidi w:val="0"/>
        <w:spacing w:line="480" w:lineRule="exact"/>
        <w:ind w:firstLine="480" w:firstLineChars="200"/>
        <w:textAlignment w:val="auto"/>
        <w:rPr>
          <w:rFonts w:hint="eastAsia" w:ascii="宋体" w:hAnsi="宋体" w:eastAsia="宋体" w:cs="宋体"/>
          <w:color w:val="auto"/>
          <w:sz w:val="24"/>
          <w:szCs w:val="24"/>
          <w:highlight w:val="none"/>
        </w:rPr>
      </w:pPr>
      <w:bookmarkStart w:id="217" w:name="_Hlt491765640"/>
      <w:bookmarkEnd w:id="217"/>
      <w:bookmarkStart w:id="218" w:name="_Toc385992347"/>
      <w:bookmarkStart w:id="219" w:name="_Toc53722844"/>
      <w:bookmarkStart w:id="220" w:name="_Toc249515410"/>
      <w:bookmarkStart w:id="221" w:name="_Toc249525179"/>
      <w:bookmarkStart w:id="222" w:name="_Toc249515298"/>
      <w:bookmarkStart w:id="223" w:name="_Toc177817338"/>
      <w:bookmarkStart w:id="224" w:name="_Toc177995477"/>
      <w:bookmarkStart w:id="225" w:name="_Toc499711888"/>
      <w:bookmarkStart w:id="226" w:name="_Toc500746970"/>
      <w:bookmarkStart w:id="227" w:name="_Toc70687161"/>
      <w:bookmarkStart w:id="228" w:name="_Toc499711047"/>
      <w:bookmarkStart w:id="229" w:name="_Toc500747066"/>
      <w:bookmarkStart w:id="230" w:name="_Toc496324583"/>
      <w:bookmarkStart w:id="231" w:name="_Toc492955419"/>
      <w:bookmarkStart w:id="232" w:name="_Toc232395216"/>
      <w:bookmarkStart w:id="233" w:name="_Toc230013636"/>
      <w:bookmarkStart w:id="234" w:name="_Toc503063426"/>
      <w:bookmarkStart w:id="235" w:name="_Toc230583545"/>
      <w:bookmarkStart w:id="236" w:name="_Toc184043034"/>
      <w:bookmarkStart w:id="237" w:name="_Toc230099801"/>
      <w:bookmarkStart w:id="238" w:name="_Toc389620186"/>
      <w:bookmarkStart w:id="239" w:name="_Toc177189239"/>
      <w:bookmarkStart w:id="240" w:name="_Toc256342147"/>
      <w:bookmarkStart w:id="241" w:name="_Toc500747193"/>
      <w:bookmarkStart w:id="242" w:name="_Toc232176276"/>
      <w:bookmarkStart w:id="243" w:name="_Toc176882546"/>
    </w:p>
    <w:p w14:paraId="79FC3193">
      <w:pPr>
        <w:pStyle w:val="27"/>
        <w:keepNext w:val="0"/>
        <w:keepLines w:val="0"/>
        <w:pageBreakBefore w:val="0"/>
        <w:kinsoku/>
        <w:wordWrap/>
        <w:overflowPunct/>
        <w:topLinePunct w:val="0"/>
        <w:bidi w:val="0"/>
        <w:spacing w:before="24" w:after="24" w:line="480" w:lineRule="exact"/>
        <w:ind w:firstLine="482" w:firstLineChars="200"/>
        <w:jc w:val="center"/>
        <w:textAlignment w:val="auto"/>
        <w:rPr>
          <w:rFonts w:hint="eastAsia" w:ascii="宋体" w:hAnsi="宋体" w:eastAsia="宋体" w:cs="宋体"/>
          <w:color w:val="auto"/>
          <w:sz w:val="24"/>
          <w:szCs w:val="24"/>
          <w:highlight w:val="none"/>
        </w:rPr>
      </w:pPr>
      <w:bookmarkStart w:id="244" w:name="_Toc24742"/>
      <w:r>
        <w:rPr>
          <w:rFonts w:hint="eastAsia" w:ascii="宋体" w:hAnsi="宋体" w:eastAsia="宋体" w:cs="宋体"/>
          <w:color w:val="auto"/>
          <w:sz w:val="24"/>
          <w:szCs w:val="24"/>
          <w:highlight w:val="none"/>
        </w:rPr>
        <w:t>四、响应文件的递交</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14:paraId="1C2AA00C">
      <w:pPr>
        <w:keepNext w:val="0"/>
        <w:keepLines w:val="0"/>
        <w:pageBreakBefore w:val="0"/>
        <w:kinsoku/>
        <w:wordWrap/>
        <w:overflowPunct/>
        <w:topLinePunct w:val="0"/>
        <w:bidi w:val="0"/>
        <w:spacing w:line="480" w:lineRule="exact"/>
        <w:ind w:firstLine="480" w:firstLineChars="200"/>
        <w:textAlignment w:val="auto"/>
        <w:rPr>
          <w:rFonts w:hint="eastAsia" w:ascii="宋体" w:hAnsi="宋体" w:eastAsia="宋体" w:cs="宋体"/>
          <w:color w:val="auto"/>
          <w:sz w:val="24"/>
          <w:szCs w:val="24"/>
          <w:highlight w:val="none"/>
        </w:rPr>
      </w:pPr>
    </w:p>
    <w:p w14:paraId="0553EDAE">
      <w:pPr>
        <w:pStyle w:val="4"/>
        <w:keepNext w:val="0"/>
        <w:keepLines w:val="0"/>
        <w:pageBreakBefore w:val="0"/>
        <w:kinsoku/>
        <w:wordWrap/>
        <w:overflowPunct/>
        <w:topLinePunct w:val="0"/>
        <w:bidi w:val="0"/>
        <w:spacing w:line="480" w:lineRule="exact"/>
        <w:ind w:firstLine="482" w:firstLineChars="200"/>
        <w:textAlignment w:val="auto"/>
        <w:rPr>
          <w:rFonts w:hint="eastAsia" w:ascii="宋体" w:hAnsi="宋体" w:eastAsia="宋体" w:cs="宋体"/>
          <w:b/>
          <w:color w:val="auto"/>
          <w:sz w:val="24"/>
          <w:szCs w:val="24"/>
          <w:highlight w:val="none"/>
        </w:rPr>
      </w:pPr>
      <w:bookmarkStart w:id="245" w:name="_Toc249515411"/>
      <w:bookmarkStart w:id="246" w:name="_Toc184043035"/>
      <w:bookmarkStart w:id="247" w:name="_Toc385992348"/>
      <w:bookmarkStart w:id="248" w:name="_Toc249515299"/>
      <w:bookmarkStart w:id="249" w:name="_Toc249525180"/>
      <w:bookmarkStart w:id="250" w:name="_Toc389620187"/>
      <w:bookmarkStart w:id="251" w:name="_Toc70687162"/>
      <w:bookmarkStart w:id="252" w:name="_Toc4042"/>
      <w:r>
        <w:rPr>
          <w:rFonts w:hint="eastAsia" w:ascii="宋体" w:hAnsi="宋体" w:eastAsia="宋体" w:cs="宋体"/>
          <w:b/>
          <w:color w:val="auto"/>
          <w:sz w:val="24"/>
          <w:szCs w:val="24"/>
          <w:highlight w:val="none"/>
        </w:rPr>
        <w:t>17.    响应文件的</w:t>
      </w:r>
      <w:bookmarkEnd w:id="245"/>
      <w:bookmarkEnd w:id="246"/>
      <w:bookmarkEnd w:id="247"/>
      <w:bookmarkEnd w:id="248"/>
      <w:bookmarkEnd w:id="249"/>
      <w:bookmarkEnd w:id="250"/>
      <w:bookmarkEnd w:id="251"/>
      <w:bookmarkEnd w:id="252"/>
      <w:r>
        <w:rPr>
          <w:rFonts w:hint="eastAsia" w:ascii="宋体" w:hAnsi="宋体" w:eastAsia="宋体" w:cs="宋体"/>
          <w:b/>
          <w:color w:val="auto"/>
          <w:sz w:val="24"/>
          <w:szCs w:val="24"/>
          <w:highlight w:val="none"/>
        </w:rPr>
        <w:t>递交</w:t>
      </w:r>
    </w:p>
    <w:p w14:paraId="24A6A4CF">
      <w:pPr>
        <w:keepNext w:val="0"/>
        <w:keepLines w:val="0"/>
        <w:pageBreakBefore w:val="0"/>
        <w:tabs>
          <w:tab w:val="left" w:pos="588"/>
        </w:tabs>
        <w:kinsoku/>
        <w:wordWrap/>
        <w:overflowPunct/>
        <w:topLinePunct w:val="0"/>
        <w:autoSpaceDE w:val="0"/>
        <w:autoSpaceDN w:val="0"/>
        <w:bidi w:val="0"/>
        <w:adjustRightInd w:val="0"/>
        <w:spacing w:line="480" w:lineRule="exact"/>
        <w:ind w:firstLine="480" w:firstLineChars="200"/>
        <w:textAlignment w:val="auto"/>
        <w:rPr>
          <w:rFonts w:hint="eastAsia" w:ascii="宋体" w:hAnsi="宋体" w:eastAsia="宋体" w:cs="宋体"/>
          <w:color w:val="auto"/>
          <w:sz w:val="24"/>
          <w:szCs w:val="24"/>
          <w:highlight w:val="none"/>
          <w:lang w:eastAsia="zh-CN"/>
        </w:rPr>
      </w:pPr>
      <w:bookmarkStart w:id="253" w:name="_Toc385992349"/>
      <w:bookmarkStart w:id="254" w:name="_Toc389620188"/>
      <w:bookmarkStart w:id="255" w:name="_Toc184043036"/>
      <w:bookmarkStart w:id="256" w:name="_Toc70687163"/>
      <w:r>
        <w:rPr>
          <w:rFonts w:hint="eastAsia" w:ascii="宋体" w:hAnsi="宋体" w:eastAsia="宋体" w:cs="宋体"/>
          <w:color w:val="auto"/>
          <w:kern w:val="0"/>
          <w:sz w:val="24"/>
          <w:szCs w:val="24"/>
          <w:highlight w:val="none"/>
        </w:rPr>
        <w:t xml:space="preserve">17.1   </w:t>
      </w:r>
      <w:r>
        <w:rPr>
          <w:rFonts w:hint="eastAsia" w:ascii="宋体" w:hAnsi="宋体" w:eastAsia="宋体" w:cs="宋体"/>
          <w:color w:val="auto"/>
          <w:kern w:val="0"/>
          <w:sz w:val="24"/>
          <w:szCs w:val="24"/>
          <w:highlight w:val="none"/>
          <w:lang w:eastAsia="zh-CN"/>
        </w:rPr>
        <w:t>电子响应文件进行平台上传提交。</w:t>
      </w:r>
    </w:p>
    <w:bookmarkEnd w:id="253"/>
    <w:bookmarkEnd w:id="254"/>
    <w:p w14:paraId="5BE6BAEC">
      <w:pPr>
        <w:pStyle w:val="4"/>
        <w:keepNext w:val="0"/>
        <w:keepLines w:val="0"/>
        <w:pageBreakBefore w:val="0"/>
        <w:kinsoku/>
        <w:wordWrap/>
        <w:overflowPunct/>
        <w:topLinePunct w:val="0"/>
        <w:bidi w:val="0"/>
        <w:spacing w:line="480" w:lineRule="exact"/>
        <w:ind w:firstLine="482" w:firstLineChars="200"/>
        <w:textAlignment w:val="auto"/>
        <w:rPr>
          <w:rFonts w:hint="eastAsia" w:ascii="宋体" w:hAnsi="宋体" w:eastAsia="宋体" w:cs="宋体"/>
          <w:b/>
          <w:color w:val="auto"/>
          <w:sz w:val="24"/>
          <w:szCs w:val="24"/>
          <w:highlight w:val="none"/>
        </w:rPr>
      </w:pPr>
      <w:bookmarkStart w:id="257" w:name="_Toc249515412"/>
      <w:bookmarkStart w:id="258" w:name="_Toc249515300"/>
      <w:bookmarkStart w:id="259" w:name="_Toc31171"/>
      <w:bookmarkStart w:id="260" w:name="_Toc249525181"/>
      <w:r>
        <w:rPr>
          <w:rFonts w:hint="eastAsia" w:ascii="宋体" w:hAnsi="宋体" w:eastAsia="宋体" w:cs="宋体"/>
          <w:b/>
          <w:color w:val="auto"/>
          <w:sz w:val="24"/>
          <w:szCs w:val="24"/>
          <w:highlight w:val="none"/>
        </w:rPr>
        <w:t>18.    响应文件递交截止时间</w:t>
      </w:r>
      <w:bookmarkEnd w:id="255"/>
      <w:bookmarkEnd w:id="256"/>
      <w:bookmarkEnd w:id="257"/>
      <w:bookmarkEnd w:id="258"/>
      <w:bookmarkEnd w:id="259"/>
      <w:bookmarkEnd w:id="260"/>
    </w:p>
    <w:p w14:paraId="5DBB19E1">
      <w:pPr>
        <w:keepNext w:val="0"/>
        <w:keepLines w:val="0"/>
        <w:pageBreakBefore w:val="0"/>
        <w:tabs>
          <w:tab w:val="left" w:pos="588"/>
        </w:tabs>
        <w:kinsoku/>
        <w:wordWrap/>
        <w:overflowPunct/>
        <w:topLinePunct w:val="0"/>
        <w:bidi w:val="0"/>
        <w:spacing w:line="480" w:lineRule="exact"/>
        <w:ind w:firstLine="480" w:firstLineChars="200"/>
        <w:textAlignment w:val="auto"/>
        <w:rPr>
          <w:rFonts w:hint="eastAsia" w:ascii="宋体" w:hAnsi="宋体" w:eastAsia="宋体" w:cs="宋体"/>
          <w:color w:val="auto"/>
          <w:sz w:val="24"/>
          <w:szCs w:val="24"/>
          <w:highlight w:val="none"/>
        </w:rPr>
      </w:pPr>
      <w:bookmarkStart w:id="261" w:name="_Toc184043037"/>
      <w:bookmarkStart w:id="262" w:name="_Toc70687164"/>
      <w:bookmarkStart w:id="263" w:name="_Toc389620189"/>
      <w:bookmarkStart w:id="264" w:name="_Toc385992350"/>
      <w:r>
        <w:rPr>
          <w:rFonts w:hint="eastAsia" w:ascii="宋体" w:hAnsi="宋体" w:eastAsia="宋体" w:cs="宋体"/>
          <w:color w:val="auto"/>
          <w:sz w:val="24"/>
          <w:szCs w:val="24"/>
          <w:highlight w:val="none"/>
        </w:rPr>
        <w:t>18.1   响应文件递交截止时间和地点见</w:t>
      </w:r>
      <w:r>
        <w:rPr>
          <w:rFonts w:hint="eastAsia" w:ascii="宋体" w:hAnsi="宋体" w:eastAsia="宋体" w:cs="宋体"/>
          <w:b/>
          <w:color w:val="auto"/>
          <w:sz w:val="24"/>
          <w:szCs w:val="24"/>
          <w:highlight w:val="none"/>
        </w:rPr>
        <w:t>供应商须知前附表</w:t>
      </w:r>
      <w:r>
        <w:rPr>
          <w:rFonts w:hint="eastAsia" w:ascii="宋体" w:hAnsi="宋体" w:eastAsia="宋体" w:cs="宋体"/>
          <w:color w:val="auto"/>
          <w:sz w:val="24"/>
          <w:szCs w:val="24"/>
          <w:highlight w:val="none"/>
        </w:rPr>
        <w:t>。</w:t>
      </w:r>
    </w:p>
    <w:p w14:paraId="6D3659F2">
      <w:pPr>
        <w:keepNext w:val="0"/>
        <w:keepLines w:val="0"/>
        <w:pageBreakBefore w:val="0"/>
        <w:tabs>
          <w:tab w:val="left" w:pos="588"/>
        </w:tabs>
        <w:kinsoku/>
        <w:wordWrap/>
        <w:overflowPunct/>
        <w:topLinePunct w:val="0"/>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   供应商须在响应文件递交截止时间之前将响应文件</w:t>
      </w:r>
      <w:r>
        <w:rPr>
          <w:rFonts w:hint="eastAsia" w:ascii="宋体" w:hAnsi="宋体" w:eastAsia="宋体" w:cs="宋体"/>
          <w:color w:val="auto"/>
          <w:sz w:val="24"/>
          <w:szCs w:val="24"/>
          <w:highlight w:val="none"/>
          <w:lang w:eastAsia="zh-CN"/>
        </w:rPr>
        <w:t>上传平台</w:t>
      </w:r>
      <w:r>
        <w:rPr>
          <w:rFonts w:hint="eastAsia" w:ascii="宋体" w:hAnsi="宋体" w:eastAsia="宋体" w:cs="宋体"/>
          <w:color w:val="auto"/>
          <w:sz w:val="24"/>
          <w:szCs w:val="24"/>
          <w:highlight w:val="none"/>
        </w:rPr>
        <w:t>。供应商须承担因未</w:t>
      </w:r>
      <w:r>
        <w:rPr>
          <w:rFonts w:hint="eastAsia" w:ascii="宋体" w:hAnsi="宋体" w:eastAsia="宋体" w:cs="宋体"/>
          <w:color w:val="auto"/>
          <w:sz w:val="24"/>
          <w:szCs w:val="24"/>
          <w:highlight w:val="none"/>
          <w:lang w:eastAsia="zh-CN"/>
        </w:rPr>
        <w:t>上传文件</w:t>
      </w:r>
      <w:r>
        <w:rPr>
          <w:rFonts w:hint="eastAsia" w:ascii="宋体" w:hAnsi="宋体" w:eastAsia="宋体" w:cs="宋体"/>
          <w:color w:val="auto"/>
          <w:sz w:val="24"/>
          <w:szCs w:val="24"/>
          <w:highlight w:val="none"/>
        </w:rPr>
        <w:t>所造成的一切责任。</w:t>
      </w:r>
    </w:p>
    <w:p w14:paraId="62A4997B">
      <w:pPr>
        <w:keepNext w:val="0"/>
        <w:keepLines w:val="0"/>
        <w:pageBreakBefore w:val="0"/>
        <w:tabs>
          <w:tab w:val="left" w:pos="588"/>
        </w:tabs>
        <w:kinsoku/>
        <w:wordWrap/>
        <w:overflowPunct/>
        <w:topLinePunct w:val="0"/>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  采购人可以按本须知第7条规定，通知修改磋商文件，适当延长响应文件递交截止时间。在此情况下，采购人和供应商受响应文件递交截止时间制约的所有权利和义务均应延长至新的截止期。</w:t>
      </w:r>
    </w:p>
    <w:bookmarkEnd w:id="261"/>
    <w:bookmarkEnd w:id="262"/>
    <w:bookmarkEnd w:id="263"/>
    <w:bookmarkEnd w:id="264"/>
    <w:p w14:paraId="78BF8254">
      <w:pPr>
        <w:pStyle w:val="4"/>
        <w:keepNext w:val="0"/>
        <w:keepLines w:val="0"/>
        <w:pageBreakBefore w:val="0"/>
        <w:kinsoku/>
        <w:wordWrap/>
        <w:overflowPunct/>
        <w:topLinePunct w:val="0"/>
        <w:bidi w:val="0"/>
        <w:spacing w:line="480" w:lineRule="exact"/>
        <w:ind w:firstLine="482" w:firstLineChars="200"/>
        <w:textAlignment w:val="auto"/>
        <w:rPr>
          <w:rFonts w:hint="eastAsia" w:ascii="宋体" w:hAnsi="宋体" w:eastAsia="宋体" w:cs="宋体"/>
          <w:b/>
          <w:color w:val="auto"/>
          <w:sz w:val="24"/>
          <w:szCs w:val="24"/>
          <w:highlight w:val="none"/>
        </w:rPr>
      </w:pPr>
      <w:bookmarkStart w:id="265" w:name="_Toc10272"/>
      <w:bookmarkStart w:id="266" w:name="_Toc385992351"/>
      <w:bookmarkStart w:id="267" w:name="_Toc389620190"/>
      <w:bookmarkStart w:id="268" w:name="_Toc70687165"/>
      <w:bookmarkStart w:id="269" w:name="_Toc249515414"/>
      <w:bookmarkStart w:id="270" w:name="_Toc184043038"/>
      <w:bookmarkStart w:id="271" w:name="_Toc249525183"/>
      <w:bookmarkStart w:id="272" w:name="_Toc249515302"/>
      <w:r>
        <w:rPr>
          <w:rFonts w:hint="eastAsia" w:ascii="宋体" w:hAnsi="宋体" w:eastAsia="宋体" w:cs="宋体"/>
          <w:b/>
          <w:color w:val="auto"/>
          <w:sz w:val="24"/>
          <w:szCs w:val="24"/>
          <w:highlight w:val="none"/>
          <w:lang w:val="en-US" w:eastAsia="zh-CN"/>
        </w:rPr>
        <w:t>19</w:t>
      </w:r>
      <w:r>
        <w:rPr>
          <w:rFonts w:hint="eastAsia" w:ascii="宋体" w:hAnsi="宋体" w:eastAsia="宋体" w:cs="宋体"/>
          <w:b/>
          <w:color w:val="auto"/>
          <w:sz w:val="24"/>
          <w:szCs w:val="24"/>
          <w:highlight w:val="none"/>
        </w:rPr>
        <w:t>.    响应文件的修改和撤</w:t>
      </w:r>
      <w:bookmarkEnd w:id="265"/>
      <w:bookmarkEnd w:id="266"/>
      <w:bookmarkEnd w:id="267"/>
      <w:bookmarkEnd w:id="268"/>
      <w:bookmarkEnd w:id="269"/>
      <w:bookmarkEnd w:id="270"/>
      <w:bookmarkEnd w:id="271"/>
      <w:bookmarkEnd w:id="272"/>
      <w:r>
        <w:rPr>
          <w:rFonts w:hint="eastAsia" w:ascii="宋体" w:hAnsi="宋体" w:eastAsia="宋体" w:cs="宋体"/>
          <w:b/>
          <w:color w:val="auto"/>
          <w:sz w:val="24"/>
          <w:szCs w:val="24"/>
          <w:highlight w:val="none"/>
        </w:rPr>
        <w:t>回</w:t>
      </w:r>
    </w:p>
    <w:p w14:paraId="0BB8DC62">
      <w:pPr>
        <w:keepNext w:val="0"/>
        <w:keepLines w:val="0"/>
        <w:pageBreakBefore w:val="0"/>
        <w:tabs>
          <w:tab w:val="left" w:pos="588"/>
        </w:tabs>
        <w:kinsoku/>
        <w:wordWrap/>
        <w:overflowPunct/>
        <w:topLinePunct w:val="0"/>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供应商在提交响应文件后可对其响应文件进行修改或撤回，但该修改或撤回须在响应文件递交截止时间之前。</w:t>
      </w:r>
    </w:p>
    <w:p w14:paraId="2E44E582">
      <w:pPr>
        <w:keepNext w:val="0"/>
        <w:keepLines w:val="0"/>
        <w:pageBreakBefore w:val="0"/>
        <w:tabs>
          <w:tab w:val="left" w:pos="588"/>
        </w:tabs>
        <w:kinsoku/>
        <w:wordWrap/>
        <w:overflowPunct/>
        <w:topLinePunct w:val="0"/>
        <w:bidi w:val="0"/>
        <w:spacing w:line="48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19.1</w:t>
      </w:r>
      <w:r>
        <w:rPr>
          <w:rFonts w:hint="eastAsia" w:ascii="宋体" w:hAnsi="宋体" w:eastAsia="宋体" w:cs="宋体"/>
          <w:color w:val="auto"/>
          <w:sz w:val="24"/>
          <w:szCs w:val="24"/>
          <w:highlight w:val="none"/>
        </w:rPr>
        <w:t xml:space="preserve">   在响应文件递交截止时间之后，供应商不得对其响应文件做任何修改。</w:t>
      </w:r>
    </w:p>
    <w:p w14:paraId="5534E7FB">
      <w:pPr>
        <w:pStyle w:val="27"/>
        <w:keepNext w:val="0"/>
        <w:keepLines w:val="0"/>
        <w:pageBreakBefore w:val="0"/>
        <w:kinsoku/>
        <w:wordWrap/>
        <w:overflowPunct/>
        <w:topLinePunct w:val="0"/>
        <w:bidi w:val="0"/>
        <w:spacing w:before="24" w:after="24" w:line="480" w:lineRule="exact"/>
        <w:ind w:left="3313" w:firstLine="482" w:firstLineChars="200"/>
        <w:textAlignment w:val="auto"/>
        <w:rPr>
          <w:rFonts w:hint="eastAsia" w:ascii="宋体" w:hAnsi="宋体" w:eastAsia="宋体" w:cs="宋体"/>
          <w:color w:val="auto"/>
          <w:sz w:val="24"/>
          <w:szCs w:val="24"/>
          <w:highlight w:val="none"/>
        </w:rPr>
      </w:pPr>
      <w:bookmarkStart w:id="273" w:name="_Hlt491765712"/>
      <w:bookmarkEnd w:id="273"/>
      <w:bookmarkStart w:id="274" w:name="_Hlt497729441"/>
      <w:bookmarkEnd w:id="274"/>
      <w:bookmarkStart w:id="275" w:name="_Toc249515415"/>
      <w:bookmarkStart w:id="276" w:name="_Toc256342148"/>
      <w:bookmarkStart w:id="277" w:name="_Toc249525184"/>
      <w:bookmarkStart w:id="278" w:name="_Toc249515303"/>
      <w:bookmarkStart w:id="279" w:name="_Toc13475"/>
      <w:bookmarkStart w:id="280" w:name="_Toc70687166"/>
      <w:bookmarkStart w:id="281" w:name="_Toc177995478"/>
      <w:bookmarkStart w:id="282" w:name="_Toc53722845"/>
      <w:bookmarkStart w:id="283" w:name="_Toc496324584"/>
      <w:bookmarkStart w:id="284" w:name="_Toc499711048"/>
      <w:bookmarkStart w:id="285" w:name="_Toc503063427"/>
      <w:bookmarkStart w:id="286" w:name="_Toc176882547"/>
      <w:bookmarkStart w:id="287" w:name="_Toc499711889"/>
      <w:bookmarkStart w:id="288" w:name="_Toc500747067"/>
      <w:bookmarkStart w:id="289" w:name="_Toc177189240"/>
      <w:bookmarkStart w:id="290" w:name="_Toc184043039"/>
      <w:bookmarkStart w:id="291" w:name="_Toc500746971"/>
      <w:bookmarkStart w:id="292" w:name="_Toc492955420"/>
      <w:bookmarkStart w:id="293" w:name="_Toc177817339"/>
      <w:bookmarkStart w:id="294" w:name="_Toc500747194"/>
      <w:bookmarkStart w:id="295" w:name="_Toc385992352"/>
      <w:bookmarkStart w:id="296" w:name="_Toc389620191"/>
      <w:r>
        <w:rPr>
          <w:rFonts w:hint="eastAsia" w:ascii="宋体" w:hAnsi="宋体" w:eastAsia="宋体" w:cs="宋体"/>
          <w:color w:val="auto"/>
          <w:sz w:val="24"/>
          <w:szCs w:val="24"/>
          <w:highlight w:val="none"/>
        </w:rPr>
        <w:t>五、评审与</w:t>
      </w:r>
      <w:bookmarkEnd w:id="275"/>
      <w:bookmarkEnd w:id="276"/>
      <w:bookmarkEnd w:id="277"/>
      <w:bookmarkEnd w:id="278"/>
      <w:r>
        <w:rPr>
          <w:rFonts w:hint="eastAsia" w:ascii="宋体" w:hAnsi="宋体" w:eastAsia="宋体" w:cs="宋体"/>
          <w:color w:val="auto"/>
          <w:sz w:val="24"/>
          <w:szCs w:val="24"/>
          <w:highlight w:val="none"/>
        </w:rPr>
        <w:t>磋商</w:t>
      </w:r>
      <w:bookmarkEnd w:id="279"/>
    </w:p>
    <w:p w14:paraId="489A5BCF">
      <w:pPr>
        <w:pStyle w:val="4"/>
        <w:keepNext w:val="0"/>
        <w:keepLines w:val="0"/>
        <w:pageBreakBefore w:val="0"/>
        <w:numPr>
          <w:ilvl w:val="0"/>
          <w:numId w:val="0"/>
        </w:numPr>
        <w:kinsoku/>
        <w:wordWrap/>
        <w:overflowPunct/>
        <w:topLinePunct w:val="0"/>
        <w:bidi w:val="0"/>
        <w:spacing w:line="480" w:lineRule="exact"/>
        <w:ind w:firstLine="482" w:firstLineChars="200"/>
        <w:textAlignment w:val="auto"/>
        <w:rPr>
          <w:rFonts w:hint="eastAsia" w:ascii="宋体" w:hAnsi="宋体" w:eastAsia="宋体" w:cs="宋体"/>
          <w:b/>
          <w:color w:val="auto"/>
          <w:sz w:val="24"/>
          <w:szCs w:val="24"/>
          <w:highlight w:val="none"/>
        </w:rPr>
      </w:pPr>
      <w:bookmarkStart w:id="297" w:name="_Toc16042"/>
      <w:bookmarkStart w:id="298" w:name="_Toc249515417"/>
      <w:bookmarkStart w:id="299" w:name="_Toc249515305"/>
      <w:bookmarkStart w:id="300" w:name="_Toc249525186"/>
      <w:r>
        <w:rPr>
          <w:rFonts w:hint="eastAsia" w:ascii="宋体" w:hAnsi="宋体" w:eastAsia="宋体" w:cs="宋体"/>
          <w:b/>
          <w:color w:val="auto"/>
          <w:sz w:val="24"/>
          <w:szCs w:val="24"/>
          <w:highlight w:val="none"/>
          <w:lang w:val="en-US" w:eastAsia="zh-CN"/>
        </w:rPr>
        <w:t>20.</w:t>
      </w:r>
      <w:r>
        <w:rPr>
          <w:rFonts w:hint="eastAsia" w:ascii="宋体" w:hAnsi="宋体" w:eastAsia="宋体" w:cs="宋体"/>
          <w:b/>
          <w:color w:val="auto"/>
          <w:sz w:val="24"/>
          <w:szCs w:val="24"/>
          <w:highlight w:val="none"/>
        </w:rPr>
        <w:t xml:space="preserve">   磋商小组</w:t>
      </w:r>
      <w:bookmarkEnd w:id="297"/>
      <w:bookmarkEnd w:id="298"/>
      <w:bookmarkEnd w:id="299"/>
      <w:bookmarkEnd w:id="300"/>
    </w:p>
    <w:p w14:paraId="1C44E183">
      <w:pPr>
        <w:pStyle w:val="8"/>
        <w:keepNext w:val="0"/>
        <w:keepLines w:val="0"/>
        <w:pageBreakBefore w:val="0"/>
        <w:kinsoku/>
        <w:wordWrap/>
        <w:overflowPunct/>
        <w:topLinePunct w:val="0"/>
        <w:bidi w:val="0"/>
        <w:adjustRightInd w:val="0"/>
        <w:snapToGrid w:val="0"/>
        <w:spacing w:line="48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.1   在磋商开始前组建磋商小组，磋商小组由采购人代表及有关专家组成。专家从政府采购评审专家库相关专业中随机抽取。磋商小组组成见</w:t>
      </w:r>
      <w:r>
        <w:rPr>
          <w:rFonts w:hint="eastAsia" w:ascii="宋体" w:hAnsi="宋体" w:eastAsia="宋体" w:cs="宋体"/>
          <w:b/>
          <w:color w:val="auto"/>
          <w:sz w:val="24"/>
          <w:szCs w:val="24"/>
          <w:highlight w:val="none"/>
        </w:rPr>
        <w:t>供应商须知前附表。</w:t>
      </w:r>
    </w:p>
    <w:p w14:paraId="0BD899EC">
      <w:pPr>
        <w:pStyle w:val="8"/>
        <w:keepNext w:val="0"/>
        <w:keepLines w:val="0"/>
        <w:pageBreakBefore w:val="0"/>
        <w:kinsoku/>
        <w:wordWrap/>
        <w:overflowPunct/>
        <w:topLinePunct w:val="0"/>
        <w:bidi w:val="0"/>
        <w:adjustRightInd w:val="0"/>
        <w:snapToGrid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.2   磋商小组职责</w:t>
      </w:r>
    </w:p>
    <w:p w14:paraId="1FB2FAB0">
      <w:pPr>
        <w:pStyle w:val="8"/>
        <w:keepNext w:val="0"/>
        <w:keepLines w:val="0"/>
        <w:pageBreakBefore w:val="0"/>
        <w:kinsoku/>
        <w:wordWrap/>
        <w:overflowPunct/>
        <w:topLinePunct w:val="0"/>
        <w:bidi w:val="0"/>
        <w:adjustRightInd w:val="0"/>
        <w:snapToGrid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（1）确认竞争性磋商文件；</w:t>
      </w:r>
    </w:p>
    <w:p w14:paraId="7C8BFB9F">
      <w:pPr>
        <w:pStyle w:val="8"/>
        <w:keepNext w:val="0"/>
        <w:keepLines w:val="0"/>
        <w:pageBreakBefore w:val="0"/>
        <w:kinsoku/>
        <w:wordWrap/>
        <w:overflowPunct/>
        <w:topLinePunct w:val="0"/>
        <w:bidi w:val="0"/>
        <w:adjustRightInd w:val="0"/>
        <w:snapToGrid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（2）确定符合要求的供应商参加磋商；</w:t>
      </w:r>
    </w:p>
    <w:p w14:paraId="5106E3DE">
      <w:pPr>
        <w:pStyle w:val="8"/>
        <w:keepNext w:val="0"/>
        <w:keepLines w:val="0"/>
        <w:pageBreakBefore w:val="0"/>
        <w:kinsoku/>
        <w:wordWrap/>
        <w:overflowPunct/>
        <w:topLinePunct w:val="0"/>
        <w:bidi w:val="0"/>
        <w:adjustRightInd w:val="0"/>
        <w:snapToGrid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（3）审查供应商的响应文件并做出评价；</w:t>
      </w:r>
    </w:p>
    <w:p w14:paraId="228C703C">
      <w:pPr>
        <w:pStyle w:val="8"/>
        <w:keepNext w:val="0"/>
        <w:keepLines w:val="0"/>
        <w:pageBreakBefore w:val="0"/>
        <w:kinsoku/>
        <w:wordWrap/>
        <w:overflowPunct/>
        <w:topLinePunct w:val="0"/>
        <w:bidi w:val="0"/>
        <w:adjustRightInd w:val="0"/>
        <w:snapToGrid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（4）要求供应商解释或者澄清其响应文件；</w:t>
      </w:r>
    </w:p>
    <w:p w14:paraId="5A476DFF">
      <w:pPr>
        <w:pStyle w:val="8"/>
        <w:keepNext w:val="0"/>
        <w:keepLines w:val="0"/>
        <w:pageBreakBefore w:val="0"/>
        <w:kinsoku/>
        <w:wordWrap/>
        <w:overflowPunct/>
        <w:topLinePunct w:val="0"/>
        <w:bidi w:val="0"/>
        <w:adjustRightInd w:val="0"/>
        <w:snapToGrid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（5）编写评审报告；</w:t>
      </w:r>
    </w:p>
    <w:p w14:paraId="335B07DD">
      <w:pPr>
        <w:pStyle w:val="8"/>
        <w:keepNext w:val="0"/>
        <w:keepLines w:val="0"/>
        <w:pageBreakBefore w:val="0"/>
        <w:kinsoku/>
        <w:wordWrap/>
        <w:overflowPunct/>
        <w:topLinePunct w:val="0"/>
        <w:bidi w:val="0"/>
        <w:adjustRightInd w:val="0"/>
        <w:snapToGrid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（6）告知采购人、采购代理机构在评审过程中发现的供应商的违法违规行为。</w:t>
      </w:r>
    </w:p>
    <w:p w14:paraId="4A46D5C3">
      <w:pPr>
        <w:pStyle w:val="8"/>
        <w:keepNext w:val="0"/>
        <w:keepLines w:val="0"/>
        <w:pageBreakBefore w:val="0"/>
        <w:kinsoku/>
        <w:wordWrap/>
        <w:overflowPunct/>
        <w:topLinePunct w:val="0"/>
        <w:bidi w:val="0"/>
        <w:adjustRightInd w:val="0"/>
        <w:snapToGrid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.3   磋商小组义务</w:t>
      </w:r>
    </w:p>
    <w:p w14:paraId="14522964">
      <w:pPr>
        <w:pStyle w:val="8"/>
        <w:keepNext w:val="0"/>
        <w:keepLines w:val="0"/>
        <w:pageBreakBefore w:val="0"/>
        <w:kinsoku/>
        <w:wordWrap/>
        <w:overflowPunct/>
        <w:topLinePunct w:val="0"/>
        <w:bidi w:val="0"/>
        <w:adjustRightInd w:val="0"/>
        <w:snapToGrid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（1）遵纪客观、公正、审慎的原则；</w:t>
      </w:r>
    </w:p>
    <w:p w14:paraId="2206031F">
      <w:pPr>
        <w:pStyle w:val="8"/>
        <w:keepNext w:val="0"/>
        <w:keepLines w:val="0"/>
        <w:pageBreakBefore w:val="0"/>
        <w:kinsoku/>
        <w:wordWrap/>
        <w:overflowPunct/>
        <w:topLinePunct w:val="0"/>
        <w:bidi w:val="0"/>
        <w:adjustRightInd w:val="0"/>
        <w:snapToGrid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（2）根据磋商文件的规定评审程序、评审方法和评审标准独立进行评审，对个人的评审意见承担法律责任；</w:t>
      </w:r>
    </w:p>
    <w:p w14:paraId="7E18B68E">
      <w:pPr>
        <w:pStyle w:val="8"/>
        <w:keepNext w:val="0"/>
        <w:keepLines w:val="0"/>
        <w:pageBreakBefore w:val="0"/>
        <w:kinsoku/>
        <w:wordWrap/>
        <w:overflowPunct/>
        <w:topLinePunct w:val="0"/>
        <w:bidi w:val="0"/>
        <w:adjustRightInd w:val="0"/>
        <w:snapToGrid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（3）参与评审报告的起草；</w:t>
      </w:r>
    </w:p>
    <w:p w14:paraId="3F2FAD75">
      <w:pPr>
        <w:pStyle w:val="8"/>
        <w:keepNext w:val="0"/>
        <w:keepLines w:val="0"/>
        <w:pageBreakBefore w:val="0"/>
        <w:kinsoku/>
        <w:wordWrap/>
        <w:overflowPunct/>
        <w:topLinePunct w:val="0"/>
        <w:bidi w:val="0"/>
        <w:adjustRightInd w:val="0"/>
        <w:snapToGrid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（4）配合采购人、采购代理机构答复供应商提出的质疑；</w:t>
      </w:r>
    </w:p>
    <w:p w14:paraId="4498F93D">
      <w:pPr>
        <w:pStyle w:val="8"/>
        <w:keepNext w:val="0"/>
        <w:keepLines w:val="0"/>
        <w:pageBreakBefore w:val="0"/>
        <w:kinsoku/>
        <w:wordWrap/>
        <w:overflowPunct/>
        <w:topLinePunct w:val="0"/>
        <w:bidi w:val="0"/>
        <w:adjustRightInd w:val="0"/>
        <w:snapToGrid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（5）配合财政部门的投诉处理和监督检查工作。</w:t>
      </w:r>
    </w:p>
    <w:p w14:paraId="2568D18D">
      <w:pPr>
        <w:pStyle w:val="8"/>
        <w:keepNext w:val="0"/>
        <w:keepLines w:val="0"/>
        <w:pageBreakBefore w:val="0"/>
        <w:kinsoku/>
        <w:wordWrap/>
        <w:overflowPunct/>
        <w:topLinePunct w:val="0"/>
        <w:bidi w:val="0"/>
        <w:adjustRightInd w:val="0"/>
        <w:snapToGrid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.4   确认磋商文件：磋商小组对磋商文件进行审阅，无修改进行签字确认，有修改，修改内容经采购人确认后，磋商小组以书面形式通知所有供应商。</w:t>
      </w:r>
    </w:p>
    <w:p w14:paraId="5904CD64">
      <w:pPr>
        <w:pStyle w:val="4"/>
        <w:keepNext w:val="0"/>
        <w:keepLines w:val="0"/>
        <w:pageBreakBefore w:val="0"/>
        <w:kinsoku/>
        <w:wordWrap/>
        <w:overflowPunct/>
        <w:topLinePunct w:val="0"/>
        <w:bidi w:val="0"/>
        <w:spacing w:line="48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    磋商小组成员有下列情形之一的，应当回避：</w:t>
      </w:r>
    </w:p>
    <w:p w14:paraId="5743D2D1">
      <w:pPr>
        <w:pStyle w:val="4"/>
        <w:keepNext w:val="0"/>
        <w:keepLines w:val="0"/>
        <w:pageBreakBefore w:val="0"/>
        <w:tabs>
          <w:tab w:val="left" w:pos="360"/>
        </w:tabs>
        <w:kinsoku/>
        <w:wordWrap/>
        <w:overflowPunct/>
        <w:topLinePunct w:val="0"/>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   参加采购活动前3年内与供应商存在劳动关系；</w:t>
      </w:r>
    </w:p>
    <w:p w14:paraId="32A3B719">
      <w:pPr>
        <w:pStyle w:val="4"/>
        <w:keepNext w:val="0"/>
        <w:keepLines w:val="0"/>
        <w:pageBreakBefore w:val="0"/>
        <w:tabs>
          <w:tab w:val="left" w:pos="360"/>
        </w:tabs>
        <w:kinsoku/>
        <w:wordWrap/>
        <w:overflowPunct/>
        <w:topLinePunct w:val="0"/>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.2   参加采购活动前3年内担任供应商的董事、监事；</w:t>
      </w:r>
    </w:p>
    <w:p w14:paraId="56E1DE6E">
      <w:pPr>
        <w:pStyle w:val="4"/>
        <w:keepNext w:val="0"/>
        <w:keepLines w:val="0"/>
        <w:pageBreakBefore w:val="0"/>
        <w:tabs>
          <w:tab w:val="left" w:pos="360"/>
        </w:tabs>
        <w:kinsoku/>
        <w:wordWrap/>
        <w:overflowPunct/>
        <w:topLinePunct w:val="0"/>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.3   参加采购活动前3年内是供应商的控股股东或者实际控制人；</w:t>
      </w:r>
    </w:p>
    <w:p w14:paraId="083B6116">
      <w:pPr>
        <w:pStyle w:val="4"/>
        <w:keepNext w:val="0"/>
        <w:keepLines w:val="0"/>
        <w:pageBreakBefore w:val="0"/>
        <w:tabs>
          <w:tab w:val="left" w:pos="360"/>
        </w:tabs>
        <w:kinsoku/>
        <w:wordWrap/>
        <w:overflowPunct/>
        <w:topLinePunct w:val="0"/>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.4   与供应商的法定代表人或者负责人有夫妻、直系血亲、三代以内旁系血亲或者近姻亲关系；</w:t>
      </w:r>
    </w:p>
    <w:p w14:paraId="09B4317B">
      <w:pPr>
        <w:pStyle w:val="4"/>
        <w:keepNext w:val="0"/>
        <w:keepLines w:val="0"/>
        <w:pageBreakBefore w:val="0"/>
        <w:tabs>
          <w:tab w:val="left" w:pos="360"/>
        </w:tabs>
        <w:kinsoku/>
        <w:wordWrap/>
        <w:overflowPunct/>
        <w:topLinePunct w:val="0"/>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.5   与供应商有其他可能影响政府采购活动公平、公正进行的关系。</w:t>
      </w:r>
    </w:p>
    <w:p w14:paraId="57FD5397">
      <w:pPr>
        <w:pStyle w:val="4"/>
        <w:keepNext w:val="0"/>
        <w:keepLines w:val="0"/>
        <w:pageBreakBefore w:val="0"/>
        <w:kinsoku/>
        <w:wordWrap/>
        <w:overflowPunct/>
        <w:topLinePunct w:val="0"/>
        <w:bidi w:val="0"/>
        <w:spacing w:line="480" w:lineRule="exact"/>
        <w:ind w:firstLine="482" w:firstLineChars="200"/>
        <w:textAlignment w:val="auto"/>
        <w:rPr>
          <w:rFonts w:hint="eastAsia" w:ascii="宋体" w:hAnsi="宋体" w:eastAsia="宋体" w:cs="宋体"/>
          <w:b/>
          <w:color w:val="auto"/>
          <w:sz w:val="24"/>
          <w:szCs w:val="24"/>
          <w:highlight w:val="none"/>
        </w:rPr>
      </w:pPr>
      <w:bookmarkStart w:id="301" w:name="_Toc249515418"/>
      <w:bookmarkStart w:id="302" w:name="_Toc20608"/>
      <w:bookmarkStart w:id="303" w:name="_Toc249515306"/>
      <w:bookmarkStart w:id="304" w:name="_Toc249525187"/>
      <w:bookmarkStart w:id="305" w:name="_Toc83547667"/>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    磋商程序</w:t>
      </w:r>
    </w:p>
    <w:p w14:paraId="0AF01BBA">
      <w:pPr>
        <w:pStyle w:val="4"/>
        <w:keepNext w:val="0"/>
        <w:keepLines w:val="0"/>
        <w:pageBreakBefore w:val="0"/>
        <w:tabs>
          <w:tab w:val="left" w:pos="360"/>
        </w:tabs>
        <w:kinsoku/>
        <w:wordWrap/>
        <w:overflowPunct/>
        <w:topLinePunct w:val="0"/>
        <w:bidi w:val="0"/>
        <w:spacing w:line="480" w:lineRule="exact"/>
        <w:ind w:firstLine="482" w:firstLineChars="200"/>
        <w:textAlignment w:val="auto"/>
        <w:rPr>
          <w:rFonts w:hint="eastAsia" w:ascii="宋体" w:hAnsi="宋体" w:eastAsia="宋体" w:cs="宋体"/>
          <w:b/>
          <w:color w:val="auto"/>
          <w:sz w:val="24"/>
          <w:szCs w:val="24"/>
          <w:highlight w:val="none"/>
        </w:rPr>
      </w:pPr>
      <w:bookmarkStart w:id="306" w:name="_Toc58504507"/>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.1   磋商会议</w:t>
      </w:r>
      <w:bookmarkEnd w:id="306"/>
    </w:p>
    <w:p w14:paraId="66642B51">
      <w:pPr>
        <w:pStyle w:val="6"/>
        <w:keepNext w:val="0"/>
        <w:keepLines w:val="0"/>
        <w:pageBreakBefore w:val="0"/>
        <w:kinsoku/>
        <w:wordWrap/>
        <w:overflowPunct/>
        <w:topLinePunct w:val="0"/>
        <w:bidi w:val="0"/>
        <w:spacing w:line="480" w:lineRule="exact"/>
        <w:ind w:firstLine="480" w:firstLineChars="200"/>
        <w:textAlignment w:val="auto"/>
        <w:rPr>
          <w:rFonts w:hint="eastAsia" w:ascii="宋体" w:hAnsi="宋体" w:eastAsia="宋体" w:cs="宋体"/>
          <w:color w:val="auto"/>
          <w:sz w:val="24"/>
          <w:szCs w:val="24"/>
          <w:highlight w:val="none"/>
        </w:rPr>
      </w:pPr>
      <w:bookmarkStart w:id="307" w:name="_Toc58504508"/>
      <w:r>
        <w:rPr>
          <w:rFonts w:hint="eastAsia" w:ascii="宋体" w:hAnsi="宋体" w:eastAsia="宋体" w:cs="宋体"/>
          <w:color w:val="auto"/>
          <w:sz w:val="24"/>
          <w:szCs w:val="24"/>
          <w:highlight w:val="none"/>
        </w:rPr>
        <w:t>（1）在磋商文件规定的时间和地点，由采购代理机构组织磋商工作，开标时，按照工作人员要求进行远程解密，使用电子磋商响应文件加密时所用的数字认证证书（CA锁）自行解密电子磋商响应文件，投标单位需在解密时间规定内完成标书解密。</w:t>
      </w:r>
      <w:bookmarkEnd w:id="307"/>
    </w:p>
    <w:p w14:paraId="172C4996">
      <w:pPr>
        <w:pStyle w:val="6"/>
        <w:keepNext w:val="0"/>
        <w:keepLines w:val="0"/>
        <w:pageBreakBefore w:val="0"/>
        <w:kinsoku/>
        <w:wordWrap/>
        <w:overflowPunct/>
        <w:topLinePunct w:val="0"/>
        <w:bidi w:val="0"/>
        <w:spacing w:line="480" w:lineRule="exact"/>
        <w:ind w:firstLine="480" w:firstLineChars="200"/>
        <w:textAlignment w:val="auto"/>
        <w:rPr>
          <w:rFonts w:hint="eastAsia" w:ascii="宋体" w:hAnsi="宋体" w:eastAsia="宋体" w:cs="宋体"/>
          <w:color w:val="auto"/>
          <w:sz w:val="24"/>
          <w:szCs w:val="24"/>
          <w:highlight w:val="none"/>
        </w:rPr>
      </w:pPr>
      <w:bookmarkStart w:id="308" w:name="_Toc58504509"/>
      <w:r>
        <w:rPr>
          <w:rFonts w:hint="eastAsia" w:ascii="宋体" w:hAnsi="宋体" w:eastAsia="宋体" w:cs="宋体"/>
          <w:color w:val="auto"/>
          <w:sz w:val="24"/>
          <w:szCs w:val="24"/>
          <w:highlight w:val="none"/>
        </w:rPr>
        <w:t>（2）</w:t>
      </w:r>
      <w:bookmarkEnd w:id="308"/>
      <w:r>
        <w:rPr>
          <w:rFonts w:hint="eastAsia" w:ascii="宋体" w:hAnsi="宋体" w:eastAsia="宋体" w:cs="宋体"/>
          <w:color w:val="auto"/>
          <w:sz w:val="24"/>
          <w:szCs w:val="24"/>
          <w:highlight w:val="none"/>
        </w:rPr>
        <w:t>在开标、评审过程中，如因停电、断网、电子化系统故障等特殊原因导致电子化开、评标无法正常进行时，将按照《安康市公共资源交易平台电子化交易应急处置管理办法（试行）》执行。</w:t>
      </w:r>
    </w:p>
    <w:p w14:paraId="4D1F9EF0">
      <w:pPr>
        <w:pStyle w:val="6"/>
        <w:keepNext w:val="0"/>
        <w:keepLines w:val="0"/>
        <w:pageBreakBefore w:val="0"/>
        <w:kinsoku/>
        <w:wordWrap/>
        <w:overflowPunct/>
        <w:topLinePunct w:val="0"/>
        <w:bidi w:val="0"/>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《安康市公共资源交易平台电子化交易应急处置管理办法（试行）》链接：</w:t>
      </w:r>
    </w:p>
    <w:p w14:paraId="462116C4">
      <w:pPr>
        <w:pStyle w:val="6"/>
        <w:keepNext w:val="0"/>
        <w:keepLines w:val="0"/>
        <w:pageBreakBefore w:val="0"/>
        <w:kinsoku/>
        <w:wordWrap/>
        <w:overflowPunct/>
        <w:topLinePunct w:val="0"/>
        <w:bidi w:val="0"/>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"http://ak.sxggzyjy.cn/xwzx/002002/20210730/71d9e716-cb77-45ad-b689-f7d151fb8a85.html" </w:instrText>
      </w:r>
      <w:r>
        <w:rPr>
          <w:rFonts w:hint="eastAsia" w:ascii="宋体" w:hAnsi="宋体" w:eastAsia="宋体" w:cs="宋体"/>
          <w:color w:val="auto"/>
          <w:sz w:val="24"/>
          <w:szCs w:val="24"/>
          <w:highlight w:val="none"/>
        </w:rPr>
        <w:fldChar w:fldCharType="separate"/>
      </w:r>
      <w:r>
        <w:rPr>
          <w:rStyle w:val="20"/>
          <w:rFonts w:hint="eastAsia" w:ascii="宋体" w:hAnsi="宋体" w:eastAsia="宋体" w:cs="宋体"/>
          <w:color w:val="auto"/>
          <w:sz w:val="24"/>
          <w:szCs w:val="24"/>
          <w:highlight w:val="none"/>
        </w:rPr>
        <w:t>http://ak.sxggzyjy.cn/xwzx/002002/20210730/71d9e716-cb77-45ad-b689-f7d151fb8a85.html</w:t>
      </w:r>
      <w:r>
        <w:rPr>
          <w:rFonts w:hint="eastAsia" w:ascii="宋体" w:hAnsi="宋体" w:eastAsia="宋体" w:cs="宋体"/>
          <w:color w:val="auto"/>
          <w:sz w:val="24"/>
          <w:szCs w:val="24"/>
          <w:highlight w:val="none"/>
        </w:rPr>
        <w:fldChar w:fldCharType="end"/>
      </w:r>
    </w:p>
    <w:p w14:paraId="2CDB3C7E">
      <w:pPr>
        <w:pStyle w:val="4"/>
        <w:keepNext w:val="0"/>
        <w:keepLines w:val="0"/>
        <w:pageBreakBefore w:val="0"/>
        <w:tabs>
          <w:tab w:val="left" w:pos="360"/>
        </w:tabs>
        <w:kinsoku/>
        <w:wordWrap/>
        <w:overflowPunct/>
        <w:topLinePunct w:val="0"/>
        <w:bidi w:val="0"/>
        <w:spacing w:line="480" w:lineRule="exact"/>
        <w:ind w:firstLine="482" w:firstLineChars="200"/>
        <w:textAlignment w:val="auto"/>
        <w:rPr>
          <w:rFonts w:hint="eastAsia" w:ascii="宋体" w:hAnsi="宋体" w:eastAsia="宋体" w:cs="宋体"/>
          <w:b/>
          <w:color w:val="auto"/>
          <w:sz w:val="24"/>
          <w:szCs w:val="24"/>
          <w:highlight w:val="none"/>
        </w:rPr>
      </w:pPr>
      <w:bookmarkStart w:id="309" w:name="_Toc58504511"/>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.2   响应文件</w:t>
      </w:r>
      <w:bookmarkEnd w:id="301"/>
      <w:bookmarkEnd w:id="302"/>
      <w:bookmarkEnd w:id="303"/>
      <w:bookmarkEnd w:id="304"/>
      <w:bookmarkEnd w:id="305"/>
      <w:r>
        <w:rPr>
          <w:rFonts w:hint="eastAsia" w:ascii="宋体" w:hAnsi="宋体" w:eastAsia="宋体" w:cs="宋体"/>
          <w:b/>
          <w:color w:val="auto"/>
          <w:sz w:val="24"/>
          <w:szCs w:val="24"/>
          <w:highlight w:val="none"/>
        </w:rPr>
        <w:t>评审</w:t>
      </w:r>
      <w:bookmarkEnd w:id="309"/>
    </w:p>
    <w:p w14:paraId="4A0883DD">
      <w:pPr>
        <w:keepNext w:val="0"/>
        <w:keepLines w:val="0"/>
        <w:pageBreakBefore w:val="0"/>
        <w:tabs>
          <w:tab w:val="left" w:pos="360"/>
          <w:tab w:val="left" w:pos="588"/>
        </w:tabs>
        <w:kinsoku/>
        <w:wordWrap/>
        <w:overflowPunct/>
        <w:topLinePunct w:val="0"/>
        <w:bidi w:val="0"/>
        <w:spacing w:line="480" w:lineRule="exact"/>
        <w:ind w:firstLine="482" w:firstLineChars="200"/>
        <w:textAlignment w:val="auto"/>
        <w:rPr>
          <w:rFonts w:hint="eastAsia" w:ascii="宋体" w:hAnsi="宋体" w:eastAsia="宋体" w:cs="宋体"/>
          <w:color w:val="auto"/>
          <w:sz w:val="24"/>
          <w:szCs w:val="24"/>
          <w:highlight w:val="none"/>
        </w:rPr>
      </w:pPr>
      <w:bookmarkStart w:id="310" w:name="_Toc83547671"/>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.2.1 响应文件的资格性审查</w:t>
      </w:r>
      <w:r>
        <w:rPr>
          <w:rFonts w:hint="eastAsia" w:ascii="宋体" w:hAnsi="宋体" w:eastAsia="宋体" w:cs="宋体"/>
          <w:color w:val="auto"/>
          <w:sz w:val="24"/>
          <w:szCs w:val="24"/>
          <w:highlight w:val="none"/>
        </w:rPr>
        <w:t>。依据法律法规和磋商文件的规定，对响应文件中的资格要求文件等进行审查，以确认供应商具备相应资格。资格性审查出现下列情况者（但不限于），按无效文件处理：</w:t>
      </w:r>
    </w:p>
    <w:p w14:paraId="6B21344F">
      <w:pPr>
        <w:keepNext w:val="0"/>
        <w:keepLines w:val="0"/>
        <w:pageBreakBefore w:val="0"/>
        <w:tabs>
          <w:tab w:val="left" w:pos="360"/>
          <w:tab w:val="left" w:pos="588"/>
        </w:tabs>
        <w:kinsoku/>
        <w:wordWrap/>
        <w:overflowPunct/>
        <w:topLinePunct w:val="0"/>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（1）供应商资格不符合《中华人民共和国政府采购法》第二十二条的规定和特定资格条件要求的。</w:t>
      </w:r>
    </w:p>
    <w:p w14:paraId="004C848E">
      <w:pPr>
        <w:keepNext w:val="0"/>
        <w:keepLines w:val="0"/>
        <w:pageBreakBefore w:val="0"/>
        <w:tabs>
          <w:tab w:val="left" w:pos="360"/>
          <w:tab w:val="left" w:pos="588"/>
        </w:tabs>
        <w:kinsoku/>
        <w:wordWrap/>
        <w:overflowPunct/>
        <w:topLinePunct w:val="0"/>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（2）供应商没有经过正常渠道购买或免费领取磋商文件或供应商的名称与登记领取磋商文件单位的名称不符。</w:t>
      </w:r>
    </w:p>
    <w:p w14:paraId="19192AC3">
      <w:pPr>
        <w:keepNext w:val="0"/>
        <w:keepLines w:val="0"/>
        <w:pageBreakBefore w:val="0"/>
        <w:tabs>
          <w:tab w:val="left" w:pos="360"/>
          <w:tab w:val="left" w:pos="588"/>
        </w:tabs>
        <w:kinsoku/>
        <w:wordWrap/>
        <w:overflowPunct/>
        <w:topLinePunct w:val="0"/>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（3）磋商响应文件中未提交法定代表人授权书（法定代表人直接参加磋商未按要求提交其有效身份证）或授权书的合法性或有效性不符合磋商文件规定。授权代表本单位证明的有效性或符合性不符合要求的。</w:t>
      </w:r>
    </w:p>
    <w:p w14:paraId="4A720314">
      <w:pPr>
        <w:keepNext w:val="0"/>
        <w:keepLines w:val="0"/>
        <w:pageBreakBefore w:val="0"/>
        <w:tabs>
          <w:tab w:val="left" w:pos="360"/>
          <w:tab w:val="left" w:pos="588"/>
        </w:tabs>
        <w:kinsoku/>
        <w:wordWrap/>
        <w:overflowPunct/>
        <w:topLinePunct w:val="0"/>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信用查询中列入失信被执行人、重大税收违法案件当事人名单、政府采购严重违法失信行为记录名单及其他不符合《中华人民共和国政府采购法》第二十二条规定条件的供应商，拒绝参与政府采购活动。采购人或采购代理机构通过“信用中国”网站(www.creditchina.gov.cn)、中国政府采购网(www.ccgp.gov.cn) 等查询相关主体信用记录，并将查询网页打印、存档备查。查询时间为磋商文件发售期至评审截止时间前，此段时间段外，网站信息发生的任何变更均不作为资格审查依据。</w:t>
      </w:r>
    </w:p>
    <w:p w14:paraId="2F509913">
      <w:pPr>
        <w:pStyle w:val="6"/>
        <w:keepNext w:val="0"/>
        <w:keepLines w:val="0"/>
        <w:pageBreakBefore w:val="0"/>
        <w:kinsoku/>
        <w:wordWrap/>
        <w:overflowPunct/>
        <w:topLinePunct w:val="0"/>
        <w:bidi w:val="0"/>
        <w:spacing w:line="48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.2.2 磋商响应文件符合性审查：</w:t>
      </w:r>
      <w:r>
        <w:rPr>
          <w:rFonts w:hint="eastAsia" w:ascii="宋体" w:hAnsi="宋体" w:eastAsia="宋体" w:cs="宋体"/>
          <w:color w:val="auto"/>
          <w:sz w:val="24"/>
          <w:szCs w:val="24"/>
          <w:highlight w:val="none"/>
        </w:rPr>
        <w:t>依据磋商文件的规定，对响应文件的符合性进行审查，以确定是否满足磋商文件要求，出现下列情况者（但不限于），按无效文件处理。</w:t>
      </w:r>
    </w:p>
    <w:p w14:paraId="7EBCAC7A">
      <w:pPr>
        <w:pStyle w:val="6"/>
        <w:keepNext w:val="0"/>
        <w:keepLines w:val="0"/>
        <w:pageBreakBefore w:val="0"/>
        <w:kinsoku/>
        <w:wordWrap/>
        <w:overflowPunct/>
        <w:topLinePunct w:val="0"/>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（1）供应商未按磋商文件要求加盖单位公章；</w:t>
      </w:r>
    </w:p>
    <w:p w14:paraId="63901A57">
      <w:pPr>
        <w:pStyle w:val="6"/>
        <w:keepNext w:val="0"/>
        <w:keepLines w:val="0"/>
        <w:pageBreakBefore w:val="0"/>
        <w:kinsoku/>
        <w:wordWrap/>
        <w:overflowPunct/>
        <w:topLinePunct w:val="0"/>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（2）磋商响应文件未按磋商文件要求法定代表人或其授权代表签字；</w:t>
      </w:r>
    </w:p>
    <w:p w14:paraId="5AE74A48">
      <w:pPr>
        <w:pStyle w:val="6"/>
        <w:keepNext w:val="0"/>
        <w:keepLines w:val="0"/>
        <w:pageBreakBefore w:val="0"/>
        <w:kinsoku/>
        <w:wordWrap/>
        <w:overflowPunct/>
        <w:topLinePunct w:val="0"/>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（3）无有效期或有效期达不到磋商文件的要求。</w:t>
      </w:r>
    </w:p>
    <w:p w14:paraId="53418ADF">
      <w:pPr>
        <w:pStyle w:val="6"/>
        <w:keepNext w:val="0"/>
        <w:keepLines w:val="0"/>
        <w:pageBreakBefore w:val="0"/>
        <w:kinsoku/>
        <w:wordWrap/>
        <w:overflowPunct/>
        <w:topLinePunct w:val="0"/>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（4）供应商磋商报价超出采购预算；</w:t>
      </w:r>
    </w:p>
    <w:p w14:paraId="350872FA">
      <w:pPr>
        <w:pStyle w:val="6"/>
        <w:keepNext w:val="0"/>
        <w:keepLines w:val="0"/>
        <w:pageBreakBefore w:val="0"/>
        <w:kinsoku/>
        <w:wordWrap/>
        <w:overflowPunct/>
        <w:topLinePunct w:val="0"/>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）响应文件中对合同草案条款附加了采购人难以接受的条件。</w:t>
      </w:r>
    </w:p>
    <w:p w14:paraId="632D7842">
      <w:pPr>
        <w:pStyle w:val="4"/>
        <w:keepNext w:val="0"/>
        <w:keepLines w:val="0"/>
        <w:pageBreakBefore w:val="0"/>
        <w:tabs>
          <w:tab w:val="left" w:pos="360"/>
        </w:tabs>
        <w:kinsoku/>
        <w:wordWrap/>
        <w:overflowPunct/>
        <w:topLinePunct w:val="0"/>
        <w:bidi w:val="0"/>
        <w:spacing w:line="480" w:lineRule="exact"/>
        <w:ind w:firstLine="482" w:firstLineChars="200"/>
        <w:textAlignment w:val="auto"/>
        <w:rPr>
          <w:rFonts w:hint="eastAsia" w:ascii="宋体" w:hAnsi="宋体" w:eastAsia="宋体" w:cs="宋体"/>
          <w:b/>
          <w:color w:val="auto"/>
          <w:sz w:val="24"/>
          <w:szCs w:val="24"/>
          <w:highlight w:val="none"/>
        </w:rPr>
      </w:pPr>
      <w:bookmarkStart w:id="311" w:name="_Toc58504512"/>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.3   磋商</w:t>
      </w:r>
      <w:bookmarkEnd w:id="311"/>
    </w:p>
    <w:p w14:paraId="597F1283">
      <w:pPr>
        <w:pStyle w:val="6"/>
        <w:keepNext w:val="0"/>
        <w:keepLines w:val="0"/>
        <w:pageBreakBefore w:val="0"/>
        <w:kinsoku/>
        <w:wordWrap/>
        <w:overflowPunct/>
        <w:topLinePunct w:val="0"/>
        <w:bidi w:val="0"/>
        <w:spacing w:line="480" w:lineRule="exact"/>
        <w:ind w:firstLine="480" w:firstLineChars="200"/>
        <w:textAlignment w:val="auto"/>
        <w:rPr>
          <w:rFonts w:hint="eastAsia" w:ascii="宋体" w:hAnsi="宋体" w:eastAsia="宋体" w:cs="宋体"/>
          <w:color w:val="auto"/>
          <w:sz w:val="24"/>
          <w:szCs w:val="24"/>
          <w:highlight w:val="none"/>
        </w:rPr>
      </w:pPr>
      <w:bookmarkStart w:id="312" w:name="_Toc58504513"/>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.3.1 磋商小组集中与各供应商分别进行磋商，并给所有参加磋商供应商平等的磋商机会。</w:t>
      </w:r>
      <w:bookmarkEnd w:id="312"/>
    </w:p>
    <w:p w14:paraId="787F6956">
      <w:pPr>
        <w:pStyle w:val="6"/>
        <w:keepNext w:val="0"/>
        <w:keepLines w:val="0"/>
        <w:pageBreakBefore w:val="0"/>
        <w:kinsoku/>
        <w:wordWrap/>
        <w:overflowPunct/>
        <w:topLinePunct w:val="0"/>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.3.2 磋商小组在对响应文件的有效性、完整性和响应程度进行审核时，以</w:t>
      </w:r>
      <w:r>
        <w:rPr>
          <w:rFonts w:hint="eastAsia" w:ascii="宋体" w:hAnsi="宋体" w:eastAsia="宋体" w:cs="宋体"/>
          <w:b/>
          <w:color w:val="auto"/>
          <w:sz w:val="24"/>
          <w:szCs w:val="24"/>
          <w:highlight w:val="none"/>
        </w:rPr>
        <w:t>书面形式</w:t>
      </w:r>
      <w:r>
        <w:rPr>
          <w:rFonts w:hint="eastAsia" w:ascii="宋体" w:hAnsi="宋体" w:eastAsia="宋体" w:cs="宋体"/>
          <w:color w:val="auto"/>
          <w:sz w:val="24"/>
          <w:szCs w:val="24"/>
          <w:highlight w:val="none"/>
        </w:rPr>
        <w:t>要求供应商对响应文件中含义不明确、同类问题表述不一致、或者明显文字和计算错误的内容在约定时间内做出必要的澄清、说明或更正。供应商澄清、说明或者更正应当由法定代表人或者授权代表签字或者加盖公章。澄清、说明或者更正不得超出响应范围，或者改变响应文件的实质性内容。</w:t>
      </w:r>
    </w:p>
    <w:p w14:paraId="1966CC6E">
      <w:pPr>
        <w:pStyle w:val="6"/>
        <w:keepNext w:val="0"/>
        <w:keepLines w:val="0"/>
        <w:pageBreakBefore w:val="0"/>
        <w:kinsoku/>
        <w:wordWrap/>
        <w:overflowPunct/>
        <w:topLinePunct w:val="0"/>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.3.3 磋商过程中，磋商小组可以根据磋商文件和磋商情况实质性变动采购需求中的技术、服务要求以及合同草案条款，但不得变动磋商文件中的其他内容。实质性变动的内容，须经采购人代表确认，并成为磋商文件的有效组成部分。</w:t>
      </w:r>
    </w:p>
    <w:p w14:paraId="008064B9">
      <w:pPr>
        <w:pStyle w:val="6"/>
        <w:keepNext w:val="0"/>
        <w:keepLines w:val="0"/>
        <w:pageBreakBefore w:val="0"/>
        <w:kinsoku/>
        <w:wordWrap/>
        <w:overflowPunct/>
        <w:topLinePunct w:val="0"/>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.3.4 如出现下述情形之一的，视为供应商主动退出磋商，其响应将被拒绝：</w:t>
      </w:r>
    </w:p>
    <w:p w14:paraId="7A3FACD1">
      <w:pPr>
        <w:pStyle w:val="6"/>
        <w:keepNext w:val="0"/>
        <w:keepLines w:val="0"/>
        <w:pageBreakBefore w:val="0"/>
        <w:kinsoku/>
        <w:wordWrap/>
        <w:overflowPunct/>
        <w:topLinePunct w:val="0"/>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（1）供应商未按要求确认磋商小组确定的本项目最终技术需求的；</w:t>
      </w:r>
    </w:p>
    <w:p w14:paraId="014D817F">
      <w:pPr>
        <w:pStyle w:val="6"/>
        <w:keepNext w:val="0"/>
        <w:keepLines w:val="0"/>
        <w:pageBreakBefore w:val="0"/>
        <w:kinsoku/>
        <w:wordWrap/>
        <w:overflowPunct/>
        <w:topLinePunct w:val="0"/>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（2）最后报价未实质性响应磋商小组确定的本项目最终技术需求的，或附有采购人无法接受的条件的。</w:t>
      </w:r>
    </w:p>
    <w:p w14:paraId="7061C93F">
      <w:pPr>
        <w:pStyle w:val="6"/>
        <w:keepNext w:val="0"/>
        <w:keepLines w:val="0"/>
        <w:pageBreakBefore w:val="0"/>
        <w:kinsoku/>
        <w:wordWrap/>
        <w:overflowPunct/>
        <w:topLinePunct w:val="0"/>
        <w:bidi w:val="0"/>
        <w:spacing w:line="48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.4   最后报价</w:t>
      </w:r>
    </w:p>
    <w:p w14:paraId="236FAFAC">
      <w:pPr>
        <w:pStyle w:val="6"/>
        <w:keepNext w:val="0"/>
        <w:keepLines w:val="0"/>
        <w:pageBreakBefore w:val="0"/>
        <w:kinsoku/>
        <w:wordWrap/>
        <w:overflowPunct/>
        <w:topLinePunct w:val="0"/>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.4.1 磋商结束后，磋商小组要求所有实质性响应的供应商在规定时间内提交最后报价，提交最后报价的供应商不少于3家。最后报价是供应商响应文件的有效组成部分。</w:t>
      </w:r>
    </w:p>
    <w:p w14:paraId="32415577">
      <w:pPr>
        <w:pStyle w:val="4"/>
        <w:keepNext w:val="0"/>
        <w:keepLines w:val="0"/>
        <w:pageBreakBefore w:val="0"/>
        <w:kinsoku/>
        <w:wordWrap/>
        <w:overflowPunct/>
        <w:topLinePunct w:val="0"/>
        <w:bidi w:val="0"/>
        <w:spacing w:line="480" w:lineRule="exact"/>
        <w:ind w:firstLine="482" w:firstLineChars="200"/>
        <w:textAlignment w:val="auto"/>
        <w:rPr>
          <w:rFonts w:hint="eastAsia" w:ascii="宋体" w:hAnsi="宋体" w:eastAsia="宋体" w:cs="宋体"/>
          <w:b/>
          <w:bCs/>
          <w:color w:val="auto"/>
          <w:sz w:val="24"/>
          <w:szCs w:val="24"/>
          <w:highlight w:val="none"/>
        </w:rPr>
      </w:pPr>
      <w:bookmarkStart w:id="313" w:name="_Toc150509297"/>
      <w:bookmarkStart w:id="314" w:name="_Toc127161460"/>
      <w:bookmarkStart w:id="315" w:name="_Toc151193788"/>
      <w:bookmarkStart w:id="316" w:name="_Toc150480784"/>
      <w:bookmarkStart w:id="317" w:name="_Toc164608660"/>
      <w:bookmarkStart w:id="318" w:name="_Toc195842911"/>
      <w:bookmarkStart w:id="319" w:name="_Toc151193716"/>
      <w:bookmarkStart w:id="320" w:name="_Toc151193860"/>
      <w:bookmarkStart w:id="321" w:name="_Ref467307010"/>
      <w:bookmarkStart w:id="322" w:name="_Toc249525191"/>
      <w:bookmarkStart w:id="323" w:name="_Toc150774646"/>
      <w:bookmarkStart w:id="324" w:name="_Toc164229241"/>
      <w:bookmarkStart w:id="325" w:name="_Toc149720839"/>
      <w:bookmarkStart w:id="326" w:name="_Toc127151546"/>
      <w:bookmarkStart w:id="327" w:name="_Toc249515422"/>
      <w:bookmarkStart w:id="328" w:name="_Toc151193934"/>
      <w:bookmarkStart w:id="329" w:name="_Toc164608815"/>
      <w:bookmarkStart w:id="330" w:name="_Toc142311048"/>
      <w:bookmarkStart w:id="331" w:name="_Toc151190173"/>
      <w:bookmarkStart w:id="332" w:name="_Toc13753"/>
      <w:bookmarkStart w:id="333" w:name="_Toc249515310"/>
      <w:bookmarkStart w:id="334" w:name="_Toc164351640"/>
      <w:bookmarkStart w:id="335" w:name="_Toc150774751"/>
      <w:bookmarkStart w:id="336" w:name="_Toc127151747"/>
      <w:bookmarkStart w:id="337" w:name="_Toc164229387"/>
      <w:bookmarkStart w:id="338" w:name="_Toc520356170"/>
      <w:bookmarkStart w:id="339" w:name="_Toc151193644"/>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  评审办法及</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r>
        <w:rPr>
          <w:rFonts w:hint="eastAsia" w:ascii="宋体" w:hAnsi="宋体" w:eastAsia="宋体" w:cs="宋体"/>
          <w:b/>
          <w:bCs/>
          <w:color w:val="auto"/>
          <w:sz w:val="24"/>
          <w:szCs w:val="24"/>
          <w:highlight w:val="none"/>
        </w:rPr>
        <w:t>落实政府采购政策，详见第三章。</w:t>
      </w:r>
    </w:p>
    <w:p w14:paraId="4FA0428E">
      <w:pPr>
        <w:keepNext w:val="0"/>
        <w:keepLines w:val="0"/>
        <w:pageBreakBefore w:val="0"/>
        <w:kinsoku/>
        <w:wordWrap/>
        <w:overflowPunct/>
        <w:topLinePunct w:val="0"/>
        <w:bidi w:val="0"/>
        <w:spacing w:line="480" w:lineRule="exact"/>
        <w:ind w:firstLine="480" w:firstLineChars="200"/>
        <w:textAlignment w:val="auto"/>
        <w:rPr>
          <w:rFonts w:hint="eastAsia" w:ascii="宋体" w:hAnsi="宋体" w:eastAsia="宋体" w:cs="宋体"/>
          <w:color w:val="auto"/>
          <w:sz w:val="24"/>
          <w:szCs w:val="24"/>
          <w:highlight w:val="none"/>
        </w:rPr>
      </w:pPr>
    </w:p>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310"/>
    <w:p w14:paraId="285CA42E">
      <w:pPr>
        <w:pStyle w:val="27"/>
        <w:keepNext w:val="0"/>
        <w:keepLines w:val="0"/>
        <w:pageBreakBefore w:val="0"/>
        <w:kinsoku/>
        <w:wordWrap/>
        <w:overflowPunct/>
        <w:topLinePunct w:val="0"/>
        <w:bidi w:val="0"/>
        <w:spacing w:before="24" w:after="24" w:line="480" w:lineRule="exact"/>
        <w:ind w:firstLine="482" w:firstLineChars="200"/>
        <w:jc w:val="center"/>
        <w:textAlignment w:val="auto"/>
        <w:rPr>
          <w:rFonts w:hint="eastAsia" w:ascii="宋体" w:hAnsi="宋体" w:eastAsia="宋体" w:cs="宋体"/>
          <w:color w:val="auto"/>
          <w:sz w:val="24"/>
          <w:szCs w:val="24"/>
          <w:highlight w:val="none"/>
        </w:rPr>
      </w:pPr>
      <w:bookmarkStart w:id="340" w:name="_Hlt491765714"/>
      <w:bookmarkEnd w:id="340"/>
      <w:bookmarkStart w:id="341" w:name="_Hlt497729446"/>
      <w:bookmarkEnd w:id="341"/>
      <w:bookmarkStart w:id="342" w:name="_Toc256342149"/>
      <w:bookmarkStart w:id="343" w:name="_Toc249515423"/>
      <w:bookmarkStart w:id="344" w:name="_Toc13055"/>
      <w:bookmarkStart w:id="345" w:name="_Toc249515311"/>
      <w:bookmarkStart w:id="346" w:name="_Toc232395218"/>
      <w:bookmarkStart w:id="347" w:name="_Toc249525192"/>
      <w:bookmarkStart w:id="348" w:name="_Toc232176278"/>
      <w:bookmarkStart w:id="349" w:name="_Toc177817340"/>
      <w:bookmarkStart w:id="350" w:name="_Toc389620199"/>
      <w:bookmarkStart w:id="351" w:name="_Toc499711890"/>
      <w:bookmarkStart w:id="352" w:name="_Toc176882548"/>
      <w:bookmarkStart w:id="353" w:name="_Toc184043047"/>
      <w:bookmarkStart w:id="354" w:name="_Toc70687174"/>
      <w:bookmarkStart w:id="355" w:name="_Toc503063428"/>
      <w:bookmarkStart w:id="356" w:name="_Toc500747068"/>
      <w:bookmarkStart w:id="357" w:name="_Toc499711049"/>
      <w:bookmarkStart w:id="358" w:name="_Toc500747195"/>
      <w:bookmarkStart w:id="359" w:name="_Toc177189241"/>
      <w:bookmarkStart w:id="360" w:name="_Toc492955421"/>
      <w:bookmarkStart w:id="361" w:name="_Toc177995479"/>
      <w:bookmarkStart w:id="362" w:name="_Toc496324585"/>
      <w:bookmarkStart w:id="363" w:name="_Toc500746972"/>
      <w:bookmarkStart w:id="364" w:name="_Toc385992360"/>
      <w:bookmarkStart w:id="365" w:name="_Toc53722846"/>
      <w:r>
        <w:rPr>
          <w:rFonts w:hint="eastAsia" w:ascii="宋体" w:hAnsi="宋体" w:eastAsia="宋体" w:cs="宋体"/>
          <w:color w:val="auto"/>
          <w:sz w:val="24"/>
          <w:szCs w:val="24"/>
          <w:highlight w:val="none"/>
        </w:rPr>
        <w:t>六、确定成交单位、授予合同</w:t>
      </w:r>
      <w:bookmarkEnd w:id="342"/>
      <w:bookmarkEnd w:id="343"/>
      <w:bookmarkEnd w:id="344"/>
      <w:bookmarkEnd w:id="345"/>
      <w:bookmarkEnd w:id="346"/>
      <w:bookmarkEnd w:id="347"/>
      <w:bookmarkEnd w:id="348"/>
    </w:p>
    <w:p w14:paraId="7CDB1F5C">
      <w:pPr>
        <w:keepNext w:val="0"/>
        <w:keepLines w:val="0"/>
        <w:pageBreakBefore w:val="0"/>
        <w:kinsoku/>
        <w:wordWrap/>
        <w:overflowPunct/>
        <w:topLinePunct w:val="0"/>
        <w:bidi w:val="0"/>
        <w:spacing w:line="480" w:lineRule="exact"/>
        <w:ind w:firstLine="480" w:firstLineChars="200"/>
        <w:textAlignment w:val="auto"/>
        <w:rPr>
          <w:rFonts w:hint="eastAsia" w:ascii="宋体" w:hAnsi="宋体" w:eastAsia="宋体" w:cs="宋体"/>
          <w:color w:val="auto"/>
          <w:sz w:val="24"/>
          <w:szCs w:val="24"/>
          <w:highlight w:val="none"/>
        </w:rPr>
      </w:pPr>
    </w:p>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14:paraId="5B8CA334">
      <w:pPr>
        <w:pStyle w:val="4"/>
        <w:keepNext w:val="0"/>
        <w:keepLines w:val="0"/>
        <w:pageBreakBefore w:val="0"/>
        <w:numPr>
          <w:ilvl w:val="0"/>
          <w:numId w:val="0"/>
        </w:numPr>
        <w:kinsoku/>
        <w:wordWrap/>
        <w:overflowPunct/>
        <w:topLinePunct w:val="0"/>
        <w:bidi w:val="0"/>
        <w:spacing w:line="480" w:lineRule="exact"/>
        <w:ind w:firstLine="482" w:firstLineChars="200"/>
        <w:textAlignment w:val="auto"/>
        <w:rPr>
          <w:rFonts w:hint="eastAsia" w:ascii="宋体" w:hAnsi="宋体" w:eastAsia="宋体" w:cs="宋体"/>
          <w:b/>
          <w:bCs/>
          <w:color w:val="auto"/>
          <w:sz w:val="24"/>
          <w:szCs w:val="24"/>
          <w:highlight w:val="none"/>
        </w:rPr>
      </w:pPr>
      <w:bookmarkStart w:id="366" w:name="_Toc27151"/>
      <w:bookmarkStart w:id="367" w:name="_Toc184043048"/>
      <w:bookmarkStart w:id="368" w:name="_Toc249525193"/>
      <w:bookmarkStart w:id="369" w:name="_Toc249515312"/>
      <w:bookmarkStart w:id="370" w:name="_Toc389620200"/>
      <w:bookmarkStart w:id="371" w:name="_Toc385992361"/>
      <w:bookmarkStart w:id="372" w:name="_Toc70687175"/>
      <w:bookmarkStart w:id="373" w:name="_Toc249515424"/>
      <w:r>
        <w:rPr>
          <w:rFonts w:hint="eastAsia" w:ascii="宋体" w:hAnsi="宋体" w:eastAsia="宋体" w:cs="宋体"/>
          <w:b/>
          <w:bCs/>
          <w:color w:val="auto"/>
          <w:sz w:val="24"/>
          <w:szCs w:val="24"/>
          <w:highlight w:val="none"/>
          <w:lang w:val="en-US" w:eastAsia="zh-CN"/>
        </w:rPr>
        <w:t>24.</w:t>
      </w:r>
      <w:r>
        <w:rPr>
          <w:rFonts w:hint="eastAsia" w:ascii="宋体" w:hAnsi="宋体" w:eastAsia="宋体" w:cs="宋体"/>
          <w:b/>
          <w:bCs/>
          <w:color w:val="auto"/>
          <w:sz w:val="24"/>
          <w:szCs w:val="24"/>
          <w:highlight w:val="none"/>
        </w:rPr>
        <w:t xml:space="preserve">   确定成交</w:t>
      </w:r>
      <w:bookmarkEnd w:id="366"/>
      <w:bookmarkEnd w:id="367"/>
      <w:bookmarkEnd w:id="368"/>
      <w:bookmarkEnd w:id="369"/>
      <w:bookmarkEnd w:id="370"/>
      <w:bookmarkEnd w:id="371"/>
      <w:bookmarkEnd w:id="372"/>
      <w:bookmarkEnd w:id="373"/>
      <w:r>
        <w:rPr>
          <w:rFonts w:hint="eastAsia" w:ascii="宋体" w:hAnsi="宋体" w:eastAsia="宋体" w:cs="宋体"/>
          <w:b/>
          <w:bCs/>
          <w:color w:val="auto"/>
          <w:sz w:val="24"/>
          <w:szCs w:val="24"/>
          <w:highlight w:val="none"/>
        </w:rPr>
        <w:t>单位</w:t>
      </w:r>
    </w:p>
    <w:p w14:paraId="283F08F3">
      <w:pPr>
        <w:keepNext w:val="0"/>
        <w:keepLines w:val="0"/>
        <w:pageBreakBefore w:val="0"/>
        <w:tabs>
          <w:tab w:val="left" w:pos="588"/>
        </w:tabs>
        <w:kinsoku/>
        <w:wordWrap/>
        <w:overflowPunct/>
        <w:topLinePunct w:val="0"/>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   采购代理机构应在评审结束后两个工作日内，将评审报告送采购人。</w:t>
      </w:r>
    </w:p>
    <w:p w14:paraId="0AEBED5C">
      <w:pPr>
        <w:keepNext w:val="0"/>
        <w:keepLines w:val="0"/>
        <w:pageBreakBefore w:val="0"/>
        <w:tabs>
          <w:tab w:val="left" w:pos="588"/>
        </w:tabs>
        <w:kinsoku/>
        <w:wordWrap/>
        <w:overflowPunct/>
        <w:topLinePunct w:val="0"/>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   采购人在收到评审报告后五个工作日内，根据评审报告对评审过程及结果进行严格审核后确定成交供应商，复函采购代理机构。</w:t>
      </w:r>
    </w:p>
    <w:p w14:paraId="35EFDCA8">
      <w:pPr>
        <w:keepNext w:val="0"/>
        <w:keepLines w:val="0"/>
        <w:pageBreakBefore w:val="0"/>
        <w:tabs>
          <w:tab w:val="left" w:pos="588"/>
        </w:tabs>
        <w:kinsoku/>
        <w:wordWrap/>
        <w:overflowPunct/>
        <w:topLinePunct w:val="0"/>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.3   采购代理机构在接到采购人的成交复函后，在财政部门指定的政府采购信息发布媒体上公告，公告期限为</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个工作日，并向成交供应商发出成交通知书。成交通知书是合同文件的组成部分。</w:t>
      </w:r>
    </w:p>
    <w:p w14:paraId="63AE5891">
      <w:pPr>
        <w:pStyle w:val="4"/>
        <w:keepNext w:val="0"/>
        <w:keepLines w:val="0"/>
        <w:pageBreakBefore w:val="0"/>
        <w:kinsoku/>
        <w:wordWrap/>
        <w:overflowPunct/>
        <w:topLinePunct w:val="0"/>
        <w:bidi w:val="0"/>
        <w:spacing w:line="480" w:lineRule="exact"/>
        <w:ind w:firstLine="482" w:firstLineChars="200"/>
        <w:textAlignment w:val="auto"/>
        <w:rPr>
          <w:rFonts w:hint="eastAsia" w:ascii="宋体" w:hAnsi="宋体" w:eastAsia="宋体" w:cs="宋体"/>
          <w:b/>
          <w:bCs/>
          <w:color w:val="auto"/>
          <w:sz w:val="24"/>
          <w:szCs w:val="24"/>
          <w:highlight w:val="none"/>
        </w:rPr>
      </w:pPr>
      <w:bookmarkStart w:id="374" w:name="_Toc389620204"/>
      <w:bookmarkStart w:id="375" w:name="_Toc385992365"/>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    合同</w:t>
      </w:r>
    </w:p>
    <w:p w14:paraId="40971DFB">
      <w:pPr>
        <w:pStyle w:val="4"/>
        <w:keepNext w:val="0"/>
        <w:keepLines w:val="0"/>
        <w:pageBreakBefore w:val="0"/>
        <w:kinsoku/>
        <w:wordWrap/>
        <w:overflowPunct/>
        <w:topLinePunct w:val="0"/>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   自成交通知书发出后</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日内，按照磋商文件和成交供应商响应文件的约定，采购人与成交供应商洽谈合同条款，并签订合同。磋商文件及成交供应商的响应文件均作为合同的组成部分。</w:t>
      </w:r>
    </w:p>
    <w:p w14:paraId="6CCFBE87">
      <w:pPr>
        <w:pStyle w:val="4"/>
        <w:keepNext w:val="0"/>
        <w:keepLines w:val="0"/>
        <w:pageBreakBefore w:val="0"/>
        <w:kinsoku/>
        <w:wordWrap/>
        <w:overflowPunct/>
        <w:topLinePunct w:val="0"/>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.2   确定成交单位后，成交供应商因自身原因未按程序签订合同，采购人将取消其成交资格，同时报请监督机构备案。在此情况下，采购人可按评审结果顺序将合同授予下一成交候选人或重新采购。</w:t>
      </w:r>
    </w:p>
    <w:p w14:paraId="63A30A7A">
      <w:pPr>
        <w:pStyle w:val="4"/>
        <w:keepNext w:val="0"/>
        <w:keepLines w:val="0"/>
        <w:pageBreakBefore w:val="0"/>
        <w:kinsoku/>
        <w:wordWrap/>
        <w:overflowPunct/>
        <w:topLinePunct w:val="0"/>
        <w:bidi w:val="0"/>
        <w:spacing w:line="48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    询问与质疑 </w:t>
      </w:r>
    </w:p>
    <w:p w14:paraId="28C8F4DB">
      <w:pPr>
        <w:keepNext w:val="0"/>
        <w:keepLines w:val="0"/>
        <w:pageBreakBefore w:val="0"/>
        <w:tabs>
          <w:tab w:val="left" w:pos="588"/>
        </w:tabs>
        <w:kinsoku/>
        <w:wordWrap/>
        <w:overflowPunct/>
        <w:topLinePunct w:val="0"/>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   供应商对政府采购活动事项有疑问的，可以向采购人提出询问。</w:t>
      </w:r>
    </w:p>
    <w:p w14:paraId="5604B751">
      <w:pPr>
        <w:keepNext w:val="0"/>
        <w:keepLines w:val="0"/>
        <w:pageBreakBefore w:val="0"/>
        <w:tabs>
          <w:tab w:val="left" w:pos="588"/>
        </w:tabs>
        <w:kinsoku/>
        <w:wordWrap/>
        <w:overflowPunct/>
        <w:topLinePunct w:val="0"/>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.2   供应商认为采购文件、采购过程和中标、成交结果使自己的权益受到损害的，可以在知道或者应知其权益受到损害之日起七个工作日内，以书面形式向采购人提出质疑。</w:t>
      </w:r>
    </w:p>
    <w:p w14:paraId="418420FF">
      <w:pPr>
        <w:keepNext w:val="0"/>
        <w:keepLines w:val="0"/>
        <w:pageBreakBefore w:val="0"/>
        <w:tabs>
          <w:tab w:val="left" w:pos="588"/>
        </w:tabs>
        <w:kinsoku/>
        <w:wordWrap/>
        <w:overflowPunct/>
        <w:topLinePunct w:val="0"/>
        <w:bidi w:val="0"/>
        <w:spacing w:line="480" w:lineRule="exact"/>
        <w:ind w:left="479" w:leftChars="228"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.3   质疑供应商在法定质疑期内须一次性提出针对同一采购程序环节的质疑。2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.4   供应商提出质疑应当提交质疑函和必要的证明材料。质疑函应当包括下列内容</w:t>
      </w:r>
      <w:r>
        <w:rPr>
          <w:rFonts w:hint="eastAsia" w:ascii="宋体" w:hAnsi="宋体" w:eastAsia="宋体" w:cs="宋体"/>
          <w:color w:val="auto"/>
          <w:sz w:val="24"/>
          <w:szCs w:val="24"/>
          <w:highlight w:val="none"/>
          <w:lang w:eastAsia="zh-CN"/>
        </w:rPr>
        <w:t>；</w:t>
      </w:r>
    </w:p>
    <w:p w14:paraId="5233AA49">
      <w:pPr>
        <w:pStyle w:val="30"/>
        <w:keepNext w:val="0"/>
        <w:keepLines w:val="0"/>
        <w:pageBreakBefore w:val="0"/>
        <w:numPr>
          <w:ilvl w:val="0"/>
          <w:numId w:val="0"/>
        </w:numPr>
        <w:tabs>
          <w:tab w:val="left" w:pos="588"/>
        </w:tabs>
        <w:kinsoku/>
        <w:wordWrap/>
        <w:overflowPunct/>
        <w:topLinePunct w:val="0"/>
        <w:bidi w:val="0"/>
        <w:spacing w:line="480" w:lineRule="exact"/>
        <w:ind w:left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供应商的姓名或者名称、地址、邮编、联系人及联系电话；</w:t>
      </w:r>
    </w:p>
    <w:p w14:paraId="68A04900">
      <w:pPr>
        <w:pStyle w:val="30"/>
        <w:keepNext w:val="0"/>
        <w:keepLines w:val="0"/>
        <w:pageBreakBefore w:val="0"/>
        <w:numPr>
          <w:ilvl w:val="0"/>
          <w:numId w:val="0"/>
        </w:numPr>
        <w:tabs>
          <w:tab w:val="left" w:pos="588"/>
        </w:tabs>
        <w:kinsoku/>
        <w:wordWrap/>
        <w:overflowPunct/>
        <w:topLinePunct w:val="0"/>
        <w:bidi w:val="0"/>
        <w:spacing w:line="480" w:lineRule="exact"/>
        <w:ind w:left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质疑项目的名称、编号；</w:t>
      </w:r>
    </w:p>
    <w:p w14:paraId="6D54C796">
      <w:pPr>
        <w:pStyle w:val="30"/>
        <w:keepNext w:val="0"/>
        <w:keepLines w:val="0"/>
        <w:pageBreakBefore w:val="0"/>
        <w:numPr>
          <w:ilvl w:val="0"/>
          <w:numId w:val="0"/>
        </w:numPr>
        <w:tabs>
          <w:tab w:val="left" w:pos="588"/>
        </w:tabs>
        <w:kinsoku/>
        <w:wordWrap/>
        <w:overflowPunct/>
        <w:topLinePunct w:val="0"/>
        <w:bidi w:val="0"/>
        <w:spacing w:line="480" w:lineRule="exact"/>
        <w:ind w:left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具体、明确的质疑事项和与质疑事项相关的请求；</w:t>
      </w:r>
    </w:p>
    <w:p w14:paraId="0D4A50CA">
      <w:pPr>
        <w:pStyle w:val="30"/>
        <w:keepNext w:val="0"/>
        <w:keepLines w:val="0"/>
        <w:pageBreakBefore w:val="0"/>
        <w:numPr>
          <w:ilvl w:val="0"/>
          <w:numId w:val="0"/>
        </w:numPr>
        <w:tabs>
          <w:tab w:val="left" w:pos="588"/>
        </w:tabs>
        <w:kinsoku/>
        <w:wordWrap/>
        <w:overflowPunct/>
        <w:topLinePunct w:val="0"/>
        <w:bidi w:val="0"/>
        <w:spacing w:line="480" w:lineRule="exact"/>
        <w:ind w:left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事实依据；</w:t>
      </w:r>
    </w:p>
    <w:p w14:paraId="1AC7B5D4">
      <w:pPr>
        <w:pStyle w:val="30"/>
        <w:keepNext w:val="0"/>
        <w:keepLines w:val="0"/>
        <w:pageBreakBefore w:val="0"/>
        <w:numPr>
          <w:ilvl w:val="0"/>
          <w:numId w:val="0"/>
        </w:numPr>
        <w:tabs>
          <w:tab w:val="left" w:pos="588"/>
        </w:tabs>
        <w:kinsoku/>
        <w:wordWrap/>
        <w:overflowPunct/>
        <w:topLinePunct w:val="0"/>
        <w:bidi w:val="0"/>
        <w:spacing w:line="480" w:lineRule="exact"/>
        <w:ind w:left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必要的法律依据；</w:t>
      </w:r>
    </w:p>
    <w:p w14:paraId="03C3204C">
      <w:pPr>
        <w:pStyle w:val="30"/>
        <w:keepNext w:val="0"/>
        <w:keepLines w:val="0"/>
        <w:pageBreakBefore w:val="0"/>
        <w:numPr>
          <w:ilvl w:val="0"/>
          <w:numId w:val="0"/>
        </w:numPr>
        <w:tabs>
          <w:tab w:val="left" w:pos="588"/>
        </w:tabs>
        <w:kinsoku/>
        <w:wordWrap/>
        <w:overflowPunct/>
        <w:topLinePunct w:val="0"/>
        <w:bidi w:val="0"/>
        <w:spacing w:line="480" w:lineRule="exact"/>
        <w:ind w:left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提出质疑的日期。</w:t>
      </w:r>
    </w:p>
    <w:p w14:paraId="1B8FBEDD">
      <w:pPr>
        <w:keepNext w:val="0"/>
        <w:keepLines w:val="0"/>
        <w:pageBreakBefore w:val="0"/>
        <w:tabs>
          <w:tab w:val="left" w:pos="588"/>
        </w:tabs>
        <w:kinsoku/>
        <w:wordWrap/>
        <w:overflowPunct/>
        <w:topLinePunct w:val="0"/>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供应商为自然人的，应当由本人签字；供应商为法人或者其他组织的，应当由法定代表人或负责人签字或盖章，同时其授权代表签字，并加盖公章。</w:t>
      </w:r>
    </w:p>
    <w:p w14:paraId="07FBD971">
      <w:pPr>
        <w:pStyle w:val="30"/>
        <w:keepNext w:val="0"/>
        <w:keepLines w:val="0"/>
        <w:pageBreakBefore w:val="0"/>
        <w:numPr>
          <w:ilvl w:val="0"/>
          <w:numId w:val="0"/>
        </w:numPr>
        <w:tabs>
          <w:tab w:val="left" w:pos="588"/>
        </w:tabs>
        <w:kinsoku/>
        <w:wordWrap/>
        <w:overflowPunct/>
        <w:topLinePunct w:val="0"/>
        <w:bidi w:val="0"/>
        <w:spacing w:line="480" w:lineRule="exact"/>
        <w:ind w:leftChars="200" w:firstLine="240" w:firstLineChars="1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.5   符合要求的质疑，采购代理机构将予以受理并答复。</w:t>
      </w:r>
    </w:p>
    <w:p w14:paraId="1BDEA957">
      <w:pPr>
        <w:pStyle w:val="30"/>
        <w:keepNext w:val="0"/>
        <w:keepLines w:val="0"/>
        <w:pageBreakBefore w:val="0"/>
        <w:numPr>
          <w:ilvl w:val="0"/>
          <w:numId w:val="0"/>
        </w:numPr>
        <w:tabs>
          <w:tab w:val="left" w:pos="588"/>
        </w:tabs>
        <w:kinsoku/>
        <w:wordWrap/>
        <w:overflowPunct/>
        <w:topLinePunct w:val="0"/>
        <w:bidi w:val="0"/>
        <w:spacing w:line="480" w:lineRule="exact"/>
        <w:ind w:leftChars="200" w:firstLine="240" w:firstLineChars="1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eastAsia="zh-CN"/>
        </w:rPr>
        <w:t>邓工</w:t>
      </w:r>
      <w:r>
        <w:rPr>
          <w:rFonts w:hint="eastAsia" w:ascii="宋体" w:hAnsi="宋体" w:eastAsia="宋体" w:cs="宋体"/>
          <w:color w:val="auto"/>
          <w:sz w:val="24"/>
          <w:szCs w:val="24"/>
          <w:highlight w:val="none"/>
        </w:rPr>
        <w:t>，联系电话：</w:t>
      </w:r>
      <w:r>
        <w:rPr>
          <w:rFonts w:hint="eastAsia" w:ascii="宋体" w:hAnsi="宋体" w:cs="宋体"/>
          <w:color w:val="auto"/>
          <w:sz w:val="24"/>
          <w:szCs w:val="24"/>
          <w:highlight w:val="none"/>
          <w:lang w:val="en-US" w:eastAsia="zh-CN"/>
        </w:rPr>
        <w:t>17691134841，邮箱：</w:t>
      </w:r>
      <w:r>
        <w:rPr>
          <w:rFonts w:hint="eastAsia" w:ascii="宋体" w:hAnsi="宋体" w:cs="宋体"/>
          <w:color w:val="auto"/>
          <w:sz w:val="24"/>
          <w:szCs w:val="24"/>
          <w:highlight w:val="none"/>
          <w:u w:val="none"/>
          <w:lang w:val="en-US" w:eastAsia="zh-CN"/>
        </w:rPr>
        <w:t>2232686326@qq.com</w:t>
      </w:r>
    </w:p>
    <w:p w14:paraId="393E5C12">
      <w:pPr>
        <w:keepNext w:val="0"/>
        <w:keepLines w:val="0"/>
        <w:pageBreakBefore w:val="0"/>
        <w:tabs>
          <w:tab w:val="left" w:pos="588"/>
        </w:tabs>
        <w:kinsoku/>
        <w:wordWrap/>
        <w:overflowPunct/>
        <w:topLinePunct w:val="0"/>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.6   供应商进行虚假和恶意质疑的，采购代理机构将提供相关资料报监督机构，按其情况进行相应处理。</w:t>
      </w:r>
      <w:bookmarkEnd w:id="374"/>
      <w:bookmarkEnd w:id="375"/>
      <w:bookmarkStart w:id="376" w:name="_Toc25547"/>
    </w:p>
    <w:p w14:paraId="01A41F75">
      <w:pPr>
        <w:pStyle w:val="4"/>
        <w:keepNext w:val="0"/>
        <w:keepLines w:val="0"/>
        <w:pageBreakBefore w:val="0"/>
        <w:kinsoku/>
        <w:wordWrap/>
        <w:overflowPunct/>
        <w:topLinePunct w:val="0"/>
        <w:bidi w:val="0"/>
        <w:spacing w:line="48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    成交服务费</w:t>
      </w:r>
      <w:bookmarkEnd w:id="376"/>
    </w:p>
    <w:p w14:paraId="7A93506C">
      <w:pPr>
        <w:keepNext w:val="0"/>
        <w:keepLines w:val="0"/>
        <w:pageBreakBefore w:val="0"/>
        <w:tabs>
          <w:tab w:val="left" w:pos="588"/>
        </w:tabs>
        <w:kinsoku/>
        <w:wordWrap/>
        <w:overflowPunct/>
        <w:topLinePunct w:val="0"/>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rPr>
        <w:t xml:space="preserve"> 成交供应商在领取成交通知书前，须向采购代理机构支付成交服务费，服务费由采购人与采购代理机构约定：代理服务费的计算方法：以中标金额为基数，依据国家计 委颁布《招标代理服务收费管理暂行办法》（计价格[2002]1980 号） 和 国家发展改革委员会办公厅颁发的《关于招标代理服务收费有关问题的通知》（发改办价格[2003]857 号）文件规定执行；。</w:t>
      </w:r>
    </w:p>
    <w:p w14:paraId="00E4F9A5">
      <w:pPr>
        <w:pStyle w:val="4"/>
        <w:keepNext w:val="0"/>
        <w:keepLines w:val="0"/>
        <w:pageBreakBefore w:val="0"/>
        <w:numPr>
          <w:ilvl w:val="0"/>
          <w:numId w:val="0"/>
        </w:numPr>
        <w:kinsoku/>
        <w:wordWrap/>
        <w:overflowPunct/>
        <w:topLinePunct w:val="0"/>
        <w:bidi w:val="0"/>
        <w:spacing w:line="480" w:lineRule="exact"/>
        <w:ind w:firstLine="482" w:firstLineChars="200"/>
        <w:textAlignment w:val="auto"/>
        <w:rPr>
          <w:rFonts w:hint="eastAsia" w:ascii="宋体" w:hAnsi="宋体" w:eastAsia="宋体" w:cs="宋体"/>
          <w:b/>
          <w:bCs/>
          <w:color w:val="auto"/>
          <w:sz w:val="24"/>
          <w:szCs w:val="24"/>
          <w:highlight w:val="none"/>
        </w:rPr>
      </w:pPr>
      <w:bookmarkStart w:id="377" w:name="_Toc1585"/>
      <w:r>
        <w:rPr>
          <w:rFonts w:hint="eastAsia" w:ascii="宋体" w:hAnsi="宋体" w:eastAsia="宋体" w:cs="宋体"/>
          <w:b/>
          <w:bCs/>
          <w:color w:val="auto"/>
          <w:sz w:val="24"/>
          <w:szCs w:val="24"/>
          <w:highlight w:val="none"/>
          <w:lang w:val="en-US" w:eastAsia="zh-CN"/>
        </w:rPr>
        <w:t>28.</w:t>
      </w:r>
      <w:r>
        <w:rPr>
          <w:rFonts w:hint="eastAsia" w:ascii="宋体" w:hAnsi="宋体" w:eastAsia="宋体" w:cs="宋体"/>
          <w:b/>
          <w:bCs/>
          <w:color w:val="auto"/>
          <w:sz w:val="24"/>
          <w:szCs w:val="24"/>
          <w:highlight w:val="none"/>
        </w:rPr>
        <w:t xml:space="preserve">  采购人追加采购数量的权力</w:t>
      </w:r>
      <w:bookmarkEnd w:id="377"/>
      <w:bookmarkStart w:id="378" w:name="_Toc385992366"/>
      <w:bookmarkStart w:id="379" w:name="_Toc389620205"/>
    </w:p>
    <w:p w14:paraId="78559CAE">
      <w:pPr>
        <w:pStyle w:val="4"/>
        <w:keepNext w:val="0"/>
        <w:keepLines w:val="0"/>
        <w:pageBreakBefore w:val="0"/>
        <w:numPr>
          <w:ilvl w:val="0"/>
          <w:numId w:val="0"/>
        </w:numPr>
        <w:kinsoku/>
        <w:wordWrap/>
        <w:overflowPunct/>
        <w:topLinePunct w:val="0"/>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在合同履行中，采购人需追加与合同标的相同货物的，在不改变合同其他条款的前提下，采购人有权与成交供应商协商签订补充合同，但所有补充合同的采购金额不得超过原合同采购金额的10%。</w:t>
      </w:r>
    </w:p>
    <w:p w14:paraId="1F9DE0FD">
      <w:pPr>
        <w:pStyle w:val="4"/>
        <w:keepNext w:val="0"/>
        <w:keepLines w:val="0"/>
        <w:pageBreakBefore w:val="0"/>
        <w:numPr>
          <w:ilvl w:val="0"/>
          <w:numId w:val="3"/>
        </w:numPr>
        <w:kinsoku/>
        <w:wordWrap/>
        <w:overflowPunct/>
        <w:topLinePunct w:val="0"/>
        <w:bidi w:val="0"/>
        <w:spacing w:line="48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其他情况</w:t>
      </w:r>
    </w:p>
    <w:p w14:paraId="6AF628F2">
      <w:pPr>
        <w:pStyle w:val="4"/>
        <w:keepNext w:val="0"/>
        <w:keepLines w:val="0"/>
        <w:pageBreakBefore w:val="0"/>
        <w:numPr>
          <w:ilvl w:val="1"/>
          <w:numId w:val="3"/>
        </w:numPr>
        <w:kinsoku/>
        <w:wordWrap/>
        <w:overflowPunct/>
        <w:topLinePunct w:val="0"/>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磋商截止时间结束后，递交响应文件或者经评审的实质性响应磋商文件的供应商不足三家（符合《财库〔2015〕124号》的情况除外），采购代理机构应当终止竞争性磋商活动，发布项目终止公告并说明原因，重新开展采购活动。</w:t>
      </w:r>
    </w:p>
    <w:p w14:paraId="18D3FC41">
      <w:pPr>
        <w:pStyle w:val="4"/>
        <w:keepNext w:val="0"/>
        <w:keepLines w:val="0"/>
        <w:pageBreakBefore w:val="0"/>
        <w:numPr>
          <w:ilvl w:val="0"/>
          <w:numId w:val="0"/>
        </w:numPr>
        <w:kinsoku/>
        <w:wordWrap/>
        <w:overflowPunct/>
        <w:topLinePunct w:val="0"/>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29</w:t>
      </w:r>
      <w:r>
        <w:rPr>
          <w:rFonts w:hint="eastAsia" w:ascii="宋体" w:hAnsi="宋体" w:eastAsia="宋体" w:cs="宋体"/>
          <w:color w:val="auto"/>
          <w:sz w:val="24"/>
          <w:szCs w:val="24"/>
          <w:highlight w:val="none"/>
        </w:rPr>
        <w:t>.2   连续两次进行竞争性磋商活动，因符合磋商要求供应商不足3家，经请示政府采购管理部门同意后，可继续进行竞争性磋商活动。</w:t>
      </w:r>
    </w:p>
    <w:bookmarkEnd w:id="378"/>
    <w:bookmarkEnd w:id="379"/>
    <w:p w14:paraId="751CC122">
      <w:pPr>
        <w:pStyle w:val="4"/>
        <w:keepNext w:val="0"/>
        <w:keepLines w:val="0"/>
        <w:pageBreakBefore w:val="0"/>
        <w:numPr>
          <w:ilvl w:val="0"/>
          <w:numId w:val="4"/>
        </w:numPr>
        <w:kinsoku/>
        <w:wordWrap/>
        <w:overflowPunct/>
        <w:topLinePunct w:val="0"/>
        <w:bidi w:val="0"/>
        <w:spacing w:line="480" w:lineRule="exact"/>
        <w:ind w:firstLine="482" w:firstLineChars="200"/>
        <w:textAlignment w:val="auto"/>
        <w:rPr>
          <w:rFonts w:hint="eastAsia" w:ascii="宋体" w:hAnsi="宋体" w:eastAsia="宋体" w:cs="宋体"/>
          <w:color w:val="auto"/>
          <w:sz w:val="24"/>
          <w:szCs w:val="24"/>
          <w:highlight w:val="none"/>
        </w:rPr>
      </w:pPr>
      <w:bookmarkStart w:id="380" w:name="_Toc184025279"/>
      <w:bookmarkStart w:id="381" w:name="_Toc230013637"/>
      <w:bookmarkStart w:id="382" w:name="_Toc184114070"/>
      <w:bookmarkStart w:id="383" w:name="_Toc230099802"/>
      <w:r>
        <w:rPr>
          <w:rFonts w:hint="eastAsia" w:ascii="宋体" w:hAnsi="宋体" w:eastAsia="宋体" w:cs="宋体"/>
          <w:b/>
          <w:bCs/>
          <w:color w:val="auto"/>
          <w:sz w:val="24"/>
          <w:szCs w:val="24"/>
          <w:highlight w:val="none"/>
        </w:rPr>
        <w:t xml:space="preserve">  政府采购信用担保及融资</w:t>
      </w:r>
    </w:p>
    <w:p w14:paraId="7B0A33F3">
      <w:pPr>
        <w:pStyle w:val="4"/>
        <w:keepNext w:val="0"/>
        <w:keepLines w:val="0"/>
        <w:pageBreakBefore w:val="0"/>
        <w:numPr>
          <w:ilvl w:val="1"/>
          <w:numId w:val="4"/>
        </w:numPr>
        <w:kinsoku/>
        <w:wordWrap/>
        <w:overflowPunct/>
        <w:topLinePunct w:val="0"/>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本项目是否属于信用担保试点范围见须知前附表。</w:t>
      </w:r>
    </w:p>
    <w:p w14:paraId="4C50A2AD">
      <w:pPr>
        <w:pStyle w:val="4"/>
        <w:keepNext w:val="0"/>
        <w:keepLines w:val="0"/>
        <w:pageBreakBefore w:val="0"/>
        <w:numPr>
          <w:ilvl w:val="1"/>
          <w:numId w:val="4"/>
        </w:numPr>
        <w:kinsoku/>
        <w:wordWrap/>
        <w:overflowPunct/>
        <w:topLinePunct w:val="0"/>
        <w:bidi w:val="0"/>
        <w:spacing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供应商递交的履约担保函应符合本磋商文件的规定。</w:t>
      </w:r>
    </w:p>
    <w:p w14:paraId="215C944A">
      <w:pPr>
        <w:pStyle w:val="4"/>
        <w:keepNext w:val="0"/>
        <w:keepLines w:val="0"/>
        <w:pageBreakBefore w:val="0"/>
        <w:numPr>
          <w:ilvl w:val="0"/>
          <w:numId w:val="0"/>
        </w:numPr>
        <w:kinsoku/>
        <w:wordWrap/>
        <w:overflowPunct/>
        <w:topLinePunct w:val="0"/>
        <w:bidi w:val="0"/>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30.3   为缓解中小企业融资困难，陕西省财政厅出台了《陕西省中小企业政府采购信用融资办法》（陕财办采﹝2018﹞23号），成交供应商如有融资需求，可登录“陕西省政府采购网-陕西省政府采购信用融资平台”了解详情。</w:t>
      </w:r>
    </w:p>
    <w:p w14:paraId="78BACCA1">
      <w:pPr>
        <w:keepNext w:val="0"/>
        <w:keepLines w:val="0"/>
        <w:pageBreakBefore w:val="0"/>
        <w:tabs>
          <w:tab w:val="left" w:pos="588"/>
        </w:tabs>
        <w:kinsoku/>
        <w:wordWrap/>
        <w:overflowPunct/>
        <w:topLinePunct w:val="0"/>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bookmarkEnd w:id="380"/>
    <w:bookmarkEnd w:id="381"/>
    <w:bookmarkEnd w:id="382"/>
    <w:bookmarkEnd w:id="383"/>
    <w:p w14:paraId="29CC26F8">
      <w:pPr>
        <w:pStyle w:val="15"/>
        <w:keepNext w:val="0"/>
        <w:keepLines w:val="0"/>
        <w:pageBreakBefore w:val="0"/>
        <w:kinsoku/>
        <w:wordWrap/>
        <w:overflowPunct/>
        <w:topLinePunct w:val="0"/>
        <w:bidi w:val="0"/>
        <w:spacing w:line="480" w:lineRule="exact"/>
        <w:ind w:firstLine="482" w:firstLineChars="200"/>
        <w:textAlignment w:val="auto"/>
        <w:rPr>
          <w:rFonts w:hint="eastAsia" w:ascii="宋体" w:hAnsi="宋体" w:eastAsia="宋体" w:cs="宋体"/>
          <w:color w:val="auto"/>
          <w:sz w:val="24"/>
          <w:szCs w:val="24"/>
          <w:highlight w:val="none"/>
        </w:rPr>
      </w:pPr>
      <w:bookmarkStart w:id="384" w:name="_Toc23718"/>
      <w:bookmarkStart w:id="385" w:name="_Toc58504447"/>
      <w:bookmarkStart w:id="386" w:name="_Toc17469"/>
      <w:r>
        <w:rPr>
          <w:rFonts w:hint="eastAsia" w:ascii="宋体" w:hAnsi="宋体" w:eastAsia="宋体" w:cs="宋体"/>
          <w:color w:val="auto"/>
          <w:sz w:val="24"/>
          <w:szCs w:val="24"/>
          <w:highlight w:val="none"/>
        </w:rPr>
        <w:t>第三章  评审办法和标准</w:t>
      </w:r>
      <w:bookmarkEnd w:id="384"/>
    </w:p>
    <w:p w14:paraId="7539CB83">
      <w:pPr>
        <w:pStyle w:val="27"/>
        <w:keepNext w:val="0"/>
        <w:keepLines w:val="0"/>
        <w:pageBreakBefore w:val="0"/>
        <w:kinsoku/>
        <w:wordWrap/>
        <w:overflowPunct/>
        <w:topLinePunct w:val="0"/>
        <w:bidi w:val="0"/>
        <w:spacing w:before="24" w:after="24" w:line="480" w:lineRule="exact"/>
        <w:ind w:firstLine="482" w:firstLineChars="200"/>
        <w:textAlignment w:val="auto"/>
        <w:rPr>
          <w:rFonts w:hint="eastAsia" w:ascii="宋体" w:hAnsi="宋体" w:eastAsia="宋体" w:cs="宋体"/>
          <w:color w:val="auto"/>
          <w:sz w:val="24"/>
          <w:szCs w:val="24"/>
          <w:highlight w:val="none"/>
        </w:rPr>
      </w:pPr>
      <w:bookmarkStart w:id="387" w:name="_Toc30317"/>
      <w:bookmarkStart w:id="388" w:name="_Toc7005040"/>
      <w:r>
        <w:rPr>
          <w:rFonts w:hint="eastAsia" w:ascii="宋体" w:hAnsi="宋体" w:eastAsia="宋体" w:cs="宋体"/>
          <w:color w:val="auto"/>
          <w:sz w:val="24"/>
          <w:szCs w:val="24"/>
          <w:highlight w:val="none"/>
        </w:rPr>
        <w:t>1.评审方法</w:t>
      </w:r>
      <w:bookmarkEnd w:id="387"/>
      <w:bookmarkEnd w:id="388"/>
    </w:p>
    <w:p w14:paraId="3E72CE73">
      <w:pPr>
        <w:pStyle w:val="6"/>
        <w:keepNext w:val="0"/>
        <w:keepLines w:val="0"/>
        <w:pageBreakBefore w:val="0"/>
        <w:kinsoku/>
        <w:wordWrap/>
        <w:overflowPunct/>
        <w:topLinePunct w:val="0"/>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评审采用综合评分法。磋商小组对满足磋商文件实质性要求的响应文件，按照本章第2条规定的评审标准进行打分，并按得分由高到低顺序推荐成交候选人，或根据采购人授权直接确定成交供应商。综合评分相等时，按照最后报价由低到高的顺序推荐；报价也相等的，按技术指标优劣顺序排列。</w:t>
      </w:r>
    </w:p>
    <w:p w14:paraId="2C654780">
      <w:pPr>
        <w:pStyle w:val="27"/>
        <w:keepNext w:val="0"/>
        <w:keepLines w:val="0"/>
        <w:pageBreakBefore w:val="0"/>
        <w:kinsoku/>
        <w:wordWrap/>
        <w:overflowPunct/>
        <w:topLinePunct w:val="0"/>
        <w:bidi w:val="0"/>
        <w:spacing w:before="24" w:after="24" w:line="480" w:lineRule="exact"/>
        <w:ind w:firstLine="482" w:firstLineChars="200"/>
        <w:textAlignment w:val="auto"/>
        <w:rPr>
          <w:rFonts w:hint="eastAsia" w:ascii="宋体" w:hAnsi="宋体" w:eastAsia="宋体" w:cs="宋体"/>
          <w:color w:val="auto"/>
          <w:sz w:val="24"/>
          <w:szCs w:val="24"/>
          <w:highlight w:val="none"/>
        </w:rPr>
      </w:pPr>
      <w:bookmarkStart w:id="389" w:name="_Toc7005041"/>
      <w:bookmarkStart w:id="390" w:name="_Toc5656"/>
      <w:r>
        <w:rPr>
          <w:rFonts w:hint="eastAsia" w:ascii="宋体" w:hAnsi="宋体" w:eastAsia="宋体" w:cs="宋体"/>
          <w:color w:val="auto"/>
          <w:sz w:val="24"/>
          <w:szCs w:val="24"/>
          <w:highlight w:val="none"/>
        </w:rPr>
        <w:t>2.评审标准</w:t>
      </w:r>
      <w:bookmarkEnd w:id="389"/>
      <w:bookmarkEnd w:id="390"/>
    </w:p>
    <w:p w14:paraId="316465EF">
      <w:pPr>
        <w:pStyle w:val="6"/>
        <w:keepNext w:val="0"/>
        <w:keepLines w:val="0"/>
        <w:pageBreakBefore w:val="0"/>
        <w:kinsoku/>
        <w:wordWrap/>
        <w:overflowPunct/>
        <w:topLinePunct w:val="0"/>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资格审查和符合性评审标准：见附表一和附表二。</w:t>
      </w:r>
    </w:p>
    <w:p w14:paraId="07B975D2">
      <w:pPr>
        <w:pStyle w:val="6"/>
        <w:keepNext w:val="0"/>
        <w:keepLines w:val="0"/>
        <w:pageBreakBefore w:val="0"/>
        <w:kinsoku/>
        <w:wordWrap/>
        <w:overflowPunct/>
        <w:topLinePunct w:val="0"/>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分值构成：总分100分。</w:t>
      </w:r>
    </w:p>
    <w:p w14:paraId="38F919C2">
      <w:pPr>
        <w:pStyle w:val="6"/>
        <w:keepNext w:val="0"/>
        <w:keepLines w:val="0"/>
        <w:pageBreakBefore w:val="0"/>
        <w:kinsoku/>
        <w:wordWrap/>
        <w:overflowPunct/>
        <w:topLinePunct w:val="0"/>
        <w:bidi w:val="0"/>
        <w:spacing w:line="480" w:lineRule="exact"/>
        <w:ind w:firstLine="480" w:firstLineChars="200"/>
        <w:textAlignment w:val="auto"/>
        <w:rPr>
          <w:rFonts w:hint="eastAsia" w:ascii="宋体" w:hAnsi="宋体" w:eastAsia="宋体" w:cs="宋体"/>
          <w:color w:val="auto"/>
          <w:sz w:val="24"/>
          <w:szCs w:val="24"/>
          <w:highlight w:val="none"/>
        </w:rPr>
      </w:pPr>
      <w:bookmarkStart w:id="391" w:name="_Ref426362114"/>
      <w:r>
        <w:rPr>
          <w:rFonts w:hint="eastAsia" w:ascii="宋体" w:hAnsi="宋体" w:eastAsia="宋体" w:cs="宋体"/>
          <w:color w:val="auto"/>
          <w:sz w:val="24"/>
          <w:szCs w:val="24"/>
          <w:highlight w:val="none"/>
        </w:rPr>
        <w:t>2.3  评审</w:t>
      </w:r>
      <w:bookmarkEnd w:id="391"/>
      <w:r>
        <w:rPr>
          <w:rFonts w:hint="eastAsia" w:ascii="宋体" w:hAnsi="宋体" w:eastAsia="宋体" w:cs="宋体"/>
          <w:color w:val="auto"/>
          <w:sz w:val="24"/>
          <w:szCs w:val="24"/>
          <w:highlight w:val="none"/>
        </w:rPr>
        <w:t>细则</w:t>
      </w:r>
    </w:p>
    <w:p w14:paraId="4504E4F2">
      <w:pPr>
        <w:pStyle w:val="6"/>
        <w:keepNext w:val="0"/>
        <w:keepLines w:val="0"/>
        <w:pageBreakBefore w:val="0"/>
        <w:kinsoku/>
        <w:wordWrap/>
        <w:overflowPunct/>
        <w:topLinePunct w:val="0"/>
        <w:bidi w:val="0"/>
        <w:spacing w:line="480" w:lineRule="exact"/>
        <w:ind w:firstLine="480" w:firstLineChars="200"/>
        <w:textAlignment w:val="auto"/>
        <w:rPr>
          <w:rFonts w:hint="eastAsia" w:ascii="宋体" w:hAnsi="宋体" w:eastAsia="宋体" w:cs="宋体"/>
          <w:color w:val="auto"/>
          <w:sz w:val="24"/>
          <w:szCs w:val="24"/>
          <w:highlight w:val="none"/>
        </w:rPr>
      </w:pPr>
      <w:bookmarkStart w:id="392" w:name="_Ref426362140"/>
      <w:r>
        <w:rPr>
          <w:rFonts w:hint="eastAsia" w:ascii="宋体" w:hAnsi="宋体" w:eastAsia="宋体" w:cs="宋体"/>
          <w:color w:val="auto"/>
          <w:sz w:val="24"/>
          <w:szCs w:val="24"/>
          <w:highlight w:val="none"/>
        </w:rPr>
        <w:t>2.3.1商务和技术部分评分标准：见附表</w:t>
      </w:r>
      <w:bookmarkEnd w:id="392"/>
      <w:r>
        <w:rPr>
          <w:rFonts w:hint="eastAsia" w:ascii="宋体" w:hAnsi="宋体" w:eastAsia="宋体" w:cs="宋体"/>
          <w:color w:val="auto"/>
          <w:sz w:val="24"/>
          <w:szCs w:val="24"/>
          <w:highlight w:val="none"/>
        </w:rPr>
        <w:t>三</w:t>
      </w:r>
    </w:p>
    <w:p w14:paraId="10577A4E">
      <w:pPr>
        <w:keepNext w:val="0"/>
        <w:keepLines w:val="0"/>
        <w:pageBreakBefore w:val="0"/>
        <w:tabs>
          <w:tab w:val="left" w:pos="588"/>
        </w:tabs>
        <w:kinsoku/>
        <w:wordWrap/>
        <w:overflowPunct/>
        <w:topLinePunct w:val="0"/>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投标企业政府采购政策</w:t>
      </w:r>
    </w:p>
    <w:p w14:paraId="3BB38087">
      <w:pPr>
        <w:keepNext w:val="0"/>
        <w:keepLines w:val="0"/>
        <w:pageBreakBefore w:val="0"/>
        <w:tabs>
          <w:tab w:val="left" w:pos="588"/>
        </w:tabs>
        <w:kinsoku/>
        <w:wordWrap/>
        <w:overflowPunct/>
        <w:topLinePunct w:val="0"/>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（1）中小企业落实政府采购政策</w:t>
      </w:r>
    </w:p>
    <w:p w14:paraId="37C5C7F5">
      <w:pPr>
        <w:keepNext w:val="0"/>
        <w:keepLines w:val="0"/>
        <w:pageBreakBefore w:val="0"/>
        <w:tabs>
          <w:tab w:val="left" w:pos="588"/>
        </w:tabs>
        <w:kinsoku/>
        <w:wordWrap/>
        <w:overflowPunct/>
        <w:topLinePunct w:val="0"/>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中小企业应符合工信部联企业[2011]300号文件规定，采购活动执行关于印发《政府采购促进中小企业发展管理办法》的通知（财库〔2020〕46号）的规定。提供本企业制造的货物、承担的工程或者服务，或者提供其他中小企业制造的货物。（本项所称货物不包括使用大型企业注册商标的货物）。</w:t>
      </w:r>
    </w:p>
    <w:p w14:paraId="335164DA">
      <w:pPr>
        <w:keepNext w:val="0"/>
        <w:keepLines w:val="0"/>
        <w:pageBreakBefore w:val="0"/>
        <w:numPr>
          <w:ilvl w:val="0"/>
          <w:numId w:val="5"/>
        </w:numPr>
        <w:tabs>
          <w:tab w:val="left" w:pos="588"/>
        </w:tabs>
        <w:kinsoku/>
        <w:wordWrap/>
        <w:overflowPunct/>
        <w:topLinePunct w:val="0"/>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监狱和戒毒企业应符合《财政部、司法部关于政府采购支持监狱企业发展有关问题的通知》--财库[2014]68号，并提供由省级以上监狱管理局、戒毒管理局(含新疆生产建设兵团)出具的属于监狱企业的证明。</w:t>
      </w:r>
    </w:p>
    <w:p w14:paraId="4C8D4A73">
      <w:pPr>
        <w:keepNext w:val="0"/>
        <w:keepLines w:val="0"/>
        <w:pageBreakBefore w:val="0"/>
        <w:numPr>
          <w:ilvl w:val="0"/>
          <w:numId w:val="0"/>
        </w:numPr>
        <w:tabs>
          <w:tab w:val="left" w:pos="588"/>
        </w:tabs>
        <w:kinsoku/>
        <w:wordWrap/>
        <w:overflowPunct/>
        <w:topLinePunct w:val="0"/>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（3）残疾人福利性单位是指符合《三部门联合发布关于促进残疾人就业政府采购政策的</w:t>
      </w:r>
      <w:r>
        <w:rPr>
          <w:rFonts w:hint="eastAsia" w:ascii="宋体" w:hAnsi="宋体" w:eastAsia="宋体" w:cs="宋体"/>
          <w:color w:val="auto"/>
          <w:sz w:val="24"/>
          <w:szCs w:val="24"/>
          <w:highlight w:val="none"/>
        </w:rPr>
        <w:t>通知》财库〔2017〕141号规定的对残疾人福利性单位划分标准的单位。</w:t>
      </w:r>
    </w:p>
    <w:p w14:paraId="313AAC4E">
      <w:pPr>
        <w:keepNext w:val="0"/>
        <w:keepLines w:val="0"/>
        <w:pageBreakBefore w:val="0"/>
        <w:tabs>
          <w:tab w:val="left" w:pos="588"/>
        </w:tabs>
        <w:kinsoku/>
        <w:wordWrap/>
        <w:overflowPunct/>
        <w:topLinePunct w:val="0"/>
        <w:bidi w:val="0"/>
        <w:spacing w:line="48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注：本项目为专门面向中小企业项目，所以在价格上不再执行价格优惠</w:t>
      </w:r>
      <w:r>
        <w:rPr>
          <w:rFonts w:hint="eastAsia" w:ascii="宋体" w:hAnsi="宋体" w:eastAsia="宋体" w:cs="宋体"/>
          <w:color w:val="auto"/>
          <w:sz w:val="24"/>
          <w:szCs w:val="24"/>
          <w:highlight w:val="none"/>
        </w:rPr>
        <w:t>。</w:t>
      </w:r>
    </w:p>
    <w:p w14:paraId="59E4F5CC">
      <w:pPr>
        <w:keepNext w:val="0"/>
        <w:keepLines w:val="0"/>
        <w:pageBreakBefore w:val="0"/>
        <w:tabs>
          <w:tab w:val="left" w:pos="588"/>
        </w:tabs>
        <w:kinsoku/>
        <w:wordWrap/>
        <w:overflowPunct/>
        <w:topLinePunct w:val="0"/>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响应文件出现下列情况之一者，磋商小组在评审过程中按以下原则修正：</w:t>
      </w:r>
    </w:p>
    <w:p w14:paraId="3F280540">
      <w:pPr>
        <w:keepNext w:val="0"/>
        <w:keepLines w:val="0"/>
        <w:pageBreakBefore w:val="0"/>
        <w:tabs>
          <w:tab w:val="left" w:pos="588"/>
        </w:tabs>
        <w:kinsoku/>
        <w:wordWrap/>
        <w:overflowPunct/>
        <w:topLinePunct w:val="0"/>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（1）大写金额与小写金额不一致的，以大写金额为准；</w:t>
      </w:r>
    </w:p>
    <w:p w14:paraId="0B0190A8">
      <w:pPr>
        <w:keepNext w:val="0"/>
        <w:keepLines w:val="0"/>
        <w:pageBreakBefore w:val="0"/>
        <w:tabs>
          <w:tab w:val="left" w:pos="588"/>
        </w:tabs>
        <w:kinsoku/>
        <w:wordWrap/>
        <w:overflowPunct/>
        <w:topLinePunct w:val="0"/>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（2）总价金额与按单价汇总金额不一致的，以单价金额计算结果为准；</w:t>
      </w:r>
    </w:p>
    <w:p w14:paraId="0CED84CB">
      <w:pPr>
        <w:keepNext w:val="0"/>
        <w:keepLines w:val="0"/>
        <w:pageBreakBefore w:val="0"/>
        <w:tabs>
          <w:tab w:val="left" w:pos="588"/>
        </w:tabs>
        <w:kinsoku/>
        <w:wordWrap/>
        <w:overflowPunct/>
        <w:topLinePunct w:val="0"/>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（3）单价金额小数点有明显错位的，应以总价为准，并修改单价；</w:t>
      </w:r>
    </w:p>
    <w:p w14:paraId="5C0F39C6">
      <w:pPr>
        <w:keepNext w:val="0"/>
        <w:keepLines w:val="0"/>
        <w:pageBreakBefore w:val="0"/>
        <w:tabs>
          <w:tab w:val="left" w:pos="588"/>
        </w:tabs>
        <w:kinsoku/>
        <w:wordWrap/>
        <w:overflowPunct/>
        <w:topLinePunct w:val="0"/>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（4）对不同文字文本响应文件的解释发生异议的，以中文文本为准；</w:t>
      </w:r>
    </w:p>
    <w:p w14:paraId="4E120CBA">
      <w:pPr>
        <w:keepNext w:val="0"/>
        <w:keepLines w:val="0"/>
        <w:pageBreakBefore w:val="0"/>
        <w:tabs>
          <w:tab w:val="left" w:pos="588"/>
        </w:tabs>
        <w:kinsoku/>
        <w:wordWrap/>
        <w:overflowPunct/>
        <w:topLinePunct w:val="0"/>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（5）文字与图表不一致的，以文字为准；</w:t>
      </w:r>
    </w:p>
    <w:p w14:paraId="4D6CD20B">
      <w:pPr>
        <w:keepNext w:val="0"/>
        <w:keepLines w:val="0"/>
        <w:pageBreakBefore w:val="0"/>
        <w:tabs>
          <w:tab w:val="left" w:pos="588"/>
        </w:tabs>
        <w:kinsoku/>
        <w:wordWrap/>
        <w:overflowPunct/>
        <w:topLinePunct w:val="0"/>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）响应文件的文字叙述与制造厂商的产品样本/检测报告不符时，以产品样本/检测报告为准。</w:t>
      </w:r>
    </w:p>
    <w:p w14:paraId="2002549F">
      <w:pPr>
        <w:pStyle w:val="27"/>
        <w:keepNext w:val="0"/>
        <w:keepLines w:val="0"/>
        <w:pageBreakBefore w:val="0"/>
        <w:kinsoku/>
        <w:wordWrap/>
        <w:overflowPunct/>
        <w:topLinePunct w:val="0"/>
        <w:bidi w:val="0"/>
        <w:spacing w:before="24" w:after="24" w:line="480" w:lineRule="exact"/>
        <w:ind w:firstLine="482" w:firstLineChars="200"/>
        <w:textAlignment w:val="auto"/>
        <w:rPr>
          <w:rFonts w:hint="eastAsia" w:ascii="宋体" w:hAnsi="宋体" w:eastAsia="宋体" w:cs="宋体"/>
          <w:color w:val="auto"/>
          <w:sz w:val="24"/>
          <w:szCs w:val="24"/>
          <w:highlight w:val="none"/>
        </w:rPr>
      </w:pPr>
      <w:bookmarkStart w:id="393" w:name="_Toc7005042"/>
      <w:bookmarkStart w:id="394" w:name="_Toc7302"/>
      <w:r>
        <w:rPr>
          <w:rFonts w:hint="eastAsia" w:ascii="宋体" w:hAnsi="宋体" w:eastAsia="宋体" w:cs="宋体"/>
          <w:color w:val="auto"/>
          <w:sz w:val="24"/>
          <w:szCs w:val="24"/>
          <w:highlight w:val="none"/>
        </w:rPr>
        <w:t>3.评审程序</w:t>
      </w:r>
      <w:bookmarkEnd w:id="393"/>
      <w:bookmarkEnd w:id="394"/>
    </w:p>
    <w:p w14:paraId="4848D233">
      <w:pPr>
        <w:pStyle w:val="6"/>
        <w:keepNext w:val="0"/>
        <w:keepLines w:val="0"/>
        <w:pageBreakBefore w:val="0"/>
        <w:kinsoku/>
        <w:wordWrap/>
        <w:overflowPunct/>
        <w:topLinePunct w:val="0"/>
        <w:bidi w:val="0"/>
        <w:spacing w:line="480" w:lineRule="exact"/>
        <w:ind w:firstLine="482" w:firstLineChars="200"/>
        <w:textAlignment w:val="auto"/>
        <w:rPr>
          <w:rFonts w:hint="eastAsia" w:ascii="宋体" w:hAnsi="宋体" w:eastAsia="宋体" w:cs="宋体"/>
          <w:b/>
          <w:color w:val="auto"/>
          <w:sz w:val="24"/>
          <w:szCs w:val="24"/>
          <w:highlight w:val="none"/>
        </w:rPr>
      </w:pPr>
      <w:bookmarkStart w:id="395" w:name="_Toc7005043"/>
      <w:r>
        <w:rPr>
          <w:rFonts w:hint="eastAsia" w:ascii="宋体" w:hAnsi="宋体" w:eastAsia="宋体" w:cs="宋体"/>
          <w:b/>
          <w:color w:val="auto"/>
          <w:sz w:val="24"/>
          <w:szCs w:val="24"/>
          <w:highlight w:val="none"/>
        </w:rPr>
        <w:t>3.1资格审查及符合性审查</w:t>
      </w:r>
      <w:bookmarkEnd w:id="395"/>
    </w:p>
    <w:p w14:paraId="05DCBB24">
      <w:pPr>
        <w:pStyle w:val="6"/>
        <w:keepNext w:val="0"/>
        <w:keepLines w:val="0"/>
        <w:pageBreakBefore w:val="0"/>
        <w:kinsoku/>
        <w:wordWrap/>
        <w:overflowPunct/>
        <w:topLinePunct w:val="0"/>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 磋商小组按附表一所列审查标准，对供应商资格进行审查，以确定供应商是否具备磋商资格。</w:t>
      </w:r>
    </w:p>
    <w:p w14:paraId="70681D38">
      <w:pPr>
        <w:pStyle w:val="6"/>
        <w:keepNext w:val="0"/>
        <w:keepLines w:val="0"/>
        <w:pageBreakBefore w:val="0"/>
        <w:kinsoku/>
        <w:wordWrap/>
        <w:overflowPunct/>
        <w:topLinePunct w:val="0"/>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3.1.2 磋商小组对符合资格要求的供应商按附表二进行符合性审查，以确定其是否满足磋商文件的实质性要求（见本章内的符合性审查表）。</w:t>
      </w:r>
    </w:p>
    <w:p w14:paraId="0807FA02">
      <w:pPr>
        <w:pStyle w:val="6"/>
        <w:keepNext w:val="0"/>
        <w:keepLines w:val="0"/>
        <w:pageBreakBefore w:val="0"/>
        <w:kinsoku/>
        <w:wordWrap/>
        <w:overflowPunct/>
        <w:topLinePunct w:val="0"/>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3.1.3 磋商小组在资格审查和符合性审查时，可以要求供应商对响应文件中含义不明确、同类问题表述不一致或者有明显文字和计算错误的内容作出必要的澄清、说明或更正。供应商的澄清、说明或更正不得超出响应文件的范围或者改变响应文件的实质性内容。</w:t>
      </w:r>
    </w:p>
    <w:p w14:paraId="083C1674">
      <w:pPr>
        <w:pStyle w:val="6"/>
        <w:keepNext w:val="0"/>
        <w:keepLines w:val="0"/>
        <w:pageBreakBefore w:val="0"/>
        <w:kinsoku/>
        <w:wordWrap/>
        <w:overflowPunct/>
        <w:topLinePunct w:val="0"/>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磋商小组不接受供应商主动提出的澄清、说明或补正。</w:t>
      </w:r>
    </w:p>
    <w:p w14:paraId="08E067D4">
      <w:pPr>
        <w:pStyle w:val="6"/>
        <w:keepNext w:val="0"/>
        <w:keepLines w:val="0"/>
        <w:pageBreakBefore w:val="0"/>
        <w:kinsoku/>
        <w:wordWrap/>
        <w:overflowPunct/>
        <w:topLinePunct w:val="0"/>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供应商的书面澄清、说明和补正属于响应文件的组成部分。</w:t>
      </w:r>
    </w:p>
    <w:p w14:paraId="292DBBA8">
      <w:pPr>
        <w:pStyle w:val="6"/>
        <w:keepNext w:val="0"/>
        <w:keepLines w:val="0"/>
        <w:pageBreakBefore w:val="0"/>
        <w:kinsoku/>
        <w:wordWrap/>
        <w:overflowPunct/>
        <w:topLinePunct w:val="0"/>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磋商小组对供应商提交的澄清、说明或补正有疑问的，可以要求供应商进一步澄清、说明或补正，直至满足评审小组的要求。</w:t>
      </w:r>
    </w:p>
    <w:p w14:paraId="3A5F7024">
      <w:pPr>
        <w:pStyle w:val="6"/>
        <w:keepNext w:val="0"/>
        <w:keepLines w:val="0"/>
        <w:pageBreakBefore w:val="0"/>
        <w:kinsoku/>
        <w:wordWrap/>
        <w:overflowPunct/>
        <w:topLinePunct w:val="0"/>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3.1.4 不具备磋商文件要求的资格或未通过符合性审查的供应商，不参与磋商，由磋商小组告知该供应商。</w:t>
      </w:r>
    </w:p>
    <w:p w14:paraId="7D5CDB7E">
      <w:pPr>
        <w:pStyle w:val="6"/>
        <w:keepNext w:val="0"/>
        <w:keepLines w:val="0"/>
        <w:pageBreakBefore w:val="0"/>
        <w:kinsoku/>
        <w:wordWrap/>
        <w:overflowPunct/>
        <w:topLinePunct w:val="0"/>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3.1.5 通过资格审查和符合性审查的合格供应商不足3家的，不再进行评审和磋商（符合《财库〔2015〕124号》的情况除外）。</w:t>
      </w:r>
    </w:p>
    <w:p w14:paraId="53ED4649">
      <w:pPr>
        <w:pStyle w:val="6"/>
        <w:keepNext w:val="0"/>
        <w:keepLines w:val="0"/>
        <w:pageBreakBefore w:val="0"/>
        <w:kinsoku/>
        <w:wordWrap/>
        <w:overflowPunct/>
        <w:topLinePunct w:val="0"/>
        <w:bidi w:val="0"/>
        <w:spacing w:line="480" w:lineRule="exact"/>
        <w:ind w:firstLine="482" w:firstLineChars="200"/>
        <w:textAlignment w:val="auto"/>
        <w:rPr>
          <w:rFonts w:hint="eastAsia" w:ascii="宋体" w:hAnsi="宋体" w:eastAsia="宋体" w:cs="宋体"/>
          <w:b/>
          <w:color w:val="auto"/>
          <w:sz w:val="24"/>
          <w:szCs w:val="24"/>
          <w:highlight w:val="none"/>
        </w:rPr>
      </w:pPr>
      <w:bookmarkStart w:id="396" w:name="_Toc7005044"/>
      <w:r>
        <w:rPr>
          <w:rFonts w:hint="eastAsia" w:ascii="宋体" w:hAnsi="宋体" w:eastAsia="宋体" w:cs="宋体"/>
          <w:b/>
          <w:color w:val="auto"/>
          <w:sz w:val="24"/>
          <w:szCs w:val="24"/>
          <w:highlight w:val="none"/>
        </w:rPr>
        <w:t>3.2 磋商</w:t>
      </w:r>
      <w:bookmarkEnd w:id="396"/>
    </w:p>
    <w:p w14:paraId="611748A5">
      <w:pPr>
        <w:pStyle w:val="6"/>
        <w:keepNext w:val="0"/>
        <w:keepLines w:val="0"/>
        <w:pageBreakBefore w:val="0"/>
        <w:kinsoku/>
        <w:wordWrap/>
        <w:overflowPunct/>
        <w:topLinePunct w:val="0"/>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3.2.1按“供应商须知”第五条规定，由磋商小组与供应商进行磋商。</w:t>
      </w:r>
    </w:p>
    <w:p w14:paraId="327BC527">
      <w:pPr>
        <w:pStyle w:val="6"/>
        <w:keepNext w:val="0"/>
        <w:keepLines w:val="0"/>
        <w:pageBreakBefore w:val="0"/>
        <w:kinsoku/>
        <w:wordWrap/>
        <w:overflowPunct/>
        <w:topLinePunct w:val="0"/>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磋商过程中，磋商小组可以根据与供应商的磋商情况，在不违反相关法律法规、强制性标准、规范情况下，并经采购人代表同意后，对磋商文件的技术标准及服务要求、拟签订合同的部分条款进行变动。变动内容是磋商文件的有效组成部分，磋商小组以书面形式通知所有参加磋商的供应商。</w:t>
      </w:r>
    </w:p>
    <w:p w14:paraId="55F2DD21">
      <w:pPr>
        <w:pStyle w:val="6"/>
        <w:keepNext w:val="0"/>
        <w:keepLines w:val="0"/>
        <w:pageBreakBefore w:val="0"/>
        <w:kinsoku/>
        <w:wordWrap/>
        <w:overflowPunct/>
        <w:topLinePunct w:val="0"/>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 磋商结束后，磋商小组可以要求所有继续参加磋商的供应商在规定时间内提交最后报价函。</w:t>
      </w:r>
    </w:p>
    <w:p w14:paraId="32B7FACC">
      <w:pPr>
        <w:pStyle w:val="6"/>
        <w:keepNext w:val="0"/>
        <w:keepLines w:val="0"/>
        <w:pageBreakBefore w:val="0"/>
        <w:kinsoku/>
        <w:wordWrap/>
        <w:overflowPunct/>
        <w:topLinePunct w:val="0"/>
        <w:bidi w:val="0"/>
        <w:spacing w:line="480" w:lineRule="exact"/>
        <w:ind w:firstLine="482" w:firstLineChars="200"/>
        <w:textAlignment w:val="auto"/>
        <w:rPr>
          <w:rFonts w:hint="eastAsia" w:ascii="宋体" w:hAnsi="宋体" w:eastAsia="宋体" w:cs="宋体"/>
          <w:b/>
          <w:color w:val="auto"/>
          <w:sz w:val="24"/>
          <w:szCs w:val="24"/>
          <w:highlight w:val="none"/>
        </w:rPr>
      </w:pPr>
      <w:bookmarkStart w:id="397" w:name="_Toc7005045"/>
      <w:r>
        <w:rPr>
          <w:rFonts w:hint="eastAsia" w:ascii="宋体" w:hAnsi="宋体" w:eastAsia="宋体" w:cs="宋体"/>
          <w:b/>
          <w:color w:val="auto"/>
          <w:sz w:val="24"/>
          <w:szCs w:val="24"/>
          <w:highlight w:val="none"/>
        </w:rPr>
        <w:t>3.3评审</w:t>
      </w:r>
      <w:bookmarkEnd w:id="397"/>
    </w:p>
    <w:p w14:paraId="6829559D">
      <w:pPr>
        <w:pStyle w:val="6"/>
        <w:keepNext w:val="0"/>
        <w:keepLines w:val="0"/>
        <w:pageBreakBefore w:val="0"/>
        <w:kinsoku/>
        <w:wordWrap/>
        <w:overflowPunct/>
        <w:topLinePunct w:val="0"/>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比较与评价</w:t>
      </w:r>
    </w:p>
    <w:p w14:paraId="096B0244">
      <w:pPr>
        <w:pStyle w:val="6"/>
        <w:keepNext w:val="0"/>
        <w:keepLines w:val="0"/>
        <w:pageBreakBefore w:val="0"/>
        <w:kinsoku/>
        <w:wordWrap/>
        <w:overflowPunct/>
        <w:topLinePunct w:val="0"/>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磋商小组按本章第2.3款[商务和技术评审标准]对供应商提交的响应文件（包括最后报价函）进行商务和技术评估，综合比较与评价。</w:t>
      </w:r>
    </w:p>
    <w:p w14:paraId="417C0D2F">
      <w:pPr>
        <w:pStyle w:val="6"/>
        <w:keepNext w:val="0"/>
        <w:keepLines w:val="0"/>
        <w:pageBreakBefore w:val="0"/>
        <w:kinsoku/>
        <w:wordWrap/>
        <w:overflowPunct/>
        <w:topLinePunct w:val="0"/>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认为供应商的报价明显低于其他参与最后报价的供应商的报价或明显低于采购预算时，有可能影响产品质量或者不能诚信履约的，应当要求其在合理的时间内提供书面说明，并提交相关证明材料；供应商不能证明其报价合理性的，磋商小组应当将其作为无效处理。</w:t>
      </w:r>
    </w:p>
    <w:p w14:paraId="694E8DC7">
      <w:pPr>
        <w:pStyle w:val="6"/>
        <w:keepNext w:val="0"/>
        <w:keepLines w:val="0"/>
        <w:pageBreakBefore w:val="0"/>
        <w:kinsoku/>
        <w:wordWrap/>
        <w:overflowPunct/>
        <w:topLinePunct w:val="0"/>
        <w:bidi w:val="0"/>
        <w:spacing w:line="48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3.4 评审结果</w:t>
      </w:r>
    </w:p>
    <w:p w14:paraId="70CF2AB4">
      <w:pPr>
        <w:pStyle w:val="6"/>
        <w:keepNext w:val="0"/>
        <w:keepLines w:val="0"/>
        <w:pageBreakBefore w:val="0"/>
        <w:kinsoku/>
        <w:wordWrap/>
        <w:overflowPunct/>
        <w:topLinePunct w:val="0"/>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 除第二章“供应商须知”前附表授权直接确定成交供应商外，磋商小组按照得分由高到低的顺序推荐3名成交候选人。</w:t>
      </w:r>
    </w:p>
    <w:p w14:paraId="46C25F1C">
      <w:pPr>
        <w:pStyle w:val="6"/>
        <w:keepNext w:val="0"/>
        <w:keepLines w:val="0"/>
        <w:pageBreakBefore w:val="0"/>
        <w:kinsoku/>
        <w:wordWrap/>
        <w:overflowPunct/>
        <w:topLinePunct w:val="0"/>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 磋商小组完成评审后，应当向采购人提交书面评审报告。</w:t>
      </w:r>
    </w:p>
    <w:p w14:paraId="7BCF9CB3">
      <w:pPr>
        <w:pStyle w:val="6"/>
        <w:keepNext w:val="0"/>
        <w:keepLines w:val="0"/>
        <w:pageBreakBefore w:val="0"/>
        <w:kinsoku/>
        <w:wordWrap/>
        <w:overflowPunct/>
        <w:topLinePunct w:val="0"/>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172458CD">
      <w:pPr>
        <w:spacing w:line="360" w:lineRule="auto"/>
        <w:jc w:val="center"/>
        <w:rPr>
          <w:rFonts w:hint="eastAsia" w:ascii="宋体" w:hAnsi="宋体" w:eastAsia="宋体" w:cs="宋体"/>
          <w:b/>
          <w:color w:val="auto"/>
          <w:sz w:val="28"/>
          <w:szCs w:val="28"/>
          <w:highlight w:val="none"/>
        </w:rPr>
      </w:pPr>
      <w:bookmarkStart w:id="398" w:name="_Hlk71809519"/>
      <w:r>
        <w:rPr>
          <w:rFonts w:hint="eastAsia" w:ascii="宋体" w:hAnsi="宋体" w:eastAsia="宋体" w:cs="宋体"/>
          <w:b/>
          <w:color w:val="auto"/>
          <w:sz w:val="28"/>
          <w:szCs w:val="28"/>
          <w:highlight w:val="none"/>
        </w:rPr>
        <w:t>附表一 资格审查表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795"/>
        <w:gridCol w:w="1799"/>
        <w:gridCol w:w="7279"/>
      </w:tblGrid>
      <w:tr w14:paraId="379CF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81"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4405B25C">
            <w:pPr>
              <w:spacing w:line="480" w:lineRule="exact"/>
              <w:jc w:val="center"/>
              <w:rPr>
                <w:rFonts w:hint="eastAsia" w:ascii="宋体" w:hAnsi="宋体" w:eastAsia="宋体" w:cs="宋体"/>
                <w:b/>
                <w:bCs/>
                <w:snapToGrid w:val="0"/>
                <w:color w:val="auto"/>
                <w:kern w:val="2"/>
                <w:sz w:val="24"/>
                <w:szCs w:val="24"/>
                <w:highlight w:val="none"/>
                <w:lang w:val="en-US" w:eastAsia="zh-CN"/>
              </w:rPr>
            </w:pPr>
            <w:r>
              <w:rPr>
                <w:rFonts w:hint="eastAsia" w:ascii="宋体" w:hAnsi="宋体" w:eastAsia="宋体" w:cs="宋体"/>
                <w:b/>
                <w:bCs/>
                <w:snapToGrid w:val="0"/>
                <w:color w:val="auto"/>
                <w:kern w:val="2"/>
                <w:sz w:val="24"/>
                <w:szCs w:val="24"/>
                <w:highlight w:val="none"/>
                <w:lang w:val="en-US" w:eastAsia="zh-CN"/>
              </w:rPr>
              <w:t>序号</w:t>
            </w:r>
          </w:p>
        </w:tc>
        <w:tc>
          <w:tcPr>
            <w:tcW w:w="1799" w:type="dxa"/>
            <w:tcBorders>
              <w:top w:val="single" w:color="auto" w:sz="4" w:space="0"/>
              <w:left w:val="single" w:color="auto" w:sz="4" w:space="0"/>
              <w:bottom w:val="single" w:color="auto" w:sz="4" w:space="0"/>
              <w:right w:val="single" w:color="auto" w:sz="4" w:space="0"/>
            </w:tcBorders>
            <w:noWrap w:val="0"/>
            <w:vAlign w:val="center"/>
          </w:tcPr>
          <w:p w14:paraId="5D0A0A00">
            <w:pPr>
              <w:spacing w:line="480" w:lineRule="exact"/>
              <w:jc w:val="center"/>
              <w:rPr>
                <w:rFonts w:hint="eastAsia" w:ascii="宋体" w:hAnsi="宋体" w:eastAsia="宋体" w:cs="宋体"/>
                <w:b/>
                <w:bCs/>
                <w:snapToGrid w:val="0"/>
                <w:color w:val="auto"/>
                <w:kern w:val="2"/>
                <w:sz w:val="24"/>
                <w:szCs w:val="24"/>
                <w:highlight w:val="none"/>
                <w:lang w:val="en-US" w:eastAsia="zh-CN"/>
              </w:rPr>
            </w:pPr>
            <w:r>
              <w:rPr>
                <w:rFonts w:hint="eastAsia" w:ascii="宋体" w:hAnsi="宋体" w:eastAsia="宋体" w:cs="宋体"/>
                <w:b/>
                <w:bCs/>
                <w:snapToGrid w:val="0"/>
                <w:color w:val="auto"/>
                <w:kern w:val="2"/>
                <w:sz w:val="24"/>
                <w:szCs w:val="24"/>
                <w:highlight w:val="none"/>
                <w:lang w:val="en-US" w:eastAsia="zh-CN"/>
              </w:rPr>
              <w:t>审查因素</w:t>
            </w:r>
          </w:p>
        </w:tc>
        <w:tc>
          <w:tcPr>
            <w:tcW w:w="7279" w:type="dxa"/>
            <w:tcBorders>
              <w:top w:val="single" w:color="auto" w:sz="4" w:space="0"/>
              <w:left w:val="single" w:color="auto" w:sz="4" w:space="0"/>
              <w:bottom w:val="single" w:color="auto" w:sz="4" w:space="0"/>
              <w:right w:val="single" w:color="auto" w:sz="4" w:space="0"/>
            </w:tcBorders>
            <w:noWrap w:val="0"/>
            <w:vAlign w:val="center"/>
          </w:tcPr>
          <w:p w14:paraId="6E6583B4">
            <w:pPr>
              <w:spacing w:line="480" w:lineRule="exact"/>
              <w:ind w:firstLine="482" w:firstLineChars="200"/>
              <w:jc w:val="center"/>
              <w:rPr>
                <w:rFonts w:hint="eastAsia" w:ascii="宋体" w:hAnsi="宋体" w:eastAsia="宋体" w:cs="宋体"/>
                <w:b/>
                <w:bCs/>
                <w:snapToGrid w:val="0"/>
                <w:color w:val="auto"/>
                <w:kern w:val="2"/>
                <w:sz w:val="24"/>
                <w:szCs w:val="24"/>
                <w:highlight w:val="none"/>
                <w:lang w:val="en-US" w:eastAsia="zh-CN"/>
              </w:rPr>
            </w:pPr>
            <w:r>
              <w:rPr>
                <w:rFonts w:hint="eastAsia" w:ascii="宋体" w:hAnsi="宋体" w:eastAsia="宋体" w:cs="宋体"/>
                <w:b/>
                <w:bCs/>
                <w:snapToGrid w:val="0"/>
                <w:color w:val="auto"/>
                <w:kern w:val="2"/>
                <w:sz w:val="24"/>
                <w:szCs w:val="24"/>
                <w:highlight w:val="none"/>
                <w:lang w:val="en-US" w:eastAsia="zh-CN"/>
              </w:rPr>
              <w:t>审查标准</w:t>
            </w:r>
          </w:p>
        </w:tc>
      </w:tr>
      <w:tr w14:paraId="41FC8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30" w:hRule="atLeast"/>
          <w:jc w:val="center"/>
        </w:trPr>
        <w:tc>
          <w:tcPr>
            <w:tcW w:w="795" w:type="dxa"/>
            <w:tcBorders>
              <w:top w:val="single" w:color="auto" w:sz="4" w:space="0"/>
              <w:left w:val="single" w:color="auto" w:sz="4" w:space="0"/>
              <w:right w:val="single" w:color="auto" w:sz="4" w:space="0"/>
            </w:tcBorders>
            <w:noWrap w:val="0"/>
            <w:vAlign w:val="center"/>
          </w:tcPr>
          <w:p w14:paraId="377F114B">
            <w:pPr>
              <w:spacing w:line="480" w:lineRule="exact"/>
              <w:jc w:val="center"/>
              <w:rPr>
                <w:rFonts w:hint="eastAsia" w:ascii="宋体" w:hAnsi="宋体" w:eastAsia="宋体" w:cs="宋体"/>
                <w:b/>
                <w:bCs/>
                <w:snapToGrid w:val="0"/>
                <w:color w:val="auto"/>
                <w:kern w:val="2"/>
                <w:sz w:val="24"/>
                <w:szCs w:val="24"/>
                <w:highlight w:val="none"/>
                <w:lang w:val="en-US" w:eastAsia="zh-CN"/>
              </w:rPr>
            </w:pPr>
            <w:r>
              <w:rPr>
                <w:rFonts w:hint="eastAsia" w:ascii="宋体" w:hAnsi="宋体" w:eastAsia="宋体" w:cs="宋体"/>
                <w:b/>
                <w:bCs/>
                <w:snapToGrid w:val="0"/>
                <w:color w:val="auto"/>
                <w:kern w:val="2"/>
                <w:sz w:val="24"/>
                <w:szCs w:val="24"/>
                <w:highlight w:val="none"/>
                <w:lang w:val="en-US" w:eastAsia="zh-CN"/>
              </w:rPr>
              <w:t>1</w:t>
            </w:r>
          </w:p>
        </w:tc>
        <w:tc>
          <w:tcPr>
            <w:tcW w:w="1799" w:type="dxa"/>
            <w:tcBorders>
              <w:top w:val="single" w:color="auto" w:sz="4" w:space="0"/>
              <w:left w:val="single" w:color="auto" w:sz="4" w:space="0"/>
              <w:bottom w:val="single" w:color="auto" w:sz="4" w:space="0"/>
              <w:right w:val="single" w:color="auto" w:sz="4" w:space="0"/>
            </w:tcBorders>
            <w:noWrap w:val="0"/>
            <w:vAlign w:val="center"/>
          </w:tcPr>
          <w:p w14:paraId="051D2254">
            <w:pPr>
              <w:spacing w:line="480" w:lineRule="exact"/>
              <w:ind w:firstLine="241" w:firstLineChars="100"/>
              <w:jc w:val="center"/>
              <w:rPr>
                <w:rFonts w:hint="eastAsia" w:ascii="宋体" w:hAnsi="宋体" w:eastAsia="宋体" w:cs="宋体"/>
                <w:b/>
                <w:bCs/>
                <w:snapToGrid w:val="0"/>
                <w:color w:val="auto"/>
                <w:kern w:val="2"/>
                <w:sz w:val="24"/>
                <w:szCs w:val="24"/>
                <w:highlight w:val="none"/>
                <w:lang w:val="en-US" w:eastAsia="zh-CN"/>
              </w:rPr>
            </w:pPr>
            <w:r>
              <w:rPr>
                <w:rFonts w:hint="eastAsia" w:ascii="宋体" w:hAnsi="宋体" w:eastAsia="宋体" w:cs="宋体"/>
                <w:b/>
                <w:bCs/>
                <w:snapToGrid w:val="0"/>
                <w:color w:val="auto"/>
                <w:kern w:val="2"/>
                <w:sz w:val="24"/>
                <w:szCs w:val="24"/>
                <w:highlight w:val="none"/>
                <w:lang w:val="en-US" w:eastAsia="zh-CN"/>
              </w:rPr>
              <w:t>有效的主体资格证明</w:t>
            </w:r>
          </w:p>
        </w:tc>
        <w:tc>
          <w:tcPr>
            <w:tcW w:w="7279" w:type="dxa"/>
            <w:tcBorders>
              <w:top w:val="single" w:color="auto" w:sz="4" w:space="0"/>
              <w:left w:val="single" w:color="auto" w:sz="4" w:space="0"/>
              <w:bottom w:val="single" w:color="auto" w:sz="4" w:space="0"/>
              <w:right w:val="single" w:color="auto" w:sz="4" w:space="0"/>
            </w:tcBorders>
            <w:noWrap w:val="0"/>
            <w:vAlign w:val="center"/>
          </w:tcPr>
          <w:p w14:paraId="6E68C0B2">
            <w:pPr>
              <w:spacing w:line="480" w:lineRule="exact"/>
              <w:ind w:firstLine="480" w:firstLineChars="200"/>
              <w:rPr>
                <w:rFonts w:hint="eastAsia" w:ascii="宋体" w:hAnsi="宋体" w:eastAsia="宋体" w:cs="宋体"/>
                <w:snapToGrid w:val="0"/>
                <w:color w:val="auto"/>
                <w:kern w:val="2"/>
                <w:sz w:val="24"/>
                <w:szCs w:val="24"/>
                <w:highlight w:val="none"/>
                <w:lang w:val="en-US" w:eastAsia="zh-CN"/>
              </w:rPr>
            </w:pPr>
            <w:r>
              <w:rPr>
                <w:rFonts w:hint="eastAsia" w:ascii="宋体" w:hAnsi="宋体" w:eastAsia="宋体" w:cs="宋体"/>
                <w:snapToGrid w:val="0"/>
                <w:color w:val="auto"/>
                <w:kern w:val="2"/>
                <w:sz w:val="24"/>
                <w:szCs w:val="24"/>
                <w:highlight w:val="none"/>
                <w:lang w:val="en-US" w:eastAsia="zh-CN"/>
              </w:rPr>
              <w:t>具有独立承担民事责任能力的法人、其他组织或自然人，提供合法有效的营业执照/事业单位法人证书/专业服务机构执业许可证/民办非企业单位登记证书等相关证明，自然人参与的提供其身份证明；</w:t>
            </w:r>
          </w:p>
        </w:tc>
      </w:tr>
      <w:tr w14:paraId="67F0C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81" w:hRule="atLeast"/>
          <w:jc w:val="center"/>
        </w:trPr>
        <w:tc>
          <w:tcPr>
            <w:tcW w:w="795" w:type="dxa"/>
            <w:tcBorders>
              <w:top w:val="single" w:color="auto" w:sz="4" w:space="0"/>
              <w:left w:val="single" w:color="auto" w:sz="4" w:space="0"/>
              <w:right w:val="single" w:color="auto" w:sz="4" w:space="0"/>
            </w:tcBorders>
            <w:noWrap w:val="0"/>
            <w:vAlign w:val="center"/>
          </w:tcPr>
          <w:p w14:paraId="5C04C508">
            <w:pPr>
              <w:spacing w:line="480" w:lineRule="exact"/>
              <w:jc w:val="center"/>
              <w:rPr>
                <w:rFonts w:hint="eastAsia" w:ascii="宋体" w:hAnsi="宋体" w:eastAsia="宋体" w:cs="宋体"/>
                <w:b/>
                <w:bCs/>
                <w:snapToGrid w:val="0"/>
                <w:color w:val="auto"/>
                <w:kern w:val="2"/>
                <w:sz w:val="24"/>
                <w:szCs w:val="24"/>
                <w:highlight w:val="none"/>
                <w:lang w:val="en-US" w:eastAsia="zh-CN"/>
              </w:rPr>
            </w:pPr>
            <w:r>
              <w:rPr>
                <w:rFonts w:hint="eastAsia" w:ascii="宋体" w:hAnsi="宋体" w:eastAsia="宋体" w:cs="宋体"/>
                <w:b/>
                <w:bCs/>
                <w:snapToGrid w:val="0"/>
                <w:color w:val="auto"/>
                <w:kern w:val="2"/>
                <w:sz w:val="24"/>
                <w:szCs w:val="24"/>
                <w:highlight w:val="none"/>
                <w:lang w:val="en-US" w:eastAsia="zh-CN"/>
              </w:rPr>
              <w:t>2</w:t>
            </w:r>
          </w:p>
        </w:tc>
        <w:tc>
          <w:tcPr>
            <w:tcW w:w="1799" w:type="dxa"/>
            <w:tcBorders>
              <w:top w:val="single" w:color="auto" w:sz="4" w:space="0"/>
              <w:left w:val="single" w:color="auto" w:sz="4" w:space="0"/>
              <w:bottom w:val="single" w:color="auto" w:sz="4" w:space="0"/>
              <w:right w:val="single" w:color="auto" w:sz="4" w:space="0"/>
            </w:tcBorders>
            <w:noWrap w:val="0"/>
            <w:vAlign w:val="center"/>
          </w:tcPr>
          <w:p w14:paraId="4886BDED">
            <w:pPr>
              <w:spacing w:line="480" w:lineRule="exact"/>
              <w:jc w:val="center"/>
              <w:rPr>
                <w:rFonts w:hint="eastAsia" w:ascii="宋体" w:hAnsi="宋体" w:eastAsia="宋体" w:cs="宋体"/>
                <w:b/>
                <w:bCs/>
                <w:snapToGrid w:val="0"/>
                <w:color w:val="auto"/>
                <w:kern w:val="2"/>
                <w:sz w:val="24"/>
                <w:szCs w:val="24"/>
                <w:highlight w:val="none"/>
                <w:lang w:val="en-US" w:eastAsia="zh-CN"/>
              </w:rPr>
            </w:pPr>
            <w:r>
              <w:rPr>
                <w:rFonts w:hint="eastAsia" w:ascii="宋体" w:hAnsi="宋体" w:eastAsia="宋体" w:cs="宋体"/>
                <w:b/>
                <w:bCs/>
                <w:snapToGrid w:val="0"/>
                <w:color w:val="auto"/>
                <w:kern w:val="2"/>
                <w:sz w:val="24"/>
                <w:szCs w:val="24"/>
                <w:highlight w:val="none"/>
                <w:lang w:val="en-US" w:eastAsia="zh-CN"/>
              </w:rPr>
              <w:t>法定代表人</w:t>
            </w:r>
          </w:p>
          <w:p w14:paraId="25F4AF9E">
            <w:pPr>
              <w:spacing w:line="480" w:lineRule="exact"/>
              <w:jc w:val="center"/>
              <w:rPr>
                <w:rFonts w:hint="eastAsia" w:ascii="宋体" w:hAnsi="宋体" w:eastAsia="宋体" w:cs="宋体"/>
                <w:b/>
                <w:bCs/>
                <w:snapToGrid w:val="0"/>
                <w:color w:val="auto"/>
                <w:kern w:val="2"/>
                <w:sz w:val="24"/>
                <w:szCs w:val="24"/>
                <w:highlight w:val="none"/>
                <w:lang w:val="en-US" w:eastAsia="zh-CN"/>
              </w:rPr>
            </w:pPr>
            <w:r>
              <w:rPr>
                <w:rFonts w:hint="eastAsia" w:ascii="宋体" w:hAnsi="宋体" w:eastAsia="宋体" w:cs="宋体"/>
                <w:b/>
                <w:bCs/>
                <w:snapToGrid w:val="0"/>
                <w:color w:val="auto"/>
                <w:kern w:val="2"/>
                <w:sz w:val="24"/>
                <w:szCs w:val="24"/>
                <w:highlight w:val="none"/>
                <w:lang w:val="en-US" w:eastAsia="zh-CN"/>
              </w:rPr>
              <w:t>授权委托书</w:t>
            </w:r>
          </w:p>
        </w:tc>
        <w:tc>
          <w:tcPr>
            <w:tcW w:w="7279" w:type="dxa"/>
            <w:tcBorders>
              <w:top w:val="single" w:color="auto" w:sz="4" w:space="0"/>
              <w:left w:val="single" w:color="auto" w:sz="4" w:space="0"/>
              <w:bottom w:val="single" w:color="auto" w:sz="4" w:space="0"/>
              <w:right w:val="single" w:color="auto" w:sz="4" w:space="0"/>
            </w:tcBorders>
            <w:noWrap w:val="0"/>
            <w:vAlign w:val="center"/>
          </w:tcPr>
          <w:p w14:paraId="3CCEFE99">
            <w:pPr>
              <w:spacing w:line="480" w:lineRule="exact"/>
              <w:ind w:firstLine="480" w:firstLineChars="200"/>
              <w:rPr>
                <w:rFonts w:hint="eastAsia" w:ascii="宋体" w:hAnsi="宋体" w:eastAsia="宋体" w:cs="宋体"/>
                <w:snapToGrid w:val="0"/>
                <w:color w:val="auto"/>
                <w:kern w:val="2"/>
                <w:sz w:val="24"/>
                <w:szCs w:val="24"/>
                <w:highlight w:val="none"/>
                <w:lang w:val="en-US" w:eastAsia="zh-CN"/>
              </w:rPr>
            </w:pPr>
            <w:r>
              <w:rPr>
                <w:rFonts w:hint="eastAsia" w:ascii="宋体" w:hAnsi="宋体" w:eastAsia="宋体" w:cs="宋体"/>
                <w:snapToGrid w:val="0"/>
                <w:color w:val="auto"/>
                <w:kern w:val="2"/>
                <w:sz w:val="24"/>
                <w:szCs w:val="24"/>
                <w:highlight w:val="none"/>
                <w:lang w:val="en-US" w:eastAsia="zh-CN"/>
              </w:rPr>
              <w:t>法定代表人参加投标时，提供本人身份证复印件；授权代表参加投标时，提供法定代表人授权委托书、法定代表人和被授权人身份证复印件；</w:t>
            </w:r>
          </w:p>
        </w:tc>
      </w:tr>
      <w:tr w14:paraId="0E647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38" w:hRule="atLeast"/>
          <w:jc w:val="center"/>
        </w:trPr>
        <w:tc>
          <w:tcPr>
            <w:tcW w:w="795" w:type="dxa"/>
            <w:tcBorders>
              <w:left w:val="single" w:color="auto" w:sz="4" w:space="0"/>
              <w:right w:val="single" w:color="auto" w:sz="4" w:space="0"/>
            </w:tcBorders>
            <w:noWrap w:val="0"/>
            <w:vAlign w:val="center"/>
          </w:tcPr>
          <w:p w14:paraId="31A8B0BF">
            <w:pPr>
              <w:spacing w:line="480" w:lineRule="exact"/>
              <w:jc w:val="center"/>
              <w:rPr>
                <w:rFonts w:hint="eastAsia" w:ascii="宋体" w:hAnsi="宋体" w:eastAsia="宋体" w:cs="宋体"/>
                <w:b/>
                <w:bCs/>
                <w:snapToGrid w:val="0"/>
                <w:color w:val="auto"/>
                <w:kern w:val="2"/>
                <w:sz w:val="24"/>
                <w:szCs w:val="24"/>
                <w:highlight w:val="none"/>
                <w:lang w:val="en-US" w:eastAsia="zh-CN"/>
              </w:rPr>
            </w:pPr>
            <w:r>
              <w:rPr>
                <w:rFonts w:hint="eastAsia" w:ascii="宋体" w:hAnsi="宋体" w:eastAsia="宋体" w:cs="宋体"/>
                <w:b/>
                <w:bCs/>
                <w:snapToGrid w:val="0"/>
                <w:color w:val="auto"/>
                <w:kern w:val="2"/>
                <w:sz w:val="24"/>
                <w:szCs w:val="24"/>
                <w:highlight w:val="none"/>
                <w:lang w:val="en-US" w:eastAsia="zh-CN"/>
              </w:rPr>
              <w:t>3</w:t>
            </w:r>
          </w:p>
        </w:tc>
        <w:tc>
          <w:tcPr>
            <w:tcW w:w="1799" w:type="dxa"/>
            <w:tcBorders>
              <w:top w:val="single" w:color="auto" w:sz="4" w:space="0"/>
              <w:left w:val="single" w:color="auto" w:sz="4" w:space="0"/>
              <w:bottom w:val="single" w:color="auto" w:sz="4" w:space="0"/>
              <w:right w:val="single" w:color="auto" w:sz="4" w:space="0"/>
            </w:tcBorders>
            <w:noWrap w:val="0"/>
            <w:vAlign w:val="center"/>
          </w:tcPr>
          <w:p w14:paraId="3AF3BE07">
            <w:pPr>
              <w:spacing w:line="480" w:lineRule="exact"/>
              <w:jc w:val="center"/>
              <w:rPr>
                <w:rFonts w:hint="eastAsia" w:ascii="宋体" w:hAnsi="宋体" w:eastAsia="宋体" w:cs="宋体"/>
                <w:b/>
                <w:bCs/>
                <w:snapToGrid w:val="0"/>
                <w:color w:val="auto"/>
                <w:kern w:val="2"/>
                <w:sz w:val="24"/>
                <w:szCs w:val="24"/>
                <w:highlight w:val="none"/>
                <w:lang w:val="en-US" w:eastAsia="zh-CN"/>
              </w:rPr>
            </w:pPr>
            <w:r>
              <w:rPr>
                <w:rFonts w:hint="eastAsia" w:ascii="宋体" w:hAnsi="宋体" w:eastAsia="宋体" w:cs="宋体"/>
                <w:b/>
                <w:bCs/>
                <w:snapToGrid w:val="0"/>
                <w:color w:val="auto"/>
                <w:kern w:val="2"/>
                <w:sz w:val="24"/>
                <w:szCs w:val="24"/>
                <w:highlight w:val="none"/>
                <w:lang w:val="en-US" w:eastAsia="zh-CN"/>
              </w:rPr>
              <w:t>资质证明</w:t>
            </w:r>
          </w:p>
        </w:tc>
        <w:tc>
          <w:tcPr>
            <w:tcW w:w="7279" w:type="dxa"/>
            <w:tcBorders>
              <w:top w:val="single" w:color="auto" w:sz="4" w:space="0"/>
              <w:left w:val="single" w:color="auto" w:sz="4" w:space="0"/>
              <w:bottom w:val="single" w:color="auto" w:sz="4" w:space="0"/>
              <w:right w:val="single" w:color="auto" w:sz="4" w:space="0"/>
            </w:tcBorders>
            <w:noWrap w:val="0"/>
            <w:vAlign w:val="center"/>
          </w:tcPr>
          <w:p w14:paraId="365EA4B1">
            <w:pPr>
              <w:spacing w:line="480" w:lineRule="exact"/>
              <w:ind w:firstLine="480" w:firstLineChars="200"/>
              <w:rPr>
                <w:rFonts w:hint="eastAsia" w:ascii="宋体" w:hAnsi="宋体" w:eastAsia="宋体" w:cs="宋体"/>
                <w:snapToGrid w:val="0"/>
                <w:color w:val="auto"/>
                <w:kern w:val="2"/>
                <w:sz w:val="24"/>
                <w:szCs w:val="24"/>
                <w:highlight w:val="none"/>
                <w:lang w:val="en-US" w:eastAsia="zh-CN"/>
              </w:rPr>
            </w:pPr>
            <w:r>
              <w:rPr>
                <w:rFonts w:hint="eastAsia" w:ascii="宋体" w:hAnsi="宋体" w:eastAsia="宋体" w:cs="宋体"/>
                <w:snapToGrid w:val="0"/>
                <w:color w:val="auto"/>
                <w:kern w:val="2"/>
                <w:sz w:val="24"/>
                <w:szCs w:val="24"/>
                <w:highlight w:val="none"/>
                <w:lang w:val="en-US" w:eastAsia="zh-CN"/>
              </w:rPr>
              <w:t>本次磋商要求供应商具有国家建设行政主管部门颁发的市政公用工程监理乙级及以上资质，拟派总监理工程师具备市政公用工程专业国家注册监理工程师资格证书，且在本单位注册；</w:t>
            </w:r>
          </w:p>
        </w:tc>
      </w:tr>
      <w:tr w14:paraId="5FFF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78" w:hRule="atLeast"/>
          <w:jc w:val="center"/>
        </w:trPr>
        <w:tc>
          <w:tcPr>
            <w:tcW w:w="795" w:type="dxa"/>
            <w:tcBorders>
              <w:left w:val="single" w:color="auto" w:sz="4" w:space="0"/>
              <w:right w:val="single" w:color="auto" w:sz="4" w:space="0"/>
            </w:tcBorders>
            <w:noWrap w:val="0"/>
            <w:vAlign w:val="center"/>
          </w:tcPr>
          <w:p w14:paraId="39E40BB4">
            <w:pPr>
              <w:spacing w:line="480" w:lineRule="exact"/>
              <w:jc w:val="center"/>
              <w:rPr>
                <w:rFonts w:hint="eastAsia" w:ascii="宋体" w:hAnsi="宋体" w:eastAsia="宋体" w:cs="宋体"/>
                <w:b/>
                <w:bCs/>
                <w:snapToGrid w:val="0"/>
                <w:color w:val="auto"/>
                <w:kern w:val="2"/>
                <w:sz w:val="24"/>
                <w:szCs w:val="24"/>
                <w:highlight w:val="none"/>
                <w:lang w:val="en-US" w:eastAsia="zh-CN"/>
              </w:rPr>
            </w:pPr>
            <w:r>
              <w:rPr>
                <w:rFonts w:hint="eastAsia" w:ascii="宋体" w:hAnsi="宋体" w:eastAsia="宋体" w:cs="宋体"/>
                <w:b/>
                <w:bCs/>
                <w:snapToGrid w:val="0"/>
                <w:color w:val="auto"/>
                <w:kern w:val="2"/>
                <w:sz w:val="24"/>
                <w:szCs w:val="24"/>
                <w:highlight w:val="none"/>
                <w:lang w:val="en-US" w:eastAsia="zh-CN"/>
              </w:rPr>
              <w:t>4</w:t>
            </w:r>
          </w:p>
        </w:tc>
        <w:tc>
          <w:tcPr>
            <w:tcW w:w="1799" w:type="dxa"/>
            <w:tcBorders>
              <w:top w:val="single" w:color="auto" w:sz="4" w:space="0"/>
              <w:left w:val="single" w:color="auto" w:sz="4" w:space="0"/>
              <w:bottom w:val="single" w:color="auto" w:sz="4" w:space="0"/>
              <w:right w:val="single" w:color="auto" w:sz="4" w:space="0"/>
            </w:tcBorders>
            <w:noWrap w:val="0"/>
            <w:vAlign w:val="center"/>
          </w:tcPr>
          <w:p w14:paraId="5C638A98">
            <w:pPr>
              <w:spacing w:line="480" w:lineRule="exact"/>
              <w:jc w:val="center"/>
              <w:rPr>
                <w:rFonts w:hint="eastAsia" w:ascii="宋体" w:hAnsi="宋体" w:eastAsia="宋体" w:cs="宋体"/>
                <w:b/>
                <w:bCs/>
                <w:snapToGrid w:val="0"/>
                <w:color w:val="auto"/>
                <w:kern w:val="2"/>
                <w:sz w:val="24"/>
                <w:szCs w:val="24"/>
                <w:highlight w:val="none"/>
                <w:lang w:val="en-US" w:eastAsia="zh-CN"/>
              </w:rPr>
            </w:pPr>
            <w:r>
              <w:rPr>
                <w:rFonts w:hint="eastAsia" w:ascii="宋体" w:hAnsi="宋体" w:eastAsia="宋体" w:cs="宋体"/>
                <w:b/>
                <w:bCs/>
                <w:snapToGrid w:val="0"/>
                <w:color w:val="auto"/>
                <w:kern w:val="2"/>
                <w:sz w:val="24"/>
                <w:szCs w:val="24"/>
                <w:highlight w:val="none"/>
                <w:lang w:val="en-US" w:eastAsia="zh-CN"/>
              </w:rPr>
              <w:t>无重大违法纪录的书面声明</w:t>
            </w:r>
          </w:p>
        </w:tc>
        <w:tc>
          <w:tcPr>
            <w:tcW w:w="7279" w:type="dxa"/>
            <w:tcBorders>
              <w:top w:val="single" w:color="auto" w:sz="4" w:space="0"/>
              <w:left w:val="single" w:color="auto" w:sz="4" w:space="0"/>
              <w:bottom w:val="single" w:color="auto" w:sz="4" w:space="0"/>
              <w:right w:val="single" w:color="auto" w:sz="4" w:space="0"/>
            </w:tcBorders>
            <w:noWrap w:val="0"/>
            <w:vAlign w:val="center"/>
          </w:tcPr>
          <w:p w14:paraId="11683354">
            <w:pPr>
              <w:spacing w:line="480" w:lineRule="exact"/>
              <w:ind w:firstLine="480" w:firstLineChars="200"/>
              <w:rPr>
                <w:rFonts w:hint="eastAsia" w:ascii="宋体" w:hAnsi="宋体" w:eastAsia="宋体" w:cs="宋体"/>
                <w:snapToGrid w:val="0"/>
                <w:color w:val="auto"/>
                <w:kern w:val="2"/>
                <w:sz w:val="24"/>
                <w:szCs w:val="24"/>
                <w:highlight w:val="none"/>
                <w:lang w:val="en-US" w:eastAsia="zh-CN"/>
              </w:rPr>
            </w:pPr>
            <w:r>
              <w:rPr>
                <w:rFonts w:hint="eastAsia" w:ascii="宋体" w:hAnsi="宋体" w:eastAsia="宋体" w:cs="宋体"/>
                <w:snapToGrid w:val="0"/>
                <w:color w:val="auto"/>
                <w:kern w:val="2"/>
                <w:sz w:val="24"/>
                <w:szCs w:val="24"/>
                <w:highlight w:val="none"/>
                <w:lang w:val="en-US" w:eastAsia="zh-CN"/>
              </w:rPr>
              <w:t>参加本次政府采购活动前三年内在经营活动中没有重大违纪，以及未被列入失信被执行人、重大税收违法案件当事人名单、政府采购严重违法失信行为记录名单的书面声明；</w:t>
            </w:r>
          </w:p>
        </w:tc>
      </w:tr>
      <w:tr w14:paraId="08680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05" w:hRule="atLeast"/>
          <w:jc w:val="center"/>
        </w:trPr>
        <w:tc>
          <w:tcPr>
            <w:tcW w:w="795" w:type="dxa"/>
            <w:tcBorders>
              <w:left w:val="single" w:color="auto" w:sz="4" w:space="0"/>
              <w:right w:val="single" w:color="auto" w:sz="4" w:space="0"/>
            </w:tcBorders>
            <w:noWrap w:val="0"/>
            <w:vAlign w:val="center"/>
          </w:tcPr>
          <w:p w14:paraId="7EE706EA">
            <w:pPr>
              <w:spacing w:line="480" w:lineRule="exact"/>
              <w:jc w:val="center"/>
              <w:rPr>
                <w:rFonts w:hint="eastAsia" w:ascii="宋体" w:hAnsi="宋体" w:eastAsia="宋体" w:cs="宋体"/>
                <w:b/>
                <w:bCs/>
                <w:snapToGrid w:val="0"/>
                <w:color w:val="auto"/>
                <w:kern w:val="2"/>
                <w:sz w:val="24"/>
                <w:szCs w:val="24"/>
                <w:highlight w:val="none"/>
                <w:lang w:val="en-US" w:eastAsia="zh-CN"/>
              </w:rPr>
            </w:pPr>
            <w:r>
              <w:rPr>
                <w:rFonts w:hint="eastAsia" w:ascii="宋体" w:hAnsi="宋体" w:eastAsia="宋体" w:cs="宋体"/>
                <w:b/>
                <w:bCs/>
                <w:snapToGrid w:val="0"/>
                <w:color w:val="auto"/>
                <w:kern w:val="2"/>
                <w:sz w:val="24"/>
                <w:szCs w:val="24"/>
                <w:highlight w:val="none"/>
                <w:lang w:val="en-US" w:eastAsia="zh-CN"/>
              </w:rPr>
              <w:t>5</w:t>
            </w:r>
          </w:p>
        </w:tc>
        <w:tc>
          <w:tcPr>
            <w:tcW w:w="1799" w:type="dxa"/>
            <w:tcBorders>
              <w:top w:val="single" w:color="auto" w:sz="4" w:space="0"/>
              <w:left w:val="single" w:color="auto" w:sz="4" w:space="0"/>
              <w:right w:val="single" w:color="auto" w:sz="4" w:space="0"/>
            </w:tcBorders>
            <w:noWrap w:val="0"/>
            <w:vAlign w:val="center"/>
          </w:tcPr>
          <w:p w14:paraId="1E67DF75">
            <w:pPr>
              <w:spacing w:line="480" w:lineRule="exact"/>
              <w:jc w:val="center"/>
              <w:rPr>
                <w:rFonts w:hint="eastAsia" w:ascii="宋体" w:hAnsi="宋体" w:eastAsia="宋体" w:cs="宋体"/>
                <w:b/>
                <w:bCs/>
                <w:snapToGrid w:val="0"/>
                <w:color w:val="auto"/>
                <w:kern w:val="2"/>
                <w:sz w:val="24"/>
                <w:szCs w:val="24"/>
                <w:highlight w:val="none"/>
                <w:lang w:val="en-US" w:eastAsia="zh-CN"/>
              </w:rPr>
            </w:pPr>
            <w:r>
              <w:rPr>
                <w:rFonts w:hint="eastAsia" w:ascii="宋体" w:hAnsi="宋体" w:eastAsia="宋体" w:cs="宋体"/>
                <w:b/>
                <w:bCs/>
                <w:snapToGrid w:val="0"/>
                <w:color w:val="auto"/>
                <w:kern w:val="2"/>
                <w:sz w:val="24"/>
                <w:szCs w:val="24"/>
                <w:highlight w:val="none"/>
                <w:lang w:val="en-US" w:eastAsia="zh-CN"/>
              </w:rPr>
              <w:t>主体信用</w:t>
            </w:r>
          </w:p>
          <w:p w14:paraId="2250B515">
            <w:pPr>
              <w:spacing w:line="480" w:lineRule="exact"/>
              <w:jc w:val="center"/>
              <w:rPr>
                <w:rFonts w:hint="eastAsia" w:ascii="宋体" w:hAnsi="宋体" w:eastAsia="宋体" w:cs="宋体"/>
                <w:b/>
                <w:bCs/>
                <w:snapToGrid w:val="0"/>
                <w:color w:val="auto"/>
                <w:kern w:val="2"/>
                <w:sz w:val="24"/>
                <w:szCs w:val="24"/>
                <w:highlight w:val="none"/>
                <w:lang w:val="en-US" w:eastAsia="zh-CN"/>
              </w:rPr>
            </w:pPr>
            <w:r>
              <w:rPr>
                <w:rFonts w:hint="eastAsia" w:ascii="宋体" w:hAnsi="宋体" w:eastAsia="宋体" w:cs="宋体"/>
                <w:b/>
                <w:bCs/>
                <w:snapToGrid w:val="0"/>
                <w:color w:val="auto"/>
                <w:kern w:val="2"/>
                <w:sz w:val="24"/>
                <w:szCs w:val="24"/>
                <w:highlight w:val="none"/>
                <w:lang w:val="en-US" w:eastAsia="zh-CN"/>
              </w:rPr>
              <w:t>查询记录</w:t>
            </w:r>
          </w:p>
        </w:tc>
        <w:tc>
          <w:tcPr>
            <w:tcW w:w="7279" w:type="dxa"/>
            <w:tcBorders>
              <w:top w:val="single" w:color="auto" w:sz="4" w:space="0"/>
              <w:left w:val="single" w:color="auto" w:sz="4" w:space="0"/>
              <w:right w:val="single" w:color="auto" w:sz="4" w:space="0"/>
            </w:tcBorders>
            <w:noWrap w:val="0"/>
            <w:vAlign w:val="center"/>
          </w:tcPr>
          <w:p w14:paraId="356C2CB3">
            <w:pPr>
              <w:spacing w:line="480" w:lineRule="exact"/>
              <w:ind w:firstLine="480" w:firstLineChars="200"/>
              <w:rPr>
                <w:rFonts w:hint="eastAsia" w:ascii="宋体" w:hAnsi="宋体" w:eastAsia="宋体" w:cs="宋体"/>
                <w:snapToGrid w:val="0"/>
                <w:color w:val="auto"/>
                <w:kern w:val="2"/>
                <w:sz w:val="24"/>
                <w:szCs w:val="24"/>
                <w:highlight w:val="none"/>
                <w:lang w:val="en-US" w:eastAsia="zh-CN"/>
              </w:rPr>
            </w:pPr>
            <w:r>
              <w:rPr>
                <w:rFonts w:hint="eastAsia" w:ascii="宋体" w:hAnsi="宋体" w:eastAsia="宋体" w:cs="宋体"/>
                <w:snapToGrid w:val="0"/>
                <w:color w:val="auto"/>
                <w:kern w:val="2"/>
                <w:sz w:val="24"/>
                <w:szCs w:val="24"/>
                <w:highlight w:val="none"/>
                <w:lang w:val="en-US" w:eastAsia="zh-CN"/>
              </w:rPr>
              <w:t>供应商通过“信用中国”网站(www.creditchina.gov.cn )和中国政府采购网(www.ccgp.gov.cn)等渠道查询相关主体信用记录，对列入失信被执行人、重大税收违法案件当事人名单、政府采购严重违法失信行为记录名单的供应商，将拒绝其参与政府采购活动；</w:t>
            </w:r>
          </w:p>
        </w:tc>
      </w:tr>
      <w:tr w14:paraId="3F12F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9" w:hRule="atLeast"/>
          <w:jc w:val="center"/>
        </w:trPr>
        <w:tc>
          <w:tcPr>
            <w:tcW w:w="795" w:type="dxa"/>
            <w:tcBorders>
              <w:left w:val="single" w:color="auto" w:sz="4" w:space="0"/>
              <w:right w:val="single" w:color="auto" w:sz="4" w:space="0"/>
            </w:tcBorders>
            <w:noWrap w:val="0"/>
            <w:vAlign w:val="center"/>
          </w:tcPr>
          <w:p w14:paraId="5E4FA63C">
            <w:pPr>
              <w:spacing w:line="480" w:lineRule="exact"/>
              <w:jc w:val="center"/>
              <w:rPr>
                <w:rFonts w:hint="eastAsia" w:ascii="宋体" w:hAnsi="宋体" w:eastAsia="宋体" w:cs="宋体"/>
                <w:b/>
                <w:bCs/>
                <w:snapToGrid w:val="0"/>
                <w:color w:val="auto"/>
                <w:kern w:val="2"/>
                <w:sz w:val="24"/>
                <w:szCs w:val="24"/>
                <w:highlight w:val="none"/>
                <w:lang w:val="en-US" w:eastAsia="zh-CN"/>
              </w:rPr>
            </w:pPr>
            <w:r>
              <w:rPr>
                <w:rFonts w:hint="eastAsia" w:ascii="宋体" w:hAnsi="宋体" w:eastAsia="宋体" w:cs="宋体"/>
                <w:b/>
                <w:bCs/>
                <w:snapToGrid w:val="0"/>
                <w:color w:val="auto"/>
                <w:kern w:val="2"/>
                <w:sz w:val="24"/>
                <w:szCs w:val="24"/>
                <w:highlight w:val="none"/>
                <w:lang w:val="en-US" w:eastAsia="zh-CN"/>
              </w:rPr>
              <w:t>6</w:t>
            </w:r>
          </w:p>
        </w:tc>
        <w:tc>
          <w:tcPr>
            <w:tcW w:w="1799" w:type="dxa"/>
            <w:tcBorders>
              <w:top w:val="single" w:color="auto" w:sz="4" w:space="0"/>
              <w:left w:val="single" w:color="auto" w:sz="4" w:space="0"/>
              <w:bottom w:val="single" w:color="auto" w:sz="4" w:space="0"/>
              <w:right w:val="single" w:color="auto" w:sz="4" w:space="0"/>
            </w:tcBorders>
            <w:noWrap w:val="0"/>
            <w:vAlign w:val="center"/>
          </w:tcPr>
          <w:p w14:paraId="1ADDB01B">
            <w:pPr>
              <w:spacing w:line="480" w:lineRule="exact"/>
              <w:jc w:val="center"/>
              <w:rPr>
                <w:rFonts w:hint="eastAsia" w:ascii="宋体" w:hAnsi="宋体" w:eastAsia="宋体" w:cs="宋体"/>
                <w:b/>
                <w:bCs/>
                <w:snapToGrid w:val="0"/>
                <w:color w:val="auto"/>
                <w:kern w:val="2"/>
                <w:sz w:val="24"/>
                <w:szCs w:val="24"/>
                <w:highlight w:val="none"/>
                <w:lang w:val="en-US" w:eastAsia="zh-CN"/>
              </w:rPr>
            </w:pPr>
            <w:r>
              <w:rPr>
                <w:rFonts w:hint="eastAsia" w:ascii="宋体" w:hAnsi="宋体" w:eastAsia="宋体" w:cs="宋体"/>
                <w:b/>
                <w:bCs/>
                <w:snapToGrid w:val="0"/>
                <w:color w:val="auto"/>
                <w:kern w:val="2"/>
                <w:sz w:val="24"/>
                <w:szCs w:val="24"/>
                <w:highlight w:val="none"/>
                <w:lang w:val="en-US" w:eastAsia="zh-CN"/>
              </w:rPr>
              <w:t>税收和社保</w:t>
            </w:r>
          </w:p>
        </w:tc>
        <w:tc>
          <w:tcPr>
            <w:tcW w:w="7279" w:type="dxa"/>
            <w:tcBorders>
              <w:top w:val="single" w:color="auto" w:sz="4" w:space="0"/>
              <w:left w:val="single" w:color="auto" w:sz="4" w:space="0"/>
              <w:bottom w:val="single" w:color="auto" w:sz="4" w:space="0"/>
              <w:right w:val="single" w:color="auto" w:sz="4" w:space="0"/>
            </w:tcBorders>
            <w:noWrap w:val="0"/>
            <w:vAlign w:val="center"/>
          </w:tcPr>
          <w:p w14:paraId="72A90F37">
            <w:pPr>
              <w:spacing w:line="480" w:lineRule="exact"/>
              <w:ind w:firstLine="480" w:firstLineChars="200"/>
              <w:rPr>
                <w:rFonts w:hint="eastAsia" w:ascii="宋体" w:hAnsi="宋体" w:eastAsia="宋体" w:cs="宋体"/>
                <w:snapToGrid w:val="0"/>
                <w:color w:val="auto"/>
                <w:kern w:val="2"/>
                <w:sz w:val="24"/>
                <w:szCs w:val="24"/>
                <w:highlight w:val="none"/>
                <w:lang w:val="en-US" w:eastAsia="zh-CN"/>
              </w:rPr>
            </w:pPr>
            <w:r>
              <w:rPr>
                <w:rFonts w:hint="eastAsia" w:ascii="宋体" w:hAnsi="宋体" w:eastAsia="宋体" w:cs="宋体"/>
                <w:snapToGrid w:val="0"/>
                <w:color w:val="auto"/>
                <w:kern w:val="2"/>
                <w:sz w:val="24"/>
                <w:szCs w:val="24"/>
                <w:highlight w:val="none"/>
                <w:lang w:val="en-US" w:eastAsia="zh-CN"/>
              </w:rPr>
              <w:t>有依法缴纳税收和社会保障资金的良好记录（提供供应商近六个月任何一个月缴税证明和社会保障资金缴纳证明或免缴纳证明。</w:t>
            </w:r>
          </w:p>
        </w:tc>
      </w:tr>
      <w:tr w14:paraId="726BB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29" w:hRule="atLeast"/>
          <w:jc w:val="center"/>
        </w:trPr>
        <w:tc>
          <w:tcPr>
            <w:tcW w:w="795" w:type="dxa"/>
            <w:tcBorders>
              <w:left w:val="single" w:color="auto" w:sz="4" w:space="0"/>
              <w:right w:val="single" w:color="auto" w:sz="4" w:space="0"/>
            </w:tcBorders>
            <w:noWrap w:val="0"/>
            <w:vAlign w:val="center"/>
          </w:tcPr>
          <w:p w14:paraId="40953E91">
            <w:pPr>
              <w:spacing w:line="480" w:lineRule="exact"/>
              <w:jc w:val="center"/>
              <w:rPr>
                <w:rFonts w:hint="eastAsia" w:ascii="宋体" w:hAnsi="宋体" w:eastAsia="宋体" w:cs="宋体"/>
                <w:b/>
                <w:bCs/>
                <w:snapToGrid w:val="0"/>
                <w:color w:val="auto"/>
                <w:kern w:val="2"/>
                <w:sz w:val="24"/>
                <w:szCs w:val="24"/>
                <w:highlight w:val="none"/>
                <w:lang w:val="en-US" w:eastAsia="zh-CN"/>
              </w:rPr>
            </w:pPr>
            <w:r>
              <w:rPr>
                <w:rFonts w:hint="eastAsia" w:ascii="宋体" w:hAnsi="宋体" w:eastAsia="宋体" w:cs="宋体"/>
                <w:b/>
                <w:bCs/>
                <w:snapToGrid w:val="0"/>
                <w:color w:val="auto"/>
                <w:kern w:val="2"/>
                <w:sz w:val="24"/>
                <w:szCs w:val="24"/>
                <w:highlight w:val="none"/>
                <w:lang w:val="en-US" w:eastAsia="zh-CN"/>
              </w:rPr>
              <w:t>7</w:t>
            </w:r>
          </w:p>
        </w:tc>
        <w:tc>
          <w:tcPr>
            <w:tcW w:w="1799" w:type="dxa"/>
            <w:tcBorders>
              <w:top w:val="single" w:color="auto" w:sz="4" w:space="0"/>
              <w:left w:val="single" w:color="auto" w:sz="4" w:space="0"/>
              <w:bottom w:val="single" w:color="auto" w:sz="4" w:space="0"/>
              <w:right w:val="single" w:color="auto" w:sz="4" w:space="0"/>
            </w:tcBorders>
            <w:noWrap w:val="0"/>
            <w:vAlign w:val="center"/>
          </w:tcPr>
          <w:p w14:paraId="60850157">
            <w:pPr>
              <w:spacing w:line="480" w:lineRule="exact"/>
              <w:jc w:val="center"/>
              <w:rPr>
                <w:rFonts w:hint="eastAsia" w:ascii="宋体" w:hAnsi="宋体" w:eastAsia="宋体" w:cs="宋体"/>
                <w:b/>
                <w:bCs/>
                <w:snapToGrid w:val="0"/>
                <w:color w:val="auto"/>
                <w:kern w:val="2"/>
                <w:sz w:val="24"/>
                <w:szCs w:val="24"/>
                <w:highlight w:val="none"/>
                <w:lang w:val="en-US" w:eastAsia="zh-CN"/>
              </w:rPr>
            </w:pPr>
            <w:r>
              <w:rPr>
                <w:rFonts w:hint="eastAsia" w:ascii="宋体" w:hAnsi="宋体" w:eastAsia="宋体" w:cs="宋体"/>
                <w:b/>
                <w:bCs/>
                <w:snapToGrid w:val="0"/>
                <w:color w:val="auto"/>
                <w:kern w:val="2"/>
                <w:sz w:val="24"/>
                <w:szCs w:val="24"/>
                <w:highlight w:val="none"/>
                <w:lang w:val="en-US" w:eastAsia="zh-CN"/>
              </w:rPr>
              <w:t>中小企业</w:t>
            </w:r>
          </w:p>
          <w:p w14:paraId="4C691560">
            <w:pPr>
              <w:spacing w:line="480" w:lineRule="exact"/>
              <w:jc w:val="center"/>
              <w:rPr>
                <w:rFonts w:hint="eastAsia" w:ascii="宋体" w:hAnsi="宋体" w:eastAsia="宋体" w:cs="宋体"/>
                <w:b/>
                <w:bCs/>
                <w:snapToGrid w:val="0"/>
                <w:color w:val="auto"/>
                <w:kern w:val="2"/>
                <w:sz w:val="24"/>
                <w:szCs w:val="24"/>
                <w:highlight w:val="none"/>
                <w:lang w:val="en-US" w:eastAsia="zh-CN"/>
              </w:rPr>
            </w:pPr>
            <w:r>
              <w:rPr>
                <w:rFonts w:hint="eastAsia" w:ascii="宋体" w:hAnsi="宋体" w:eastAsia="宋体" w:cs="宋体"/>
                <w:b/>
                <w:bCs/>
                <w:snapToGrid w:val="0"/>
                <w:color w:val="auto"/>
                <w:kern w:val="2"/>
                <w:sz w:val="24"/>
                <w:szCs w:val="24"/>
                <w:highlight w:val="none"/>
                <w:lang w:val="en-US" w:eastAsia="zh-CN"/>
              </w:rPr>
              <w:t>声明函</w:t>
            </w:r>
          </w:p>
        </w:tc>
        <w:tc>
          <w:tcPr>
            <w:tcW w:w="7279" w:type="dxa"/>
            <w:tcBorders>
              <w:top w:val="single" w:color="auto" w:sz="4" w:space="0"/>
              <w:left w:val="single" w:color="auto" w:sz="4" w:space="0"/>
              <w:bottom w:val="single" w:color="auto" w:sz="4" w:space="0"/>
              <w:right w:val="single" w:color="auto" w:sz="4" w:space="0"/>
            </w:tcBorders>
            <w:noWrap w:val="0"/>
            <w:vAlign w:val="center"/>
          </w:tcPr>
          <w:p w14:paraId="0810DD74">
            <w:pPr>
              <w:spacing w:line="480" w:lineRule="exact"/>
              <w:ind w:firstLine="480" w:firstLineChars="200"/>
              <w:rPr>
                <w:rFonts w:hint="eastAsia" w:ascii="宋体" w:hAnsi="宋体" w:eastAsia="宋体" w:cs="宋体"/>
                <w:snapToGrid w:val="0"/>
                <w:color w:val="auto"/>
                <w:kern w:val="2"/>
                <w:sz w:val="24"/>
                <w:szCs w:val="24"/>
                <w:highlight w:val="none"/>
                <w:lang w:val="en-US" w:eastAsia="zh-CN"/>
              </w:rPr>
            </w:pPr>
            <w:r>
              <w:rPr>
                <w:rFonts w:hint="eastAsia" w:ascii="宋体" w:hAnsi="宋体" w:eastAsia="宋体" w:cs="宋体"/>
                <w:snapToGrid w:val="0"/>
                <w:color w:val="auto"/>
                <w:kern w:val="2"/>
                <w:sz w:val="24"/>
                <w:szCs w:val="24"/>
                <w:highlight w:val="none"/>
                <w:lang w:val="en-US" w:eastAsia="zh-CN"/>
              </w:rPr>
              <w:t>供应商应提供中小企业声明函（供应商为残疾人福利性单位的，提供《残疾人福利性单位声明函》；供应商为监狱企业的，提供由省级以上监狱管理局、戒毒管理局（含新疆生产建设兵团）出具的属于监狱企业的证明文件）。</w:t>
            </w:r>
          </w:p>
        </w:tc>
      </w:tr>
    </w:tbl>
    <w:p w14:paraId="022A210B">
      <w:pPr>
        <w:spacing w:line="360" w:lineRule="auto"/>
        <w:jc w:val="center"/>
        <w:rPr>
          <w:rFonts w:hint="eastAsia" w:ascii="仿宋" w:hAnsi="仿宋" w:eastAsia="仿宋" w:cs="仿宋_GB2312"/>
          <w:b/>
          <w:color w:val="auto"/>
          <w:sz w:val="24"/>
          <w:szCs w:val="24"/>
          <w:highlight w:val="none"/>
        </w:rPr>
      </w:pPr>
    </w:p>
    <w:p w14:paraId="4997151C">
      <w:pPr>
        <w:spacing w:line="360" w:lineRule="auto"/>
        <w:jc w:val="center"/>
        <w:rPr>
          <w:rFonts w:hint="eastAsia" w:ascii="仿宋" w:hAnsi="仿宋" w:eastAsia="仿宋" w:cs="仿宋_GB2312"/>
          <w:b/>
          <w:color w:val="auto"/>
          <w:sz w:val="24"/>
          <w:szCs w:val="24"/>
          <w:highlight w:val="none"/>
        </w:rPr>
      </w:pPr>
    </w:p>
    <w:p w14:paraId="3AAC54BD">
      <w:pPr>
        <w:spacing w:line="360" w:lineRule="auto"/>
        <w:jc w:val="center"/>
        <w:rPr>
          <w:rFonts w:hint="eastAsia" w:ascii="仿宋" w:hAnsi="仿宋" w:eastAsia="仿宋" w:cs="仿宋_GB2312"/>
          <w:b/>
          <w:color w:val="auto"/>
          <w:sz w:val="24"/>
          <w:szCs w:val="24"/>
          <w:highlight w:val="none"/>
        </w:rPr>
      </w:pPr>
    </w:p>
    <w:p w14:paraId="1CB685B6">
      <w:pPr>
        <w:spacing w:line="360" w:lineRule="auto"/>
        <w:jc w:val="center"/>
        <w:rPr>
          <w:rFonts w:hint="eastAsia" w:ascii="仿宋" w:hAnsi="仿宋" w:eastAsia="仿宋" w:cs="仿宋_GB2312"/>
          <w:b/>
          <w:color w:val="auto"/>
          <w:sz w:val="24"/>
          <w:szCs w:val="24"/>
          <w:highlight w:val="none"/>
        </w:rPr>
      </w:pPr>
    </w:p>
    <w:p w14:paraId="61C7AEDE">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附表二 符合性审查表</w:t>
      </w:r>
    </w:p>
    <w:tbl>
      <w:tblPr>
        <w:tblStyle w:val="17"/>
        <w:tblW w:w="95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4"/>
        <w:gridCol w:w="2341"/>
        <w:gridCol w:w="6234"/>
      </w:tblGrid>
      <w:tr w14:paraId="544D8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8" w:hRule="atLeast"/>
          <w:jc w:val="center"/>
        </w:trPr>
        <w:tc>
          <w:tcPr>
            <w:tcW w:w="1024" w:type="dxa"/>
            <w:vAlign w:val="center"/>
          </w:tcPr>
          <w:p w14:paraId="5092AE14">
            <w:pPr>
              <w:tabs>
                <w:tab w:val="left" w:pos="1260"/>
                <w:tab w:val="left" w:pos="1620"/>
              </w:tabs>
              <w:adjustRightInd w:val="0"/>
              <w:snapToGrid w:val="0"/>
              <w:spacing w:line="360" w:lineRule="auto"/>
              <w:jc w:val="center"/>
              <w:textAlignment w:val="baseline"/>
              <w:rPr>
                <w:rFonts w:hint="eastAsia" w:ascii="宋体" w:hAnsi="宋体" w:eastAsia="宋体" w:cs="宋体"/>
                <w:b/>
                <w:caps/>
                <w:color w:val="auto"/>
                <w:sz w:val="24"/>
                <w:szCs w:val="24"/>
                <w:highlight w:val="none"/>
              </w:rPr>
            </w:pPr>
            <w:r>
              <w:rPr>
                <w:rFonts w:hint="eastAsia" w:ascii="宋体" w:hAnsi="宋体" w:eastAsia="宋体" w:cs="宋体"/>
                <w:b/>
                <w:caps/>
                <w:color w:val="auto"/>
                <w:sz w:val="24"/>
                <w:szCs w:val="24"/>
                <w:highlight w:val="none"/>
              </w:rPr>
              <w:t>序号</w:t>
            </w:r>
          </w:p>
        </w:tc>
        <w:tc>
          <w:tcPr>
            <w:tcW w:w="2341" w:type="dxa"/>
            <w:vAlign w:val="center"/>
          </w:tcPr>
          <w:p w14:paraId="6CD416F8">
            <w:pPr>
              <w:tabs>
                <w:tab w:val="left" w:pos="1260"/>
                <w:tab w:val="left" w:pos="1620"/>
              </w:tabs>
              <w:adjustRightInd w:val="0"/>
              <w:snapToGrid w:val="0"/>
              <w:spacing w:line="360" w:lineRule="auto"/>
              <w:jc w:val="center"/>
              <w:textAlignment w:val="baseline"/>
              <w:rPr>
                <w:rFonts w:hint="eastAsia" w:ascii="宋体" w:hAnsi="宋体" w:eastAsia="宋体" w:cs="宋体"/>
                <w:b/>
                <w:caps/>
                <w:color w:val="auto"/>
                <w:sz w:val="24"/>
                <w:szCs w:val="24"/>
                <w:highlight w:val="none"/>
              </w:rPr>
            </w:pPr>
            <w:r>
              <w:rPr>
                <w:rFonts w:hint="eastAsia" w:ascii="宋体" w:hAnsi="宋体" w:eastAsia="宋体" w:cs="宋体"/>
                <w:b/>
                <w:caps/>
                <w:color w:val="auto"/>
                <w:sz w:val="24"/>
                <w:szCs w:val="24"/>
                <w:highlight w:val="none"/>
              </w:rPr>
              <w:t>评审项目</w:t>
            </w:r>
          </w:p>
        </w:tc>
        <w:tc>
          <w:tcPr>
            <w:tcW w:w="6234" w:type="dxa"/>
            <w:vAlign w:val="center"/>
          </w:tcPr>
          <w:p w14:paraId="2D990180">
            <w:pPr>
              <w:tabs>
                <w:tab w:val="left" w:pos="1260"/>
                <w:tab w:val="left" w:pos="1620"/>
              </w:tabs>
              <w:adjustRightInd w:val="0"/>
              <w:snapToGrid w:val="0"/>
              <w:spacing w:line="360" w:lineRule="auto"/>
              <w:jc w:val="center"/>
              <w:textAlignment w:val="baseline"/>
              <w:rPr>
                <w:rFonts w:hint="eastAsia" w:ascii="宋体" w:hAnsi="宋体" w:eastAsia="宋体" w:cs="宋体"/>
                <w:b/>
                <w:caps/>
                <w:color w:val="auto"/>
                <w:sz w:val="24"/>
                <w:szCs w:val="24"/>
                <w:highlight w:val="none"/>
              </w:rPr>
            </w:pPr>
            <w:r>
              <w:rPr>
                <w:rFonts w:hint="eastAsia" w:ascii="宋体" w:hAnsi="宋体" w:eastAsia="宋体" w:cs="宋体"/>
                <w:b/>
                <w:caps/>
                <w:color w:val="auto"/>
                <w:sz w:val="24"/>
                <w:szCs w:val="24"/>
                <w:highlight w:val="none"/>
              </w:rPr>
              <w:t>评审标准</w:t>
            </w:r>
          </w:p>
        </w:tc>
      </w:tr>
      <w:tr w14:paraId="34930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8" w:hRule="atLeast"/>
          <w:jc w:val="center"/>
        </w:trPr>
        <w:tc>
          <w:tcPr>
            <w:tcW w:w="1024" w:type="dxa"/>
            <w:vAlign w:val="center"/>
          </w:tcPr>
          <w:p w14:paraId="58F20D47">
            <w:pPr>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2341" w:type="dxa"/>
            <w:vAlign w:val="center"/>
          </w:tcPr>
          <w:p w14:paraId="127DB937">
            <w:pPr>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响应文件签署、盖章</w:t>
            </w:r>
          </w:p>
        </w:tc>
        <w:tc>
          <w:tcPr>
            <w:tcW w:w="6234" w:type="dxa"/>
            <w:vAlign w:val="center"/>
          </w:tcPr>
          <w:p w14:paraId="7B247352">
            <w:pPr>
              <w:snapToGrid w:val="0"/>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签署、盖章符合磋商文件要求，且无遗漏</w:t>
            </w:r>
          </w:p>
        </w:tc>
      </w:tr>
      <w:tr w14:paraId="28EFF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8" w:hRule="atLeast"/>
          <w:jc w:val="center"/>
        </w:trPr>
        <w:tc>
          <w:tcPr>
            <w:tcW w:w="1024" w:type="dxa"/>
            <w:vAlign w:val="center"/>
          </w:tcPr>
          <w:p w14:paraId="23D6BF62">
            <w:pPr>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tc>
        <w:tc>
          <w:tcPr>
            <w:tcW w:w="2341" w:type="dxa"/>
            <w:vAlign w:val="center"/>
          </w:tcPr>
          <w:p w14:paraId="71EBDB10">
            <w:pPr>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响应文件有效期</w:t>
            </w:r>
          </w:p>
        </w:tc>
        <w:tc>
          <w:tcPr>
            <w:tcW w:w="6234" w:type="dxa"/>
            <w:vAlign w:val="center"/>
          </w:tcPr>
          <w:p w14:paraId="0F1F4125">
            <w:pPr>
              <w:snapToGrid w:val="0"/>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符合磋商文件的要求</w:t>
            </w:r>
          </w:p>
        </w:tc>
      </w:tr>
      <w:tr w14:paraId="4BE1C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22" w:hRule="atLeast"/>
          <w:jc w:val="center"/>
        </w:trPr>
        <w:tc>
          <w:tcPr>
            <w:tcW w:w="1024" w:type="dxa"/>
            <w:vAlign w:val="center"/>
          </w:tcPr>
          <w:p w14:paraId="6D59A794">
            <w:pPr>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p>
        </w:tc>
        <w:tc>
          <w:tcPr>
            <w:tcW w:w="2341" w:type="dxa"/>
            <w:vAlign w:val="center"/>
          </w:tcPr>
          <w:p w14:paraId="3F21CB04">
            <w:pPr>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首次磋商报价</w:t>
            </w:r>
          </w:p>
        </w:tc>
        <w:tc>
          <w:tcPr>
            <w:tcW w:w="6234" w:type="dxa"/>
            <w:vAlign w:val="center"/>
          </w:tcPr>
          <w:p w14:paraId="7544730A">
            <w:pPr>
              <w:snapToGrid w:val="0"/>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同时满足以下条款：（1）磋商报价符合唯一性要求；（2）磋商报价未超过采购预算且没有被磋商小组认定为不合理低价</w:t>
            </w:r>
          </w:p>
        </w:tc>
      </w:tr>
      <w:tr w14:paraId="575A3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8" w:hRule="atLeast"/>
          <w:jc w:val="center"/>
        </w:trPr>
        <w:tc>
          <w:tcPr>
            <w:tcW w:w="1024" w:type="dxa"/>
            <w:vAlign w:val="center"/>
          </w:tcPr>
          <w:p w14:paraId="0BAA58B3">
            <w:pPr>
              <w:snapToGrid w:val="0"/>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w:t>
            </w:r>
          </w:p>
        </w:tc>
        <w:tc>
          <w:tcPr>
            <w:tcW w:w="2341" w:type="dxa"/>
            <w:vAlign w:val="center"/>
          </w:tcPr>
          <w:p w14:paraId="1E9A3FE9">
            <w:pPr>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实质性条款响应</w:t>
            </w:r>
          </w:p>
        </w:tc>
        <w:tc>
          <w:tcPr>
            <w:tcW w:w="6234" w:type="dxa"/>
            <w:vAlign w:val="center"/>
          </w:tcPr>
          <w:p w14:paraId="4F735BFD">
            <w:pPr>
              <w:snapToGrid w:val="0"/>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完全响应磋商文件要求的各项技术/服务/商务实质性条款</w:t>
            </w:r>
          </w:p>
        </w:tc>
      </w:tr>
      <w:tr w14:paraId="671BD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37" w:hRule="atLeast"/>
          <w:jc w:val="center"/>
        </w:trPr>
        <w:tc>
          <w:tcPr>
            <w:tcW w:w="1024" w:type="dxa"/>
            <w:vAlign w:val="center"/>
          </w:tcPr>
          <w:p w14:paraId="1D531828">
            <w:pPr>
              <w:snapToGrid w:val="0"/>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w:t>
            </w:r>
          </w:p>
        </w:tc>
        <w:tc>
          <w:tcPr>
            <w:tcW w:w="2341" w:type="dxa"/>
            <w:vAlign w:val="center"/>
          </w:tcPr>
          <w:p w14:paraId="47F2B933">
            <w:pPr>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其他无效情形</w:t>
            </w:r>
          </w:p>
        </w:tc>
        <w:tc>
          <w:tcPr>
            <w:tcW w:w="6234" w:type="dxa"/>
            <w:vAlign w:val="center"/>
          </w:tcPr>
          <w:p w14:paraId="1E117C7C">
            <w:pPr>
              <w:snapToGrid w:val="0"/>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完全理解并接受法律法规和磋商文件对供应商的各项须知、规定要求和责任义务，没有出现法律法规或磋商文件明确规定的其它被视为无效响应的情形</w:t>
            </w:r>
          </w:p>
        </w:tc>
      </w:tr>
    </w:tbl>
    <w:p w14:paraId="5BCF5AA8">
      <w:pPr>
        <w:tabs>
          <w:tab w:val="left" w:pos="1260"/>
          <w:tab w:val="left" w:pos="1620"/>
        </w:tabs>
        <w:adjustRightInd w:val="0"/>
        <w:spacing w:line="360" w:lineRule="auto"/>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注1、有下列情形之一的，视为供应商相互串通：</w:t>
      </w:r>
    </w:p>
    <w:p w14:paraId="515A06D3">
      <w:pPr>
        <w:tabs>
          <w:tab w:val="left" w:pos="1260"/>
          <w:tab w:val="left" w:pos="1620"/>
        </w:tabs>
        <w:adjustRightInd w:val="0"/>
        <w:spacing w:line="360" w:lineRule="auto"/>
        <w:jc w:val="left"/>
        <w:textAlignment w:val="baseline"/>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（1）不同供应商的响应文件由同一单位或者个人编制；</w:t>
      </w:r>
    </w:p>
    <w:p w14:paraId="583D261C">
      <w:pPr>
        <w:tabs>
          <w:tab w:val="left" w:pos="1260"/>
          <w:tab w:val="left" w:pos="1620"/>
        </w:tabs>
        <w:adjustRightInd w:val="0"/>
        <w:spacing w:line="360" w:lineRule="auto"/>
        <w:jc w:val="left"/>
        <w:textAlignment w:val="baseline"/>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（2）不同供应商委托同一单位或者个人办理参与磋商事宜；</w:t>
      </w:r>
    </w:p>
    <w:p w14:paraId="082C9E55">
      <w:pPr>
        <w:tabs>
          <w:tab w:val="left" w:pos="1260"/>
          <w:tab w:val="left" w:pos="1620"/>
        </w:tabs>
        <w:adjustRightInd w:val="0"/>
        <w:spacing w:line="360" w:lineRule="auto"/>
        <w:jc w:val="left"/>
        <w:textAlignment w:val="baseline"/>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（3）不同供应商的响应文件载明的项目管理成员或者联系人员为同一人；</w:t>
      </w:r>
    </w:p>
    <w:p w14:paraId="6446AC68">
      <w:pPr>
        <w:tabs>
          <w:tab w:val="left" w:pos="1260"/>
          <w:tab w:val="left" w:pos="1620"/>
        </w:tabs>
        <w:adjustRightInd w:val="0"/>
        <w:spacing w:line="360" w:lineRule="auto"/>
        <w:jc w:val="left"/>
        <w:textAlignment w:val="baseline"/>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（4）不同供应商的响应文件异常一致或者报价呈规律性差异；</w:t>
      </w:r>
    </w:p>
    <w:p w14:paraId="4A8B9CB0">
      <w:pPr>
        <w:tabs>
          <w:tab w:val="left" w:pos="1260"/>
          <w:tab w:val="left" w:pos="1620"/>
        </w:tabs>
        <w:adjustRightInd w:val="0"/>
        <w:spacing w:line="360" w:lineRule="auto"/>
        <w:jc w:val="left"/>
        <w:textAlignment w:val="baseline"/>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2、有下列情形之一的，属于提供虚假材料谋取成交的行为：</w:t>
      </w:r>
    </w:p>
    <w:p w14:paraId="6DD2CD73">
      <w:pPr>
        <w:tabs>
          <w:tab w:val="left" w:pos="1260"/>
          <w:tab w:val="left" w:pos="1620"/>
        </w:tabs>
        <w:adjustRightInd w:val="0"/>
        <w:spacing w:line="360" w:lineRule="auto"/>
        <w:jc w:val="left"/>
        <w:textAlignment w:val="baseline"/>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（1）使用伪造、变造的许可证件；</w:t>
      </w:r>
    </w:p>
    <w:p w14:paraId="7EAFA3CA">
      <w:pPr>
        <w:tabs>
          <w:tab w:val="left" w:pos="1260"/>
          <w:tab w:val="left" w:pos="1620"/>
        </w:tabs>
        <w:adjustRightInd w:val="0"/>
        <w:spacing w:line="360" w:lineRule="auto"/>
        <w:jc w:val="left"/>
        <w:textAlignment w:val="baseline"/>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（2）提供虚假的财务状况或者业绩；</w:t>
      </w:r>
    </w:p>
    <w:p w14:paraId="32BA699C">
      <w:pPr>
        <w:tabs>
          <w:tab w:val="left" w:pos="1260"/>
          <w:tab w:val="left" w:pos="1620"/>
        </w:tabs>
        <w:adjustRightInd w:val="0"/>
        <w:spacing w:line="360" w:lineRule="auto"/>
        <w:jc w:val="left"/>
        <w:textAlignment w:val="baseline"/>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（3）提供虚假的项目负责人或者主要技术人员简历、劳动关系证明；</w:t>
      </w:r>
    </w:p>
    <w:p w14:paraId="3C6E729D">
      <w:pPr>
        <w:tabs>
          <w:tab w:val="left" w:pos="1260"/>
          <w:tab w:val="left" w:pos="1620"/>
        </w:tabs>
        <w:adjustRightInd w:val="0"/>
        <w:spacing w:line="360" w:lineRule="auto"/>
        <w:jc w:val="left"/>
        <w:textAlignment w:val="baseline"/>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（4）提供虚假的信用状况；</w:t>
      </w:r>
    </w:p>
    <w:p w14:paraId="14839E67">
      <w:pPr>
        <w:tabs>
          <w:tab w:val="left" w:pos="1260"/>
          <w:tab w:val="left" w:pos="1620"/>
        </w:tabs>
        <w:adjustRightInd w:val="0"/>
        <w:spacing w:line="360" w:lineRule="auto"/>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val="0"/>
          <w:bCs/>
          <w:color w:val="auto"/>
          <w:sz w:val="24"/>
          <w:szCs w:val="24"/>
          <w:highlight w:val="none"/>
        </w:rPr>
        <w:t>（5）其他弄虚作假的行为。</w:t>
      </w:r>
      <w:bookmarkStart w:id="399" w:name="_Toc7005048"/>
      <w:bookmarkStart w:id="400" w:name="_Toc410631198"/>
      <w:bookmarkStart w:id="401" w:name="_Toc414446034"/>
    </w:p>
    <w:p w14:paraId="545A3C8E">
      <w:pPr>
        <w:tabs>
          <w:tab w:val="left" w:pos="1260"/>
          <w:tab w:val="left" w:pos="1620"/>
        </w:tabs>
        <w:adjustRightInd w:val="0"/>
        <w:spacing w:line="360" w:lineRule="auto"/>
        <w:jc w:val="center"/>
        <w:textAlignment w:val="baseline"/>
        <w:rPr>
          <w:rFonts w:hint="eastAsia" w:ascii="宋体" w:hAnsi="宋体" w:eastAsia="宋体" w:cs="宋体"/>
          <w:b/>
          <w:color w:val="auto"/>
          <w:sz w:val="24"/>
          <w:szCs w:val="24"/>
          <w:highlight w:val="none"/>
        </w:rPr>
      </w:pPr>
    </w:p>
    <w:p w14:paraId="70E8BFF3">
      <w:pPr>
        <w:tabs>
          <w:tab w:val="left" w:pos="1260"/>
          <w:tab w:val="left" w:pos="1620"/>
        </w:tabs>
        <w:adjustRightInd w:val="0"/>
        <w:spacing w:line="360" w:lineRule="auto"/>
        <w:jc w:val="center"/>
        <w:textAlignment w:val="baseline"/>
        <w:rPr>
          <w:rFonts w:hint="eastAsia" w:ascii="宋体" w:hAnsi="宋体" w:eastAsia="宋体" w:cs="宋体"/>
          <w:b/>
          <w:color w:val="auto"/>
          <w:sz w:val="24"/>
          <w:szCs w:val="24"/>
          <w:highlight w:val="none"/>
        </w:rPr>
      </w:pPr>
    </w:p>
    <w:p w14:paraId="29C6A3BE">
      <w:pPr>
        <w:tabs>
          <w:tab w:val="left" w:pos="1260"/>
          <w:tab w:val="left" w:pos="1620"/>
        </w:tabs>
        <w:adjustRightInd w:val="0"/>
        <w:spacing w:line="360" w:lineRule="auto"/>
        <w:jc w:val="center"/>
        <w:textAlignment w:val="baseline"/>
        <w:rPr>
          <w:rFonts w:hint="eastAsia" w:ascii="宋体" w:hAnsi="宋体" w:eastAsia="宋体" w:cs="宋体"/>
          <w:b/>
          <w:color w:val="auto"/>
          <w:sz w:val="24"/>
          <w:szCs w:val="24"/>
          <w:highlight w:val="none"/>
        </w:rPr>
      </w:pPr>
    </w:p>
    <w:p w14:paraId="20F189C2">
      <w:pPr>
        <w:tabs>
          <w:tab w:val="left" w:pos="1260"/>
          <w:tab w:val="left" w:pos="1620"/>
        </w:tabs>
        <w:adjustRightInd w:val="0"/>
        <w:spacing w:line="360" w:lineRule="auto"/>
        <w:jc w:val="center"/>
        <w:textAlignment w:val="baseline"/>
        <w:rPr>
          <w:rFonts w:hint="eastAsia" w:ascii="宋体" w:hAnsi="宋体" w:eastAsia="宋体" w:cs="宋体"/>
          <w:b/>
          <w:color w:val="auto"/>
          <w:sz w:val="24"/>
          <w:szCs w:val="24"/>
          <w:highlight w:val="none"/>
        </w:rPr>
      </w:pPr>
    </w:p>
    <w:p w14:paraId="68CE9BDA">
      <w:pPr>
        <w:tabs>
          <w:tab w:val="left" w:pos="1260"/>
          <w:tab w:val="left" w:pos="1620"/>
        </w:tabs>
        <w:adjustRightInd w:val="0"/>
        <w:spacing w:line="360" w:lineRule="auto"/>
        <w:jc w:val="center"/>
        <w:textAlignment w:val="baseline"/>
        <w:rPr>
          <w:rFonts w:hint="eastAsia" w:ascii="宋体" w:hAnsi="宋体" w:eastAsia="宋体" w:cs="宋体"/>
          <w:b/>
          <w:color w:val="auto"/>
          <w:sz w:val="24"/>
          <w:szCs w:val="24"/>
          <w:highlight w:val="none"/>
        </w:rPr>
      </w:pPr>
    </w:p>
    <w:p w14:paraId="7E68654D">
      <w:pPr>
        <w:tabs>
          <w:tab w:val="left" w:pos="1260"/>
          <w:tab w:val="left" w:pos="1620"/>
        </w:tabs>
        <w:adjustRightInd w:val="0"/>
        <w:spacing w:line="360" w:lineRule="auto"/>
        <w:jc w:val="both"/>
        <w:textAlignment w:val="baseline"/>
        <w:rPr>
          <w:rFonts w:hint="eastAsia" w:ascii="宋体" w:hAnsi="宋体" w:eastAsia="宋体" w:cs="宋体"/>
          <w:b/>
          <w:color w:val="auto"/>
          <w:sz w:val="24"/>
          <w:szCs w:val="24"/>
          <w:highlight w:val="none"/>
        </w:rPr>
      </w:pPr>
    </w:p>
    <w:p w14:paraId="408EB476">
      <w:pPr>
        <w:tabs>
          <w:tab w:val="left" w:pos="1260"/>
          <w:tab w:val="left" w:pos="1620"/>
        </w:tabs>
        <w:adjustRightInd w:val="0"/>
        <w:spacing w:line="360" w:lineRule="auto"/>
        <w:jc w:val="center"/>
        <w:textAlignment w:val="baseline"/>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附表三 商务和技术评审因素及分值分配表</w:t>
      </w:r>
      <w:bookmarkEnd w:id="399"/>
      <w:bookmarkEnd w:id="400"/>
      <w:bookmarkEnd w:id="401"/>
    </w:p>
    <w:p w14:paraId="2E1CF2D4">
      <w:pPr>
        <w:tabs>
          <w:tab w:val="left" w:pos="-94"/>
          <w:tab w:val="left" w:pos="1620"/>
        </w:tabs>
        <w:adjustRightInd w:val="0"/>
        <w:spacing w:line="240" w:lineRule="auto"/>
        <w:ind w:left="23" w:leftChars="11"/>
        <w:jc w:val="center"/>
        <w:textAlignment w:val="baseline"/>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 xml:space="preserve">（满分 </w:t>
      </w:r>
      <w:r>
        <w:rPr>
          <w:rFonts w:hint="eastAsia" w:ascii="宋体" w:hAnsi="宋体" w:eastAsia="宋体" w:cs="宋体"/>
          <w:color w:val="auto"/>
          <w:sz w:val="24"/>
          <w:szCs w:val="24"/>
          <w:highlight w:val="none"/>
          <w:lang w:val="en-US" w:eastAsia="zh-CN"/>
        </w:rPr>
        <w:t>100</w:t>
      </w:r>
      <w:r>
        <w:rPr>
          <w:rFonts w:hint="eastAsia" w:ascii="宋体" w:hAnsi="宋体" w:eastAsia="宋体" w:cs="宋体"/>
          <w:color w:val="auto"/>
          <w:sz w:val="24"/>
          <w:szCs w:val="24"/>
          <w:highlight w:val="none"/>
        </w:rPr>
        <w:t xml:space="preserve"> 分）</w:t>
      </w:r>
    </w:p>
    <w:tbl>
      <w:tblPr>
        <w:tblStyle w:val="35"/>
        <w:tblW w:w="9238" w:type="dxa"/>
        <w:tblInd w:w="7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3"/>
        <w:gridCol w:w="1308"/>
        <w:gridCol w:w="959"/>
        <w:gridCol w:w="6268"/>
      </w:tblGrid>
      <w:tr w14:paraId="694F00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7" w:hRule="atLeast"/>
        </w:trPr>
        <w:tc>
          <w:tcPr>
            <w:tcW w:w="703" w:type="dxa"/>
            <w:vAlign w:val="top"/>
          </w:tcPr>
          <w:p w14:paraId="34C4A465">
            <w:pPr>
              <w:spacing w:line="240" w:lineRule="auto"/>
              <w:rPr>
                <w:rFonts w:hint="eastAsia" w:ascii="宋体" w:hAnsi="宋体" w:eastAsia="宋体" w:cs="宋体"/>
                <w:sz w:val="24"/>
                <w:szCs w:val="24"/>
                <w:highlight w:val="none"/>
              </w:rPr>
            </w:pPr>
          </w:p>
          <w:p w14:paraId="50D81255">
            <w:pPr>
              <w:pStyle w:val="36"/>
              <w:spacing w:before="78" w:line="240" w:lineRule="auto"/>
              <w:ind w:left="138"/>
              <w:rPr>
                <w:rFonts w:hint="eastAsia" w:ascii="宋体" w:hAnsi="宋体" w:eastAsia="宋体" w:cs="宋体"/>
                <w:sz w:val="24"/>
                <w:szCs w:val="24"/>
                <w:highlight w:val="none"/>
              </w:rPr>
            </w:pPr>
            <w:r>
              <w:rPr>
                <w:rFonts w:hint="eastAsia" w:ascii="宋体" w:hAnsi="宋体" w:eastAsia="宋体" w:cs="宋体"/>
                <w:spacing w:val="-4"/>
                <w:sz w:val="24"/>
                <w:szCs w:val="24"/>
                <w:highlight w:val="none"/>
                <w14:textOutline w14:w="4354" w14:cap="flat" w14:cmpd="sng">
                  <w14:solidFill>
                    <w14:srgbClr w14:val="000000"/>
                  </w14:solidFill>
                  <w14:prstDash w14:val="solid"/>
                  <w14:miter w14:val="0"/>
                </w14:textOutline>
              </w:rPr>
              <w:t>序号</w:t>
            </w:r>
          </w:p>
        </w:tc>
        <w:tc>
          <w:tcPr>
            <w:tcW w:w="1308" w:type="dxa"/>
            <w:vAlign w:val="top"/>
          </w:tcPr>
          <w:p w14:paraId="5C155CD1">
            <w:pPr>
              <w:pStyle w:val="36"/>
              <w:spacing w:before="302" w:line="240" w:lineRule="auto"/>
              <w:ind w:left="320" w:right="158" w:hanging="124"/>
              <w:rPr>
                <w:rFonts w:hint="eastAsia" w:ascii="宋体" w:hAnsi="宋体" w:eastAsia="宋体" w:cs="宋体"/>
                <w:sz w:val="24"/>
                <w:szCs w:val="24"/>
                <w:highlight w:val="none"/>
              </w:rPr>
            </w:pPr>
            <w:r>
              <w:rPr>
                <w:rFonts w:hint="eastAsia" w:ascii="宋体" w:hAnsi="宋体" w:eastAsia="宋体" w:cs="宋体"/>
                <w:spacing w:val="-4"/>
                <w:sz w:val="24"/>
                <w:szCs w:val="24"/>
                <w:highlight w:val="none"/>
                <w14:textOutline w14:w="4354" w14:cap="flat" w14:cmpd="sng">
                  <w14:solidFill>
                    <w14:srgbClr w14:val="000000"/>
                  </w14:solidFill>
                  <w14:prstDash w14:val="solid"/>
                  <w14:miter w14:val="0"/>
                </w14:textOutline>
              </w:rPr>
              <w:t>评分因素</w:t>
            </w:r>
            <w:r>
              <w:rPr>
                <w:rFonts w:hint="eastAsia" w:ascii="宋体" w:hAnsi="宋体" w:eastAsia="宋体" w:cs="宋体"/>
                <w:spacing w:val="2"/>
                <w:sz w:val="24"/>
                <w:szCs w:val="24"/>
                <w:highlight w:val="none"/>
              </w:rPr>
              <w:t xml:space="preserve"> </w:t>
            </w:r>
            <w:r>
              <w:rPr>
                <w:rFonts w:hint="eastAsia" w:ascii="宋体" w:hAnsi="宋体" w:eastAsia="宋体" w:cs="宋体"/>
                <w:spacing w:val="-6"/>
                <w:sz w:val="24"/>
                <w:szCs w:val="24"/>
                <w:highlight w:val="none"/>
                <w14:textOutline w14:w="4354" w14:cap="flat" w14:cmpd="sng">
                  <w14:solidFill>
                    <w14:srgbClr w14:val="000000"/>
                  </w14:solidFill>
                  <w14:prstDash w14:val="solid"/>
                  <w14:miter w14:val="0"/>
                </w14:textOutline>
              </w:rPr>
              <w:t>及权重</w:t>
            </w:r>
          </w:p>
        </w:tc>
        <w:tc>
          <w:tcPr>
            <w:tcW w:w="959" w:type="dxa"/>
            <w:vAlign w:val="top"/>
          </w:tcPr>
          <w:p w14:paraId="5CC7D6E1">
            <w:pPr>
              <w:spacing w:line="240" w:lineRule="auto"/>
              <w:rPr>
                <w:rFonts w:hint="eastAsia" w:ascii="宋体" w:hAnsi="宋体" w:eastAsia="宋体" w:cs="宋体"/>
                <w:sz w:val="24"/>
                <w:szCs w:val="24"/>
                <w:highlight w:val="none"/>
              </w:rPr>
            </w:pPr>
          </w:p>
          <w:p w14:paraId="64EBFF38">
            <w:pPr>
              <w:pStyle w:val="36"/>
              <w:spacing w:before="78" w:line="240" w:lineRule="auto"/>
              <w:ind w:left="264"/>
              <w:rPr>
                <w:rFonts w:hint="eastAsia" w:ascii="宋体" w:hAnsi="宋体" w:eastAsia="宋体" w:cs="宋体"/>
                <w:sz w:val="24"/>
                <w:szCs w:val="24"/>
                <w:highlight w:val="none"/>
              </w:rPr>
            </w:pPr>
            <w:r>
              <w:rPr>
                <w:rFonts w:hint="eastAsia" w:ascii="宋体" w:hAnsi="宋体" w:eastAsia="宋体" w:cs="宋体"/>
                <w:spacing w:val="-5"/>
                <w:sz w:val="24"/>
                <w:szCs w:val="24"/>
                <w:highlight w:val="none"/>
                <w14:textOutline w14:w="4354" w14:cap="flat" w14:cmpd="sng">
                  <w14:solidFill>
                    <w14:srgbClr w14:val="000000"/>
                  </w14:solidFill>
                  <w14:prstDash w14:val="solid"/>
                  <w14:miter w14:val="0"/>
                </w14:textOutline>
              </w:rPr>
              <w:t>分值</w:t>
            </w:r>
          </w:p>
        </w:tc>
        <w:tc>
          <w:tcPr>
            <w:tcW w:w="6268" w:type="dxa"/>
            <w:vAlign w:val="top"/>
          </w:tcPr>
          <w:p w14:paraId="1D6C3BE5">
            <w:pPr>
              <w:spacing w:line="240" w:lineRule="auto"/>
              <w:rPr>
                <w:rFonts w:hint="eastAsia" w:ascii="宋体" w:hAnsi="宋体" w:eastAsia="宋体" w:cs="宋体"/>
                <w:sz w:val="24"/>
                <w:szCs w:val="24"/>
                <w:highlight w:val="none"/>
              </w:rPr>
            </w:pPr>
          </w:p>
          <w:p w14:paraId="20C3DDD5">
            <w:pPr>
              <w:pStyle w:val="36"/>
              <w:spacing w:before="78" w:line="240" w:lineRule="auto"/>
              <w:ind w:left="2404"/>
              <w:rPr>
                <w:rFonts w:hint="eastAsia" w:ascii="宋体" w:hAnsi="宋体" w:eastAsia="宋体" w:cs="宋体"/>
                <w:sz w:val="24"/>
                <w:szCs w:val="24"/>
                <w:highlight w:val="none"/>
              </w:rPr>
            </w:pPr>
            <w:r>
              <w:rPr>
                <w:rFonts w:hint="eastAsia" w:ascii="宋体" w:hAnsi="宋体" w:eastAsia="宋体" w:cs="宋体"/>
                <w:spacing w:val="-4"/>
                <w:sz w:val="24"/>
                <w:szCs w:val="24"/>
                <w:highlight w:val="none"/>
                <w14:textOutline w14:w="4354" w14:cap="flat" w14:cmpd="sng">
                  <w14:solidFill>
                    <w14:srgbClr w14:val="000000"/>
                  </w14:solidFill>
                  <w14:prstDash w14:val="solid"/>
                  <w14:miter w14:val="0"/>
                </w14:textOutline>
              </w:rPr>
              <w:t>评分标准</w:t>
            </w:r>
          </w:p>
        </w:tc>
      </w:tr>
      <w:tr w14:paraId="6EFB8E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03" w:type="dxa"/>
            <w:vAlign w:val="top"/>
          </w:tcPr>
          <w:p w14:paraId="14515782">
            <w:pPr>
              <w:spacing w:line="240" w:lineRule="auto"/>
              <w:jc w:val="center"/>
              <w:rPr>
                <w:rFonts w:hint="eastAsia" w:ascii="宋体" w:hAnsi="宋体" w:eastAsia="宋体" w:cs="宋体"/>
                <w:sz w:val="24"/>
                <w:szCs w:val="24"/>
                <w:highlight w:val="none"/>
              </w:rPr>
            </w:pPr>
          </w:p>
          <w:p w14:paraId="3E4DFC84">
            <w:pPr>
              <w:spacing w:line="240" w:lineRule="auto"/>
              <w:jc w:val="center"/>
              <w:rPr>
                <w:rFonts w:hint="eastAsia" w:ascii="宋体" w:hAnsi="宋体" w:eastAsia="宋体" w:cs="宋体"/>
                <w:sz w:val="24"/>
                <w:szCs w:val="24"/>
                <w:highlight w:val="none"/>
              </w:rPr>
            </w:pPr>
          </w:p>
          <w:p w14:paraId="76E6EF05">
            <w:pPr>
              <w:spacing w:line="240" w:lineRule="auto"/>
              <w:jc w:val="center"/>
              <w:rPr>
                <w:rFonts w:hint="eastAsia" w:ascii="宋体" w:hAnsi="宋体" w:eastAsia="宋体" w:cs="宋体"/>
                <w:sz w:val="24"/>
                <w:szCs w:val="24"/>
                <w:highlight w:val="none"/>
              </w:rPr>
            </w:pPr>
          </w:p>
          <w:p w14:paraId="0493360D">
            <w:pPr>
              <w:spacing w:line="240" w:lineRule="auto"/>
              <w:jc w:val="center"/>
              <w:rPr>
                <w:rFonts w:hint="eastAsia" w:ascii="宋体" w:hAnsi="宋体" w:eastAsia="宋体" w:cs="宋体"/>
                <w:sz w:val="24"/>
                <w:szCs w:val="24"/>
                <w:highlight w:val="none"/>
              </w:rPr>
            </w:pPr>
          </w:p>
          <w:p w14:paraId="5F16B157">
            <w:pPr>
              <w:spacing w:line="240" w:lineRule="auto"/>
              <w:jc w:val="center"/>
              <w:rPr>
                <w:rFonts w:hint="eastAsia" w:ascii="宋体" w:hAnsi="宋体" w:eastAsia="宋体" w:cs="宋体"/>
                <w:sz w:val="24"/>
                <w:szCs w:val="24"/>
                <w:highlight w:val="none"/>
              </w:rPr>
            </w:pPr>
          </w:p>
          <w:p w14:paraId="38D384A5">
            <w:pPr>
              <w:spacing w:line="240" w:lineRule="auto"/>
              <w:jc w:val="center"/>
              <w:rPr>
                <w:rFonts w:hint="eastAsia" w:ascii="宋体" w:hAnsi="宋体" w:eastAsia="宋体" w:cs="宋体"/>
                <w:sz w:val="24"/>
                <w:szCs w:val="24"/>
                <w:highlight w:val="none"/>
              </w:rPr>
            </w:pPr>
          </w:p>
          <w:p w14:paraId="6877BEA5">
            <w:pPr>
              <w:spacing w:line="240" w:lineRule="auto"/>
              <w:jc w:val="center"/>
              <w:rPr>
                <w:rFonts w:hint="eastAsia" w:ascii="宋体" w:hAnsi="宋体" w:eastAsia="宋体" w:cs="宋体"/>
                <w:sz w:val="24"/>
                <w:szCs w:val="24"/>
                <w:highlight w:val="none"/>
              </w:rPr>
            </w:pPr>
          </w:p>
          <w:p w14:paraId="587F2910">
            <w:pPr>
              <w:spacing w:line="240" w:lineRule="auto"/>
              <w:jc w:val="center"/>
              <w:rPr>
                <w:rFonts w:hint="eastAsia" w:ascii="宋体" w:hAnsi="宋体" w:eastAsia="宋体" w:cs="宋体"/>
                <w:sz w:val="24"/>
                <w:szCs w:val="24"/>
                <w:highlight w:val="none"/>
              </w:rPr>
            </w:pPr>
          </w:p>
          <w:p w14:paraId="17CC3B47">
            <w:pPr>
              <w:pStyle w:val="36"/>
              <w:spacing w:before="78" w:line="240" w:lineRule="auto"/>
              <w:ind w:left="328"/>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308" w:type="dxa"/>
            <w:vAlign w:val="top"/>
          </w:tcPr>
          <w:p w14:paraId="3E7B74A0">
            <w:pPr>
              <w:spacing w:line="240" w:lineRule="auto"/>
              <w:jc w:val="center"/>
              <w:rPr>
                <w:rFonts w:hint="eastAsia" w:ascii="宋体" w:hAnsi="宋体" w:eastAsia="宋体" w:cs="宋体"/>
                <w:sz w:val="24"/>
                <w:szCs w:val="24"/>
                <w:highlight w:val="none"/>
              </w:rPr>
            </w:pPr>
          </w:p>
          <w:p w14:paraId="0207BE81">
            <w:pPr>
              <w:spacing w:line="240" w:lineRule="auto"/>
              <w:jc w:val="center"/>
              <w:rPr>
                <w:rFonts w:hint="eastAsia" w:ascii="宋体" w:hAnsi="宋体" w:eastAsia="宋体" w:cs="宋体"/>
                <w:sz w:val="24"/>
                <w:szCs w:val="24"/>
                <w:highlight w:val="none"/>
              </w:rPr>
            </w:pPr>
          </w:p>
          <w:p w14:paraId="3DE790FC">
            <w:pPr>
              <w:spacing w:line="240" w:lineRule="auto"/>
              <w:jc w:val="center"/>
              <w:rPr>
                <w:rFonts w:hint="eastAsia" w:ascii="宋体" w:hAnsi="宋体" w:eastAsia="宋体" w:cs="宋体"/>
                <w:sz w:val="24"/>
                <w:szCs w:val="24"/>
                <w:highlight w:val="none"/>
              </w:rPr>
            </w:pPr>
          </w:p>
          <w:p w14:paraId="5CCB5B3D">
            <w:pPr>
              <w:spacing w:line="240" w:lineRule="auto"/>
              <w:jc w:val="center"/>
              <w:rPr>
                <w:rFonts w:hint="eastAsia" w:ascii="宋体" w:hAnsi="宋体" w:eastAsia="宋体" w:cs="宋体"/>
                <w:sz w:val="24"/>
                <w:szCs w:val="24"/>
                <w:highlight w:val="none"/>
              </w:rPr>
            </w:pPr>
          </w:p>
          <w:p w14:paraId="48513741">
            <w:pPr>
              <w:spacing w:line="240" w:lineRule="auto"/>
              <w:jc w:val="center"/>
              <w:rPr>
                <w:rFonts w:hint="eastAsia" w:ascii="宋体" w:hAnsi="宋体" w:eastAsia="宋体" w:cs="宋体"/>
                <w:sz w:val="24"/>
                <w:szCs w:val="24"/>
                <w:highlight w:val="none"/>
              </w:rPr>
            </w:pPr>
          </w:p>
          <w:p w14:paraId="3215B1B5">
            <w:pPr>
              <w:spacing w:line="240" w:lineRule="auto"/>
              <w:jc w:val="center"/>
              <w:rPr>
                <w:rFonts w:hint="eastAsia" w:ascii="宋体" w:hAnsi="宋体" w:eastAsia="宋体" w:cs="宋体"/>
                <w:sz w:val="24"/>
                <w:szCs w:val="24"/>
                <w:highlight w:val="none"/>
              </w:rPr>
            </w:pPr>
          </w:p>
          <w:p w14:paraId="1454E434">
            <w:pPr>
              <w:spacing w:line="240" w:lineRule="auto"/>
              <w:jc w:val="center"/>
              <w:rPr>
                <w:rFonts w:hint="eastAsia" w:ascii="宋体" w:hAnsi="宋体" w:eastAsia="宋体" w:cs="宋体"/>
                <w:sz w:val="24"/>
                <w:szCs w:val="24"/>
                <w:highlight w:val="none"/>
              </w:rPr>
            </w:pPr>
          </w:p>
          <w:p w14:paraId="30BFA6CF">
            <w:pPr>
              <w:spacing w:line="240" w:lineRule="auto"/>
              <w:jc w:val="center"/>
              <w:rPr>
                <w:rFonts w:hint="eastAsia" w:ascii="宋体" w:hAnsi="宋体" w:eastAsia="宋体" w:cs="宋体"/>
                <w:sz w:val="24"/>
                <w:szCs w:val="24"/>
                <w:highlight w:val="none"/>
              </w:rPr>
            </w:pPr>
          </w:p>
          <w:p w14:paraId="158BB91D">
            <w:pPr>
              <w:pStyle w:val="36"/>
              <w:spacing w:before="78" w:line="240" w:lineRule="auto"/>
              <w:ind w:left="197"/>
              <w:jc w:val="center"/>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磋商报价</w:t>
            </w:r>
          </w:p>
        </w:tc>
        <w:tc>
          <w:tcPr>
            <w:tcW w:w="959" w:type="dxa"/>
            <w:vAlign w:val="top"/>
          </w:tcPr>
          <w:p w14:paraId="3EA9560F">
            <w:pPr>
              <w:spacing w:line="240" w:lineRule="auto"/>
              <w:jc w:val="center"/>
              <w:rPr>
                <w:rFonts w:hint="eastAsia" w:ascii="宋体" w:hAnsi="宋体" w:eastAsia="宋体" w:cs="宋体"/>
                <w:sz w:val="24"/>
                <w:szCs w:val="24"/>
                <w:highlight w:val="none"/>
              </w:rPr>
            </w:pPr>
          </w:p>
          <w:p w14:paraId="3F551802">
            <w:pPr>
              <w:spacing w:line="240" w:lineRule="auto"/>
              <w:jc w:val="center"/>
              <w:rPr>
                <w:rFonts w:hint="eastAsia" w:ascii="宋体" w:hAnsi="宋体" w:eastAsia="宋体" w:cs="宋体"/>
                <w:sz w:val="24"/>
                <w:szCs w:val="24"/>
                <w:highlight w:val="none"/>
              </w:rPr>
            </w:pPr>
          </w:p>
          <w:p w14:paraId="344D3F89">
            <w:pPr>
              <w:spacing w:line="240" w:lineRule="auto"/>
              <w:jc w:val="center"/>
              <w:rPr>
                <w:rFonts w:hint="eastAsia" w:ascii="宋体" w:hAnsi="宋体" w:eastAsia="宋体" w:cs="宋体"/>
                <w:sz w:val="24"/>
                <w:szCs w:val="24"/>
                <w:highlight w:val="none"/>
              </w:rPr>
            </w:pPr>
          </w:p>
          <w:p w14:paraId="58875196">
            <w:pPr>
              <w:spacing w:line="240" w:lineRule="auto"/>
              <w:jc w:val="center"/>
              <w:rPr>
                <w:rFonts w:hint="eastAsia" w:ascii="宋体" w:hAnsi="宋体" w:eastAsia="宋体" w:cs="宋体"/>
                <w:sz w:val="24"/>
                <w:szCs w:val="24"/>
                <w:highlight w:val="none"/>
              </w:rPr>
            </w:pPr>
          </w:p>
          <w:p w14:paraId="54435CE1">
            <w:pPr>
              <w:spacing w:line="240" w:lineRule="auto"/>
              <w:jc w:val="center"/>
              <w:rPr>
                <w:rFonts w:hint="eastAsia" w:ascii="宋体" w:hAnsi="宋体" w:eastAsia="宋体" w:cs="宋体"/>
                <w:sz w:val="24"/>
                <w:szCs w:val="24"/>
                <w:highlight w:val="none"/>
              </w:rPr>
            </w:pPr>
          </w:p>
          <w:p w14:paraId="1D60920C">
            <w:pPr>
              <w:spacing w:line="240" w:lineRule="auto"/>
              <w:jc w:val="center"/>
              <w:rPr>
                <w:rFonts w:hint="eastAsia" w:ascii="宋体" w:hAnsi="宋体" w:eastAsia="宋体" w:cs="宋体"/>
                <w:sz w:val="24"/>
                <w:szCs w:val="24"/>
                <w:highlight w:val="none"/>
              </w:rPr>
            </w:pPr>
          </w:p>
          <w:p w14:paraId="0FC3D745">
            <w:pPr>
              <w:spacing w:line="240" w:lineRule="auto"/>
              <w:jc w:val="center"/>
              <w:rPr>
                <w:rFonts w:hint="eastAsia" w:ascii="宋体" w:hAnsi="宋体" w:eastAsia="宋体" w:cs="宋体"/>
                <w:sz w:val="24"/>
                <w:szCs w:val="24"/>
                <w:highlight w:val="none"/>
              </w:rPr>
            </w:pPr>
          </w:p>
          <w:p w14:paraId="0A2FE311">
            <w:pPr>
              <w:spacing w:line="240" w:lineRule="auto"/>
              <w:jc w:val="center"/>
              <w:rPr>
                <w:rFonts w:hint="eastAsia" w:ascii="宋体" w:hAnsi="宋体" w:eastAsia="宋体" w:cs="宋体"/>
                <w:sz w:val="24"/>
                <w:szCs w:val="24"/>
                <w:highlight w:val="none"/>
              </w:rPr>
            </w:pPr>
          </w:p>
          <w:p w14:paraId="262162FC">
            <w:pPr>
              <w:pStyle w:val="36"/>
              <w:spacing w:before="78" w:line="240" w:lineRule="auto"/>
              <w:ind w:left="228"/>
              <w:jc w:val="center"/>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1</w:t>
            </w:r>
            <w:r>
              <w:rPr>
                <w:rFonts w:hint="eastAsia" w:ascii="宋体" w:hAnsi="宋体" w:eastAsia="宋体" w:cs="宋体"/>
                <w:spacing w:val="-9"/>
                <w:sz w:val="24"/>
                <w:szCs w:val="24"/>
                <w:highlight w:val="none"/>
                <w:lang w:val="en-US" w:eastAsia="zh-CN"/>
              </w:rPr>
              <w:t>0</w:t>
            </w:r>
            <w:r>
              <w:rPr>
                <w:rFonts w:hint="eastAsia" w:ascii="宋体" w:hAnsi="宋体" w:eastAsia="宋体" w:cs="宋体"/>
                <w:spacing w:val="-42"/>
                <w:sz w:val="24"/>
                <w:szCs w:val="24"/>
                <w:highlight w:val="none"/>
              </w:rPr>
              <w:t xml:space="preserve"> </w:t>
            </w:r>
            <w:r>
              <w:rPr>
                <w:rFonts w:hint="eastAsia" w:ascii="宋体" w:hAnsi="宋体" w:eastAsia="宋体" w:cs="宋体"/>
                <w:spacing w:val="-9"/>
                <w:sz w:val="24"/>
                <w:szCs w:val="24"/>
                <w:highlight w:val="none"/>
              </w:rPr>
              <w:t>分</w:t>
            </w:r>
          </w:p>
        </w:tc>
        <w:tc>
          <w:tcPr>
            <w:tcW w:w="6268" w:type="dxa"/>
            <w:vAlign w:val="top"/>
          </w:tcPr>
          <w:p w14:paraId="79B5DDA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1.有效的投标报价中的最低价为评标基准价，按照下列公式计算每个投标人的投标价格得分。</w:t>
            </w:r>
          </w:p>
          <w:p w14:paraId="4D5BB6F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2.投标报价得分＝（评标基准价/投标报价）×1</w:t>
            </w:r>
            <w:r>
              <w:rPr>
                <w:rFonts w:hint="eastAsia" w:ascii="宋体" w:hAnsi="宋体" w:eastAsia="宋体" w:cs="宋体"/>
                <w:sz w:val="24"/>
                <w:szCs w:val="24"/>
                <w:highlight w:val="none"/>
                <w:lang w:val="en-US" w:eastAsia="zh-CN"/>
              </w:rPr>
              <w:t>0</w:t>
            </w:r>
          </w:p>
          <w:p w14:paraId="27B25DC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3.投标报价不完整的，不进入评标基准价的计算，本</w:t>
            </w:r>
          </w:p>
          <w:p w14:paraId="3AE94C3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项得 0 分。</w:t>
            </w:r>
          </w:p>
          <w:p w14:paraId="6DF8DD98">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4.经</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一致认定，</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的总报价低于公认市</w:t>
            </w:r>
          </w:p>
          <w:p w14:paraId="7DC1C03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场成本，或等于及超过采购预算,其投标将被拒绝。</w:t>
            </w:r>
          </w:p>
        </w:tc>
      </w:tr>
      <w:tr w14:paraId="1E7B2A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03" w:type="dxa"/>
            <w:vAlign w:val="top"/>
          </w:tcPr>
          <w:p w14:paraId="1210B1DC">
            <w:pPr>
              <w:spacing w:line="240" w:lineRule="auto"/>
              <w:jc w:val="center"/>
              <w:rPr>
                <w:rFonts w:hint="eastAsia" w:ascii="宋体" w:hAnsi="宋体" w:eastAsia="宋体" w:cs="宋体"/>
                <w:sz w:val="24"/>
                <w:szCs w:val="24"/>
                <w:highlight w:val="none"/>
              </w:rPr>
            </w:pPr>
          </w:p>
          <w:p w14:paraId="594EB6EF">
            <w:pPr>
              <w:spacing w:line="240" w:lineRule="auto"/>
              <w:jc w:val="center"/>
              <w:rPr>
                <w:rFonts w:hint="eastAsia" w:ascii="宋体" w:hAnsi="宋体" w:eastAsia="宋体" w:cs="宋体"/>
                <w:sz w:val="24"/>
                <w:szCs w:val="24"/>
                <w:highlight w:val="none"/>
              </w:rPr>
            </w:pPr>
          </w:p>
          <w:p w14:paraId="06EF3E46">
            <w:pPr>
              <w:spacing w:line="240" w:lineRule="auto"/>
              <w:jc w:val="center"/>
              <w:rPr>
                <w:rFonts w:hint="eastAsia" w:ascii="宋体" w:hAnsi="宋体" w:eastAsia="宋体" w:cs="宋体"/>
                <w:sz w:val="24"/>
                <w:szCs w:val="24"/>
                <w:highlight w:val="none"/>
              </w:rPr>
            </w:pPr>
          </w:p>
          <w:p w14:paraId="507461DE">
            <w:pPr>
              <w:spacing w:line="240" w:lineRule="auto"/>
              <w:jc w:val="center"/>
              <w:rPr>
                <w:rFonts w:hint="eastAsia" w:ascii="宋体" w:hAnsi="宋体" w:eastAsia="宋体" w:cs="宋体"/>
                <w:sz w:val="24"/>
                <w:szCs w:val="24"/>
                <w:highlight w:val="none"/>
              </w:rPr>
            </w:pPr>
          </w:p>
          <w:p w14:paraId="0236D623">
            <w:pPr>
              <w:spacing w:line="240" w:lineRule="auto"/>
              <w:jc w:val="center"/>
              <w:rPr>
                <w:rFonts w:hint="eastAsia" w:ascii="宋体" w:hAnsi="宋体" w:eastAsia="宋体" w:cs="宋体"/>
                <w:sz w:val="24"/>
                <w:szCs w:val="24"/>
                <w:highlight w:val="none"/>
              </w:rPr>
            </w:pPr>
          </w:p>
          <w:p w14:paraId="78C86E8F">
            <w:pPr>
              <w:spacing w:line="240" w:lineRule="auto"/>
              <w:jc w:val="center"/>
              <w:rPr>
                <w:rFonts w:hint="eastAsia" w:ascii="宋体" w:hAnsi="宋体" w:eastAsia="宋体" w:cs="宋体"/>
                <w:sz w:val="24"/>
                <w:szCs w:val="24"/>
                <w:highlight w:val="none"/>
              </w:rPr>
            </w:pPr>
          </w:p>
          <w:p w14:paraId="213187E9">
            <w:pPr>
              <w:spacing w:line="240" w:lineRule="auto"/>
              <w:jc w:val="center"/>
              <w:rPr>
                <w:rFonts w:hint="eastAsia" w:ascii="宋体" w:hAnsi="宋体" w:eastAsia="宋体" w:cs="宋体"/>
                <w:sz w:val="24"/>
                <w:szCs w:val="24"/>
                <w:highlight w:val="none"/>
              </w:rPr>
            </w:pPr>
          </w:p>
          <w:p w14:paraId="3D0ED35A">
            <w:pPr>
              <w:spacing w:line="240" w:lineRule="auto"/>
              <w:jc w:val="center"/>
              <w:rPr>
                <w:rFonts w:hint="eastAsia" w:ascii="宋体" w:hAnsi="宋体" w:eastAsia="宋体" w:cs="宋体"/>
                <w:sz w:val="24"/>
                <w:szCs w:val="24"/>
                <w:highlight w:val="none"/>
              </w:rPr>
            </w:pPr>
          </w:p>
          <w:p w14:paraId="283DFE4D">
            <w:pPr>
              <w:spacing w:line="240" w:lineRule="auto"/>
              <w:jc w:val="center"/>
              <w:rPr>
                <w:rFonts w:hint="eastAsia" w:ascii="宋体" w:hAnsi="宋体" w:eastAsia="宋体" w:cs="宋体"/>
                <w:sz w:val="24"/>
                <w:szCs w:val="24"/>
                <w:highlight w:val="none"/>
              </w:rPr>
            </w:pPr>
          </w:p>
          <w:p w14:paraId="442F0052">
            <w:pPr>
              <w:pStyle w:val="36"/>
              <w:spacing w:before="78" w:line="240" w:lineRule="auto"/>
              <w:ind w:left="3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308" w:type="dxa"/>
            <w:vAlign w:val="top"/>
          </w:tcPr>
          <w:p w14:paraId="300F72C9">
            <w:pPr>
              <w:spacing w:line="240" w:lineRule="auto"/>
              <w:jc w:val="center"/>
              <w:rPr>
                <w:rFonts w:hint="eastAsia" w:ascii="宋体" w:hAnsi="宋体" w:eastAsia="宋体" w:cs="宋体"/>
                <w:sz w:val="24"/>
                <w:szCs w:val="24"/>
                <w:highlight w:val="none"/>
              </w:rPr>
            </w:pPr>
          </w:p>
          <w:p w14:paraId="79D89BC5">
            <w:pPr>
              <w:spacing w:line="240" w:lineRule="auto"/>
              <w:jc w:val="center"/>
              <w:rPr>
                <w:rFonts w:hint="eastAsia" w:ascii="宋体" w:hAnsi="宋体" w:eastAsia="宋体" w:cs="宋体"/>
                <w:sz w:val="24"/>
                <w:szCs w:val="24"/>
                <w:highlight w:val="none"/>
              </w:rPr>
            </w:pPr>
          </w:p>
          <w:p w14:paraId="71758C90">
            <w:pPr>
              <w:spacing w:line="240" w:lineRule="auto"/>
              <w:jc w:val="center"/>
              <w:rPr>
                <w:rFonts w:hint="eastAsia" w:ascii="宋体" w:hAnsi="宋体" w:eastAsia="宋体" w:cs="宋体"/>
                <w:sz w:val="24"/>
                <w:szCs w:val="24"/>
                <w:highlight w:val="none"/>
              </w:rPr>
            </w:pPr>
          </w:p>
          <w:p w14:paraId="474EF5E8">
            <w:pPr>
              <w:spacing w:line="240" w:lineRule="auto"/>
              <w:jc w:val="center"/>
              <w:rPr>
                <w:rFonts w:hint="eastAsia" w:ascii="宋体" w:hAnsi="宋体" w:eastAsia="宋体" w:cs="宋体"/>
                <w:sz w:val="24"/>
                <w:szCs w:val="24"/>
                <w:highlight w:val="none"/>
              </w:rPr>
            </w:pPr>
          </w:p>
          <w:p w14:paraId="305BB5C2">
            <w:pPr>
              <w:spacing w:line="240" w:lineRule="auto"/>
              <w:jc w:val="center"/>
              <w:rPr>
                <w:rFonts w:hint="eastAsia" w:ascii="宋体" w:hAnsi="宋体" w:eastAsia="宋体" w:cs="宋体"/>
                <w:sz w:val="24"/>
                <w:szCs w:val="24"/>
                <w:highlight w:val="none"/>
              </w:rPr>
            </w:pPr>
          </w:p>
          <w:p w14:paraId="7B6F0DBE">
            <w:pPr>
              <w:spacing w:line="240" w:lineRule="auto"/>
              <w:jc w:val="center"/>
              <w:rPr>
                <w:rFonts w:hint="eastAsia" w:ascii="宋体" w:hAnsi="宋体" w:eastAsia="宋体" w:cs="宋体"/>
                <w:sz w:val="24"/>
                <w:szCs w:val="24"/>
                <w:highlight w:val="none"/>
              </w:rPr>
            </w:pPr>
          </w:p>
          <w:p w14:paraId="0C37805A">
            <w:pPr>
              <w:spacing w:line="240" w:lineRule="auto"/>
              <w:jc w:val="center"/>
              <w:rPr>
                <w:rFonts w:hint="eastAsia" w:ascii="宋体" w:hAnsi="宋体" w:eastAsia="宋体" w:cs="宋体"/>
                <w:sz w:val="24"/>
                <w:szCs w:val="24"/>
                <w:highlight w:val="none"/>
              </w:rPr>
            </w:pPr>
          </w:p>
          <w:p w14:paraId="0EA1A797">
            <w:pPr>
              <w:spacing w:line="240" w:lineRule="auto"/>
              <w:jc w:val="center"/>
              <w:rPr>
                <w:rFonts w:hint="eastAsia" w:ascii="宋体" w:hAnsi="宋体" w:eastAsia="宋体" w:cs="宋体"/>
                <w:sz w:val="24"/>
                <w:szCs w:val="24"/>
                <w:highlight w:val="none"/>
              </w:rPr>
            </w:pPr>
          </w:p>
          <w:p w14:paraId="6378A8B5">
            <w:pPr>
              <w:spacing w:line="240" w:lineRule="auto"/>
              <w:jc w:val="center"/>
              <w:rPr>
                <w:rFonts w:hint="eastAsia" w:ascii="宋体" w:hAnsi="宋体" w:eastAsia="宋体" w:cs="宋体"/>
                <w:sz w:val="24"/>
                <w:szCs w:val="24"/>
                <w:highlight w:val="none"/>
              </w:rPr>
            </w:pPr>
          </w:p>
          <w:p w14:paraId="48145837">
            <w:pPr>
              <w:pStyle w:val="36"/>
              <w:spacing w:before="78" w:line="240" w:lineRule="auto"/>
              <w:ind w:left="190"/>
              <w:jc w:val="center"/>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监理大纲</w:t>
            </w:r>
          </w:p>
        </w:tc>
        <w:tc>
          <w:tcPr>
            <w:tcW w:w="959" w:type="dxa"/>
            <w:vAlign w:val="top"/>
          </w:tcPr>
          <w:p w14:paraId="720C4AD5">
            <w:pPr>
              <w:spacing w:line="240" w:lineRule="auto"/>
              <w:jc w:val="center"/>
              <w:rPr>
                <w:rFonts w:hint="eastAsia" w:ascii="宋体" w:hAnsi="宋体" w:eastAsia="宋体" w:cs="宋体"/>
                <w:sz w:val="24"/>
                <w:szCs w:val="24"/>
                <w:highlight w:val="none"/>
              </w:rPr>
            </w:pPr>
          </w:p>
          <w:p w14:paraId="73D99C0B">
            <w:pPr>
              <w:spacing w:line="240" w:lineRule="auto"/>
              <w:jc w:val="center"/>
              <w:rPr>
                <w:rFonts w:hint="eastAsia" w:ascii="宋体" w:hAnsi="宋体" w:eastAsia="宋体" w:cs="宋体"/>
                <w:sz w:val="24"/>
                <w:szCs w:val="24"/>
                <w:highlight w:val="none"/>
              </w:rPr>
            </w:pPr>
          </w:p>
          <w:p w14:paraId="29EF91DC">
            <w:pPr>
              <w:spacing w:line="240" w:lineRule="auto"/>
              <w:jc w:val="center"/>
              <w:rPr>
                <w:rFonts w:hint="eastAsia" w:ascii="宋体" w:hAnsi="宋体" w:eastAsia="宋体" w:cs="宋体"/>
                <w:sz w:val="24"/>
                <w:szCs w:val="24"/>
                <w:highlight w:val="none"/>
              </w:rPr>
            </w:pPr>
          </w:p>
          <w:p w14:paraId="3D822970">
            <w:pPr>
              <w:spacing w:line="240" w:lineRule="auto"/>
              <w:jc w:val="center"/>
              <w:rPr>
                <w:rFonts w:hint="eastAsia" w:ascii="宋体" w:hAnsi="宋体" w:eastAsia="宋体" w:cs="宋体"/>
                <w:sz w:val="24"/>
                <w:szCs w:val="24"/>
                <w:highlight w:val="none"/>
              </w:rPr>
            </w:pPr>
          </w:p>
          <w:p w14:paraId="2E7ED3A7">
            <w:pPr>
              <w:spacing w:line="240" w:lineRule="auto"/>
              <w:jc w:val="center"/>
              <w:rPr>
                <w:rFonts w:hint="eastAsia" w:ascii="宋体" w:hAnsi="宋体" w:eastAsia="宋体" w:cs="宋体"/>
                <w:sz w:val="24"/>
                <w:szCs w:val="24"/>
                <w:highlight w:val="none"/>
              </w:rPr>
            </w:pPr>
          </w:p>
          <w:p w14:paraId="75ADBCD2">
            <w:pPr>
              <w:spacing w:line="240" w:lineRule="auto"/>
              <w:jc w:val="center"/>
              <w:rPr>
                <w:rFonts w:hint="eastAsia" w:ascii="宋体" w:hAnsi="宋体" w:eastAsia="宋体" w:cs="宋体"/>
                <w:sz w:val="24"/>
                <w:szCs w:val="24"/>
                <w:highlight w:val="none"/>
              </w:rPr>
            </w:pPr>
          </w:p>
          <w:p w14:paraId="2D266049">
            <w:pPr>
              <w:spacing w:line="240" w:lineRule="auto"/>
              <w:jc w:val="center"/>
              <w:rPr>
                <w:rFonts w:hint="eastAsia" w:ascii="宋体" w:hAnsi="宋体" w:eastAsia="宋体" w:cs="宋体"/>
                <w:sz w:val="24"/>
                <w:szCs w:val="24"/>
                <w:highlight w:val="none"/>
              </w:rPr>
            </w:pPr>
          </w:p>
          <w:p w14:paraId="175DF34F">
            <w:pPr>
              <w:spacing w:line="240" w:lineRule="auto"/>
              <w:jc w:val="center"/>
              <w:rPr>
                <w:rFonts w:hint="eastAsia" w:ascii="宋体" w:hAnsi="宋体" w:eastAsia="宋体" w:cs="宋体"/>
                <w:sz w:val="24"/>
                <w:szCs w:val="24"/>
                <w:highlight w:val="none"/>
              </w:rPr>
            </w:pPr>
          </w:p>
          <w:p w14:paraId="386F8446">
            <w:pPr>
              <w:pStyle w:val="36"/>
              <w:spacing w:before="78" w:line="240" w:lineRule="auto"/>
              <w:ind w:left="209"/>
              <w:jc w:val="center"/>
              <w:rPr>
                <w:rFonts w:hint="eastAsia" w:ascii="宋体" w:hAnsi="宋体" w:eastAsia="宋体" w:cs="宋体"/>
                <w:sz w:val="24"/>
                <w:szCs w:val="24"/>
                <w:highlight w:val="none"/>
              </w:rPr>
            </w:pPr>
            <w:r>
              <w:rPr>
                <w:rFonts w:hint="eastAsia" w:ascii="宋体" w:hAnsi="宋体" w:eastAsia="宋体" w:cs="宋体"/>
                <w:spacing w:val="-3"/>
                <w:sz w:val="24"/>
                <w:szCs w:val="24"/>
                <w:highlight w:val="none"/>
                <w:lang w:val="en-US" w:eastAsia="zh-CN"/>
              </w:rPr>
              <w:t>55</w:t>
            </w:r>
            <w:r>
              <w:rPr>
                <w:rFonts w:hint="eastAsia" w:ascii="宋体" w:hAnsi="宋体" w:eastAsia="宋体" w:cs="宋体"/>
                <w:spacing w:val="-3"/>
                <w:sz w:val="24"/>
                <w:szCs w:val="24"/>
                <w:highlight w:val="none"/>
              </w:rPr>
              <w:t>分</w:t>
            </w:r>
          </w:p>
        </w:tc>
        <w:tc>
          <w:tcPr>
            <w:tcW w:w="6268" w:type="dxa"/>
            <w:vAlign w:val="top"/>
          </w:tcPr>
          <w:p w14:paraId="2316F096">
            <w:pPr>
              <w:pStyle w:val="36"/>
              <w:spacing w:before="78" w:line="240" w:lineRule="auto"/>
              <w:ind w:left="80"/>
              <w:jc w:val="left"/>
              <w:rPr>
                <w:rFonts w:hint="eastAsia" w:ascii="宋体" w:hAnsi="宋体" w:eastAsia="宋体" w:cs="宋体"/>
                <w:spacing w:val="1"/>
                <w:position w:val="29"/>
                <w:sz w:val="24"/>
                <w:szCs w:val="24"/>
                <w:highlight w:val="none"/>
              </w:rPr>
            </w:pPr>
            <w:r>
              <w:rPr>
                <w:rFonts w:hint="eastAsia" w:ascii="宋体" w:hAnsi="宋体" w:eastAsia="宋体" w:cs="宋体"/>
                <w:spacing w:val="1"/>
                <w:position w:val="29"/>
                <w:sz w:val="24"/>
                <w:szCs w:val="24"/>
                <w:highlight w:val="none"/>
                <w:lang w:val="en-US" w:eastAsia="zh-CN"/>
              </w:rPr>
              <w:t xml:space="preserve">①监理大纲内容详细完整、条理清晰、方案科学合理、质量目标符合相关规定要求，根据响应程度计 10-15 分；监理大纲内容编制较完整、条理较清晰，符合相关规定要求，计 5-9 分；监理大纲内容粗略简单，基本符合质量目标，计 1-4 </w:t>
            </w:r>
          </w:p>
          <w:p w14:paraId="2FE8EABD">
            <w:pPr>
              <w:pStyle w:val="36"/>
              <w:spacing w:before="78" w:line="240" w:lineRule="auto"/>
              <w:ind w:left="80"/>
              <w:jc w:val="left"/>
              <w:rPr>
                <w:rFonts w:hint="eastAsia" w:ascii="宋体" w:hAnsi="宋体" w:eastAsia="宋体" w:cs="宋体"/>
                <w:spacing w:val="1"/>
                <w:position w:val="29"/>
                <w:sz w:val="24"/>
                <w:szCs w:val="24"/>
                <w:highlight w:val="none"/>
                <w:lang w:val="en-US" w:eastAsia="zh-CN"/>
              </w:rPr>
            </w:pPr>
            <w:r>
              <w:rPr>
                <w:rFonts w:hint="eastAsia" w:ascii="宋体" w:hAnsi="宋体" w:eastAsia="宋体" w:cs="宋体"/>
                <w:spacing w:val="1"/>
                <w:position w:val="29"/>
                <w:sz w:val="24"/>
                <w:szCs w:val="24"/>
                <w:highlight w:val="none"/>
                <w:lang w:val="en-US" w:eastAsia="zh-CN"/>
              </w:rPr>
              <w:t>分；未编制不得分；</w:t>
            </w:r>
          </w:p>
          <w:p w14:paraId="745A6DA8">
            <w:pPr>
              <w:pStyle w:val="36"/>
              <w:spacing w:before="78" w:line="240" w:lineRule="auto"/>
              <w:ind w:left="80"/>
              <w:jc w:val="left"/>
              <w:rPr>
                <w:rFonts w:hint="eastAsia" w:ascii="宋体" w:hAnsi="宋体" w:eastAsia="宋体" w:cs="宋体"/>
                <w:spacing w:val="1"/>
                <w:position w:val="29"/>
                <w:sz w:val="24"/>
                <w:szCs w:val="24"/>
                <w:highlight w:val="none"/>
                <w:lang w:val="en-US" w:eastAsia="zh-CN"/>
              </w:rPr>
            </w:pPr>
            <w:r>
              <w:rPr>
                <w:rFonts w:hint="eastAsia" w:ascii="宋体" w:hAnsi="宋体" w:eastAsia="宋体" w:cs="宋体"/>
                <w:spacing w:val="1"/>
                <w:position w:val="29"/>
                <w:sz w:val="24"/>
                <w:szCs w:val="24"/>
                <w:highlight w:val="none"/>
                <w:lang w:val="en-US" w:eastAsia="zh-CN"/>
              </w:rPr>
              <w:t>②编制监理控制目标：质量、进度、投资控制目标明确。内容详细完整、条理清晰、完全符合相关规定要求，根据响应程度计 10-15 分；内容编制较完整、条理较清晰，符合相关规定要求，计 5-9 分；内容粗略简单，基本符合质量目标计1-4 分；未编制不得分；</w:t>
            </w:r>
          </w:p>
          <w:p w14:paraId="76044448">
            <w:pPr>
              <w:pStyle w:val="36"/>
              <w:spacing w:before="78" w:line="240" w:lineRule="auto"/>
              <w:ind w:left="80"/>
              <w:jc w:val="left"/>
              <w:rPr>
                <w:rFonts w:hint="eastAsia" w:ascii="宋体" w:hAnsi="宋体" w:eastAsia="宋体" w:cs="宋体"/>
                <w:spacing w:val="1"/>
                <w:position w:val="29"/>
                <w:sz w:val="24"/>
                <w:szCs w:val="24"/>
                <w:highlight w:val="none"/>
                <w:lang w:val="en-US" w:eastAsia="zh-CN"/>
              </w:rPr>
            </w:pPr>
            <w:r>
              <w:rPr>
                <w:rFonts w:hint="eastAsia" w:ascii="宋体" w:hAnsi="宋体" w:eastAsia="宋体" w:cs="宋体"/>
                <w:spacing w:val="1"/>
                <w:position w:val="29"/>
                <w:sz w:val="24"/>
                <w:szCs w:val="24"/>
                <w:highlight w:val="none"/>
                <w:lang w:val="en-US" w:eastAsia="zh-CN"/>
              </w:rPr>
              <w:t>③编制监理工作方法和措施。内容详细完整、条理清晰、完全符合相关规定要求，根据响应程度10-15 分；内容编制较完整、条理较清晰，符合相关规定要求，计 5-9 分；内容粗略简单，基本符合质量目标，计 1-4 分；未编制不得分；</w:t>
            </w:r>
          </w:p>
          <w:p w14:paraId="4170880E">
            <w:pPr>
              <w:pStyle w:val="36"/>
              <w:spacing w:before="78" w:line="240" w:lineRule="auto"/>
              <w:ind w:left="80"/>
              <w:jc w:val="left"/>
              <w:rPr>
                <w:rFonts w:hint="default" w:ascii="宋体" w:hAnsi="宋体" w:eastAsia="宋体" w:cs="宋体"/>
                <w:sz w:val="24"/>
                <w:szCs w:val="24"/>
                <w:highlight w:val="none"/>
                <w:lang w:val="en-US" w:eastAsia="zh-CN"/>
              </w:rPr>
            </w:pPr>
            <w:r>
              <w:rPr>
                <w:rFonts w:hint="eastAsia" w:ascii="宋体" w:hAnsi="宋体" w:eastAsia="宋体" w:cs="宋体"/>
                <w:spacing w:val="1"/>
                <w:position w:val="29"/>
                <w:sz w:val="24"/>
                <w:szCs w:val="24"/>
                <w:highlight w:val="none"/>
                <w:lang w:val="en-US" w:eastAsia="zh-CN"/>
              </w:rPr>
              <w:t>④编制质量管理及保证措施。内容详细完整、条理清晰、完全符合相关规定要求，根据响应程度计7-10 分；内容编制较完整、条理较清晰，符合相关规定要求，计 4-7 分；内容粗略 简单，基本符合质量目标，计 1-4 分；未编制不得分；</w:t>
            </w:r>
          </w:p>
        </w:tc>
      </w:tr>
      <w:tr w14:paraId="57A1B2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0" w:hRule="atLeast"/>
        </w:trPr>
        <w:tc>
          <w:tcPr>
            <w:tcW w:w="703" w:type="dxa"/>
            <w:shd w:val="clear" w:color="auto" w:fill="auto"/>
            <w:vAlign w:val="center"/>
          </w:tcPr>
          <w:p w14:paraId="22100430">
            <w:pPr>
              <w:pStyle w:val="36"/>
              <w:spacing w:before="65" w:line="240" w:lineRule="auto"/>
              <w:jc w:val="center"/>
              <w:rPr>
                <w:rFonts w:hint="eastAsia" w:ascii="宋体" w:hAnsi="宋体" w:eastAsia="宋体" w:cs="宋体"/>
                <w:kern w:val="2"/>
                <w:position w:val="29"/>
                <w:sz w:val="24"/>
                <w:szCs w:val="24"/>
                <w:highlight w:val="none"/>
                <w:lang w:val="en-US" w:eastAsia="en-US" w:bidi="ar-SA"/>
              </w:rPr>
            </w:pPr>
            <w:r>
              <w:rPr>
                <w:rFonts w:hint="eastAsia" w:ascii="宋体" w:hAnsi="宋体" w:eastAsia="宋体" w:cs="宋体"/>
                <w:position w:val="29"/>
                <w:sz w:val="24"/>
                <w:szCs w:val="24"/>
                <w:highlight w:val="none"/>
              </w:rPr>
              <w:t>3</w:t>
            </w:r>
          </w:p>
        </w:tc>
        <w:tc>
          <w:tcPr>
            <w:tcW w:w="1308" w:type="dxa"/>
            <w:shd w:val="clear" w:color="auto" w:fill="auto"/>
            <w:vAlign w:val="center"/>
          </w:tcPr>
          <w:p w14:paraId="22694497">
            <w:pPr>
              <w:pStyle w:val="36"/>
              <w:spacing w:before="65" w:line="240" w:lineRule="auto"/>
              <w:jc w:val="center"/>
              <w:rPr>
                <w:rFonts w:hint="eastAsia" w:ascii="宋体" w:hAnsi="宋体" w:eastAsia="宋体" w:cs="宋体"/>
                <w:kern w:val="2"/>
                <w:position w:val="29"/>
                <w:sz w:val="24"/>
                <w:szCs w:val="24"/>
                <w:highlight w:val="none"/>
                <w:lang w:val="en-US" w:eastAsia="en-US" w:bidi="ar-SA"/>
              </w:rPr>
            </w:pPr>
            <w:r>
              <w:rPr>
                <w:rFonts w:hint="eastAsia" w:ascii="宋体" w:hAnsi="宋体" w:eastAsia="宋体" w:cs="宋体"/>
                <w:position w:val="29"/>
                <w:sz w:val="24"/>
                <w:szCs w:val="24"/>
                <w:highlight w:val="none"/>
              </w:rPr>
              <w:t>项目部组织机构</w:t>
            </w:r>
          </w:p>
        </w:tc>
        <w:tc>
          <w:tcPr>
            <w:tcW w:w="959" w:type="dxa"/>
            <w:shd w:val="clear" w:color="auto" w:fill="auto"/>
            <w:vAlign w:val="top"/>
          </w:tcPr>
          <w:p w14:paraId="51CDA1C1">
            <w:pPr>
              <w:pStyle w:val="36"/>
              <w:spacing w:before="65" w:line="240" w:lineRule="auto"/>
              <w:ind w:left="99"/>
              <w:jc w:val="center"/>
              <w:rPr>
                <w:rFonts w:hint="eastAsia" w:ascii="宋体" w:hAnsi="宋体" w:eastAsia="宋体" w:cs="宋体"/>
                <w:position w:val="29"/>
                <w:sz w:val="24"/>
                <w:szCs w:val="24"/>
                <w:highlight w:val="none"/>
              </w:rPr>
            </w:pPr>
          </w:p>
          <w:p w14:paraId="2D3A7DAE">
            <w:pPr>
              <w:pStyle w:val="36"/>
              <w:spacing w:before="65" w:line="240" w:lineRule="auto"/>
              <w:jc w:val="center"/>
              <w:rPr>
                <w:rFonts w:hint="eastAsia" w:ascii="宋体" w:hAnsi="宋体" w:eastAsia="宋体" w:cs="宋体"/>
                <w:kern w:val="2"/>
                <w:position w:val="29"/>
                <w:sz w:val="24"/>
                <w:szCs w:val="24"/>
                <w:highlight w:val="none"/>
                <w:lang w:val="en-US" w:eastAsia="zh-CN" w:bidi="ar-SA"/>
              </w:rPr>
            </w:pPr>
            <w:r>
              <w:rPr>
                <w:rFonts w:hint="eastAsia" w:ascii="宋体" w:hAnsi="宋体" w:eastAsia="宋体" w:cs="宋体"/>
                <w:position w:val="29"/>
                <w:sz w:val="24"/>
                <w:szCs w:val="24"/>
                <w:highlight w:val="none"/>
              </w:rPr>
              <w:t>10 分</w:t>
            </w:r>
          </w:p>
        </w:tc>
        <w:tc>
          <w:tcPr>
            <w:tcW w:w="6268" w:type="dxa"/>
            <w:shd w:val="clear" w:color="auto" w:fill="auto"/>
            <w:vAlign w:val="top"/>
          </w:tcPr>
          <w:p w14:paraId="749F229A">
            <w:pPr>
              <w:pStyle w:val="36"/>
              <w:spacing w:before="65" w:line="240" w:lineRule="auto"/>
              <w:ind w:left="99"/>
              <w:jc w:val="left"/>
              <w:rPr>
                <w:rFonts w:hint="eastAsia" w:ascii="宋体" w:hAnsi="宋体" w:eastAsia="宋体" w:cs="宋体"/>
                <w:position w:val="29"/>
                <w:sz w:val="24"/>
                <w:szCs w:val="24"/>
                <w:highlight w:val="none"/>
              </w:rPr>
            </w:pPr>
            <w:r>
              <w:rPr>
                <w:rFonts w:hint="eastAsia" w:ascii="宋体" w:hAnsi="宋体" w:eastAsia="宋体" w:cs="宋体"/>
                <w:position w:val="29"/>
                <w:sz w:val="24"/>
                <w:szCs w:val="24"/>
                <w:highlight w:val="none"/>
              </w:rPr>
              <w:t>项目部组织结构、项目下设部门是否合理，专业作业队配置是否齐全，完全合理（7 -10 分） ，基本合理</w:t>
            </w:r>
          </w:p>
          <w:p w14:paraId="64524A96">
            <w:pPr>
              <w:pStyle w:val="36"/>
              <w:spacing w:before="65" w:line="240" w:lineRule="auto"/>
              <w:ind w:left="99" w:leftChars="0"/>
              <w:jc w:val="left"/>
              <w:rPr>
                <w:rFonts w:hint="eastAsia" w:ascii="宋体" w:hAnsi="宋体" w:eastAsia="宋体" w:cs="宋体"/>
                <w:kern w:val="2"/>
                <w:position w:val="29"/>
                <w:sz w:val="24"/>
                <w:szCs w:val="24"/>
                <w:highlight w:val="none"/>
                <w:lang w:val="en-US" w:eastAsia="zh-CN" w:bidi="ar-SA"/>
              </w:rPr>
            </w:pPr>
            <w:r>
              <w:rPr>
                <w:rFonts w:hint="eastAsia" w:ascii="宋体" w:hAnsi="宋体" w:eastAsia="宋体" w:cs="宋体"/>
                <w:position w:val="29"/>
                <w:sz w:val="24"/>
                <w:szCs w:val="24"/>
                <w:highlight w:val="none"/>
              </w:rPr>
              <w:t>（4-6 分） ，合理（1-3 分） ，不合理不计分</w:t>
            </w:r>
            <w:r>
              <w:rPr>
                <w:rFonts w:hint="eastAsia" w:ascii="宋体" w:hAnsi="宋体" w:eastAsia="宋体" w:cs="宋体"/>
                <w:position w:val="29"/>
                <w:sz w:val="24"/>
                <w:szCs w:val="24"/>
                <w:highlight w:val="none"/>
                <w:lang w:val="en-US" w:eastAsia="zh-CN"/>
              </w:rPr>
              <w:t>.</w:t>
            </w:r>
          </w:p>
        </w:tc>
      </w:tr>
      <w:tr w14:paraId="79FE12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03" w:type="dxa"/>
            <w:shd w:val="clear" w:color="auto" w:fill="auto"/>
            <w:vAlign w:val="top"/>
          </w:tcPr>
          <w:p w14:paraId="04BD1724">
            <w:pPr>
              <w:pStyle w:val="36"/>
              <w:spacing w:before="65" w:line="240" w:lineRule="auto"/>
              <w:ind w:left="99"/>
              <w:jc w:val="center"/>
              <w:rPr>
                <w:rFonts w:hint="eastAsia" w:ascii="宋体" w:hAnsi="宋体" w:eastAsia="宋体" w:cs="宋体"/>
                <w:position w:val="29"/>
                <w:sz w:val="24"/>
                <w:szCs w:val="24"/>
                <w:highlight w:val="none"/>
              </w:rPr>
            </w:pPr>
          </w:p>
          <w:p w14:paraId="6FB151CF">
            <w:pPr>
              <w:pStyle w:val="36"/>
              <w:spacing w:before="65" w:line="240" w:lineRule="auto"/>
              <w:ind w:firstLine="240" w:firstLineChars="100"/>
              <w:jc w:val="center"/>
              <w:rPr>
                <w:rFonts w:hint="eastAsia" w:ascii="宋体" w:hAnsi="宋体" w:eastAsia="宋体" w:cs="宋体"/>
                <w:kern w:val="2"/>
                <w:position w:val="29"/>
                <w:sz w:val="24"/>
                <w:szCs w:val="24"/>
                <w:highlight w:val="none"/>
                <w:lang w:val="en-US" w:eastAsia="en-US" w:bidi="ar-SA"/>
              </w:rPr>
            </w:pPr>
            <w:r>
              <w:rPr>
                <w:rFonts w:hint="eastAsia" w:ascii="宋体" w:hAnsi="宋体" w:eastAsia="宋体" w:cs="宋体"/>
                <w:position w:val="29"/>
                <w:sz w:val="24"/>
                <w:szCs w:val="24"/>
                <w:highlight w:val="none"/>
              </w:rPr>
              <w:t>4</w:t>
            </w:r>
          </w:p>
        </w:tc>
        <w:tc>
          <w:tcPr>
            <w:tcW w:w="1308" w:type="dxa"/>
            <w:shd w:val="clear" w:color="auto" w:fill="auto"/>
            <w:vAlign w:val="top"/>
          </w:tcPr>
          <w:p w14:paraId="633FF9FC">
            <w:pPr>
              <w:pStyle w:val="36"/>
              <w:spacing w:before="65" w:line="240" w:lineRule="auto"/>
              <w:ind w:left="99"/>
              <w:jc w:val="center"/>
              <w:rPr>
                <w:rFonts w:hint="eastAsia" w:ascii="宋体" w:hAnsi="宋体" w:eastAsia="宋体" w:cs="宋体"/>
                <w:position w:val="29"/>
                <w:sz w:val="24"/>
                <w:szCs w:val="24"/>
                <w:highlight w:val="none"/>
              </w:rPr>
            </w:pPr>
          </w:p>
          <w:p w14:paraId="715E51F3">
            <w:pPr>
              <w:pStyle w:val="36"/>
              <w:spacing w:before="65" w:line="240" w:lineRule="auto"/>
              <w:ind w:left="99"/>
              <w:jc w:val="center"/>
              <w:rPr>
                <w:rFonts w:hint="eastAsia" w:ascii="宋体" w:hAnsi="宋体" w:eastAsia="宋体" w:cs="宋体"/>
                <w:position w:val="29"/>
                <w:sz w:val="24"/>
                <w:szCs w:val="24"/>
                <w:highlight w:val="none"/>
              </w:rPr>
            </w:pPr>
            <w:r>
              <w:rPr>
                <w:rFonts w:hint="eastAsia" w:ascii="宋体" w:hAnsi="宋体" w:eastAsia="宋体" w:cs="宋体"/>
                <w:position w:val="29"/>
                <w:sz w:val="24"/>
                <w:szCs w:val="24"/>
                <w:highlight w:val="none"/>
              </w:rPr>
              <w:t>拟派实名</w:t>
            </w:r>
          </w:p>
          <w:p w14:paraId="0B43AD20">
            <w:pPr>
              <w:pStyle w:val="36"/>
              <w:spacing w:before="65" w:line="240" w:lineRule="auto"/>
              <w:ind w:left="99" w:leftChars="0"/>
              <w:jc w:val="center"/>
              <w:rPr>
                <w:rFonts w:hint="eastAsia" w:ascii="宋体" w:hAnsi="宋体" w:eastAsia="宋体" w:cs="宋体"/>
                <w:kern w:val="2"/>
                <w:position w:val="29"/>
                <w:sz w:val="24"/>
                <w:szCs w:val="24"/>
                <w:highlight w:val="none"/>
                <w:lang w:val="en-US" w:eastAsia="en-US" w:bidi="ar-SA"/>
              </w:rPr>
            </w:pPr>
            <w:r>
              <w:rPr>
                <w:rFonts w:hint="eastAsia" w:ascii="宋体" w:hAnsi="宋体" w:eastAsia="宋体" w:cs="宋体"/>
                <w:position w:val="29"/>
                <w:sz w:val="24"/>
                <w:szCs w:val="24"/>
                <w:highlight w:val="none"/>
              </w:rPr>
              <w:t>制人员配置</w:t>
            </w:r>
          </w:p>
        </w:tc>
        <w:tc>
          <w:tcPr>
            <w:tcW w:w="959" w:type="dxa"/>
            <w:shd w:val="clear" w:color="auto" w:fill="auto"/>
            <w:vAlign w:val="top"/>
          </w:tcPr>
          <w:p w14:paraId="19022F7A">
            <w:pPr>
              <w:pStyle w:val="36"/>
              <w:spacing w:before="65" w:line="240" w:lineRule="auto"/>
              <w:ind w:left="99"/>
              <w:jc w:val="center"/>
              <w:rPr>
                <w:rFonts w:hint="eastAsia" w:ascii="宋体" w:hAnsi="宋体" w:eastAsia="宋体" w:cs="宋体"/>
                <w:position w:val="29"/>
                <w:sz w:val="24"/>
                <w:szCs w:val="24"/>
                <w:highlight w:val="none"/>
              </w:rPr>
            </w:pPr>
          </w:p>
          <w:p w14:paraId="21400D29">
            <w:pPr>
              <w:pStyle w:val="36"/>
              <w:spacing w:before="65" w:line="240" w:lineRule="auto"/>
              <w:ind w:firstLine="240" w:firstLineChars="100"/>
              <w:jc w:val="both"/>
              <w:rPr>
                <w:rFonts w:hint="eastAsia" w:ascii="宋体" w:hAnsi="宋体" w:eastAsia="宋体" w:cs="宋体"/>
                <w:kern w:val="2"/>
                <w:position w:val="29"/>
                <w:sz w:val="24"/>
                <w:szCs w:val="24"/>
                <w:highlight w:val="none"/>
                <w:lang w:val="en-US" w:eastAsia="zh-CN" w:bidi="ar-SA"/>
              </w:rPr>
            </w:pPr>
            <w:r>
              <w:rPr>
                <w:rFonts w:hint="eastAsia" w:ascii="宋体" w:hAnsi="宋体" w:eastAsia="宋体" w:cs="宋体"/>
                <w:position w:val="29"/>
                <w:sz w:val="24"/>
                <w:szCs w:val="24"/>
                <w:highlight w:val="none"/>
              </w:rPr>
              <w:t>10 分</w:t>
            </w:r>
          </w:p>
        </w:tc>
        <w:tc>
          <w:tcPr>
            <w:tcW w:w="6268" w:type="dxa"/>
            <w:shd w:val="clear" w:color="auto" w:fill="auto"/>
            <w:vAlign w:val="top"/>
          </w:tcPr>
          <w:p w14:paraId="5B2110AF">
            <w:pPr>
              <w:pStyle w:val="36"/>
              <w:spacing w:before="65" w:line="240" w:lineRule="auto"/>
              <w:ind w:left="99"/>
              <w:jc w:val="left"/>
              <w:rPr>
                <w:rFonts w:hint="eastAsia" w:ascii="宋体" w:hAnsi="宋体" w:eastAsia="宋体" w:cs="宋体"/>
                <w:position w:val="29"/>
                <w:sz w:val="24"/>
                <w:szCs w:val="24"/>
                <w:highlight w:val="none"/>
              </w:rPr>
            </w:pPr>
          </w:p>
          <w:p w14:paraId="48EA33D2">
            <w:pPr>
              <w:pStyle w:val="36"/>
              <w:spacing w:before="65" w:line="240" w:lineRule="auto"/>
              <w:ind w:left="99"/>
              <w:jc w:val="left"/>
              <w:rPr>
                <w:rFonts w:hint="eastAsia" w:ascii="宋体" w:hAnsi="宋体" w:eastAsia="宋体" w:cs="宋体"/>
                <w:position w:val="29"/>
                <w:sz w:val="24"/>
                <w:szCs w:val="24"/>
                <w:highlight w:val="none"/>
              </w:rPr>
            </w:pPr>
            <w:r>
              <w:rPr>
                <w:rFonts w:hint="eastAsia" w:ascii="宋体" w:hAnsi="宋体" w:eastAsia="宋体" w:cs="宋体"/>
                <w:position w:val="29"/>
                <w:sz w:val="24"/>
                <w:szCs w:val="24"/>
                <w:highlight w:val="none"/>
              </w:rPr>
              <w:t>拟派人员配备齐全、科学、合理：良好（5-10 分），</w:t>
            </w:r>
          </w:p>
          <w:p w14:paraId="2E17C0B2">
            <w:pPr>
              <w:pStyle w:val="36"/>
              <w:spacing w:before="65" w:line="240" w:lineRule="auto"/>
              <w:ind w:left="99" w:leftChars="0"/>
              <w:jc w:val="left"/>
              <w:rPr>
                <w:rFonts w:hint="eastAsia" w:ascii="宋体" w:hAnsi="宋体" w:eastAsia="宋体" w:cs="宋体"/>
                <w:kern w:val="2"/>
                <w:position w:val="29"/>
                <w:sz w:val="24"/>
                <w:szCs w:val="24"/>
                <w:highlight w:val="none"/>
                <w:lang w:val="en-US" w:eastAsia="zh-CN" w:bidi="ar-SA"/>
              </w:rPr>
            </w:pPr>
            <w:r>
              <w:rPr>
                <w:rFonts w:hint="eastAsia" w:ascii="宋体" w:hAnsi="宋体" w:eastAsia="宋体" w:cs="宋体"/>
                <w:position w:val="29"/>
                <w:sz w:val="24"/>
                <w:szCs w:val="24"/>
                <w:highlight w:val="none"/>
              </w:rPr>
              <w:t>一般（1-5 分）</w:t>
            </w:r>
            <w:r>
              <w:rPr>
                <w:rFonts w:hint="eastAsia" w:ascii="宋体" w:hAnsi="宋体" w:eastAsia="宋体" w:cs="宋体"/>
                <w:position w:val="29"/>
                <w:sz w:val="24"/>
                <w:szCs w:val="24"/>
                <w:highlight w:val="none"/>
                <w:lang w:eastAsia="zh-CN"/>
              </w:rPr>
              <w:t>，</w:t>
            </w:r>
            <w:r>
              <w:rPr>
                <w:rFonts w:hint="eastAsia" w:ascii="宋体" w:hAnsi="宋体" w:eastAsia="宋体" w:cs="宋体"/>
                <w:position w:val="29"/>
                <w:sz w:val="24"/>
                <w:szCs w:val="24"/>
                <w:highlight w:val="none"/>
              </w:rPr>
              <w:t>不合理不计分</w:t>
            </w:r>
            <w:r>
              <w:rPr>
                <w:rFonts w:hint="eastAsia" w:ascii="宋体" w:hAnsi="宋体" w:eastAsia="宋体" w:cs="宋体"/>
                <w:position w:val="29"/>
                <w:sz w:val="24"/>
                <w:szCs w:val="24"/>
                <w:highlight w:val="none"/>
                <w:lang w:val="en-US" w:eastAsia="zh-CN"/>
              </w:rPr>
              <w:t>.</w:t>
            </w:r>
          </w:p>
        </w:tc>
      </w:tr>
      <w:tr w14:paraId="0E8A23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03" w:type="dxa"/>
            <w:shd w:val="clear" w:color="auto" w:fill="auto"/>
            <w:vAlign w:val="top"/>
          </w:tcPr>
          <w:p w14:paraId="6F60173D">
            <w:pPr>
              <w:pStyle w:val="36"/>
              <w:spacing w:before="65" w:line="240" w:lineRule="auto"/>
              <w:ind w:left="99"/>
              <w:jc w:val="center"/>
              <w:rPr>
                <w:rFonts w:hint="eastAsia" w:ascii="宋体" w:hAnsi="宋体" w:eastAsia="宋体" w:cs="宋体"/>
                <w:position w:val="29"/>
                <w:sz w:val="24"/>
                <w:szCs w:val="24"/>
                <w:highlight w:val="none"/>
              </w:rPr>
            </w:pPr>
          </w:p>
          <w:p w14:paraId="144351E3">
            <w:pPr>
              <w:pStyle w:val="36"/>
              <w:spacing w:before="65" w:line="240" w:lineRule="auto"/>
              <w:jc w:val="center"/>
              <w:rPr>
                <w:rFonts w:hint="eastAsia" w:ascii="宋体" w:hAnsi="宋体" w:eastAsia="宋体" w:cs="宋体"/>
                <w:kern w:val="2"/>
                <w:position w:val="29"/>
                <w:sz w:val="24"/>
                <w:szCs w:val="24"/>
                <w:highlight w:val="none"/>
                <w:lang w:val="en-US" w:eastAsia="en-US" w:bidi="ar-SA"/>
              </w:rPr>
            </w:pPr>
            <w:r>
              <w:rPr>
                <w:rFonts w:hint="eastAsia" w:ascii="宋体" w:hAnsi="宋体" w:eastAsia="宋体" w:cs="宋体"/>
                <w:position w:val="29"/>
                <w:sz w:val="24"/>
                <w:szCs w:val="24"/>
                <w:highlight w:val="none"/>
              </w:rPr>
              <w:t>5</w:t>
            </w:r>
          </w:p>
        </w:tc>
        <w:tc>
          <w:tcPr>
            <w:tcW w:w="1308" w:type="dxa"/>
            <w:shd w:val="clear" w:color="auto" w:fill="auto"/>
            <w:vAlign w:val="top"/>
          </w:tcPr>
          <w:p w14:paraId="788768D1">
            <w:pPr>
              <w:pStyle w:val="36"/>
              <w:spacing w:before="65" w:line="240" w:lineRule="auto"/>
              <w:ind w:firstLine="240" w:firstLineChars="100"/>
              <w:jc w:val="center"/>
              <w:rPr>
                <w:rFonts w:hint="eastAsia" w:ascii="宋体" w:hAnsi="宋体" w:eastAsia="宋体" w:cs="宋体"/>
                <w:position w:val="29"/>
                <w:sz w:val="24"/>
                <w:szCs w:val="24"/>
                <w:highlight w:val="none"/>
              </w:rPr>
            </w:pPr>
            <w:r>
              <w:rPr>
                <w:rFonts w:hint="eastAsia" w:ascii="宋体" w:hAnsi="宋体" w:eastAsia="宋体" w:cs="宋体"/>
                <w:position w:val="29"/>
                <w:sz w:val="24"/>
                <w:szCs w:val="24"/>
                <w:highlight w:val="none"/>
              </w:rPr>
              <w:t>拟投入试</w:t>
            </w:r>
          </w:p>
          <w:p w14:paraId="003BB6DE">
            <w:pPr>
              <w:pStyle w:val="36"/>
              <w:spacing w:before="65" w:line="240" w:lineRule="auto"/>
              <w:ind w:left="99"/>
              <w:jc w:val="center"/>
              <w:rPr>
                <w:rFonts w:hint="eastAsia" w:ascii="宋体" w:hAnsi="宋体" w:eastAsia="宋体" w:cs="宋体"/>
                <w:position w:val="29"/>
                <w:sz w:val="24"/>
                <w:szCs w:val="24"/>
                <w:highlight w:val="none"/>
              </w:rPr>
            </w:pPr>
            <w:r>
              <w:rPr>
                <w:rFonts w:hint="eastAsia" w:ascii="宋体" w:hAnsi="宋体" w:eastAsia="宋体" w:cs="宋体"/>
                <w:position w:val="29"/>
                <w:sz w:val="24"/>
                <w:szCs w:val="24"/>
                <w:highlight w:val="none"/>
              </w:rPr>
              <w:t>验检测设</w:t>
            </w:r>
          </w:p>
          <w:p w14:paraId="5897C1B5">
            <w:pPr>
              <w:pStyle w:val="36"/>
              <w:spacing w:before="65" w:line="240" w:lineRule="auto"/>
              <w:ind w:left="99" w:leftChars="0"/>
              <w:jc w:val="center"/>
              <w:rPr>
                <w:rFonts w:hint="eastAsia" w:ascii="宋体" w:hAnsi="宋体" w:eastAsia="宋体" w:cs="宋体"/>
                <w:kern w:val="2"/>
                <w:position w:val="29"/>
                <w:sz w:val="24"/>
                <w:szCs w:val="24"/>
                <w:highlight w:val="none"/>
                <w:lang w:val="en-US" w:eastAsia="en-US" w:bidi="ar-SA"/>
              </w:rPr>
            </w:pPr>
            <w:r>
              <w:rPr>
                <w:rFonts w:hint="eastAsia" w:ascii="宋体" w:hAnsi="宋体" w:eastAsia="宋体" w:cs="宋体"/>
                <w:position w:val="29"/>
                <w:sz w:val="24"/>
                <w:szCs w:val="24"/>
                <w:highlight w:val="none"/>
              </w:rPr>
              <w:t>备配置</w:t>
            </w:r>
          </w:p>
        </w:tc>
        <w:tc>
          <w:tcPr>
            <w:tcW w:w="959" w:type="dxa"/>
            <w:shd w:val="clear" w:color="auto" w:fill="auto"/>
            <w:vAlign w:val="top"/>
          </w:tcPr>
          <w:p w14:paraId="14A4B21E">
            <w:pPr>
              <w:pStyle w:val="36"/>
              <w:spacing w:before="65" w:line="240" w:lineRule="auto"/>
              <w:ind w:left="99"/>
              <w:jc w:val="center"/>
              <w:rPr>
                <w:rFonts w:hint="eastAsia" w:ascii="宋体" w:hAnsi="宋体" w:eastAsia="宋体" w:cs="宋体"/>
                <w:position w:val="29"/>
                <w:sz w:val="24"/>
                <w:szCs w:val="24"/>
                <w:highlight w:val="none"/>
              </w:rPr>
            </w:pPr>
          </w:p>
          <w:p w14:paraId="118ACB80">
            <w:pPr>
              <w:pStyle w:val="36"/>
              <w:spacing w:before="65" w:line="240" w:lineRule="auto"/>
              <w:ind w:firstLine="240" w:firstLineChars="100"/>
              <w:jc w:val="both"/>
              <w:rPr>
                <w:rFonts w:hint="eastAsia" w:ascii="宋体" w:hAnsi="宋体" w:eastAsia="宋体" w:cs="宋体"/>
                <w:kern w:val="2"/>
                <w:position w:val="29"/>
                <w:sz w:val="24"/>
                <w:szCs w:val="24"/>
                <w:highlight w:val="none"/>
                <w:lang w:val="en-US" w:eastAsia="zh-CN" w:bidi="ar-SA"/>
              </w:rPr>
            </w:pPr>
            <w:r>
              <w:rPr>
                <w:rFonts w:hint="eastAsia" w:ascii="宋体" w:hAnsi="宋体" w:eastAsia="宋体" w:cs="宋体"/>
                <w:position w:val="29"/>
                <w:sz w:val="24"/>
                <w:szCs w:val="24"/>
                <w:highlight w:val="none"/>
                <w:lang w:val="en-US" w:eastAsia="zh-CN"/>
              </w:rPr>
              <w:t>8</w:t>
            </w:r>
            <w:r>
              <w:rPr>
                <w:rFonts w:hint="eastAsia" w:ascii="宋体" w:hAnsi="宋体" w:eastAsia="宋体" w:cs="宋体"/>
                <w:position w:val="29"/>
                <w:sz w:val="24"/>
                <w:szCs w:val="24"/>
                <w:highlight w:val="none"/>
              </w:rPr>
              <w:t>分</w:t>
            </w:r>
          </w:p>
        </w:tc>
        <w:tc>
          <w:tcPr>
            <w:tcW w:w="6268" w:type="dxa"/>
            <w:shd w:val="clear" w:color="auto" w:fill="auto"/>
            <w:vAlign w:val="top"/>
          </w:tcPr>
          <w:p w14:paraId="2CAC9B16">
            <w:pPr>
              <w:pStyle w:val="36"/>
              <w:spacing w:before="65" w:line="240" w:lineRule="auto"/>
              <w:jc w:val="left"/>
              <w:rPr>
                <w:rFonts w:hint="eastAsia" w:ascii="宋体" w:hAnsi="宋体" w:eastAsia="宋体" w:cs="宋体"/>
                <w:position w:val="29"/>
                <w:sz w:val="24"/>
                <w:szCs w:val="24"/>
                <w:highlight w:val="none"/>
              </w:rPr>
            </w:pPr>
          </w:p>
          <w:p w14:paraId="43F277C1">
            <w:pPr>
              <w:pStyle w:val="36"/>
              <w:spacing w:before="65" w:line="240" w:lineRule="auto"/>
              <w:ind w:left="99"/>
              <w:jc w:val="left"/>
              <w:rPr>
                <w:rFonts w:hint="eastAsia" w:ascii="宋体" w:hAnsi="宋体" w:eastAsia="宋体" w:cs="宋体"/>
                <w:position w:val="29"/>
                <w:sz w:val="24"/>
                <w:szCs w:val="24"/>
                <w:highlight w:val="none"/>
              </w:rPr>
            </w:pPr>
            <w:r>
              <w:rPr>
                <w:rFonts w:hint="eastAsia" w:ascii="宋体" w:hAnsi="宋体" w:eastAsia="宋体" w:cs="宋体"/>
                <w:position w:val="29"/>
                <w:sz w:val="24"/>
                <w:szCs w:val="24"/>
                <w:highlight w:val="none"/>
              </w:rPr>
              <w:t>主要试验检测设备配备齐全、合理（</w:t>
            </w:r>
            <w:r>
              <w:rPr>
                <w:rFonts w:hint="eastAsia" w:ascii="宋体" w:hAnsi="宋体" w:eastAsia="宋体" w:cs="宋体"/>
                <w:position w:val="29"/>
                <w:sz w:val="24"/>
                <w:szCs w:val="24"/>
                <w:highlight w:val="none"/>
                <w:lang w:val="en-US" w:eastAsia="zh-CN"/>
              </w:rPr>
              <w:t>5</w:t>
            </w:r>
            <w:r>
              <w:rPr>
                <w:rFonts w:hint="eastAsia" w:ascii="宋体" w:hAnsi="宋体" w:eastAsia="宋体" w:cs="宋体"/>
                <w:position w:val="29"/>
                <w:sz w:val="24"/>
                <w:szCs w:val="24"/>
                <w:highlight w:val="none"/>
              </w:rPr>
              <w:t>-</w:t>
            </w:r>
            <w:r>
              <w:rPr>
                <w:rFonts w:hint="eastAsia" w:ascii="宋体" w:hAnsi="宋体" w:eastAsia="宋体" w:cs="宋体"/>
                <w:position w:val="29"/>
                <w:sz w:val="24"/>
                <w:szCs w:val="24"/>
                <w:highlight w:val="none"/>
                <w:lang w:val="en-US" w:eastAsia="zh-CN"/>
              </w:rPr>
              <w:t>8</w:t>
            </w:r>
            <w:r>
              <w:rPr>
                <w:rFonts w:hint="eastAsia" w:ascii="宋体" w:hAnsi="宋体" w:eastAsia="宋体" w:cs="宋体"/>
                <w:position w:val="29"/>
                <w:sz w:val="24"/>
                <w:szCs w:val="24"/>
                <w:highlight w:val="none"/>
              </w:rPr>
              <w:t>分），基本合理</w:t>
            </w:r>
          </w:p>
          <w:p w14:paraId="7FD07119">
            <w:pPr>
              <w:pStyle w:val="36"/>
              <w:spacing w:before="65" w:line="240" w:lineRule="auto"/>
              <w:ind w:left="99" w:leftChars="0"/>
              <w:jc w:val="left"/>
              <w:rPr>
                <w:rFonts w:hint="eastAsia" w:ascii="宋体" w:hAnsi="宋体" w:eastAsia="宋体" w:cs="宋体"/>
                <w:kern w:val="2"/>
                <w:position w:val="29"/>
                <w:sz w:val="24"/>
                <w:szCs w:val="24"/>
                <w:highlight w:val="none"/>
                <w:lang w:val="en-US" w:eastAsia="zh-CN" w:bidi="ar-SA"/>
              </w:rPr>
            </w:pPr>
            <w:r>
              <w:rPr>
                <w:rFonts w:hint="eastAsia" w:ascii="宋体" w:hAnsi="宋体" w:eastAsia="宋体" w:cs="宋体"/>
                <w:position w:val="29"/>
                <w:sz w:val="24"/>
                <w:szCs w:val="24"/>
                <w:highlight w:val="none"/>
              </w:rPr>
              <w:t>（</w:t>
            </w:r>
            <w:r>
              <w:rPr>
                <w:rFonts w:hint="eastAsia" w:ascii="宋体" w:hAnsi="宋体" w:eastAsia="宋体" w:cs="宋体"/>
                <w:position w:val="29"/>
                <w:sz w:val="24"/>
                <w:szCs w:val="24"/>
                <w:highlight w:val="none"/>
                <w:lang w:val="en-US" w:eastAsia="zh-CN"/>
              </w:rPr>
              <w:t>3</w:t>
            </w:r>
            <w:r>
              <w:rPr>
                <w:rFonts w:hint="eastAsia" w:ascii="宋体" w:hAnsi="宋体" w:eastAsia="宋体" w:cs="宋体"/>
                <w:position w:val="29"/>
                <w:sz w:val="24"/>
                <w:szCs w:val="24"/>
                <w:highlight w:val="none"/>
              </w:rPr>
              <w:t>-</w:t>
            </w:r>
            <w:r>
              <w:rPr>
                <w:rFonts w:hint="eastAsia" w:ascii="宋体" w:hAnsi="宋体" w:eastAsia="宋体" w:cs="宋体"/>
                <w:position w:val="29"/>
                <w:sz w:val="24"/>
                <w:szCs w:val="24"/>
                <w:highlight w:val="none"/>
                <w:lang w:val="en-US" w:eastAsia="zh-CN"/>
              </w:rPr>
              <w:t>5</w:t>
            </w:r>
            <w:r>
              <w:rPr>
                <w:rFonts w:hint="eastAsia" w:ascii="宋体" w:hAnsi="宋体" w:eastAsia="宋体" w:cs="宋体"/>
                <w:position w:val="29"/>
                <w:sz w:val="24"/>
                <w:szCs w:val="24"/>
                <w:highlight w:val="none"/>
              </w:rPr>
              <w:t>分） ，合理（1-3 分） ，不合理不计分</w:t>
            </w:r>
            <w:r>
              <w:rPr>
                <w:rFonts w:hint="eastAsia" w:ascii="宋体" w:hAnsi="宋体" w:eastAsia="宋体" w:cs="宋体"/>
                <w:position w:val="29"/>
                <w:sz w:val="24"/>
                <w:szCs w:val="24"/>
                <w:highlight w:val="none"/>
                <w:lang w:val="en-US" w:eastAsia="zh-CN"/>
              </w:rPr>
              <w:t>.</w:t>
            </w:r>
          </w:p>
        </w:tc>
      </w:tr>
      <w:tr w14:paraId="3BEE97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5" w:hRule="atLeast"/>
        </w:trPr>
        <w:tc>
          <w:tcPr>
            <w:tcW w:w="703" w:type="dxa"/>
            <w:shd w:val="clear" w:color="auto" w:fill="auto"/>
            <w:vAlign w:val="top"/>
          </w:tcPr>
          <w:p w14:paraId="2241C192">
            <w:pPr>
              <w:pStyle w:val="36"/>
              <w:spacing w:before="65" w:line="240" w:lineRule="auto"/>
              <w:ind w:left="99"/>
              <w:jc w:val="center"/>
              <w:rPr>
                <w:rFonts w:hint="eastAsia" w:ascii="宋体" w:hAnsi="宋体" w:eastAsia="宋体" w:cs="宋体"/>
                <w:position w:val="29"/>
                <w:sz w:val="24"/>
                <w:szCs w:val="24"/>
                <w:highlight w:val="none"/>
              </w:rPr>
            </w:pPr>
          </w:p>
          <w:p w14:paraId="60CD2A89">
            <w:pPr>
              <w:pStyle w:val="36"/>
              <w:spacing w:before="65" w:line="240" w:lineRule="auto"/>
              <w:jc w:val="center"/>
              <w:rPr>
                <w:rFonts w:hint="eastAsia" w:ascii="宋体" w:hAnsi="宋体" w:eastAsia="宋体" w:cs="宋体"/>
                <w:kern w:val="2"/>
                <w:position w:val="29"/>
                <w:sz w:val="24"/>
                <w:szCs w:val="24"/>
                <w:highlight w:val="none"/>
                <w:lang w:val="en-US" w:eastAsia="en-US" w:bidi="ar-SA"/>
              </w:rPr>
            </w:pPr>
            <w:r>
              <w:rPr>
                <w:rFonts w:hint="eastAsia" w:ascii="宋体" w:hAnsi="宋体" w:eastAsia="宋体" w:cs="宋体"/>
                <w:position w:val="29"/>
                <w:sz w:val="24"/>
                <w:szCs w:val="24"/>
                <w:highlight w:val="none"/>
              </w:rPr>
              <w:t>6</w:t>
            </w:r>
          </w:p>
        </w:tc>
        <w:tc>
          <w:tcPr>
            <w:tcW w:w="1308" w:type="dxa"/>
            <w:shd w:val="clear" w:color="auto" w:fill="auto"/>
            <w:vAlign w:val="top"/>
          </w:tcPr>
          <w:p w14:paraId="1D6DD3C1">
            <w:pPr>
              <w:pStyle w:val="36"/>
              <w:spacing w:before="65" w:line="240" w:lineRule="auto"/>
              <w:ind w:left="99" w:leftChars="0"/>
              <w:jc w:val="center"/>
              <w:rPr>
                <w:rFonts w:hint="eastAsia" w:ascii="宋体" w:hAnsi="宋体" w:eastAsia="宋体" w:cs="宋体"/>
                <w:kern w:val="2"/>
                <w:position w:val="29"/>
                <w:sz w:val="24"/>
                <w:szCs w:val="24"/>
                <w:highlight w:val="none"/>
                <w:lang w:val="en-US" w:eastAsia="en-US" w:bidi="ar-SA"/>
              </w:rPr>
            </w:pPr>
            <w:r>
              <w:rPr>
                <w:rFonts w:hint="eastAsia" w:ascii="宋体" w:hAnsi="宋体" w:eastAsia="宋体" w:cs="宋体"/>
                <w:position w:val="29"/>
                <w:sz w:val="24"/>
                <w:szCs w:val="24"/>
                <w:highlight w:val="none"/>
              </w:rPr>
              <w:t>拟派项目负责人（总监理工程师）</w:t>
            </w:r>
          </w:p>
        </w:tc>
        <w:tc>
          <w:tcPr>
            <w:tcW w:w="959" w:type="dxa"/>
            <w:shd w:val="clear" w:color="auto" w:fill="auto"/>
            <w:vAlign w:val="top"/>
          </w:tcPr>
          <w:p w14:paraId="6777AB28">
            <w:pPr>
              <w:pStyle w:val="36"/>
              <w:spacing w:before="65" w:line="240" w:lineRule="auto"/>
              <w:ind w:left="99"/>
              <w:jc w:val="center"/>
              <w:rPr>
                <w:rFonts w:hint="eastAsia" w:ascii="宋体" w:hAnsi="宋体" w:eastAsia="宋体" w:cs="宋体"/>
                <w:position w:val="29"/>
                <w:sz w:val="24"/>
                <w:szCs w:val="24"/>
                <w:highlight w:val="none"/>
              </w:rPr>
            </w:pPr>
          </w:p>
          <w:p w14:paraId="7B0E33DE">
            <w:pPr>
              <w:pStyle w:val="36"/>
              <w:spacing w:before="65" w:line="240" w:lineRule="auto"/>
              <w:ind w:firstLine="240" w:firstLineChars="100"/>
              <w:jc w:val="both"/>
              <w:rPr>
                <w:rFonts w:hint="eastAsia" w:ascii="宋体" w:hAnsi="宋体" w:eastAsia="宋体" w:cs="宋体"/>
                <w:kern w:val="2"/>
                <w:position w:val="29"/>
                <w:sz w:val="24"/>
                <w:szCs w:val="24"/>
                <w:highlight w:val="none"/>
                <w:lang w:val="en-US" w:eastAsia="zh-CN" w:bidi="ar-SA"/>
              </w:rPr>
            </w:pPr>
            <w:r>
              <w:rPr>
                <w:rFonts w:hint="eastAsia" w:ascii="宋体" w:hAnsi="宋体" w:eastAsia="宋体" w:cs="宋体"/>
                <w:position w:val="29"/>
                <w:sz w:val="24"/>
                <w:szCs w:val="24"/>
                <w:highlight w:val="none"/>
                <w:lang w:val="en-US" w:eastAsia="zh-CN"/>
              </w:rPr>
              <w:t>5</w:t>
            </w:r>
            <w:r>
              <w:rPr>
                <w:rFonts w:hint="eastAsia" w:ascii="宋体" w:hAnsi="宋体" w:eastAsia="宋体" w:cs="宋体"/>
                <w:position w:val="29"/>
                <w:sz w:val="24"/>
                <w:szCs w:val="24"/>
                <w:highlight w:val="none"/>
                <w:lang w:eastAsia="zh-CN"/>
              </w:rPr>
              <w:t>分</w:t>
            </w:r>
          </w:p>
        </w:tc>
        <w:tc>
          <w:tcPr>
            <w:tcW w:w="6268" w:type="dxa"/>
            <w:shd w:val="clear" w:color="auto" w:fill="auto"/>
            <w:vAlign w:val="top"/>
          </w:tcPr>
          <w:p w14:paraId="367B68D6">
            <w:pPr>
              <w:pStyle w:val="36"/>
              <w:spacing w:before="65" w:line="240" w:lineRule="auto"/>
              <w:jc w:val="left"/>
              <w:rPr>
                <w:rFonts w:hint="eastAsia" w:ascii="宋体" w:hAnsi="宋体" w:eastAsia="宋体" w:cs="宋体"/>
                <w:position w:val="29"/>
                <w:sz w:val="24"/>
                <w:szCs w:val="24"/>
                <w:highlight w:val="none"/>
              </w:rPr>
            </w:pPr>
            <w:r>
              <w:rPr>
                <w:rFonts w:hint="eastAsia" w:ascii="宋体" w:hAnsi="宋体" w:eastAsia="宋体" w:cs="宋体"/>
                <w:position w:val="29"/>
                <w:sz w:val="24"/>
                <w:szCs w:val="24"/>
                <w:highlight w:val="none"/>
              </w:rPr>
              <w:t xml:space="preserve">具备相关专业高级工程师及以上职称证书得 </w:t>
            </w:r>
            <w:r>
              <w:rPr>
                <w:rFonts w:hint="eastAsia" w:ascii="宋体" w:hAnsi="宋体" w:eastAsia="宋体" w:cs="宋体"/>
                <w:position w:val="29"/>
                <w:sz w:val="24"/>
                <w:szCs w:val="24"/>
                <w:highlight w:val="none"/>
                <w:lang w:val="en-US" w:eastAsia="zh-CN"/>
              </w:rPr>
              <w:t>5</w:t>
            </w:r>
            <w:r>
              <w:rPr>
                <w:rFonts w:hint="eastAsia" w:ascii="宋体" w:hAnsi="宋体" w:eastAsia="宋体" w:cs="宋体"/>
                <w:position w:val="29"/>
                <w:sz w:val="24"/>
                <w:szCs w:val="24"/>
                <w:highlight w:val="none"/>
              </w:rPr>
              <w:t>分，具</w:t>
            </w:r>
          </w:p>
          <w:p w14:paraId="48A67486">
            <w:pPr>
              <w:pStyle w:val="36"/>
              <w:spacing w:before="65" w:line="240" w:lineRule="auto"/>
              <w:ind w:left="99" w:leftChars="0"/>
              <w:jc w:val="left"/>
              <w:rPr>
                <w:rFonts w:hint="eastAsia" w:ascii="宋体" w:hAnsi="宋体" w:eastAsia="宋体" w:cs="宋体"/>
                <w:kern w:val="2"/>
                <w:position w:val="29"/>
                <w:sz w:val="24"/>
                <w:szCs w:val="24"/>
                <w:highlight w:val="none"/>
                <w:lang w:val="en-US" w:eastAsia="zh-CN" w:bidi="ar-SA"/>
              </w:rPr>
            </w:pPr>
            <w:r>
              <w:rPr>
                <w:rFonts w:hint="eastAsia" w:ascii="宋体" w:hAnsi="宋体" w:eastAsia="宋体" w:cs="宋体"/>
                <w:position w:val="29"/>
                <w:sz w:val="24"/>
                <w:szCs w:val="24"/>
                <w:highlight w:val="none"/>
              </w:rPr>
              <w:t xml:space="preserve">备中级职称证书得 </w:t>
            </w:r>
            <w:r>
              <w:rPr>
                <w:rFonts w:hint="eastAsia" w:ascii="宋体" w:hAnsi="宋体" w:eastAsia="宋体" w:cs="宋体"/>
                <w:position w:val="29"/>
                <w:sz w:val="24"/>
                <w:szCs w:val="24"/>
                <w:highlight w:val="none"/>
                <w:lang w:val="en-US" w:eastAsia="zh-CN"/>
              </w:rPr>
              <w:t>4</w:t>
            </w:r>
            <w:r>
              <w:rPr>
                <w:rFonts w:hint="eastAsia" w:ascii="宋体" w:hAnsi="宋体" w:eastAsia="宋体" w:cs="宋体"/>
                <w:position w:val="29"/>
                <w:sz w:val="24"/>
                <w:szCs w:val="24"/>
                <w:highlight w:val="none"/>
              </w:rPr>
              <w:t>分，其余不得分。</w:t>
            </w:r>
            <w:r>
              <w:rPr>
                <w:rFonts w:hint="eastAsia" w:ascii="宋体" w:hAnsi="宋体" w:eastAsia="宋体" w:cs="宋体"/>
                <w:position w:val="29"/>
                <w:sz w:val="24"/>
                <w:szCs w:val="24"/>
                <w:highlight w:val="none"/>
                <w:lang w:eastAsia="zh-CN"/>
              </w:rPr>
              <w:t>（</w:t>
            </w:r>
            <w:r>
              <w:rPr>
                <w:rFonts w:hint="eastAsia" w:ascii="宋体" w:hAnsi="宋体" w:eastAsia="宋体" w:cs="宋体"/>
                <w:position w:val="29"/>
                <w:sz w:val="24"/>
                <w:szCs w:val="24"/>
                <w:highlight w:val="none"/>
                <w:lang w:val="en-US" w:eastAsia="zh-CN"/>
              </w:rPr>
              <w:t>以响应文件中提供的证书复印件为准</w:t>
            </w:r>
            <w:r>
              <w:rPr>
                <w:rFonts w:hint="eastAsia" w:ascii="宋体" w:hAnsi="宋体" w:eastAsia="宋体" w:cs="宋体"/>
                <w:position w:val="29"/>
                <w:sz w:val="24"/>
                <w:szCs w:val="24"/>
                <w:highlight w:val="none"/>
                <w:lang w:eastAsia="zh-CN"/>
              </w:rPr>
              <w:t>）</w:t>
            </w:r>
          </w:p>
        </w:tc>
      </w:tr>
      <w:tr w14:paraId="56B006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03" w:type="dxa"/>
            <w:shd w:val="clear" w:color="auto" w:fill="auto"/>
            <w:vAlign w:val="top"/>
          </w:tcPr>
          <w:p w14:paraId="2A985994">
            <w:pPr>
              <w:pStyle w:val="36"/>
              <w:spacing w:before="65" w:line="240" w:lineRule="auto"/>
              <w:ind w:left="99"/>
              <w:jc w:val="center"/>
              <w:rPr>
                <w:rFonts w:hint="eastAsia" w:ascii="宋体" w:hAnsi="宋体" w:eastAsia="宋体" w:cs="宋体"/>
                <w:position w:val="29"/>
                <w:sz w:val="24"/>
                <w:szCs w:val="24"/>
                <w:highlight w:val="none"/>
              </w:rPr>
            </w:pPr>
          </w:p>
          <w:p w14:paraId="7D47F9EC">
            <w:pPr>
              <w:pStyle w:val="36"/>
              <w:spacing w:before="65" w:line="240" w:lineRule="auto"/>
              <w:ind w:left="99"/>
              <w:jc w:val="center"/>
              <w:rPr>
                <w:rFonts w:hint="eastAsia" w:ascii="宋体" w:hAnsi="宋体" w:eastAsia="宋体" w:cs="宋体"/>
                <w:position w:val="29"/>
                <w:sz w:val="24"/>
                <w:szCs w:val="24"/>
                <w:highlight w:val="none"/>
              </w:rPr>
            </w:pPr>
          </w:p>
          <w:p w14:paraId="76554203">
            <w:pPr>
              <w:pStyle w:val="36"/>
              <w:spacing w:before="65" w:line="240" w:lineRule="auto"/>
              <w:ind w:firstLine="240" w:firstLineChars="100"/>
              <w:jc w:val="both"/>
              <w:rPr>
                <w:rFonts w:hint="eastAsia" w:ascii="宋体" w:hAnsi="宋体" w:eastAsia="宋体" w:cs="宋体"/>
                <w:kern w:val="2"/>
                <w:position w:val="29"/>
                <w:sz w:val="24"/>
                <w:szCs w:val="24"/>
                <w:highlight w:val="none"/>
                <w:lang w:val="en-US" w:eastAsia="zh-CN" w:bidi="ar-SA"/>
              </w:rPr>
            </w:pPr>
            <w:r>
              <w:rPr>
                <w:rFonts w:hint="eastAsia" w:ascii="宋体" w:hAnsi="宋体" w:eastAsia="宋体" w:cs="宋体"/>
                <w:position w:val="29"/>
                <w:sz w:val="24"/>
                <w:szCs w:val="24"/>
                <w:highlight w:val="none"/>
                <w:lang w:val="en-US" w:eastAsia="zh-CN"/>
              </w:rPr>
              <w:t>7</w:t>
            </w:r>
          </w:p>
        </w:tc>
        <w:tc>
          <w:tcPr>
            <w:tcW w:w="1308" w:type="dxa"/>
            <w:shd w:val="clear" w:color="auto" w:fill="auto"/>
            <w:vAlign w:val="top"/>
          </w:tcPr>
          <w:p w14:paraId="2055F084">
            <w:pPr>
              <w:pStyle w:val="36"/>
              <w:spacing w:before="65" w:line="240" w:lineRule="auto"/>
              <w:ind w:left="99"/>
              <w:jc w:val="center"/>
              <w:rPr>
                <w:rFonts w:hint="eastAsia" w:ascii="宋体" w:hAnsi="宋体" w:eastAsia="宋体" w:cs="宋体"/>
                <w:position w:val="29"/>
                <w:sz w:val="24"/>
                <w:szCs w:val="24"/>
                <w:highlight w:val="none"/>
              </w:rPr>
            </w:pPr>
          </w:p>
          <w:p w14:paraId="507F0E5F">
            <w:pPr>
              <w:pStyle w:val="36"/>
              <w:spacing w:before="65" w:line="240" w:lineRule="auto"/>
              <w:ind w:left="99"/>
              <w:jc w:val="center"/>
              <w:rPr>
                <w:rFonts w:hint="eastAsia" w:ascii="宋体" w:hAnsi="宋体" w:eastAsia="宋体" w:cs="宋体"/>
                <w:position w:val="29"/>
                <w:sz w:val="24"/>
                <w:szCs w:val="24"/>
                <w:highlight w:val="none"/>
              </w:rPr>
            </w:pPr>
          </w:p>
          <w:p w14:paraId="7FE31542">
            <w:pPr>
              <w:pStyle w:val="36"/>
              <w:spacing w:before="65" w:line="240" w:lineRule="auto"/>
              <w:ind w:firstLine="240" w:firstLineChars="100"/>
              <w:jc w:val="both"/>
              <w:rPr>
                <w:rFonts w:hint="eastAsia" w:ascii="宋体" w:hAnsi="宋体" w:eastAsia="宋体" w:cs="宋体"/>
                <w:kern w:val="2"/>
                <w:position w:val="29"/>
                <w:sz w:val="24"/>
                <w:szCs w:val="24"/>
                <w:highlight w:val="none"/>
                <w:lang w:val="en-US" w:eastAsia="en-US" w:bidi="ar-SA"/>
              </w:rPr>
            </w:pPr>
            <w:r>
              <w:rPr>
                <w:rFonts w:hint="eastAsia" w:ascii="宋体" w:hAnsi="宋体" w:eastAsia="宋体" w:cs="宋体"/>
                <w:position w:val="29"/>
                <w:sz w:val="24"/>
                <w:szCs w:val="24"/>
                <w:highlight w:val="none"/>
              </w:rPr>
              <w:t>类似业绩</w:t>
            </w:r>
          </w:p>
        </w:tc>
        <w:tc>
          <w:tcPr>
            <w:tcW w:w="959" w:type="dxa"/>
            <w:shd w:val="clear" w:color="auto" w:fill="auto"/>
            <w:vAlign w:val="top"/>
          </w:tcPr>
          <w:p w14:paraId="110E9D53">
            <w:pPr>
              <w:pStyle w:val="36"/>
              <w:spacing w:before="65" w:line="240" w:lineRule="auto"/>
              <w:ind w:left="99"/>
              <w:jc w:val="center"/>
              <w:rPr>
                <w:rFonts w:hint="eastAsia" w:ascii="宋体" w:hAnsi="宋体" w:eastAsia="宋体" w:cs="宋体"/>
                <w:position w:val="29"/>
                <w:sz w:val="24"/>
                <w:szCs w:val="24"/>
                <w:highlight w:val="none"/>
              </w:rPr>
            </w:pPr>
          </w:p>
          <w:p w14:paraId="54CCF5D8">
            <w:pPr>
              <w:pStyle w:val="36"/>
              <w:spacing w:before="65" w:line="240" w:lineRule="auto"/>
              <w:ind w:left="99"/>
              <w:jc w:val="center"/>
              <w:rPr>
                <w:rFonts w:hint="eastAsia" w:ascii="宋体" w:hAnsi="宋体" w:eastAsia="宋体" w:cs="宋体"/>
                <w:position w:val="29"/>
                <w:sz w:val="24"/>
                <w:szCs w:val="24"/>
                <w:highlight w:val="none"/>
              </w:rPr>
            </w:pPr>
          </w:p>
          <w:p w14:paraId="6308F1B5">
            <w:pPr>
              <w:pStyle w:val="36"/>
              <w:spacing w:before="65" w:line="240" w:lineRule="auto"/>
              <w:ind w:firstLine="240" w:firstLineChars="100"/>
              <w:jc w:val="both"/>
              <w:rPr>
                <w:rFonts w:hint="eastAsia" w:ascii="宋体" w:hAnsi="宋体" w:eastAsia="宋体" w:cs="宋体"/>
                <w:kern w:val="2"/>
                <w:position w:val="29"/>
                <w:sz w:val="24"/>
                <w:szCs w:val="24"/>
                <w:highlight w:val="none"/>
                <w:lang w:val="en-US" w:eastAsia="zh-CN" w:bidi="ar-SA"/>
              </w:rPr>
            </w:pPr>
            <w:r>
              <w:rPr>
                <w:rFonts w:hint="eastAsia" w:ascii="宋体" w:hAnsi="宋体" w:eastAsia="宋体" w:cs="宋体"/>
                <w:position w:val="29"/>
                <w:sz w:val="24"/>
                <w:szCs w:val="24"/>
                <w:highlight w:val="none"/>
                <w:lang w:val="en-US" w:eastAsia="zh-CN"/>
              </w:rPr>
              <w:t>2</w:t>
            </w:r>
            <w:r>
              <w:rPr>
                <w:rFonts w:hint="eastAsia" w:ascii="宋体" w:hAnsi="宋体" w:eastAsia="宋体" w:cs="宋体"/>
                <w:position w:val="29"/>
                <w:sz w:val="24"/>
                <w:szCs w:val="24"/>
                <w:highlight w:val="none"/>
              </w:rPr>
              <w:t xml:space="preserve"> 分</w:t>
            </w:r>
          </w:p>
        </w:tc>
        <w:tc>
          <w:tcPr>
            <w:tcW w:w="6268" w:type="dxa"/>
            <w:shd w:val="clear" w:color="auto" w:fill="auto"/>
            <w:vAlign w:val="top"/>
          </w:tcPr>
          <w:p w14:paraId="543909EF">
            <w:pPr>
              <w:pStyle w:val="36"/>
              <w:spacing w:before="65" w:line="240" w:lineRule="auto"/>
              <w:ind w:left="99" w:leftChars="0"/>
              <w:jc w:val="left"/>
              <w:rPr>
                <w:rFonts w:hint="eastAsia" w:ascii="宋体" w:hAnsi="宋体" w:eastAsia="宋体" w:cs="宋体"/>
                <w:kern w:val="2"/>
                <w:position w:val="29"/>
                <w:sz w:val="24"/>
                <w:szCs w:val="24"/>
                <w:highlight w:val="none"/>
                <w:lang w:val="en-US" w:eastAsia="zh-CN" w:bidi="ar-SA"/>
              </w:rPr>
            </w:pPr>
            <w:r>
              <w:rPr>
                <w:rFonts w:hint="eastAsia" w:ascii="宋体" w:hAnsi="宋体" w:eastAsia="宋体" w:cs="宋体"/>
                <w:position w:val="29"/>
                <w:sz w:val="24"/>
                <w:szCs w:val="24"/>
                <w:highlight w:val="none"/>
              </w:rPr>
              <w:t>供应商须提供20</w:t>
            </w:r>
            <w:r>
              <w:rPr>
                <w:rFonts w:hint="eastAsia" w:ascii="宋体" w:hAnsi="宋体" w:eastAsia="宋体" w:cs="宋体"/>
                <w:position w:val="29"/>
                <w:sz w:val="24"/>
                <w:szCs w:val="24"/>
                <w:highlight w:val="none"/>
                <w:lang w:val="en-US" w:eastAsia="zh-CN"/>
              </w:rPr>
              <w:t>22</w:t>
            </w:r>
            <w:r>
              <w:rPr>
                <w:rFonts w:hint="eastAsia" w:ascii="宋体" w:hAnsi="宋体" w:eastAsia="宋体" w:cs="宋体"/>
                <w:position w:val="29"/>
                <w:sz w:val="24"/>
                <w:szCs w:val="24"/>
                <w:highlight w:val="none"/>
              </w:rPr>
              <w:t>年</w:t>
            </w:r>
            <w:r>
              <w:rPr>
                <w:rFonts w:hint="eastAsia" w:ascii="宋体" w:hAnsi="宋体" w:eastAsia="宋体" w:cs="宋体"/>
                <w:position w:val="29"/>
                <w:sz w:val="24"/>
                <w:szCs w:val="24"/>
                <w:highlight w:val="none"/>
                <w:lang w:val="en-US" w:eastAsia="zh-CN"/>
              </w:rPr>
              <w:t>02</w:t>
            </w:r>
            <w:r>
              <w:rPr>
                <w:rFonts w:hint="eastAsia" w:ascii="宋体" w:hAnsi="宋体" w:eastAsia="宋体" w:cs="宋体"/>
                <w:position w:val="29"/>
                <w:sz w:val="24"/>
                <w:szCs w:val="24"/>
                <w:highlight w:val="none"/>
              </w:rPr>
              <w:t xml:space="preserve">月至投标截止日以来类似项目业绩，每提供 1 份得 </w:t>
            </w:r>
            <w:r>
              <w:rPr>
                <w:rFonts w:hint="eastAsia" w:ascii="宋体" w:hAnsi="宋体" w:eastAsia="宋体" w:cs="宋体"/>
                <w:position w:val="29"/>
                <w:sz w:val="24"/>
                <w:szCs w:val="24"/>
                <w:highlight w:val="none"/>
                <w:lang w:val="en-US" w:eastAsia="zh-CN"/>
              </w:rPr>
              <w:t>1</w:t>
            </w:r>
            <w:r>
              <w:rPr>
                <w:rFonts w:hint="eastAsia" w:ascii="宋体" w:hAnsi="宋体" w:eastAsia="宋体" w:cs="宋体"/>
                <w:position w:val="29"/>
                <w:sz w:val="24"/>
                <w:szCs w:val="24"/>
                <w:highlight w:val="none"/>
              </w:rPr>
              <w:t xml:space="preserve"> 分，最高得 </w:t>
            </w:r>
            <w:r>
              <w:rPr>
                <w:rFonts w:hint="eastAsia" w:ascii="宋体" w:hAnsi="宋体" w:eastAsia="宋体" w:cs="宋体"/>
                <w:position w:val="29"/>
                <w:sz w:val="24"/>
                <w:szCs w:val="24"/>
                <w:highlight w:val="none"/>
                <w:lang w:val="en-US" w:eastAsia="zh-CN"/>
              </w:rPr>
              <w:t>2</w:t>
            </w:r>
            <w:r>
              <w:rPr>
                <w:rFonts w:hint="eastAsia" w:ascii="宋体" w:hAnsi="宋体" w:eastAsia="宋体" w:cs="宋体"/>
                <w:position w:val="29"/>
                <w:sz w:val="24"/>
                <w:szCs w:val="24"/>
                <w:highlight w:val="none"/>
              </w:rPr>
              <w:t xml:space="preserve"> 分。</w:t>
            </w:r>
            <w:r>
              <w:rPr>
                <w:rFonts w:hint="eastAsia" w:ascii="宋体" w:hAnsi="宋体" w:eastAsia="宋体" w:cs="宋体"/>
                <w:position w:val="29"/>
                <w:sz w:val="24"/>
                <w:szCs w:val="24"/>
                <w:highlight w:val="none"/>
                <w:lang w:eastAsia="zh-CN"/>
              </w:rPr>
              <w:t>（</w:t>
            </w:r>
            <w:r>
              <w:rPr>
                <w:rFonts w:hint="eastAsia" w:ascii="宋体" w:hAnsi="宋体" w:eastAsia="宋体" w:cs="宋体"/>
                <w:position w:val="29"/>
                <w:sz w:val="24"/>
                <w:szCs w:val="24"/>
                <w:highlight w:val="none"/>
              </w:rPr>
              <w:t>业绩证明以合同复印件或中标通知书为准，供应商在</w:t>
            </w:r>
            <w:r>
              <w:rPr>
                <w:rFonts w:hint="eastAsia" w:ascii="宋体" w:hAnsi="宋体" w:eastAsia="宋体" w:cs="宋体"/>
                <w:position w:val="29"/>
                <w:sz w:val="24"/>
                <w:szCs w:val="24"/>
                <w:highlight w:val="none"/>
                <w:lang w:eastAsia="zh-CN"/>
              </w:rPr>
              <w:t>响应</w:t>
            </w:r>
            <w:r>
              <w:rPr>
                <w:rFonts w:hint="eastAsia" w:ascii="宋体" w:hAnsi="宋体" w:eastAsia="宋体" w:cs="宋体"/>
                <w:position w:val="29"/>
                <w:sz w:val="24"/>
                <w:szCs w:val="24"/>
                <w:highlight w:val="none"/>
              </w:rPr>
              <w:t>文件中附合同或</w:t>
            </w:r>
            <w:r>
              <w:rPr>
                <w:rFonts w:hint="eastAsia" w:ascii="宋体" w:hAnsi="宋体" w:eastAsia="宋体" w:cs="宋体"/>
                <w:position w:val="29"/>
                <w:sz w:val="24"/>
                <w:szCs w:val="24"/>
                <w:highlight w:val="none"/>
                <w:lang w:eastAsia="zh-CN"/>
              </w:rPr>
              <w:t>成交</w:t>
            </w:r>
            <w:r>
              <w:rPr>
                <w:rFonts w:hint="eastAsia" w:ascii="宋体" w:hAnsi="宋体" w:eastAsia="宋体" w:cs="宋体"/>
                <w:position w:val="29"/>
                <w:sz w:val="24"/>
                <w:szCs w:val="24"/>
                <w:highlight w:val="none"/>
              </w:rPr>
              <w:t>通知书的扫描件加盖单位公章）。</w:t>
            </w:r>
          </w:p>
        </w:tc>
      </w:tr>
    </w:tbl>
    <w:p w14:paraId="4951CF95">
      <w:pPr>
        <w:spacing w:before="113" w:line="240" w:lineRule="auto"/>
        <w:jc w:val="center"/>
        <w:rPr>
          <w:rFonts w:hint="eastAsia" w:ascii="宋体" w:hAnsi="宋体" w:eastAsia="宋体" w:cs="宋体"/>
          <w:sz w:val="24"/>
          <w:szCs w:val="24"/>
          <w:highlight w:val="none"/>
        </w:rPr>
      </w:pPr>
    </w:p>
    <w:p w14:paraId="1272DAAE">
      <w:pPr>
        <w:spacing w:before="113" w:line="240" w:lineRule="auto"/>
        <w:jc w:val="center"/>
        <w:rPr>
          <w:rFonts w:hint="eastAsia" w:ascii="宋体" w:hAnsi="宋体" w:eastAsia="宋体" w:cs="宋体"/>
          <w:sz w:val="24"/>
          <w:szCs w:val="24"/>
          <w:highlight w:val="none"/>
        </w:rPr>
      </w:pPr>
    </w:p>
    <w:bookmarkEnd w:id="398"/>
    <w:p w14:paraId="75279C38">
      <w:pPr>
        <w:widowControl/>
        <w:numPr>
          <w:ilvl w:val="0"/>
          <w:numId w:val="6"/>
        </w:numPr>
        <w:spacing w:line="360" w:lineRule="auto"/>
        <w:ind w:firstLine="482" w:firstLineChars="150"/>
        <w:jc w:val="center"/>
        <w:outlineLvl w:val="0"/>
        <w:rPr>
          <w:rFonts w:hint="eastAsia" w:ascii="宋体" w:hAnsi="宋体" w:eastAsia="宋体" w:cs="宋体"/>
          <w:b/>
          <w:sz w:val="32"/>
          <w:szCs w:val="32"/>
          <w:highlight w:val="none"/>
        </w:rPr>
      </w:pPr>
      <w:bookmarkStart w:id="402" w:name="_Toc5022"/>
      <w:r>
        <w:rPr>
          <w:rFonts w:hint="eastAsia" w:ascii="宋体" w:hAnsi="宋体" w:eastAsia="宋体" w:cs="宋体"/>
          <w:b/>
          <w:sz w:val="32"/>
          <w:szCs w:val="32"/>
          <w:highlight w:val="none"/>
        </w:rPr>
        <w:t xml:space="preserve"> </w:t>
      </w:r>
      <w:bookmarkEnd w:id="19"/>
      <w:bookmarkEnd w:id="385"/>
      <w:bookmarkEnd w:id="386"/>
      <w:bookmarkEnd w:id="402"/>
      <w:bookmarkStart w:id="403" w:name="_Toc415499899"/>
      <w:bookmarkStart w:id="404" w:name="_Toc389620241"/>
      <w:bookmarkStart w:id="405" w:name="_Toc31008"/>
      <w:bookmarkStart w:id="406" w:name="_Toc385992401"/>
      <w:bookmarkStart w:id="407" w:name="_Toc58504449"/>
      <w:bookmarkStart w:id="408" w:name="_Toc14975"/>
      <w:bookmarkStart w:id="409" w:name="_Toc500747233"/>
      <w:bookmarkStart w:id="410" w:name="_Toc415499897"/>
      <w:bookmarkStart w:id="411" w:name="_Toc28450"/>
      <w:bookmarkStart w:id="412" w:name="_Toc230583552"/>
      <w:bookmarkStart w:id="413" w:name="_Toc230099803"/>
      <w:bookmarkStart w:id="414" w:name="_Toc249515482"/>
      <w:bookmarkStart w:id="415" w:name="_Toc232395222"/>
      <w:bookmarkStart w:id="416" w:name="_Toc230013638"/>
      <w:bookmarkStart w:id="417" w:name="_Toc70687202"/>
      <w:bookmarkStart w:id="418" w:name="_Toc500747010"/>
      <w:bookmarkStart w:id="419" w:name="_Toc492955459"/>
      <w:bookmarkStart w:id="420" w:name="_Toc232176282"/>
      <w:bookmarkStart w:id="421" w:name="_Toc503063458"/>
      <w:bookmarkStart w:id="422" w:name="_Toc500747106"/>
      <w:bookmarkStart w:id="423" w:name="_Toc496324623"/>
      <w:bookmarkStart w:id="424" w:name="_Toc249525250"/>
      <w:bookmarkStart w:id="425" w:name="_Toc176882552"/>
      <w:bookmarkStart w:id="426" w:name="_Toc249515369"/>
      <w:bookmarkStart w:id="427" w:name="_Toc177995483"/>
      <w:bookmarkStart w:id="428" w:name="_Toc499711087"/>
      <w:bookmarkStart w:id="429" w:name="_Toc499711928"/>
      <w:bookmarkStart w:id="430" w:name="_Toc177189245"/>
      <w:bookmarkStart w:id="431" w:name="_Toc53722865"/>
      <w:bookmarkStart w:id="432" w:name="_Toc256342152"/>
      <w:bookmarkStart w:id="433" w:name="_Toc177817344"/>
      <w:bookmarkStart w:id="434" w:name="_Toc184043058"/>
      <w:r>
        <w:rPr>
          <w:rFonts w:hint="eastAsia" w:ascii="宋体" w:hAnsi="宋体" w:eastAsia="宋体" w:cs="宋体"/>
          <w:b/>
          <w:sz w:val="32"/>
          <w:szCs w:val="32"/>
          <w:highlight w:val="none"/>
        </w:rPr>
        <w:t xml:space="preserve"> </w:t>
      </w:r>
      <w:r>
        <w:rPr>
          <w:rFonts w:hint="eastAsia" w:ascii="宋体" w:hAnsi="宋体" w:eastAsia="宋体" w:cs="宋体"/>
          <w:b/>
          <w:sz w:val="32"/>
          <w:szCs w:val="32"/>
          <w:highlight w:val="none"/>
          <w:lang w:val="en-US" w:eastAsia="zh-CN"/>
        </w:rPr>
        <w:t>合同格式</w:t>
      </w:r>
    </w:p>
    <w:p w14:paraId="15B78BE3">
      <w:pPr>
        <w:widowControl/>
        <w:spacing w:after="312" w:afterLines="100" w:line="400" w:lineRule="atLeast"/>
        <w:ind w:firstLine="482" w:firstLineChars="150"/>
        <w:jc w:val="center"/>
        <w:rPr>
          <w:rFonts w:hint="eastAsia" w:ascii="宋体" w:hAnsi="宋体" w:eastAsia="宋体" w:cs="Times New Roman"/>
          <w:b/>
          <w:bCs/>
          <w:color w:val="auto"/>
          <w:sz w:val="32"/>
          <w:szCs w:val="32"/>
          <w:highlight w:val="none"/>
        </w:rPr>
      </w:pPr>
      <w:r>
        <w:rPr>
          <w:rFonts w:hint="eastAsia" w:ascii="宋体" w:hAnsi="宋体" w:eastAsia="宋体" w:cs="宋体"/>
          <w:b/>
          <w:sz w:val="32"/>
          <w:szCs w:val="32"/>
          <w:highlight w:val="none"/>
        </w:rPr>
        <w:t>（合同样式，仅供参考）</w:t>
      </w:r>
      <w:r>
        <w:rPr>
          <w:rFonts w:hint="eastAsia" w:ascii="宋体" w:hAnsi="宋体" w:eastAsia="宋体" w:cs="宋体"/>
          <w:sz w:val="32"/>
          <w:szCs w:val="32"/>
          <w:highlight w:val="none"/>
        </w:rPr>
        <w:t xml:space="preserve"> </w:t>
      </w:r>
    </w:p>
    <w:p w14:paraId="5240FB2B">
      <w:pPr>
        <w:spacing w:line="360" w:lineRule="auto"/>
        <w:rPr>
          <w:rFonts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（GF-2012-0202）</w:t>
      </w:r>
    </w:p>
    <w:p w14:paraId="0EBA5FA6">
      <w:pPr>
        <w:spacing w:line="360" w:lineRule="auto"/>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 xml:space="preserve"> </w:t>
      </w:r>
    </w:p>
    <w:p w14:paraId="2DC88640">
      <w:pPr>
        <w:spacing w:line="360" w:lineRule="auto"/>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 xml:space="preserve"> </w:t>
      </w:r>
    </w:p>
    <w:p w14:paraId="6A1999DD">
      <w:pPr>
        <w:spacing w:line="360" w:lineRule="auto"/>
        <w:jc w:val="center"/>
        <w:rPr>
          <w:rFonts w:hint="eastAsia" w:ascii="宋体" w:hAnsi="宋体" w:eastAsia="宋体" w:cs="Times New Roman"/>
          <w:b/>
          <w:bCs/>
          <w:color w:val="auto"/>
          <w:sz w:val="32"/>
          <w:szCs w:val="32"/>
          <w:highlight w:val="none"/>
        </w:rPr>
      </w:pPr>
    </w:p>
    <w:p w14:paraId="040250D8">
      <w:pPr>
        <w:spacing w:line="360" w:lineRule="auto"/>
        <w:jc w:val="center"/>
        <w:rPr>
          <w:rFonts w:hint="eastAsia" w:ascii="宋体" w:hAnsi="宋体" w:eastAsia="宋体" w:cs="Times New Roman"/>
          <w:b/>
          <w:bCs/>
          <w:color w:val="auto"/>
          <w:sz w:val="32"/>
          <w:szCs w:val="32"/>
          <w:highlight w:val="none"/>
        </w:rPr>
      </w:pPr>
    </w:p>
    <w:p w14:paraId="6A972636">
      <w:pPr>
        <w:spacing w:line="360" w:lineRule="auto"/>
        <w:jc w:val="center"/>
        <w:rPr>
          <w:rFonts w:hint="eastAsia" w:ascii="宋体" w:hAnsi="宋体" w:eastAsia="宋体" w:cs="Times New Roman"/>
          <w:b/>
          <w:bCs/>
          <w:color w:val="auto"/>
          <w:sz w:val="44"/>
          <w:szCs w:val="44"/>
          <w:highlight w:val="none"/>
        </w:rPr>
      </w:pPr>
    </w:p>
    <w:p w14:paraId="58287442">
      <w:pPr>
        <w:spacing w:line="720" w:lineRule="auto"/>
        <w:jc w:val="center"/>
        <w:rPr>
          <w:rFonts w:hint="eastAsia" w:ascii="宋体" w:hAnsi="宋体" w:eastAsia="宋体" w:cs="Times New Roman"/>
          <w:b/>
          <w:bCs/>
          <w:color w:val="auto"/>
          <w:sz w:val="44"/>
          <w:szCs w:val="44"/>
          <w:highlight w:val="none"/>
        </w:rPr>
      </w:pPr>
      <w:r>
        <w:rPr>
          <w:rFonts w:hint="eastAsia" w:ascii="宋体" w:hAnsi="宋体" w:eastAsia="宋体" w:cs="Times New Roman"/>
          <w:b/>
          <w:bCs/>
          <w:color w:val="auto"/>
          <w:sz w:val="44"/>
          <w:szCs w:val="44"/>
          <w:highlight w:val="none"/>
        </w:rPr>
        <w:t>建设工程监理合同</w:t>
      </w:r>
    </w:p>
    <w:p w14:paraId="3B21A936">
      <w:pPr>
        <w:spacing w:line="720" w:lineRule="auto"/>
        <w:jc w:val="center"/>
        <w:rPr>
          <w:rFonts w:hint="eastAsia" w:ascii="宋体" w:hAnsi="宋体" w:eastAsia="宋体" w:cs="Times New Roman"/>
          <w:b/>
          <w:bCs/>
          <w:color w:val="auto"/>
          <w:sz w:val="44"/>
          <w:szCs w:val="44"/>
          <w:highlight w:val="none"/>
        </w:rPr>
      </w:pPr>
      <w:r>
        <w:rPr>
          <w:rFonts w:hint="eastAsia" w:ascii="宋体" w:hAnsi="宋体" w:eastAsia="宋体" w:cs="Times New Roman"/>
          <w:b/>
          <w:bCs/>
          <w:color w:val="auto"/>
          <w:sz w:val="44"/>
          <w:szCs w:val="44"/>
          <w:highlight w:val="none"/>
        </w:rPr>
        <w:t>（示范文本）</w:t>
      </w:r>
    </w:p>
    <w:p w14:paraId="08A0ED62">
      <w:pPr>
        <w:spacing w:line="360" w:lineRule="auto"/>
        <w:jc w:val="center"/>
        <w:rPr>
          <w:rFonts w:hint="eastAsia" w:ascii="宋体" w:hAnsi="宋体" w:eastAsia="宋体" w:cs="Times New Roman"/>
          <w:b/>
          <w:bCs/>
          <w:color w:val="auto"/>
          <w:sz w:val="44"/>
          <w:szCs w:val="44"/>
          <w:highlight w:val="none"/>
        </w:rPr>
      </w:pPr>
      <w:r>
        <w:rPr>
          <w:rFonts w:hint="eastAsia" w:ascii="宋体" w:hAnsi="宋体" w:eastAsia="宋体" w:cs="Times New Roman"/>
          <w:b/>
          <w:bCs/>
          <w:color w:val="auto"/>
          <w:sz w:val="44"/>
          <w:szCs w:val="44"/>
          <w:highlight w:val="none"/>
        </w:rPr>
        <w:t xml:space="preserve"> </w:t>
      </w:r>
    </w:p>
    <w:p w14:paraId="0969DB4F">
      <w:pPr>
        <w:spacing w:line="360" w:lineRule="auto"/>
        <w:jc w:val="center"/>
        <w:rPr>
          <w:rFonts w:hint="eastAsia" w:ascii="宋体" w:hAnsi="宋体" w:eastAsia="宋体" w:cs="Times New Roman"/>
          <w:color w:val="auto"/>
          <w:sz w:val="32"/>
          <w:szCs w:val="32"/>
          <w:highlight w:val="none"/>
        </w:rPr>
      </w:pPr>
      <w:r>
        <w:rPr>
          <w:rFonts w:hint="eastAsia" w:ascii="宋体" w:hAnsi="宋体" w:eastAsia="宋体" w:cs="Times New Roman"/>
          <w:color w:val="auto"/>
          <w:sz w:val="32"/>
          <w:szCs w:val="32"/>
          <w:highlight w:val="none"/>
        </w:rPr>
        <w:t xml:space="preserve"> </w:t>
      </w:r>
    </w:p>
    <w:p w14:paraId="4115361E">
      <w:pPr>
        <w:spacing w:line="360" w:lineRule="auto"/>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 xml:space="preserve"> </w:t>
      </w:r>
    </w:p>
    <w:p w14:paraId="07E11323">
      <w:pPr>
        <w:spacing w:line="360" w:lineRule="auto"/>
        <w:jc w:val="center"/>
        <w:rPr>
          <w:rFonts w:hint="eastAsia" w:ascii="宋体" w:hAnsi="宋体" w:eastAsia="宋体" w:cs="Times New Roman"/>
          <w:b/>
          <w:bCs/>
          <w:color w:val="auto"/>
          <w:sz w:val="32"/>
          <w:szCs w:val="32"/>
          <w:highlight w:val="none"/>
        </w:rPr>
      </w:pPr>
    </w:p>
    <w:p w14:paraId="1C464737">
      <w:pPr>
        <w:spacing w:line="360" w:lineRule="auto"/>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 xml:space="preserve"> </w:t>
      </w:r>
    </w:p>
    <w:p w14:paraId="35716FC6">
      <w:pPr>
        <w:spacing w:line="360" w:lineRule="auto"/>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 xml:space="preserve">  住房和城乡建设部</w:t>
      </w:r>
    </w:p>
    <w:p w14:paraId="112482EF">
      <w:pPr>
        <w:spacing w:line="360" w:lineRule="auto"/>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 xml:space="preserve">                                             制定</w:t>
      </w:r>
    </w:p>
    <w:p w14:paraId="1F1881B4">
      <w:pPr>
        <w:spacing w:line="360" w:lineRule="auto"/>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 xml:space="preserve">   国家工商行政管理总局</w:t>
      </w:r>
    </w:p>
    <w:p w14:paraId="0BE38559">
      <w:pPr>
        <w:spacing w:line="360" w:lineRule="auto"/>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第一部分  协议书</w:t>
      </w:r>
    </w:p>
    <w:p w14:paraId="3597C626">
      <w:pPr>
        <w:spacing w:line="360" w:lineRule="auto"/>
        <w:ind w:firstLine="562" w:firstLineChars="200"/>
        <w:jc w:val="center"/>
        <w:rPr>
          <w:rFonts w:hint="eastAsia" w:ascii="宋体" w:hAnsi="宋体" w:eastAsia="宋体" w:cs="Times New Roman"/>
          <w:b/>
          <w:bCs/>
          <w:color w:val="auto"/>
          <w:sz w:val="18"/>
          <w:szCs w:val="18"/>
          <w:highlight w:val="none"/>
        </w:rPr>
      </w:pPr>
      <w:r>
        <w:rPr>
          <w:rFonts w:hint="eastAsia" w:ascii="宋体" w:hAnsi="宋体" w:eastAsia="宋体" w:cs="Times New Roman"/>
          <w:b/>
          <w:bCs/>
          <w:color w:val="auto"/>
          <w:sz w:val="28"/>
          <w:szCs w:val="28"/>
          <w:highlight w:val="none"/>
        </w:rPr>
        <w:t xml:space="preserve"> </w:t>
      </w:r>
    </w:p>
    <w:p w14:paraId="5B52A81E">
      <w:pPr>
        <w:adjustRightInd w:val="0"/>
        <w:snapToGrid w:val="0"/>
        <w:spacing w:line="360" w:lineRule="auto"/>
        <w:ind w:firstLine="551" w:firstLineChars="196"/>
        <w:rPr>
          <w:rFonts w:hint="eastAsia" w:ascii="宋体" w:hAnsi="宋体" w:eastAsia="宋体" w:cs="Times New Roman"/>
          <w:b/>
          <w:bCs/>
          <w:color w:val="auto"/>
          <w:sz w:val="28"/>
          <w:szCs w:val="28"/>
          <w:highlight w:val="none"/>
        </w:rPr>
      </w:pPr>
      <w:r>
        <w:rPr>
          <w:rFonts w:hint="eastAsia" w:ascii="宋体" w:hAnsi="宋体" w:eastAsia="宋体" w:cs="Times New Roman"/>
          <w:b/>
          <w:bCs/>
          <w:color w:val="auto"/>
          <w:sz w:val="28"/>
          <w:szCs w:val="28"/>
          <w:highlight w:val="none"/>
        </w:rPr>
        <w:t>委托人（全称）：</w:t>
      </w:r>
      <w:r>
        <w:rPr>
          <w:rFonts w:hint="eastAsia" w:ascii="宋体" w:hAnsi="宋体" w:eastAsia="宋体" w:cs="Times New Roman"/>
          <w:b/>
          <w:bCs/>
          <w:color w:val="auto"/>
          <w:sz w:val="28"/>
          <w:szCs w:val="28"/>
          <w:highlight w:val="none"/>
          <w:u w:val="single"/>
        </w:rPr>
        <w:t xml:space="preserve"> </w:t>
      </w:r>
      <w:r>
        <w:rPr>
          <w:rFonts w:hint="eastAsia" w:ascii="宋体" w:hAnsi="宋体" w:eastAsia="宋体" w:cs="Times New Roman"/>
          <w:color w:val="auto"/>
          <w:sz w:val="28"/>
          <w:szCs w:val="28"/>
          <w:highlight w:val="none"/>
          <w:u w:val="single"/>
          <w:lang w:val="en-US" w:eastAsia="zh-CN"/>
        </w:rPr>
        <w:t xml:space="preserve">                  </w:t>
      </w:r>
      <w:r>
        <w:rPr>
          <w:rFonts w:hint="eastAsia" w:ascii="宋体" w:hAnsi="宋体" w:eastAsia="宋体" w:cs="Times New Roman"/>
          <w:b/>
          <w:bCs/>
          <w:color w:val="auto"/>
          <w:sz w:val="28"/>
          <w:szCs w:val="28"/>
          <w:highlight w:val="none"/>
          <w:u w:val="single"/>
        </w:rPr>
        <w:t xml:space="preserve">              </w:t>
      </w:r>
    </w:p>
    <w:p w14:paraId="68768108">
      <w:pPr>
        <w:adjustRightInd w:val="0"/>
        <w:snapToGrid w:val="0"/>
        <w:spacing w:line="360" w:lineRule="auto"/>
        <w:ind w:firstLine="551" w:firstLineChars="196"/>
        <w:rPr>
          <w:rFonts w:hint="default" w:ascii="宋体" w:hAnsi="宋体" w:eastAsia="宋体" w:cs="Times New Roman"/>
          <w:color w:val="auto"/>
          <w:sz w:val="28"/>
          <w:szCs w:val="28"/>
          <w:highlight w:val="none"/>
          <w:lang w:val="en-US"/>
        </w:rPr>
      </w:pPr>
      <w:r>
        <w:rPr>
          <w:rFonts w:hint="eastAsia" w:ascii="宋体" w:hAnsi="宋体" w:eastAsia="宋体" w:cs="Times New Roman"/>
          <w:b/>
          <w:bCs/>
          <w:color w:val="auto"/>
          <w:sz w:val="28"/>
          <w:szCs w:val="28"/>
          <w:highlight w:val="none"/>
        </w:rPr>
        <w:t>监理人（全称）：</w:t>
      </w:r>
      <w:r>
        <w:rPr>
          <w:rFonts w:hint="eastAsia" w:ascii="宋体" w:hAnsi="宋体" w:eastAsia="宋体" w:cs="Times New Roman"/>
          <w:b/>
          <w:bCs/>
          <w:color w:val="auto"/>
          <w:sz w:val="28"/>
          <w:szCs w:val="28"/>
          <w:highlight w:val="none"/>
          <w:u w:val="single"/>
        </w:rPr>
        <w:t xml:space="preserve"> </w:t>
      </w:r>
      <w:r>
        <w:rPr>
          <w:rFonts w:hint="eastAsia" w:ascii="宋体" w:hAnsi="宋体" w:eastAsia="宋体" w:cs="Times New Roman"/>
          <w:color w:val="auto"/>
          <w:sz w:val="28"/>
          <w:szCs w:val="28"/>
          <w:highlight w:val="none"/>
          <w:u w:val="single"/>
          <w:lang w:val="en-US" w:eastAsia="zh-CN"/>
        </w:rPr>
        <w:t xml:space="preserve">                                </w:t>
      </w:r>
    </w:p>
    <w:p w14:paraId="4252A0D0">
      <w:pPr>
        <w:adjustRightInd w:val="0"/>
        <w:snapToGrid w:val="0"/>
        <w:spacing w:line="360" w:lineRule="auto"/>
        <w:ind w:firstLine="560" w:firstLineChars="200"/>
        <w:rPr>
          <w:rFonts w:hint="eastAsia" w:ascii="宋体" w:hAnsi="宋体" w:eastAsia="宋体" w:cs="Times New Roman"/>
          <w:color w:val="auto"/>
          <w:sz w:val="28"/>
          <w:szCs w:val="28"/>
          <w:highlight w:val="none"/>
          <w:u w:val="single"/>
        </w:rPr>
      </w:pPr>
      <w:r>
        <w:rPr>
          <w:rFonts w:hint="eastAsia" w:ascii="宋体" w:hAnsi="宋体" w:eastAsia="宋体" w:cs="Times New Roman"/>
          <w:color w:val="auto"/>
          <w:sz w:val="28"/>
          <w:szCs w:val="28"/>
          <w:highlight w:val="none"/>
        </w:rPr>
        <w:t>根据《中华人民共和国合同法》、《中华人民共和国建筑法》及其他有关法律、法规，遵循平等、自愿、公平和诚信的原则，双方就下述工程委托监理与相关服务事项协商一致，订立本合同。</w:t>
      </w:r>
    </w:p>
    <w:p w14:paraId="76A997EE">
      <w:pPr>
        <w:spacing w:line="360" w:lineRule="auto"/>
        <w:ind w:firstLine="557" w:firstLineChars="198"/>
        <w:outlineLvl w:val="0"/>
        <w:rPr>
          <w:rFonts w:hint="eastAsia" w:ascii="宋体" w:hAnsi="宋体" w:eastAsia="宋体" w:cs="Times New Roman"/>
          <w:b/>
          <w:bCs/>
          <w:color w:val="auto"/>
          <w:sz w:val="28"/>
          <w:szCs w:val="28"/>
          <w:highlight w:val="none"/>
        </w:rPr>
      </w:pPr>
      <w:r>
        <w:rPr>
          <w:rFonts w:hint="eastAsia" w:ascii="宋体" w:hAnsi="宋体" w:eastAsia="宋体" w:cs="Times New Roman"/>
          <w:b/>
          <w:bCs/>
          <w:color w:val="auto"/>
          <w:sz w:val="28"/>
          <w:szCs w:val="28"/>
          <w:highlight w:val="none"/>
        </w:rPr>
        <w:t>一、工程概况</w:t>
      </w:r>
    </w:p>
    <w:p w14:paraId="3BBFCBD5">
      <w:pPr>
        <w:adjustRightInd w:val="0"/>
        <w:snapToGrid w:val="0"/>
        <w:spacing w:line="360" w:lineRule="auto"/>
        <w:ind w:firstLine="554" w:firstLineChars="198"/>
        <w:rPr>
          <w:rFonts w:hint="default" w:ascii="宋体" w:hAnsi="宋体" w:eastAsia="宋体" w:cs="Times New Roman"/>
          <w:color w:val="auto"/>
          <w:sz w:val="28"/>
          <w:szCs w:val="28"/>
          <w:highlight w:val="none"/>
          <w:lang w:val="en-US" w:eastAsia="zh-CN"/>
        </w:rPr>
      </w:pPr>
      <w:r>
        <w:rPr>
          <w:rFonts w:hint="eastAsia" w:ascii="宋体" w:hAnsi="宋体" w:eastAsia="宋体" w:cs="Times New Roman"/>
          <w:color w:val="auto"/>
          <w:sz w:val="28"/>
          <w:szCs w:val="28"/>
          <w:highlight w:val="none"/>
        </w:rPr>
        <w:t>1. 工程名称：</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u w:val="single"/>
          <w:lang w:val="en-US" w:eastAsia="zh-CN"/>
        </w:rPr>
        <w:t xml:space="preserve">                                              </w:t>
      </w:r>
      <w:r>
        <w:rPr>
          <w:rFonts w:hint="eastAsia" w:ascii="宋体" w:hAnsi="宋体" w:eastAsia="宋体" w:cs="Times New Roman"/>
          <w:color w:val="auto"/>
          <w:sz w:val="28"/>
          <w:szCs w:val="28"/>
          <w:highlight w:val="none"/>
          <w:u w:val="none"/>
          <w:lang w:val="en-US" w:eastAsia="zh-CN"/>
        </w:rPr>
        <w:t>；</w:t>
      </w:r>
    </w:p>
    <w:p w14:paraId="44547D2F">
      <w:pPr>
        <w:adjustRightInd w:val="0"/>
        <w:snapToGrid w:val="0"/>
        <w:spacing w:line="360" w:lineRule="auto"/>
        <w:ind w:firstLine="554" w:firstLineChars="198"/>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2. 工程地点：</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u w:val="single"/>
          <w:lang w:val="en-US" w:eastAsia="zh-CN"/>
        </w:rPr>
        <w:t xml:space="preserve">                                             </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rPr>
        <w:t>；</w:t>
      </w:r>
    </w:p>
    <w:p w14:paraId="3FB3C573">
      <w:pPr>
        <w:adjustRightInd w:val="0"/>
        <w:snapToGrid w:val="0"/>
        <w:spacing w:line="360" w:lineRule="auto"/>
        <w:ind w:firstLine="554" w:firstLineChars="198"/>
        <w:rPr>
          <w:rFonts w:hint="default" w:ascii="宋体" w:hAnsi="宋体" w:eastAsia="宋体" w:cs="Times New Roman"/>
          <w:color w:val="auto"/>
          <w:sz w:val="28"/>
          <w:szCs w:val="28"/>
          <w:highlight w:val="none"/>
          <w:u w:val="single"/>
          <w:lang w:val="en-US" w:eastAsia="zh-CN"/>
        </w:rPr>
      </w:pPr>
      <w:r>
        <w:rPr>
          <w:rFonts w:hint="eastAsia" w:ascii="宋体" w:hAnsi="宋体" w:eastAsia="宋体" w:cs="Times New Roman"/>
          <w:color w:val="auto"/>
          <w:sz w:val="28"/>
          <w:szCs w:val="28"/>
          <w:highlight w:val="none"/>
        </w:rPr>
        <w:t>3. 工程规模：</w:t>
      </w:r>
      <w:r>
        <w:rPr>
          <w:rFonts w:hint="eastAsia" w:ascii="宋体" w:hAnsi="宋体" w:eastAsia="宋体" w:cs="Times New Roman"/>
          <w:color w:val="auto"/>
          <w:sz w:val="28"/>
          <w:szCs w:val="28"/>
          <w:highlight w:val="none"/>
          <w:u w:val="single"/>
          <w:lang w:val="en-US" w:eastAsia="zh-CN"/>
        </w:rPr>
        <w:t xml:space="preserve">                                                </w:t>
      </w:r>
      <w:r>
        <w:rPr>
          <w:rFonts w:hint="eastAsia" w:ascii="宋体" w:hAnsi="宋体" w:eastAsia="宋体" w:cs="Times New Roman"/>
          <w:color w:val="auto"/>
          <w:sz w:val="28"/>
          <w:szCs w:val="28"/>
          <w:highlight w:val="none"/>
          <w:u w:val="none"/>
          <w:lang w:val="en-US" w:eastAsia="zh-CN"/>
        </w:rPr>
        <w:t>；</w:t>
      </w:r>
    </w:p>
    <w:p w14:paraId="674CAC03">
      <w:pPr>
        <w:adjustRightInd w:val="0"/>
        <w:snapToGrid w:val="0"/>
        <w:spacing w:line="360" w:lineRule="auto"/>
        <w:ind w:firstLine="554" w:firstLineChars="198"/>
        <w:jc w:val="left"/>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4. 工程</w:t>
      </w:r>
      <w:r>
        <w:rPr>
          <w:rFonts w:hint="eastAsia" w:ascii="宋体" w:hAnsi="宋体" w:eastAsia="宋体" w:cs="Times New Roman"/>
          <w:color w:val="auto"/>
          <w:kern w:val="0"/>
          <w:sz w:val="28"/>
          <w:szCs w:val="28"/>
          <w:highlight w:val="none"/>
        </w:rPr>
        <w:t>概算投资</w:t>
      </w:r>
      <w:r>
        <w:rPr>
          <w:rFonts w:hint="eastAsia" w:ascii="宋体" w:hAnsi="宋体" w:eastAsia="宋体" w:cs="宋体"/>
          <w:color w:val="auto"/>
          <w:kern w:val="0"/>
          <w:sz w:val="28"/>
          <w:szCs w:val="28"/>
          <w:highlight w:val="none"/>
        </w:rPr>
        <w:t>额或建筑安装工程费</w:t>
      </w:r>
      <w:r>
        <w:rPr>
          <w:rFonts w:hint="eastAsia" w:ascii="宋体" w:hAnsi="宋体" w:eastAsia="宋体" w:cs="Times New Roman"/>
          <w:color w:val="auto"/>
          <w:sz w:val="28"/>
          <w:szCs w:val="28"/>
          <w:highlight w:val="none"/>
        </w:rPr>
        <w:t>：</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u w:val="single"/>
          <w:lang w:val="en-US" w:eastAsia="zh-CN"/>
        </w:rPr>
        <w:t xml:space="preserve">                      </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rPr>
        <w:t>。</w:t>
      </w:r>
    </w:p>
    <w:p w14:paraId="36379BAB">
      <w:pPr>
        <w:spacing w:line="360" w:lineRule="auto"/>
        <w:ind w:firstLine="557" w:firstLineChars="198"/>
        <w:rPr>
          <w:rFonts w:hint="eastAsia" w:ascii="宋体" w:hAnsi="宋体" w:eastAsia="宋体" w:cs="Times New Roman"/>
          <w:b/>
          <w:bCs/>
          <w:color w:val="auto"/>
          <w:sz w:val="28"/>
          <w:szCs w:val="28"/>
          <w:highlight w:val="none"/>
        </w:rPr>
      </w:pPr>
      <w:r>
        <w:rPr>
          <w:rFonts w:hint="eastAsia" w:ascii="宋体" w:hAnsi="宋体" w:eastAsia="宋体" w:cs="Times New Roman"/>
          <w:b/>
          <w:bCs/>
          <w:color w:val="auto"/>
          <w:sz w:val="28"/>
          <w:szCs w:val="28"/>
          <w:highlight w:val="none"/>
        </w:rPr>
        <w:t>二、词语限定</w:t>
      </w:r>
    </w:p>
    <w:p w14:paraId="42D4A1C4">
      <w:pPr>
        <w:adjustRightInd w:val="0"/>
        <w:snapToGrid w:val="0"/>
        <w:spacing w:line="360" w:lineRule="auto"/>
        <w:ind w:firstLine="554" w:firstLineChars="198"/>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协议书中相关词语的含义与通用条件中的定义与解释相同。</w:t>
      </w:r>
    </w:p>
    <w:p w14:paraId="4E0D99EF">
      <w:pPr>
        <w:spacing w:line="360" w:lineRule="auto"/>
        <w:ind w:firstLine="557" w:firstLineChars="198"/>
        <w:outlineLvl w:val="0"/>
        <w:rPr>
          <w:rFonts w:hint="eastAsia" w:ascii="宋体" w:hAnsi="宋体" w:eastAsia="宋体" w:cs="Times New Roman"/>
          <w:b/>
          <w:bCs/>
          <w:color w:val="auto"/>
          <w:sz w:val="28"/>
          <w:szCs w:val="28"/>
          <w:highlight w:val="none"/>
        </w:rPr>
      </w:pPr>
      <w:r>
        <w:rPr>
          <w:rFonts w:hint="eastAsia" w:ascii="宋体" w:hAnsi="宋体" w:eastAsia="宋体" w:cs="Times New Roman"/>
          <w:b/>
          <w:bCs/>
          <w:color w:val="auto"/>
          <w:sz w:val="28"/>
          <w:szCs w:val="28"/>
          <w:highlight w:val="none"/>
        </w:rPr>
        <w:t>三、组成本合同的文件</w:t>
      </w:r>
    </w:p>
    <w:p w14:paraId="71143013">
      <w:pPr>
        <w:adjustRightInd w:val="0"/>
        <w:snapToGrid w:val="0"/>
        <w:spacing w:line="360" w:lineRule="auto"/>
        <w:ind w:firstLine="554" w:firstLineChars="198"/>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1. 协议书；</w:t>
      </w:r>
    </w:p>
    <w:p w14:paraId="0FF544C5">
      <w:pPr>
        <w:adjustRightInd w:val="0"/>
        <w:snapToGrid w:val="0"/>
        <w:spacing w:line="360" w:lineRule="auto"/>
        <w:ind w:firstLine="554" w:firstLineChars="198"/>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2. 中标通知书（适用于招标工程）或委托书（适用于非招标工程）；</w:t>
      </w:r>
    </w:p>
    <w:p w14:paraId="3A8C911C">
      <w:pPr>
        <w:adjustRightInd w:val="0"/>
        <w:snapToGrid w:val="0"/>
        <w:spacing w:line="360" w:lineRule="auto"/>
        <w:ind w:firstLine="554" w:firstLineChars="198"/>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3. 投标文件（适用于招标工程）或监理与相关服务建议书（适用于非招标工程）；</w:t>
      </w:r>
    </w:p>
    <w:p w14:paraId="2F0DC487">
      <w:pPr>
        <w:adjustRightInd w:val="0"/>
        <w:snapToGrid w:val="0"/>
        <w:spacing w:line="360" w:lineRule="auto"/>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 xml:space="preserve">    4. 专用条件；</w:t>
      </w:r>
    </w:p>
    <w:p w14:paraId="04E743A2">
      <w:pPr>
        <w:adjustRightInd w:val="0"/>
        <w:snapToGrid w:val="0"/>
        <w:spacing w:line="360" w:lineRule="auto"/>
        <w:ind w:firstLine="554" w:firstLineChars="198"/>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5. 通用条件；</w:t>
      </w:r>
    </w:p>
    <w:p w14:paraId="62520E06">
      <w:pPr>
        <w:adjustRightInd w:val="0"/>
        <w:snapToGrid w:val="0"/>
        <w:spacing w:line="360" w:lineRule="auto"/>
        <w:ind w:firstLine="554" w:firstLineChars="198"/>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6. 附录，即：</w:t>
      </w:r>
    </w:p>
    <w:p w14:paraId="412AD474">
      <w:pPr>
        <w:adjustRightInd w:val="0"/>
        <w:snapToGrid w:val="0"/>
        <w:spacing w:line="360" w:lineRule="auto"/>
        <w:ind w:firstLine="554" w:firstLineChars="198"/>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附录A  相关服务的范围和内容</w:t>
      </w:r>
    </w:p>
    <w:p w14:paraId="3F6B2F37">
      <w:pPr>
        <w:adjustRightInd w:val="0"/>
        <w:snapToGrid w:val="0"/>
        <w:spacing w:line="360" w:lineRule="auto"/>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附录B  委托人派遣的人员和提供的房屋、资料、设备</w:t>
      </w:r>
    </w:p>
    <w:p w14:paraId="6E40D061">
      <w:pPr>
        <w:adjustRightInd w:val="0"/>
        <w:snapToGrid w:val="0"/>
        <w:spacing w:line="360" w:lineRule="auto"/>
        <w:ind w:firstLine="554" w:firstLineChars="198"/>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本合同签订后，双方依法签订的补充协议也是本合同文件的组成部分。</w:t>
      </w:r>
    </w:p>
    <w:p w14:paraId="5BA2B314">
      <w:pPr>
        <w:spacing w:line="360" w:lineRule="auto"/>
        <w:ind w:firstLine="557" w:firstLineChars="198"/>
        <w:outlineLvl w:val="0"/>
        <w:rPr>
          <w:rFonts w:hint="eastAsia" w:ascii="宋体" w:hAnsi="宋体" w:eastAsia="宋体" w:cs="Times New Roman"/>
          <w:b/>
          <w:bCs/>
          <w:color w:val="auto"/>
          <w:sz w:val="28"/>
          <w:szCs w:val="28"/>
          <w:highlight w:val="none"/>
        </w:rPr>
      </w:pPr>
      <w:r>
        <w:rPr>
          <w:rFonts w:hint="eastAsia" w:ascii="宋体" w:hAnsi="宋体" w:eastAsia="宋体" w:cs="Times New Roman"/>
          <w:b/>
          <w:bCs/>
          <w:color w:val="auto"/>
          <w:sz w:val="28"/>
          <w:szCs w:val="28"/>
          <w:highlight w:val="none"/>
        </w:rPr>
        <w:t>四、总监理工程师</w:t>
      </w:r>
    </w:p>
    <w:p w14:paraId="052FC39D">
      <w:pPr>
        <w:adjustRightInd w:val="0"/>
        <w:snapToGrid w:val="0"/>
        <w:spacing w:line="360" w:lineRule="auto"/>
        <w:ind w:firstLine="554" w:firstLineChars="198"/>
        <w:rPr>
          <w:rFonts w:hint="eastAsia" w:ascii="宋体" w:hAnsi="宋体" w:eastAsia="宋体" w:cs="Times New Roman"/>
          <w:color w:val="auto"/>
          <w:kern w:val="0"/>
          <w:sz w:val="28"/>
          <w:szCs w:val="28"/>
          <w:highlight w:val="none"/>
        </w:rPr>
      </w:pPr>
      <w:r>
        <w:rPr>
          <w:rFonts w:hint="eastAsia" w:ascii="宋体" w:hAnsi="宋体" w:eastAsia="宋体" w:cs="Times New Roman"/>
          <w:color w:val="auto"/>
          <w:kern w:val="0"/>
          <w:sz w:val="28"/>
          <w:szCs w:val="28"/>
          <w:highlight w:val="none"/>
        </w:rPr>
        <w:t>总监理工程师姓名：</w:t>
      </w:r>
      <w:r>
        <w:rPr>
          <w:rFonts w:hint="eastAsia" w:ascii="宋体" w:hAnsi="宋体" w:eastAsia="宋体" w:cs="Times New Roman"/>
          <w:color w:val="auto"/>
          <w:kern w:val="0"/>
          <w:sz w:val="28"/>
          <w:szCs w:val="28"/>
          <w:highlight w:val="none"/>
          <w:u w:val="single"/>
        </w:rPr>
        <w:t xml:space="preserve"> </w:t>
      </w:r>
      <w:r>
        <w:rPr>
          <w:rFonts w:hint="eastAsia" w:ascii="宋体" w:hAnsi="宋体" w:eastAsia="宋体" w:cs="Times New Roman"/>
          <w:color w:val="auto"/>
          <w:kern w:val="0"/>
          <w:sz w:val="28"/>
          <w:szCs w:val="28"/>
          <w:highlight w:val="none"/>
          <w:u w:val="single"/>
          <w:lang w:val="en-US" w:eastAsia="zh-CN"/>
        </w:rPr>
        <w:t xml:space="preserve">      </w:t>
      </w:r>
      <w:r>
        <w:rPr>
          <w:rFonts w:hint="eastAsia" w:ascii="宋体" w:hAnsi="宋体" w:eastAsia="宋体" w:cs="Times New Roman"/>
          <w:color w:val="auto"/>
          <w:kern w:val="0"/>
          <w:sz w:val="28"/>
          <w:szCs w:val="28"/>
          <w:highlight w:val="none"/>
          <w:u w:val="single"/>
        </w:rPr>
        <w:t xml:space="preserve">  </w:t>
      </w:r>
      <w:r>
        <w:rPr>
          <w:rFonts w:hint="eastAsia" w:ascii="宋体" w:hAnsi="宋体" w:eastAsia="宋体" w:cs="Times New Roman"/>
          <w:color w:val="auto"/>
          <w:kern w:val="0"/>
          <w:sz w:val="28"/>
          <w:szCs w:val="28"/>
          <w:highlight w:val="none"/>
        </w:rPr>
        <w:t>，身份证号码：</w:t>
      </w:r>
      <w:r>
        <w:rPr>
          <w:rFonts w:hint="eastAsia" w:ascii="宋体" w:hAnsi="宋体" w:eastAsia="宋体" w:cs="Times New Roman"/>
          <w:color w:val="auto"/>
          <w:kern w:val="0"/>
          <w:sz w:val="28"/>
          <w:szCs w:val="28"/>
          <w:highlight w:val="none"/>
          <w:u w:val="single"/>
        </w:rPr>
        <w:t xml:space="preserve"> </w:t>
      </w:r>
      <w:r>
        <w:rPr>
          <w:rFonts w:hint="eastAsia" w:ascii="宋体" w:hAnsi="宋体" w:eastAsia="宋体" w:cs="Times New Roman"/>
          <w:color w:val="auto"/>
          <w:kern w:val="0"/>
          <w:sz w:val="28"/>
          <w:szCs w:val="28"/>
          <w:highlight w:val="none"/>
          <w:u w:val="single"/>
          <w:lang w:val="en-US" w:eastAsia="zh-CN"/>
        </w:rPr>
        <w:t xml:space="preserve">               </w:t>
      </w:r>
      <w:r>
        <w:rPr>
          <w:rFonts w:hint="eastAsia" w:ascii="宋体" w:hAnsi="宋体" w:eastAsia="宋体" w:cs="Times New Roman"/>
          <w:color w:val="auto"/>
          <w:kern w:val="0"/>
          <w:sz w:val="28"/>
          <w:szCs w:val="28"/>
          <w:highlight w:val="none"/>
          <w:u w:val="single"/>
        </w:rPr>
        <w:t xml:space="preserve">   </w:t>
      </w:r>
      <w:r>
        <w:rPr>
          <w:rFonts w:hint="eastAsia" w:ascii="宋体" w:hAnsi="宋体" w:eastAsia="宋体" w:cs="Times New Roman"/>
          <w:color w:val="auto"/>
          <w:kern w:val="0"/>
          <w:sz w:val="28"/>
          <w:szCs w:val="28"/>
          <w:highlight w:val="none"/>
        </w:rPr>
        <w:t>，注册号：</w:t>
      </w:r>
      <w:r>
        <w:rPr>
          <w:rFonts w:hint="eastAsia" w:ascii="宋体" w:hAnsi="宋体" w:eastAsia="宋体" w:cs="Times New Roman"/>
          <w:color w:val="auto"/>
          <w:kern w:val="0"/>
          <w:sz w:val="28"/>
          <w:szCs w:val="28"/>
          <w:highlight w:val="none"/>
          <w:u w:val="single"/>
        </w:rPr>
        <w:t xml:space="preserve"> </w:t>
      </w:r>
      <w:r>
        <w:rPr>
          <w:rFonts w:hint="eastAsia" w:ascii="宋体" w:hAnsi="宋体" w:eastAsia="宋体" w:cs="Times New Roman"/>
          <w:color w:val="auto"/>
          <w:kern w:val="0"/>
          <w:sz w:val="28"/>
          <w:szCs w:val="28"/>
          <w:highlight w:val="none"/>
          <w:u w:val="single"/>
          <w:lang w:val="en-US" w:eastAsia="zh-CN"/>
        </w:rPr>
        <w:t xml:space="preserve">                   </w:t>
      </w:r>
      <w:r>
        <w:rPr>
          <w:rFonts w:hint="eastAsia" w:ascii="宋体" w:hAnsi="宋体" w:eastAsia="宋体" w:cs="Times New Roman"/>
          <w:color w:val="auto"/>
          <w:kern w:val="0"/>
          <w:sz w:val="28"/>
          <w:szCs w:val="28"/>
          <w:highlight w:val="none"/>
          <w:u w:val="single"/>
        </w:rPr>
        <w:t xml:space="preserve">   </w:t>
      </w:r>
      <w:r>
        <w:rPr>
          <w:rFonts w:hint="eastAsia" w:ascii="宋体" w:hAnsi="宋体" w:eastAsia="宋体" w:cs="Times New Roman"/>
          <w:color w:val="auto"/>
          <w:kern w:val="0"/>
          <w:sz w:val="28"/>
          <w:szCs w:val="28"/>
          <w:highlight w:val="none"/>
        </w:rPr>
        <w:t>。</w:t>
      </w:r>
    </w:p>
    <w:p w14:paraId="59403753">
      <w:pPr>
        <w:numPr>
          <w:ilvl w:val="0"/>
          <w:numId w:val="7"/>
        </w:numPr>
        <w:spacing w:line="360" w:lineRule="auto"/>
        <w:ind w:firstLine="557" w:firstLineChars="198"/>
        <w:outlineLvl w:val="0"/>
        <w:rPr>
          <w:rFonts w:hint="eastAsia" w:ascii="宋体" w:hAnsi="宋体" w:eastAsia="宋体" w:cs="Times New Roman"/>
          <w:b/>
          <w:bCs/>
          <w:color w:val="auto"/>
          <w:sz w:val="28"/>
          <w:szCs w:val="28"/>
          <w:highlight w:val="none"/>
        </w:rPr>
      </w:pPr>
      <w:r>
        <w:rPr>
          <w:rFonts w:hint="eastAsia" w:ascii="宋体" w:hAnsi="宋体" w:eastAsia="宋体" w:cs="Times New Roman"/>
          <w:b/>
          <w:bCs/>
          <w:color w:val="auto"/>
          <w:sz w:val="28"/>
          <w:szCs w:val="28"/>
          <w:highlight w:val="none"/>
        </w:rPr>
        <w:t>签约酬金</w:t>
      </w:r>
    </w:p>
    <w:p w14:paraId="424C5571">
      <w:pPr>
        <w:spacing w:line="360" w:lineRule="auto"/>
        <w:outlineLvl w:val="0"/>
        <w:rPr>
          <w:rFonts w:hint="eastAsia" w:ascii="宋体" w:hAnsi="宋体" w:eastAsia="宋体" w:cs="Times New Roman"/>
          <w:b/>
          <w:bCs/>
          <w:color w:val="auto"/>
          <w:sz w:val="28"/>
          <w:szCs w:val="28"/>
          <w:highlight w:val="none"/>
        </w:rPr>
      </w:pPr>
      <w:r>
        <w:rPr>
          <w:rFonts w:hint="eastAsia" w:ascii="宋体" w:hAnsi="宋体" w:eastAsia="宋体" w:cs="Times New Roman"/>
          <w:b/>
          <w:bCs/>
          <w:color w:val="auto"/>
          <w:sz w:val="28"/>
          <w:szCs w:val="28"/>
          <w:highlight w:val="none"/>
        </w:rPr>
        <w:t xml:space="preserve">    </w:t>
      </w:r>
      <w:r>
        <w:rPr>
          <w:rFonts w:hint="eastAsia" w:ascii="宋体" w:hAnsi="宋体" w:eastAsia="宋体" w:cs="Times New Roman"/>
          <w:color w:val="auto"/>
          <w:sz w:val="28"/>
          <w:szCs w:val="28"/>
          <w:highlight w:val="none"/>
        </w:rPr>
        <w:t>签约酬金：（大写）</w:t>
      </w:r>
      <w:r>
        <w:rPr>
          <w:rFonts w:hint="eastAsia" w:ascii="宋体" w:hAnsi="宋体" w:eastAsia="宋体" w:cs="Times New Roman"/>
          <w:color w:val="auto"/>
          <w:sz w:val="28"/>
          <w:szCs w:val="28"/>
          <w:highlight w:val="none"/>
          <w:u w:val="single"/>
          <w:lang w:val="en-US" w:eastAsia="zh-CN"/>
        </w:rPr>
        <w:t xml:space="preserve">                </w:t>
      </w:r>
      <w:r>
        <w:rPr>
          <w:rFonts w:hint="eastAsia" w:ascii="宋体" w:hAnsi="宋体" w:eastAsia="宋体" w:cs="Times New Roman"/>
          <w:color w:val="auto"/>
          <w:sz w:val="28"/>
          <w:szCs w:val="28"/>
          <w:highlight w:val="none"/>
        </w:rPr>
        <w:t>（￥</w:t>
      </w:r>
      <w:r>
        <w:rPr>
          <w:rFonts w:hint="eastAsia" w:ascii="宋体" w:hAnsi="宋体" w:eastAsia="宋体" w:cs="Times New Roman"/>
          <w:color w:val="auto"/>
          <w:sz w:val="28"/>
          <w:szCs w:val="28"/>
          <w:highlight w:val="none"/>
          <w:u w:val="single"/>
          <w:lang w:val="en-US" w:eastAsia="zh-CN"/>
        </w:rPr>
        <w:t xml:space="preserve">           </w:t>
      </w:r>
      <w:r>
        <w:rPr>
          <w:rFonts w:hint="eastAsia" w:ascii="宋体" w:hAnsi="宋体" w:eastAsia="宋体" w:cs="Times New Roman"/>
          <w:color w:val="auto"/>
          <w:sz w:val="28"/>
          <w:szCs w:val="28"/>
          <w:highlight w:val="none"/>
        </w:rPr>
        <w:t>元）</w:t>
      </w:r>
    </w:p>
    <w:p w14:paraId="036D5A8D">
      <w:pPr>
        <w:adjustRightInd w:val="0"/>
        <w:snapToGrid w:val="0"/>
        <w:spacing w:line="360" w:lineRule="auto"/>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 xml:space="preserve">      包括：</w:t>
      </w:r>
    </w:p>
    <w:p w14:paraId="66CE363E">
      <w:pPr>
        <w:adjustRightInd w:val="0"/>
        <w:snapToGrid w:val="0"/>
        <w:spacing w:line="360" w:lineRule="auto"/>
        <w:ind w:firstLine="700" w:firstLineChars="25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1. 监理酬金：</w:t>
      </w:r>
      <w:r>
        <w:rPr>
          <w:rFonts w:hint="eastAsia" w:ascii="宋体" w:hAnsi="宋体" w:eastAsia="宋体" w:cs="Times New Roman"/>
          <w:color w:val="auto"/>
          <w:sz w:val="28"/>
          <w:szCs w:val="28"/>
          <w:highlight w:val="none"/>
          <w:lang w:val="en-US" w:eastAsia="zh-CN"/>
        </w:rPr>
        <w:t xml:space="preserve"> </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u w:val="single"/>
          <w:lang w:val="en-US" w:eastAsia="zh-CN"/>
        </w:rPr>
        <w:t xml:space="preserve">             </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rPr>
        <w:t>。</w:t>
      </w:r>
    </w:p>
    <w:p w14:paraId="27A49396">
      <w:pPr>
        <w:adjustRightInd w:val="0"/>
        <w:snapToGrid w:val="0"/>
        <w:spacing w:line="360" w:lineRule="auto"/>
        <w:ind w:firstLine="700" w:firstLineChars="25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2. 相关服务酬金：</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u w:val="single"/>
          <w:lang w:val="en-US" w:eastAsia="zh-CN"/>
        </w:rPr>
        <w:t xml:space="preserve"> </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rPr>
        <w:t>。</w:t>
      </w:r>
    </w:p>
    <w:p w14:paraId="028FA6A0">
      <w:pPr>
        <w:adjustRightInd w:val="0"/>
        <w:snapToGrid w:val="0"/>
        <w:spacing w:line="360" w:lineRule="auto"/>
        <w:ind w:firstLine="700" w:firstLineChars="25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其中：</w:t>
      </w:r>
    </w:p>
    <w:p w14:paraId="6DCBE1FE">
      <w:pPr>
        <w:adjustRightInd w:val="0"/>
        <w:snapToGrid w:val="0"/>
        <w:spacing w:line="360" w:lineRule="auto"/>
        <w:ind w:firstLine="1120" w:firstLineChars="400"/>
        <w:rPr>
          <w:rFonts w:hint="eastAsia" w:ascii="宋体" w:hAnsi="宋体" w:eastAsia="宋体" w:cs="Times New Roman"/>
          <w:color w:val="auto"/>
          <w:sz w:val="28"/>
          <w:szCs w:val="28"/>
          <w:highlight w:val="none"/>
        </w:rPr>
      </w:pPr>
      <w:r>
        <w:rPr>
          <w:rFonts w:hint="eastAsia" w:ascii="宋体" w:hAnsi="宋体" w:eastAsia="宋体" w:cs="Times New Roman"/>
          <w:color w:val="auto"/>
          <w:kern w:val="0"/>
          <w:sz w:val="28"/>
          <w:szCs w:val="28"/>
          <w:highlight w:val="none"/>
        </w:rPr>
        <w:t>（1）勘察阶段服务</w:t>
      </w:r>
      <w:r>
        <w:rPr>
          <w:rFonts w:hint="eastAsia" w:ascii="宋体" w:hAnsi="宋体" w:eastAsia="宋体" w:cs="Times New Roman"/>
          <w:color w:val="auto"/>
          <w:sz w:val="28"/>
          <w:szCs w:val="28"/>
          <w:highlight w:val="none"/>
        </w:rPr>
        <w:t>酬金：</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u w:val="single"/>
          <w:lang w:val="en-US" w:eastAsia="zh-CN"/>
        </w:rPr>
        <w:t xml:space="preserve"> </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rPr>
        <w:t>。</w:t>
      </w:r>
    </w:p>
    <w:p w14:paraId="458BD732">
      <w:pPr>
        <w:adjustRightInd w:val="0"/>
        <w:snapToGrid w:val="0"/>
        <w:spacing w:line="360" w:lineRule="auto"/>
        <w:ind w:firstLine="1120" w:firstLineChars="400"/>
        <w:rPr>
          <w:rFonts w:hint="eastAsia" w:ascii="宋体" w:hAnsi="宋体" w:eastAsia="宋体" w:cs="Times New Roman"/>
          <w:color w:val="auto"/>
          <w:sz w:val="28"/>
          <w:szCs w:val="28"/>
          <w:highlight w:val="none"/>
        </w:rPr>
      </w:pPr>
      <w:r>
        <w:rPr>
          <w:rFonts w:hint="eastAsia" w:ascii="宋体" w:hAnsi="宋体" w:eastAsia="宋体" w:cs="Times New Roman"/>
          <w:color w:val="auto"/>
          <w:kern w:val="0"/>
          <w:sz w:val="28"/>
          <w:szCs w:val="28"/>
          <w:highlight w:val="none"/>
        </w:rPr>
        <w:t>（2）设计阶段服务</w:t>
      </w:r>
      <w:r>
        <w:rPr>
          <w:rFonts w:hint="eastAsia" w:ascii="宋体" w:hAnsi="宋体" w:eastAsia="宋体" w:cs="Times New Roman"/>
          <w:color w:val="auto"/>
          <w:sz w:val="28"/>
          <w:szCs w:val="28"/>
          <w:highlight w:val="none"/>
        </w:rPr>
        <w:t>酬金：</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u w:val="single"/>
          <w:lang w:val="en-US" w:eastAsia="zh-CN"/>
        </w:rPr>
        <w:t xml:space="preserve"> </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rPr>
        <w:t>。</w:t>
      </w:r>
    </w:p>
    <w:p w14:paraId="4F467220">
      <w:pPr>
        <w:adjustRightInd w:val="0"/>
        <w:snapToGrid w:val="0"/>
        <w:spacing w:line="360" w:lineRule="auto"/>
        <w:ind w:firstLine="1120" w:firstLineChars="400"/>
        <w:rPr>
          <w:rFonts w:hint="eastAsia" w:ascii="宋体" w:hAnsi="宋体" w:eastAsia="宋体" w:cs="Times New Roman"/>
          <w:color w:val="auto"/>
          <w:sz w:val="28"/>
          <w:szCs w:val="28"/>
          <w:highlight w:val="none"/>
        </w:rPr>
      </w:pPr>
      <w:r>
        <w:rPr>
          <w:rFonts w:hint="eastAsia" w:ascii="宋体" w:hAnsi="宋体" w:eastAsia="宋体" w:cs="Times New Roman"/>
          <w:color w:val="auto"/>
          <w:kern w:val="0"/>
          <w:sz w:val="28"/>
          <w:szCs w:val="28"/>
          <w:highlight w:val="none"/>
        </w:rPr>
        <w:t>（3）保修阶段服务</w:t>
      </w:r>
      <w:r>
        <w:rPr>
          <w:rFonts w:hint="eastAsia" w:ascii="宋体" w:hAnsi="宋体" w:eastAsia="宋体" w:cs="Times New Roman"/>
          <w:color w:val="auto"/>
          <w:sz w:val="28"/>
          <w:szCs w:val="28"/>
          <w:highlight w:val="none"/>
        </w:rPr>
        <w:t>酬金：</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u w:val="single"/>
          <w:lang w:val="en-US" w:eastAsia="zh-CN"/>
        </w:rPr>
        <w:t xml:space="preserve"> </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rPr>
        <w:t>。</w:t>
      </w:r>
    </w:p>
    <w:p w14:paraId="283C81C9">
      <w:pPr>
        <w:adjustRightInd w:val="0"/>
        <w:snapToGrid w:val="0"/>
        <w:spacing w:line="360" w:lineRule="auto"/>
        <w:ind w:firstLine="1120" w:firstLineChars="400"/>
        <w:rPr>
          <w:rFonts w:hint="eastAsia" w:ascii="宋体" w:hAnsi="宋体" w:eastAsia="宋体" w:cs="Times New Roman"/>
          <w:color w:val="auto"/>
          <w:sz w:val="28"/>
          <w:szCs w:val="28"/>
          <w:highlight w:val="none"/>
        </w:rPr>
      </w:pPr>
      <w:r>
        <w:rPr>
          <w:rFonts w:hint="eastAsia" w:ascii="宋体" w:hAnsi="宋体" w:eastAsia="宋体" w:cs="Times New Roman"/>
          <w:color w:val="auto"/>
          <w:kern w:val="0"/>
          <w:sz w:val="28"/>
          <w:szCs w:val="28"/>
          <w:highlight w:val="none"/>
        </w:rPr>
        <w:t>（4）</w:t>
      </w:r>
      <w:r>
        <w:rPr>
          <w:rFonts w:hint="eastAsia" w:ascii="宋体" w:hAnsi="宋体" w:eastAsia="宋体" w:cs="Times New Roman"/>
          <w:color w:val="auto"/>
          <w:sz w:val="28"/>
          <w:szCs w:val="28"/>
          <w:highlight w:val="none"/>
        </w:rPr>
        <w:t>其他相关服务酬金：</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u w:val="single"/>
          <w:lang w:val="en-US" w:eastAsia="zh-CN"/>
        </w:rPr>
        <w:t xml:space="preserve"> </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u w:val="single"/>
          <w:lang w:val="en-US" w:eastAsia="zh-CN"/>
        </w:rPr>
        <w:t xml:space="preserve"> </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rPr>
        <w:t>。</w:t>
      </w:r>
    </w:p>
    <w:p w14:paraId="179F1534">
      <w:pPr>
        <w:spacing w:line="360" w:lineRule="auto"/>
        <w:ind w:firstLine="557" w:firstLineChars="198"/>
        <w:outlineLvl w:val="0"/>
        <w:rPr>
          <w:rFonts w:hint="eastAsia" w:ascii="宋体" w:hAnsi="宋体" w:eastAsia="宋体" w:cs="Times New Roman"/>
          <w:b/>
          <w:bCs/>
          <w:color w:val="auto"/>
          <w:sz w:val="28"/>
          <w:szCs w:val="28"/>
          <w:highlight w:val="none"/>
        </w:rPr>
      </w:pPr>
      <w:r>
        <w:rPr>
          <w:rFonts w:hint="eastAsia" w:ascii="宋体" w:hAnsi="宋体" w:eastAsia="宋体" w:cs="Times New Roman"/>
          <w:b/>
          <w:bCs/>
          <w:color w:val="auto"/>
          <w:sz w:val="28"/>
          <w:szCs w:val="28"/>
          <w:highlight w:val="none"/>
        </w:rPr>
        <w:t>六、期限</w:t>
      </w:r>
    </w:p>
    <w:p w14:paraId="0189E93D">
      <w:pPr>
        <w:adjustRightInd w:val="0"/>
        <w:snapToGrid w:val="0"/>
        <w:spacing w:line="360" w:lineRule="auto"/>
        <w:ind w:firstLine="700" w:firstLineChars="250"/>
        <w:jc w:val="left"/>
        <w:rPr>
          <w:rFonts w:hint="eastAsia" w:ascii="宋体" w:hAnsi="宋体" w:eastAsia="宋体" w:cs="Times New Roman"/>
          <w:color w:val="auto"/>
          <w:sz w:val="28"/>
          <w:szCs w:val="28"/>
          <w:highlight w:val="none"/>
        </w:rPr>
      </w:pPr>
      <w:r>
        <w:rPr>
          <w:rFonts w:hint="eastAsia" w:ascii="宋体" w:hAnsi="宋体" w:eastAsia="宋体" w:cs="Times New Roman"/>
          <w:color w:val="auto"/>
          <w:kern w:val="0"/>
          <w:sz w:val="28"/>
          <w:szCs w:val="28"/>
          <w:highlight w:val="none"/>
        </w:rPr>
        <w:t xml:space="preserve">1. </w:t>
      </w:r>
      <w:r>
        <w:rPr>
          <w:rFonts w:hint="eastAsia" w:ascii="宋体" w:hAnsi="宋体" w:eastAsia="宋体" w:cs="Times New Roman"/>
          <w:color w:val="auto"/>
          <w:sz w:val="28"/>
          <w:szCs w:val="28"/>
          <w:highlight w:val="none"/>
        </w:rPr>
        <w:t>监理期限：</w:t>
      </w:r>
    </w:p>
    <w:p w14:paraId="762266F8">
      <w:pPr>
        <w:adjustRightInd w:val="0"/>
        <w:snapToGrid w:val="0"/>
        <w:spacing w:line="360" w:lineRule="auto"/>
        <w:ind w:firstLine="700" w:firstLineChars="250"/>
        <w:jc w:val="left"/>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自</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u w:val="single"/>
          <w:lang w:val="en-US" w:eastAsia="zh-CN"/>
        </w:rPr>
        <w:t xml:space="preserve">     </w:t>
      </w:r>
      <w:r>
        <w:rPr>
          <w:rFonts w:hint="eastAsia" w:ascii="宋体" w:hAnsi="宋体" w:eastAsia="宋体" w:cs="Times New Roman"/>
          <w:color w:val="auto"/>
          <w:sz w:val="28"/>
          <w:szCs w:val="28"/>
          <w:highlight w:val="none"/>
        </w:rPr>
        <w:t>年</w:t>
      </w:r>
      <w:r>
        <w:rPr>
          <w:rFonts w:hint="eastAsia" w:ascii="宋体" w:hAnsi="宋体" w:eastAsia="宋体" w:cs="Times New Roman"/>
          <w:color w:val="auto"/>
          <w:sz w:val="28"/>
          <w:szCs w:val="28"/>
          <w:highlight w:val="none"/>
          <w:u w:val="single"/>
          <w:lang w:val="en-US" w:eastAsia="zh-CN"/>
        </w:rPr>
        <w:t xml:space="preserve">     </w:t>
      </w:r>
      <w:r>
        <w:rPr>
          <w:rFonts w:hint="eastAsia" w:ascii="宋体" w:hAnsi="宋体" w:eastAsia="宋体" w:cs="Times New Roman"/>
          <w:color w:val="auto"/>
          <w:sz w:val="28"/>
          <w:szCs w:val="28"/>
          <w:highlight w:val="none"/>
        </w:rPr>
        <w:t>月</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u w:val="single"/>
          <w:lang w:val="en-US" w:eastAsia="zh-CN"/>
        </w:rPr>
        <w:t xml:space="preserve"> </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rPr>
        <w:t>日始，至</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u w:val="single"/>
          <w:lang w:val="en-US" w:eastAsia="zh-CN"/>
        </w:rPr>
        <w:t xml:space="preserve">     </w:t>
      </w:r>
      <w:r>
        <w:rPr>
          <w:rFonts w:hint="eastAsia" w:ascii="宋体" w:hAnsi="宋体" w:eastAsia="宋体" w:cs="Times New Roman"/>
          <w:color w:val="auto"/>
          <w:sz w:val="28"/>
          <w:szCs w:val="28"/>
          <w:highlight w:val="none"/>
        </w:rPr>
        <w:t>年</w:t>
      </w:r>
      <w:r>
        <w:rPr>
          <w:rFonts w:hint="eastAsia" w:ascii="宋体" w:hAnsi="宋体" w:eastAsia="宋体" w:cs="Times New Roman"/>
          <w:color w:val="auto"/>
          <w:sz w:val="28"/>
          <w:szCs w:val="28"/>
          <w:highlight w:val="none"/>
          <w:u w:val="single"/>
          <w:lang w:val="en-US" w:eastAsia="zh-CN"/>
        </w:rPr>
        <w:t xml:space="preserve">     </w:t>
      </w:r>
      <w:r>
        <w:rPr>
          <w:rFonts w:hint="eastAsia" w:ascii="宋体" w:hAnsi="宋体" w:eastAsia="宋体" w:cs="Times New Roman"/>
          <w:color w:val="auto"/>
          <w:sz w:val="28"/>
          <w:szCs w:val="28"/>
          <w:highlight w:val="none"/>
        </w:rPr>
        <w:t>月</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u w:val="single"/>
          <w:lang w:val="en-US" w:eastAsia="zh-CN"/>
        </w:rPr>
        <w:t xml:space="preserve"> </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rPr>
        <w:t>日止。</w:t>
      </w:r>
    </w:p>
    <w:p w14:paraId="47820EDD">
      <w:pPr>
        <w:adjustRightInd w:val="0"/>
        <w:snapToGrid w:val="0"/>
        <w:spacing w:line="360" w:lineRule="auto"/>
        <w:ind w:firstLine="700" w:firstLineChars="250"/>
        <w:rPr>
          <w:rFonts w:hint="eastAsia" w:ascii="宋体" w:hAnsi="宋体" w:eastAsia="宋体" w:cs="Times New Roman"/>
          <w:color w:val="auto"/>
          <w:sz w:val="28"/>
          <w:szCs w:val="28"/>
          <w:highlight w:val="none"/>
        </w:rPr>
      </w:pPr>
      <w:r>
        <w:rPr>
          <w:rFonts w:hint="eastAsia" w:ascii="宋体" w:hAnsi="宋体" w:eastAsia="宋体" w:cs="Times New Roman"/>
          <w:color w:val="auto"/>
          <w:kern w:val="0"/>
          <w:sz w:val="28"/>
          <w:szCs w:val="28"/>
          <w:highlight w:val="none"/>
        </w:rPr>
        <w:t xml:space="preserve">2. </w:t>
      </w:r>
      <w:r>
        <w:rPr>
          <w:rFonts w:hint="eastAsia" w:ascii="宋体" w:hAnsi="宋体" w:eastAsia="宋体" w:cs="Times New Roman"/>
          <w:color w:val="auto"/>
          <w:sz w:val="28"/>
          <w:szCs w:val="28"/>
          <w:highlight w:val="none"/>
        </w:rPr>
        <w:t>相关服务期限：</w:t>
      </w:r>
    </w:p>
    <w:p w14:paraId="11CB8D9E">
      <w:pPr>
        <w:adjustRightInd w:val="0"/>
        <w:snapToGrid w:val="0"/>
        <w:spacing w:line="360" w:lineRule="auto"/>
        <w:ind w:firstLine="700" w:firstLineChars="250"/>
        <w:rPr>
          <w:rFonts w:hint="eastAsia" w:ascii="宋体" w:hAnsi="宋体" w:eastAsia="宋体" w:cs="Times New Roman"/>
          <w:color w:val="auto"/>
          <w:sz w:val="28"/>
          <w:szCs w:val="28"/>
          <w:highlight w:val="none"/>
        </w:rPr>
      </w:pPr>
      <w:r>
        <w:rPr>
          <w:rFonts w:hint="eastAsia" w:ascii="宋体" w:hAnsi="宋体" w:eastAsia="宋体" w:cs="Times New Roman"/>
          <w:color w:val="auto"/>
          <w:kern w:val="0"/>
          <w:sz w:val="28"/>
          <w:szCs w:val="28"/>
          <w:highlight w:val="none"/>
        </w:rPr>
        <w:t>（1）勘察阶段</w:t>
      </w:r>
      <w:r>
        <w:rPr>
          <w:rFonts w:hint="eastAsia" w:ascii="宋体" w:hAnsi="宋体" w:eastAsia="宋体" w:cs="Times New Roman"/>
          <w:color w:val="auto"/>
          <w:sz w:val="28"/>
          <w:szCs w:val="28"/>
          <w:highlight w:val="none"/>
        </w:rPr>
        <w:t>服务期限自</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rPr>
        <w:t>年</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u w:val="single"/>
          <w:lang w:val="en-US" w:eastAsia="zh-CN"/>
        </w:rPr>
        <w:t xml:space="preserve"> </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rPr>
        <w:t>月</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rPr>
        <w:t>日始，至</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rPr>
        <w:t>年</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u w:val="single"/>
          <w:lang w:val="en-US" w:eastAsia="zh-CN"/>
        </w:rPr>
        <w:t xml:space="preserve"> </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rPr>
        <w:t>月</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rPr>
        <w:t>日止。</w:t>
      </w:r>
    </w:p>
    <w:p w14:paraId="5B60F49B">
      <w:pPr>
        <w:adjustRightInd w:val="0"/>
        <w:snapToGrid w:val="0"/>
        <w:spacing w:line="360" w:lineRule="auto"/>
        <w:ind w:firstLine="700" w:firstLineChars="250"/>
        <w:rPr>
          <w:rFonts w:hint="eastAsia" w:ascii="宋体" w:hAnsi="宋体" w:eastAsia="宋体" w:cs="Times New Roman"/>
          <w:color w:val="auto"/>
          <w:sz w:val="28"/>
          <w:szCs w:val="28"/>
          <w:highlight w:val="none"/>
        </w:rPr>
      </w:pPr>
      <w:r>
        <w:rPr>
          <w:rFonts w:hint="eastAsia" w:ascii="宋体" w:hAnsi="宋体" w:eastAsia="宋体" w:cs="Times New Roman"/>
          <w:color w:val="auto"/>
          <w:kern w:val="0"/>
          <w:sz w:val="28"/>
          <w:szCs w:val="28"/>
          <w:highlight w:val="none"/>
        </w:rPr>
        <w:t>（2）设计阶段</w:t>
      </w:r>
      <w:r>
        <w:rPr>
          <w:rFonts w:hint="eastAsia" w:ascii="宋体" w:hAnsi="宋体" w:eastAsia="宋体" w:cs="Times New Roman"/>
          <w:color w:val="auto"/>
          <w:sz w:val="28"/>
          <w:szCs w:val="28"/>
          <w:highlight w:val="none"/>
        </w:rPr>
        <w:t>服务期限自</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rPr>
        <w:t>年</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u w:val="single"/>
          <w:lang w:val="en-US" w:eastAsia="zh-CN"/>
        </w:rPr>
        <w:t xml:space="preserve"> </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rPr>
        <w:t>月</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rPr>
        <w:t>日始，至</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rPr>
        <w:t>年</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u w:val="single"/>
          <w:lang w:val="en-US" w:eastAsia="zh-CN"/>
        </w:rPr>
        <w:t xml:space="preserve"> </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rPr>
        <w:t>月</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rPr>
        <w:t>日止。</w:t>
      </w:r>
    </w:p>
    <w:p w14:paraId="5563C9AE">
      <w:pPr>
        <w:adjustRightInd w:val="0"/>
        <w:snapToGrid w:val="0"/>
        <w:spacing w:line="360" w:lineRule="auto"/>
        <w:ind w:firstLine="700" w:firstLineChars="250"/>
        <w:rPr>
          <w:rFonts w:hint="eastAsia" w:ascii="宋体" w:hAnsi="宋体" w:eastAsia="宋体" w:cs="Times New Roman"/>
          <w:color w:val="auto"/>
          <w:sz w:val="28"/>
          <w:szCs w:val="28"/>
          <w:highlight w:val="none"/>
        </w:rPr>
      </w:pPr>
      <w:r>
        <w:rPr>
          <w:rFonts w:hint="eastAsia" w:ascii="宋体" w:hAnsi="宋体" w:eastAsia="宋体" w:cs="Times New Roman"/>
          <w:color w:val="auto"/>
          <w:kern w:val="0"/>
          <w:sz w:val="28"/>
          <w:szCs w:val="28"/>
          <w:highlight w:val="none"/>
        </w:rPr>
        <w:t>（3）保修阶段</w:t>
      </w:r>
      <w:r>
        <w:rPr>
          <w:rFonts w:hint="eastAsia" w:ascii="宋体" w:hAnsi="宋体" w:eastAsia="宋体" w:cs="Times New Roman"/>
          <w:color w:val="auto"/>
          <w:sz w:val="28"/>
          <w:szCs w:val="28"/>
          <w:highlight w:val="none"/>
        </w:rPr>
        <w:t>服务期限自</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rPr>
        <w:t>年</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u w:val="single"/>
          <w:lang w:val="en-US" w:eastAsia="zh-CN"/>
        </w:rPr>
        <w:t xml:space="preserve"> </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rPr>
        <w:t>月</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rPr>
        <w:t>日始，至</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rPr>
        <w:t>年</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u w:val="single"/>
          <w:lang w:val="en-US" w:eastAsia="zh-CN"/>
        </w:rPr>
        <w:t xml:space="preserve"> </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rPr>
        <w:t>月</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rPr>
        <w:t>日止。</w:t>
      </w:r>
    </w:p>
    <w:p w14:paraId="154067B6">
      <w:pPr>
        <w:adjustRightInd w:val="0"/>
        <w:snapToGrid w:val="0"/>
        <w:spacing w:line="360" w:lineRule="auto"/>
        <w:ind w:firstLine="700" w:firstLineChars="250"/>
        <w:rPr>
          <w:rFonts w:hint="eastAsia" w:ascii="宋体" w:hAnsi="宋体" w:eastAsia="宋体" w:cs="Times New Roman"/>
          <w:color w:val="auto"/>
          <w:sz w:val="28"/>
          <w:szCs w:val="28"/>
          <w:highlight w:val="none"/>
        </w:rPr>
      </w:pPr>
      <w:r>
        <w:rPr>
          <w:rFonts w:hint="eastAsia" w:ascii="宋体" w:hAnsi="宋体" w:eastAsia="宋体" w:cs="Times New Roman"/>
          <w:color w:val="auto"/>
          <w:kern w:val="0"/>
          <w:sz w:val="28"/>
          <w:szCs w:val="28"/>
          <w:highlight w:val="none"/>
        </w:rPr>
        <w:t>（4）</w:t>
      </w:r>
      <w:r>
        <w:rPr>
          <w:rFonts w:hint="eastAsia" w:ascii="宋体" w:hAnsi="宋体" w:eastAsia="宋体" w:cs="Times New Roman"/>
          <w:color w:val="auto"/>
          <w:sz w:val="28"/>
          <w:szCs w:val="28"/>
          <w:highlight w:val="none"/>
        </w:rPr>
        <w:t>其他相关服务期限自</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rPr>
        <w:t>年</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u w:val="single"/>
          <w:lang w:val="en-US" w:eastAsia="zh-CN"/>
        </w:rPr>
        <w:t xml:space="preserve"> </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rPr>
        <w:t>月</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rPr>
        <w:t>日始，至</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rPr>
        <w:t>年</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u w:val="single"/>
          <w:lang w:val="en-US" w:eastAsia="zh-CN"/>
        </w:rPr>
        <w:t xml:space="preserve"> </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rPr>
        <w:t>月</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rPr>
        <w:t>日止。</w:t>
      </w:r>
    </w:p>
    <w:p w14:paraId="1208B9ED">
      <w:pPr>
        <w:spacing w:line="360" w:lineRule="auto"/>
        <w:ind w:firstLine="557" w:firstLineChars="198"/>
        <w:outlineLvl w:val="0"/>
        <w:rPr>
          <w:rFonts w:hint="eastAsia" w:ascii="宋体" w:hAnsi="宋体" w:eastAsia="宋体" w:cs="Times New Roman"/>
          <w:b/>
          <w:bCs/>
          <w:color w:val="auto"/>
          <w:sz w:val="28"/>
          <w:szCs w:val="28"/>
          <w:highlight w:val="none"/>
        </w:rPr>
      </w:pPr>
      <w:r>
        <w:rPr>
          <w:rFonts w:hint="eastAsia" w:ascii="宋体" w:hAnsi="宋体" w:eastAsia="宋体" w:cs="Times New Roman"/>
          <w:b/>
          <w:bCs/>
          <w:color w:val="auto"/>
          <w:sz w:val="28"/>
          <w:szCs w:val="28"/>
          <w:highlight w:val="none"/>
        </w:rPr>
        <w:t>七、双方承诺</w:t>
      </w:r>
    </w:p>
    <w:p w14:paraId="2423877E">
      <w:pPr>
        <w:spacing w:line="360" w:lineRule="auto"/>
        <w:ind w:firstLine="554" w:firstLineChars="198"/>
        <w:outlineLvl w:val="0"/>
        <w:rPr>
          <w:rFonts w:hint="eastAsia" w:ascii="宋体" w:hAnsi="宋体" w:eastAsia="宋体" w:cs="Times New Roman"/>
          <w:b/>
          <w:bCs/>
          <w:color w:val="auto"/>
          <w:sz w:val="28"/>
          <w:szCs w:val="28"/>
          <w:highlight w:val="none"/>
        </w:rPr>
      </w:pPr>
      <w:r>
        <w:rPr>
          <w:rFonts w:hint="eastAsia" w:ascii="宋体" w:hAnsi="宋体" w:eastAsia="宋体" w:cs="Times New Roman"/>
          <w:color w:val="auto"/>
          <w:sz w:val="28"/>
          <w:szCs w:val="28"/>
          <w:highlight w:val="none"/>
        </w:rPr>
        <w:t>1. 监理人向委托人承诺，按照本合同约定</w:t>
      </w:r>
      <w:r>
        <w:rPr>
          <w:rFonts w:hint="eastAsia" w:ascii="宋体" w:hAnsi="宋体" w:eastAsia="宋体" w:cs="Times New Roman"/>
          <w:color w:val="auto"/>
          <w:kern w:val="0"/>
          <w:sz w:val="28"/>
          <w:szCs w:val="28"/>
          <w:highlight w:val="none"/>
        </w:rPr>
        <w:t>提供</w:t>
      </w:r>
      <w:r>
        <w:rPr>
          <w:rFonts w:hint="eastAsia" w:ascii="宋体" w:hAnsi="宋体" w:eastAsia="宋体" w:cs="Times New Roman"/>
          <w:color w:val="auto"/>
          <w:sz w:val="28"/>
          <w:szCs w:val="28"/>
          <w:highlight w:val="none"/>
        </w:rPr>
        <w:t>监理与相关服务。</w:t>
      </w:r>
    </w:p>
    <w:p w14:paraId="3B67C4F1">
      <w:pPr>
        <w:spacing w:line="360" w:lineRule="auto"/>
        <w:ind w:firstLine="554" w:firstLineChars="198"/>
        <w:outlineLvl w:val="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2. 委托人向监理人承诺，按照本合同约定派遣相应的人员，提供房屋、资料、设备，并按本合同约定支付酬金。</w:t>
      </w:r>
    </w:p>
    <w:p w14:paraId="28FEF685">
      <w:pPr>
        <w:spacing w:line="360" w:lineRule="auto"/>
        <w:ind w:firstLine="557" w:firstLineChars="198"/>
        <w:outlineLvl w:val="0"/>
        <w:rPr>
          <w:rFonts w:hint="eastAsia" w:ascii="宋体" w:hAnsi="宋体" w:eastAsia="宋体" w:cs="Times New Roman"/>
          <w:b/>
          <w:bCs/>
          <w:color w:val="auto"/>
          <w:sz w:val="28"/>
          <w:szCs w:val="28"/>
          <w:highlight w:val="none"/>
        </w:rPr>
      </w:pPr>
      <w:r>
        <w:rPr>
          <w:rFonts w:hint="eastAsia" w:ascii="宋体" w:hAnsi="宋体" w:eastAsia="宋体" w:cs="Times New Roman"/>
          <w:b/>
          <w:bCs/>
          <w:color w:val="auto"/>
          <w:sz w:val="28"/>
          <w:szCs w:val="28"/>
          <w:highlight w:val="none"/>
        </w:rPr>
        <w:t>八、合同订立</w:t>
      </w:r>
    </w:p>
    <w:p w14:paraId="6E989B07">
      <w:pPr>
        <w:adjustRightInd w:val="0"/>
        <w:snapToGrid w:val="0"/>
        <w:spacing w:line="360" w:lineRule="auto"/>
        <w:ind w:firstLine="554" w:firstLineChars="198"/>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1. 订立时间：</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rPr>
        <w:t>年</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rPr>
        <w:t>月</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rPr>
        <w:t>日。</w:t>
      </w:r>
    </w:p>
    <w:p w14:paraId="71FC974E">
      <w:pPr>
        <w:adjustRightInd w:val="0"/>
        <w:snapToGrid w:val="0"/>
        <w:spacing w:line="360" w:lineRule="auto"/>
        <w:ind w:firstLine="554" w:firstLineChars="198"/>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2. 订立地点：</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rPr>
        <w:t>。</w:t>
      </w:r>
    </w:p>
    <w:p w14:paraId="53B7DF92">
      <w:pPr>
        <w:adjustRightInd w:val="0"/>
        <w:snapToGrid w:val="0"/>
        <w:spacing w:line="360" w:lineRule="auto"/>
        <w:ind w:left="632" w:leftChars="301"/>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3. 本合同一式</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rPr>
        <w:t>份，具有同等法律效力，双方各执</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rPr>
        <w:t>份。</w:t>
      </w:r>
    </w:p>
    <w:p w14:paraId="0DDEC1F7">
      <w:pPr>
        <w:adjustRightInd w:val="0"/>
        <w:snapToGrid w:val="0"/>
        <w:spacing w:line="360" w:lineRule="auto"/>
        <w:ind w:firstLine="554" w:firstLineChars="198"/>
        <w:rPr>
          <w:rFonts w:hint="eastAsia" w:ascii="宋体" w:hAnsi="宋体" w:eastAsia="宋体" w:cs="Times New Roman"/>
          <w:color w:val="auto"/>
          <w:sz w:val="28"/>
          <w:szCs w:val="28"/>
          <w:highlight w:val="none"/>
        </w:rPr>
      </w:pPr>
    </w:p>
    <w:p w14:paraId="51451B44">
      <w:pPr>
        <w:adjustRightInd w:val="0"/>
        <w:snapToGrid w:val="0"/>
        <w:spacing w:line="360" w:lineRule="auto"/>
        <w:ind w:left="6852" w:leftChars="263" w:hanging="6300" w:hangingChars="2250"/>
        <w:rPr>
          <w:rFonts w:hint="default" w:ascii="宋体" w:hAnsi="宋体" w:eastAsia="宋体" w:cs="Times New Roman"/>
          <w:color w:val="auto"/>
          <w:sz w:val="28"/>
          <w:szCs w:val="28"/>
          <w:highlight w:val="none"/>
          <w:u w:val="single"/>
          <w:lang w:val="en-US" w:eastAsia="zh-CN"/>
        </w:rPr>
      </w:pPr>
      <w:r>
        <w:rPr>
          <w:rFonts w:hint="eastAsia" w:ascii="宋体" w:hAnsi="宋体" w:eastAsia="宋体" w:cs="Times New Roman"/>
          <w:color w:val="auto"/>
          <w:sz w:val="28"/>
          <w:szCs w:val="28"/>
          <w:highlight w:val="none"/>
        </w:rPr>
        <w:t>委托人：</w:t>
      </w:r>
      <w:r>
        <w:rPr>
          <w:rFonts w:hint="eastAsia" w:ascii="Times New Roman" w:hAnsi="Times New Roman"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rPr>
        <w:t xml:space="preserve">    监理人：</w:t>
      </w:r>
      <w:r>
        <w:rPr>
          <w:rFonts w:hint="eastAsia" w:ascii="宋体" w:hAnsi="宋体" w:eastAsia="宋体" w:cs="Times New Roman"/>
          <w:color w:val="auto"/>
          <w:sz w:val="28"/>
          <w:szCs w:val="28"/>
          <w:highlight w:val="none"/>
          <w:u w:val="single"/>
          <w:lang w:val="en-US" w:eastAsia="zh-CN"/>
        </w:rPr>
        <w:t xml:space="preserve">                      </w:t>
      </w:r>
    </w:p>
    <w:p w14:paraId="5187ED7D">
      <w:pPr>
        <w:adjustRightInd w:val="0"/>
        <w:snapToGrid w:val="0"/>
        <w:spacing w:line="360" w:lineRule="auto"/>
        <w:ind w:firstLine="554" w:firstLineChars="198"/>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住所：</w:t>
      </w:r>
      <w:r>
        <w:rPr>
          <w:rFonts w:hint="eastAsia" w:ascii="Times New Roman" w:hAnsi="Times New Roman"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rPr>
        <w:t xml:space="preserve">     住所： </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u w:val="single"/>
          <w:lang w:val="en-US" w:eastAsia="zh-CN"/>
        </w:rPr>
        <w:t xml:space="preserve">                 </w:t>
      </w:r>
      <w:r>
        <w:rPr>
          <w:rFonts w:hint="eastAsia" w:ascii="宋体" w:hAnsi="宋体" w:eastAsia="宋体" w:cs="Times New Roman"/>
          <w:color w:val="auto"/>
          <w:sz w:val="28"/>
          <w:szCs w:val="28"/>
          <w:highlight w:val="none"/>
          <w:u w:val="single"/>
        </w:rPr>
        <w:t xml:space="preserve">    </w:t>
      </w:r>
    </w:p>
    <w:p w14:paraId="48A4AE33">
      <w:pPr>
        <w:adjustRightInd w:val="0"/>
        <w:snapToGrid w:val="0"/>
        <w:spacing w:line="360" w:lineRule="auto"/>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邮政编码：</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rPr>
        <w:t xml:space="preserve">     邮政编码：</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u w:val="single"/>
          <w:lang w:val="en-US" w:eastAsia="zh-CN"/>
        </w:rPr>
        <w:t xml:space="preserve">      </w:t>
      </w:r>
      <w:r>
        <w:rPr>
          <w:rFonts w:hint="eastAsia" w:ascii="宋体" w:hAnsi="宋体" w:eastAsia="宋体" w:cs="Times New Roman"/>
          <w:color w:val="auto"/>
          <w:sz w:val="28"/>
          <w:szCs w:val="28"/>
          <w:highlight w:val="none"/>
          <w:u w:val="single"/>
        </w:rPr>
        <w:t xml:space="preserve">             </w:t>
      </w:r>
    </w:p>
    <w:p w14:paraId="74314BF7">
      <w:pPr>
        <w:adjustRightInd w:val="0"/>
        <w:snapToGrid w:val="0"/>
        <w:spacing w:line="360" w:lineRule="auto"/>
        <w:ind w:firstLine="554" w:firstLineChars="198"/>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法定代表人或其授权              法定代表人或其授权</w:t>
      </w:r>
    </w:p>
    <w:p w14:paraId="506A1A1C">
      <w:pPr>
        <w:adjustRightInd w:val="0"/>
        <w:snapToGrid w:val="0"/>
        <w:spacing w:line="360" w:lineRule="auto"/>
        <w:ind w:firstLine="554" w:firstLineChars="198"/>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的代理人：</w:t>
      </w:r>
      <w:r>
        <w:rPr>
          <w:rFonts w:hint="eastAsia" w:ascii="宋体" w:hAnsi="宋体" w:eastAsia="宋体" w:cs="Times New Roman"/>
          <w:color w:val="auto"/>
          <w:sz w:val="28"/>
          <w:szCs w:val="28"/>
          <w:highlight w:val="none"/>
          <w:u w:val="single"/>
        </w:rPr>
        <w:t xml:space="preserve">（签字）          </w:t>
      </w:r>
      <w:r>
        <w:rPr>
          <w:rFonts w:hint="eastAsia" w:ascii="宋体" w:hAnsi="宋体" w:eastAsia="宋体" w:cs="Times New Roman"/>
          <w:color w:val="auto"/>
          <w:sz w:val="28"/>
          <w:szCs w:val="28"/>
          <w:highlight w:val="none"/>
        </w:rPr>
        <w:t xml:space="preserve">     的代理人：</w:t>
      </w:r>
      <w:r>
        <w:rPr>
          <w:rFonts w:hint="eastAsia" w:ascii="宋体" w:hAnsi="宋体" w:eastAsia="宋体" w:cs="Times New Roman"/>
          <w:color w:val="auto"/>
          <w:sz w:val="28"/>
          <w:szCs w:val="28"/>
          <w:highlight w:val="none"/>
          <w:u w:val="single"/>
        </w:rPr>
        <w:t xml:space="preserve">（签字）          </w:t>
      </w:r>
      <w:r>
        <w:rPr>
          <w:rFonts w:hint="eastAsia" w:ascii="宋体" w:hAnsi="宋体" w:eastAsia="宋体" w:cs="Times New Roman"/>
          <w:color w:val="auto"/>
          <w:sz w:val="28"/>
          <w:szCs w:val="28"/>
          <w:highlight w:val="none"/>
          <w:u w:val="single"/>
          <w:lang w:val="en-US" w:eastAsia="zh-CN"/>
        </w:rPr>
        <w:t xml:space="preserve"> </w:t>
      </w:r>
      <w:r>
        <w:rPr>
          <w:rFonts w:hint="eastAsia" w:ascii="宋体" w:hAnsi="宋体" w:eastAsia="宋体" w:cs="Times New Roman"/>
          <w:color w:val="auto"/>
          <w:sz w:val="28"/>
          <w:szCs w:val="28"/>
          <w:highlight w:val="none"/>
          <w:u w:val="single"/>
        </w:rPr>
        <w:t xml:space="preserve">   </w:t>
      </w:r>
    </w:p>
    <w:p w14:paraId="5C1D2732">
      <w:pPr>
        <w:adjustRightInd w:val="0"/>
        <w:snapToGrid w:val="0"/>
        <w:spacing w:line="360" w:lineRule="auto"/>
        <w:ind w:firstLine="554" w:firstLineChars="198"/>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开户银行：</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rPr>
        <w:t xml:space="preserve">     开户银行：</w:t>
      </w:r>
      <w:r>
        <w:rPr>
          <w:rFonts w:hint="eastAsia" w:ascii="宋体" w:hAnsi="宋体" w:eastAsia="宋体" w:cs="Times New Roman"/>
          <w:color w:val="auto"/>
          <w:sz w:val="28"/>
          <w:szCs w:val="28"/>
          <w:highlight w:val="none"/>
          <w:u w:val="single"/>
          <w:lang w:val="en-US" w:eastAsia="zh-CN"/>
        </w:rPr>
        <w:t xml:space="preserve">                   </w:t>
      </w:r>
      <w:r>
        <w:rPr>
          <w:rFonts w:hint="eastAsia" w:ascii="宋体" w:hAnsi="宋体" w:eastAsia="宋体" w:cs="Times New Roman"/>
          <w:color w:val="auto"/>
          <w:sz w:val="28"/>
          <w:szCs w:val="28"/>
          <w:highlight w:val="none"/>
          <w:u w:val="single"/>
        </w:rPr>
        <w:t xml:space="preserve">  </w:t>
      </w:r>
    </w:p>
    <w:p w14:paraId="398A581F">
      <w:pPr>
        <w:adjustRightInd w:val="0"/>
        <w:snapToGrid w:val="0"/>
        <w:spacing w:line="360" w:lineRule="auto"/>
        <w:ind w:firstLine="554" w:firstLineChars="198"/>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账号：</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rPr>
        <w:t xml:space="preserve">     账号：</w:t>
      </w:r>
      <w:r>
        <w:rPr>
          <w:rFonts w:hint="eastAsia" w:ascii="宋体" w:hAnsi="宋体" w:eastAsia="宋体" w:cs="Times New Roman"/>
          <w:color w:val="auto"/>
          <w:sz w:val="28"/>
          <w:szCs w:val="28"/>
          <w:highlight w:val="none"/>
          <w:u w:val="single"/>
          <w:lang w:val="en-US" w:eastAsia="zh-CN"/>
        </w:rPr>
        <w:t xml:space="preserve">                     </w:t>
      </w:r>
      <w:r>
        <w:rPr>
          <w:rFonts w:hint="eastAsia" w:ascii="宋体" w:hAnsi="宋体" w:eastAsia="宋体" w:cs="Times New Roman"/>
          <w:color w:val="auto"/>
          <w:sz w:val="28"/>
          <w:szCs w:val="28"/>
          <w:highlight w:val="none"/>
          <w:u w:val="single"/>
        </w:rPr>
        <w:t xml:space="preserve">    </w:t>
      </w:r>
    </w:p>
    <w:p w14:paraId="0DDC9D53">
      <w:pPr>
        <w:adjustRightInd w:val="0"/>
        <w:snapToGrid w:val="0"/>
        <w:spacing w:line="360" w:lineRule="auto"/>
        <w:ind w:firstLine="554" w:firstLineChars="198"/>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电话：</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rPr>
        <w:t xml:space="preserve">     电话：</w:t>
      </w:r>
      <w:r>
        <w:rPr>
          <w:rFonts w:hint="eastAsia" w:ascii="宋体" w:hAnsi="宋体" w:eastAsia="宋体" w:cs="Times New Roman"/>
          <w:color w:val="auto"/>
          <w:sz w:val="28"/>
          <w:szCs w:val="28"/>
          <w:highlight w:val="none"/>
          <w:u w:val="single"/>
          <w:lang w:val="en-US" w:eastAsia="zh-CN"/>
        </w:rPr>
        <w:t xml:space="preserve">          </w:t>
      </w:r>
      <w:r>
        <w:rPr>
          <w:rFonts w:hint="eastAsia" w:ascii="宋体" w:hAnsi="宋体" w:eastAsia="宋体" w:cs="Times New Roman"/>
          <w:color w:val="auto"/>
          <w:sz w:val="28"/>
          <w:szCs w:val="28"/>
          <w:highlight w:val="none"/>
          <w:u w:val="single"/>
        </w:rPr>
        <w:t xml:space="preserve">               </w:t>
      </w:r>
    </w:p>
    <w:p w14:paraId="6604319D">
      <w:pPr>
        <w:adjustRightInd w:val="0"/>
        <w:snapToGrid w:val="0"/>
        <w:spacing w:line="360" w:lineRule="auto"/>
        <w:ind w:firstLine="554" w:firstLineChars="198"/>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传真：</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rPr>
        <w:t xml:space="preserve">     传真：</w:t>
      </w:r>
      <w:r>
        <w:rPr>
          <w:rFonts w:hint="eastAsia" w:ascii="宋体" w:hAnsi="宋体" w:eastAsia="宋体" w:cs="Times New Roman"/>
          <w:color w:val="auto"/>
          <w:sz w:val="28"/>
          <w:szCs w:val="28"/>
          <w:highlight w:val="none"/>
          <w:u w:val="single"/>
          <w:lang w:val="en-US" w:eastAsia="zh-CN"/>
        </w:rPr>
        <w:t xml:space="preserve">        </w:t>
      </w:r>
      <w:r>
        <w:rPr>
          <w:rFonts w:hint="eastAsia" w:ascii="宋体" w:hAnsi="宋体" w:eastAsia="宋体" w:cs="Times New Roman"/>
          <w:color w:val="auto"/>
          <w:sz w:val="28"/>
          <w:szCs w:val="28"/>
          <w:highlight w:val="none"/>
          <w:u w:val="single"/>
        </w:rPr>
        <w:t xml:space="preserve">                 </w:t>
      </w:r>
    </w:p>
    <w:p w14:paraId="16448082">
      <w:pPr>
        <w:adjustRightInd w:val="0"/>
        <w:snapToGrid w:val="0"/>
        <w:spacing w:line="360" w:lineRule="auto"/>
        <w:ind w:firstLine="554" w:firstLineChars="198"/>
        <w:rPr>
          <w:rFonts w:hint="eastAsia" w:ascii="宋体" w:hAnsi="宋体" w:eastAsia="宋体" w:cs="Times New Roman"/>
          <w:color w:val="auto"/>
          <w:sz w:val="28"/>
          <w:szCs w:val="28"/>
          <w:highlight w:val="none"/>
          <w:u w:val="single"/>
        </w:rPr>
      </w:pPr>
      <w:r>
        <w:rPr>
          <w:rFonts w:hint="eastAsia" w:ascii="宋体" w:hAnsi="宋体" w:eastAsia="宋体" w:cs="Times New Roman"/>
          <w:color w:val="auto"/>
          <w:sz w:val="28"/>
          <w:szCs w:val="28"/>
          <w:highlight w:val="none"/>
        </w:rPr>
        <w:t>电子邮箱：</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rPr>
        <w:t xml:space="preserve">     电子邮箱：</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u w:val="single"/>
          <w:lang w:val="en-US" w:eastAsia="zh-CN"/>
        </w:rPr>
        <w:t xml:space="preserve"> </w:t>
      </w:r>
      <w:r>
        <w:rPr>
          <w:rFonts w:hint="eastAsia" w:ascii="宋体" w:hAnsi="宋体" w:eastAsia="宋体" w:cs="Times New Roman"/>
          <w:color w:val="auto"/>
          <w:sz w:val="28"/>
          <w:szCs w:val="28"/>
          <w:highlight w:val="none"/>
          <w:u w:val="single"/>
        </w:rPr>
        <w:t xml:space="preserve">              </w:t>
      </w:r>
    </w:p>
    <w:p w14:paraId="136C01B7">
      <w:pPr>
        <w:pageBreakBefore/>
        <w:spacing w:line="360" w:lineRule="auto"/>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第二部分  通用条件</w:t>
      </w:r>
    </w:p>
    <w:p w14:paraId="70B1F77E">
      <w:pPr>
        <w:spacing w:line="360" w:lineRule="auto"/>
        <w:jc w:val="center"/>
        <w:rPr>
          <w:rFonts w:hint="eastAsia" w:ascii="宋体" w:hAnsi="宋体" w:eastAsia="宋体" w:cs="Times New Roman"/>
          <w:b/>
          <w:bCs/>
          <w:color w:val="auto"/>
          <w:sz w:val="18"/>
          <w:szCs w:val="18"/>
          <w:highlight w:val="none"/>
        </w:rPr>
      </w:pPr>
      <w:r>
        <w:rPr>
          <w:rFonts w:hint="eastAsia" w:ascii="宋体" w:hAnsi="宋体" w:eastAsia="宋体" w:cs="Times New Roman"/>
          <w:b/>
          <w:bCs/>
          <w:color w:val="auto"/>
          <w:sz w:val="28"/>
          <w:szCs w:val="28"/>
          <w:highlight w:val="none"/>
        </w:rPr>
        <w:t xml:space="preserve"> </w:t>
      </w:r>
    </w:p>
    <w:p w14:paraId="723608E7">
      <w:pPr>
        <w:spacing w:line="360" w:lineRule="auto"/>
        <w:rPr>
          <w:rFonts w:hint="eastAsia" w:ascii="宋体" w:hAnsi="宋体" w:eastAsia="宋体" w:cs="Times New Roman"/>
          <w:b/>
          <w:bCs/>
          <w:color w:val="auto"/>
          <w:sz w:val="28"/>
          <w:szCs w:val="28"/>
          <w:highlight w:val="none"/>
        </w:rPr>
      </w:pPr>
      <w:r>
        <w:rPr>
          <w:rFonts w:hint="eastAsia" w:ascii="宋体" w:hAnsi="宋体" w:eastAsia="宋体" w:cs="Times New Roman"/>
          <w:b/>
          <w:bCs/>
          <w:color w:val="auto"/>
          <w:sz w:val="28"/>
          <w:szCs w:val="28"/>
          <w:highlight w:val="none"/>
        </w:rPr>
        <w:t>1. 定义与解释</w:t>
      </w:r>
    </w:p>
    <w:p w14:paraId="09922B7B">
      <w:pPr>
        <w:spacing w:line="360" w:lineRule="auto"/>
        <w:ind w:left="210" w:leftChars="1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1.1 定义</w:t>
      </w:r>
    </w:p>
    <w:p w14:paraId="2404BEB3">
      <w:pPr>
        <w:adjustRightInd w:val="0"/>
        <w:snapToGrid w:val="0"/>
        <w:spacing w:line="360" w:lineRule="auto"/>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除根据上下文另有其意义外，组成本合同的全部文件中的下列名词和用语应具有本款所赋予的含义：</w:t>
      </w:r>
    </w:p>
    <w:p w14:paraId="1A9D5913">
      <w:pPr>
        <w:adjustRightInd w:val="0"/>
        <w:snapToGrid w:val="0"/>
        <w:spacing w:line="360" w:lineRule="auto"/>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1.1.1 “工程”是指按照本合同约定实施监理与相关服务的建设工程。</w:t>
      </w:r>
    </w:p>
    <w:p w14:paraId="52C0730B">
      <w:pPr>
        <w:adjustRightInd w:val="0"/>
        <w:snapToGrid w:val="0"/>
        <w:spacing w:line="360" w:lineRule="auto"/>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1.1.2 “委托人”是指本合同中委托监理与相关服务的一方，及其合法的继承人或受让人。</w:t>
      </w:r>
    </w:p>
    <w:p w14:paraId="13BA6798">
      <w:pPr>
        <w:adjustRightInd w:val="0"/>
        <w:snapToGrid w:val="0"/>
        <w:spacing w:line="360" w:lineRule="auto"/>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1.1.3 “监理人”是指本合同中提供监理与相关服务的一方，及其合法的继承人。</w:t>
      </w:r>
    </w:p>
    <w:p w14:paraId="7E9E711C">
      <w:pPr>
        <w:adjustRightInd w:val="0"/>
        <w:snapToGrid w:val="0"/>
        <w:spacing w:line="360" w:lineRule="auto"/>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1.1.4 “承包人”是指在工程范围内与委托人签订勘察、设计、施工等有关合同的当事人，及其合法的继承人。</w:t>
      </w:r>
    </w:p>
    <w:p w14:paraId="2C292014">
      <w:pPr>
        <w:spacing w:line="360" w:lineRule="auto"/>
        <w:ind w:firstLine="57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3352D662">
      <w:pPr>
        <w:adjustRightInd w:val="0"/>
        <w:snapToGrid w:val="0"/>
        <w:spacing w:line="360" w:lineRule="auto"/>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1.1.6 “相关服务”是指监理人受委托人的委托 ，按照本合同约定，在勘察、设计、保修等阶段提供的服务活动。</w:t>
      </w:r>
    </w:p>
    <w:p w14:paraId="0E95BDDA">
      <w:pPr>
        <w:adjustRightInd w:val="0"/>
        <w:snapToGrid w:val="0"/>
        <w:spacing w:line="360" w:lineRule="auto"/>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1.1.7 “正常工作”指本合同订立时通用条件和专用条件中约定的监理人的工作。</w:t>
      </w:r>
    </w:p>
    <w:p w14:paraId="15217FED">
      <w:pPr>
        <w:adjustRightInd w:val="0"/>
        <w:snapToGrid w:val="0"/>
        <w:spacing w:line="360" w:lineRule="auto"/>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1.1.8 “附加工作”是指本合同约定的正常工作以外监理人的工作。</w:t>
      </w:r>
    </w:p>
    <w:p w14:paraId="53BAE1E1">
      <w:pPr>
        <w:adjustRightInd w:val="0"/>
        <w:snapToGrid w:val="0"/>
        <w:spacing w:line="360" w:lineRule="auto"/>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1.1.9 “项目监理机构”是指监理人派驻工程负责履行本合同的组织机构。</w:t>
      </w:r>
    </w:p>
    <w:p w14:paraId="351106CD">
      <w:pPr>
        <w:adjustRightInd w:val="0"/>
        <w:snapToGrid w:val="0"/>
        <w:spacing w:line="360" w:lineRule="auto"/>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1.1.10 “总监理工程师”是指由监理人的法定代表人书面授权，全面负责履行本合同、主持项目监理机构工作的注册监理工程师。</w:t>
      </w:r>
    </w:p>
    <w:p w14:paraId="5F67BF32">
      <w:pPr>
        <w:adjustRightInd w:val="0"/>
        <w:snapToGrid w:val="0"/>
        <w:spacing w:line="360" w:lineRule="auto"/>
        <w:ind w:firstLine="554" w:firstLineChars="198"/>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1.1.11 “酬金”是指监理人履行本合同义务，委托人按照本合同约定给付监理人的金额。</w:t>
      </w:r>
    </w:p>
    <w:p w14:paraId="7E038C7D">
      <w:pPr>
        <w:adjustRightInd w:val="0"/>
        <w:snapToGrid w:val="0"/>
        <w:spacing w:line="360" w:lineRule="auto"/>
        <w:ind w:firstLine="554" w:firstLineChars="198"/>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1.1.12 “正常工作</w:t>
      </w:r>
      <w:r>
        <w:rPr>
          <w:rFonts w:hint="eastAsia" w:ascii="宋体" w:hAnsi="宋体" w:eastAsia="宋体" w:cs="宋体"/>
          <w:color w:val="auto"/>
          <w:kern w:val="0"/>
          <w:sz w:val="28"/>
          <w:szCs w:val="28"/>
          <w:highlight w:val="none"/>
        </w:rPr>
        <w:t>酬金”</w:t>
      </w:r>
      <w:r>
        <w:rPr>
          <w:rFonts w:hint="eastAsia" w:ascii="宋体" w:hAnsi="宋体" w:eastAsia="宋体" w:cs="Times New Roman"/>
          <w:color w:val="auto"/>
          <w:sz w:val="28"/>
          <w:szCs w:val="28"/>
          <w:highlight w:val="none"/>
        </w:rPr>
        <w:t>是指监理人完成正常工作，委托人应给付监理人并在协议书中载明的签约</w:t>
      </w:r>
      <w:r>
        <w:rPr>
          <w:rFonts w:hint="eastAsia" w:ascii="宋体" w:hAnsi="宋体" w:eastAsia="宋体" w:cs="宋体"/>
          <w:color w:val="auto"/>
          <w:kern w:val="0"/>
          <w:sz w:val="28"/>
          <w:szCs w:val="28"/>
          <w:highlight w:val="none"/>
        </w:rPr>
        <w:t>酬金额</w:t>
      </w:r>
      <w:r>
        <w:rPr>
          <w:rFonts w:hint="eastAsia" w:ascii="宋体" w:hAnsi="宋体" w:eastAsia="宋体" w:cs="Times New Roman"/>
          <w:color w:val="auto"/>
          <w:sz w:val="28"/>
          <w:szCs w:val="28"/>
          <w:highlight w:val="none"/>
        </w:rPr>
        <w:t>。</w:t>
      </w:r>
    </w:p>
    <w:p w14:paraId="06DDB493">
      <w:pPr>
        <w:adjustRightInd w:val="0"/>
        <w:snapToGrid w:val="0"/>
        <w:spacing w:line="360" w:lineRule="auto"/>
        <w:ind w:firstLine="554" w:firstLineChars="198"/>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1.1.13 “附加工作酬金”是指监理人完成附加工作，委托人应给付监理人的金额。</w:t>
      </w:r>
    </w:p>
    <w:p w14:paraId="1CC28DE8">
      <w:pPr>
        <w:adjustRightInd w:val="0"/>
        <w:snapToGrid w:val="0"/>
        <w:spacing w:line="360" w:lineRule="auto"/>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1.1.14 “一方”是指委托人或监理人；“双方”是指委托人和监理人；“第三方”是指除委托人和监理人以外的有关方。</w:t>
      </w:r>
    </w:p>
    <w:p w14:paraId="6CCC00EB">
      <w:pPr>
        <w:adjustRightInd w:val="0"/>
        <w:snapToGrid w:val="0"/>
        <w:spacing w:line="360" w:lineRule="auto"/>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1.1.15 “书面形式”是指合同书、信件和数据电文（包括电报、电传、传真、电子数据交换和电子邮件）等可以有形地表现所载内容的形式。</w:t>
      </w:r>
    </w:p>
    <w:p w14:paraId="1A5B2136">
      <w:pPr>
        <w:adjustRightInd w:val="0"/>
        <w:snapToGrid w:val="0"/>
        <w:spacing w:line="360" w:lineRule="auto"/>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1.1.16 “天”是指第一天零时至第二天零时的时间。</w:t>
      </w:r>
    </w:p>
    <w:p w14:paraId="41315BCB">
      <w:pPr>
        <w:adjustRightInd w:val="0"/>
        <w:snapToGrid w:val="0"/>
        <w:spacing w:line="360" w:lineRule="auto"/>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1.1.17“月”是指按公历从一个月中任何一天开始的一个公历月时间。</w:t>
      </w:r>
    </w:p>
    <w:p w14:paraId="4DD9D241">
      <w:pPr>
        <w:adjustRightInd w:val="0"/>
        <w:snapToGrid w:val="0"/>
        <w:spacing w:line="360" w:lineRule="auto"/>
        <w:ind w:firstLine="645"/>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1.1.18 “不可抗力”是指委托人和监理人在订立本合同时不可预见，在工程施工过程中不可避免发生并不能克服的自然灾害和社会性突发事件，如地震、海啸、瘟疫、水灾、骚乱、暴动、战争和专用条件约定的其他情形。</w:t>
      </w:r>
    </w:p>
    <w:p w14:paraId="6E404764">
      <w:pPr>
        <w:adjustRightInd w:val="0"/>
        <w:snapToGrid w:val="0"/>
        <w:spacing w:line="360" w:lineRule="auto"/>
        <w:ind w:left="210" w:leftChars="100"/>
        <w:rPr>
          <w:rFonts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1.2 解释</w:t>
      </w:r>
    </w:p>
    <w:p w14:paraId="09B66CEE">
      <w:pPr>
        <w:adjustRightInd w:val="0"/>
        <w:snapToGrid w:val="0"/>
        <w:spacing w:line="360" w:lineRule="auto"/>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1.2.1本合同使用中文书写、解释和说明。如专用条件约定使用两种及以上语言文字时，应以中文为准。</w:t>
      </w:r>
    </w:p>
    <w:p w14:paraId="3F84ACA8">
      <w:pPr>
        <w:adjustRightInd w:val="0"/>
        <w:snapToGrid w:val="0"/>
        <w:spacing w:line="360" w:lineRule="auto"/>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1.2.2 组成本合同的下列文件彼此应能相互解释、互为说明。除专用条件另有约定外，本合同文件的解释顺序如下：</w:t>
      </w:r>
    </w:p>
    <w:p w14:paraId="3F06EE06">
      <w:pPr>
        <w:adjustRightInd w:val="0"/>
        <w:snapToGrid w:val="0"/>
        <w:spacing w:line="360" w:lineRule="auto"/>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（1）协议书；</w:t>
      </w:r>
    </w:p>
    <w:p w14:paraId="4E58461D">
      <w:pPr>
        <w:adjustRightInd w:val="0"/>
        <w:snapToGrid w:val="0"/>
        <w:spacing w:line="360" w:lineRule="auto"/>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（2）中标通知书（适用于招标工程）或委托书（适用于非招标工程）；</w:t>
      </w:r>
    </w:p>
    <w:p w14:paraId="7DF3B98F">
      <w:pPr>
        <w:adjustRightInd w:val="0"/>
        <w:snapToGrid w:val="0"/>
        <w:spacing w:line="360" w:lineRule="auto"/>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（3）专用条件及附录A、附录B；</w:t>
      </w:r>
    </w:p>
    <w:p w14:paraId="4958D9E1">
      <w:pPr>
        <w:adjustRightInd w:val="0"/>
        <w:snapToGrid w:val="0"/>
        <w:spacing w:line="360" w:lineRule="auto"/>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（4）通用条件；</w:t>
      </w:r>
    </w:p>
    <w:p w14:paraId="0EF9F28D">
      <w:pPr>
        <w:adjustRightInd w:val="0"/>
        <w:snapToGrid w:val="0"/>
        <w:spacing w:line="360" w:lineRule="auto"/>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（5）投标文件（适用于招标工程）或监理与相关服务建议书（适用于非招标工程）。</w:t>
      </w:r>
    </w:p>
    <w:p w14:paraId="083F4C65">
      <w:pPr>
        <w:spacing w:line="360" w:lineRule="auto"/>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双方签订的补充协议与其他文件发生矛盾或歧义时，属于同一类内容的文件，应以最新签署的为准。</w:t>
      </w:r>
    </w:p>
    <w:p w14:paraId="5C0EB76F">
      <w:pPr>
        <w:spacing w:line="360" w:lineRule="auto"/>
        <w:rPr>
          <w:rFonts w:hint="eastAsia" w:ascii="宋体" w:hAnsi="宋体" w:eastAsia="宋体" w:cs="Times New Roman"/>
          <w:b/>
          <w:bCs/>
          <w:color w:val="auto"/>
          <w:sz w:val="28"/>
          <w:szCs w:val="28"/>
          <w:highlight w:val="none"/>
        </w:rPr>
      </w:pPr>
      <w:r>
        <w:rPr>
          <w:rFonts w:hint="eastAsia" w:ascii="宋体" w:hAnsi="宋体" w:eastAsia="宋体" w:cs="Times New Roman"/>
          <w:b/>
          <w:bCs/>
          <w:color w:val="auto"/>
          <w:sz w:val="28"/>
          <w:szCs w:val="28"/>
          <w:highlight w:val="none"/>
        </w:rPr>
        <w:t>2. 监理人的义务</w:t>
      </w:r>
    </w:p>
    <w:p w14:paraId="23217EEF">
      <w:pPr>
        <w:adjustRightInd w:val="0"/>
        <w:snapToGrid w:val="0"/>
        <w:spacing w:line="360" w:lineRule="auto"/>
        <w:ind w:left="210" w:leftChars="1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2.1 监理的范围和工作内容</w:t>
      </w:r>
    </w:p>
    <w:p w14:paraId="18F1C1EE">
      <w:pPr>
        <w:adjustRightInd w:val="0"/>
        <w:snapToGrid w:val="0"/>
        <w:spacing w:line="360" w:lineRule="auto"/>
        <w:ind w:left="420" w:left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2.1.1 监理范围在专用条件中约定。</w:t>
      </w:r>
    </w:p>
    <w:p w14:paraId="5F9B497F">
      <w:pPr>
        <w:adjustRightInd w:val="0"/>
        <w:snapToGrid w:val="0"/>
        <w:spacing w:line="360" w:lineRule="auto"/>
        <w:ind w:left="420" w:left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2.1.2 除专用条件另有约定外，监理工作内容包括：</w:t>
      </w:r>
    </w:p>
    <w:p w14:paraId="12963A7A">
      <w:pPr>
        <w:adjustRightInd w:val="0"/>
        <w:snapToGrid w:val="0"/>
        <w:spacing w:line="360" w:lineRule="auto"/>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（1）收到工程设计文件后编制监理规划，并在第一次工地会议7天前报委托人。根据有关规定和监理工作需要，编制监理实施细则；</w:t>
      </w:r>
    </w:p>
    <w:p w14:paraId="7D30C9AC">
      <w:pPr>
        <w:adjustRightInd w:val="0"/>
        <w:snapToGrid w:val="0"/>
        <w:spacing w:line="360" w:lineRule="auto"/>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（2）熟悉工程设计文件，并参加由委托人主持的图纸会审和设计交底会议；</w:t>
      </w:r>
    </w:p>
    <w:p w14:paraId="67BDF096">
      <w:pPr>
        <w:adjustRightInd w:val="0"/>
        <w:snapToGrid w:val="0"/>
        <w:spacing w:line="360" w:lineRule="auto"/>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（3）参加由委托人主持的第一次工地会议；主持监理例会并根据工程需要主持或参加专题会议；</w:t>
      </w:r>
    </w:p>
    <w:p w14:paraId="08AAA407">
      <w:pPr>
        <w:adjustRightInd w:val="0"/>
        <w:snapToGrid w:val="0"/>
        <w:spacing w:line="360" w:lineRule="auto"/>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 xml:space="preserve">    （4）审查施工承包人提交的施工组织设计，重点审查其中的质量安全技术措施、专项施工方案与工程建设强制性标准的符合性；</w:t>
      </w:r>
    </w:p>
    <w:p w14:paraId="711CCDC3">
      <w:pPr>
        <w:adjustRightInd w:val="0"/>
        <w:snapToGrid w:val="0"/>
        <w:spacing w:line="360" w:lineRule="auto"/>
        <w:ind w:firstLine="645"/>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 xml:space="preserve">（5）检查施工承包人工程质量、安全生产管理制度及组织机构和人员资格； </w:t>
      </w:r>
    </w:p>
    <w:p w14:paraId="3F177D46">
      <w:pPr>
        <w:adjustRightInd w:val="0"/>
        <w:snapToGrid w:val="0"/>
        <w:spacing w:line="360" w:lineRule="auto"/>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 xml:space="preserve">    （6）检查施工承包人专职安全生产管理人员的配备情况；</w:t>
      </w:r>
    </w:p>
    <w:p w14:paraId="6E026539">
      <w:pPr>
        <w:adjustRightInd w:val="0"/>
        <w:snapToGrid w:val="0"/>
        <w:spacing w:line="360" w:lineRule="auto"/>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 xml:space="preserve">    （7）审查施工承包人提交的施工进度计划，核查承包人对施工进度计划的调整；</w:t>
      </w:r>
    </w:p>
    <w:p w14:paraId="7CB38742">
      <w:pPr>
        <w:adjustRightInd w:val="0"/>
        <w:snapToGrid w:val="0"/>
        <w:spacing w:line="360" w:lineRule="auto"/>
        <w:ind w:firstLine="645"/>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（8）检查施工承包人的试验室；</w:t>
      </w:r>
    </w:p>
    <w:p w14:paraId="28AA3B20">
      <w:pPr>
        <w:adjustRightInd w:val="0"/>
        <w:snapToGrid w:val="0"/>
        <w:spacing w:line="360" w:lineRule="auto"/>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 xml:space="preserve">    （9）审核施工分包人资质条件；</w:t>
      </w:r>
    </w:p>
    <w:p w14:paraId="1C854D96">
      <w:pPr>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 xml:space="preserve">    （10）查验施工承包人的施工测量放线成果；</w:t>
      </w:r>
    </w:p>
    <w:p w14:paraId="51B2A3A6">
      <w:pPr>
        <w:adjustRightInd w:val="0"/>
        <w:snapToGrid w:val="0"/>
        <w:spacing w:line="360" w:lineRule="auto"/>
        <w:ind w:firstLine="645"/>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（11）审查工程开工条件，对条件具备的签发开工令；</w:t>
      </w:r>
    </w:p>
    <w:p w14:paraId="0441170C">
      <w:pPr>
        <w:adjustRightInd w:val="0"/>
        <w:snapToGrid w:val="0"/>
        <w:spacing w:line="360" w:lineRule="auto"/>
        <w:ind w:firstLine="645"/>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（12）审查施工承包人报送的工程材料、构配件、设备质量证明文件的有效性和符合性，并按规定对用于工程的材料采取平行检验或见证取样方式进行抽检；</w:t>
      </w:r>
    </w:p>
    <w:p w14:paraId="6C68C97D">
      <w:pPr>
        <w:adjustRightInd w:val="0"/>
        <w:snapToGrid w:val="0"/>
        <w:spacing w:line="360" w:lineRule="auto"/>
        <w:ind w:left="-97" w:leftChars="-46"/>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 xml:space="preserve">     （13）审核施工承包人提交的工程款支付申请，签发或出具工程款支付证书，并报委托人审核、批准；</w:t>
      </w:r>
    </w:p>
    <w:p w14:paraId="24BB2B7F">
      <w:pPr>
        <w:adjustRightInd w:val="0"/>
        <w:snapToGrid w:val="0"/>
        <w:spacing w:line="360" w:lineRule="auto"/>
        <w:ind w:firstLine="645"/>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（14）在巡视、旁站和检验过程中，发现工程质量、施工安全存在事故隐患的，要求施工承包人整改并报委托人；</w:t>
      </w:r>
    </w:p>
    <w:p w14:paraId="36FF607B">
      <w:pPr>
        <w:adjustRightInd w:val="0"/>
        <w:snapToGrid w:val="0"/>
        <w:spacing w:line="360" w:lineRule="auto"/>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（15）经委托人同意，签发工程暂停令和复工令；</w:t>
      </w:r>
    </w:p>
    <w:p w14:paraId="2573FF3A">
      <w:pPr>
        <w:adjustRightInd w:val="0"/>
        <w:snapToGrid w:val="0"/>
        <w:spacing w:line="360" w:lineRule="auto"/>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 xml:space="preserve">    （16）审查施工承包人提交的采用新材料、新工艺、新技术、新设备的论证材料及相关验收标准；</w:t>
      </w:r>
    </w:p>
    <w:p w14:paraId="6A1CB786">
      <w:pPr>
        <w:adjustRightInd w:val="0"/>
        <w:snapToGrid w:val="0"/>
        <w:spacing w:line="360" w:lineRule="auto"/>
        <w:ind w:firstLine="66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（17）验收隐蔽工程、分部分项工程；</w:t>
      </w:r>
    </w:p>
    <w:p w14:paraId="708DDDD7">
      <w:pPr>
        <w:adjustRightInd w:val="0"/>
        <w:snapToGrid w:val="0"/>
        <w:spacing w:line="360" w:lineRule="auto"/>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 xml:space="preserve">    （18）审查施工承包人提交的工程变更申请，协调处理施工进度调整、费用索赔、合同争议等事项；</w:t>
      </w:r>
    </w:p>
    <w:p w14:paraId="1713F056">
      <w:pPr>
        <w:adjustRightInd w:val="0"/>
        <w:snapToGrid w:val="0"/>
        <w:spacing w:line="360" w:lineRule="auto"/>
        <w:ind w:firstLine="645"/>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（19）审查施工承包人提交的竣工验收申请，编写工程质量评估报告；</w:t>
      </w:r>
    </w:p>
    <w:p w14:paraId="58813EFB">
      <w:pPr>
        <w:adjustRightInd w:val="0"/>
        <w:snapToGrid w:val="0"/>
        <w:spacing w:line="360" w:lineRule="auto"/>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（20）参加工程竣工验收，签署竣工验收意见；</w:t>
      </w:r>
    </w:p>
    <w:p w14:paraId="41B3DD5A">
      <w:pPr>
        <w:adjustRightInd w:val="0"/>
        <w:snapToGrid w:val="0"/>
        <w:spacing w:line="360" w:lineRule="auto"/>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（21）审查施工承包人提交的竣工结算申请并报委托人；</w:t>
      </w:r>
    </w:p>
    <w:p w14:paraId="1E047E96">
      <w:pPr>
        <w:adjustRightInd w:val="0"/>
        <w:snapToGrid w:val="0"/>
        <w:spacing w:line="360" w:lineRule="auto"/>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（22）编制、整理工程监理归档文件并报委托人。</w:t>
      </w:r>
    </w:p>
    <w:p w14:paraId="6F581007">
      <w:pPr>
        <w:spacing w:line="360" w:lineRule="auto"/>
        <w:ind w:left="420" w:leftChars="200" w:firstLine="140" w:firstLineChars="5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2.1.3 相关服务的范围和内容在附录A中约定。</w:t>
      </w:r>
    </w:p>
    <w:p w14:paraId="0C130567">
      <w:pPr>
        <w:spacing w:line="360" w:lineRule="auto"/>
        <w:ind w:firstLine="280" w:firstLineChars="1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2.2 监理与相关服务依据</w:t>
      </w:r>
    </w:p>
    <w:p w14:paraId="6D10DDB9">
      <w:pPr>
        <w:adjustRightInd w:val="0"/>
        <w:snapToGrid w:val="0"/>
        <w:spacing w:line="360" w:lineRule="auto"/>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2.2.1 监理依据包括：</w:t>
      </w:r>
    </w:p>
    <w:p w14:paraId="68C8200B">
      <w:pPr>
        <w:adjustRightInd w:val="0"/>
        <w:snapToGrid w:val="0"/>
        <w:spacing w:line="360" w:lineRule="auto"/>
        <w:ind w:firstLine="700" w:firstLineChars="25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（1）适用的法律、行政法规及部门规章；</w:t>
      </w:r>
    </w:p>
    <w:p w14:paraId="2A552657">
      <w:pPr>
        <w:adjustRightInd w:val="0"/>
        <w:snapToGrid w:val="0"/>
        <w:spacing w:line="360" w:lineRule="auto"/>
        <w:ind w:firstLine="700" w:firstLineChars="25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（2）与工程有关的标准；</w:t>
      </w:r>
    </w:p>
    <w:p w14:paraId="756CC60E">
      <w:pPr>
        <w:adjustRightInd w:val="0"/>
        <w:snapToGrid w:val="0"/>
        <w:spacing w:line="360" w:lineRule="auto"/>
        <w:ind w:firstLine="700" w:firstLineChars="25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（3）工程设计及有关文件；</w:t>
      </w:r>
    </w:p>
    <w:p w14:paraId="5E97D0C3">
      <w:pPr>
        <w:adjustRightInd w:val="0"/>
        <w:snapToGrid w:val="0"/>
        <w:spacing w:line="360" w:lineRule="auto"/>
        <w:ind w:firstLine="700" w:firstLineChars="25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（4）本合同及委托人与第三方签订的与实施工程有关的其他合同。</w:t>
      </w:r>
    </w:p>
    <w:p w14:paraId="1ECB3376">
      <w:pPr>
        <w:spacing w:line="360" w:lineRule="auto"/>
        <w:ind w:left="210" w:leftChars="100"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双方根据工程的行业和地域特点，在专用条件中具体约定监理依据。</w:t>
      </w:r>
    </w:p>
    <w:p w14:paraId="3807ADAC">
      <w:pPr>
        <w:adjustRightInd w:val="0"/>
        <w:snapToGrid w:val="0"/>
        <w:spacing w:line="360" w:lineRule="auto"/>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2.2.2 相关服务依据在专用条件中约定。</w:t>
      </w:r>
    </w:p>
    <w:p w14:paraId="777BF022">
      <w:pPr>
        <w:spacing w:line="360" w:lineRule="auto"/>
        <w:ind w:firstLine="280" w:firstLineChars="100"/>
        <w:rPr>
          <w:rFonts w:hint="eastAsia" w:ascii="宋体" w:hAnsi="宋体" w:eastAsia="宋体" w:cs="宋体"/>
          <w:color w:val="auto"/>
          <w:kern w:val="0"/>
          <w:sz w:val="28"/>
          <w:szCs w:val="28"/>
          <w:highlight w:val="none"/>
        </w:rPr>
      </w:pPr>
      <w:r>
        <w:rPr>
          <w:rFonts w:hint="eastAsia" w:ascii="宋体" w:hAnsi="宋体" w:eastAsia="宋体" w:cs="Times New Roman"/>
          <w:color w:val="auto"/>
          <w:kern w:val="0"/>
          <w:sz w:val="28"/>
          <w:szCs w:val="28"/>
          <w:highlight w:val="none"/>
        </w:rPr>
        <w:t xml:space="preserve">2.3 </w:t>
      </w:r>
      <w:r>
        <w:rPr>
          <w:rFonts w:hint="eastAsia" w:ascii="宋体" w:hAnsi="宋体" w:eastAsia="宋体" w:cs="宋体"/>
          <w:color w:val="auto"/>
          <w:kern w:val="0"/>
          <w:sz w:val="28"/>
          <w:szCs w:val="28"/>
          <w:highlight w:val="none"/>
        </w:rPr>
        <w:t>项目监理机构和人员</w:t>
      </w:r>
    </w:p>
    <w:p w14:paraId="2A86CF75">
      <w:pPr>
        <w:adjustRightInd w:val="0"/>
        <w:snapToGrid w:val="0"/>
        <w:spacing w:line="360" w:lineRule="auto"/>
        <w:ind w:firstLine="645"/>
        <w:rPr>
          <w:rFonts w:hint="eastAsia" w:ascii="宋体" w:hAnsi="宋体" w:eastAsia="宋体" w:cs="Times New Roman"/>
          <w:color w:val="auto"/>
          <w:kern w:val="0"/>
          <w:sz w:val="28"/>
          <w:szCs w:val="28"/>
          <w:highlight w:val="none"/>
        </w:rPr>
      </w:pPr>
      <w:r>
        <w:rPr>
          <w:rFonts w:hint="eastAsia" w:ascii="宋体" w:hAnsi="宋体" w:eastAsia="宋体" w:cs="Times New Roman"/>
          <w:color w:val="auto"/>
          <w:kern w:val="0"/>
          <w:sz w:val="28"/>
          <w:szCs w:val="28"/>
          <w:highlight w:val="none"/>
        </w:rPr>
        <w:t>2.3.1 监理人应组建满足工作需要的项目监理机构，配备必要的检测设备。项目监理机构的主要人员应具有相应的资格条件。</w:t>
      </w:r>
    </w:p>
    <w:p w14:paraId="55B59865">
      <w:pPr>
        <w:adjustRightInd w:val="0"/>
        <w:snapToGrid w:val="0"/>
        <w:spacing w:line="360" w:lineRule="auto"/>
        <w:ind w:firstLine="560" w:firstLineChars="200"/>
        <w:rPr>
          <w:rFonts w:hint="eastAsia" w:ascii="宋体" w:hAnsi="宋体" w:eastAsia="宋体" w:cs="Times New Roman"/>
          <w:color w:val="auto"/>
          <w:kern w:val="0"/>
          <w:sz w:val="28"/>
          <w:szCs w:val="28"/>
          <w:highlight w:val="none"/>
        </w:rPr>
      </w:pPr>
      <w:r>
        <w:rPr>
          <w:rFonts w:hint="eastAsia" w:ascii="宋体" w:hAnsi="宋体" w:eastAsia="宋体" w:cs="Times New Roman"/>
          <w:color w:val="auto"/>
          <w:kern w:val="0"/>
          <w:sz w:val="28"/>
          <w:szCs w:val="28"/>
          <w:highlight w:val="none"/>
        </w:rPr>
        <w:t>2.3.2本合同履行过程中，总监理工程师及重要岗位监理人员应保持相对稳定，以保证监理工作正常进行。</w:t>
      </w:r>
    </w:p>
    <w:p w14:paraId="3B2025C8">
      <w:pPr>
        <w:adjustRightInd w:val="0"/>
        <w:snapToGrid w:val="0"/>
        <w:spacing w:line="360" w:lineRule="auto"/>
        <w:ind w:firstLine="560" w:firstLineChars="200"/>
        <w:rPr>
          <w:rFonts w:hint="eastAsia" w:ascii="宋体" w:hAnsi="宋体" w:eastAsia="宋体" w:cs="Times New Roman"/>
          <w:color w:val="auto"/>
          <w:kern w:val="0"/>
          <w:sz w:val="28"/>
          <w:szCs w:val="28"/>
          <w:highlight w:val="none"/>
        </w:rPr>
      </w:pPr>
      <w:r>
        <w:rPr>
          <w:rFonts w:hint="eastAsia" w:ascii="宋体" w:hAnsi="宋体" w:eastAsia="宋体" w:cs="Times New Roman"/>
          <w:color w:val="auto"/>
          <w:kern w:val="0"/>
          <w:sz w:val="28"/>
          <w:szCs w:val="28"/>
          <w:highlight w:val="none"/>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14:paraId="7DF749FB">
      <w:pPr>
        <w:adjustRightInd w:val="0"/>
        <w:snapToGrid w:val="0"/>
        <w:spacing w:line="360" w:lineRule="auto"/>
        <w:ind w:firstLine="560" w:firstLineChars="200"/>
        <w:rPr>
          <w:rFonts w:hint="eastAsia" w:ascii="宋体" w:hAnsi="宋体" w:eastAsia="宋体" w:cs="Times New Roman"/>
          <w:color w:val="auto"/>
          <w:kern w:val="0"/>
          <w:sz w:val="28"/>
          <w:szCs w:val="28"/>
          <w:highlight w:val="none"/>
        </w:rPr>
      </w:pPr>
      <w:r>
        <w:rPr>
          <w:rFonts w:hint="eastAsia" w:ascii="宋体" w:hAnsi="宋体" w:eastAsia="宋体" w:cs="Times New Roman"/>
          <w:color w:val="auto"/>
          <w:kern w:val="0"/>
          <w:sz w:val="28"/>
          <w:szCs w:val="28"/>
          <w:highlight w:val="none"/>
        </w:rPr>
        <w:t>2.3.4 监理人应及时更换有下列情形之一的监理人员：</w:t>
      </w:r>
    </w:p>
    <w:p w14:paraId="6448C11E">
      <w:pPr>
        <w:adjustRightInd w:val="0"/>
        <w:snapToGrid w:val="0"/>
        <w:spacing w:line="360" w:lineRule="auto"/>
        <w:ind w:firstLine="560" w:firstLineChars="200"/>
        <w:rPr>
          <w:rFonts w:hint="eastAsia" w:ascii="宋体" w:hAnsi="宋体" w:eastAsia="宋体" w:cs="Times New Roman"/>
          <w:color w:val="auto"/>
          <w:kern w:val="0"/>
          <w:sz w:val="28"/>
          <w:szCs w:val="28"/>
          <w:highlight w:val="none"/>
        </w:rPr>
      </w:pPr>
      <w:r>
        <w:rPr>
          <w:rFonts w:hint="eastAsia" w:ascii="宋体" w:hAnsi="宋体" w:eastAsia="宋体" w:cs="Times New Roman"/>
          <w:color w:val="auto"/>
          <w:kern w:val="0"/>
          <w:sz w:val="28"/>
          <w:szCs w:val="28"/>
          <w:highlight w:val="none"/>
        </w:rPr>
        <w:t>（1）严重过失行为的；</w:t>
      </w:r>
    </w:p>
    <w:p w14:paraId="5DA5E97F">
      <w:pPr>
        <w:adjustRightInd w:val="0"/>
        <w:snapToGrid w:val="0"/>
        <w:spacing w:line="360" w:lineRule="auto"/>
        <w:ind w:firstLine="560" w:firstLineChars="200"/>
        <w:rPr>
          <w:rFonts w:hint="eastAsia" w:ascii="宋体" w:hAnsi="宋体" w:eastAsia="宋体" w:cs="Times New Roman"/>
          <w:color w:val="auto"/>
          <w:kern w:val="0"/>
          <w:sz w:val="28"/>
          <w:szCs w:val="28"/>
          <w:highlight w:val="none"/>
        </w:rPr>
      </w:pPr>
      <w:r>
        <w:rPr>
          <w:rFonts w:hint="eastAsia" w:ascii="宋体" w:hAnsi="宋体" w:eastAsia="宋体" w:cs="Times New Roman"/>
          <w:color w:val="auto"/>
          <w:kern w:val="0"/>
          <w:sz w:val="28"/>
          <w:szCs w:val="28"/>
          <w:highlight w:val="none"/>
        </w:rPr>
        <w:t>（2）有违法行为不能履行职责的；</w:t>
      </w:r>
    </w:p>
    <w:p w14:paraId="697FC639">
      <w:pPr>
        <w:adjustRightInd w:val="0"/>
        <w:snapToGrid w:val="0"/>
        <w:spacing w:line="360" w:lineRule="auto"/>
        <w:ind w:firstLine="560" w:firstLineChars="200"/>
        <w:rPr>
          <w:rFonts w:hint="eastAsia" w:ascii="宋体" w:hAnsi="宋体" w:eastAsia="宋体" w:cs="Times New Roman"/>
          <w:color w:val="auto"/>
          <w:kern w:val="0"/>
          <w:sz w:val="28"/>
          <w:szCs w:val="28"/>
          <w:highlight w:val="none"/>
        </w:rPr>
      </w:pPr>
      <w:r>
        <w:rPr>
          <w:rFonts w:hint="eastAsia" w:ascii="宋体" w:hAnsi="宋体" w:eastAsia="宋体" w:cs="Times New Roman"/>
          <w:color w:val="auto"/>
          <w:kern w:val="0"/>
          <w:sz w:val="28"/>
          <w:szCs w:val="28"/>
          <w:highlight w:val="none"/>
        </w:rPr>
        <w:t>（3）涉嫌犯罪的；</w:t>
      </w:r>
    </w:p>
    <w:p w14:paraId="732FCAEF">
      <w:pPr>
        <w:adjustRightInd w:val="0"/>
        <w:snapToGrid w:val="0"/>
        <w:spacing w:line="360" w:lineRule="auto"/>
        <w:ind w:firstLine="560" w:firstLineChars="200"/>
        <w:rPr>
          <w:rFonts w:hint="eastAsia" w:ascii="宋体" w:hAnsi="宋体" w:eastAsia="宋体" w:cs="Times New Roman"/>
          <w:color w:val="auto"/>
          <w:kern w:val="0"/>
          <w:sz w:val="28"/>
          <w:szCs w:val="28"/>
          <w:highlight w:val="none"/>
        </w:rPr>
      </w:pPr>
      <w:r>
        <w:rPr>
          <w:rFonts w:hint="eastAsia" w:ascii="宋体" w:hAnsi="宋体" w:eastAsia="宋体" w:cs="Times New Roman"/>
          <w:color w:val="auto"/>
          <w:kern w:val="0"/>
          <w:sz w:val="28"/>
          <w:szCs w:val="28"/>
          <w:highlight w:val="none"/>
        </w:rPr>
        <w:t>（4）不能胜任岗位职责的；</w:t>
      </w:r>
    </w:p>
    <w:p w14:paraId="293DD455">
      <w:pPr>
        <w:adjustRightInd w:val="0"/>
        <w:snapToGrid w:val="0"/>
        <w:spacing w:line="360" w:lineRule="auto"/>
        <w:ind w:firstLine="560" w:firstLineChars="200"/>
        <w:rPr>
          <w:rFonts w:hint="eastAsia" w:ascii="宋体" w:hAnsi="宋体" w:eastAsia="宋体" w:cs="Times New Roman"/>
          <w:color w:val="auto"/>
          <w:kern w:val="0"/>
          <w:sz w:val="28"/>
          <w:szCs w:val="28"/>
          <w:highlight w:val="none"/>
        </w:rPr>
      </w:pPr>
      <w:r>
        <w:rPr>
          <w:rFonts w:hint="eastAsia" w:ascii="宋体" w:hAnsi="宋体" w:eastAsia="宋体" w:cs="Times New Roman"/>
          <w:color w:val="auto"/>
          <w:kern w:val="0"/>
          <w:sz w:val="28"/>
          <w:szCs w:val="28"/>
          <w:highlight w:val="none"/>
        </w:rPr>
        <w:t>（5）严重违反职业道德的；</w:t>
      </w:r>
    </w:p>
    <w:p w14:paraId="27DBBEE3">
      <w:pPr>
        <w:adjustRightInd w:val="0"/>
        <w:snapToGrid w:val="0"/>
        <w:spacing w:line="360" w:lineRule="auto"/>
        <w:ind w:firstLine="560" w:firstLineChars="200"/>
        <w:rPr>
          <w:rFonts w:hint="eastAsia" w:ascii="宋体" w:hAnsi="宋体" w:eastAsia="宋体" w:cs="Times New Roman"/>
          <w:color w:val="auto"/>
          <w:kern w:val="0"/>
          <w:sz w:val="28"/>
          <w:szCs w:val="28"/>
          <w:highlight w:val="none"/>
        </w:rPr>
      </w:pPr>
      <w:r>
        <w:rPr>
          <w:rFonts w:hint="eastAsia" w:ascii="宋体" w:hAnsi="宋体" w:eastAsia="宋体" w:cs="Times New Roman"/>
          <w:color w:val="auto"/>
          <w:kern w:val="0"/>
          <w:sz w:val="28"/>
          <w:szCs w:val="28"/>
          <w:highlight w:val="none"/>
        </w:rPr>
        <w:t>（6）专用条件约定的其他情形。</w:t>
      </w:r>
    </w:p>
    <w:p w14:paraId="3652482F">
      <w:pPr>
        <w:spacing w:line="360" w:lineRule="auto"/>
        <w:ind w:firstLine="560" w:firstLineChars="200"/>
        <w:rPr>
          <w:rFonts w:hint="eastAsia" w:ascii="宋体" w:hAnsi="宋体" w:eastAsia="宋体" w:cs="Times New Roman"/>
          <w:color w:val="auto"/>
          <w:kern w:val="0"/>
          <w:sz w:val="28"/>
          <w:szCs w:val="28"/>
          <w:highlight w:val="none"/>
        </w:rPr>
      </w:pPr>
      <w:r>
        <w:rPr>
          <w:rFonts w:hint="eastAsia" w:ascii="宋体" w:hAnsi="宋体" w:eastAsia="宋体" w:cs="Times New Roman"/>
          <w:color w:val="auto"/>
          <w:kern w:val="0"/>
          <w:sz w:val="28"/>
          <w:szCs w:val="28"/>
          <w:highlight w:val="none"/>
        </w:rPr>
        <w:t>2.3.5 委托人可要求监理人更换不能胜任本职工作的项目监理机构人员。</w:t>
      </w:r>
    </w:p>
    <w:p w14:paraId="7C32B724">
      <w:pPr>
        <w:spacing w:line="360" w:lineRule="auto"/>
        <w:ind w:left="210" w:leftChars="100"/>
        <w:rPr>
          <w:rFonts w:hint="eastAsia" w:ascii="宋体" w:hAnsi="宋体" w:eastAsia="宋体" w:cs="宋体"/>
          <w:color w:val="auto"/>
          <w:kern w:val="0"/>
          <w:sz w:val="28"/>
          <w:szCs w:val="28"/>
          <w:highlight w:val="none"/>
        </w:rPr>
      </w:pPr>
      <w:r>
        <w:rPr>
          <w:rFonts w:hint="eastAsia" w:ascii="宋体" w:hAnsi="宋体" w:eastAsia="宋体" w:cs="Times New Roman"/>
          <w:color w:val="auto"/>
          <w:kern w:val="0"/>
          <w:sz w:val="28"/>
          <w:szCs w:val="28"/>
          <w:highlight w:val="none"/>
        </w:rPr>
        <w:t xml:space="preserve">2.4 </w:t>
      </w:r>
      <w:r>
        <w:rPr>
          <w:rFonts w:hint="eastAsia" w:ascii="宋体" w:hAnsi="宋体" w:eastAsia="宋体" w:cs="宋体"/>
          <w:color w:val="auto"/>
          <w:kern w:val="0"/>
          <w:sz w:val="28"/>
          <w:szCs w:val="28"/>
          <w:highlight w:val="none"/>
        </w:rPr>
        <w:t>履行职责</w:t>
      </w:r>
    </w:p>
    <w:p w14:paraId="641ECA1D">
      <w:pPr>
        <w:adjustRightInd w:val="0"/>
        <w:snapToGrid w:val="0"/>
        <w:spacing w:line="360" w:lineRule="auto"/>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kern w:val="0"/>
          <w:sz w:val="28"/>
          <w:szCs w:val="28"/>
          <w:highlight w:val="none"/>
        </w:rPr>
        <w:t>监理人应遵循职业道德准则和行为规范，严格按照法律法规、工程建设有关标准及本合同履行职责。</w:t>
      </w:r>
    </w:p>
    <w:p w14:paraId="1E9A627D">
      <w:pPr>
        <w:adjustRightInd w:val="0"/>
        <w:snapToGrid w:val="0"/>
        <w:spacing w:line="360" w:lineRule="auto"/>
        <w:ind w:firstLine="560" w:firstLineChars="200"/>
        <w:rPr>
          <w:rFonts w:hint="eastAsia" w:ascii="宋体" w:hAnsi="宋体" w:eastAsia="宋体" w:cs="Times New Roman"/>
          <w:color w:val="auto"/>
          <w:kern w:val="0"/>
          <w:sz w:val="28"/>
          <w:szCs w:val="28"/>
          <w:highlight w:val="none"/>
        </w:rPr>
      </w:pPr>
      <w:r>
        <w:rPr>
          <w:rFonts w:hint="eastAsia" w:ascii="宋体" w:hAnsi="宋体" w:eastAsia="宋体" w:cs="Times New Roman"/>
          <w:color w:val="auto"/>
          <w:kern w:val="0"/>
          <w:sz w:val="28"/>
          <w:szCs w:val="28"/>
          <w:highlight w:val="none"/>
        </w:rPr>
        <w:t>2.4.1 在监理与相关服务范围内，委托人和承包人提出的意见和要求，监理人应及时提出处置意见。当委托人与承包人之间发生合同争议时，监理人应协助委托人、承包人协商解决。</w:t>
      </w:r>
    </w:p>
    <w:p w14:paraId="194D19B7">
      <w:pPr>
        <w:adjustRightInd w:val="0"/>
        <w:snapToGrid w:val="0"/>
        <w:spacing w:line="360" w:lineRule="auto"/>
        <w:ind w:firstLine="560" w:firstLineChars="200"/>
        <w:rPr>
          <w:rFonts w:hint="eastAsia" w:ascii="宋体" w:hAnsi="宋体" w:eastAsia="宋体" w:cs="Times New Roman"/>
          <w:color w:val="auto"/>
          <w:kern w:val="0"/>
          <w:sz w:val="28"/>
          <w:szCs w:val="28"/>
          <w:highlight w:val="none"/>
        </w:rPr>
      </w:pPr>
      <w:r>
        <w:rPr>
          <w:rFonts w:hint="eastAsia" w:ascii="宋体" w:hAnsi="宋体" w:eastAsia="宋体" w:cs="Times New Roman"/>
          <w:color w:val="auto"/>
          <w:kern w:val="0"/>
          <w:sz w:val="28"/>
          <w:szCs w:val="28"/>
          <w:highlight w:val="none"/>
        </w:rPr>
        <w:t>2.4.2 当委托人与承包人之间的合同争议提交仲裁机构仲裁或人民法院审理时，监理人应提供必要的证明资料。</w:t>
      </w:r>
    </w:p>
    <w:p w14:paraId="535A5595">
      <w:pPr>
        <w:adjustRightInd w:val="0"/>
        <w:snapToGrid w:val="0"/>
        <w:spacing w:line="360" w:lineRule="auto"/>
        <w:ind w:firstLine="560" w:firstLineChars="200"/>
        <w:rPr>
          <w:rFonts w:hint="eastAsia" w:ascii="宋体" w:hAnsi="宋体" w:eastAsia="宋体" w:cs="Times New Roman"/>
          <w:color w:val="auto"/>
          <w:kern w:val="0"/>
          <w:sz w:val="28"/>
          <w:szCs w:val="28"/>
          <w:highlight w:val="none"/>
        </w:rPr>
      </w:pPr>
      <w:r>
        <w:rPr>
          <w:rFonts w:hint="eastAsia" w:ascii="宋体" w:hAnsi="宋体" w:eastAsia="宋体" w:cs="Times New Roman"/>
          <w:color w:val="auto"/>
          <w:kern w:val="0"/>
          <w:sz w:val="28"/>
          <w:szCs w:val="28"/>
          <w:highlight w:val="none"/>
        </w:rPr>
        <w:t>2.4.3 监理人应在专用条件约定的授权范围内，处理委托人与承包人所签订合同的变更事宜。如果变更超过授权范围，应以书面形式报委托人批准。</w:t>
      </w:r>
    </w:p>
    <w:p w14:paraId="1D9C4EA7">
      <w:pPr>
        <w:adjustRightInd w:val="0"/>
        <w:snapToGrid w:val="0"/>
        <w:spacing w:line="360" w:lineRule="auto"/>
        <w:ind w:firstLine="560" w:firstLineChars="200"/>
        <w:rPr>
          <w:rFonts w:hint="eastAsia" w:ascii="宋体" w:hAnsi="宋体" w:eastAsia="宋体" w:cs="Times New Roman"/>
          <w:color w:val="auto"/>
          <w:kern w:val="0"/>
          <w:sz w:val="28"/>
          <w:szCs w:val="28"/>
          <w:highlight w:val="none"/>
        </w:rPr>
      </w:pPr>
      <w:r>
        <w:rPr>
          <w:rFonts w:hint="eastAsia" w:ascii="宋体" w:hAnsi="宋体" w:eastAsia="宋体" w:cs="Times New Roman"/>
          <w:color w:val="auto"/>
          <w:kern w:val="0"/>
          <w:sz w:val="28"/>
          <w:szCs w:val="28"/>
          <w:highlight w:val="none"/>
        </w:rPr>
        <w:t>在紧急情况下，为了保护财产和人身安全，监理人所发出的指令未能事先报委托人批准时，应在发出指令后的24小时内以书面形式报委托人。</w:t>
      </w:r>
    </w:p>
    <w:p w14:paraId="01643A07">
      <w:pPr>
        <w:spacing w:line="360" w:lineRule="auto"/>
        <w:ind w:firstLine="560" w:firstLineChars="200"/>
        <w:rPr>
          <w:rFonts w:hint="eastAsia" w:ascii="宋体" w:hAnsi="宋体" w:eastAsia="宋体" w:cs="Times New Roman"/>
          <w:color w:val="auto"/>
          <w:kern w:val="0"/>
          <w:sz w:val="28"/>
          <w:szCs w:val="28"/>
          <w:highlight w:val="none"/>
        </w:rPr>
      </w:pPr>
      <w:r>
        <w:rPr>
          <w:rFonts w:hint="eastAsia" w:ascii="宋体" w:hAnsi="宋体" w:eastAsia="宋体" w:cs="Times New Roman"/>
          <w:color w:val="auto"/>
          <w:kern w:val="0"/>
          <w:sz w:val="28"/>
          <w:szCs w:val="28"/>
          <w:highlight w:val="none"/>
        </w:rPr>
        <w:t>2.4.4 除专用条件另有约定外，监理人发现承包人的人员不能胜任本职工作的，有权要求承包人予以调换。</w:t>
      </w:r>
    </w:p>
    <w:p w14:paraId="54FCE4F0">
      <w:pPr>
        <w:spacing w:line="360" w:lineRule="auto"/>
        <w:ind w:left="210" w:leftChars="100"/>
        <w:rPr>
          <w:rFonts w:hint="eastAsia" w:ascii="宋体" w:hAnsi="宋体" w:eastAsia="宋体" w:cs="宋体"/>
          <w:color w:val="auto"/>
          <w:kern w:val="0"/>
          <w:sz w:val="28"/>
          <w:szCs w:val="28"/>
          <w:highlight w:val="none"/>
        </w:rPr>
      </w:pPr>
      <w:r>
        <w:rPr>
          <w:rFonts w:hint="eastAsia" w:ascii="宋体" w:hAnsi="宋体" w:eastAsia="宋体" w:cs="Times New Roman"/>
          <w:color w:val="auto"/>
          <w:kern w:val="0"/>
          <w:sz w:val="28"/>
          <w:szCs w:val="28"/>
          <w:highlight w:val="none"/>
        </w:rPr>
        <w:t>2.5 提交</w:t>
      </w:r>
      <w:r>
        <w:rPr>
          <w:rFonts w:hint="eastAsia" w:ascii="宋体" w:hAnsi="宋体" w:eastAsia="宋体" w:cs="宋体"/>
          <w:color w:val="auto"/>
          <w:kern w:val="0"/>
          <w:sz w:val="28"/>
          <w:szCs w:val="28"/>
          <w:highlight w:val="none"/>
        </w:rPr>
        <w:t>报告</w:t>
      </w:r>
    </w:p>
    <w:p w14:paraId="5BE8A315">
      <w:pPr>
        <w:spacing w:line="360" w:lineRule="auto"/>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监理人应按专用条件约定的种类、时间和份数向委托人提交监理与相关服务的报告。</w:t>
      </w:r>
    </w:p>
    <w:p w14:paraId="51F39F7E">
      <w:pPr>
        <w:spacing w:line="360" w:lineRule="auto"/>
        <w:ind w:left="210" w:leftChars="100"/>
        <w:rPr>
          <w:rFonts w:hint="eastAsia" w:ascii="宋体" w:hAnsi="宋体" w:eastAsia="宋体" w:cs="Times New Roman"/>
          <w:color w:val="auto"/>
          <w:kern w:val="0"/>
          <w:sz w:val="28"/>
          <w:szCs w:val="28"/>
          <w:highlight w:val="none"/>
        </w:rPr>
      </w:pPr>
      <w:r>
        <w:rPr>
          <w:rFonts w:hint="eastAsia" w:ascii="宋体" w:hAnsi="宋体" w:eastAsia="宋体" w:cs="Times New Roman"/>
          <w:color w:val="auto"/>
          <w:kern w:val="0"/>
          <w:sz w:val="28"/>
          <w:szCs w:val="28"/>
          <w:highlight w:val="none"/>
        </w:rPr>
        <w:t>2.6 文件资料</w:t>
      </w:r>
    </w:p>
    <w:p w14:paraId="2388E4B0">
      <w:pPr>
        <w:spacing w:line="360" w:lineRule="auto"/>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kern w:val="0"/>
          <w:sz w:val="28"/>
          <w:szCs w:val="28"/>
          <w:highlight w:val="none"/>
        </w:rPr>
        <w:t>在本合同履行期内，监理人应在现场保留工作所用的图纸、报告及记录监理工</w:t>
      </w:r>
      <w:r>
        <w:rPr>
          <w:rFonts w:hint="eastAsia" w:ascii="宋体" w:hAnsi="宋体" w:eastAsia="宋体" w:cs="Times New Roman"/>
          <w:color w:val="auto"/>
          <w:sz w:val="28"/>
          <w:szCs w:val="28"/>
          <w:highlight w:val="none"/>
        </w:rPr>
        <w:t>作的相关文件。工程竣工后，应当按照档案管理规定将监理有关文件归档。</w:t>
      </w:r>
    </w:p>
    <w:p w14:paraId="03AD8A7E">
      <w:pPr>
        <w:spacing w:line="360" w:lineRule="auto"/>
        <w:ind w:left="210" w:leftChars="100"/>
        <w:rPr>
          <w:rFonts w:hint="eastAsia" w:ascii="宋体" w:hAnsi="宋体" w:eastAsia="宋体" w:cs="宋体"/>
          <w:color w:val="auto"/>
          <w:kern w:val="0"/>
          <w:sz w:val="28"/>
          <w:szCs w:val="28"/>
          <w:highlight w:val="none"/>
        </w:rPr>
      </w:pPr>
      <w:r>
        <w:rPr>
          <w:rFonts w:hint="eastAsia" w:ascii="宋体" w:hAnsi="宋体" w:eastAsia="宋体" w:cs="Times New Roman"/>
          <w:color w:val="auto"/>
          <w:kern w:val="0"/>
          <w:sz w:val="28"/>
          <w:szCs w:val="28"/>
          <w:highlight w:val="none"/>
        </w:rPr>
        <w:t xml:space="preserve">2.7 </w:t>
      </w:r>
      <w:r>
        <w:rPr>
          <w:rFonts w:hint="eastAsia" w:ascii="宋体" w:hAnsi="宋体" w:eastAsia="宋体" w:cs="宋体"/>
          <w:color w:val="auto"/>
          <w:kern w:val="0"/>
          <w:sz w:val="28"/>
          <w:szCs w:val="28"/>
          <w:highlight w:val="none"/>
        </w:rPr>
        <w:t>使用委托人的财产</w:t>
      </w:r>
    </w:p>
    <w:p w14:paraId="4FC78702">
      <w:pPr>
        <w:spacing w:line="360" w:lineRule="auto"/>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14:paraId="2642B39B">
      <w:pPr>
        <w:spacing w:line="360" w:lineRule="auto"/>
        <w:rPr>
          <w:rFonts w:hint="eastAsia" w:ascii="宋体" w:hAnsi="宋体" w:eastAsia="宋体" w:cs="Times New Roman"/>
          <w:b/>
          <w:bCs/>
          <w:color w:val="auto"/>
          <w:kern w:val="0"/>
          <w:sz w:val="28"/>
          <w:szCs w:val="28"/>
          <w:highlight w:val="none"/>
        </w:rPr>
      </w:pPr>
      <w:r>
        <w:rPr>
          <w:rFonts w:hint="eastAsia" w:ascii="宋体" w:hAnsi="宋体" w:eastAsia="宋体" w:cs="Times New Roman"/>
          <w:b/>
          <w:bCs/>
          <w:color w:val="auto"/>
          <w:kern w:val="0"/>
          <w:sz w:val="28"/>
          <w:szCs w:val="28"/>
          <w:highlight w:val="none"/>
        </w:rPr>
        <w:t>3．委托人的义务</w:t>
      </w:r>
    </w:p>
    <w:p w14:paraId="46C558F1">
      <w:pPr>
        <w:spacing w:line="360" w:lineRule="auto"/>
        <w:ind w:left="210" w:leftChars="100"/>
        <w:rPr>
          <w:rFonts w:hint="eastAsia" w:ascii="宋体" w:hAnsi="宋体" w:eastAsia="宋体" w:cs="宋体"/>
          <w:color w:val="auto"/>
          <w:kern w:val="0"/>
          <w:sz w:val="28"/>
          <w:szCs w:val="28"/>
          <w:highlight w:val="none"/>
        </w:rPr>
      </w:pPr>
      <w:r>
        <w:rPr>
          <w:rFonts w:hint="eastAsia" w:ascii="宋体" w:hAnsi="宋体" w:eastAsia="宋体" w:cs="Times New Roman"/>
          <w:color w:val="auto"/>
          <w:kern w:val="0"/>
          <w:sz w:val="28"/>
          <w:szCs w:val="28"/>
          <w:highlight w:val="none"/>
        </w:rPr>
        <w:t xml:space="preserve">3.1 </w:t>
      </w:r>
      <w:r>
        <w:rPr>
          <w:rFonts w:hint="eastAsia" w:ascii="宋体" w:hAnsi="宋体" w:eastAsia="宋体" w:cs="宋体"/>
          <w:color w:val="auto"/>
          <w:kern w:val="0"/>
          <w:sz w:val="28"/>
          <w:szCs w:val="28"/>
          <w:highlight w:val="none"/>
        </w:rPr>
        <w:t>告知</w:t>
      </w:r>
    </w:p>
    <w:p w14:paraId="18134300">
      <w:pPr>
        <w:spacing w:line="360" w:lineRule="auto"/>
        <w:ind w:firstLine="560" w:firstLineChars="200"/>
        <w:rPr>
          <w:rFonts w:hint="eastAsia" w:ascii="宋体" w:hAnsi="宋体" w:eastAsia="宋体" w:cs="Times New Roman"/>
          <w:color w:val="auto"/>
          <w:kern w:val="0"/>
          <w:sz w:val="28"/>
          <w:szCs w:val="28"/>
          <w:highlight w:val="none"/>
        </w:rPr>
      </w:pPr>
      <w:r>
        <w:rPr>
          <w:rFonts w:hint="eastAsia" w:ascii="宋体" w:hAnsi="宋体" w:eastAsia="宋体" w:cs="Times New Roman"/>
          <w:color w:val="auto"/>
          <w:kern w:val="0"/>
          <w:sz w:val="28"/>
          <w:szCs w:val="28"/>
          <w:highlight w:val="none"/>
        </w:rPr>
        <w:t>委托人应在委托人与承包人签订的合同中明确监理人、总监理工程师和授予项目监理机构的权限。如有变更，应及时通知承包人。</w:t>
      </w:r>
    </w:p>
    <w:p w14:paraId="3E32B33A">
      <w:pPr>
        <w:spacing w:line="360" w:lineRule="auto"/>
        <w:ind w:left="210" w:leftChars="100"/>
        <w:rPr>
          <w:rFonts w:hint="eastAsia" w:ascii="宋体" w:hAnsi="宋体" w:eastAsia="宋体" w:cs="宋体"/>
          <w:color w:val="auto"/>
          <w:kern w:val="0"/>
          <w:sz w:val="28"/>
          <w:szCs w:val="28"/>
          <w:highlight w:val="none"/>
        </w:rPr>
      </w:pPr>
      <w:r>
        <w:rPr>
          <w:rFonts w:hint="eastAsia" w:ascii="宋体" w:hAnsi="宋体" w:eastAsia="宋体" w:cs="Times New Roman"/>
          <w:color w:val="auto"/>
          <w:kern w:val="0"/>
          <w:sz w:val="28"/>
          <w:szCs w:val="28"/>
          <w:highlight w:val="none"/>
        </w:rPr>
        <w:t xml:space="preserve">3.2 </w:t>
      </w:r>
      <w:r>
        <w:rPr>
          <w:rFonts w:hint="eastAsia" w:ascii="宋体" w:hAnsi="宋体" w:eastAsia="宋体" w:cs="宋体"/>
          <w:color w:val="auto"/>
          <w:kern w:val="0"/>
          <w:sz w:val="28"/>
          <w:szCs w:val="28"/>
          <w:highlight w:val="none"/>
        </w:rPr>
        <w:t>提供资料</w:t>
      </w:r>
    </w:p>
    <w:p w14:paraId="5501423E">
      <w:pPr>
        <w:spacing w:line="360" w:lineRule="auto"/>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kern w:val="0"/>
          <w:sz w:val="28"/>
          <w:szCs w:val="28"/>
          <w:highlight w:val="none"/>
        </w:rPr>
        <w:t>委托人应按照附录B约定，无偿向监理人提供工程有关的资料。</w:t>
      </w:r>
      <w:r>
        <w:rPr>
          <w:rFonts w:hint="eastAsia" w:ascii="宋体" w:hAnsi="宋体" w:eastAsia="宋体" w:cs="Times New Roman"/>
          <w:color w:val="auto"/>
          <w:sz w:val="28"/>
          <w:szCs w:val="28"/>
          <w:highlight w:val="none"/>
        </w:rPr>
        <w:t>在本合同履行过程中，委托人应及时向监理人提供最新的与工程有关的资料。</w:t>
      </w:r>
    </w:p>
    <w:p w14:paraId="454ACF4B">
      <w:pPr>
        <w:spacing w:line="360" w:lineRule="auto"/>
        <w:ind w:left="210" w:leftChars="100"/>
        <w:rPr>
          <w:rFonts w:hint="eastAsia" w:ascii="宋体" w:hAnsi="宋体" w:eastAsia="宋体" w:cs="宋体"/>
          <w:color w:val="auto"/>
          <w:kern w:val="0"/>
          <w:sz w:val="28"/>
          <w:szCs w:val="28"/>
          <w:highlight w:val="none"/>
        </w:rPr>
      </w:pPr>
      <w:r>
        <w:rPr>
          <w:rFonts w:hint="eastAsia" w:ascii="宋体" w:hAnsi="宋体" w:eastAsia="宋体" w:cs="Times New Roman"/>
          <w:color w:val="auto"/>
          <w:kern w:val="0"/>
          <w:sz w:val="28"/>
          <w:szCs w:val="28"/>
          <w:highlight w:val="none"/>
        </w:rPr>
        <w:t xml:space="preserve">3.3 </w:t>
      </w:r>
      <w:r>
        <w:rPr>
          <w:rFonts w:hint="eastAsia" w:ascii="宋体" w:hAnsi="宋体" w:eastAsia="宋体" w:cs="宋体"/>
          <w:color w:val="auto"/>
          <w:kern w:val="0"/>
          <w:sz w:val="28"/>
          <w:szCs w:val="28"/>
          <w:highlight w:val="none"/>
        </w:rPr>
        <w:t>提供工作条件</w:t>
      </w:r>
    </w:p>
    <w:p w14:paraId="141CAA7E">
      <w:pPr>
        <w:adjustRightInd w:val="0"/>
        <w:snapToGrid w:val="0"/>
        <w:spacing w:line="360" w:lineRule="auto"/>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委托人应为监理人完成监理与相关服务提供必要的条件。</w:t>
      </w:r>
    </w:p>
    <w:p w14:paraId="11BEFC40">
      <w:pPr>
        <w:adjustRightInd w:val="0"/>
        <w:snapToGrid w:val="0"/>
        <w:spacing w:line="360" w:lineRule="auto"/>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kern w:val="0"/>
          <w:sz w:val="28"/>
          <w:szCs w:val="28"/>
          <w:highlight w:val="none"/>
        </w:rPr>
        <w:t xml:space="preserve">3.3.1 </w:t>
      </w:r>
      <w:r>
        <w:rPr>
          <w:rFonts w:hint="eastAsia" w:ascii="宋体" w:hAnsi="宋体" w:eastAsia="宋体" w:cs="Times New Roman"/>
          <w:color w:val="auto"/>
          <w:sz w:val="28"/>
          <w:szCs w:val="28"/>
          <w:highlight w:val="none"/>
        </w:rPr>
        <w:t>委托人应按照附录B约定，派遣相应的人员，提供房屋、设备，供监理人</w:t>
      </w:r>
      <w:r>
        <w:rPr>
          <w:rFonts w:hint="eastAsia" w:ascii="宋体" w:hAnsi="宋体" w:eastAsia="宋体" w:cs="Times New Roman"/>
          <w:color w:val="auto"/>
          <w:kern w:val="0"/>
          <w:sz w:val="28"/>
          <w:szCs w:val="28"/>
          <w:highlight w:val="none"/>
        </w:rPr>
        <w:t>无偿</w:t>
      </w:r>
      <w:r>
        <w:rPr>
          <w:rFonts w:hint="eastAsia" w:ascii="宋体" w:hAnsi="宋体" w:eastAsia="宋体" w:cs="Times New Roman"/>
          <w:color w:val="auto"/>
          <w:sz w:val="28"/>
          <w:szCs w:val="28"/>
          <w:highlight w:val="none"/>
        </w:rPr>
        <w:t>使用。</w:t>
      </w:r>
    </w:p>
    <w:p w14:paraId="7C57D753">
      <w:pPr>
        <w:spacing w:line="360" w:lineRule="auto"/>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kern w:val="0"/>
          <w:sz w:val="28"/>
          <w:szCs w:val="28"/>
          <w:highlight w:val="none"/>
        </w:rPr>
        <w:t xml:space="preserve">3.3.2 </w:t>
      </w:r>
      <w:r>
        <w:rPr>
          <w:rFonts w:hint="eastAsia" w:ascii="宋体" w:hAnsi="宋体" w:eastAsia="宋体" w:cs="Times New Roman"/>
          <w:color w:val="auto"/>
          <w:sz w:val="28"/>
          <w:szCs w:val="28"/>
          <w:highlight w:val="none"/>
        </w:rPr>
        <w:t>委托人应负责协调工程建设中所有外部关系，为监理人履行本合同提供必要的外部条件。</w:t>
      </w:r>
    </w:p>
    <w:p w14:paraId="6C43F8B5">
      <w:pPr>
        <w:snapToGrid w:val="0"/>
        <w:spacing w:line="360" w:lineRule="auto"/>
        <w:ind w:left="210" w:leftChars="100"/>
        <w:rPr>
          <w:rFonts w:hint="eastAsia" w:ascii="宋体" w:hAnsi="宋体" w:eastAsia="宋体" w:cs="宋体"/>
          <w:color w:val="auto"/>
          <w:kern w:val="0"/>
          <w:sz w:val="28"/>
          <w:szCs w:val="28"/>
          <w:highlight w:val="none"/>
        </w:rPr>
      </w:pPr>
      <w:r>
        <w:rPr>
          <w:rFonts w:hint="eastAsia" w:ascii="宋体" w:hAnsi="宋体" w:eastAsia="宋体" w:cs="Times New Roman"/>
          <w:color w:val="auto"/>
          <w:kern w:val="0"/>
          <w:sz w:val="28"/>
          <w:szCs w:val="28"/>
          <w:highlight w:val="none"/>
        </w:rPr>
        <w:t xml:space="preserve">3.4 </w:t>
      </w:r>
      <w:r>
        <w:rPr>
          <w:rFonts w:hint="eastAsia" w:ascii="宋体" w:hAnsi="宋体" w:eastAsia="宋体" w:cs="宋体"/>
          <w:color w:val="auto"/>
          <w:kern w:val="0"/>
          <w:sz w:val="28"/>
          <w:szCs w:val="28"/>
          <w:highlight w:val="none"/>
        </w:rPr>
        <w:t>委托人代表</w:t>
      </w:r>
    </w:p>
    <w:p w14:paraId="2ACE5F2C">
      <w:pPr>
        <w:snapToGrid w:val="0"/>
        <w:spacing w:line="360" w:lineRule="auto"/>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委托人应授权一名熟悉工程情况的代表，负责与监理人联系。委托人应在双方签订本合同后7天内，将委托人代表的姓名和职责书面告知监理人。当委托人更换委托人代表时，应提前7天通知监理人。</w:t>
      </w:r>
    </w:p>
    <w:p w14:paraId="1C6DDC69">
      <w:pPr>
        <w:snapToGrid w:val="0"/>
        <w:spacing w:line="360" w:lineRule="auto"/>
        <w:ind w:left="210" w:leftChars="100"/>
        <w:rPr>
          <w:rFonts w:hint="eastAsia" w:ascii="宋体" w:hAnsi="宋体" w:eastAsia="宋体" w:cs="宋体"/>
          <w:color w:val="auto"/>
          <w:kern w:val="0"/>
          <w:sz w:val="28"/>
          <w:szCs w:val="28"/>
          <w:highlight w:val="none"/>
        </w:rPr>
      </w:pPr>
      <w:r>
        <w:rPr>
          <w:rFonts w:hint="eastAsia" w:ascii="宋体" w:hAnsi="宋体" w:eastAsia="宋体" w:cs="Times New Roman"/>
          <w:color w:val="auto"/>
          <w:kern w:val="0"/>
          <w:sz w:val="28"/>
          <w:szCs w:val="28"/>
          <w:highlight w:val="none"/>
        </w:rPr>
        <w:t xml:space="preserve">3.5 </w:t>
      </w:r>
      <w:r>
        <w:rPr>
          <w:rFonts w:hint="eastAsia" w:ascii="宋体" w:hAnsi="宋体" w:eastAsia="宋体" w:cs="宋体"/>
          <w:color w:val="auto"/>
          <w:kern w:val="0"/>
          <w:sz w:val="28"/>
          <w:szCs w:val="28"/>
          <w:highlight w:val="none"/>
        </w:rPr>
        <w:t>委托人意见或要求</w:t>
      </w:r>
    </w:p>
    <w:p w14:paraId="0CDADE23">
      <w:pPr>
        <w:snapToGrid w:val="0"/>
        <w:spacing w:line="360" w:lineRule="auto"/>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在本合同约定的监理与相关服务工作范围内，委托人对承包人的任何意见或要求应通知监理人，由监理人向承包人发出相应指令。</w:t>
      </w:r>
    </w:p>
    <w:p w14:paraId="698A003C">
      <w:pPr>
        <w:snapToGrid w:val="0"/>
        <w:spacing w:line="360" w:lineRule="auto"/>
        <w:ind w:left="210" w:leftChars="100"/>
        <w:rPr>
          <w:rFonts w:hint="eastAsia" w:ascii="宋体" w:hAnsi="宋体" w:eastAsia="宋体" w:cs="宋体"/>
          <w:color w:val="auto"/>
          <w:kern w:val="0"/>
          <w:sz w:val="28"/>
          <w:szCs w:val="28"/>
          <w:highlight w:val="none"/>
        </w:rPr>
      </w:pPr>
      <w:r>
        <w:rPr>
          <w:rFonts w:hint="eastAsia" w:ascii="宋体" w:hAnsi="宋体" w:eastAsia="宋体" w:cs="Times New Roman"/>
          <w:color w:val="auto"/>
          <w:kern w:val="0"/>
          <w:sz w:val="28"/>
          <w:szCs w:val="28"/>
          <w:highlight w:val="none"/>
        </w:rPr>
        <w:t xml:space="preserve">3.6 </w:t>
      </w:r>
      <w:r>
        <w:rPr>
          <w:rFonts w:hint="eastAsia" w:ascii="宋体" w:hAnsi="宋体" w:eastAsia="宋体" w:cs="宋体"/>
          <w:color w:val="auto"/>
          <w:kern w:val="0"/>
          <w:sz w:val="28"/>
          <w:szCs w:val="28"/>
          <w:highlight w:val="none"/>
        </w:rPr>
        <w:t>答复</w:t>
      </w:r>
    </w:p>
    <w:p w14:paraId="62284C45">
      <w:pPr>
        <w:snapToGrid w:val="0"/>
        <w:spacing w:line="360" w:lineRule="auto"/>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委托人应在专用条件约定的时间内，对监理人以书面形式提交并要求作出决定的事宜，给予书面答复。逾期未答复的，视为委托人认可。</w:t>
      </w:r>
    </w:p>
    <w:p w14:paraId="658EE6CC">
      <w:pPr>
        <w:snapToGrid w:val="0"/>
        <w:spacing w:line="360" w:lineRule="auto"/>
        <w:ind w:left="210" w:leftChars="100"/>
        <w:rPr>
          <w:rFonts w:hint="eastAsia" w:ascii="宋体" w:hAnsi="宋体" w:eastAsia="宋体" w:cs="宋体"/>
          <w:color w:val="auto"/>
          <w:kern w:val="0"/>
          <w:sz w:val="28"/>
          <w:szCs w:val="28"/>
          <w:highlight w:val="none"/>
        </w:rPr>
      </w:pPr>
      <w:r>
        <w:rPr>
          <w:rFonts w:hint="eastAsia" w:ascii="宋体" w:hAnsi="宋体" w:eastAsia="宋体" w:cs="Times New Roman"/>
          <w:color w:val="auto"/>
          <w:kern w:val="0"/>
          <w:sz w:val="28"/>
          <w:szCs w:val="28"/>
          <w:highlight w:val="none"/>
        </w:rPr>
        <w:t xml:space="preserve">3.7 </w:t>
      </w:r>
      <w:r>
        <w:rPr>
          <w:rFonts w:hint="eastAsia" w:ascii="宋体" w:hAnsi="宋体" w:eastAsia="宋体" w:cs="宋体"/>
          <w:color w:val="auto"/>
          <w:kern w:val="0"/>
          <w:sz w:val="28"/>
          <w:szCs w:val="28"/>
          <w:highlight w:val="none"/>
        </w:rPr>
        <w:t>支付</w:t>
      </w:r>
    </w:p>
    <w:p w14:paraId="19EFD314">
      <w:pPr>
        <w:snapToGrid w:val="0"/>
        <w:spacing w:line="360" w:lineRule="auto"/>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委托人应按本合同约定，向监理人支付酬金。</w:t>
      </w:r>
    </w:p>
    <w:p w14:paraId="0269D6A8">
      <w:pPr>
        <w:snapToGrid w:val="0"/>
        <w:spacing w:line="360" w:lineRule="auto"/>
        <w:rPr>
          <w:rFonts w:hint="eastAsia" w:ascii="宋体" w:hAnsi="宋体" w:eastAsia="宋体" w:cs="Times New Roman"/>
          <w:b/>
          <w:bCs/>
          <w:color w:val="auto"/>
          <w:sz w:val="28"/>
          <w:szCs w:val="28"/>
          <w:highlight w:val="none"/>
        </w:rPr>
      </w:pPr>
      <w:r>
        <w:rPr>
          <w:rFonts w:hint="eastAsia" w:ascii="宋体" w:hAnsi="宋体" w:eastAsia="宋体" w:cs="Times New Roman"/>
          <w:b/>
          <w:bCs/>
          <w:color w:val="auto"/>
          <w:sz w:val="28"/>
          <w:szCs w:val="28"/>
          <w:highlight w:val="none"/>
        </w:rPr>
        <w:t>4. 违约责任</w:t>
      </w:r>
    </w:p>
    <w:p w14:paraId="0E3B01BA">
      <w:pPr>
        <w:spacing w:line="360" w:lineRule="auto"/>
        <w:ind w:left="210" w:leftChars="100"/>
        <w:rPr>
          <w:rFonts w:hint="eastAsia" w:ascii="宋体" w:hAnsi="宋体" w:eastAsia="宋体" w:cs="宋体"/>
          <w:color w:val="auto"/>
          <w:kern w:val="0"/>
          <w:sz w:val="28"/>
          <w:szCs w:val="28"/>
          <w:highlight w:val="none"/>
        </w:rPr>
      </w:pPr>
      <w:r>
        <w:rPr>
          <w:rFonts w:hint="eastAsia" w:ascii="宋体" w:hAnsi="宋体" w:eastAsia="宋体" w:cs="Times New Roman"/>
          <w:color w:val="auto"/>
          <w:kern w:val="0"/>
          <w:sz w:val="28"/>
          <w:szCs w:val="28"/>
          <w:highlight w:val="none"/>
        </w:rPr>
        <w:t xml:space="preserve">4.1 </w:t>
      </w:r>
      <w:r>
        <w:rPr>
          <w:rFonts w:hint="eastAsia" w:ascii="宋体" w:hAnsi="宋体" w:eastAsia="宋体" w:cs="宋体"/>
          <w:color w:val="auto"/>
          <w:kern w:val="0"/>
          <w:sz w:val="28"/>
          <w:szCs w:val="28"/>
          <w:highlight w:val="none"/>
        </w:rPr>
        <w:t>监理人的违约责任</w:t>
      </w:r>
    </w:p>
    <w:p w14:paraId="3D728350">
      <w:pPr>
        <w:adjustRightInd w:val="0"/>
        <w:snapToGrid w:val="0"/>
        <w:spacing w:line="360" w:lineRule="auto"/>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kern w:val="0"/>
          <w:sz w:val="28"/>
          <w:szCs w:val="28"/>
          <w:highlight w:val="none"/>
        </w:rPr>
        <w:t>监理人未履行本合同义务的，应承担相应的责任。</w:t>
      </w:r>
    </w:p>
    <w:p w14:paraId="4DD0BCD6">
      <w:pPr>
        <w:adjustRightInd w:val="0"/>
        <w:snapToGrid w:val="0"/>
        <w:spacing w:line="360" w:lineRule="auto"/>
        <w:ind w:firstLine="560" w:firstLineChars="200"/>
        <w:rPr>
          <w:rFonts w:hint="eastAsia" w:ascii="宋体" w:hAnsi="宋体" w:eastAsia="宋体" w:cs="Times New Roman"/>
          <w:color w:val="auto"/>
          <w:kern w:val="0"/>
          <w:sz w:val="28"/>
          <w:szCs w:val="28"/>
          <w:highlight w:val="none"/>
        </w:rPr>
      </w:pPr>
      <w:r>
        <w:rPr>
          <w:rFonts w:hint="eastAsia" w:ascii="宋体" w:hAnsi="宋体" w:eastAsia="宋体" w:cs="Times New Roman"/>
          <w:color w:val="auto"/>
          <w:kern w:val="0"/>
          <w:sz w:val="28"/>
          <w:szCs w:val="28"/>
          <w:highlight w:val="none"/>
        </w:rPr>
        <w:t>4.1.1 因监理人</w:t>
      </w:r>
      <w:r>
        <w:rPr>
          <w:rFonts w:hint="eastAsia" w:ascii="宋体" w:hAnsi="宋体" w:eastAsia="宋体" w:cs="宋体"/>
          <w:color w:val="auto"/>
          <w:kern w:val="0"/>
          <w:sz w:val="28"/>
          <w:szCs w:val="28"/>
          <w:highlight w:val="none"/>
        </w:rPr>
        <w:t>违反本合同约定</w:t>
      </w:r>
      <w:r>
        <w:rPr>
          <w:rFonts w:hint="eastAsia" w:ascii="宋体" w:hAnsi="宋体" w:eastAsia="宋体" w:cs="Times New Roman"/>
          <w:color w:val="auto"/>
          <w:sz w:val="28"/>
          <w:szCs w:val="28"/>
          <w:highlight w:val="none"/>
        </w:rPr>
        <w:t>给委托人造成损失的，监理人应当赔偿委托人损失</w:t>
      </w:r>
      <w:r>
        <w:rPr>
          <w:rFonts w:hint="eastAsia" w:ascii="宋体" w:hAnsi="宋体" w:eastAsia="宋体" w:cs="Times New Roman"/>
          <w:color w:val="auto"/>
          <w:kern w:val="0"/>
          <w:sz w:val="28"/>
          <w:szCs w:val="28"/>
          <w:highlight w:val="none"/>
        </w:rPr>
        <w:t>。赔偿金额的确定方法在专用条件中约定。监理人承担部分赔偿责任的，其承担赔偿金额由双方协商确定。</w:t>
      </w:r>
    </w:p>
    <w:p w14:paraId="5B984828">
      <w:pPr>
        <w:spacing w:line="360" w:lineRule="auto"/>
        <w:ind w:firstLine="560" w:firstLineChars="200"/>
        <w:rPr>
          <w:rFonts w:hint="eastAsia" w:ascii="宋体" w:hAnsi="宋体" w:eastAsia="宋体" w:cs="Times New Roman"/>
          <w:color w:val="auto"/>
          <w:kern w:val="0"/>
          <w:sz w:val="28"/>
          <w:szCs w:val="28"/>
          <w:highlight w:val="none"/>
        </w:rPr>
      </w:pPr>
      <w:r>
        <w:rPr>
          <w:rFonts w:hint="eastAsia" w:ascii="宋体" w:hAnsi="宋体" w:eastAsia="宋体" w:cs="Times New Roman"/>
          <w:color w:val="auto"/>
          <w:kern w:val="0"/>
          <w:sz w:val="28"/>
          <w:szCs w:val="28"/>
          <w:highlight w:val="none"/>
        </w:rPr>
        <w:t>4.1.2 监理人向委托人的索赔不成立时，监理人应赔偿委托人由此发生的费用。</w:t>
      </w:r>
    </w:p>
    <w:p w14:paraId="0A61D3DC">
      <w:pPr>
        <w:snapToGrid w:val="0"/>
        <w:spacing w:line="360" w:lineRule="auto"/>
        <w:ind w:firstLine="280" w:firstLineChars="100"/>
        <w:rPr>
          <w:rFonts w:hint="eastAsia" w:ascii="宋体" w:hAnsi="宋体" w:eastAsia="宋体" w:cs="宋体"/>
          <w:color w:val="auto"/>
          <w:kern w:val="0"/>
          <w:sz w:val="28"/>
          <w:szCs w:val="28"/>
          <w:highlight w:val="none"/>
        </w:rPr>
      </w:pPr>
      <w:r>
        <w:rPr>
          <w:rFonts w:hint="eastAsia" w:ascii="宋体" w:hAnsi="宋体" w:eastAsia="宋体" w:cs="Times New Roman"/>
          <w:color w:val="auto"/>
          <w:kern w:val="0"/>
          <w:sz w:val="28"/>
          <w:szCs w:val="28"/>
          <w:highlight w:val="none"/>
        </w:rPr>
        <w:t>4.2 委</w:t>
      </w:r>
      <w:r>
        <w:rPr>
          <w:rFonts w:hint="eastAsia" w:ascii="宋体" w:hAnsi="宋体" w:eastAsia="宋体" w:cs="宋体"/>
          <w:color w:val="auto"/>
          <w:kern w:val="0"/>
          <w:sz w:val="28"/>
          <w:szCs w:val="28"/>
          <w:highlight w:val="none"/>
        </w:rPr>
        <w:t>托人的违约责任</w:t>
      </w:r>
    </w:p>
    <w:p w14:paraId="4DECCD95">
      <w:pPr>
        <w:adjustRightInd w:val="0"/>
        <w:snapToGrid w:val="0"/>
        <w:spacing w:line="360" w:lineRule="auto"/>
        <w:ind w:firstLine="560" w:firstLineChars="200"/>
        <w:rPr>
          <w:rFonts w:hint="eastAsia" w:ascii="宋体" w:hAnsi="宋体" w:eastAsia="宋体" w:cs="宋体"/>
          <w:color w:val="auto"/>
          <w:kern w:val="0"/>
          <w:sz w:val="28"/>
          <w:szCs w:val="28"/>
          <w:highlight w:val="none"/>
        </w:rPr>
      </w:pPr>
      <w:r>
        <w:rPr>
          <w:rFonts w:hint="eastAsia" w:ascii="宋体" w:hAnsi="宋体" w:eastAsia="宋体" w:cs="Times New Roman"/>
          <w:color w:val="auto"/>
          <w:kern w:val="0"/>
          <w:sz w:val="28"/>
          <w:szCs w:val="28"/>
          <w:highlight w:val="none"/>
        </w:rPr>
        <w:t>委托人未履行本合同义务的，应承担相应的责任。</w:t>
      </w:r>
    </w:p>
    <w:p w14:paraId="1B4FED29">
      <w:pPr>
        <w:adjustRightInd w:val="0"/>
        <w:snapToGrid w:val="0"/>
        <w:spacing w:line="360" w:lineRule="auto"/>
        <w:ind w:firstLine="560" w:firstLineChars="200"/>
        <w:rPr>
          <w:rFonts w:hint="eastAsia" w:ascii="宋体" w:hAnsi="宋体" w:eastAsia="宋体" w:cs="Times New Roman"/>
          <w:color w:val="auto"/>
          <w:kern w:val="0"/>
          <w:sz w:val="28"/>
          <w:szCs w:val="28"/>
          <w:highlight w:val="none"/>
        </w:rPr>
      </w:pPr>
      <w:r>
        <w:rPr>
          <w:rFonts w:hint="eastAsia" w:ascii="宋体" w:hAnsi="宋体" w:eastAsia="宋体" w:cs="Times New Roman"/>
          <w:color w:val="auto"/>
          <w:kern w:val="0"/>
          <w:sz w:val="28"/>
          <w:szCs w:val="28"/>
          <w:highlight w:val="none"/>
        </w:rPr>
        <w:t>4.2.1 委托人违反本合同约定造成监理人损失的，委托人应予以赔偿。</w:t>
      </w:r>
    </w:p>
    <w:p w14:paraId="2146A19F">
      <w:pPr>
        <w:adjustRightInd w:val="0"/>
        <w:snapToGrid w:val="0"/>
        <w:spacing w:line="360" w:lineRule="auto"/>
        <w:ind w:firstLine="560" w:firstLineChars="200"/>
        <w:rPr>
          <w:rFonts w:hint="eastAsia" w:ascii="宋体" w:hAnsi="宋体" w:eastAsia="宋体" w:cs="Times New Roman"/>
          <w:color w:val="auto"/>
          <w:kern w:val="0"/>
          <w:sz w:val="28"/>
          <w:szCs w:val="28"/>
          <w:highlight w:val="none"/>
        </w:rPr>
      </w:pPr>
      <w:r>
        <w:rPr>
          <w:rFonts w:hint="eastAsia" w:ascii="宋体" w:hAnsi="宋体" w:eastAsia="宋体" w:cs="Times New Roman"/>
          <w:color w:val="auto"/>
          <w:kern w:val="0"/>
          <w:sz w:val="28"/>
          <w:szCs w:val="28"/>
          <w:highlight w:val="none"/>
        </w:rPr>
        <w:t>4.2.2 委托人向监理人的索赔不成立时，应赔偿监理人由此引起的费用。</w:t>
      </w:r>
    </w:p>
    <w:p w14:paraId="171371A9">
      <w:pPr>
        <w:spacing w:line="360" w:lineRule="auto"/>
        <w:ind w:firstLine="560" w:firstLineChars="200"/>
        <w:rPr>
          <w:rFonts w:hint="eastAsia" w:ascii="宋体" w:hAnsi="宋体" w:eastAsia="宋体" w:cs="Times New Roman"/>
          <w:color w:val="auto"/>
          <w:kern w:val="0"/>
          <w:sz w:val="28"/>
          <w:szCs w:val="28"/>
          <w:highlight w:val="none"/>
        </w:rPr>
      </w:pPr>
      <w:r>
        <w:rPr>
          <w:rFonts w:hint="eastAsia" w:ascii="宋体" w:hAnsi="宋体" w:eastAsia="宋体" w:cs="Times New Roman"/>
          <w:color w:val="auto"/>
          <w:sz w:val="28"/>
          <w:szCs w:val="28"/>
          <w:highlight w:val="none"/>
        </w:rPr>
        <w:t xml:space="preserve">4.2.3 </w:t>
      </w:r>
      <w:r>
        <w:rPr>
          <w:rFonts w:hint="eastAsia" w:ascii="宋体" w:hAnsi="宋体" w:eastAsia="宋体" w:cs="Times New Roman"/>
          <w:color w:val="auto"/>
          <w:kern w:val="0"/>
          <w:sz w:val="28"/>
          <w:szCs w:val="28"/>
          <w:highlight w:val="none"/>
        </w:rPr>
        <w:t>委托人未能按期支付</w:t>
      </w:r>
      <w:r>
        <w:rPr>
          <w:rFonts w:hint="eastAsia" w:ascii="宋体" w:hAnsi="宋体" w:eastAsia="宋体" w:cs="Times New Roman"/>
          <w:color w:val="auto"/>
          <w:sz w:val="28"/>
          <w:szCs w:val="28"/>
          <w:highlight w:val="none"/>
        </w:rPr>
        <w:t>酬金</w:t>
      </w:r>
      <w:r>
        <w:rPr>
          <w:rFonts w:hint="eastAsia" w:ascii="宋体" w:hAnsi="宋体" w:eastAsia="宋体" w:cs="Times New Roman"/>
          <w:color w:val="auto"/>
          <w:kern w:val="0"/>
          <w:sz w:val="28"/>
          <w:szCs w:val="28"/>
          <w:highlight w:val="none"/>
        </w:rPr>
        <w:t>超过28天，</w:t>
      </w:r>
      <w:r>
        <w:rPr>
          <w:rFonts w:hint="eastAsia" w:ascii="宋体" w:hAnsi="宋体" w:eastAsia="宋体" w:cs="宋体"/>
          <w:color w:val="auto"/>
          <w:kern w:val="0"/>
          <w:sz w:val="28"/>
          <w:szCs w:val="28"/>
          <w:highlight w:val="none"/>
        </w:rPr>
        <w:t>应按专用条件约定支付逾期付款利息</w:t>
      </w:r>
      <w:r>
        <w:rPr>
          <w:rFonts w:hint="eastAsia" w:ascii="宋体" w:hAnsi="宋体" w:eastAsia="宋体" w:cs="Times New Roman"/>
          <w:color w:val="auto"/>
          <w:kern w:val="0"/>
          <w:sz w:val="28"/>
          <w:szCs w:val="28"/>
          <w:highlight w:val="none"/>
        </w:rPr>
        <w:t>。</w:t>
      </w:r>
    </w:p>
    <w:p w14:paraId="0906E40B">
      <w:pPr>
        <w:spacing w:line="360" w:lineRule="auto"/>
        <w:ind w:firstLine="280" w:firstLineChars="100"/>
        <w:rPr>
          <w:rFonts w:hint="eastAsia" w:ascii="宋体" w:hAnsi="宋体" w:eastAsia="宋体" w:cs="Times New Roman"/>
          <w:color w:val="auto"/>
          <w:kern w:val="0"/>
          <w:sz w:val="28"/>
          <w:szCs w:val="28"/>
          <w:highlight w:val="none"/>
        </w:rPr>
      </w:pPr>
      <w:r>
        <w:rPr>
          <w:rFonts w:hint="eastAsia" w:ascii="宋体" w:hAnsi="宋体" w:eastAsia="宋体" w:cs="Times New Roman"/>
          <w:color w:val="auto"/>
          <w:kern w:val="0"/>
          <w:sz w:val="28"/>
          <w:szCs w:val="28"/>
          <w:highlight w:val="none"/>
        </w:rPr>
        <w:t>4.3 除外责任</w:t>
      </w:r>
    </w:p>
    <w:p w14:paraId="53D0ED73">
      <w:pPr>
        <w:adjustRightInd w:val="0"/>
        <w:snapToGrid w:val="0"/>
        <w:spacing w:line="360" w:lineRule="auto"/>
        <w:ind w:firstLine="560" w:firstLineChars="200"/>
        <w:rPr>
          <w:rFonts w:hint="eastAsia" w:ascii="宋体" w:hAnsi="宋体" w:eastAsia="宋体" w:cs="Times New Roman"/>
          <w:color w:val="auto"/>
          <w:kern w:val="0"/>
          <w:sz w:val="28"/>
          <w:szCs w:val="28"/>
          <w:highlight w:val="none"/>
        </w:rPr>
      </w:pPr>
      <w:r>
        <w:rPr>
          <w:rFonts w:hint="eastAsia" w:ascii="宋体" w:hAnsi="宋体" w:eastAsia="宋体" w:cs="Times New Roman"/>
          <w:color w:val="auto"/>
          <w:kern w:val="0"/>
          <w:sz w:val="28"/>
          <w:szCs w:val="28"/>
          <w:highlight w:val="none"/>
        </w:rPr>
        <w:t>因非监理人的原因，且监理人无过错，发生工程质量事故、安全事故、工期延误等造成的损失，监理人不承担赔偿责任。</w:t>
      </w:r>
    </w:p>
    <w:p w14:paraId="4D5B9B3B">
      <w:pPr>
        <w:snapToGrid w:val="0"/>
        <w:spacing w:line="360" w:lineRule="auto"/>
        <w:ind w:firstLine="560" w:firstLineChars="200"/>
        <w:rPr>
          <w:rFonts w:hint="eastAsia" w:ascii="宋体" w:hAnsi="宋体" w:eastAsia="宋体" w:cs="Times New Roman"/>
          <w:color w:val="auto"/>
          <w:kern w:val="0"/>
          <w:sz w:val="28"/>
          <w:szCs w:val="28"/>
          <w:highlight w:val="none"/>
        </w:rPr>
      </w:pPr>
      <w:r>
        <w:rPr>
          <w:rFonts w:hint="eastAsia" w:ascii="宋体" w:hAnsi="宋体" w:eastAsia="宋体" w:cs="Times New Roman"/>
          <w:color w:val="auto"/>
          <w:kern w:val="0"/>
          <w:sz w:val="28"/>
          <w:szCs w:val="28"/>
          <w:highlight w:val="none"/>
        </w:rPr>
        <w:t>因不可抗力导致本合同全部或部分不能履行时，双方各自承担其因此而造成的损失、损害。</w:t>
      </w:r>
    </w:p>
    <w:p w14:paraId="6E93FF69">
      <w:pPr>
        <w:snapToGrid w:val="0"/>
        <w:spacing w:line="360" w:lineRule="auto"/>
        <w:rPr>
          <w:rFonts w:hint="eastAsia" w:ascii="宋体" w:hAnsi="宋体" w:eastAsia="宋体" w:cs="Times New Roman"/>
          <w:b/>
          <w:bCs/>
          <w:color w:val="auto"/>
          <w:sz w:val="28"/>
          <w:szCs w:val="28"/>
          <w:highlight w:val="none"/>
        </w:rPr>
      </w:pPr>
      <w:r>
        <w:rPr>
          <w:rFonts w:hint="eastAsia" w:ascii="宋体" w:hAnsi="宋体" w:eastAsia="宋体" w:cs="Times New Roman"/>
          <w:b/>
          <w:bCs/>
          <w:color w:val="auto"/>
          <w:sz w:val="28"/>
          <w:szCs w:val="28"/>
          <w:highlight w:val="none"/>
        </w:rPr>
        <w:t>5. 支付</w:t>
      </w:r>
    </w:p>
    <w:p w14:paraId="3971F1F7">
      <w:pPr>
        <w:snapToGrid w:val="0"/>
        <w:spacing w:line="360" w:lineRule="auto"/>
        <w:ind w:left="210" w:leftChars="1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5.1 支付货币</w:t>
      </w:r>
    </w:p>
    <w:p w14:paraId="754B7FA2">
      <w:pPr>
        <w:snapToGrid w:val="0"/>
        <w:spacing w:line="360" w:lineRule="auto"/>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除专用条件另有约定外，酬金均以人民币支付。涉及外币支付的，所采用的货币种类、比例和汇率在专用条件中约定。</w:t>
      </w:r>
    </w:p>
    <w:p w14:paraId="49526BEF">
      <w:pPr>
        <w:snapToGrid w:val="0"/>
        <w:spacing w:line="360" w:lineRule="auto"/>
        <w:ind w:left="210" w:leftChars="1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5.2 支付申请</w:t>
      </w:r>
    </w:p>
    <w:p w14:paraId="31C2BFAD">
      <w:pPr>
        <w:snapToGrid w:val="0"/>
        <w:spacing w:line="360" w:lineRule="auto"/>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监理人应在本合同约定的每次应付款时间的7天前，向委托人提交支付申请书。支付申请书应当说明当期应付款总额，并列出当期应支付的款项及其金额。</w:t>
      </w:r>
    </w:p>
    <w:p w14:paraId="0A8D0AB3">
      <w:pPr>
        <w:snapToGrid w:val="0"/>
        <w:spacing w:line="360" w:lineRule="auto"/>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 xml:space="preserve"> 5.3 支付酬金</w:t>
      </w:r>
    </w:p>
    <w:p w14:paraId="07FEC5A2">
      <w:pPr>
        <w:snapToGrid w:val="0"/>
        <w:spacing w:line="360" w:lineRule="auto"/>
        <w:ind w:firstLine="48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支付的酬金包括正常工作酬金、附加工作酬金、合理化建议奖励金额及费用。</w:t>
      </w:r>
    </w:p>
    <w:p w14:paraId="4572B439">
      <w:pPr>
        <w:snapToGrid w:val="0"/>
        <w:spacing w:line="360" w:lineRule="auto"/>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 xml:space="preserve">  5.4 有争议部分的付款</w:t>
      </w:r>
    </w:p>
    <w:p w14:paraId="6F70B3C9">
      <w:pPr>
        <w:snapToGrid w:val="0"/>
        <w:spacing w:line="360" w:lineRule="auto"/>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委托人对监理人提交的支付申请书有异议时，应当在收到监理人提交的支付申请书后7天内，以书面形式向监理人发出异议通知。无异议部分的款项应按期支付，有异议部分的款项按第7条约定办理。</w:t>
      </w:r>
    </w:p>
    <w:p w14:paraId="5A866CAA">
      <w:pPr>
        <w:snapToGrid w:val="0"/>
        <w:spacing w:line="360" w:lineRule="auto"/>
        <w:rPr>
          <w:rFonts w:hint="eastAsia" w:ascii="宋体" w:hAnsi="宋体" w:eastAsia="宋体" w:cs="Times New Roman"/>
          <w:b/>
          <w:bCs/>
          <w:color w:val="auto"/>
          <w:sz w:val="28"/>
          <w:szCs w:val="28"/>
          <w:highlight w:val="none"/>
        </w:rPr>
      </w:pPr>
      <w:r>
        <w:rPr>
          <w:rFonts w:hint="eastAsia" w:ascii="宋体" w:hAnsi="宋体" w:eastAsia="宋体" w:cs="Times New Roman"/>
          <w:b/>
          <w:bCs/>
          <w:color w:val="auto"/>
          <w:sz w:val="28"/>
          <w:szCs w:val="28"/>
          <w:highlight w:val="none"/>
        </w:rPr>
        <w:t>6. 合同生效、变更、暂停、解除与终止</w:t>
      </w:r>
    </w:p>
    <w:p w14:paraId="507B1834">
      <w:pPr>
        <w:spacing w:line="360" w:lineRule="auto"/>
        <w:ind w:left="210" w:leftChars="1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6.1生效</w:t>
      </w:r>
    </w:p>
    <w:p w14:paraId="028D2BC5">
      <w:pPr>
        <w:spacing w:line="360" w:lineRule="auto"/>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除法律另有规定或者专用条件另有约定外，委托人和监理人的法定代表人或其授权代理人在协议书上签字并盖单位章后本合同生效。</w:t>
      </w:r>
    </w:p>
    <w:p w14:paraId="2C8DC29A">
      <w:pPr>
        <w:snapToGrid w:val="0"/>
        <w:spacing w:line="360" w:lineRule="auto"/>
        <w:ind w:left="210" w:leftChars="1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6.2变更</w:t>
      </w:r>
    </w:p>
    <w:p w14:paraId="097CADC6">
      <w:pPr>
        <w:snapToGrid w:val="0"/>
        <w:spacing w:line="360" w:lineRule="auto"/>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6.2.1 任何一方提出变更请求时，双方经协商一致后可进行变更。</w:t>
      </w:r>
    </w:p>
    <w:p w14:paraId="78938DA2">
      <w:pPr>
        <w:adjustRightInd w:val="0"/>
        <w:snapToGrid w:val="0"/>
        <w:spacing w:line="360" w:lineRule="auto"/>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14:paraId="4DE83EE1">
      <w:pPr>
        <w:adjustRightInd w:val="0"/>
        <w:snapToGrid w:val="0"/>
        <w:spacing w:line="360" w:lineRule="auto"/>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14:paraId="0718DDD4">
      <w:pPr>
        <w:snapToGrid w:val="0"/>
        <w:spacing w:line="360" w:lineRule="auto"/>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6.2.4合同签订后，遇有与工程相关的法律法规、标准颁布或修订的，双方应遵照执行。由此引起监理与相关服务的范围、时间、酬金变化的，双方应通过协商进行相应调整。</w:t>
      </w:r>
    </w:p>
    <w:p w14:paraId="46800AF1">
      <w:pPr>
        <w:adjustRightInd w:val="0"/>
        <w:snapToGrid w:val="0"/>
        <w:spacing w:line="360" w:lineRule="auto"/>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6.2.5 因非监理人原因造成工程概算投资额或建筑安装工程费增加时，正常工作酬金应作相应调整。调整方法在专用条件中约定。</w:t>
      </w:r>
    </w:p>
    <w:p w14:paraId="686E3A46">
      <w:pPr>
        <w:snapToGrid w:val="0"/>
        <w:spacing w:line="360" w:lineRule="auto"/>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6.2.6 因工程规模、监理范围的变化导致监理人的正常工作量减少时，正常工作酬金应作相应调整。调整方法在专用条件中约定。</w:t>
      </w:r>
    </w:p>
    <w:p w14:paraId="75760026">
      <w:pPr>
        <w:snapToGrid w:val="0"/>
        <w:spacing w:line="360" w:lineRule="auto"/>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 xml:space="preserve">  6.3 暂停与解除</w:t>
      </w:r>
    </w:p>
    <w:p w14:paraId="2844E17B">
      <w:pPr>
        <w:adjustRightInd w:val="0"/>
        <w:snapToGrid w:val="0"/>
        <w:spacing w:line="360" w:lineRule="auto"/>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除双方协商一致可以解除本合同外，当一方无正当理由未履行本合同约定的义务时，另一方可以根据本合同约定暂停履行本合同直至解除本合同。</w:t>
      </w:r>
    </w:p>
    <w:p w14:paraId="7B35C8CB">
      <w:pPr>
        <w:adjustRightInd w:val="0"/>
        <w:snapToGrid w:val="0"/>
        <w:spacing w:line="360" w:lineRule="auto"/>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14:paraId="02F3EAB6">
      <w:pPr>
        <w:adjustRightInd w:val="0"/>
        <w:snapToGrid w:val="0"/>
        <w:spacing w:line="360" w:lineRule="auto"/>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因解除本合同或解除监理人的部分义务导致监理人遭受的损失，除依法可以免除责任的情况外，应由委托人予以补偿，补偿金额由双方协商确定。</w:t>
      </w:r>
    </w:p>
    <w:p w14:paraId="42682567">
      <w:pPr>
        <w:adjustRightInd w:val="0"/>
        <w:snapToGrid w:val="0"/>
        <w:spacing w:line="360" w:lineRule="auto"/>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解除本合同的协议必须采取书面形式，协议未达成之前，本合同仍然有效。</w:t>
      </w:r>
    </w:p>
    <w:p w14:paraId="5CBE64EA">
      <w:pPr>
        <w:adjustRightInd w:val="0"/>
        <w:snapToGrid w:val="0"/>
        <w:spacing w:line="360" w:lineRule="auto"/>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14:paraId="7B5ACE5F">
      <w:pPr>
        <w:adjustRightInd w:val="0"/>
        <w:snapToGrid w:val="0"/>
        <w:spacing w:line="360" w:lineRule="auto"/>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w:t>
      </w:r>
      <w:r>
        <w:rPr>
          <w:rFonts w:hint="eastAsia" w:ascii="宋体" w:hAnsi="宋体" w:eastAsia="宋体" w:cs="Times New Roman"/>
          <w:color w:val="auto"/>
          <w:kern w:val="0"/>
          <w:sz w:val="28"/>
          <w:szCs w:val="28"/>
          <w:highlight w:val="none"/>
        </w:rPr>
        <w:t>的</w:t>
      </w:r>
      <w:r>
        <w:rPr>
          <w:rFonts w:hint="eastAsia" w:ascii="宋体" w:hAnsi="宋体" w:eastAsia="宋体" w:cs="Times New Roman"/>
          <w:color w:val="auto"/>
          <w:sz w:val="28"/>
          <w:szCs w:val="28"/>
          <w:highlight w:val="none"/>
        </w:rPr>
        <w:t>酬金支付至本合同解除日，且应承担第4.2款约定的责任。</w:t>
      </w:r>
    </w:p>
    <w:p w14:paraId="1C212611">
      <w:pPr>
        <w:adjustRightInd w:val="0"/>
        <w:snapToGrid w:val="0"/>
        <w:spacing w:line="360" w:lineRule="auto"/>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w:t>
      </w:r>
      <w:r>
        <w:rPr>
          <w:rFonts w:hint="eastAsia" w:ascii="宋体" w:hAnsi="宋体" w:eastAsia="宋体" w:cs="Times New Roman"/>
          <w:color w:val="auto"/>
          <w:kern w:val="0"/>
          <w:sz w:val="28"/>
          <w:szCs w:val="28"/>
          <w:highlight w:val="none"/>
        </w:rPr>
        <w:t>的</w:t>
      </w:r>
      <w:r>
        <w:rPr>
          <w:rFonts w:hint="eastAsia" w:ascii="宋体" w:hAnsi="宋体" w:eastAsia="宋体" w:cs="Times New Roman"/>
          <w:color w:val="auto"/>
          <w:sz w:val="28"/>
          <w:szCs w:val="28"/>
          <w:highlight w:val="none"/>
        </w:rPr>
        <w:t>酬金支付至</w:t>
      </w:r>
      <w:r>
        <w:rPr>
          <w:rFonts w:hint="eastAsia" w:ascii="宋体" w:hAnsi="宋体" w:eastAsia="宋体" w:cs="Times New Roman"/>
          <w:color w:val="auto"/>
          <w:kern w:val="0"/>
          <w:sz w:val="28"/>
          <w:szCs w:val="28"/>
          <w:highlight w:val="none"/>
        </w:rPr>
        <w:t>限期改正通知到达监理人之日</w:t>
      </w:r>
      <w:r>
        <w:rPr>
          <w:rFonts w:hint="eastAsia" w:ascii="宋体" w:hAnsi="宋体" w:eastAsia="宋体" w:cs="Times New Roman"/>
          <w:color w:val="auto"/>
          <w:sz w:val="28"/>
          <w:szCs w:val="28"/>
          <w:highlight w:val="none"/>
        </w:rPr>
        <w:t>，但监理人应承担第4.1款约定的责任。</w:t>
      </w:r>
    </w:p>
    <w:p w14:paraId="272BD042">
      <w:pPr>
        <w:adjustRightInd w:val="0"/>
        <w:snapToGrid w:val="0"/>
        <w:spacing w:line="360" w:lineRule="auto"/>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14:paraId="00407DFF">
      <w:pPr>
        <w:snapToGrid w:val="0"/>
        <w:spacing w:line="360" w:lineRule="auto"/>
        <w:ind w:firstLine="560" w:firstLineChars="200"/>
        <w:rPr>
          <w:rFonts w:hint="eastAsia" w:ascii="宋体" w:hAnsi="宋体" w:eastAsia="宋体" w:cs="Times New Roman"/>
          <w:color w:val="auto"/>
          <w:kern w:val="0"/>
          <w:sz w:val="28"/>
          <w:szCs w:val="28"/>
          <w:highlight w:val="none"/>
        </w:rPr>
      </w:pPr>
      <w:r>
        <w:rPr>
          <w:rFonts w:hint="eastAsia" w:ascii="宋体" w:hAnsi="宋体" w:eastAsia="宋体" w:cs="Times New Roman"/>
          <w:color w:val="auto"/>
          <w:sz w:val="28"/>
          <w:szCs w:val="28"/>
          <w:highlight w:val="none"/>
        </w:rPr>
        <w:t>6.3.5 因不可抗力致使本合同部分或全部不能履行时，一方应立即通知另一方，可暂停或解除本合同。</w:t>
      </w:r>
    </w:p>
    <w:p w14:paraId="75185956">
      <w:pPr>
        <w:snapToGrid w:val="0"/>
        <w:spacing w:line="360" w:lineRule="auto"/>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6.3.6 本合同解除后，本合同约定的有关结算、清理、争议解决方式的条件仍然有效。</w:t>
      </w:r>
    </w:p>
    <w:p w14:paraId="57907B60">
      <w:pPr>
        <w:snapToGrid w:val="0"/>
        <w:spacing w:line="360" w:lineRule="auto"/>
        <w:ind w:left="210" w:leftChars="1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6.4 终止</w:t>
      </w:r>
    </w:p>
    <w:p w14:paraId="13A5DED9">
      <w:pPr>
        <w:adjustRightInd w:val="0"/>
        <w:snapToGrid w:val="0"/>
        <w:spacing w:line="360" w:lineRule="auto"/>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以下条件全部满足时，本合同即告终止：</w:t>
      </w:r>
    </w:p>
    <w:p w14:paraId="49B0D7B1">
      <w:pPr>
        <w:adjustRightInd w:val="0"/>
        <w:snapToGrid w:val="0"/>
        <w:spacing w:line="360" w:lineRule="auto"/>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（1）监理人完成本合同约定的全部工作；</w:t>
      </w:r>
    </w:p>
    <w:p w14:paraId="33D805A2">
      <w:pPr>
        <w:snapToGrid w:val="0"/>
        <w:spacing w:line="360" w:lineRule="auto"/>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（2）委托人与监理人结清并支付全部酬金。</w:t>
      </w:r>
    </w:p>
    <w:p w14:paraId="70BC7E21">
      <w:pPr>
        <w:snapToGrid w:val="0"/>
        <w:spacing w:line="360" w:lineRule="auto"/>
        <w:rPr>
          <w:rFonts w:hint="eastAsia" w:ascii="宋体" w:hAnsi="宋体" w:eastAsia="宋体" w:cs="Times New Roman"/>
          <w:b/>
          <w:bCs/>
          <w:color w:val="auto"/>
          <w:sz w:val="28"/>
          <w:szCs w:val="28"/>
          <w:highlight w:val="none"/>
        </w:rPr>
      </w:pPr>
      <w:r>
        <w:rPr>
          <w:rFonts w:hint="eastAsia" w:ascii="宋体" w:hAnsi="宋体" w:eastAsia="宋体" w:cs="Times New Roman"/>
          <w:b/>
          <w:bCs/>
          <w:color w:val="auto"/>
          <w:sz w:val="28"/>
          <w:szCs w:val="28"/>
          <w:highlight w:val="none"/>
        </w:rPr>
        <w:t>7. 争议解决</w:t>
      </w:r>
    </w:p>
    <w:p w14:paraId="1186359A">
      <w:pPr>
        <w:snapToGrid w:val="0"/>
        <w:spacing w:line="360" w:lineRule="auto"/>
        <w:ind w:left="210" w:leftChars="1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7.1协商</w:t>
      </w:r>
    </w:p>
    <w:p w14:paraId="0C9013CF">
      <w:pPr>
        <w:snapToGrid w:val="0"/>
        <w:spacing w:line="360" w:lineRule="auto"/>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双方应本着诚信原则协商解决彼此间的争议。</w:t>
      </w:r>
    </w:p>
    <w:p w14:paraId="7F6CD2E3">
      <w:pPr>
        <w:snapToGrid w:val="0"/>
        <w:spacing w:line="360" w:lineRule="auto"/>
        <w:ind w:left="210" w:leftChars="1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7.2调解</w:t>
      </w:r>
    </w:p>
    <w:p w14:paraId="1531F666">
      <w:pPr>
        <w:snapToGrid w:val="0"/>
        <w:spacing w:line="360" w:lineRule="auto"/>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如果双方不能在14天内或双方商定的其他时间内解决本合同争议，可以将其提交给专用条件约定的或事后达成协议的调解人进行调解。</w:t>
      </w:r>
    </w:p>
    <w:p w14:paraId="01E11DBF">
      <w:pPr>
        <w:snapToGrid w:val="0"/>
        <w:spacing w:line="360" w:lineRule="auto"/>
        <w:ind w:left="210" w:leftChars="1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7.3仲裁或诉讼</w:t>
      </w:r>
    </w:p>
    <w:p w14:paraId="06798F06">
      <w:pPr>
        <w:snapToGrid w:val="0"/>
        <w:spacing w:line="360" w:lineRule="auto"/>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双方均有权不经调解直接向专用条件约定的仲裁机构申请仲裁或向有管辖权的人民法院提起诉讼。</w:t>
      </w:r>
    </w:p>
    <w:p w14:paraId="56857CF0">
      <w:pPr>
        <w:snapToGrid w:val="0"/>
        <w:spacing w:line="360" w:lineRule="auto"/>
        <w:rPr>
          <w:rFonts w:hint="eastAsia" w:ascii="宋体" w:hAnsi="宋体" w:eastAsia="宋体" w:cs="Times New Roman"/>
          <w:b/>
          <w:bCs/>
          <w:color w:val="auto"/>
          <w:sz w:val="28"/>
          <w:szCs w:val="28"/>
          <w:highlight w:val="none"/>
        </w:rPr>
      </w:pPr>
      <w:r>
        <w:rPr>
          <w:rFonts w:hint="eastAsia" w:ascii="宋体" w:hAnsi="宋体" w:eastAsia="宋体" w:cs="Times New Roman"/>
          <w:b/>
          <w:bCs/>
          <w:color w:val="auto"/>
          <w:sz w:val="28"/>
          <w:szCs w:val="28"/>
          <w:highlight w:val="none"/>
        </w:rPr>
        <w:t>8. 其他</w:t>
      </w:r>
    </w:p>
    <w:p w14:paraId="007025DD">
      <w:pPr>
        <w:spacing w:line="360" w:lineRule="auto"/>
        <w:ind w:left="210" w:leftChars="1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8.1 外出考察费用</w:t>
      </w:r>
    </w:p>
    <w:p w14:paraId="5C5F4AED">
      <w:pPr>
        <w:snapToGrid w:val="0"/>
        <w:spacing w:line="360" w:lineRule="auto"/>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经委托人同意，监理人员外出考察发生的费用由委托人审核后支付。</w:t>
      </w:r>
    </w:p>
    <w:p w14:paraId="3DA0B11F">
      <w:pPr>
        <w:snapToGrid w:val="0"/>
        <w:spacing w:line="360" w:lineRule="auto"/>
        <w:ind w:left="210" w:leftChars="1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8.2 检测费用</w:t>
      </w:r>
    </w:p>
    <w:p w14:paraId="0D82826F">
      <w:pPr>
        <w:snapToGrid w:val="0"/>
        <w:spacing w:line="360" w:lineRule="auto"/>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委托人要求监理人进行的材料和设备检测所发生的费用，由委托人支付，支付时间在专用条件中约定。</w:t>
      </w:r>
    </w:p>
    <w:p w14:paraId="4A86ECA3">
      <w:pPr>
        <w:snapToGrid w:val="0"/>
        <w:spacing w:line="360" w:lineRule="auto"/>
        <w:ind w:left="210" w:leftChars="1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8.3 咨询费用</w:t>
      </w:r>
    </w:p>
    <w:p w14:paraId="21099288">
      <w:pPr>
        <w:snapToGrid w:val="0"/>
        <w:spacing w:line="360" w:lineRule="auto"/>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经委托人同意，根据工程需要由监理人组织的相关咨询论证会以及聘请相关专家等发生的费用由委托人支付，支付时间在专用条件中约定。</w:t>
      </w:r>
    </w:p>
    <w:p w14:paraId="2FE6E4B7">
      <w:pPr>
        <w:snapToGrid w:val="0"/>
        <w:spacing w:line="360" w:lineRule="auto"/>
        <w:ind w:left="210" w:leftChars="1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8.4 奖励</w:t>
      </w:r>
    </w:p>
    <w:p w14:paraId="4C16DF4A">
      <w:pPr>
        <w:snapToGrid w:val="0"/>
        <w:spacing w:line="360" w:lineRule="auto"/>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监理人在服务过程中提出的合理化建议，使委托人获得经济效益的，双方在专用条件中约定奖励金额的确定方法。奖励金额在合理化建议被采纳后，与最近一期的正常工作酬金同期支付。</w:t>
      </w:r>
    </w:p>
    <w:p w14:paraId="177974E7">
      <w:pPr>
        <w:snapToGrid w:val="0"/>
        <w:spacing w:line="360" w:lineRule="auto"/>
        <w:ind w:left="210" w:leftChars="1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8.5 守法诚信</w:t>
      </w:r>
    </w:p>
    <w:p w14:paraId="0E6B504D">
      <w:pPr>
        <w:snapToGrid w:val="0"/>
        <w:spacing w:line="360" w:lineRule="auto"/>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监理人及其工作人员不得从与实施工程有关的第三方处获得任何经济利益。</w:t>
      </w:r>
    </w:p>
    <w:p w14:paraId="5D9581FC">
      <w:pPr>
        <w:snapToGrid w:val="0"/>
        <w:spacing w:line="360" w:lineRule="auto"/>
        <w:ind w:left="210" w:leftChars="1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8.6 保密</w:t>
      </w:r>
    </w:p>
    <w:p w14:paraId="54D8C26F">
      <w:pPr>
        <w:snapToGrid w:val="0"/>
        <w:spacing w:line="360" w:lineRule="auto"/>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双方不得泄露对方申明的保密资料，亦不得泄露与实施工程有关的第三方所提供的保密资料，保密事项在专用条件中约定。</w:t>
      </w:r>
    </w:p>
    <w:p w14:paraId="037CCB75">
      <w:pPr>
        <w:snapToGrid w:val="0"/>
        <w:spacing w:line="360" w:lineRule="auto"/>
        <w:ind w:left="210" w:leftChars="1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8.7 通知</w:t>
      </w:r>
    </w:p>
    <w:p w14:paraId="6292D200">
      <w:pPr>
        <w:snapToGrid w:val="0"/>
        <w:spacing w:line="360" w:lineRule="auto"/>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本合同涉及的通知均应当采用书面形式，并在送达对方时生效，收件人应书面签收。</w:t>
      </w:r>
    </w:p>
    <w:p w14:paraId="26DEFB18">
      <w:pPr>
        <w:snapToGrid w:val="0"/>
        <w:spacing w:line="360" w:lineRule="auto"/>
        <w:ind w:left="210" w:leftChars="1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8.8 著作权</w:t>
      </w:r>
    </w:p>
    <w:p w14:paraId="2FFC5E40">
      <w:pPr>
        <w:adjustRightInd w:val="0"/>
        <w:snapToGrid w:val="0"/>
        <w:spacing w:line="360" w:lineRule="auto"/>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监理人对其编制的文件拥有著作权。</w:t>
      </w:r>
    </w:p>
    <w:p w14:paraId="667B6BE8">
      <w:pPr>
        <w:snapToGrid w:val="0"/>
        <w:spacing w:line="360" w:lineRule="auto"/>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14:paraId="545B7194">
      <w:pPr>
        <w:pageBreakBefore/>
        <w:spacing w:line="360" w:lineRule="auto"/>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第三部分  专用条件</w:t>
      </w:r>
    </w:p>
    <w:p w14:paraId="4C3CDE3F">
      <w:pPr>
        <w:spacing w:line="360" w:lineRule="auto"/>
        <w:jc w:val="center"/>
        <w:rPr>
          <w:rFonts w:hint="eastAsia" w:ascii="宋体" w:hAnsi="宋体" w:eastAsia="宋体" w:cs="Times New Roman"/>
          <w:b/>
          <w:bCs/>
          <w:color w:val="auto"/>
          <w:sz w:val="18"/>
          <w:szCs w:val="18"/>
          <w:highlight w:val="none"/>
        </w:rPr>
      </w:pPr>
      <w:r>
        <w:rPr>
          <w:rFonts w:hint="eastAsia" w:ascii="宋体" w:hAnsi="宋体" w:eastAsia="宋体" w:cs="Times New Roman"/>
          <w:b/>
          <w:bCs/>
          <w:color w:val="auto"/>
          <w:sz w:val="28"/>
          <w:szCs w:val="28"/>
          <w:highlight w:val="none"/>
        </w:rPr>
        <w:t xml:space="preserve"> </w:t>
      </w:r>
    </w:p>
    <w:p w14:paraId="1FE7C2A1">
      <w:pPr>
        <w:adjustRightInd w:val="0"/>
        <w:snapToGrid w:val="0"/>
        <w:spacing w:line="360" w:lineRule="auto"/>
        <w:rPr>
          <w:rFonts w:hint="eastAsia" w:ascii="宋体" w:hAnsi="宋体" w:eastAsia="宋体" w:cs="Times New Roman"/>
          <w:b/>
          <w:bCs/>
          <w:color w:val="auto"/>
          <w:sz w:val="28"/>
          <w:szCs w:val="28"/>
          <w:highlight w:val="none"/>
        </w:rPr>
      </w:pPr>
      <w:r>
        <w:rPr>
          <w:rFonts w:hint="eastAsia" w:ascii="宋体" w:hAnsi="宋体" w:eastAsia="宋体" w:cs="Times New Roman"/>
          <w:b/>
          <w:bCs/>
          <w:color w:val="auto"/>
          <w:sz w:val="28"/>
          <w:szCs w:val="28"/>
          <w:highlight w:val="none"/>
        </w:rPr>
        <w:t>1. 定义与解释</w:t>
      </w:r>
    </w:p>
    <w:p w14:paraId="19311FB8">
      <w:pPr>
        <w:adjustRightInd w:val="0"/>
        <w:snapToGrid w:val="0"/>
        <w:spacing w:line="360" w:lineRule="auto"/>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 xml:space="preserve">  1.2  解释</w:t>
      </w:r>
    </w:p>
    <w:p w14:paraId="720D9AA2">
      <w:pPr>
        <w:adjustRightInd w:val="0"/>
        <w:snapToGrid w:val="0"/>
        <w:spacing w:line="360" w:lineRule="auto"/>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1.2.1 本合同文件除使用中文外，还可用</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u w:val="single"/>
          <w:lang w:val="en-US" w:eastAsia="zh-CN"/>
        </w:rPr>
        <w:t xml:space="preserve">             </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rPr>
        <w:t>。</w:t>
      </w:r>
    </w:p>
    <w:p w14:paraId="68B45FED">
      <w:pPr>
        <w:adjustRightInd w:val="0"/>
        <w:snapToGrid w:val="0"/>
        <w:spacing w:line="360" w:lineRule="auto"/>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1.2.2 约定本合同文件的解释顺序为：</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u w:val="single"/>
          <w:lang w:val="en-US" w:eastAsia="zh-CN"/>
        </w:rPr>
        <w:t xml:space="preserve">       </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rPr>
        <w:t>。</w:t>
      </w:r>
    </w:p>
    <w:p w14:paraId="1E57C02B">
      <w:pPr>
        <w:adjustRightInd w:val="0"/>
        <w:snapToGrid w:val="0"/>
        <w:spacing w:line="360" w:lineRule="auto"/>
        <w:rPr>
          <w:rFonts w:hint="eastAsia" w:ascii="宋体" w:hAnsi="宋体" w:eastAsia="宋体" w:cs="Times New Roman"/>
          <w:b/>
          <w:bCs/>
          <w:color w:val="auto"/>
          <w:sz w:val="28"/>
          <w:szCs w:val="28"/>
          <w:highlight w:val="none"/>
        </w:rPr>
      </w:pPr>
      <w:r>
        <w:rPr>
          <w:rFonts w:hint="eastAsia" w:ascii="宋体" w:hAnsi="宋体" w:eastAsia="宋体" w:cs="Times New Roman"/>
          <w:b/>
          <w:bCs/>
          <w:color w:val="auto"/>
          <w:sz w:val="28"/>
          <w:szCs w:val="28"/>
          <w:highlight w:val="none"/>
        </w:rPr>
        <w:t>2. 监理人义务</w:t>
      </w:r>
    </w:p>
    <w:p w14:paraId="0EF53856">
      <w:pPr>
        <w:adjustRightInd w:val="0"/>
        <w:snapToGrid w:val="0"/>
        <w:spacing w:line="360" w:lineRule="auto"/>
        <w:ind w:firstLine="274" w:firstLineChars="98"/>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2.1 监理的范围和内容</w:t>
      </w:r>
    </w:p>
    <w:p w14:paraId="1FE3AA7D">
      <w:pPr>
        <w:adjustRightInd w:val="0"/>
        <w:snapToGrid w:val="0"/>
        <w:spacing w:line="360" w:lineRule="auto"/>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2.1.1 监理范围包括：</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u w:val="single"/>
          <w:lang w:val="en-US" w:eastAsia="zh-CN"/>
        </w:rPr>
        <w:t xml:space="preserve">                                     </w:t>
      </w:r>
      <w:r>
        <w:rPr>
          <w:rFonts w:hint="eastAsia" w:ascii="宋体" w:hAnsi="宋体" w:eastAsia="宋体" w:cs="Times New Roman"/>
          <w:color w:val="auto"/>
          <w:sz w:val="28"/>
          <w:szCs w:val="28"/>
          <w:highlight w:val="none"/>
          <w:u w:val="single"/>
        </w:rPr>
        <w:t xml:space="preserve">   </w:t>
      </w:r>
    </w:p>
    <w:p w14:paraId="2495DABF">
      <w:pPr>
        <w:adjustRightInd w:val="0"/>
        <w:snapToGrid w:val="0"/>
        <w:spacing w:line="360" w:lineRule="auto"/>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2.1.2 监理工作内容还包括：</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u w:val="single"/>
          <w:lang w:val="en-US" w:eastAsia="zh-CN"/>
        </w:rPr>
        <w:t xml:space="preserve">                                  </w:t>
      </w:r>
      <w:r>
        <w:rPr>
          <w:rFonts w:hint="eastAsia" w:ascii="宋体" w:hAnsi="宋体" w:eastAsia="宋体" w:cs="Times New Roman"/>
          <w:color w:val="auto"/>
          <w:sz w:val="28"/>
          <w:szCs w:val="28"/>
          <w:highlight w:val="none"/>
          <w:u w:val="single"/>
        </w:rPr>
        <w:t xml:space="preserve"> </w:t>
      </w:r>
    </w:p>
    <w:p w14:paraId="6CDB0EC2">
      <w:pPr>
        <w:spacing w:line="360" w:lineRule="auto"/>
        <w:ind w:firstLine="274" w:firstLineChars="98"/>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2.2 监理与相关服务依据</w:t>
      </w:r>
    </w:p>
    <w:p w14:paraId="0993F305">
      <w:pPr>
        <w:adjustRightInd w:val="0"/>
        <w:snapToGrid w:val="0"/>
        <w:spacing w:line="360" w:lineRule="auto"/>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2.2.1 监理依据包括：</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u w:val="single"/>
          <w:lang w:val="en-US" w:eastAsia="zh-CN"/>
        </w:rPr>
        <w:t xml:space="preserve">                                            </w:t>
      </w:r>
      <w:r>
        <w:rPr>
          <w:rFonts w:hint="eastAsia" w:ascii="宋体" w:hAnsi="宋体" w:eastAsia="宋体" w:cs="Times New Roman"/>
          <w:color w:val="auto"/>
          <w:sz w:val="28"/>
          <w:szCs w:val="28"/>
          <w:highlight w:val="none"/>
          <w:u w:val="single"/>
        </w:rPr>
        <w:t xml:space="preserve"> </w:t>
      </w:r>
    </w:p>
    <w:p w14:paraId="2F8D079B">
      <w:pPr>
        <w:adjustRightInd w:val="0"/>
        <w:snapToGrid w:val="0"/>
        <w:spacing w:line="360" w:lineRule="auto"/>
        <w:ind w:firstLine="560" w:firstLineChars="200"/>
        <w:rPr>
          <w:rFonts w:hint="eastAsia" w:ascii="宋体" w:hAnsi="宋体" w:eastAsia="宋体" w:cs="Times New Roman"/>
          <w:dstrike/>
          <w:color w:val="auto"/>
          <w:sz w:val="28"/>
          <w:szCs w:val="28"/>
          <w:highlight w:val="none"/>
        </w:rPr>
      </w:pPr>
      <w:r>
        <w:rPr>
          <w:rFonts w:hint="eastAsia" w:ascii="宋体" w:hAnsi="宋体" w:eastAsia="宋体" w:cs="Times New Roman"/>
          <w:color w:val="auto"/>
          <w:sz w:val="28"/>
          <w:szCs w:val="28"/>
          <w:highlight w:val="none"/>
        </w:rPr>
        <w:t>2.2.2 相关服务依据包括：</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u w:val="single"/>
          <w:lang w:val="en-US" w:eastAsia="zh-CN"/>
        </w:rPr>
        <w:t xml:space="preserve">  </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u w:val="single"/>
          <w:lang w:val="en-US" w:eastAsia="zh-CN"/>
        </w:rPr>
        <w:t xml:space="preserve"> </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u w:val="single"/>
          <w:lang w:val="en-US" w:eastAsia="zh-CN"/>
        </w:rPr>
        <w:t xml:space="preserve">    </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u w:val="single"/>
          <w:lang w:val="en-US" w:eastAsia="zh-CN"/>
        </w:rPr>
        <w:t xml:space="preserve">    </w:t>
      </w:r>
      <w:r>
        <w:rPr>
          <w:rFonts w:hint="eastAsia" w:ascii="宋体" w:hAnsi="宋体" w:eastAsia="宋体" w:cs="Times New Roman"/>
          <w:color w:val="auto"/>
          <w:sz w:val="28"/>
          <w:szCs w:val="28"/>
          <w:highlight w:val="none"/>
          <w:u w:val="single"/>
        </w:rPr>
        <w:t xml:space="preserve">            </w:t>
      </w:r>
    </w:p>
    <w:p w14:paraId="0005FE98">
      <w:pPr>
        <w:spacing w:line="360" w:lineRule="auto"/>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 xml:space="preserve">  2.3</w:t>
      </w:r>
      <w:r>
        <w:rPr>
          <w:rFonts w:hint="eastAsia" w:ascii="宋体" w:hAnsi="宋体" w:eastAsia="宋体" w:cs="宋体"/>
          <w:color w:val="auto"/>
          <w:kern w:val="0"/>
          <w:sz w:val="28"/>
          <w:szCs w:val="28"/>
          <w:highlight w:val="none"/>
        </w:rPr>
        <w:t>项目监理机构和人员</w:t>
      </w:r>
    </w:p>
    <w:p w14:paraId="69F0B266">
      <w:pPr>
        <w:adjustRightInd w:val="0"/>
        <w:snapToGrid w:val="0"/>
        <w:spacing w:line="360" w:lineRule="auto"/>
        <w:ind w:firstLine="560" w:firstLineChars="200"/>
        <w:rPr>
          <w:rFonts w:hint="default" w:ascii="宋体" w:hAnsi="宋体" w:eastAsia="宋体" w:cs="Times New Roman"/>
          <w:color w:val="auto"/>
          <w:sz w:val="28"/>
          <w:szCs w:val="28"/>
          <w:highlight w:val="none"/>
          <w:lang w:val="en-US" w:eastAsia="zh-CN"/>
        </w:rPr>
      </w:pPr>
      <w:r>
        <w:rPr>
          <w:rFonts w:hint="eastAsia" w:ascii="宋体" w:hAnsi="宋体" w:eastAsia="宋体" w:cs="Times New Roman"/>
          <w:color w:val="auto"/>
          <w:sz w:val="28"/>
          <w:szCs w:val="28"/>
          <w:highlight w:val="none"/>
        </w:rPr>
        <w:t xml:space="preserve">2.3.4 </w:t>
      </w:r>
      <w:r>
        <w:rPr>
          <w:rFonts w:hint="eastAsia" w:ascii="宋体" w:hAnsi="宋体" w:eastAsia="宋体" w:cs="Times New Roman"/>
          <w:color w:val="auto"/>
          <w:kern w:val="0"/>
          <w:sz w:val="28"/>
          <w:szCs w:val="28"/>
          <w:highlight w:val="none"/>
        </w:rPr>
        <w:t>更换监理人员的其他情形：</w:t>
      </w:r>
      <w:r>
        <w:rPr>
          <w:rFonts w:hint="eastAsia" w:ascii="宋体" w:hAnsi="宋体" w:eastAsia="宋体" w:cs="Times New Roman"/>
          <w:color w:val="auto"/>
          <w:kern w:val="0"/>
          <w:sz w:val="28"/>
          <w:szCs w:val="28"/>
          <w:highlight w:val="none"/>
          <w:u w:val="single"/>
        </w:rPr>
        <w:t xml:space="preserve"> </w:t>
      </w:r>
      <w:r>
        <w:rPr>
          <w:rFonts w:hint="eastAsia" w:ascii="宋体" w:hAnsi="宋体" w:eastAsia="宋体" w:cs="Times New Roman"/>
          <w:color w:val="auto"/>
          <w:kern w:val="0"/>
          <w:sz w:val="28"/>
          <w:szCs w:val="28"/>
          <w:highlight w:val="none"/>
          <w:u w:val="single"/>
          <w:lang w:val="en-US" w:eastAsia="zh-CN"/>
        </w:rPr>
        <w:t xml:space="preserve">                              </w:t>
      </w:r>
    </w:p>
    <w:p w14:paraId="2C5E2D0E">
      <w:pPr>
        <w:spacing w:line="360" w:lineRule="auto"/>
        <w:ind w:firstLine="274" w:firstLineChars="98"/>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 xml:space="preserve">2.4 </w:t>
      </w:r>
      <w:r>
        <w:rPr>
          <w:rFonts w:hint="eastAsia" w:ascii="宋体" w:hAnsi="宋体" w:eastAsia="宋体" w:cs="宋体"/>
          <w:color w:val="auto"/>
          <w:kern w:val="0"/>
          <w:sz w:val="28"/>
          <w:szCs w:val="28"/>
          <w:highlight w:val="none"/>
        </w:rPr>
        <w:t>履行职责</w:t>
      </w:r>
    </w:p>
    <w:p w14:paraId="3BDF7FBE">
      <w:pPr>
        <w:adjustRightInd w:val="0"/>
        <w:snapToGrid w:val="0"/>
        <w:spacing w:line="360" w:lineRule="auto"/>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2.4.3 对监理人的授权范围：</w:t>
      </w:r>
      <w:r>
        <w:rPr>
          <w:rFonts w:hint="eastAsia" w:ascii="宋体" w:hAnsi="宋体" w:eastAsia="宋体" w:cs="Times New Roman"/>
          <w:b/>
          <w:bCs/>
          <w:color w:val="auto"/>
          <w:sz w:val="28"/>
          <w:szCs w:val="28"/>
          <w:highlight w:val="none"/>
          <w:u w:val="single"/>
        </w:rPr>
        <w:t xml:space="preserve"> </w:t>
      </w:r>
      <w:r>
        <w:rPr>
          <w:rFonts w:hint="eastAsia" w:ascii="宋体" w:hAnsi="宋体" w:eastAsia="宋体" w:cs="Times New Roman"/>
          <w:color w:val="auto"/>
          <w:sz w:val="28"/>
          <w:szCs w:val="28"/>
          <w:highlight w:val="none"/>
          <w:u w:val="single"/>
          <w:lang w:val="en-US" w:eastAsia="zh-CN"/>
        </w:rPr>
        <w:t xml:space="preserve">                                    </w:t>
      </w:r>
      <w:r>
        <w:rPr>
          <w:rFonts w:hint="eastAsia" w:ascii="宋体" w:hAnsi="宋体" w:eastAsia="宋体" w:cs="Times New Roman"/>
          <w:b/>
          <w:bCs/>
          <w:color w:val="auto"/>
          <w:sz w:val="28"/>
          <w:szCs w:val="28"/>
          <w:highlight w:val="none"/>
          <w:u w:val="single"/>
        </w:rPr>
        <w:t xml:space="preserve"> </w:t>
      </w:r>
      <w:r>
        <w:rPr>
          <w:rFonts w:hint="eastAsia" w:ascii="宋体" w:hAnsi="宋体" w:eastAsia="宋体" w:cs="Times New Roman"/>
          <w:color w:val="auto"/>
          <w:sz w:val="28"/>
          <w:szCs w:val="28"/>
          <w:highlight w:val="none"/>
        </w:rPr>
        <w:t>。</w:t>
      </w:r>
    </w:p>
    <w:p w14:paraId="7CAEA98A">
      <w:pPr>
        <w:adjustRightInd w:val="0"/>
        <w:snapToGrid w:val="0"/>
        <w:spacing w:line="360" w:lineRule="auto"/>
        <w:ind w:firstLine="560" w:firstLineChars="200"/>
        <w:outlineLvl w:val="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在涉及工程延期</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u w:val="single"/>
          <w:lang w:val="en-US" w:eastAsia="zh-CN"/>
        </w:rPr>
        <w:t xml:space="preserve">  </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rPr>
        <w:t>天内和（或）金额</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u w:val="single"/>
          <w:lang w:val="en-US" w:eastAsia="zh-CN"/>
        </w:rPr>
        <w:t xml:space="preserve">  </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rPr>
        <w:t>万元内的变更，监理人不需请示委托人即可向承包人发布变更通知。</w:t>
      </w:r>
    </w:p>
    <w:p w14:paraId="094F2D47">
      <w:pPr>
        <w:adjustRightInd w:val="0"/>
        <w:snapToGrid w:val="0"/>
        <w:spacing w:line="360" w:lineRule="auto"/>
        <w:ind w:firstLine="420" w:firstLineChars="150"/>
        <w:rPr>
          <w:rFonts w:hint="eastAsia" w:ascii="宋体" w:hAnsi="宋体" w:eastAsia="宋体" w:cs="Times New Roman"/>
          <w:color w:val="auto"/>
          <w:sz w:val="28"/>
          <w:szCs w:val="28"/>
          <w:highlight w:val="none"/>
        </w:rPr>
      </w:pPr>
      <w:r>
        <w:rPr>
          <w:rFonts w:hint="eastAsia" w:ascii="宋体" w:hAnsi="宋体" w:eastAsia="宋体" w:cs="Times New Roman"/>
          <w:color w:val="auto"/>
          <w:kern w:val="0"/>
          <w:sz w:val="28"/>
          <w:szCs w:val="28"/>
          <w:highlight w:val="none"/>
        </w:rPr>
        <w:t>2.4.4 监理人有权要求承包人调换其人员</w:t>
      </w:r>
      <w:r>
        <w:rPr>
          <w:rFonts w:hint="eastAsia" w:ascii="宋体" w:hAnsi="宋体" w:eastAsia="宋体" w:cs="Times New Roman"/>
          <w:color w:val="auto"/>
          <w:sz w:val="28"/>
          <w:szCs w:val="28"/>
          <w:highlight w:val="none"/>
        </w:rPr>
        <w:t>的限制条件：</w:t>
      </w:r>
      <w:r>
        <w:rPr>
          <w:rFonts w:hint="eastAsia" w:ascii="宋体" w:hAnsi="宋体" w:eastAsia="宋体" w:cs="Times New Roman"/>
          <w:color w:val="auto"/>
          <w:sz w:val="28"/>
          <w:szCs w:val="28"/>
          <w:highlight w:val="none"/>
          <w:u w:val="single"/>
          <w:lang w:val="en-US" w:eastAsia="zh-CN"/>
        </w:rPr>
        <w:t xml:space="preserve">              </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rPr>
        <w:t xml:space="preserve">  </w:t>
      </w:r>
    </w:p>
    <w:p w14:paraId="0D1C4CDA">
      <w:pPr>
        <w:adjustRightInd w:val="0"/>
        <w:snapToGrid w:val="0"/>
        <w:spacing w:line="360" w:lineRule="auto"/>
        <w:ind w:firstLine="140" w:firstLineChars="50"/>
        <w:rPr>
          <w:rFonts w:hint="eastAsia" w:ascii="宋体" w:hAnsi="宋体" w:eastAsia="宋体" w:cs="Times New Roman"/>
          <w:color w:val="auto"/>
          <w:sz w:val="28"/>
          <w:szCs w:val="28"/>
          <w:highlight w:val="none"/>
        </w:rPr>
      </w:pPr>
      <w:r>
        <w:rPr>
          <w:rFonts w:hint="eastAsia" w:ascii="宋体" w:hAnsi="宋体" w:eastAsia="宋体" w:cs="Times New Roman"/>
          <w:color w:val="auto"/>
          <w:kern w:val="0"/>
          <w:sz w:val="28"/>
          <w:szCs w:val="28"/>
          <w:highlight w:val="none"/>
        </w:rPr>
        <w:t xml:space="preserve">2.5 </w:t>
      </w:r>
      <w:r>
        <w:rPr>
          <w:rFonts w:hint="eastAsia" w:ascii="宋体" w:hAnsi="宋体" w:eastAsia="宋体" w:cs="Times New Roman"/>
          <w:color w:val="auto"/>
          <w:sz w:val="28"/>
          <w:szCs w:val="28"/>
          <w:highlight w:val="none"/>
        </w:rPr>
        <w:t>提交</w:t>
      </w:r>
      <w:r>
        <w:rPr>
          <w:rFonts w:hint="eastAsia" w:ascii="宋体" w:hAnsi="宋体" w:eastAsia="宋体" w:cs="宋体"/>
          <w:color w:val="auto"/>
          <w:kern w:val="0"/>
          <w:sz w:val="28"/>
          <w:szCs w:val="28"/>
          <w:highlight w:val="none"/>
        </w:rPr>
        <w:t>报告</w:t>
      </w:r>
    </w:p>
    <w:p w14:paraId="63F2B2D3">
      <w:pPr>
        <w:adjustRightInd w:val="0"/>
        <w:snapToGrid w:val="0"/>
        <w:spacing w:line="360" w:lineRule="auto"/>
        <w:ind w:firstLine="525"/>
        <w:rPr>
          <w:rFonts w:hint="default" w:ascii="宋体" w:hAnsi="宋体" w:eastAsia="宋体" w:cs="Times New Roman"/>
          <w:color w:val="auto"/>
          <w:sz w:val="28"/>
          <w:szCs w:val="28"/>
          <w:highlight w:val="none"/>
          <w:u w:val="single"/>
          <w:lang w:val="en-US" w:eastAsia="zh-CN"/>
        </w:rPr>
      </w:pPr>
      <w:r>
        <w:rPr>
          <w:rFonts w:hint="eastAsia" w:ascii="宋体" w:hAnsi="宋体" w:eastAsia="宋体" w:cs="Times New Roman"/>
          <w:color w:val="auto"/>
          <w:sz w:val="28"/>
          <w:szCs w:val="28"/>
          <w:highlight w:val="none"/>
        </w:rPr>
        <w:t>监理人应提交报告的种类(</w:t>
      </w:r>
      <w:r>
        <w:rPr>
          <w:rFonts w:hint="eastAsia" w:ascii="宋体" w:hAnsi="宋体" w:eastAsia="宋体" w:cs="宋体"/>
          <w:color w:val="auto"/>
          <w:kern w:val="0"/>
          <w:sz w:val="28"/>
          <w:szCs w:val="28"/>
          <w:highlight w:val="none"/>
        </w:rPr>
        <w:t>包括监理规划、监理月报及约定的专项报告)</w:t>
      </w:r>
      <w:r>
        <w:rPr>
          <w:rFonts w:hint="eastAsia" w:ascii="宋体" w:hAnsi="宋体" w:eastAsia="宋体" w:cs="Times New Roman"/>
          <w:color w:val="auto"/>
          <w:sz w:val="28"/>
          <w:szCs w:val="28"/>
          <w:highlight w:val="none"/>
        </w:rPr>
        <w:t>、时间和份数</w:t>
      </w:r>
      <w:r>
        <w:rPr>
          <w:rFonts w:hint="eastAsia" w:ascii="宋体" w:hAnsi="宋体" w:eastAsia="宋体" w:cs="宋体"/>
          <w:color w:val="auto"/>
          <w:kern w:val="0"/>
          <w:sz w:val="28"/>
          <w:szCs w:val="28"/>
          <w:highlight w:val="none"/>
        </w:rPr>
        <w:t>：</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u w:val="single"/>
          <w:lang w:val="en-US" w:eastAsia="zh-CN"/>
        </w:rPr>
        <w:t xml:space="preserve">                                                     </w:t>
      </w:r>
    </w:p>
    <w:p w14:paraId="3F6087DE">
      <w:pPr>
        <w:spacing w:line="360" w:lineRule="auto"/>
        <w:rPr>
          <w:rFonts w:hint="eastAsia" w:ascii="宋体" w:hAnsi="宋体" w:eastAsia="宋体" w:cs="宋体"/>
          <w:color w:val="auto"/>
          <w:kern w:val="0"/>
          <w:sz w:val="28"/>
          <w:szCs w:val="28"/>
          <w:highlight w:val="none"/>
        </w:rPr>
      </w:pPr>
      <w:r>
        <w:rPr>
          <w:rFonts w:hint="eastAsia" w:ascii="宋体" w:hAnsi="宋体" w:eastAsia="宋体" w:cs="Times New Roman"/>
          <w:color w:val="auto"/>
          <w:kern w:val="0"/>
          <w:sz w:val="28"/>
          <w:szCs w:val="28"/>
          <w:highlight w:val="none"/>
        </w:rPr>
        <w:t xml:space="preserve"> 2.7 </w:t>
      </w:r>
      <w:r>
        <w:rPr>
          <w:rFonts w:hint="eastAsia" w:ascii="宋体" w:hAnsi="宋体" w:eastAsia="宋体" w:cs="宋体"/>
          <w:color w:val="auto"/>
          <w:kern w:val="0"/>
          <w:sz w:val="28"/>
          <w:szCs w:val="28"/>
          <w:highlight w:val="none"/>
        </w:rPr>
        <w:t>使用委托人的财产</w:t>
      </w:r>
    </w:p>
    <w:p w14:paraId="7234EBA9">
      <w:pPr>
        <w:spacing w:line="360" w:lineRule="auto"/>
        <w:rPr>
          <w:rFonts w:hint="eastAsia" w:ascii="宋体" w:hAnsi="宋体" w:eastAsia="宋体" w:cs="Times New Roman"/>
          <w:color w:val="auto"/>
          <w:kern w:val="0"/>
          <w:sz w:val="28"/>
          <w:szCs w:val="28"/>
          <w:highlight w:val="none"/>
        </w:rPr>
      </w:pPr>
      <w:r>
        <w:rPr>
          <w:rFonts w:hint="eastAsia" w:ascii="宋体" w:hAnsi="宋体" w:eastAsia="宋体" w:cs="宋体"/>
          <w:color w:val="auto"/>
          <w:kern w:val="0"/>
          <w:sz w:val="28"/>
          <w:szCs w:val="28"/>
          <w:highlight w:val="none"/>
        </w:rPr>
        <w:t xml:space="preserve">  </w:t>
      </w:r>
      <w:r>
        <w:rPr>
          <w:rFonts w:hint="eastAsia" w:ascii="宋体" w:hAnsi="宋体" w:eastAsia="宋体" w:cs="Times New Roman"/>
          <w:color w:val="auto"/>
          <w:kern w:val="0"/>
          <w:sz w:val="28"/>
          <w:szCs w:val="28"/>
          <w:highlight w:val="none"/>
        </w:rPr>
        <w:t xml:space="preserve">   </w:t>
      </w:r>
      <w:r>
        <w:rPr>
          <w:rFonts w:hint="eastAsia" w:ascii="宋体" w:hAnsi="宋体" w:eastAsia="宋体" w:cs="Times New Roman"/>
          <w:color w:val="auto"/>
          <w:sz w:val="28"/>
          <w:szCs w:val="28"/>
          <w:highlight w:val="none"/>
        </w:rPr>
        <w:t>附录B中由委托人无偿提供的房屋、设备的所有权属于：</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u w:val="single"/>
          <w:lang w:val="en-US" w:eastAsia="zh-CN"/>
        </w:rPr>
        <w:t xml:space="preserve">    </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rPr>
        <w:t>。</w:t>
      </w:r>
    </w:p>
    <w:p w14:paraId="240CB344">
      <w:pPr>
        <w:spacing w:line="360" w:lineRule="auto"/>
        <w:ind w:firstLine="560" w:firstLineChars="200"/>
        <w:rPr>
          <w:rFonts w:hint="eastAsia" w:ascii="宋体" w:hAnsi="宋体" w:eastAsia="宋体" w:cs="Times New Roman"/>
          <w:color w:val="auto"/>
          <w:kern w:val="0"/>
          <w:sz w:val="28"/>
          <w:szCs w:val="28"/>
          <w:highlight w:val="none"/>
        </w:rPr>
      </w:pPr>
      <w:r>
        <w:rPr>
          <w:rFonts w:hint="eastAsia" w:ascii="宋体" w:hAnsi="宋体" w:eastAsia="宋体" w:cs="Times New Roman"/>
          <w:color w:val="auto"/>
          <w:sz w:val="28"/>
          <w:szCs w:val="28"/>
          <w:highlight w:val="none"/>
        </w:rPr>
        <w:t>监理人应在本合同终止后</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u w:val="single"/>
          <w:lang w:val="en-US" w:eastAsia="zh-CN"/>
        </w:rPr>
        <w:t xml:space="preserve"> </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rPr>
        <w:t>天内移交委托人无偿提供的房屋、设备，移交的时间和方式为：</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u w:val="single"/>
          <w:lang w:val="en-US" w:eastAsia="zh-CN"/>
        </w:rPr>
        <w:t xml:space="preserve">    </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rPr>
        <w:t>。</w:t>
      </w:r>
    </w:p>
    <w:p w14:paraId="5311F4EC">
      <w:pPr>
        <w:adjustRightInd w:val="0"/>
        <w:snapToGrid w:val="0"/>
        <w:spacing w:line="360" w:lineRule="auto"/>
        <w:rPr>
          <w:rFonts w:hint="eastAsia" w:ascii="宋体" w:hAnsi="宋体" w:eastAsia="宋体" w:cs="Times New Roman"/>
          <w:b/>
          <w:bCs/>
          <w:color w:val="auto"/>
          <w:sz w:val="28"/>
          <w:szCs w:val="28"/>
          <w:highlight w:val="none"/>
        </w:rPr>
      </w:pPr>
      <w:r>
        <w:rPr>
          <w:rFonts w:hint="eastAsia" w:ascii="宋体" w:hAnsi="宋体" w:eastAsia="宋体" w:cs="Times New Roman"/>
          <w:b/>
          <w:bCs/>
          <w:color w:val="auto"/>
          <w:kern w:val="0"/>
          <w:sz w:val="28"/>
          <w:szCs w:val="28"/>
          <w:highlight w:val="none"/>
        </w:rPr>
        <w:t xml:space="preserve">3. 委托人义务  </w:t>
      </w:r>
    </w:p>
    <w:p w14:paraId="4EAEEEE0">
      <w:pPr>
        <w:snapToGrid w:val="0"/>
        <w:spacing w:line="360" w:lineRule="auto"/>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 xml:space="preserve">  </w:t>
      </w:r>
      <w:r>
        <w:rPr>
          <w:rFonts w:hint="eastAsia" w:ascii="宋体" w:hAnsi="宋体" w:eastAsia="宋体" w:cs="Times New Roman"/>
          <w:color w:val="auto"/>
          <w:kern w:val="0"/>
          <w:sz w:val="28"/>
          <w:szCs w:val="28"/>
          <w:highlight w:val="none"/>
        </w:rPr>
        <w:t xml:space="preserve">3.4 </w:t>
      </w:r>
      <w:r>
        <w:rPr>
          <w:rFonts w:hint="eastAsia" w:ascii="宋体" w:hAnsi="宋体" w:eastAsia="宋体" w:cs="宋体"/>
          <w:color w:val="auto"/>
          <w:kern w:val="0"/>
          <w:sz w:val="28"/>
          <w:szCs w:val="28"/>
          <w:highlight w:val="none"/>
        </w:rPr>
        <w:t>委托人代表</w:t>
      </w:r>
    </w:p>
    <w:p w14:paraId="6E170535">
      <w:pPr>
        <w:adjustRightInd w:val="0"/>
        <w:snapToGrid w:val="0"/>
        <w:spacing w:line="360" w:lineRule="auto"/>
        <w:ind w:firstLine="560" w:firstLineChars="200"/>
        <w:rPr>
          <w:rFonts w:hint="eastAsia" w:ascii="宋体" w:hAnsi="宋体" w:eastAsia="宋体" w:cs="Times New Roman"/>
          <w:color w:val="auto"/>
          <w:sz w:val="28"/>
          <w:szCs w:val="28"/>
          <w:highlight w:val="none"/>
          <w:u w:val="single"/>
        </w:rPr>
      </w:pPr>
      <w:r>
        <w:rPr>
          <w:rFonts w:hint="eastAsia" w:ascii="宋体" w:hAnsi="宋体" w:eastAsia="宋体" w:cs="Times New Roman"/>
          <w:color w:val="auto"/>
          <w:sz w:val="28"/>
          <w:szCs w:val="28"/>
          <w:highlight w:val="none"/>
        </w:rPr>
        <w:t>委托人代表为：</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rPr>
        <w:t>。</w:t>
      </w:r>
    </w:p>
    <w:p w14:paraId="023C1167">
      <w:pPr>
        <w:adjustRightInd w:val="0"/>
        <w:snapToGrid w:val="0"/>
        <w:spacing w:line="360" w:lineRule="auto"/>
        <w:ind w:firstLine="274" w:firstLineChars="98"/>
        <w:rPr>
          <w:rFonts w:hint="eastAsia" w:ascii="宋体" w:hAnsi="宋体" w:eastAsia="宋体" w:cs="宋体"/>
          <w:color w:val="auto"/>
          <w:kern w:val="0"/>
          <w:sz w:val="28"/>
          <w:szCs w:val="28"/>
          <w:highlight w:val="none"/>
        </w:rPr>
      </w:pPr>
      <w:r>
        <w:rPr>
          <w:rFonts w:hint="eastAsia" w:ascii="宋体" w:hAnsi="宋体" w:eastAsia="宋体" w:cs="Times New Roman"/>
          <w:color w:val="auto"/>
          <w:kern w:val="0"/>
          <w:sz w:val="28"/>
          <w:szCs w:val="28"/>
          <w:highlight w:val="none"/>
        </w:rPr>
        <w:t xml:space="preserve">3.6 </w:t>
      </w:r>
      <w:r>
        <w:rPr>
          <w:rFonts w:hint="eastAsia" w:ascii="宋体" w:hAnsi="宋体" w:eastAsia="宋体" w:cs="宋体"/>
          <w:color w:val="auto"/>
          <w:kern w:val="0"/>
          <w:sz w:val="28"/>
          <w:szCs w:val="28"/>
          <w:highlight w:val="none"/>
        </w:rPr>
        <w:t>答复</w:t>
      </w:r>
    </w:p>
    <w:p w14:paraId="2808372C">
      <w:pPr>
        <w:adjustRightInd w:val="0"/>
        <w:snapToGrid w:val="0"/>
        <w:spacing w:line="360" w:lineRule="auto"/>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委托人同意在</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u w:val="single"/>
          <w:lang w:val="en-US" w:eastAsia="zh-CN"/>
        </w:rPr>
        <w:t xml:space="preserve"> </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rPr>
        <w:t>天内，对监理人书面提交并要求做出决定的事宜给予书面答复。</w:t>
      </w:r>
    </w:p>
    <w:p w14:paraId="4969AB22">
      <w:pPr>
        <w:snapToGrid w:val="0"/>
        <w:spacing w:line="360" w:lineRule="auto"/>
        <w:rPr>
          <w:rFonts w:hint="eastAsia" w:ascii="宋体" w:hAnsi="宋体" w:eastAsia="宋体" w:cs="Times New Roman"/>
          <w:b/>
          <w:bCs/>
          <w:color w:val="auto"/>
          <w:sz w:val="28"/>
          <w:szCs w:val="28"/>
          <w:highlight w:val="none"/>
        </w:rPr>
      </w:pPr>
      <w:r>
        <w:rPr>
          <w:rFonts w:hint="eastAsia" w:ascii="宋体" w:hAnsi="宋体" w:eastAsia="宋体" w:cs="Times New Roman"/>
          <w:b/>
          <w:bCs/>
          <w:color w:val="auto"/>
          <w:sz w:val="28"/>
          <w:szCs w:val="28"/>
          <w:highlight w:val="none"/>
        </w:rPr>
        <w:t>4. 违约责任</w:t>
      </w:r>
    </w:p>
    <w:p w14:paraId="32E385DE">
      <w:pPr>
        <w:spacing w:line="360" w:lineRule="auto"/>
        <w:ind w:left="210" w:leftChars="100"/>
        <w:rPr>
          <w:rFonts w:hint="eastAsia" w:ascii="宋体" w:hAnsi="宋体" w:eastAsia="宋体" w:cs="宋体"/>
          <w:color w:val="auto"/>
          <w:kern w:val="0"/>
          <w:sz w:val="28"/>
          <w:szCs w:val="28"/>
          <w:highlight w:val="none"/>
        </w:rPr>
      </w:pPr>
      <w:r>
        <w:rPr>
          <w:rFonts w:hint="eastAsia" w:ascii="宋体" w:hAnsi="宋体" w:eastAsia="宋体" w:cs="Times New Roman"/>
          <w:color w:val="auto"/>
          <w:kern w:val="0"/>
          <w:sz w:val="28"/>
          <w:szCs w:val="28"/>
          <w:highlight w:val="none"/>
        </w:rPr>
        <w:t xml:space="preserve">4.1 </w:t>
      </w:r>
      <w:r>
        <w:rPr>
          <w:rFonts w:hint="eastAsia" w:ascii="宋体" w:hAnsi="宋体" w:eastAsia="宋体" w:cs="宋体"/>
          <w:color w:val="auto"/>
          <w:kern w:val="0"/>
          <w:sz w:val="28"/>
          <w:szCs w:val="28"/>
          <w:highlight w:val="none"/>
        </w:rPr>
        <w:t>监理人的违约责任</w:t>
      </w:r>
    </w:p>
    <w:p w14:paraId="19420AC3">
      <w:pPr>
        <w:adjustRightInd w:val="0"/>
        <w:snapToGrid w:val="0"/>
        <w:spacing w:line="360" w:lineRule="auto"/>
        <w:ind w:firstLine="560" w:firstLineChars="200"/>
        <w:rPr>
          <w:rFonts w:hint="eastAsia" w:ascii="宋体" w:hAnsi="宋体" w:eastAsia="宋体" w:cs="Times New Roman"/>
          <w:color w:val="auto"/>
          <w:kern w:val="0"/>
          <w:sz w:val="28"/>
          <w:szCs w:val="28"/>
          <w:highlight w:val="none"/>
        </w:rPr>
      </w:pPr>
      <w:r>
        <w:rPr>
          <w:rFonts w:hint="eastAsia" w:ascii="宋体" w:hAnsi="宋体" w:eastAsia="宋体" w:cs="Times New Roman"/>
          <w:color w:val="auto"/>
          <w:kern w:val="0"/>
          <w:sz w:val="28"/>
          <w:szCs w:val="28"/>
          <w:highlight w:val="none"/>
        </w:rPr>
        <w:t>4.1.1监理人赔偿金额按下列方法确定：</w:t>
      </w:r>
    </w:p>
    <w:p w14:paraId="7B24E0E4">
      <w:pPr>
        <w:adjustRightInd w:val="0"/>
        <w:snapToGrid w:val="0"/>
        <w:spacing w:line="360" w:lineRule="auto"/>
        <w:ind w:firstLine="560" w:firstLineChars="200"/>
        <w:rPr>
          <w:rFonts w:hint="eastAsia" w:ascii="宋体" w:hAnsi="宋体" w:eastAsia="宋体" w:cs="宋体"/>
          <w:color w:val="auto"/>
          <w:kern w:val="0"/>
          <w:sz w:val="28"/>
          <w:szCs w:val="28"/>
          <w:highlight w:val="none"/>
        </w:rPr>
      </w:pPr>
      <w:r>
        <w:rPr>
          <w:rFonts w:hint="eastAsia" w:ascii="宋体" w:hAnsi="宋体" w:eastAsia="宋体" w:cs="Times New Roman"/>
          <w:color w:val="auto"/>
          <w:sz w:val="28"/>
          <w:szCs w:val="28"/>
          <w:highlight w:val="none"/>
        </w:rPr>
        <w:t>赔偿金＝直接经济损失×正常工作酬金÷工程概算</w:t>
      </w:r>
      <w:r>
        <w:rPr>
          <w:rFonts w:hint="eastAsia" w:ascii="宋体" w:hAnsi="宋体" w:eastAsia="宋体" w:cs="宋体"/>
          <w:color w:val="auto"/>
          <w:kern w:val="0"/>
          <w:sz w:val="28"/>
          <w:szCs w:val="28"/>
          <w:highlight w:val="none"/>
        </w:rPr>
        <w:t>投资额（或建筑安装工程费）</w:t>
      </w:r>
    </w:p>
    <w:p w14:paraId="5EA3A644">
      <w:pPr>
        <w:snapToGrid w:val="0"/>
        <w:spacing w:line="360" w:lineRule="auto"/>
        <w:ind w:firstLine="280" w:firstLineChars="100"/>
        <w:rPr>
          <w:rFonts w:hint="eastAsia" w:ascii="宋体" w:hAnsi="宋体" w:eastAsia="宋体" w:cs="宋体"/>
          <w:color w:val="auto"/>
          <w:kern w:val="0"/>
          <w:sz w:val="28"/>
          <w:szCs w:val="28"/>
          <w:highlight w:val="none"/>
        </w:rPr>
      </w:pPr>
      <w:r>
        <w:rPr>
          <w:rFonts w:hint="eastAsia" w:ascii="宋体" w:hAnsi="宋体" w:eastAsia="宋体" w:cs="Times New Roman"/>
          <w:color w:val="auto"/>
          <w:kern w:val="0"/>
          <w:sz w:val="28"/>
          <w:szCs w:val="28"/>
          <w:highlight w:val="none"/>
        </w:rPr>
        <w:t>4.2 委</w:t>
      </w:r>
      <w:r>
        <w:rPr>
          <w:rFonts w:hint="eastAsia" w:ascii="宋体" w:hAnsi="宋体" w:eastAsia="宋体" w:cs="宋体"/>
          <w:color w:val="auto"/>
          <w:kern w:val="0"/>
          <w:sz w:val="28"/>
          <w:szCs w:val="28"/>
          <w:highlight w:val="none"/>
        </w:rPr>
        <w:t>托人的违约责任</w:t>
      </w:r>
    </w:p>
    <w:p w14:paraId="763B7D9A">
      <w:pPr>
        <w:spacing w:line="360" w:lineRule="auto"/>
        <w:ind w:firstLine="560" w:firstLineChars="200"/>
        <w:rPr>
          <w:rFonts w:hint="eastAsia" w:ascii="宋体" w:hAnsi="宋体" w:eastAsia="宋体" w:cs="Times New Roman"/>
          <w:color w:val="auto"/>
          <w:kern w:val="0"/>
          <w:sz w:val="28"/>
          <w:szCs w:val="28"/>
          <w:highlight w:val="none"/>
        </w:rPr>
      </w:pPr>
      <w:r>
        <w:rPr>
          <w:rFonts w:hint="eastAsia" w:ascii="宋体" w:hAnsi="宋体" w:eastAsia="宋体" w:cs="Times New Roman"/>
          <w:color w:val="auto"/>
          <w:sz w:val="28"/>
          <w:szCs w:val="28"/>
          <w:highlight w:val="none"/>
        </w:rPr>
        <w:t>4.2.3 委托人</w:t>
      </w:r>
      <w:r>
        <w:rPr>
          <w:rFonts w:hint="eastAsia" w:ascii="宋体" w:hAnsi="宋体" w:eastAsia="宋体" w:cs="Times New Roman"/>
          <w:color w:val="auto"/>
          <w:kern w:val="0"/>
          <w:sz w:val="28"/>
          <w:szCs w:val="28"/>
          <w:highlight w:val="none"/>
        </w:rPr>
        <w:t>逾期付款利息按下列方法确定：</w:t>
      </w:r>
    </w:p>
    <w:p w14:paraId="53D2D470">
      <w:pPr>
        <w:spacing w:line="360" w:lineRule="auto"/>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逾期付款利息＝当期应付款总额×银行同期贷款利率×拖延支付天数</w:t>
      </w:r>
    </w:p>
    <w:p w14:paraId="3E4C9CCA">
      <w:pPr>
        <w:snapToGrid w:val="0"/>
        <w:spacing w:line="360" w:lineRule="auto"/>
        <w:rPr>
          <w:rFonts w:hint="eastAsia" w:ascii="宋体" w:hAnsi="宋体" w:eastAsia="宋体" w:cs="Times New Roman"/>
          <w:b/>
          <w:bCs/>
          <w:color w:val="auto"/>
          <w:sz w:val="28"/>
          <w:szCs w:val="28"/>
          <w:highlight w:val="none"/>
        </w:rPr>
      </w:pPr>
      <w:r>
        <w:rPr>
          <w:rFonts w:hint="eastAsia" w:ascii="宋体" w:hAnsi="宋体" w:eastAsia="宋体" w:cs="Times New Roman"/>
          <w:b/>
          <w:bCs/>
          <w:color w:val="auto"/>
          <w:sz w:val="28"/>
          <w:szCs w:val="28"/>
          <w:highlight w:val="none"/>
        </w:rPr>
        <w:t>5. 支付</w:t>
      </w:r>
    </w:p>
    <w:p w14:paraId="4628922D">
      <w:pPr>
        <w:snapToGrid w:val="0"/>
        <w:spacing w:line="360" w:lineRule="auto"/>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 xml:space="preserve">  5.1 支付货币</w:t>
      </w:r>
    </w:p>
    <w:p w14:paraId="591E3738">
      <w:pPr>
        <w:adjustRightInd w:val="0"/>
        <w:snapToGrid w:val="0"/>
        <w:spacing w:line="360" w:lineRule="auto"/>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币种为：人民币  ，比例为：</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u w:val="single"/>
          <w:lang w:val="en-US" w:eastAsia="zh-CN"/>
        </w:rPr>
        <w:t xml:space="preserve">   </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rPr>
        <w:t>，汇率为：</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u w:val="single"/>
          <w:lang w:val="en-US" w:eastAsia="zh-CN"/>
        </w:rPr>
        <w:t xml:space="preserve">   </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rPr>
        <w:t xml:space="preserve">。 </w:t>
      </w:r>
    </w:p>
    <w:p w14:paraId="50F95AC2">
      <w:pPr>
        <w:adjustRightInd w:val="0"/>
        <w:snapToGrid w:val="0"/>
        <w:spacing w:line="360" w:lineRule="auto"/>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5.3 支付酬金</w:t>
      </w:r>
    </w:p>
    <w:p w14:paraId="56422E54">
      <w:pPr>
        <w:adjustRightInd w:val="0"/>
        <w:snapToGrid w:val="0"/>
        <w:spacing w:line="360" w:lineRule="auto"/>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正常工作酬金的支付：</w:t>
      </w:r>
    </w:p>
    <w:p w14:paraId="6D7E8C77">
      <w:pPr>
        <w:numPr>
          <w:ilvl w:val="0"/>
          <w:numId w:val="8"/>
        </w:numPr>
        <w:adjustRightInd w:val="0"/>
        <w:snapToGrid w:val="0"/>
        <w:spacing w:line="360" w:lineRule="auto"/>
        <w:ind w:firstLine="560" w:firstLineChars="200"/>
        <w:rPr>
          <w:rFonts w:hint="eastAsia" w:ascii="宋体" w:hAnsi="宋体" w:eastAsia="宋体" w:cs="Times New Roman"/>
          <w:color w:val="auto"/>
          <w:sz w:val="28"/>
          <w:szCs w:val="28"/>
          <w:highlight w:val="none"/>
          <w:lang w:val="en-US" w:eastAsia="zh-CN"/>
        </w:rPr>
      </w:pPr>
      <w:r>
        <w:rPr>
          <w:rFonts w:hint="eastAsia" w:ascii="宋体" w:hAnsi="宋体" w:eastAsia="宋体" w:cs="Times New Roman"/>
          <w:color w:val="auto"/>
          <w:sz w:val="28"/>
          <w:szCs w:val="28"/>
          <w:highlight w:val="none"/>
        </w:rPr>
        <w:t>本项目监理服务合同签订后</w:t>
      </w:r>
      <w:r>
        <w:rPr>
          <w:rFonts w:hint="eastAsia" w:ascii="宋体" w:hAnsi="宋体" w:eastAsia="宋体" w:cs="Times New Roman"/>
          <w:color w:val="auto"/>
          <w:sz w:val="28"/>
          <w:szCs w:val="28"/>
          <w:highlight w:val="none"/>
          <w:lang w:val="en-US" w:eastAsia="zh-CN"/>
        </w:rPr>
        <w:t>甲方支付给乙方20%的监理费，剩余部分按工程进度拨款，工程竣工后监理费用全部拨完。</w:t>
      </w:r>
    </w:p>
    <w:p w14:paraId="24FD5066">
      <w:pPr>
        <w:adjustRightInd w:val="0"/>
        <w:snapToGrid w:val="0"/>
        <w:spacing w:line="360" w:lineRule="auto"/>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lang w:val="en-US" w:eastAsia="zh-CN"/>
        </w:rPr>
        <w:t>2、</w:t>
      </w:r>
      <w:r>
        <w:rPr>
          <w:rFonts w:hint="eastAsia" w:ascii="宋体" w:hAnsi="宋体" w:eastAsia="宋体" w:cs="Times New Roman"/>
          <w:color w:val="auto"/>
          <w:sz w:val="28"/>
          <w:szCs w:val="28"/>
          <w:highlight w:val="none"/>
        </w:rPr>
        <w:t xml:space="preserve">当工程量发生变化：工程量增减量在合同工程量的±5%范围之内，监理服务费不作调整，工程量增减量超过合同工程量±5%的范围，应按照监理招标费率对增加或减少超出±5%部分的监理服务费进行计算，在监理合同价的基础上增加或减少相应的监理服务费。 </w:t>
      </w:r>
    </w:p>
    <w:p w14:paraId="68AE5388">
      <w:pPr>
        <w:snapToGrid w:val="0"/>
        <w:spacing w:line="360" w:lineRule="auto"/>
        <w:rPr>
          <w:rFonts w:hint="eastAsia" w:ascii="宋体" w:hAnsi="宋体" w:eastAsia="宋体" w:cs="Times New Roman"/>
          <w:b/>
          <w:bCs/>
          <w:color w:val="auto"/>
          <w:sz w:val="28"/>
          <w:szCs w:val="28"/>
          <w:highlight w:val="none"/>
        </w:rPr>
      </w:pPr>
      <w:r>
        <w:rPr>
          <w:rFonts w:hint="eastAsia" w:ascii="宋体" w:hAnsi="宋体" w:eastAsia="宋体" w:cs="Times New Roman"/>
          <w:color w:val="auto"/>
          <w:sz w:val="28"/>
          <w:szCs w:val="28"/>
          <w:highlight w:val="none"/>
        </w:rPr>
        <w:t>6</w:t>
      </w:r>
      <w:r>
        <w:rPr>
          <w:rFonts w:hint="eastAsia" w:ascii="宋体" w:hAnsi="宋体" w:eastAsia="宋体" w:cs="Times New Roman"/>
          <w:b/>
          <w:bCs/>
          <w:color w:val="auto"/>
          <w:sz w:val="28"/>
          <w:szCs w:val="28"/>
          <w:highlight w:val="none"/>
        </w:rPr>
        <w:t>. 合同生效、变更、暂停、解除与终止</w:t>
      </w:r>
    </w:p>
    <w:p w14:paraId="755EDE30">
      <w:pPr>
        <w:adjustRightInd w:val="0"/>
        <w:snapToGrid w:val="0"/>
        <w:spacing w:line="360" w:lineRule="auto"/>
        <w:ind w:firstLine="280" w:firstLineChars="1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6.1 生效</w:t>
      </w:r>
    </w:p>
    <w:p w14:paraId="023623B7">
      <w:pPr>
        <w:adjustRightInd w:val="0"/>
        <w:snapToGrid w:val="0"/>
        <w:spacing w:line="360" w:lineRule="auto"/>
        <w:ind w:firstLine="480"/>
        <w:rPr>
          <w:rFonts w:hint="default" w:ascii="宋体" w:hAnsi="宋体" w:eastAsia="宋体" w:cs="Times New Roman"/>
          <w:color w:val="auto"/>
          <w:sz w:val="28"/>
          <w:szCs w:val="28"/>
          <w:highlight w:val="none"/>
          <w:lang w:val="en-US" w:eastAsia="zh-CN"/>
        </w:rPr>
      </w:pPr>
      <w:r>
        <w:rPr>
          <w:rFonts w:hint="eastAsia" w:ascii="宋体" w:hAnsi="宋体" w:eastAsia="宋体" w:cs="Times New Roman"/>
          <w:color w:val="auto"/>
          <w:sz w:val="28"/>
          <w:szCs w:val="28"/>
          <w:highlight w:val="none"/>
        </w:rPr>
        <w:t>本合同生效条件：</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u w:val="single"/>
          <w:lang w:val="en-US" w:eastAsia="zh-CN"/>
        </w:rPr>
        <w:t xml:space="preserve">                                              </w:t>
      </w:r>
    </w:p>
    <w:p w14:paraId="0EDC01D3">
      <w:pPr>
        <w:adjustRightInd w:val="0"/>
        <w:snapToGrid w:val="0"/>
        <w:spacing w:line="360" w:lineRule="auto"/>
        <w:ind w:firstLine="274" w:firstLineChars="98"/>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6.2 变更</w:t>
      </w:r>
    </w:p>
    <w:p w14:paraId="19832683">
      <w:pPr>
        <w:adjustRightInd w:val="0"/>
        <w:snapToGrid w:val="0"/>
        <w:spacing w:line="360" w:lineRule="auto"/>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6.2.2 除不可抗力外， 因非监理人原因导致本合同期限延长时，附加工作酬金按下列方法确定：</w:t>
      </w:r>
    </w:p>
    <w:p w14:paraId="12C10DA4">
      <w:pPr>
        <w:snapToGrid w:val="0"/>
        <w:spacing w:line="360" w:lineRule="auto"/>
        <w:ind w:firstLine="560" w:firstLineChars="200"/>
        <w:rPr>
          <w:rFonts w:hint="eastAsia" w:ascii="宋体" w:hAnsi="宋体" w:eastAsia="宋体" w:cs="Times New Roman"/>
          <w:color w:val="auto"/>
          <w:kern w:val="0"/>
          <w:sz w:val="28"/>
          <w:szCs w:val="28"/>
          <w:highlight w:val="none"/>
        </w:rPr>
      </w:pPr>
      <w:r>
        <w:rPr>
          <w:rFonts w:hint="eastAsia" w:ascii="宋体" w:hAnsi="宋体" w:eastAsia="宋体" w:cs="Times New Roman"/>
          <w:color w:val="auto"/>
          <w:kern w:val="0"/>
          <w:sz w:val="28"/>
          <w:szCs w:val="28"/>
          <w:highlight w:val="none"/>
        </w:rPr>
        <w:t>附加工作</w:t>
      </w:r>
      <w:r>
        <w:rPr>
          <w:rFonts w:hint="eastAsia" w:ascii="宋体" w:hAnsi="宋体" w:eastAsia="宋体" w:cs="Times New Roman"/>
          <w:color w:val="auto"/>
          <w:sz w:val="28"/>
          <w:szCs w:val="28"/>
          <w:highlight w:val="none"/>
        </w:rPr>
        <w:t>酬金</w:t>
      </w:r>
      <w:r>
        <w:rPr>
          <w:rFonts w:hint="eastAsia" w:ascii="宋体" w:hAnsi="宋体" w:eastAsia="宋体" w:cs="Times New Roman"/>
          <w:color w:val="auto"/>
          <w:kern w:val="0"/>
          <w:sz w:val="28"/>
          <w:szCs w:val="28"/>
          <w:highlight w:val="none"/>
        </w:rPr>
        <w:t>=</w:t>
      </w:r>
      <w:r>
        <w:rPr>
          <w:rFonts w:hint="eastAsia" w:ascii="宋体" w:hAnsi="宋体" w:eastAsia="宋体" w:cs="Times New Roman"/>
          <w:color w:val="auto"/>
          <w:sz w:val="28"/>
          <w:szCs w:val="28"/>
          <w:highlight w:val="none"/>
        </w:rPr>
        <w:t>本合同期限延长</w:t>
      </w:r>
      <w:r>
        <w:rPr>
          <w:rFonts w:hint="eastAsia" w:ascii="宋体" w:hAnsi="宋体" w:eastAsia="宋体" w:cs="Times New Roman"/>
          <w:color w:val="auto"/>
          <w:kern w:val="0"/>
          <w:sz w:val="28"/>
          <w:szCs w:val="28"/>
          <w:highlight w:val="none"/>
        </w:rPr>
        <w:t>时间（天）×正常工作酬金÷</w:t>
      </w:r>
      <w:r>
        <w:rPr>
          <w:rFonts w:hint="eastAsia" w:ascii="宋体" w:hAnsi="宋体" w:eastAsia="宋体" w:cs="Times New Roman"/>
          <w:color w:val="auto"/>
          <w:sz w:val="28"/>
          <w:szCs w:val="28"/>
          <w:highlight w:val="none"/>
        </w:rPr>
        <w:t>协议书约定的监理与相关服务期限</w:t>
      </w:r>
      <w:r>
        <w:rPr>
          <w:rFonts w:hint="eastAsia" w:ascii="宋体" w:hAnsi="宋体" w:eastAsia="宋体" w:cs="Times New Roman"/>
          <w:color w:val="auto"/>
          <w:kern w:val="0"/>
          <w:sz w:val="28"/>
          <w:szCs w:val="28"/>
          <w:highlight w:val="none"/>
        </w:rPr>
        <w:t>（天）</w:t>
      </w:r>
    </w:p>
    <w:p w14:paraId="0ACD396F">
      <w:pPr>
        <w:snapToGrid w:val="0"/>
        <w:spacing w:line="360" w:lineRule="auto"/>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6.2.3附加工作酬金按下列方法确定：</w:t>
      </w:r>
    </w:p>
    <w:p w14:paraId="24896D64">
      <w:pPr>
        <w:snapToGrid w:val="0"/>
        <w:spacing w:line="360" w:lineRule="auto"/>
        <w:ind w:firstLine="560" w:firstLineChars="200"/>
        <w:rPr>
          <w:rFonts w:hint="eastAsia" w:ascii="宋体" w:hAnsi="宋体" w:eastAsia="宋体" w:cs="Times New Roman"/>
          <w:color w:val="auto"/>
          <w:kern w:val="0"/>
          <w:sz w:val="28"/>
          <w:szCs w:val="28"/>
          <w:highlight w:val="none"/>
        </w:rPr>
      </w:pPr>
      <w:r>
        <w:rPr>
          <w:rFonts w:hint="eastAsia" w:ascii="宋体" w:hAnsi="宋体" w:eastAsia="宋体" w:cs="Times New Roman"/>
          <w:color w:val="auto"/>
          <w:kern w:val="0"/>
          <w:sz w:val="28"/>
          <w:szCs w:val="28"/>
          <w:highlight w:val="none"/>
        </w:rPr>
        <w:t>附加工作</w:t>
      </w:r>
      <w:r>
        <w:rPr>
          <w:rFonts w:hint="eastAsia" w:ascii="宋体" w:hAnsi="宋体" w:eastAsia="宋体" w:cs="Times New Roman"/>
          <w:color w:val="auto"/>
          <w:sz w:val="28"/>
          <w:szCs w:val="28"/>
          <w:highlight w:val="none"/>
        </w:rPr>
        <w:t>酬金</w:t>
      </w:r>
      <w:r>
        <w:rPr>
          <w:rFonts w:hint="eastAsia" w:ascii="宋体" w:hAnsi="宋体" w:eastAsia="宋体" w:cs="Times New Roman"/>
          <w:color w:val="auto"/>
          <w:kern w:val="0"/>
          <w:sz w:val="28"/>
          <w:szCs w:val="28"/>
          <w:highlight w:val="none"/>
        </w:rPr>
        <w:t>=善后工作及恢复服务的准备工作时间（天）×正常工作酬金÷</w:t>
      </w:r>
      <w:r>
        <w:rPr>
          <w:rFonts w:hint="eastAsia" w:ascii="宋体" w:hAnsi="宋体" w:eastAsia="宋体" w:cs="Times New Roman"/>
          <w:color w:val="auto"/>
          <w:sz w:val="28"/>
          <w:szCs w:val="28"/>
          <w:highlight w:val="none"/>
        </w:rPr>
        <w:t>协议书约定的监理与相关服务期限</w:t>
      </w:r>
      <w:r>
        <w:rPr>
          <w:rFonts w:hint="eastAsia" w:ascii="宋体" w:hAnsi="宋体" w:eastAsia="宋体" w:cs="Times New Roman"/>
          <w:color w:val="auto"/>
          <w:kern w:val="0"/>
          <w:sz w:val="28"/>
          <w:szCs w:val="28"/>
          <w:highlight w:val="none"/>
        </w:rPr>
        <w:t>（天）</w:t>
      </w:r>
    </w:p>
    <w:p w14:paraId="3FA4D767">
      <w:pPr>
        <w:adjustRightInd w:val="0"/>
        <w:snapToGrid w:val="0"/>
        <w:spacing w:line="360" w:lineRule="auto"/>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 xml:space="preserve">6.2.5 正常工作酬金增加额按下列方法确定： </w:t>
      </w:r>
    </w:p>
    <w:p w14:paraId="04984FA5">
      <w:pPr>
        <w:adjustRightInd w:val="0"/>
        <w:snapToGrid w:val="0"/>
        <w:spacing w:line="360" w:lineRule="auto"/>
        <w:ind w:firstLine="480"/>
        <w:rPr>
          <w:rFonts w:hint="eastAsia" w:ascii="宋体" w:hAnsi="宋体" w:eastAsia="宋体" w:cs="Times New Roman"/>
          <w:color w:val="auto"/>
          <w:kern w:val="0"/>
          <w:sz w:val="28"/>
          <w:szCs w:val="28"/>
          <w:highlight w:val="none"/>
        </w:rPr>
      </w:pPr>
      <w:r>
        <w:rPr>
          <w:rFonts w:hint="eastAsia" w:ascii="宋体" w:hAnsi="宋体" w:eastAsia="宋体" w:cs="Times New Roman"/>
          <w:color w:val="auto"/>
          <w:sz w:val="28"/>
          <w:szCs w:val="28"/>
          <w:highlight w:val="none"/>
        </w:rPr>
        <w:t>正常工作酬金增加额</w:t>
      </w:r>
      <w:r>
        <w:rPr>
          <w:rFonts w:hint="eastAsia" w:ascii="宋体" w:hAnsi="宋体" w:eastAsia="宋体" w:cs="Times New Roman"/>
          <w:color w:val="auto"/>
          <w:kern w:val="0"/>
          <w:sz w:val="28"/>
          <w:szCs w:val="28"/>
          <w:highlight w:val="none"/>
        </w:rPr>
        <w:t>=工程投资额</w:t>
      </w:r>
      <w:r>
        <w:rPr>
          <w:rFonts w:hint="eastAsia" w:ascii="宋体" w:hAnsi="宋体" w:eastAsia="宋体" w:cs="Times New Roman"/>
          <w:color w:val="auto"/>
          <w:sz w:val="28"/>
          <w:szCs w:val="28"/>
          <w:highlight w:val="none"/>
        </w:rPr>
        <w:t>或建筑安装工程费</w:t>
      </w:r>
      <w:r>
        <w:rPr>
          <w:rFonts w:hint="eastAsia" w:ascii="宋体" w:hAnsi="宋体" w:eastAsia="宋体" w:cs="Times New Roman"/>
          <w:color w:val="auto"/>
          <w:kern w:val="0"/>
          <w:sz w:val="28"/>
          <w:szCs w:val="28"/>
          <w:highlight w:val="none"/>
        </w:rPr>
        <w:t>增加额×正常工作酬金÷工程概算投资额（或建筑安装工程费）</w:t>
      </w:r>
    </w:p>
    <w:p w14:paraId="19C78EE0">
      <w:pPr>
        <w:snapToGrid w:val="0"/>
        <w:spacing w:line="360" w:lineRule="auto"/>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6.2.6 因工程规模、监理范围的变化导致监理人的正常工作量减少时，按减少工作量的比例从协议书约定的正常工作酬金中扣减相同比例的酬金。</w:t>
      </w:r>
    </w:p>
    <w:p w14:paraId="2BF991C5">
      <w:pPr>
        <w:snapToGrid w:val="0"/>
        <w:spacing w:line="360" w:lineRule="auto"/>
        <w:rPr>
          <w:rFonts w:hint="eastAsia" w:ascii="宋体" w:hAnsi="宋体" w:eastAsia="宋体" w:cs="Times New Roman"/>
          <w:b/>
          <w:bCs/>
          <w:color w:val="auto"/>
          <w:sz w:val="28"/>
          <w:szCs w:val="28"/>
          <w:highlight w:val="none"/>
        </w:rPr>
      </w:pPr>
      <w:r>
        <w:rPr>
          <w:rFonts w:hint="eastAsia" w:ascii="宋体" w:hAnsi="宋体" w:eastAsia="宋体" w:cs="Times New Roman"/>
          <w:b/>
          <w:bCs/>
          <w:color w:val="auto"/>
          <w:sz w:val="28"/>
          <w:szCs w:val="28"/>
          <w:highlight w:val="none"/>
        </w:rPr>
        <w:t>7. 争议解决</w:t>
      </w:r>
    </w:p>
    <w:p w14:paraId="57FEE50E">
      <w:pPr>
        <w:snapToGrid w:val="0"/>
        <w:spacing w:line="360" w:lineRule="auto"/>
        <w:ind w:firstLine="274" w:firstLineChars="98"/>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7.2 调解</w:t>
      </w:r>
    </w:p>
    <w:p w14:paraId="7FB54609">
      <w:pPr>
        <w:snapToGrid w:val="0"/>
        <w:spacing w:line="360" w:lineRule="auto"/>
        <w:ind w:firstLine="548" w:firstLineChars="196"/>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本合同争议进行调解时，可提交</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u w:val="single"/>
          <w:lang w:val="en-US" w:eastAsia="zh-CN"/>
        </w:rPr>
        <w:t xml:space="preserve">                  </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rPr>
        <w:t>进行调解。</w:t>
      </w:r>
    </w:p>
    <w:p w14:paraId="40794229">
      <w:pPr>
        <w:snapToGrid w:val="0"/>
        <w:spacing w:line="360" w:lineRule="auto"/>
        <w:ind w:firstLine="274" w:firstLineChars="98"/>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7.3 仲裁或诉讼</w:t>
      </w:r>
    </w:p>
    <w:p w14:paraId="14A333D9">
      <w:pPr>
        <w:adjustRightInd w:val="0"/>
        <w:snapToGrid w:val="0"/>
        <w:spacing w:line="360" w:lineRule="auto"/>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合同争议的最终解决方式为下列第</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u w:val="single"/>
          <w:lang w:val="en-US" w:eastAsia="zh-CN"/>
        </w:rPr>
        <w:t xml:space="preserve">    </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rPr>
        <w:t>种方式：</w:t>
      </w:r>
    </w:p>
    <w:p w14:paraId="7C7022D7">
      <w:pPr>
        <w:adjustRightInd w:val="0"/>
        <w:snapToGrid w:val="0"/>
        <w:spacing w:line="360" w:lineRule="auto"/>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（1）提请</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u w:val="single"/>
          <w:lang w:val="en-US" w:eastAsia="zh-CN"/>
        </w:rPr>
        <w:t xml:space="preserve">               </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rPr>
        <w:t>仲裁委员会进行仲裁。</w:t>
      </w:r>
    </w:p>
    <w:p w14:paraId="2AB0C253">
      <w:pPr>
        <w:adjustRightInd w:val="0"/>
        <w:snapToGrid w:val="0"/>
        <w:spacing w:line="360" w:lineRule="auto"/>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（2）向</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u w:val="single"/>
          <w:lang w:val="en-US" w:eastAsia="zh-CN"/>
        </w:rPr>
        <w:t xml:space="preserve">                           </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rPr>
        <w:t>提起诉讼。</w:t>
      </w:r>
    </w:p>
    <w:p w14:paraId="3A1B0879">
      <w:pPr>
        <w:adjustRightInd w:val="0"/>
        <w:snapToGrid w:val="0"/>
        <w:spacing w:line="360" w:lineRule="auto"/>
        <w:rPr>
          <w:rFonts w:hint="eastAsia" w:ascii="宋体" w:hAnsi="宋体" w:eastAsia="宋体" w:cs="Times New Roman"/>
          <w:b/>
          <w:bCs/>
          <w:color w:val="auto"/>
          <w:sz w:val="28"/>
          <w:szCs w:val="28"/>
          <w:highlight w:val="none"/>
        </w:rPr>
      </w:pPr>
      <w:r>
        <w:rPr>
          <w:rFonts w:hint="eastAsia" w:ascii="宋体" w:hAnsi="宋体" w:eastAsia="宋体" w:cs="Times New Roman"/>
          <w:b/>
          <w:bCs/>
          <w:color w:val="auto"/>
          <w:sz w:val="28"/>
          <w:szCs w:val="28"/>
          <w:highlight w:val="none"/>
        </w:rPr>
        <w:t>8. 其他</w:t>
      </w:r>
    </w:p>
    <w:p w14:paraId="1C3BE096">
      <w:pPr>
        <w:adjustRightInd w:val="0"/>
        <w:snapToGrid w:val="0"/>
        <w:spacing w:line="360" w:lineRule="auto"/>
        <w:rPr>
          <w:rFonts w:hint="eastAsia" w:ascii="宋体" w:hAnsi="宋体" w:eastAsia="宋体" w:cs="Times New Roman"/>
          <w:color w:val="auto"/>
          <w:sz w:val="28"/>
          <w:szCs w:val="28"/>
          <w:highlight w:val="none"/>
        </w:rPr>
      </w:pPr>
      <w:r>
        <w:rPr>
          <w:rFonts w:hint="eastAsia" w:ascii="宋体" w:hAnsi="宋体" w:eastAsia="宋体" w:cs="Times New Roman"/>
          <w:b/>
          <w:bCs/>
          <w:color w:val="auto"/>
          <w:sz w:val="28"/>
          <w:szCs w:val="28"/>
          <w:highlight w:val="none"/>
        </w:rPr>
        <w:t xml:space="preserve">  </w:t>
      </w:r>
      <w:r>
        <w:rPr>
          <w:rFonts w:hint="eastAsia" w:ascii="宋体" w:hAnsi="宋体" w:eastAsia="宋体" w:cs="Times New Roman"/>
          <w:color w:val="auto"/>
          <w:sz w:val="28"/>
          <w:szCs w:val="28"/>
          <w:highlight w:val="none"/>
        </w:rPr>
        <w:t>8.2 检测费用</w:t>
      </w:r>
    </w:p>
    <w:p w14:paraId="2972010F">
      <w:pPr>
        <w:adjustRightInd w:val="0"/>
        <w:snapToGrid w:val="0"/>
        <w:spacing w:line="360" w:lineRule="auto"/>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 xml:space="preserve">    委托人应在检测工作完成后</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u w:val="single"/>
          <w:lang w:val="en-US" w:eastAsia="zh-CN"/>
        </w:rPr>
        <w:t xml:space="preserve">   </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rPr>
        <w:t>天内支付检测费用。</w:t>
      </w:r>
    </w:p>
    <w:p w14:paraId="5A87C237">
      <w:pPr>
        <w:adjustRightInd w:val="0"/>
        <w:snapToGrid w:val="0"/>
        <w:spacing w:line="360" w:lineRule="auto"/>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 xml:space="preserve">  8.3 咨询费用</w:t>
      </w:r>
    </w:p>
    <w:p w14:paraId="44445845">
      <w:pPr>
        <w:adjustRightInd w:val="0"/>
        <w:snapToGrid w:val="0"/>
        <w:spacing w:line="360" w:lineRule="auto"/>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 xml:space="preserve">    委托人应在咨询工作完成后</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u w:val="single"/>
          <w:lang w:val="en-US" w:eastAsia="zh-CN"/>
        </w:rPr>
        <w:t xml:space="preserve">   </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rPr>
        <w:t>天内支付咨询费用。</w:t>
      </w:r>
    </w:p>
    <w:p w14:paraId="380697CF">
      <w:pPr>
        <w:snapToGrid w:val="0"/>
        <w:spacing w:line="360" w:lineRule="auto"/>
        <w:ind w:firstLine="274" w:firstLineChars="98"/>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8.4 奖励</w:t>
      </w:r>
    </w:p>
    <w:p w14:paraId="16C84FE1">
      <w:pPr>
        <w:snapToGrid w:val="0"/>
        <w:spacing w:line="360" w:lineRule="auto"/>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合理化建议的奖励金额按下列方法确定为：</w:t>
      </w:r>
    </w:p>
    <w:p w14:paraId="35DC1A30">
      <w:pPr>
        <w:snapToGrid w:val="0"/>
        <w:spacing w:line="360" w:lineRule="auto"/>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奖励金额＝工程投资节省额×奖励金额的比率；</w:t>
      </w:r>
    </w:p>
    <w:p w14:paraId="1A5D3AD4">
      <w:pPr>
        <w:snapToGrid w:val="0"/>
        <w:spacing w:line="360" w:lineRule="auto"/>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奖励金额的比率为</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u w:val="single"/>
          <w:lang w:val="en-US" w:eastAsia="zh-CN"/>
        </w:rPr>
        <w:t xml:space="preserve">   </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rPr>
        <w:t>%。</w:t>
      </w:r>
    </w:p>
    <w:p w14:paraId="39247E01">
      <w:pPr>
        <w:adjustRightInd w:val="0"/>
        <w:snapToGrid w:val="0"/>
        <w:spacing w:line="360" w:lineRule="auto"/>
        <w:ind w:firstLine="274" w:firstLineChars="98"/>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8.6 保密</w:t>
      </w:r>
    </w:p>
    <w:p w14:paraId="12BA5981">
      <w:pPr>
        <w:adjustRightInd w:val="0"/>
        <w:snapToGrid w:val="0"/>
        <w:spacing w:line="360" w:lineRule="auto"/>
        <w:ind w:firstLine="560" w:firstLineChars="200"/>
        <w:rPr>
          <w:rFonts w:hint="eastAsia" w:ascii="宋体" w:hAnsi="宋体" w:eastAsia="宋体" w:cs="Times New Roman"/>
          <w:color w:val="auto"/>
          <w:sz w:val="28"/>
          <w:szCs w:val="28"/>
          <w:highlight w:val="none"/>
          <w:u w:val="single"/>
        </w:rPr>
      </w:pPr>
      <w:r>
        <w:rPr>
          <w:rFonts w:hint="eastAsia" w:ascii="宋体" w:hAnsi="宋体" w:eastAsia="宋体" w:cs="Times New Roman"/>
          <w:color w:val="auto"/>
          <w:sz w:val="28"/>
          <w:szCs w:val="28"/>
          <w:highlight w:val="none"/>
        </w:rPr>
        <w:t>委托人申明的保密事项和期限：</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u w:val="single"/>
          <w:lang w:val="en-US" w:eastAsia="zh-CN"/>
        </w:rPr>
        <w:t xml:space="preserve"> </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rPr>
        <w:t>。</w:t>
      </w:r>
    </w:p>
    <w:p w14:paraId="5ADC030B">
      <w:pPr>
        <w:adjustRightInd w:val="0"/>
        <w:snapToGrid w:val="0"/>
        <w:spacing w:line="360" w:lineRule="auto"/>
        <w:ind w:firstLine="560" w:firstLineChars="200"/>
        <w:rPr>
          <w:rFonts w:hint="eastAsia" w:ascii="宋体" w:hAnsi="宋体" w:eastAsia="宋体" w:cs="Times New Roman"/>
          <w:color w:val="auto"/>
          <w:sz w:val="28"/>
          <w:szCs w:val="28"/>
          <w:highlight w:val="none"/>
          <w:u w:val="single"/>
        </w:rPr>
      </w:pPr>
      <w:r>
        <w:rPr>
          <w:rFonts w:hint="eastAsia" w:ascii="宋体" w:hAnsi="宋体" w:eastAsia="宋体" w:cs="Times New Roman"/>
          <w:color w:val="auto"/>
          <w:sz w:val="28"/>
          <w:szCs w:val="28"/>
          <w:highlight w:val="none"/>
        </w:rPr>
        <w:t>监理人申明的保密事项和期限：</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u w:val="single"/>
          <w:lang w:val="en-US" w:eastAsia="zh-CN"/>
        </w:rPr>
        <w:t xml:space="preserve"> </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rPr>
        <w:t>。</w:t>
      </w:r>
    </w:p>
    <w:p w14:paraId="0C023930">
      <w:pPr>
        <w:adjustRightInd w:val="0"/>
        <w:snapToGrid w:val="0"/>
        <w:spacing w:line="360" w:lineRule="auto"/>
        <w:ind w:firstLine="560" w:firstLineChars="200"/>
        <w:rPr>
          <w:rFonts w:hint="eastAsia" w:ascii="宋体" w:hAnsi="宋体" w:eastAsia="宋体" w:cs="Times New Roman"/>
          <w:color w:val="auto"/>
          <w:sz w:val="28"/>
          <w:szCs w:val="28"/>
          <w:highlight w:val="none"/>
          <w:u w:val="single"/>
        </w:rPr>
      </w:pPr>
      <w:r>
        <w:rPr>
          <w:rFonts w:hint="eastAsia" w:ascii="宋体" w:hAnsi="宋体" w:eastAsia="宋体" w:cs="Times New Roman"/>
          <w:color w:val="auto"/>
          <w:sz w:val="28"/>
          <w:szCs w:val="28"/>
          <w:highlight w:val="none"/>
        </w:rPr>
        <w:t>第三方申明的保密事项和期限：</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u w:val="single"/>
          <w:lang w:val="en-US" w:eastAsia="zh-CN"/>
        </w:rPr>
        <w:t xml:space="preserve"> </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rPr>
        <w:t>。</w:t>
      </w:r>
    </w:p>
    <w:p w14:paraId="300227A3">
      <w:pPr>
        <w:snapToGrid w:val="0"/>
        <w:spacing w:line="360" w:lineRule="auto"/>
        <w:ind w:firstLine="274" w:firstLineChars="98"/>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8.8著作权</w:t>
      </w:r>
    </w:p>
    <w:p w14:paraId="2F96E21B">
      <w:pPr>
        <w:snapToGrid w:val="0"/>
        <w:spacing w:line="360" w:lineRule="auto"/>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监理人在本合同履行期间及本合同终止后两年内出版涉及本工程的有关监理与相关服务的资料的限制条件：</w:t>
      </w:r>
    </w:p>
    <w:p w14:paraId="4034BE50">
      <w:pPr>
        <w:adjustRightInd w:val="0"/>
        <w:snapToGrid w:val="0"/>
        <w:spacing w:before="156" w:beforeLines="50" w:after="156" w:afterLines="50" w:line="360" w:lineRule="auto"/>
        <w:rPr>
          <w:rFonts w:hint="eastAsia" w:ascii="宋体" w:hAnsi="宋体" w:eastAsia="宋体" w:cs="Times New Roman"/>
          <w:color w:val="auto"/>
          <w:sz w:val="28"/>
          <w:szCs w:val="28"/>
          <w:highlight w:val="none"/>
          <w:u w:val="single"/>
        </w:rPr>
      </w:pP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u w:val="single"/>
          <w:lang w:val="en-US" w:eastAsia="zh-CN"/>
        </w:rPr>
        <w:t xml:space="preserve"> </w:t>
      </w:r>
      <w:r>
        <w:rPr>
          <w:rFonts w:hint="eastAsia" w:ascii="宋体" w:hAnsi="宋体" w:eastAsia="宋体" w:cs="Times New Roman"/>
          <w:color w:val="auto"/>
          <w:sz w:val="28"/>
          <w:szCs w:val="28"/>
          <w:highlight w:val="none"/>
          <w:u w:val="single"/>
        </w:rPr>
        <w:t xml:space="preserve">                             </w:t>
      </w:r>
    </w:p>
    <w:p w14:paraId="683180AE">
      <w:pPr>
        <w:adjustRightInd w:val="0"/>
        <w:snapToGrid w:val="0"/>
        <w:spacing w:before="156" w:beforeLines="50" w:after="156" w:afterLines="50" w:line="360" w:lineRule="auto"/>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u w:val="single"/>
          <w:lang w:val="en-US" w:eastAsia="zh-CN"/>
        </w:rPr>
        <w:t xml:space="preserve">   </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rPr>
        <w:t>。</w:t>
      </w:r>
    </w:p>
    <w:p w14:paraId="6BEA833F">
      <w:pPr>
        <w:adjustRightInd w:val="0"/>
        <w:snapToGrid w:val="0"/>
        <w:spacing w:before="156" w:beforeLines="50" w:after="156" w:afterLines="50" w:line="360" w:lineRule="auto"/>
        <w:ind w:firstLine="280" w:firstLineChars="100"/>
        <w:rPr>
          <w:rFonts w:hint="eastAsia" w:ascii="宋体" w:hAnsi="宋体" w:eastAsia="宋体" w:cs="Times New Roman"/>
          <w:color w:val="auto"/>
          <w:sz w:val="28"/>
          <w:szCs w:val="28"/>
          <w:highlight w:val="none"/>
        </w:rPr>
      </w:pPr>
    </w:p>
    <w:p w14:paraId="1657FE2E">
      <w:pPr>
        <w:adjustRightInd w:val="0"/>
        <w:snapToGrid w:val="0"/>
        <w:spacing w:before="156" w:beforeLines="50" w:after="156" w:afterLines="50" w:line="360" w:lineRule="auto"/>
        <w:ind w:firstLine="280" w:firstLineChars="1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9. 补充条款</w:t>
      </w:r>
    </w:p>
    <w:p w14:paraId="77A77479">
      <w:pPr>
        <w:adjustRightInd w:val="0"/>
        <w:snapToGrid w:val="0"/>
        <w:spacing w:before="156" w:beforeLines="50" w:after="156" w:afterLines="50" w:line="360" w:lineRule="auto"/>
        <w:rPr>
          <w:rFonts w:hint="eastAsia" w:ascii="宋体" w:hAnsi="宋体" w:eastAsia="宋体" w:cs="Times New Roman"/>
          <w:color w:val="auto"/>
          <w:sz w:val="28"/>
          <w:szCs w:val="28"/>
          <w:highlight w:val="none"/>
          <w:u w:val="single"/>
        </w:rPr>
      </w:pP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u w:val="single"/>
          <w:lang w:val="en-US" w:eastAsia="zh-CN"/>
        </w:rPr>
        <w:t xml:space="preserve"> </w:t>
      </w:r>
      <w:r>
        <w:rPr>
          <w:rFonts w:hint="eastAsia" w:ascii="宋体" w:hAnsi="宋体" w:eastAsia="宋体" w:cs="Times New Roman"/>
          <w:color w:val="auto"/>
          <w:sz w:val="28"/>
          <w:szCs w:val="28"/>
          <w:highlight w:val="none"/>
          <w:u w:val="single"/>
        </w:rPr>
        <w:t xml:space="preserve">                                </w:t>
      </w:r>
    </w:p>
    <w:p w14:paraId="2AAFCCB7">
      <w:pPr>
        <w:adjustRightInd w:val="0"/>
        <w:snapToGrid w:val="0"/>
        <w:spacing w:before="156" w:beforeLines="50" w:after="156" w:afterLines="50" w:line="360" w:lineRule="auto"/>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u w:val="single"/>
          <w:lang w:val="en-US" w:eastAsia="zh-CN"/>
        </w:rPr>
        <w:t xml:space="preserve">   </w:t>
      </w:r>
      <w:r>
        <w:rPr>
          <w:rFonts w:hint="eastAsia" w:ascii="宋体" w:hAnsi="宋体" w:eastAsia="宋体" w:cs="Times New Roman"/>
          <w:color w:val="auto"/>
          <w:sz w:val="28"/>
          <w:szCs w:val="28"/>
          <w:highlight w:val="none"/>
          <w:u w:val="single"/>
        </w:rPr>
        <w:t xml:space="preserve">                               </w:t>
      </w:r>
      <w:r>
        <w:rPr>
          <w:rFonts w:hint="eastAsia" w:ascii="宋体" w:hAnsi="宋体" w:eastAsia="宋体" w:cs="Times New Roman"/>
          <w:color w:val="auto"/>
          <w:sz w:val="28"/>
          <w:szCs w:val="28"/>
          <w:highlight w:val="none"/>
        </w:rPr>
        <w:t>。</w:t>
      </w:r>
    </w:p>
    <w:p w14:paraId="4027D089">
      <w:pPr>
        <w:rPr>
          <w:rFonts w:hint="eastAsia" w:ascii="宋体" w:hAnsi="宋体" w:eastAsia="宋体" w:cs="宋体"/>
          <w:sz w:val="32"/>
          <w:szCs w:val="32"/>
          <w:highlight w:val="none"/>
        </w:rPr>
      </w:pPr>
      <w:r>
        <w:rPr>
          <w:rFonts w:hint="eastAsia" w:ascii="宋体" w:hAnsi="宋体" w:eastAsia="宋体" w:cs="宋体"/>
          <w:sz w:val="32"/>
          <w:szCs w:val="32"/>
          <w:highlight w:val="none"/>
        </w:rPr>
        <w:t xml:space="preserve"> </w:t>
      </w:r>
    </w:p>
    <w:p w14:paraId="4F5423AE">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44428B70">
      <w:pPr>
        <w:rPr>
          <w:rFonts w:hint="eastAsia" w:ascii="宋体" w:hAnsi="宋体" w:eastAsia="宋体" w:cs="宋体"/>
          <w:color w:val="000000" w:themeColor="text1"/>
          <w:highlight w:val="none"/>
          <w14:textFill>
            <w14:solidFill>
              <w14:schemeClr w14:val="tx1"/>
            </w14:solidFill>
          </w14:textFill>
        </w:rPr>
      </w:pPr>
    </w:p>
    <w:p w14:paraId="19766434">
      <w:pPr>
        <w:pStyle w:val="15"/>
        <w:numPr>
          <w:ilvl w:val="0"/>
          <w:numId w:val="9"/>
        </w:num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采购内容及要求</w:t>
      </w:r>
    </w:p>
    <w:p w14:paraId="29FD9285">
      <w:pPr>
        <w:rPr>
          <w:color w:val="auto"/>
          <w:highlight w:val="none"/>
        </w:rPr>
      </w:pPr>
    </w:p>
    <w:p w14:paraId="4ADAC859">
      <w:pPr>
        <w:keepNext w:val="0"/>
        <w:keepLines w:val="0"/>
        <w:pageBreakBefore w:val="0"/>
        <w:widowControl w:val="0"/>
        <w:numPr>
          <w:ilvl w:val="0"/>
          <w:numId w:val="10"/>
        </w:numPr>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项目概况：</w:t>
      </w:r>
    </w:p>
    <w:p w14:paraId="24BB0FA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镇坪县柿子树坪燃气等管网更新改造项目工程监理（质量、进度、造价控制，合同、信息管理，对工程建设相关方面关系进行协调，并履行建设工程安全生产管理法定职责的服务）。</w:t>
      </w:r>
    </w:p>
    <w:p w14:paraId="32A0B3B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二、服务期：</w:t>
      </w:r>
    </w:p>
    <w:p w14:paraId="5243E7BC">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自工程开工之日起至工程竣工验收合格。</w:t>
      </w:r>
    </w:p>
    <w:p w14:paraId="7523684D">
      <w:pPr>
        <w:pStyle w:val="6"/>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eastAsia="zh-CN"/>
        </w:rPr>
        <w:t>质量</w:t>
      </w:r>
      <w:r>
        <w:rPr>
          <w:rFonts w:hint="eastAsia" w:ascii="宋体" w:hAnsi="宋体" w:eastAsia="宋体" w:cs="宋体"/>
          <w:b/>
          <w:bCs/>
          <w:sz w:val="24"/>
          <w:szCs w:val="24"/>
          <w:highlight w:val="none"/>
        </w:rPr>
        <w:t>要求</w:t>
      </w:r>
    </w:p>
    <w:p w14:paraId="4CA0FBC4">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1、严格按照《建设工程监理规范》 (GBT50319- 2013)中有关要求，承担镇坪县柿子树坪燃气等管网更新改造项目施工阶段全部监理任务， 按照采购人需求，派驻具有监理资格的人员对工程进行监督管理。</w:t>
      </w:r>
    </w:p>
    <w:p w14:paraId="5F35E173">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 镇坪县柿子树坪燃气等管网更新改造项目是一项复杂的系统工程， 监理单位应及时全面了解新技术特性， 准确把控监管的重点难点， 按照采购方需求， 严格实施监督管理。</w:t>
      </w:r>
    </w:p>
    <w:p w14:paraId="78261EFA">
      <w:pPr>
        <w:keepNext w:val="0"/>
        <w:keepLines w:val="0"/>
        <w:pageBreakBefore w:val="0"/>
        <w:widowControl/>
        <w:kinsoku/>
        <w:wordWrap/>
        <w:overflowPunct/>
        <w:topLinePunct w:val="0"/>
        <w:autoSpaceDE/>
        <w:autoSpaceDN/>
        <w:bidi w:val="0"/>
        <w:adjustRightInd/>
        <w:snapToGrid w:val="0"/>
        <w:spacing w:line="480" w:lineRule="exact"/>
        <w:ind w:right="0" w:rightChars="0" w:firstLine="480" w:firstLineChars="200"/>
        <w:jc w:val="left"/>
        <w:textAlignment w:val="auto"/>
        <w:rPr>
          <w:rFonts w:hint="eastAsia" w:ascii="宋体" w:hAnsi="宋体" w:eastAsia="宋体" w:cs="宋体"/>
          <w:color w:val="auto"/>
          <w:kern w:val="0"/>
          <w:sz w:val="24"/>
          <w:szCs w:val="24"/>
          <w:highlight w:val="none"/>
        </w:rPr>
      </w:pPr>
    </w:p>
    <w:p w14:paraId="230C39E0">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p>
    <w:p w14:paraId="4FCCD051">
      <w:pPr>
        <w:ind w:firstLine="2530" w:firstLineChars="700"/>
        <w:rPr>
          <w:rFonts w:hint="eastAsia" w:ascii="仿宋" w:hAnsi="仿宋" w:eastAsia="仿宋" w:cs="仿宋_GB2312"/>
          <w:b/>
          <w:bCs/>
          <w:color w:val="auto"/>
          <w:sz w:val="36"/>
          <w:szCs w:val="44"/>
          <w:highlight w:val="none"/>
        </w:rPr>
      </w:pPr>
    </w:p>
    <w:p w14:paraId="3D016DDA">
      <w:pPr>
        <w:ind w:firstLine="2530" w:firstLineChars="700"/>
        <w:rPr>
          <w:rFonts w:hint="eastAsia" w:ascii="仿宋" w:hAnsi="仿宋" w:eastAsia="仿宋" w:cs="仿宋_GB2312"/>
          <w:b/>
          <w:bCs/>
          <w:color w:val="auto"/>
          <w:sz w:val="36"/>
          <w:szCs w:val="44"/>
          <w:highlight w:val="none"/>
        </w:rPr>
      </w:pPr>
    </w:p>
    <w:p w14:paraId="79F2BF2C">
      <w:pPr>
        <w:ind w:firstLine="2530" w:firstLineChars="700"/>
        <w:rPr>
          <w:rFonts w:hint="eastAsia" w:ascii="仿宋" w:hAnsi="仿宋" w:eastAsia="仿宋" w:cs="仿宋_GB2312"/>
          <w:b/>
          <w:bCs/>
          <w:color w:val="auto"/>
          <w:sz w:val="36"/>
          <w:szCs w:val="44"/>
          <w:highlight w:val="none"/>
        </w:rPr>
      </w:pPr>
    </w:p>
    <w:p w14:paraId="5E824EF2">
      <w:pPr>
        <w:ind w:firstLine="2530" w:firstLineChars="700"/>
        <w:rPr>
          <w:rFonts w:hint="eastAsia" w:ascii="仿宋" w:hAnsi="仿宋" w:eastAsia="仿宋" w:cs="仿宋_GB2312"/>
          <w:b/>
          <w:bCs/>
          <w:color w:val="auto"/>
          <w:sz w:val="36"/>
          <w:szCs w:val="44"/>
          <w:highlight w:val="none"/>
        </w:rPr>
      </w:pPr>
    </w:p>
    <w:p w14:paraId="3EAA6DCE">
      <w:pPr>
        <w:ind w:firstLine="2530" w:firstLineChars="700"/>
        <w:rPr>
          <w:rFonts w:hint="eastAsia" w:ascii="仿宋" w:hAnsi="仿宋" w:eastAsia="仿宋" w:cs="仿宋_GB2312"/>
          <w:b/>
          <w:bCs/>
          <w:color w:val="auto"/>
          <w:sz w:val="36"/>
          <w:szCs w:val="44"/>
          <w:highlight w:val="none"/>
        </w:rPr>
      </w:pPr>
    </w:p>
    <w:p w14:paraId="48BF4B3B">
      <w:pPr>
        <w:ind w:firstLine="2530" w:firstLineChars="700"/>
        <w:rPr>
          <w:rFonts w:hint="eastAsia" w:ascii="仿宋" w:hAnsi="仿宋" w:eastAsia="仿宋" w:cs="仿宋_GB2312"/>
          <w:b/>
          <w:bCs/>
          <w:color w:val="auto"/>
          <w:sz w:val="36"/>
          <w:szCs w:val="44"/>
          <w:highlight w:val="none"/>
        </w:rPr>
      </w:pPr>
    </w:p>
    <w:p w14:paraId="7D0EB97F">
      <w:pPr>
        <w:ind w:firstLine="2530" w:firstLineChars="700"/>
        <w:rPr>
          <w:rFonts w:hint="eastAsia" w:ascii="仿宋" w:hAnsi="仿宋" w:eastAsia="仿宋" w:cs="仿宋_GB2312"/>
          <w:b/>
          <w:bCs/>
          <w:color w:val="auto"/>
          <w:sz w:val="36"/>
          <w:szCs w:val="44"/>
          <w:highlight w:val="none"/>
        </w:rPr>
      </w:pPr>
    </w:p>
    <w:p w14:paraId="15BD0499">
      <w:pPr>
        <w:ind w:firstLine="2530" w:firstLineChars="700"/>
        <w:rPr>
          <w:rFonts w:hint="eastAsia" w:ascii="仿宋" w:hAnsi="仿宋" w:eastAsia="仿宋" w:cs="仿宋_GB2312"/>
          <w:b/>
          <w:bCs/>
          <w:color w:val="auto"/>
          <w:sz w:val="36"/>
          <w:szCs w:val="44"/>
          <w:highlight w:val="none"/>
        </w:rPr>
      </w:pPr>
    </w:p>
    <w:p w14:paraId="15123C64">
      <w:pPr>
        <w:ind w:firstLine="2530" w:firstLineChars="700"/>
        <w:rPr>
          <w:rFonts w:hint="eastAsia" w:ascii="仿宋" w:hAnsi="仿宋" w:eastAsia="仿宋" w:cs="仿宋_GB2312"/>
          <w:b/>
          <w:bCs/>
          <w:color w:val="auto"/>
          <w:sz w:val="36"/>
          <w:szCs w:val="44"/>
          <w:highlight w:val="none"/>
        </w:rPr>
      </w:pPr>
    </w:p>
    <w:p w14:paraId="66851BC7">
      <w:pPr>
        <w:ind w:firstLine="2530" w:firstLineChars="700"/>
        <w:rPr>
          <w:rFonts w:hint="eastAsia" w:ascii="仿宋" w:hAnsi="仿宋" w:eastAsia="仿宋" w:cs="仿宋_GB2312"/>
          <w:b/>
          <w:bCs/>
          <w:color w:val="auto"/>
          <w:sz w:val="36"/>
          <w:szCs w:val="44"/>
          <w:highlight w:val="none"/>
        </w:rPr>
      </w:pPr>
    </w:p>
    <w:p w14:paraId="2CBB0C6B">
      <w:pPr>
        <w:ind w:firstLine="2530" w:firstLineChars="700"/>
        <w:rPr>
          <w:rFonts w:hint="eastAsia" w:ascii="仿宋" w:hAnsi="仿宋" w:eastAsia="仿宋" w:cs="仿宋_GB2312"/>
          <w:b/>
          <w:bCs/>
          <w:color w:val="auto"/>
          <w:sz w:val="36"/>
          <w:szCs w:val="44"/>
          <w:highlight w:val="none"/>
        </w:rPr>
      </w:pPr>
    </w:p>
    <w:p w14:paraId="0BD0C212">
      <w:pPr>
        <w:ind w:firstLine="2530" w:firstLineChars="700"/>
        <w:rPr>
          <w:rFonts w:hint="eastAsia" w:ascii="仿宋" w:hAnsi="仿宋" w:eastAsia="仿宋" w:cs="仿宋_GB2312"/>
          <w:b/>
          <w:bCs/>
          <w:color w:val="auto"/>
          <w:sz w:val="36"/>
          <w:szCs w:val="44"/>
          <w:highlight w:val="none"/>
        </w:rPr>
      </w:pPr>
    </w:p>
    <w:p w14:paraId="3B047534">
      <w:pPr>
        <w:ind w:firstLine="2530" w:firstLineChars="700"/>
        <w:rPr>
          <w:rFonts w:hint="eastAsia" w:ascii="仿宋" w:hAnsi="仿宋" w:eastAsia="仿宋" w:cs="仿宋_GB2312"/>
          <w:b/>
          <w:bCs/>
          <w:color w:val="auto"/>
          <w:sz w:val="36"/>
          <w:szCs w:val="44"/>
          <w:highlight w:val="none"/>
        </w:rPr>
      </w:pPr>
    </w:p>
    <w:p w14:paraId="14ECD9B9">
      <w:pPr>
        <w:ind w:firstLine="2570" w:firstLineChars="80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第六章  磋商响应文件格式</w:t>
      </w:r>
      <w:bookmarkEnd w:id="403"/>
      <w:bookmarkEnd w:id="404"/>
      <w:bookmarkEnd w:id="405"/>
      <w:bookmarkEnd w:id="406"/>
      <w:bookmarkEnd w:id="407"/>
    </w:p>
    <w:bookmarkEnd w:id="408"/>
    <w:p w14:paraId="3C01F38C">
      <w:pPr>
        <w:autoSpaceDE w:val="0"/>
        <w:autoSpaceDN w:val="0"/>
        <w:adjustRightInd w:val="0"/>
        <w:snapToGrid w:val="0"/>
        <w:spacing w:line="360" w:lineRule="auto"/>
        <w:jc w:val="left"/>
        <w:rPr>
          <w:rFonts w:hint="eastAsia" w:ascii="宋体" w:hAnsi="宋体" w:eastAsia="宋体" w:cs="宋体"/>
          <w:color w:val="auto"/>
          <w:sz w:val="24"/>
          <w:szCs w:val="24"/>
          <w:highlight w:val="none"/>
        </w:rPr>
      </w:pPr>
    </w:p>
    <w:p w14:paraId="3070CFE4">
      <w:pPr>
        <w:pStyle w:val="14"/>
        <w:wordWrap w:val="0"/>
        <w:spacing w:before="0" w:beforeAutospacing="0" w:after="0" w:afterAutospacing="0" w:line="390" w:lineRule="atLeast"/>
        <w:jc w:val="center"/>
        <w:rPr>
          <w:rFonts w:hint="eastAsia" w:ascii="宋体" w:hAnsi="宋体" w:eastAsia="宋体" w:cs="宋体"/>
          <w:b/>
          <w:bCs/>
          <w:i w:val="0"/>
          <w:iCs w:val="0"/>
          <w:sz w:val="24"/>
          <w:szCs w:val="24"/>
          <w:highlight w:val="none"/>
        </w:rPr>
      </w:pPr>
    </w:p>
    <w:p w14:paraId="598A0C82">
      <w:pPr>
        <w:pStyle w:val="14"/>
        <w:wordWrap w:val="0"/>
        <w:spacing w:before="0" w:beforeAutospacing="0" w:after="0" w:afterAutospacing="0" w:line="390" w:lineRule="atLeast"/>
        <w:jc w:val="center"/>
        <w:rPr>
          <w:rFonts w:hint="eastAsia" w:ascii="宋体" w:hAnsi="宋体" w:eastAsia="宋体" w:cs="宋体"/>
          <w:b/>
          <w:bCs/>
          <w:i w:val="0"/>
          <w:iCs w:val="0"/>
          <w:sz w:val="24"/>
          <w:szCs w:val="24"/>
          <w:highlight w:val="none"/>
        </w:rPr>
      </w:pPr>
    </w:p>
    <w:p w14:paraId="7F4251E6">
      <w:pPr>
        <w:pStyle w:val="14"/>
        <w:wordWrap w:val="0"/>
        <w:spacing w:before="0" w:beforeAutospacing="0" w:after="0" w:afterAutospacing="0" w:line="390" w:lineRule="atLeast"/>
        <w:jc w:val="center"/>
        <w:rPr>
          <w:rFonts w:hint="eastAsia" w:ascii="宋体" w:hAnsi="宋体" w:eastAsia="宋体" w:cs="宋体"/>
          <w:b/>
          <w:i w:val="0"/>
          <w:iCs w:val="0"/>
          <w:color w:val="auto"/>
          <w:sz w:val="32"/>
          <w:szCs w:val="32"/>
          <w:highlight w:val="none"/>
          <w:u w:val="none"/>
          <w:shd w:val="clear" w:color="auto" w:fill="FFFFFF"/>
          <w:lang w:val="en-US" w:eastAsia="zh-CN"/>
        </w:rPr>
      </w:pPr>
      <w:r>
        <w:rPr>
          <w:rFonts w:hint="eastAsia" w:ascii="宋体" w:hAnsi="宋体" w:eastAsia="宋体" w:cs="宋体"/>
          <w:b/>
          <w:bCs/>
          <w:i w:val="0"/>
          <w:iCs w:val="0"/>
          <w:sz w:val="32"/>
          <w:szCs w:val="32"/>
          <w:highlight w:val="none"/>
          <w:u w:val="single"/>
          <w:lang w:eastAsia="zh-CN"/>
        </w:rPr>
        <w:t>（项目名称）</w:t>
      </w:r>
    </w:p>
    <w:p w14:paraId="5697A241">
      <w:pPr>
        <w:pStyle w:val="14"/>
        <w:wordWrap w:val="0"/>
        <w:spacing w:before="0" w:beforeAutospacing="0" w:after="0" w:afterAutospacing="0" w:line="390" w:lineRule="atLeast"/>
        <w:jc w:val="center"/>
        <w:rPr>
          <w:rFonts w:hint="eastAsia" w:ascii="宋体" w:hAnsi="宋体" w:eastAsia="宋体" w:cs="宋体"/>
          <w:b/>
          <w:color w:val="auto"/>
          <w:sz w:val="32"/>
          <w:szCs w:val="32"/>
          <w:highlight w:val="none"/>
          <w:shd w:val="clear" w:color="auto" w:fill="FFFFFF"/>
        </w:rPr>
      </w:pPr>
    </w:p>
    <w:p w14:paraId="6DE9FF0D">
      <w:pPr>
        <w:pStyle w:val="14"/>
        <w:wordWrap w:val="0"/>
        <w:spacing w:before="0" w:beforeAutospacing="0" w:after="0" w:afterAutospacing="0" w:line="390" w:lineRule="atLeast"/>
        <w:jc w:val="center"/>
        <w:rPr>
          <w:rFonts w:hint="eastAsia" w:ascii="宋体" w:hAnsi="宋体" w:eastAsia="宋体" w:cs="宋体"/>
          <w:b/>
          <w:color w:val="auto"/>
          <w:sz w:val="32"/>
          <w:szCs w:val="32"/>
          <w:highlight w:val="none"/>
          <w:shd w:val="clear" w:color="auto" w:fill="FFFFFF"/>
        </w:rPr>
      </w:pPr>
    </w:p>
    <w:p w14:paraId="0CF90BEF">
      <w:pPr>
        <w:pStyle w:val="14"/>
        <w:wordWrap w:val="0"/>
        <w:spacing w:before="0" w:beforeAutospacing="0" w:after="0" w:afterAutospacing="0" w:line="390" w:lineRule="atLeas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shd w:val="clear" w:color="auto" w:fill="FFFFFF"/>
        </w:rPr>
        <w:t xml:space="preserve">响 应 文 件 </w:t>
      </w:r>
    </w:p>
    <w:p w14:paraId="2B9CAEDA">
      <w:pPr>
        <w:pStyle w:val="14"/>
        <w:wordWrap w:val="0"/>
        <w:spacing w:before="0" w:beforeAutospacing="0" w:after="0" w:afterAutospacing="0" w:line="390" w:lineRule="atLeas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shd w:val="clear" w:color="auto" w:fill="FFFFFF"/>
        </w:rPr>
        <w:t> </w:t>
      </w:r>
    </w:p>
    <w:p w14:paraId="7DA203A3">
      <w:pPr>
        <w:pStyle w:val="14"/>
        <w:wordWrap w:val="0"/>
        <w:spacing w:before="0" w:beforeAutospacing="0" w:after="0" w:afterAutospacing="0" w:line="390" w:lineRule="atLeas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shd w:val="clear" w:color="auto" w:fill="FFFFFF"/>
        </w:rPr>
        <w:t>(</w:t>
      </w:r>
      <w:r>
        <w:rPr>
          <w:rFonts w:hint="eastAsia" w:ascii="宋体" w:hAnsi="宋体" w:eastAsia="宋体" w:cs="宋体"/>
          <w:b/>
          <w:bCs/>
          <w:color w:val="auto"/>
          <w:sz w:val="32"/>
          <w:szCs w:val="32"/>
          <w:highlight w:val="none"/>
          <w:lang w:val="zh-CN"/>
        </w:rPr>
        <w:t>项目编号:</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lang w:val="zh-CN"/>
        </w:rPr>
        <w:t>)</w:t>
      </w:r>
      <w:r>
        <w:rPr>
          <w:rFonts w:hint="eastAsia" w:ascii="宋体" w:hAnsi="宋体" w:eastAsia="宋体" w:cs="宋体"/>
          <w:color w:val="auto"/>
          <w:sz w:val="32"/>
          <w:szCs w:val="32"/>
          <w:highlight w:val="none"/>
          <w:shd w:val="clear" w:color="auto" w:fill="FFFFFF"/>
        </w:rPr>
        <w:t xml:space="preserve"> </w:t>
      </w:r>
    </w:p>
    <w:p w14:paraId="4CA2E051">
      <w:pPr>
        <w:pStyle w:val="14"/>
        <w:wordWrap w:val="0"/>
        <w:spacing w:before="0" w:beforeAutospacing="0" w:after="0" w:afterAutospacing="0" w:line="390" w:lineRule="atLeas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shd w:val="clear" w:color="auto" w:fill="FFFFFF"/>
        </w:rPr>
        <w:t> </w:t>
      </w:r>
    </w:p>
    <w:p w14:paraId="2432BDBD">
      <w:pPr>
        <w:pStyle w:val="14"/>
        <w:wordWrap w:val="0"/>
        <w:spacing w:before="0" w:beforeAutospacing="0" w:after="0" w:afterAutospacing="0" w:line="390" w:lineRule="atLeas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shd w:val="clear" w:color="auto" w:fill="FFFFFF"/>
        </w:rPr>
        <w:t xml:space="preserve"> </w:t>
      </w:r>
    </w:p>
    <w:p w14:paraId="7EDA6454">
      <w:pPr>
        <w:pStyle w:val="14"/>
        <w:wordWrap w:val="0"/>
        <w:spacing w:before="0" w:beforeAutospacing="0" w:after="0" w:afterAutospacing="0" w:line="390" w:lineRule="atLeas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shd w:val="clear" w:color="auto" w:fill="FFFFFF"/>
        </w:rPr>
        <w:t> </w:t>
      </w:r>
    </w:p>
    <w:p w14:paraId="0C13BD9C">
      <w:pPr>
        <w:pStyle w:val="14"/>
        <w:wordWrap w:val="0"/>
        <w:spacing w:before="0" w:beforeAutospacing="0" w:after="0" w:afterAutospacing="0" w:line="390" w:lineRule="atLeast"/>
        <w:rPr>
          <w:rFonts w:hint="eastAsia" w:ascii="宋体" w:hAnsi="宋体" w:eastAsia="宋体" w:cs="宋体"/>
          <w:color w:val="auto"/>
          <w:sz w:val="32"/>
          <w:szCs w:val="32"/>
          <w:highlight w:val="none"/>
          <w:shd w:val="clear" w:color="auto" w:fill="FFFFFF"/>
        </w:rPr>
      </w:pPr>
      <w:r>
        <w:rPr>
          <w:rFonts w:hint="eastAsia" w:ascii="宋体" w:hAnsi="宋体" w:eastAsia="宋体" w:cs="宋体"/>
          <w:color w:val="auto"/>
          <w:sz w:val="32"/>
          <w:szCs w:val="32"/>
          <w:highlight w:val="none"/>
          <w:shd w:val="clear" w:color="auto" w:fill="FFFFFF"/>
        </w:rPr>
        <w:t> </w:t>
      </w:r>
    </w:p>
    <w:p w14:paraId="68EC3FEB">
      <w:pPr>
        <w:pStyle w:val="14"/>
        <w:wordWrap w:val="0"/>
        <w:spacing w:before="0" w:beforeAutospacing="0" w:after="0" w:afterAutospacing="0" w:line="390" w:lineRule="atLeast"/>
        <w:rPr>
          <w:rFonts w:hint="eastAsia" w:ascii="宋体" w:hAnsi="宋体" w:eastAsia="宋体" w:cs="宋体"/>
          <w:color w:val="auto"/>
          <w:sz w:val="32"/>
          <w:szCs w:val="32"/>
          <w:highlight w:val="none"/>
          <w:shd w:val="clear" w:color="auto" w:fill="FFFFFF"/>
        </w:rPr>
      </w:pPr>
    </w:p>
    <w:p w14:paraId="442740F5">
      <w:pPr>
        <w:pStyle w:val="14"/>
        <w:wordWrap w:val="0"/>
        <w:spacing w:before="0" w:beforeAutospacing="0" w:after="0" w:afterAutospacing="0" w:line="390" w:lineRule="atLeast"/>
        <w:rPr>
          <w:rFonts w:hint="eastAsia" w:ascii="宋体" w:hAnsi="宋体" w:eastAsia="宋体" w:cs="宋体"/>
          <w:color w:val="auto"/>
          <w:sz w:val="32"/>
          <w:szCs w:val="32"/>
          <w:highlight w:val="none"/>
          <w:shd w:val="clear" w:color="auto" w:fill="FFFFFF"/>
        </w:rPr>
      </w:pPr>
    </w:p>
    <w:p w14:paraId="279C3666">
      <w:pPr>
        <w:pStyle w:val="14"/>
        <w:wordWrap w:val="0"/>
        <w:spacing w:before="0" w:beforeAutospacing="0" w:after="0" w:afterAutospacing="0" w:line="390" w:lineRule="atLeas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shd w:val="clear" w:color="auto" w:fill="FFFFFF"/>
        </w:rPr>
        <w:t> </w:t>
      </w:r>
    </w:p>
    <w:p w14:paraId="77267CDC">
      <w:pPr>
        <w:pStyle w:val="14"/>
        <w:wordWrap w:val="0"/>
        <w:spacing w:before="0" w:beforeAutospacing="0" w:after="0" w:afterAutospacing="0" w:line="390" w:lineRule="atLeas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shd w:val="clear" w:color="auto" w:fill="FFFFFF"/>
        </w:rPr>
        <w:t> </w:t>
      </w:r>
    </w:p>
    <w:p w14:paraId="62F96935">
      <w:pPr>
        <w:pStyle w:val="14"/>
        <w:wordWrap w:val="0"/>
        <w:spacing w:before="0" w:beforeAutospacing="0" w:after="0" w:afterAutospacing="0" w:line="390" w:lineRule="atLeast"/>
        <w:ind w:firstLine="3200"/>
        <w:rPr>
          <w:rFonts w:hint="eastAsia" w:ascii="宋体" w:hAnsi="宋体" w:eastAsia="宋体" w:cs="宋体"/>
          <w:color w:val="auto"/>
          <w:sz w:val="32"/>
          <w:szCs w:val="32"/>
          <w:highlight w:val="none"/>
          <w:shd w:val="clear" w:color="auto" w:fill="FFFFFF"/>
        </w:rPr>
      </w:pPr>
    </w:p>
    <w:p w14:paraId="10331C43">
      <w:pPr>
        <w:pStyle w:val="14"/>
        <w:wordWrap w:val="0"/>
        <w:spacing w:before="0" w:beforeAutospacing="0" w:after="0" w:afterAutospacing="0" w:line="390" w:lineRule="atLeast"/>
        <w:ind w:firstLine="3200"/>
        <w:rPr>
          <w:rFonts w:hint="eastAsia" w:ascii="宋体" w:hAnsi="宋体" w:eastAsia="宋体" w:cs="宋体"/>
          <w:color w:val="auto"/>
          <w:sz w:val="32"/>
          <w:szCs w:val="32"/>
          <w:highlight w:val="none"/>
          <w:shd w:val="clear" w:color="auto" w:fill="FFFFFF"/>
        </w:rPr>
      </w:pPr>
    </w:p>
    <w:p w14:paraId="41B79BFB">
      <w:pPr>
        <w:pStyle w:val="14"/>
        <w:wordWrap w:val="0"/>
        <w:spacing w:before="0" w:beforeAutospacing="0" w:after="0" w:afterAutospacing="0" w:line="390" w:lineRule="atLeast"/>
        <w:ind w:firstLine="3200"/>
        <w:rPr>
          <w:rFonts w:hint="eastAsia" w:ascii="宋体" w:hAnsi="宋体" w:eastAsia="宋体" w:cs="宋体"/>
          <w:color w:val="auto"/>
          <w:sz w:val="32"/>
          <w:szCs w:val="32"/>
          <w:highlight w:val="none"/>
          <w:shd w:val="clear" w:color="auto" w:fill="FFFFFF"/>
        </w:rPr>
      </w:pPr>
    </w:p>
    <w:p w14:paraId="5967E2E2">
      <w:pPr>
        <w:pStyle w:val="14"/>
        <w:wordWrap w:val="0"/>
        <w:spacing w:before="0" w:beforeAutospacing="0" w:after="0" w:afterAutospacing="0" w:line="390" w:lineRule="atLeast"/>
        <w:ind w:firstLine="3200"/>
        <w:rPr>
          <w:rFonts w:hint="eastAsia" w:ascii="宋体" w:hAnsi="宋体" w:eastAsia="宋体" w:cs="宋体"/>
          <w:color w:val="auto"/>
          <w:sz w:val="32"/>
          <w:szCs w:val="32"/>
          <w:highlight w:val="none"/>
          <w:shd w:val="clear" w:color="auto" w:fill="FFFFFF"/>
        </w:rPr>
      </w:pPr>
    </w:p>
    <w:p w14:paraId="4EEC4E6C">
      <w:pPr>
        <w:pStyle w:val="14"/>
        <w:wordWrap w:val="0"/>
        <w:spacing w:before="0" w:beforeAutospacing="0" w:after="0" w:afterAutospacing="0" w:line="390" w:lineRule="atLeast"/>
        <w:ind w:firstLine="3200"/>
        <w:rPr>
          <w:rFonts w:hint="eastAsia" w:ascii="宋体" w:hAnsi="宋体" w:eastAsia="宋体" w:cs="宋体"/>
          <w:color w:val="auto"/>
          <w:sz w:val="32"/>
          <w:szCs w:val="32"/>
          <w:highlight w:val="none"/>
          <w:shd w:val="clear" w:color="auto" w:fill="FFFFFF"/>
        </w:rPr>
      </w:pPr>
    </w:p>
    <w:p w14:paraId="5436D110">
      <w:pPr>
        <w:pStyle w:val="14"/>
        <w:wordWrap w:val="0"/>
        <w:spacing w:before="0" w:beforeAutospacing="0" w:after="0" w:afterAutospacing="0" w:line="390" w:lineRule="atLeast"/>
        <w:ind w:firstLine="3200"/>
        <w:rPr>
          <w:rFonts w:hint="eastAsia" w:ascii="宋体" w:hAnsi="宋体" w:eastAsia="宋体" w:cs="宋体"/>
          <w:color w:val="auto"/>
          <w:sz w:val="32"/>
          <w:szCs w:val="32"/>
          <w:highlight w:val="none"/>
          <w:shd w:val="clear" w:color="auto" w:fill="FFFFFF"/>
        </w:rPr>
      </w:pPr>
    </w:p>
    <w:p w14:paraId="1661414B">
      <w:pPr>
        <w:pStyle w:val="14"/>
        <w:wordWrap w:val="0"/>
        <w:spacing w:before="0" w:beforeAutospacing="0" w:after="0" w:afterAutospacing="0" w:line="390" w:lineRule="atLeas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shd w:val="clear" w:color="auto" w:fill="FFFFFF"/>
        </w:rPr>
        <w:t>供应商：</w:t>
      </w:r>
      <w:r>
        <w:rPr>
          <w:rFonts w:hint="eastAsia" w:ascii="宋体" w:hAnsi="宋体" w:eastAsia="宋体" w:cs="宋体"/>
          <w:color w:val="auto"/>
          <w:sz w:val="32"/>
          <w:szCs w:val="32"/>
          <w:highlight w:val="none"/>
          <w:u w:val="single"/>
          <w:shd w:val="clear" w:color="auto" w:fill="FFFFFF"/>
          <w:lang w:val="en-US" w:eastAsia="zh-CN"/>
        </w:rPr>
        <w:t xml:space="preserve">                 </w:t>
      </w:r>
      <w:r>
        <w:rPr>
          <w:rFonts w:hint="eastAsia" w:ascii="宋体" w:hAnsi="宋体" w:eastAsia="宋体" w:cs="宋体"/>
          <w:color w:val="auto"/>
          <w:sz w:val="32"/>
          <w:szCs w:val="32"/>
          <w:highlight w:val="none"/>
          <w:shd w:val="clear" w:color="auto" w:fill="FFFFFF"/>
          <w:lang w:val="en-US" w:eastAsia="zh-CN"/>
        </w:rPr>
        <w:t xml:space="preserve"> </w:t>
      </w:r>
      <w:r>
        <w:rPr>
          <w:rFonts w:hint="eastAsia" w:ascii="宋体" w:hAnsi="宋体" w:eastAsia="宋体" w:cs="宋体"/>
          <w:color w:val="auto"/>
          <w:sz w:val="32"/>
          <w:szCs w:val="32"/>
          <w:highlight w:val="none"/>
          <w:shd w:val="clear" w:color="auto" w:fill="FFFFFF"/>
        </w:rPr>
        <w:t>(公章)</w:t>
      </w:r>
    </w:p>
    <w:p w14:paraId="5B894DB7">
      <w:pPr>
        <w:pStyle w:val="14"/>
        <w:wordWrap w:val="0"/>
        <w:spacing w:before="0" w:beforeAutospacing="0" w:after="0" w:afterAutospacing="0" w:line="390" w:lineRule="atLeast"/>
        <w:jc w:val="center"/>
        <w:rPr>
          <w:rFonts w:hint="eastAsia" w:ascii="宋体" w:hAnsi="宋体" w:eastAsia="宋体" w:cs="宋体"/>
          <w:color w:val="auto"/>
          <w:sz w:val="32"/>
          <w:szCs w:val="32"/>
          <w:highlight w:val="none"/>
        </w:rPr>
      </w:pPr>
    </w:p>
    <w:p w14:paraId="710F166D">
      <w:pPr>
        <w:pStyle w:val="14"/>
        <w:wordWrap w:val="0"/>
        <w:spacing w:before="0" w:beforeAutospacing="0" w:after="0" w:afterAutospacing="0" w:line="390" w:lineRule="atLeast"/>
        <w:jc w:val="center"/>
        <w:rPr>
          <w:rFonts w:hint="eastAsia" w:ascii="宋体" w:hAnsi="宋体" w:eastAsia="宋体" w:cs="宋体"/>
          <w:color w:val="auto"/>
          <w:sz w:val="32"/>
          <w:szCs w:val="32"/>
          <w:highlight w:val="none"/>
        </w:rPr>
      </w:pPr>
    </w:p>
    <w:p w14:paraId="0E819281">
      <w:pPr>
        <w:pStyle w:val="14"/>
        <w:wordWrap w:val="0"/>
        <w:spacing w:before="0" w:beforeAutospacing="0" w:after="0" w:afterAutospacing="0" w:line="390" w:lineRule="atLeast"/>
        <w:ind w:firstLine="2240" w:firstLineChars="700"/>
        <w:jc w:val="both"/>
        <w:rPr>
          <w:rFonts w:hint="eastAsia" w:ascii="宋体" w:hAnsi="宋体" w:eastAsia="宋体" w:cs="宋体"/>
          <w:color w:val="auto"/>
          <w:sz w:val="32"/>
          <w:szCs w:val="32"/>
          <w:highlight w:val="none"/>
          <w:u w:val="none"/>
        </w:rPr>
      </w:pPr>
      <w:r>
        <w:rPr>
          <w:rFonts w:hint="eastAsia" w:ascii="宋体" w:hAnsi="宋体" w:eastAsia="宋体" w:cs="宋体"/>
          <w:color w:val="auto"/>
          <w:sz w:val="32"/>
          <w:szCs w:val="32"/>
          <w:highlight w:val="none"/>
          <w:shd w:val="clear" w:color="auto" w:fill="FFFFFF"/>
        </w:rPr>
        <w:t>时  间：</w:t>
      </w:r>
    </w:p>
    <w:p w14:paraId="5BA311EA">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24F0EE82">
      <w:pPr>
        <w:spacing w:after="120"/>
        <w:ind w:firstLine="480" w:firstLineChars="150"/>
        <w:rPr>
          <w:rFonts w:hint="eastAsia" w:ascii="宋体" w:hAnsi="宋体" w:eastAsia="宋体" w:cs="宋体"/>
          <w:color w:val="auto"/>
          <w:sz w:val="32"/>
          <w:szCs w:val="32"/>
          <w:highlight w:val="none"/>
        </w:rPr>
      </w:pPr>
    </w:p>
    <w:p w14:paraId="282B2E28">
      <w:pPr>
        <w:autoSpaceDE w:val="0"/>
        <w:autoSpaceDN w:val="0"/>
        <w:adjustRightInd w:val="0"/>
        <w:snapToGrid w:val="0"/>
        <w:spacing w:line="360" w:lineRule="auto"/>
        <w:jc w:val="center"/>
        <w:rPr>
          <w:rFonts w:hint="eastAsia" w:ascii="宋体" w:hAnsi="宋体" w:eastAsia="宋体" w:cs="宋体"/>
          <w:b/>
          <w:bCs/>
          <w:color w:val="auto"/>
          <w:sz w:val="40"/>
          <w:szCs w:val="40"/>
          <w:highlight w:val="none"/>
        </w:rPr>
      </w:pPr>
      <w:r>
        <w:rPr>
          <w:rFonts w:hint="eastAsia" w:ascii="宋体" w:hAnsi="宋体" w:eastAsia="宋体" w:cs="宋体"/>
          <w:b/>
          <w:bCs/>
          <w:color w:val="auto"/>
          <w:sz w:val="40"/>
          <w:szCs w:val="40"/>
          <w:highlight w:val="none"/>
          <w:lang w:val="zh-CN"/>
        </w:rPr>
        <w:t>目</w:t>
      </w:r>
      <w:r>
        <w:rPr>
          <w:rFonts w:hint="eastAsia" w:ascii="宋体" w:hAnsi="宋体" w:eastAsia="宋体" w:cs="宋体"/>
          <w:b/>
          <w:bCs/>
          <w:color w:val="auto"/>
          <w:sz w:val="40"/>
          <w:szCs w:val="40"/>
          <w:highlight w:val="none"/>
          <w:lang w:val="en-US" w:eastAsia="zh-CN"/>
        </w:rPr>
        <w:t xml:space="preserve"> </w:t>
      </w:r>
      <w:r>
        <w:rPr>
          <w:rFonts w:hint="eastAsia" w:ascii="宋体" w:hAnsi="宋体" w:eastAsia="宋体" w:cs="宋体"/>
          <w:b/>
          <w:bCs/>
          <w:color w:val="auto"/>
          <w:sz w:val="40"/>
          <w:szCs w:val="40"/>
          <w:highlight w:val="none"/>
          <w:lang w:val="zh-CN"/>
        </w:rPr>
        <w:t>录</w:t>
      </w:r>
    </w:p>
    <w:p w14:paraId="02724182">
      <w:pPr>
        <w:autoSpaceDE w:val="0"/>
        <w:autoSpaceDN w:val="0"/>
        <w:adjustRightInd w:val="0"/>
        <w:snapToGrid w:val="0"/>
        <w:spacing w:line="360" w:lineRule="auto"/>
        <w:rPr>
          <w:rFonts w:hint="eastAsia" w:ascii="宋体" w:hAnsi="宋体" w:eastAsia="宋体" w:cs="宋体"/>
          <w:b/>
          <w:bCs/>
          <w:color w:val="auto"/>
          <w:sz w:val="24"/>
          <w:szCs w:val="24"/>
          <w:highlight w:val="none"/>
        </w:rPr>
      </w:pPr>
    </w:p>
    <w:p w14:paraId="43AF72C7">
      <w:pPr>
        <w:autoSpaceDE w:val="0"/>
        <w:autoSpaceDN w:val="0"/>
        <w:adjustRightInd w:val="0"/>
        <w:snapToGrid w:val="0"/>
        <w:spacing w:line="360" w:lineRule="auto"/>
        <w:ind w:firstLine="1928" w:firstLineChars="800"/>
        <w:rPr>
          <w:rFonts w:hint="eastAsia" w:ascii="宋体" w:hAnsi="宋体" w:eastAsia="宋体" w:cs="宋体"/>
          <w:b/>
          <w:bCs/>
          <w:color w:val="auto"/>
          <w:sz w:val="24"/>
          <w:szCs w:val="24"/>
          <w:highlight w:val="none"/>
          <w:lang w:val="zh-CN"/>
        </w:rPr>
      </w:pPr>
    </w:p>
    <w:p w14:paraId="701ABAE5">
      <w:pPr>
        <w:autoSpaceDE w:val="0"/>
        <w:autoSpaceDN w:val="0"/>
        <w:adjustRightInd w:val="0"/>
        <w:snapToGrid w:val="0"/>
        <w:spacing w:line="360" w:lineRule="auto"/>
        <w:ind w:firstLine="1928" w:firstLineChars="800"/>
        <w:rPr>
          <w:rFonts w:hint="eastAsia" w:ascii="宋体" w:hAnsi="宋体" w:eastAsia="宋体" w:cs="宋体"/>
          <w:b/>
          <w:bCs/>
          <w:color w:val="auto"/>
          <w:sz w:val="24"/>
          <w:szCs w:val="24"/>
          <w:highlight w:val="none"/>
          <w:lang w:val="zh-CN"/>
        </w:rPr>
      </w:pPr>
    </w:p>
    <w:p w14:paraId="51312CC3">
      <w:pPr>
        <w:autoSpaceDE w:val="0"/>
        <w:autoSpaceDN w:val="0"/>
        <w:adjustRightInd w:val="0"/>
        <w:snapToGrid w:val="0"/>
        <w:spacing w:line="360" w:lineRule="auto"/>
        <w:ind w:firstLine="1928" w:firstLineChars="800"/>
        <w:rPr>
          <w:rFonts w:hint="eastAsia" w:ascii="宋体" w:hAnsi="宋体" w:eastAsia="宋体" w:cs="宋体"/>
          <w:b/>
          <w:bCs/>
          <w:color w:val="auto"/>
          <w:sz w:val="24"/>
          <w:szCs w:val="24"/>
          <w:highlight w:val="none"/>
          <w:lang w:val="zh-CN"/>
        </w:rPr>
      </w:pPr>
    </w:p>
    <w:p w14:paraId="5EBB3000">
      <w:pPr>
        <w:autoSpaceDE w:val="0"/>
        <w:autoSpaceDN w:val="0"/>
        <w:adjustRightInd w:val="0"/>
        <w:snapToGrid w:val="0"/>
        <w:spacing w:line="360" w:lineRule="auto"/>
        <w:ind w:firstLine="3213" w:firstLineChars="1000"/>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第一部分：资格证明文件</w:t>
      </w:r>
    </w:p>
    <w:p w14:paraId="29ED9950">
      <w:pPr>
        <w:autoSpaceDE w:val="0"/>
        <w:autoSpaceDN w:val="0"/>
        <w:adjustRightInd w:val="0"/>
        <w:snapToGrid w:val="0"/>
        <w:spacing w:line="360" w:lineRule="auto"/>
        <w:ind w:firstLine="2570" w:firstLineChars="800"/>
        <w:rPr>
          <w:rFonts w:hint="eastAsia" w:ascii="宋体" w:hAnsi="宋体" w:eastAsia="宋体" w:cs="宋体"/>
          <w:b/>
          <w:bCs/>
          <w:color w:val="auto"/>
          <w:sz w:val="32"/>
          <w:szCs w:val="32"/>
          <w:highlight w:val="none"/>
          <w:lang w:val="zh-CN"/>
        </w:rPr>
      </w:pPr>
    </w:p>
    <w:p w14:paraId="25636C6F">
      <w:pPr>
        <w:autoSpaceDE w:val="0"/>
        <w:autoSpaceDN w:val="0"/>
        <w:adjustRightInd w:val="0"/>
        <w:snapToGrid w:val="0"/>
        <w:spacing w:line="360" w:lineRule="auto"/>
        <w:ind w:firstLine="3213" w:firstLineChars="1000"/>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第二部分：符合性证明文件</w:t>
      </w:r>
    </w:p>
    <w:p w14:paraId="3AAA3A0E">
      <w:pPr>
        <w:pStyle w:val="6"/>
        <w:ind w:firstLine="2560" w:firstLineChars="800"/>
        <w:rPr>
          <w:rFonts w:hint="eastAsia" w:ascii="宋体" w:hAnsi="宋体" w:eastAsia="宋体" w:cs="宋体"/>
          <w:color w:val="auto"/>
          <w:sz w:val="32"/>
          <w:szCs w:val="32"/>
          <w:highlight w:val="none"/>
          <w:lang w:val="zh-CN"/>
        </w:rPr>
      </w:pPr>
    </w:p>
    <w:p w14:paraId="7921D62E">
      <w:pPr>
        <w:autoSpaceDE w:val="0"/>
        <w:autoSpaceDN w:val="0"/>
        <w:adjustRightInd w:val="0"/>
        <w:snapToGrid w:val="0"/>
        <w:spacing w:line="360" w:lineRule="auto"/>
        <w:ind w:firstLine="3213" w:firstLineChars="1000"/>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第三部分：磋商响应方案</w:t>
      </w:r>
    </w:p>
    <w:p w14:paraId="4DB90E08">
      <w:pPr>
        <w:pStyle w:val="6"/>
        <w:ind w:firstLine="1920" w:firstLineChars="800"/>
        <w:rPr>
          <w:rFonts w:hint="eastAsia" w:ascii="宋体" w:hAnsi="宋体" w:eastAsia="宋体" w:cs="宋体"/>
          <w:color w:val="auto"/>
          <w:sz w:val="24"/>
          <w:szCs w:val="24"/>
          <w:highlight w:val="none"/>
        </w:rPr>
      </w:pPr>
    </w:p>
    <w:p w14:paraId="5E08A968">
      <w:pPr>
        <w:pStyle w:val="6"/>
        <w:rPr>
          <w:rFonts w:hint="eastAsia" w:ascii="宋体" w:hAnsi="宋体" w:eastAsia="宋体" w:cs="宋体"/>
          <w:color w:val="auto"/>
          <w:sz w:val="24"/>
          <w:szCs w:val="24"/>
          <w:highlight w:val="none"/>
        </w:rPr>
      </w:pPr>
    </w:p>
    <w:p w14:paraId="0D7B9A75">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14:paraId="34081735">
      <w:pPr>
        <w:pStyle w:val="2"/>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第一部分 资格证明文件</w:t>
      </w:r>
    </w:p>
    <w:p w14:paraId="4FE40F76">
      <w:pPr>
        <w:pStyle w:val="6"/>
        <w:rPr>
          <w:rFonts w:hint="eastAsia" w:ascii="宋体" w:hAnsi="宋体" w:eastAsia="宋体" w:cs="宋体"/>
          <w:color w:val="auto"/>
          <w:sz w:val="24"/>
          <w:szCs w:val="24"/>
          <w:highlight w:val="none"/>
        </w:rPr>
      </w:pPr>
    </w:p>
    <w:p w14:paraId="578F5ED0">
      <w:pPr>
        <w:pStyle w:val="6"/>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1、具有独立承担民事责任能力的法人、其他组织或自然人，提供合法有效的营业执照/事业单位法人证书/专业服务机构执业许可证/民办非企业单位登记证书等相关证明，自然人参与的提供其身份证明；</w:t>
      </w:r>
    </w:p>
    <w:p w14:paraId="313367A9">
      <w:pPr>
        <w:pStyle w:val="6"/>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、法定代表人参加投标时，提供本人身份证复印件；授权代表参加投标时，提供法定代表人授权委托书、法定代表人和被授权人身份证复印件；</w:t>
      </w:r>
    </w:p>
    <w:p w14:paraId="041A0C29">
      <w:pPr>
        <w:pStyle w:val="6"/>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eastAsia="zh-CN"/>
        </w:rPr>
        <w:t>、本次磋商要求供应商具有国家建设行政主管部门颁发的市政公用工程监理乙级及以上资质，拟派总监理工程师具备市政公用工程专业国家注册监理工程师资格证书，且在本单位注册；</w:t>
      </w:r>
    </w:p>
    <w:p w14:paraId="77B95107">
      <w:pPr>
        <w:pStyle w:val="6"/>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、参加本次政府采购活动前三年内在经营活动中没有重大违纪，以及未被列入失信被执行人、重大税收违法案件当事人名单、政府采购严重违法失信行为记录名单的书面声明；</w:t>
      </w:r>
    </w:p>
    <w:p w14:paraId="3A9A0442">
      <w:pPr>
        <w:pStyle w:val="6"/>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eastAsia="zh-CN"/>
        </w:rPr>
        <w:t>、供应商通过“信用中国”网站(www.creditchina.gov.cn)和中国政府采购网(www.ccgp.gov.cn)等渠道查询相关主体信用记录，对列入失信被执行人、重大税收违法案件当事人名单、政府采购严重违法失信行为记录名单的供应商，将拒绝其参与政府采购活动；</w:t>
      </w:r>
    </w:p>
    <w:p w14:paraId="4E0C5849">
      <w:pPr>
        <w:pStyle w:val="6"/>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eastAsia="zh-CN"/>
        </w:rPr>
        <w:t>、有依法缴纳税收和社会保障资金的良好记录（提供供应商近六个月任何一个月缴税证明和社会保障资金缴纳证明或免缴纳证明）。</w:t>
      </w:r>
    </w:p>
    <w:p w14:paraId="1C40DE2E">
      <w:pPr>
        <w:pStyle w:val="6"/>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val="zh-CN" w:eastAsia="zh-CN"/>
        </w:rPr>
        <w:t>、供应商应提供中小企业声明函（供应商为残疾人福利性单位的，提供《残疾人福利性单位声明函》；供应商为监狱企业的，提供由省级以上监狱管理局、戒毒管理局（含新疆生产建设兵团）出具的属于监狱企业的证明文件）。</w:t>
      </w:r>
    </w:p>
    <w:p w14:paraId="62A1BEC7">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75B80E72">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具备履行合同所必需的设备和专业技术能力承诺书</w:t>
      </w:r>
    </w:p>
    <w:p w14:paraId="6D3B54B0">
      <w:pPr>
        <w:ind w:firstLine="480"/>
        <w:rPr>
          <w:rFonts w:hint="eastAsia" w:ascii="宋体" w:hAnsi="宋体" w:eastAsia="宋体" w:cs="宋体"/>
          <w:color w:val="auto"/>
          <w:kern w:val="0"/>
          <w:sz w:val="24"/>
          <w:szCs w:val="24"/>
          <w:highlight w:val="none"/>
        </w:rPr>
      </w:pPr>
    </w:p>
    <w:p w14:paraId="04B61CEA">
      <w:pPr>
        <w:ind w:firstLine="480"/>
        <w:rPr>
          <w:rFonts w:hint="eastAsia" w:ascii="宋体" w:hAnsi="宋体" w:eastAsia="宋体" w:cs="宋体"/>
          <w:color w:val="auto"/>
          <w:kern w:val="0"/>
          <w:sz w:val="24"/>
          <w:szCs w:val="24"/>
          <w:highlight w:val="none"/>
        </w:rPr>
      </w:pPr>
    </w:p>
    <w:p w14:paraId="59A38807">
      <w:pPr>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lang w:eastAsia="zh-CN"/>
        </w:rPr>
        <w:t>（采购人名称）</w:t>
      </w:r>
      <w:r>
        <w:rPr>
          <w:rFonts w:hint="eastAsia" w:ascii="宋体" w:hAnsi="宋体" w:eastAsia="宋体" w:cs="宋体"/>
          <w:color w:val="auto"/>
          <w:kern w:val="0"/>
          <w:sz w:val="24"/>
          <w:szCs w:val="24"/>
          <w:highlight w:val="none"/>
          <w:u w:val="single"/>
        </w:rPr>
        <w:t xml:space="preserve">：   </w:t>
      </w:r>
    </w:p>
    <w:p w14:paraId="182D2F92">
      <w:pPr>
        <w:ind w:firstLine="480"/>
        <w:rPr>
          <w:rFonts w:hint="eastAsia" w:ascii="宋体" w:hAnsi="宋体" w:eastAsia="宋体" w:cs="宋体"/>
          <w:color w:val="auto"/>
          <w:kern w:val="0"/>
          <w:sz w:val="24"/>
          <w:szCs w:val="24"/>
          <w:highlight w:val="none"/>
        </w:rPr>
      </w:pPr>
    </w:p>
    <w:p w14:paraId="12715F88">
      <w:pPr>
        <w:ind w:firstLine="480"/>
        <w:rPr>
          <w:rFonts w:hint="eastAsia" w:ascii="宋体" w:hAnsi="宋体" w:eastAsia="宋体" w:cs="宋体"/>
          <w:color w:val="auto"/>
          <w:kern w:val="0"/>
          <w:sz w:val="24"/>
          <w:szCs w:val="24"/>
          <w:highlight w:val="none"/>
        </w:rPr>
      </w:pPr>
    </w:p>
    <w:p w14:paraId="59176EA7">
      <w:pPr>
        <w:ind w:firstLine="480"/>
        <w:rPr>
          <w:rFonts w:hint="eastAsia" w:ascii="宋体" w:hAnsi="宋体" w:eastAsia="宋体" w:cs="宋体"/>
          <w:color w:val="auto"/>
          <w:kern w:val="0"/>
          <w:sz w:val="24"/>
          <w:szCs w:val="24"/>
          <w:highlight w:val="none"/>
        </w:rPr>
      </w:pPr>
    </w:p>
    <w:p w14:paraId="27079353">
      <w:pPr>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我公司承诺</w:t>
      </w:r>
      <w:r>
        <w:rPr>
          <w:rFonts w:hint="eastAsia" w:ascii="宋体" w:hAnsi="宋体" w:eastAsia="宋体" w:cs="宋体"/>
          <w:color w:val="auto"/>
          <w:sz w:val="24"/>
          <w:szCs w:val="24"/>
          <w:highlight w:val="none"/>
        </w:rPr>
        <w:t>具备履行合同所必需的设备和专业技术能力</w:t>
      </w:r>
      <w:r>
        <w:rPr>
          <w:rFonts w:hint="eastAsia" w:ascii="宋体" w:hAnsi="宋体" w:eastAsia="宋体" w:cs="宋体"/>
          <w:color w:val="auto"/>
          <w:kern w:val="0"/>
          <w:sz w:val="24"/>
          <w:szCs w:val="24"/>
          <w:highlight w:val="none"/>
        </w:rPr>
        <w:t>。</w:t>
      </w:r>
    </w:p>
    <w:p w14:paraId="0EA38760">
      <w:pPr>
        <w:ind w:firstLine="480"/>
        <w:rPr>
          <w:rFonts w:hint="eastAsia" w:ascii="宋体" w:hAnsi="宋体" w:eastAsia="宋体" w:cs="宋体"/>
          <w:b/>
          <w:color w:val="auto"/>
          <w:sz w:val="24"/>
          <w:szCs w:val="24"/>
          <w:highlight w:val="none"/>
        </w:rPr>
      </w:pPr>
    </w:p>
    <w:p w14:paraId="1CF79CA3">
      <w:pPr>
        <w:ind w:firstLine="480"/>
        <w:rPr>
          <w:rFonts w:hint="eastAsia" w:ascii="宋体" w:hAnsi="宋体" w:eastAsia="宋体" w:cs="宋体"/>
          <w:b/>
          <w:color w:val="auto"/>
          <w:sz w:val="24"/>
          <w:szCs w:val="24"/>
          <w:highlight w:val="none"/>
        </w:rPr>
      </w:pPr>
    </w:p>
    <w:p w14:paraId="710FD9F3">
      <w:pPr>
        <w:ind w:firstLine="480"/>
        <w:rPr>
          <w:rFonts w:hint="eastAsia" w:ascii="宋体" w:hAnsi="宋体" w:eastAsia="宋体" w:cs="宋体"/>
          <w:b/>
          <w:color w:val="auto"/>
          <w:sz w:val="24"/>
          <w:szCs w:val="24"/>
          <w:highlight w:val="none"/>
        </w:rPr>
      </w:pPr>
    </w:p>
    <w:p w14:paraId="53584938">
      <w:pPr>
        <w:spacing w:before="120" w:after="120" w:line="360" w:lineRule="auto"/>
        <w:ind w:firstLine="480" w:firstLineChars="200"/>
        <w:rPr>
          <w:rFonts w:hint="eastAsia" w:ascii="宋体" w:hAnsi="宋体" w:eastAsia="宋体" w:cs="宋体"/>
          <w:color w:val="auto"/>
          <w:sz w:val="24"/>
          <w:szCs w:val="24"/>
          <w:highlight w:val="none"/>
        </w:rPr>
      </w:pPr>
    </w:p>
    <w:p w14:paraId="3AF6CCB5">
      <w:pPr>
        <w:spacing w:before="120" w:after="120" w:line="360" w:lineRule="auto"/>
        <w:ind w:firstLine="480" w:firstLineChars="200"/>
        <w:rPr>
          <w:rFonts w:hint="eastAsia" w:ascii="宋体" w:hAnsi="宋体" w:eastAsia="宋体" w:cs="宋体"/>
          <w:color w:val="auto"/>
          <w:sz w:val="24"/>
          <w:szCs w:val="24"/>
          <w:highlight w:val="none"/>
        </w:rPr>
      </w:pPr>
    </w:p>
    <w:p w14:paraId="13B9912D">
      <w:pPr>
        <w:spacing w:before="120" w:after="120" w:line="360" w:lineRule="auto"/>
        <w:ind w:firstLine="480" w:firstLineChars="200"/>
        <w:rPr>
          <w:rFonts w:hint="eastAsia" w:ascii="宋体" w:hAnsi="宋体" w:eastAsia="宋体" w:cs="宋体"/>
          <w:color w:val="auto"/>
          <w:sz w:val="24"/>
          <w:szCs w:val="24"/>
          <w:highlight w:val="none"/>
        </w:rPr>
      </w:pPr>
    </w:p>
    <w:p w14:paraId="2747ED3B">
      <w:pPr>
        <w:spacing w:before="120" w:after="120" w:line="360" w:lineRule="auto"/>
        <w:ind w:firstLine="480" w:firstLineChars="200"/>
        <w:rPr>
          <w:rFonts w:hint="eastAsia" w:ascii="宋体" w:hAnsi="宋体" w:eastAsia="宋体" w:cs="宋体"/>
          <w:color w:val="auto"/>
          <w:sz w:val="24"/>
          <w:szCs w:val="24"/>
          <w:highlight w:val="none"/>
        </w:rPr>
      </w:pPr>
    </w:p>
    <w:p w14:paraId="145CEFD0">
      <w:pPr>
        <w:spacing w:before="120" w:after="120" w:line="360" w:lineRule="auto"/>
        <w:ind w:firstLine="480" w:firstLineChars="200"/>
        <w:rPr>
          <w:rFonts w:hint="eastAsia" w:ascii="宋体" w:hAnsi="宋体" w:eastAsia="宋体" w:cs="宋体"/>
          <w:color w:val="auto"/>
          <w:sz w:val="24"/>
          <w:szCs w:val="24"/>
          <w:highlight w:val="none"/>
        </w:rPr>
      </w:pPr>
    </w:p>
    <w:p w14:paraId="06418A22">
      <w:pPr>
        <w:spacing w:before="120" w:after="120" w:line="360" w:lineRule="auto"/>
        <w:ind w:firstLine="4080" w:firstLineChars="17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供应商名称（公章）： </w:t>
      </w:r>
    </w:p>
    <w:p w14:paraId="788927FE">
      <w:pPr>
        <w:spacing w:before="120" w:after="120" w:line="360" w:lineRule="auto"/>
        <w:ind w:firstLine="3120" w:firstLineChars="13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法定代表人或其授权代表（签字或加盖人名章）：</w:t>
      </w:r>
    </w:p>
    <w:p w14:paraId="73BD86B6">
      <w:pPr>
        <w:spacing w:before="120" w:after="120" w:line="360" w:lineRule="auto"/>
        <w:ind w:firstLine="4080" w:firstLineChars="1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14:paraId="05D5B70A">
      <w:pPr>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lang w:val="zh-CN"/>
        </w:rPr>
        <w:br w:type="page"/>
      </w:r>
    </w:p>
    <w:p w14:paraId="29A28551">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声明函</w:t>
      </w:r>
    </w:p>
    <w:p w14:paraId="05636B5E">
      <w:pPr>
        <w:jc w:val="center"/>
        <w:rPr>
          <w:rFonts w:hint="eastAsia" w:ascii="宋体" w:hAnsi="宋体" w:eastAsia="宋体" w:cs="宋体"/>
          <w:color w:val="auto"/>
          <w:sz w:val="24"/>
          <w:szCs w:val="24"/>
          <w:highlight w:val="none"/>
        </w:rPr>
      </w:pPr>
    </w:p>
    <w:p w14:paraId="05DB78EE">
      <w:pPr>
        <w:tabs>
          <w:tab w:val="left" w:pos="5580"/>
        </w:tabs>
        <w:spacing w:before="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kern w:val="0"/>
          <w:sz w:val="24"/>
          <w:szCs w:val="24"/>
          <w:highlight w:val="none"/>
          <w:u w:val="single"/>
          <w:lang w:eastAsia="zh-CN"/>
        </w:rPr>
        <w:t>（采购人名称）</w:t>
      </w:r>
      <w:r>
        <w:rPr>
          <w:rFonts w:hint="eastAsia" w:ascii="宋体" w:hAnsi="宋体" w:eastAsia="宋体" w:cs="宋体"/>
          <w:color w:val="auto"/>
          <w:sz w:val="24"/>
          <w:szCs w:val="24"/>
          <w:highlight w:val="none"/>
          <w:u w:val="single"/>
        </w:rPr>
        <w:t xml:space="preserve">  </w:t>
      </w:r>
    </w:p>
    <w:p w14:paraId="08F3A626">
      <w:pPr>
        <w:tabs>
          <w:tab w:val="left" w:pos="5580"/>
        </w:tabs>
        <w:spacing w:before="120" w:line="360" w:lineRule="auto"/>
        <w:ind w:firstLine="480" w:firstLineChars="200"/>
        <w:rPr>
          <w:rFonts w:hint="eastAsia" w:ascii="宋体" w:hAnsi="宋体" w:eastAsia="宋体" w:cs="宋体"/>
          <w:color w:val="auto"/>
          <w:sz w:val="24"/>
          <w:szCs w:val="24"/>
          <w:highlight w:val="none"/>
        </w:rPr>
      </w:pPr>
    </w:p>
    <w:p w14:paraId="2EDC8B52">
      <w:pPr>
        <w:tabs>
          <w:tab w:val="left" w:pos="5580"/>
        </w:tabs>
        <w:spacing w:before="12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我公司郑重承诺在参加本项目政府采购活动前三年内，在经营活动中无重大违法记录。公司未受到行政处罚或责令停业、吊销许可证（或执照）；未处于财产被接管、冻结、破产状况。</w:t>
      </w:r>
    </w:p>
    <w:p w14:paraId="193018D1">
      <w:pPr>
        <w:tabs>
          <w:tab w:val="left" w:pos="5580"/>
        </w:tabs>
        <w:spacing w:before="12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37425152">
      <w:pPr>
        <w:tabs>
          <w:tab w:val="left" w:pos="5580"/>
        </w:tabs>
        <w:spacing w:before="120" w:line="360" w:lineRule="auto"/>
        <w:ind w:firstLine="480" w:firstLineChars="200"/>
        <w:rPr>
          <w:rFonts w:hint="eastAsia" w:ascii="宋体" w:hAnsi="宋体" w:eastAsia="宋体" w:cs="宋体"/>
          <w:color w:val="auto"/>
          <w:sz w:val="24"/>
          <w:szCs w:val="24"/>
          <w:highlight w:val="none"/>
        </w:rPr>
      </w:pPr>
    </w:p>
    <w:p w14:paraId="0A7B7FE6">
      <w:pPr>
        <w:pStyle w:val="6"/>
        <w:rPr>
          <w:rFonts w:hint="eastAsia" w:ascii="宋体" w:hAnsi="宋体" w:eastAsia="宋体" w:cs="宋体"/>
          <w:color w:val="auto"/>
          <w:sz w:val="24"/>
          <w:szCs w:val="24"/>
          <w:highlight w:val="none"/>
        </w:rPr>
      </w:pPr>
    </w:p>
    <w:p w14:paraId="23DDDCC4">
      <w:pPr>
        <w:rPr>
          <w:rFonts w:hint="eastAsia" w:ascii="宋体" w:hAnsi="宋体" w:eastAsia="宋体" w:cs="宋体"/>
          <w:color w:val="auto"/>
          <w:sz w:val="24"/>
          <w:szCs w:val="24"/>
          <w:highlight w:val="none"/>
        </w:rPr>
      </w:pPr>
    </w:p>
    <w:p w14:paraId="74E516F5">
      <w:pPr>
        <w:rPr>
          <w:rFonts w:hint="eastAsia" w:ascii="宋体" w:hAnsi="宋体" w:eastAsia="宋体" w:cs="宋体"/>
          <w:color w:val="auto"/>
          <w:sz w:val="24"/>
          <w:szCs w:val="24"/>
          <w:highlight w:val="none"/>
        </w:rPr>
      </w:pPr>
    </w:p>
    <w:p w14:paraId="289ED58A">
      <w:pPr>
        <w:rPr>
          <w:rFonts w:hint="eastAsia" w:ascii="宋体" w:hAnsi="宋体" w:eastAsia="宋体" w:cs="宋体"/>
          <w:color w:val="auto"/>
          <w:sz w:val="24"/>
          <w:szCs w:val="24"/>
          <w:highlight w:val="none"/>
        </w:rPr>
      </w:pPr>
    </w:p>
    <w:p w14:paraId="127E6FB8">
      <w:pPr>
        <w:rPr>
          <w:rFonts w:hint="eastAsia" w:ascii="宋体" w:hAnsi="宋体" w:eastAsia="宋体" w:cs="宋体"/>
          <w:color w:val="auto"/>
          <w:sz w:val="24"/>
          <w:szCs w:val="24"/>
          <w:highlight w:val="none"/>
        </w:rPr>
      </w:pPr>
    </w:p>
    <w:p w14:paraId="00930BBB">
      <w:pPr>
        <w:spacing w:before="120" w:after="120" w:line="360" w:lineRule="auto"/>
        <w:ind w:firstLine="3600" w:firstLineChars="15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供应商名称（公章）： </w:t>
      </w:r>
    </w:p>
    <w:p w14:paraId="60A3B910">
      <w:pPr>
        <w:spacing w:before="120" w:after="120" w:line="360" w:lineRule="auto"/>
        <w:ind w:firstLine="1920" w:firstLineChars="8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法定代表人或其授权代表（签字或加盖人名章）：</w:t>
      </w:r>
    </w:p>
    <w:p w14:paraId="134233C6">
      <w:pPr>
        <w:spacing w:before="120" w:after="120" w:line="360" w:lineRule="auto"/>
        <w:ind w:firstLine="3120" w:firstLineChars="1300"/>
        <w:rPr>
          <w:rFonts w:hint="eastAsia" w:ascii="宋体" w:hAnsi="宋体" w:eastAsia="宋体" w:cs="宋体"/>
          <w:color w:val="auto"/>
          <w:sz w:val="24"/>
          <w:szCs w:val="24"/>
          <w:highlight w:val="none"/>
        </w:rPr>
        <w:sectPr>
          <w:headerReference r:id="rId7" w:type="default"/>
          <w:footerReference r:id="rId8" w:type="default"/>
          <w:pgSz w:w="11906" w:h="16838"/>
          <w:pgMar w:top="1440" w:right="1080" w:bottom="1440" w:left="1080" w:header="851" w:footer="992" w:gutter="0"/>
          <w:pgNumType w:fmt="decimal"/>
          <w:cols w:space="0" w:num="1"/>
          <w:rtlGutter w:val="0"/>
          <w:docGrid w:linePitch="312" w:charSpace="0"/>
        </w:sect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14:paraId="5D74F184">
      <w:pPr>
        <w:ind w:firstLine="3534" w:firstLineChars="11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法定代表人授权书</w:t>
      </w:r>
    </w:p>
    <w:p w14:paraId="1CC090E9">
      <w:pPr>
        <w:autoSpaceDE w:val="0"/>
        <w:autoSpaceDN w:val="0"/>
        <w:adjustRightInd w:val="0"/>
        <w:spacing w:line="348" w:lineRule="auto"/>
        <w:ind w:firstLine="400"/>
        <w:rPr>
          <w:rFonts w:hint="eastAsia" w:ascii="宋体" w:hAnsi="宋体" w:eastAsia="宋体" w:cs="宋体"/>
          <w:b/>
          <w:color w:val="auto"/>
          <w:sz w:val="24"/>
          <w:szCs w:val="24"/>
          <w:highlight w:val="none"/>
        </w:rPr>
      </w:pPr>
    </w:p>
    <w:p w14:paraId="6BDCF186">
      <w:pPr>
        <w:autoSpaceDE w:val="0"/>
        <w:autoSpaceDN w:val="0"/>
        <w:adjustRightInd w:val="0"/>
        <w:spacing w:line="34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（采购人名称）</w:t>
      </w:r>
      <w:r>
        <w:rPr>
          <w:rFonts w:hint="eastAsia" w:ascii="宋体" w:hAnsi="宋体" w:eastAsia="宋体" w:cs="宋体"/>
          <w:color w:val="auto"/>
          <w:sz w:val="24"/>
          <w:szCs w:val="24"/>
          <w:highlight w:val="none"/>
        </w:rPr>
        <w:t>：</w:t>
      </w:r>
    </w:p>
    <w:p w14:paraId="02158D0E">
      <w:pPr>
        <w:autoSpaceDE w:val="0"/>
        <w:autoSpaceDN w:val="0"/>
        <w:adjustRightInd w:val="0"/>
        <w:spacing w:line="348" w:lineRule="auto"/>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注册于</w:t>
      </w:r>
      <w:r>
        <w:rPr>
          <w:rFonts w:hint="eastAsia" w:ascii="宋体" w:hAnsi="宋体" w:eastAsia="宋体" w:cs="宋体"/>
          <w:color w:val="auto"/>
          <w:sz w:val="24"/>
          <w:szCs w:val="24"/>
          <w:highlight w:val="none"/>
          <w:u w:val="single"/>
        </w:rPr>
        <w:t>（工商行政管理局名称）</w:t>
      </w:r>
      <w:r>
        <w:rPr>
          <w:rFonts w:hint="eastAsia" w:ascii="宋体" w:hAnsi="宋体" w:eastAsia="宋体" w:cs="宋体"/>
          <w:color w:val="auto"/>
          <w:sz w:val="24"/>
          <w:szCs w:val="24"/>
          <w:highlight w:val="none"/>
        </w:rPr>
        <w:t>之</w:t>
      </w:r>
      <w:r>
        <w:rPr>
          <w:rFonts w:hint="eastAsia" w:ascii="宋体" w:hAnsi="宋体" w:eastAsia="宋体" w:cs="宋体"/>
          <w:color w:val="auto"/>
          <w:sz w:val="24"/>
          <w:szCs w:val="24"/>
          <w:highlight w:val="none"/>
          <w:u w:val="single"/>
        </w:rPr>
        <w:t>（供应商全称）</w:t>
      </w:r>
      <w:r>
        <w:rPr>
          <w:rFonts w:hint="eastAsia" w:ascii="宋体" w:hAnsi="宋体" w:eastAsia="宋体" w:cs="宋体"/>
          <w:color w:val="auto"/>
          <w:sz w:val="24"/>
          <w:szCs w:val="24"/>
          <w:highlight w:val="none"/>
        </w:rPr>
        <w:t>法人代表</w:t>
      </w:r>
      <w:r>
        <w:rPr>
          <w:rFonts w:hint="eastAsia" w:ascii="宋体" w:hAnsi="宋体" w:eastAsia="宋体" w:cs="宋体"/>
          <w:color w:val="auto"/>
          <w:sz w:val="24"/>
          <w:szCs w:val="24"/>
          <w:highlight w:val="none"/>
          <w:u w:val="single"/>
        </w:rPr>
        <w:t>（姓名、职务）</w:t>
      </w:r>
      <w:r>
        <w:rPr>
          <w:rFonts w:hint="eastAsia" w:ascii="宋体" w:hAnsi="宋体" w:eastAsia="宋体" w:cs="宋体"/>
          <w:color w:val="auto"/>
          <w:sz w:val="24"/>
          <w:szCs w:val="24"/>
          <w:highlight w:val="none"/>
        </w:rPr>
        <w:t>授权</w:t>
      </w:r>
      <w:r>
        <w:rPr>
          <w:rFonts w:hint="eastAsia" w:ascii="宋体" w:hAnsi="宋体" w:eastAsia="宋体" w:cs="宋体"/>
          <w:color w:val="auto"/>
          <w:sz w:val="24"/>
          <w:szCs w:val="24"/>
          <w:highlight w:val="none"/>
          <w:u w:val="single"/>
        </w:rPr>
        <w:t>（被授权人姓名、职务）</w:t>
      </w:r>
      <w:r>
        <w:rPr>
          <w:rFonts w:hint="eastAsia" w:ascii="宋体" w:hAnsi="宋体" w:eastAsia="宋体" w:cs="宋体"/>
          <w:color w:val="auto"/>
          <w:sz w:val="24"/>
          <w:szCs w:val="24"/>
          <w:highlight w:val="none"/>
        </w:rPr>
        <w:t>为本公司的合法代理人，就</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的磋商及合同的执行和完成，以本公司的名义处理一切与之有关的事宜。</w:t>
      </w:r>
    </w:p>
    <w:p w14:paraId="365A2233">
      <w:pPr>
        <w:autoSpaceDE w:val="0"/>
        <w:autoSpaceDN w:val="0"/>
        <w:adjustRightInd w:val="0"/>
        <w:spacing w:line="348" w:lineRule="auto"/>
        <w:rPr>
          <w:rFonts w:hint="eastAsia" w:ascii="宋体" w:hAnsi="宋体" w:eastAsia="宋体" w:cs="宋体"/>
          <w:color w:val="auto"/>
          <w:sz w:val="24"/>
          <w:szCs w:val="24"/>
          <w:highlight w:val="none"/>
        </w:rPr>
      </w:pPr>
    </w:p>
    <w:p w14:paraId="40F95166">
      <w:pPr>
        <w:autoSpaceDE w:val="0"/>
        <w:autoSpaceDN w:val="0"/>
        <w:adjustRightInd w:val="0"/>
        <w:spacing w:line="348"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附：被授权人姓名：</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年龄：</w:t>
      </w:r>
    </w:p>
    <w:p w14:paraId="63A590D5">
      <w:pPr>
        <w:autoSpaceDE w:val="0"/>
        <w:autoSpaceDN w:val="0"/>
        <w:adjustRightInd w:val="0"/>
        <w:spacing w:line="348" w:lineRule="auto"/>
        <w:ind w:firstLine="63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身份证号码：</w:t>
      </w:r>
    </w:p>
    <w:p w14:paraId="76630471">
      <w:pPr>
        <w:autoSpaceDE w:val="0"/>
        <w:autoSpaceDN w:val="0"/>
        <w:adjustRightInd w:val="0"/>
        <w:spacing w:line="348" w:lineRule="auto"/>
        <w:ind w:firstLine="63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通讯地址：</w:t>
      </w:r>
    </w:p>
    <w:p w14:paraId="1C588AA0">
      <w:pPr>
        <w:autoSpaceDE w:val="0"/>
        <w:autoSpaceDN w:val="0"/>
        <w:adjustRightInd w:val="0"/>
        <w:spacing w:line="348" w:lineRule="auto"/>
        <w:ind w:firstLine="63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邮政编码：</w:t>
      </w:r>
    </w:p>
    <w:p w14:paraId="28A65BB5">
      <w:pPr>
        <w:autoSpaceDE w:val="0"/>
        <w:autoSpaceDN w:val="0"/>
        <w:adjustRightInd w:val="0"/>
        <w:spacing w:line="348" w:lineRule="auto"/>
        <w:ind w:firstLine="63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传真：</w:t>
      </w:r>
    </w:p>
    <w:p w14:paraId="50E1C82E">
      <w:pPr>
        <w:autoSpaceDE w:val="0"/>
        <w:autoSpaceDN w:val="0"/>
        <w:adjustRightInd w:val="0"/>
        <w:spacing w:line="348" w:lineRule="auto"/>
        <w:rPr>
          <w:rFonts w:hint="eastAsia" w:ascii="宋体" w:hAnsi="宋体" w:eastAsia="宋体" w:cs="宋体"/>
          <w:color w:val="auto"/>
          <w:sz w:val="24"/>
          <w:szCs w:val="24"/>
          <w:highlight w:val="none"/>
        </w:rPr>
      </w:pPr>
    </w:p>
    <w:p w14:paraId="539F5F8B">
      <w:pPr>
        <w:autoSpaceDE w:val="0"/>
        <w:autoSpaceDN w:val="0"/>
        <w:adjustRightInd w:val="0"/>
        <w:spacing w:line="348"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法定代表人及授权代表身份证复印件</w:t>
      </w:r>
    </w:p>
    <w:tbl>
      <w:tblPr>
        <w:tblStyle w:val="17"/>
        <w:tblW w:w="7934" w:type="dxa"/>
        <w:tblInd w:w="679" w:type="dxa"/>
        <w:tblLayout w:type="fixed"/>
        <w:tblCellMar>
          <w:top w:w="0" w:type="dxa"/>
          <w:left w:w="108" w:type="dxa"/>
          <w:bottom w:w="0" w:type="dxa"/>
          <w:right w:w="108" w:type="dxa"/>
        </w:tblCellMar>
      </w:tblPr>
      <w:tblGrid>
        <w:gridCol w:w="4049"/>
        <w:gridCol w:w="3885"/>
      </w:tblGrid>
      <w:tr w14:paraId="2613BC62">
        <w:tblPrEx>
          <w:tblCellMar>
            <w:top w:w="0" w:type="dxa"/>
            <w:left w:w="108" w:type="dxa"/>
            <w:bottom w:w="0" w:type="dxa"/>
            <w:right w:w="108" w:type="dxa"/>
          </w:tblCellMar>
        </w:tblPrEx>
        <w:trPr>
          <w:trHeight w:val="2280" w:hRule="atLeast"/>
        </w:trPr>
        <w:tc>
          <w:tcPr>
            <w:tcW w:w="4049" w:type="dxa"/>
            <w:tcBorders>
              <w:top w:val="single" w:color="auto" w:sz="6" w:space="0"/>
              <w:left w:val="single" w:color="auto" w:sz="6" w:space="0"/>
              <w:bottom w:val="single" w:color="auto" w:sz="6" w:space="0"/>
              <w:right w:val="single" w:color="auto" w:sz="6" w:space="0"/>
            </w:tcBorders>
            <w:vAlign w:val="center"/>
          </w:tcPr>
          <w:p w14:paraId="35070803">
            <w:pPr>
              <w:autoSpaceDE w:val="0"/>
              <w:autoSpaceDN w:val="0"/>
              <w:adjustRightInd w:val="0"/>
              <w:spacing w:line="34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法定代表人身份证复印件</w:t>
            </w:r>
          </w:p>
          <w:p w14:paraId="57E466D4">
            <w:pPr>
              <w:autoSpaceDE w:val="0"/>
              <w:autoSpaceDN w:val="0"/>
              <w:adjustRightInd w:val="0"/>
              <w:spacing w:line="34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（正反面）</w:t>
            </w:r>
          </w:p>
        </w:tc>
        <w:tc>
          <w:tcPr>
            <w:tcW w:w="3885" w:type="dxa"/>
            <w:tcBorders>
              <w:top w:val="single" w:color="auto" w:sz="6" w:space="0"/>
              <w:left w:val="nil"/>
              <w:bottom w:val="single" w:color="auto" w:sz="6" w:space="0"/>
              <w:right w:val="single" w:color="auto" w:sz="6" w:space="0"/>
            </w:tcBorders>
            <w:vAlign w:val="center"/>
          </w:tcPr>
          <w:p w14:paraId="1E25A34D">
            <w:pPr>
              <w:autoSpaceDE w:val="0"/>
              <w:autoSpaceDN w:val="0"/>
              <w:adjustRightInd w:val="0"/>
              <w:spacing w:line="34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授权代表身份证复印件</w:t>
            </w:r>
          </w:p>
          <w:p w14:paraId="07555583">
            <w:pPr>
              <w:autoSpaceDE w:val="0"/>
              <w:autoSpaceDN w:val="0"/>
              <w:adjustRightInd w:val="0"/>
              <w:spacing w:line="34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（正反面）</w:t>
            </w:r>
          </w:p>
        </w:tc>
      </w:tr>
    </w:tbl>
    <w:p w14:paraId="0C1FAF1F">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                         法定代表人</w:t>
      </w:r>
    </w:p>
    <w:p w14:paraId="72F11EBA">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（公章）：                     （签字或加盖法定代表人私章）：</w:t>
      </w:r>
    </w:p>
    <w:p w14:paraId="3E6131CD">
      <w:pPr>
        <w:autoSpaceDE w:val="0"/>
        <w:autoSpaceDN w:val="0"/>
        <w:adjustRightInd w:val="0"/>
        <w:spacing w:line="348" w:lineRule="auto"/>
        <w:ind w:firstLine="630"/>
        <w:rPr>
          <w:rFonts w:hint="eastAsia" w:ascii="宋体" w:hAnsi="宋体" w:eastAsia="宋体" w:cs="宋体"/>
          <w:color w:val="auto"/>
          <w:sz w:val="24"/>
          <w:szCs w:val="24"/>
          <w:highlight w:val="none"/>
        </w:rPr>
      </w:pPr>
    </w:p>
    <w:p w14:paraId="0D7173A3">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本授权自签字盖章之日起生效。</w:t>
      </w:r>
    </w:p>
    <w:p w14:paraId="18899EFC">
      <w:pP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br w:type="page"/>
      </w:r>
    </w:p>
    <w:p w14:paraId="42C3F40A">
      <w:pPr>
        <w:pStyle w:val="2"/>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第二部分  符合性证明文件</w:t>
      </w:r>
    </w:p>
    <w:p w14:paraId="77FE9437">
      <w:pPr>
        <w:pStyle w:val="4"/>
        <w:jc w:val="center"/>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磋商响应函</w:t>
      </w:r>
    </w:p>
    <w:p w14:paraId="4206048E">
      <w:pPr>
        <w:autoSpaceDE w:val="0"/>
        <w:autoSpaceDN w:val="0"/>
        <w:adjustRightInd w:val="0"/>
        <w:snapToGrid w:val="0"/>
        <w:spacing w:line="300" w:lineRule="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eastAsia="zh-CN"/>
        </w:rPr>
        <w:t>（采购人名称）</w:t>
      </w:r>
      <w:r>
        <w:rPr>
          <w:rFonts w:hint="eastAsia" w:ascii="宋体" w:hAnsi="宋体" w:eastAsia="宋体" w:cs="宋体"/>
          <w:b/>
          <w:bCs/>
          <w:color w:val="auto"/>
          <w:sz w:val="24"/>
          <w:szCs w:val="24"/>
          <w:highlight w:val="none"/>
          <w:lang w:val="zh-CN"/>
        </w:rPr>
        <w:t>：</w:t>
      </w:r>
    </w:p>
    <w:p w14:paraId="7C0D6130">
      <w:pPr>
        <w:autoSpaceDE w:val="0"/>
        <w:autoSpaceDN w:val="0"/>
        <w:adjustRightInd w:val="0"/>
        <w:snapToGrid w:val="0"/>
        <w:spacing w:line="312" w:lineRule="auto"/>
        <w:ind w:firstLine="63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我单位收到贵公司</w:t>
      </w:r>
      <w:r>
        <w:rPr>
          <w:rFonts w:hint="eastAsia" w:ascii="宋体" w:hAnsi="宋体" w:eastAsia="宋体" w:cs="宋体"/>
          <w:color w:val="auto"/>
          <w:sz w:val="24"/>
          <w:szCs w:val="24"/>
          <w:highlight w:val="none"/>
          <w:u w:val="single"/>
          <w:lang w:val="zh-CN"/>
        </w:rPr>
        <w:t>（项目名称    ）</w:t>
      </w:r>
      <w:r>
        <w:rPr>
          <w:rFonts w:hint="eastAsia" w:ascii="宋体" w:hAnsi="宋体" w:eastAsia="宋体" w:cs="宋体"/>
          <w:color w:val="auto"/>
          <w:sz w:val="24"/>
          <w:szCs w:val="24"/>
          <w:highlight w:val="none"/>
          <w:lang w:val="zh-CN"/>
        </w:rPr>
        <w:t>竞争性磋商文件，经详细研究，我们决定参加本次磋商活动。为此，我方郑重声明以下诸点，并负法律责任：</w:t>
      </w:r>
    </w:p>
    <w:p w14:paraId="1D906071">
      <w:pPr>
        <w:autoSpaceDE w:val="0"/>
        <w:autoSpaceDN w:val="0"/>
        <w:adjustRightInd w:val="0"/>
        <w:snapToGrid w:val="0"/>
        <w:spacing w:line="312" w:lineRule="auto"/>
        <w:ind w:firstLine="63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val="zh-CN"/>
        </w:rPr>
        <w:t>、愿意按照竞争性磋商文件中的要求，提供采购产品及技术服务，完成合同的责任和义务。</w:t>
      </w:r>
    </w:p>
    <w:p w14:paraId="265E937F">
      <w:pPr>
        <w:autoSpaceDE w:val="0"/>
        <w:autoSpaceDN w:val="0"/>
        <w:adjustRightInd w:val="0"/>
        <w:snapToGrid w:val="0"/>
        <w:spacing w:line="312" w:lineRule="auto"/>
        <w:ind w:left="885" w:leftChars="250" w:hanging="360" w:hanging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val="zh-CN"/>
        </w:rPr>
        <w:t>、按竞争性磋商文件的规定，我公司的首次磋商响应报价为人民币（大写）：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zh-CN"/>
        </w:rPr>
        <w:t>元），并对其后的磋商报价负法律责任。</w:t>
      </w:r>
    </w:p>
    <w:p w14:paraId="1ACEA736">
      <w:pPr>
        <w:autoSpaceDE w:val="0"/>
        <w:autoSpaceDN w:val="0"/>
        <w:adjustRightInd w:val="0"/>
        <w:snapToGrid w:val="0"/>
        <w:spacing w:line="312" w:lineRule="auto"/>
        <w:ind w:firstLine="63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val="zh-CN"/>
        </w:rPr>
        <w:t>、我方提交的响应文件</w:t>
      </w:r>
      <w:r>
        <w:rPr>
          <w:rFonts w:hint="eastAsia" w:ascii="宋体" w:hAnsi="宋体" w:eastAsia="宋体" w:cs="宋体"/>
          <w:color w:val="auto"/>
          <w:sz w:val="24"/>
          <w:szCs w:val="24"/>
          <w:highlight w:val="none"/>
          <w:lang w:val="zh-CN" w:eastAsia="zh-CN"/>
        </w:rPr>
        <w:t>电子标书一份</w:t>
      </w:r>
      <w:r>
        <w:rPr>
          <w:rFonts w:hint="eastAsia" w:ascii="宋体" w:hAnsi="宋体" w:eastAsia="宋体" w:cs="宋体"/>
          <w:color w:val="auto"/>
          <w:sz w:val="24"/>
          <w:szCs w:val="24"/>
          <w:highlight w:val="none"/>
          <w:lang w:val="zh-CN"/>
        </w:rPr>
        <w:t>。</w:t>
      </w:r>
    </w:p>
    <w:p w14:paraId="44768D05">
      <w:pPr>
        <w:autoSpaceDE w:val="0"/>
        <w:autoSpaceDN w:val="0"/>
        <w:adjustRightInd w:val="0"/>
        <w:snapToGrid w:val="0"/>
        <w:spacing w:line="312" w:lineRule="auto"/>
        <w:ind w:firstLine="63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val="zh-CN"/>
        </w:rPr>
        <w:t>、我方已详细阅读了竞争性磋商文件，完全理解并放弃提出含糊不清或易形成歧义的表述和资料。</w:t>
      </w:r>
    </w:p>
    <w:p w14:paraId="5D0289FF">
      <w:pPr>
        <w:autoSpaceDE w:val="0"/>
        <w:autoSpaceDN w:val="0"/>
        <w:adjustRightInd w:val="0"/>
        <w:snapToGrid w:val="0"/>
        <w:spacing w:line="312" w:lineRule="auto"/>
        <w:ind w:firstLine="63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五、同意向贵方提供可能要求的与本次磋商有关的任何证据或资料，且尊重磋商小组的评审结论和结果。</w:t>
      </w:r>
    </w:p>
    <w:p w14:paraId="06E9EC77">
      <w:pPr>
        <w:autoSpaceDE w:val="0"/>
        <w:autoSpaceDN w:val="0"/>
        <w:adjustRightInd w:val="0"/>
        <w:snapToGrid w:val="0"/>
        <w:spacing w:line="312" w:lineRule="auto"/>
        <w:ind w:firstLine="63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六、我方的响应文件有效期为自磋商之日起</w:t>
      </w:r>
      <w:r>
        <w:rPr>
          <w:rFonts w:hint="eastAsia" w:ascii="宋体" w:hAnsi="宋体" w:eastAsia="宋体"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rPr>
        <w:t xml:space="preserve">0 </w:t>
      </w:r>
      <w:r>
        <w:rPr>
          <w:rFonts w:hint="eastAsia" w:ascii="宋体" w:hAnsi="宋体" w:eastAsia="宋体" w:cs="宋体"/>
          <w:color w:val="auto"/>
          <w:sz w:val="24"/>
          <w:szCs w:val="24"/>
          <w:highlight w:val="none"/>
          <w:lang w:val="zh-CN"/>
        </w:rPr>
        <w:t>个日历天。若我方成交，响应文件有效期延长至合同执行完毕。</w:t>
      </w:r>
    </w:p>
    <w:p w14:paraId="0A12B484">
      <w:pPr>
        <w:autoSpaceDE w:val="0"/>
        <w:autoSpaceDN w:val="0"/>
        <w:adjustRightInd w:val="0"/>
        <w:snapToGrid w:val="0"/>
        <w:spacing w:line="312" w:lineRule="auto"/>
        <w:ind w:firstLine="63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七、如我方成交：</w:t>
      </w:r>
    </w:p>
    <w:p w14:paraId="13AF8220">
      <w:pPr>
        <w:autoSpaceDE w:val="0"/>
        <w:autoSpaceDN w:val="0"/>
        <w:adjustRightInd w:val="0"/>
        <w:snapToGrid w:val="0"/>
        <w:spacing w:line="312" w:lineRule="auto"/>
        <w:ind w:firstLine="63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（1）我方承诺在收到成交通知书后，在磋商文件规定的期限内与采购人签订合同。</w:t>
      </w:r>
    </w:p>
    <w:p w14:paraId="1CB4DBD4">
      <w:pPr>
        <w:autoSpaceDE w:val="0"/>
        <w:autoSpaceDN w:val="0"/>
        <w:adjustRightInd w:val="0"/>
        <w:snapToGrid w:val="0"/>
        <w:spacing w:line="312" w:lineRule="auto"/>
        <w:ind w:firstLine="63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）我方承诺按合同约定的期限和地点，提供符合磋商文件要求的全部的货物和服务。</w:t>
      </w:r>
    </w:p>
    <w:p w14:paraId="63B2E2D6">
      <w:pPr>
        <w:autoSpaceDE w:val="0"/>
        <w:autoSpaceDN w:val="0"/>
        <w:adjustRightInd w:val="0"/>
        <w:snapToGrid w:val="0"/>
        <w:spacing w:line="312" w:lineRule="auto"/>
        <w:ind w:firstLine="63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）我方保证在领取成交通知书前按要求支付成交服务费。</w:t>
      </w:r>
    </w:p>
    <w:p w14:paraId="4384D6DA">
      <w:pPr>
        <w:autoSpaceDE w:val="0"/>
        <w:autoSpaceDN w:val="0"/>
        <w:adjustRightInd w:val="0"/>
        <w:snapToGrid w:val="0"/>
        <w:spacing w:line="300" w:lineRule="auto"/>
        <w:ind w:firstLine="63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八、有关于本磋商文件的函电，请按下列地址联系。</w:t>
      </w:r>
    </w:p>
    <w:p w14:paraId="1269A25D">
      <w:pPr>
        <w:autoSpaceDE w:val="0"/>
        <w:autoSpaceDN w:val="0"/>
        <w:adjustRightInd w:val="0"/>
        <w:snapToGrid w:val="0"/>
        <w:spacing w:line="300" w:lineRule="auto"/>
        <w:ind w:firstLine="240" w:firstLineChars="100"/>
        <w:rPr>
          <w:rFonts w:hint="eastAsia" w:ascii="宋体" w:hAnsi="宋体" w:eastAsia="宋体" w:cs="宋体"/>
          <w:color w:val="auto"/>
          <w:sz w:val="24"/>
          <w:szCs w:val="24"/>
          <w:highlight w:val="none"/>
          <w:lang w:val="zh-CN"/>
        </w:rPr>
      </w:pPr>
    </w:p>
    <w:p w14:paraId="2CD98F6D">
      <w:pPr>
        <w:autoSpaceDE w:val="0"/>
        <w:autoSpaceDN w:val="0"/>
        <w:adjustRightInd w:val="0"/>
        <w:snapToGrid w:val="0"/>
        <w:spacing w:line="300" w:lineRule="auto"/>
        <w:ind w:firstLine="240" w:firstLineChars="100"/>
        <w:rPr>
          <w:rFonts w:hint="eastAsia" w:ascii="宋体" w:hAnsi="宋体" w:eastAsia="宋体" w:cs="宋体"/>
          <w:color w:val="auto"/>
          <w:sz w:val="24"/>
          <w:szCs w:val="24"/>
          <w:highlight w:val="none"/>
          <w:lang w:val="zh-CN"/>
        </w:rPr>
      </w:pPr>
    </w:p>
    <w:p w14:paraId="21ADB4E6">
      <w:pPr>
        <w:autoSpaceDE w:val="0"/>
        <w:autoSpaceDN w:val="0"/>
        <w:adjustRightInd w:val="0"/>
        <w:snapToGrid w:val="0"/>
        <w:spacing w:line="300" w:lineRule="auto"/>
        <w:ind w:firstLine="240" w:firstLineChars="1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zh-CN"/>
        </w:rPr>
        <w:t>供应商全称：</w:t>
      </w:r>
      <w:r>
        <w:rPr>
          <w:rFonts w:hint="eastAsia" w:ascii="宋体" w:hAnsi="宋体" w:eastAsia="宋体" w:cs="宋体"/>
          <w:color w:val="auto"/>
          <w:sz w:val="24"/>
          <w:szCs w:val="24"/>
          <w:highlight w:val="none"/>
          <w:u w:val="single"/>
          <w:lang w:val="en-US" w:eastAsia="zh-CN"/>
        </w:rPr>
        <w:t xml:space="preserve">                                    </w:t>
      </w:r>
    </w:p>
    <w:p w14:paraId="0F3FEE5B">
      <w:pPr>
        <w:autoSpaceDE w:val="0"/>
        <w:autoSpaceDN w:val="0"/>
        <w:adjustRightInd w:val="0"/>
        <w:snapToGrid w:val="0"/>
        <w:spacing w:line="30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地址：</w:t>
      </w:r>
      <w:r>
        <w:rPr>
          <w:rFonts w:hint="eastAsia" w:ascii="宋体" w:hAnsi="宋体" w:eastAsia="宋体" w:cs="宋体"/>
          <w:color w:val="auto"/>
          <w:sz w:val="24"/>
          <w:szCs w:val="24"/>
          <w:highlight w:val="none"/>
        </w:rPr>
        <w:t>__________________________________________</w:t>
      </w:r>
    </w:p>
    <w:p w14:paraId="06863C97">
      <w:pPr>
        <w:autoSpaceDE w:val="0"/>
        <w:autoSpaceDN w:val="0"/>
        <w:adjustRightInd w:val="0"/>
        <w:snapToGrid w:val="0"/>
        <w:spacing w:line="30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电话：</w:t>
      </w:r>
      <w:r>
        <w:rPr>
          <w:rFonts w:hint="eastAsia" w:ascii="宋体" w:hAnsi="宋体" w:eastAsia="宋体" w:cs="宋体"/>
          <w:color w:val="auto"/>
          <w:sz w:val="24"/>
          <w:szCs w:val="24"/>
          <w:highlight w:val="none"/>
        </w:rPr>
        <w:t>__________________________________________</w:t>
      </w:r>
    </w:p>
    <w:p w14:paraId="0D483EEB">
      <w:pPr>
        <w:autoSpaceDE w:val="0"/>
        <w:autoSpaceDN w:val="0"/>
        <w:adjustRightInd w:val="0"/>
        <w:snapToGrid w:val="0"/>
        <w:spacing w:line="30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法定代表人或授权代表（签字或盖章）：</w:t>
      </w:r>
      <w:r>
        <w:rPr>
          <w:rFonts w:hint="eastAsia" w:ascii="宋体" w:hAnsi="宋体" w:eastAsia="宋体" w:cs="宋体"/>
          <w:color w:val="auto"/>
          <w:sz w:val="24"/>
          <w:szCs w:val="24"/>
          <w:highlight w:val="none"/>
        </w:rPr>
        <w:t>_________________</w:t>
      </w:r>
    </w:p>
    <w:p w14:paraId="1045EE4F">
      <w:pPr>
        <w:autoSpaceDE w:val="0"/>
        <w:autoSpaceDN w:val="0"/>
        <w:adjustRightInd w:val="0"/>
        <w:snapToGrid w:val="0"/>
        <w:spacing w:line="300" w:lineRule="auto"/>
        <w:rPr>
          <w:rFonts w:hint="eastAsia" w:ascii="宋体" w:hAnsi="宋体" w:eastAsia="宋体" w:cs="宋体"/>
          <w:color w:val="auto"/>
          <w:sz w:val="24"/>
          <w:szCs w:val="24"/>
          <w:highlight w:val="none"/>
        </w:rPr>
      </w:pPr>
    </w:p>
    <w:p w14:paraId="477FE046">
      <w:pPr>
        <w:autoSpaceDE w:val="0"/>
        <w:autoSpaceDN w:val="0"/>
        <w:adjustRightInd w:val="0"/>
        <w:snapToGrid w:val="0"/>
        <w:spacing w:line="300" w:lineRule="auto"/>
        <w:jc w:val="center"/>
        <w:rPr>
          <w:rFonts w:hint="eastAsia" w:ascii="宋体" w:hAnsi="宋体" w:eastAsia="宋体" w:cs="宋体"/>
          <w:color w:val="auto"/>
          <w:sz w:val="24"/>
          <w:szCs w:val="24"/>
          <w:highlight w:val="none"/>
        </w:rPr>
        <w:sectPr>
          <w:pgSz w:w="11906" w:h="16838"/>
          <w:pgMar w:top="1440" w:right="1080" w:bottom="1440" w:left="1080" w:header="851" w:footer="992" w:gutter="0"/>
          <w:pgNumType w:fmt="decimal"/>
          <w:cols w:space="0" w:num="1"/>
          <w:rtlGutter w:val="0"/>
          <w:docGrid w:linePitch="312" w:charSpace="0"/>
        </w:sectPr>
      </w:pPr>
      <w:r>
        <w:rPr>
          <w:rFonts w:hint="eastAsia" w:ascii="宋体" w:hAnsi="宋体" w:eastAsia="宋体" w:cs="宋体"/>
          <w:color w:val="auto"/>
          <w:sz w:val="24"/>
          <w:szCs w:val="24"/>
          <w:highlight w:val="none"/>
        </w:rPr>
        <w:t xml:space="preserve">                 _____</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rPr>
        <w:t>_____</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rPr>
        <w:t>_____</w:t>
      </w:r>
      <w:r>
        <w:rPr>
          <w:rFonts w:hint="eastAsia" w:ascii="宋体" w:hAnsi="宋体" w:eastAsia="宋体" w:cs="宋体"/>
          <w:color w:val="auto"/>
          <w:sz w:val="24"/>
          <w:szCs w:val="24"/>
          <w:highlight w:val="none"/>
          <w:lang w:val="zh-CN"/>
        </w:rPr>
        <w:t>日</w:t>
      </w:r>
    </w:p>
    <w:p w14:paraId="16200CEF">
      <w:pPr>
        <w:pStyle w:val="4"/>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第一次磋商响应报价表</w:t>
      </w:r>
    </w:p>
    <w:p w14:paraId="1A559C21">
      <w:pPr>
        <w:autoSpaceDE w:val="0"/>
        <w:autoSpaceDN w:val="0"/>
        <w:adjustRightInd w:val="0"/>
        <w:snapToGrid w:val="0"/>
        <w:spacing w:line="360" w:lineRule="auto"/>
        <w:jc w:val="righ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zh-CN"/>
        </w:rPr>
        <w:t>单位：元</w:t>
      </w:r>
    </w:p>
    <w:tbl>
      <w:tblPr>
        <w:tblStyle w:val="17"/>
        <w:tblW w:w="9887" w:type="dxa"/>
        <w:jc w:val="center"/>
        <w:tblLayout w:type="fixed"/>
        <w:tblCellMar>
          <w:top w:w="0" w:type="dxa"/>
          <w:left w:w="108" w:type="dxa"/>
          <w:bottom w:w="0" w:type="dxa"/>
          <w:right w:w="108" w:type="dxa"/>
        </w:tblCellMar>
      </w:tblPr>
      <w:tblGrid>
        <w:gridCol w:w="3465"/>
        <w:gridCol w:w="2558"/>
        <w:gridCol w:w="2194"/>
        <w:gridCol w:w="1670"/>
      </w:tblGrid>
      <w:tr w14:paraId="6070663A">
        <w:tblPrEx>
          <w:tblCellMar>
            <w:top w:w="0" w:type="dxa"/>
            <w:left w:w="108" w:type="dxa"/>
            <w:bottom w:w="0" w:type="dxa"/>
            <w:right w:w="108" w:type="dxa"/>
          </w:tblCellMar>
        </w:tblPrEx>
        <w:trPr>
          <w:trHeight w:val="1552" w:hRule="atLeast"/>
          <w:jc w:val="center"/>
        </w:trPr>
        <w:tc>
          <w:tcPr>
            <w:tcW w:w="3465" w:type="dxa"/>
            <w:tcBorders>
              <w:top w:val="single" w:color="auto" w:sz="6" w:space="0"/>
              <w:left w:val="single" w:color="auto" w:sz="6" w:space="0"/>
              <w:bottom w:val="single" w:color="auto" w:sz="6" w:space="0"/>
              <w:right w:val="single" w:color="auto" w:sz="6" w:space="0"/>
              <w:tl2br w:val="single" w:color="auto" w:sz="4" w:space="0"/>
            </w:tcBorders>
          </w:tcPr>
          <w:p w14:paraId="70122C6B">
            <w:pPr>
              <w:autoSpaceDE w:val="0"/>
              <w:autoSpaceDN w:val="0"/>
              <w:adjustRightInd w:val="0"/>
              <w:snapToGrid w:val="0"/>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报价内容</w:t>
            </w:r>
          </w:p>
          <w:p w14:paraId="6F624D6C">
            <w:pPr>
              <w:autoSpaceDE w:val="0"/>
              <w:autoSpaceDN w:val="0"/>
              <w:adjustRightInd w:val="0"/>
              <w:snapToGrid w:val="0"/>
              <w:spacing w:line="360" w:lineRule="auto"/>
              <w:ind w:left="-1" w:hanging="419"/>
              <w:rPr>
                <w:rFonts w:hint="eastAsia" w:ascii="宋体" w:hAnsi="宋体" w:eastAsia="宋体" w:cs="宋体"/>
                <w:color w:val="auto"/>
                <w:sz w:val="24"/>
                <w:szCs w:val="24"/>
                <w:highlight w:val="none"/>
              </w:rPr>
            </w:pPr>
          </w:p>
          <w:p w14:paraId="6E1F2227">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磋商内容</w:t>
            </w:r>
          </w:p>
        </w:tc>
        <w:tc>
          <w:tcPr>
            <w:tcW w:w="2558" w:type="dxa"/>
            <w:tcBorders>
              <w:top w:val="single" w:color="auto" w:sz="6" w:space="0"/>
              <w:left w:val="single" w:color="auto" w:sz="6" w:space="0"/>
              <w:bottom w:val="single" w:color="auto" w:sz="6" w:space="0"/>
              <w:right w:val="single" w:color="auto" w:sz="6" w:space="0"/>
            </w:tcBorders>
            <w:vAlign w:val="center"/>
          </w:tcPr>
          <w:p w14:paraId="2B25CD6A">
            <w:pPr>
              <w:autoSpaceDE w:val="0"/>
              <w:autoSpaceDN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总报价</w:t>
            </w:r>
          </w:p>
        </w:tc>
        <w:tc>
          <w:tcPr>
            <w:tcW w:w="2194" w:type="dxa"/>
            <w:tcBorders>
              <w:top w:val="single" w:color="auto" w:sz="6" w:space="0"/>
              <w:left w:val="single" w:color="auto" w:sz="6" w:space="0"/>
              <w:bottom w:val="single" w:color="auto" w:sz="6" w:space="0"/>
              <w:right w:val="single" w:color="auto" w:sz="6" w:space="0"/>
            </w:tcBorders>
            <w:vAlign w:val="center"/>
          </w:tcPr>
          <w:p w14:paraId="56AE1C49">
            <w:pPr>
              <w:autoSpaceDE w:val="0"/>
              <w:autoSpaceDN w:val="0"/>
              <w:adjustRightInd w:val="0"/>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服务期</w:t>
            </w:r>
          </w:p>
        </w:tc>
        <w:tc>
          <w:tcPr>
            <w:tcW w:w="1670" w:type="dxa"/>
            <w:tcBorders>
              <w:top w:val="single" w:color="auto" w:sz="6" w:space="0"/>
              <w:left w:val="single" w:color="auto" w:sz="6" w:space="0"/>
              <w:bottom w:val="single" w:color="auto" w:sz="6" w:space="0"/>
              <w:right w:val="single" w:color="auto" w:sz="6" w:space="0"/>
            </w:tcBorders>
            <w:vAlign w:val="center"/>
          </w:tcPr>
          <w:p w14:paraId="11AD4316">
            <w:pPr>
              <w:autoSpaceDE w:val="0"/>
              <w:autoSpaceDN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552084C8">
        <w:tblPrEx>
          <w:tblCellMar>
            <w:top w:w="0" w:type="dxa"/>
            <w:left w:w="108" w:type="dxa"/>
            <w:bottom w:w="0" w:type="dxa"/>
            <w:right w:w="108" w:type="dxa"/>
          </w:tblCellMar>
        </w:tblPrEx>
        <w:trPr>
          <w:trHeight w:val="1144" w:hRule="atLeast"/>
          <w:jc w:val="center"/>
        </w:trPr>
        <w:tc>
          <w:tcPr>
            <w:tcW w:w="3465" w:type="dxa"/>
            <w:tcBorders>
              <w:top w:val="single" w:color="auto" w:sz="6" w:space="0"/>
              <w:left w:val="single" w:color="auto" w:sz="6" w:space="0"/>
              <w:bottom w:val="single" w:color="auto" w:sz="6" w:space="0"/>
              <w:right w:val="single" w:color="auto" w:sz="6" w:space="0"/>
            </w:tcBorders>
            <w:vAlign w:val="center"/>
          </w:tcPr>
          <w:p w14:paraId="698F0CF6">
            <w:pPr>
              <w:autoSpaceDE w:val="0"/>
              <w:autoSpaceDN w:val="0"/>
              <w:adjustRightInd w:val="0"/>
              <w:snapToGrid w:val="0"/>
              <w:spacing w:line="360" w:lineRule="auto"/>
              <w:jc w:val="center"/>
              <w:rPr>
                <w:rFonts w:hint="eastAsia" w:ascii="宋体" w:hAnsi="宋体" w:eastAsia="宋体" w:cs="宋体"/>
                <w:color w:val="auto"/>
                <w:sz w:val="24"/>
                <w:szCs w:val="24"/>
                <w:highlight w:val="none"/>
                <w:lang w:val="zh-CN"/>
              </w:rPr>
            </w:pPr>
          </w:p>
        </w:tc>
        <w:tc>
          <w:tcPr>
            <w:tcW w:w="2558" w:type="dxa"/>
            <w:tcBorders>
              <w:top w:val="single" w:color="auto" w:sz="6" w:space="0"/>
              <w:left w:val="single" w:color="auto" w:sz="6" w:space="0"/>
              <w:bottom w:val="single" w:color="auto" w:sz="6" w:space="0"/>
              <w:right w:val="single" w:color="auto" w:sz="6" w:space="0"/>
            </w:tcBorders>
            <w:vAlign w:val="center"/>
          </w:tcPr>
          <w:p w14:paraId="78423CD5">
            <w:pPr>
              <w:autoSpaceDE w:val="0"/>
              <w:autoSpaceDN w:val="0"/>
              <w:adjustRightInd w:val="0"/>
              <w:snapToGrid w:val="0"/>
              <w:spacing w:line="360" w:lineRule="auto"/>
              <w:rPr>
                <w:rFonts w:hint="eastAsia" w:ascii="宋体" w:hAnsi="宋体" w:eastAsia="宋体" w:cs="宋体"/>
                <w:color w:val="auto"/>
                <w:sz w:val="24"/>
                <w:szCs w:val="24"/>
                <w:highlight w:val="none"/>
              </w:rPr>
            </w:pPr>
          </w:p>
        </w:tc>
        <w:tc>
          <w:tcPr>
            <w:tcW w:w="2194" w:type="dxa"/>
            <w:tcBorders>
              <w:top w:val="single" w:color="auto" w:sz="6" w:space="0"/>
              <w:left w:val="single" w:color="auto" w:sz="6" w:space="0"/>
              <w:bottom w:val="single" w:color="auto" w:sz="6" w:space="0"/>
              <w:right w:val="single" w:color="auto" w:sz="6" w:space="0"/>
            </w:tcBorders>
            <w:vAlign w:val="center"/>
          </w:tcPr>
          <w:p w14:paraId="223FFA12">
            <w:pPr>
              <w:autoSpaceDE w:val="0"/>
              <w:autoSpaceDN w:val="0"/>
              <w:adjustRightInd w:val="0"/>
              <w:snapToGrid w:val="0"/>
              <w:spacing w:line="360" w:lineRule="auto"/>
              <w:rPr>
                <w:rFonts w:hint="eastAsia" w:ascii="宋体" w:hAnsi="宋体" w:eastAsia="宋体" w:cs="宋体"/>
                <w:color w:val="auto"/>
                <w:sz w:val="24"/>
                <w:szCs w:val="24"/>
                <w:highlight w:val="none"/>
              </w:rPr>
            </w:pPr>
          </w:p>
        </w:tc>
        <w:tc>
          <w:tcPr>
            <w:tcW w:w="1670" w:type="dxa"/>
            <w:tcBorders>
              <w:top w:val="single" w:color="auto" w:sz="6" w:space="0"/>
              <w:left w:val="single" w:color="auto" w:sz="6" w:space="0"/>
              <w:bottom w:val="single" w:color="auto" w:sz="6" w:space="0"/>
              <w:right w:val="single" w:color="auto" w:sz="6" w:space="0"/>
            </w:tcBorders>
            <w:vAlign w:val="center"/>
          </w:tcPr>
          <w:p w14:paraId="4F3574C4">
            <w:pPr>
              <w:autoSpaceDE w:val="0"/>
              <w:autoSpaceDN w:val="0"/>
              <w:adjustRightInd w:val="0"/>
              <w:snapToGrid w:val="0"/>
              <w:spacing w:line="360" w:lineRule="auto"/>
              <w:rPr>
                <w:rFonts w:hint="eastAsia" w:ascii="宋体" w:hAnsi="宋体" w:eastAsia="宋体" w:cs="宋体"/>
                <w:color w:val="auto"/>
                <w:sz w:val="24"/>
                <w:szCs w:val="24"/>
                <w:highlight w:val="none"/>
              </w:rPr>
            </w:pPr>
          </w:p>
        </w:tc>
      </w:tr>
      <w:tr w14:paraId="31E93021">
        <w:tblPrEx>
          <w:tblCellMar>
            <w:top w:w="0" w:type="dxa"/>
            <w:left w:w="108" w:type="dxa"/>
            <w:bottom w:w="0" w:type="dxa"/>
            <w:right w:w="108" w:type="dxa"/>
          </w:tblCellMar>
        </w:tblPrEx>
        <w:trPr>
          <w:trHeight w:val="1144" w:hRule="atLeast"/>
          <w:jc w:val="center"/>
        </w:trPr>
        <w:tc>
          <w:tcPr>
            <w:tcW w:w="9887" w:type="dxa"/>
            <w:gridSpan w:val="4"/>
            <w:tcBorders>
              <w:top w:val="single" w:color="auto" w:sz="6" w:space="0"/>
              <w:left w:val="single" w:color="auto" w:sz="6" w:space="0"/>
              <w:bottom w:val="single" w:color="auto" w:sz="6" w:space="0"/>
              <w:right w:val="single" w:color="auto" w:sz="6" w:space="0"/>
            </w:tcBorders>
            <w:vAlign w:val="center"/>
          </w:tcPr>
          <w:p w14:paraId="0769FC45">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总计：</w:t>
            </w:r>
          </w:p>
          <w:p w14:paraId="63D6344A">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                  ￥：      元</w:t>
            </w:r>
          </w:p>
          <w:p w14:paraId="174CEB43">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7DD3C8E9">
        <w:tblPrEx>
          <w:tblCellMar>
            <w:top w:w="0" w:type="dxa"/>
            <w:left w:w="108" w:type="dxa"/>
            <w:bottom w:w="0" w:type="dxa"/>
            <w:right w:w="108" w:type="dxa"/>
          </w:tblCellMar>
        </w:tblPrEx>
        <w:trPr>
          <w:trHeight w:val="1144" w:hRule="atLeast"/>
          <w:jc w:val="center"/>
        </w:trPr>
        <w:tc>
          <w:tcPr>
            <w:tcW w:w="9887" w:type="dxa"/>
            <w:gridSpan w:val="4"/>
            <w:tcBorders>
              <w:top w:val="single" w:color="auto" w:sz="6" w:space="0"/>
              <w:left w:val="single" w:color="auto" w:sz="6" w:space="0"/>
              <w:bottom w:val="single" w:color="auto" w:sz="6" w:space="0"/>
              <w:right w:val="single" w:color="auto" w:sz="6" w:space="0"/>
            </w:tcBorders>
            <w:vAlign w:val="center"/>
          </w:tcPr>
          <w:p w14:paraId="09B73A0E">
            <w:pPr>
              <w:autoSpaceDE w:val="0"/>
              <w:autoSpaceDN w:val="0"/>
              <w:adjustRightInd w:val="0"/>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备注：</w:t>
            </w:r>
            <w:r>
              <w:rPr>
                <w:rFonts w:hint="eastAsia" w:ascii="宋体" w:hAnsi="宋体" w:eastAsia="宋体" w:cs="宋体"/>
                <w:b/>
                <w:bCs/>
                <w:color w:val="auto"/>
                <w:sz w:val="24"/>
                <w:szCs w:val="24"/>
                <w:highlight w:val="none"/>
                <w:lang w:val="zh-CN"/>
              </w:rPr>
              <w:t>表内报价内容以元为单位，精确到分。</w:t>
            </w:r>
          </w:p>
        </w:tc>
      </w:tr>
    </w:tbl>
    <w:p w14:paraId="76A32B36">
      <w:pPr>
        <w:autoSpaceDE w:val="0"/>
        <w:autoSpaceDN w:val="0"/>
        <w:adjustRightInd w:val="0"/>
        <w:snapToGrid w:val="0"/>
        <w:spacing w:line="360" w:lineRule="auto"/>
        <w:rPr>
          <w:rFonts w:hint="eastAsia" w:ascii="宋体" w:hAnsi="宋体" w:eastAsia="宋体" w:cs="宋体"/>
          <w:b/>
          <w:bCs/>
          <w:color w:val="auto"/>
          <w:sz w:val="24"/>
          <w:szCs w:val="24"/>
          <w:highlight w:val="none"/>
        </w:rPr>
      </w:pPr>
    </w:p>
    <w:p w14:paraId="1F886E22">
      <w:pPr>
        <w:autoSpaceDE w:val="0"/>
        <w:autoSpaceDN w:val="0"/>
        <w:adjustRightInd w:val="0"/>
        <w:snapToGrid w:val="0"/>
        <w:spacing w:line="360" w:lineRule="auto"/>
        <w:rPr>
          <w:rFonts w:hint="eastAsia" w:ascii="宋体" w:hAnsi="宋体" w:eastAsia="宋体" w:cs="宋体"/>
          <w:color w:val="auto"/>
          <w:sz w:val="24"/>
          <w:szCs w:val="24"/>
          <w:highlight w:val="none"/>
        </w:rPr>
      </w:pPr>
    </w:p>
    <w:p w14:paraId="137A2DD4">
      <w:pPr>
        <w:autoSpaceDE w:val="0"/>
        <w:autoSpaceDN w:val="0"/>
        <w:adjustRightInd w:val="0"/>
        <w:snapToGrid w:val="0"/>
        <w:spacing w:line="360" w:lineRule="auto"/>
        <w:ind w:firstLine="1080" w:firstLineChars="450"/>
        <w:rPr>
          <w:rFonts w:hint="eastAsia" w:ascii="宋体" w:hAnsi="宋体" w:eastAsia="宋体" w:cs="宋体"/>
          <w:color w:val="auto"/>
          <w:sz w:val="24"/>
          <w:szCs w:val="24"/>
          <w:highlight w:val="none"/>
          <w:lang w:val="zh-CN"/>
        </w:rPr>
      </w:pPr>
    </w:p>
    <w:p w14:paraId="5B7D3B28">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                                法定代表人或授权代表</w:t>
      </w:r>
    </w:p>
    <w:p w14:paraId="2F5F7643">
      <w:pPr>
        <w:adjustRightInd w:val="0"/>
        <w:snapToGrid w:val="0"/>
        <w:spacing w:line="360" w:lineRule="auto"/>
        <w:ind w:left="-525" w:leftChars="-25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（公章）：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（签字或盖章）：</w:t>
      </w:r>
    </w:p>
    <w:p w14:paraId="05A1EA00">
      <w:pPr>
        <w:autoSpaceDE w:val="0"/>
        <w:autoSpaceDN w:val="0"/>
        <w:adjustRightInd w:val="0"/>
        <w:snapToGrid w:val="0"/>
        <w:spacing w:line="360" w:lineRule="auto"/>
        <w:rPr>
          <w:rFonts w:hint="eastAsia" w:ascii="宋体" w:hAnsi="宋体" w:eastAsia="宋体" w:cs="宋体"/>
          <w:color w:val="auto"/>
          <w:sz w:val="24"/>
          <w:szCs w:val="24"/>
          <w:highlight w:val="none"/>
          <w:lang w:val="zh-CN"/>
        </w:rPr>
      </w:pPr>
    </w:p>
    <w:p w14:paraId="2556C10D">
      <w:pPr>
        <w:autoSpaceDE w:val="0"/>
        <w:autoSpaceDN w:val="0"/>
        <w:adjustRightInd w:val="0"/>
        <w:snapToGrid w:val="0"/>
        <w:spacing w:line="360" w:lineRule="auto"/>
        <w:rPr>
          <w:rFonts w:hint="eastAsia" w:ascii="宋体" w:hAnsi="宋体" w:eastAsia="宋体" w:cs="宋体"/>
          <w:color w:val="auto"/>
          <w:sz w:val="24"/>
          <w:szCs w:val="24"/>
          <w:highlight w:val="none"/>
          <w:lang w:val="zh-CN"/>
        </w:rPr>
      </w:pPr>
    </w:p>
    <w:p w14:paraId="75CCF7B6">
      <w:pPr>
        <w:autoSpaceDE w:val="0"/>
        <w:autoSpaceDN w:val="0"/>
        <w:adjustRightInd w:val="0"/>
        <w:snapToGrid w:val="0"/>
        <w:spacing w:line="360" w:lineRule="auto"/>
        <w:ind w:firstLine="720" w:firstLineChars="300"/>
        <w:jc w:val="righ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年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日</w:t>
      </w:r>
    </w:p>
    <w:p w14:paraId="16C95069">
      <w:pPr>
        <w:autoSpaceDE w:val="0"/>
        <w:autoSpaceDN w:val="0"/>
        <w:adjustRightInd w:val="0"/>
        <w:snapToGrid w:val="0"/>
        <w:spacing w:line="360" w:lineRule="auto"/>
        <w:ind w:firstLine="2880"/>
        <w:rPr>
          <w:rFonts w:hint="eastAsia" w:ascii="宋体" w:hAnsi="宋体" w:eastAsia="宋体" w:cs="宋体"/>
          <w:color w:val="auto"/>
          <w:sz w:val="24"/>
          <w:szCs w:val="24"/>
          <w:highlight w:val="none"/>
        </w:rPr>
        <w:sectPr>
          <w:pgSz w:w="11906" w:h="16838"/>
          <w:pgMar w:top="1440" w:right="1080" w:bottom="1440" w:left="1080" w:header="851" w:footer="992" w:gutter="0"/>
          <w:pgNumType w:fmt="decimal"/>
          <w:cols w:space="0" w:num="1"/>
          <w:rtlGutter w:val="0"/>
          <w:docGrid w:linePitch="312" w:charSpace="0"/>
        </w:sectPr>
      </w:pPr>
    </w:p>
    <w:p w14:paraId="61E6AA53">
      <w:pPr>
        <w:widowControl/>
        <w:autoSpaceDE w:val="0"/>
        <w:autoSpaceDN w:val="0"/>
        <w:adjustRightInd w:val="0"/>
        <w:snapToGrid w:val="0"/>
        <w:spacing w:line="360" w:lineRule="auto"/>
        <w:jc w:val="both"/>
        <w:rPr>
          <w:rFonts w:hint="eastAsia" w:ascii="宋体" w:hAnsi="宋体" w:eastAsia="宋体" w:cs="宋体"/>
          <w:b/>
          <w:bCs/>
          <w:color w:val="auto"/>
          <w:sz w:val="24"/>
          <w:szCs w:val="24"/>
          <w:highlight w:val="none"/>
        </w:rPr>
      </w:pPr>
      <w:bookmarkStart w:id="435" w:name="_Toc532473510"/>
      <w:bookmarkStart w:id="436" w:name="_Toc216582818"/>
      <w:bookmarkStart w:id="437" w:name="_Toc20660415"/>
      <w:bookmarkStart w:id="438" w:name="_Toc23"/>
      <w:bookmarkStart w:id="439" w:name="_Toc515647821"/>
      <w:bookmarkStart w:id="440" w:name="_Toc1980"/>
    </w:p>
    <w:p w14:paraId="5774525A">
      <w:pPr>
        <w:pStyle w:val="4"/>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供应商企业关系关联承诺书</w:t>
      </w:r>
    </w:p>
    <w:p w14:paraId="25C2D629">
      <w:pPr>
        <w:widowControl/>
        <w:autoSpaceDE w:val="0"/>
        <w:autoSpaceDN w:val="0"/>
        <w:adjustRightInd w:val="0"/>
        <w:spacing w:line="360" w:lineRule="auto"/>
        <w:rPr>
          <w:rFonts w:hint="eastAsia" w:ascii="宋体" w:hAnsi="宋体" w:eastAsia="宋体" w:cs="宋体"/>
          <w:color w:val="auto"/>
          <w:sz w:val="24"/>
          <w:szCs w:val="24"/>
          <w:highlight w:val="none"/>
        </w:rPr>
      </w:pPr>
    </w:p>
    <w:p w14:paraId="361D666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lang w:eastAsia="zh-CN"/>
        </w:rPr>
        <w:t>（采购人名称）</w:t>
      </w:r>
    </w:p>
    <w:p w14:paraId="2DABDF20">
      <w:pPr>
        <w:spacing w:after="120"/>
        <w:rPr>
          <w:rFonts w:hint="eastAsia" w:ascii="宋体" w:hAnsi="宋体" w:eastAsia="宋体" w:cs="宋体"/>
          <w:color w:val="auto"/>
          <w:sz w:val="24"/>
          <w:szCs w:val="24"/>
          <w:highlight w:val="none"/>
        </w:rPr>
      </w:pPr>
    </w:p>
    <w:p w14:paraId="2D731C84">
      <w:pPr>
        <w:ind w:firstLine="42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与我方的法定代表人（单位负责人）为同一人的企业如下：</w:t>
      </w:r>
    </w:p>
    <w:p w14:paraId="1DE0A723">
      <w:pPr>
        <w:ind w:firstLine="426"/>
        <w:rPr>
          <w:rFonts w:hint="eastAsia" w:ascii="宋体" w:hAnsi="宋体" w:eastAsia="宋体" w:cs="宋体"/>
          <w:color w:val="auto"/>
          <w:sz w:val="24"/>
          <w:szCs w:val="24"/>
          <w:highlight w:val="none"/>
        </w:rPr>
      </w:pPr>
    </w:p>
    <w:p w14:paraId="76BBD5A3">
      <w:pPr>
        <w:ind w:firstLine="42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我方的控股股东如下：</w:t>
      </w:r>
    </w:p>
    <w:p w14:paraId="637CFFAB">
      <w:pPr>
        <w:ind w:firstLine="426"/>
        <w:rPr>
          <w:rFonts w:hint="eastAsia" w:ascii="宋体" w:hAnsi="宋体" w:eastAsia="宋体" w:cs="宋体"/>
          <w:color w:val="auto"/>
          <w:sz w:val="24"/>
          <w:szCs w:val="24"/>
          <w:highlight w:val="none"/>
        </w:rPr>
      </w:pPr>
    </w:p>
    <w:p w14:paraId="69D1E98D">
      <w:pPr>
        <w:ind w:firstLine="42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我方直接控股的企业如下：</w:t>
      </w:r>
    </w:p>
    <w:p w14:paraId="3FF954E4">
      <w:pPr>
        <w:ind w:firstLine="426"/>
        <w:rPr>
          <w:rFonts w:hint="eastAsia" w:ascii="宋体" w:hAnsi="宋体" w:eastAsia="宋体" w:cs="宋体"/>
          <w:color w:val="auto"/>
          <w:sz w:val="24"/>
          <w:szCs w:val="24"/>
          <w:highlight w:val="none"/>
        </w:rPr>
      </w:pPr>
    </w:p>
    <w:p w14:paraId="02EB722F">
      <w:pPr>
        <w:ind w:firstLine="42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与我方存在管理、被管理关系的单位名称如下：</w:t>
      </w:r>
    </w:p>
    <w:p w14:paraId="7071BCDF">
      <w:pPr>
        <w:ind w:firstLine="426"/>
        <w:rPr>
          <w:rFonts w:hint="eastAsia" w:ascii="宋体" w:hAnsi="宋体" w:eastAsia="宋体" w:cs="宋体"/>
          <w:color w:val="auto"/>
          <w:sz w:val="24"/>
          <w:szCs w:val="24"/>
          <w:highlight w:val="none"/>
        </w:rPr>
      </w:pPr>
    </w:p>
    <w:p w14:paraId="516A2B22">
      <w:pPr>
        <w:ind w:firstLine="426"/>
        <w:rPr>
          <w:rFonts w:hint="eastAsia" w:ascii="宋体" w:hAnsi="宋体" w:eastAsia="宋体" w:cs="宋体"/>
          <w:color w:val="auto"/>
          <w:sz w:val="24"/>
          <w:szCs w:val="24"/>
          <w:highlight w:val="none"/>
        </w:rPr>
      </w:pPr>
    </w:p>
    <w:p w14:paraId="695751EA">
      <w:pPr>
        <w:widowControl/>
        <w:autoSpaceDE w:val="0"/>
        <w:autoSpaceDN w:val="0"/>
        <w:adjustRightInd w:val="0"/>
        <w:snapToGrid w:val="0"/>
        <w:spacing w:line="360" w:lineRule="auto"/>
        <w:rPr>
          <w:rFonts w:hint="eastAsia" w:ascii="宋体" w:hAnsi="宋体" w:eastAsia="宋体" w:cs="宋体"/>
          <w:color w:val="auto"/>
          <w:sz w:val="24"/>
          <w:szCs w:val="24"/>
          <w:highlight w:val="none"/>
        </w:rPr>
      </w:pPr>
    </w:p>
    <w:p w14:paraId="6B6F292A">
      <w:pPr>
        <w:widowControl/>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我单位承诺以上说明真实有效，无虚假内容或隐瞒。</w:t>
      </w:r>
    </w:p>
    <w:p w14:paraId="738A0BDF">
      <w:pPr>
        <w:widowControl/>
        <w:autoSpaceDE w:val="0"/>
        <w:autoSpaceDN w:val="0"/>
        <w:adjustRightInd w:val="0"/>
        <w:snapToGrid w:val="0"/>
        <w:spacing w:line="360" w:lineRule="auto"/>
        <w:rPr>
          <w:rFonts w:hint="eastAsia" w:ascii="宋体" w:hAnsi="宋体" w:eastAsia="宋体" w:cs="宋体"/>
          <w:color w:val="auto"/>
          <w:sz w:val="24"/>
          <w:szCs w:val="24"/>
          <w:highlight w:val="none"/>
        </w:rPr>
      </w:pPr>
    </w:p>
    <w:p w14:paraId="3A6905EA">
      <w:pPr>
        <w:widowControl/>
        <w:autoSpaceDE w:val="0"/>
        <w:autoSpaceDN w:val="0"/>
        <w:adjustRightInd w:val="0"/>
        <w:snapToGrid w:val="0"/>
        <w:spacing w:line="360" w:lineRule="auto"/>
        <w:jc w:val="center"/>
        <w:rPr>
          <w:rFonts w:hint="eastAsia" w:ascii="宋体" w:hAnsi="宋体" w:eastAsia="宋体" w:cs="宋体"/>
          <w:b/>
          <w:color w:val="auto"/>
          <w:sz w:val="24"/>
          <w:szCs w:val="24"/>
          <w:highlight w:val="none"/>
        </w:rPr>
      </w:pPr>
    </w:p>
    <w:p w14:paraId="3083E75A">
      <w:pPr>
        <w:spacing w:before="120" w:after="120"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供应商名称（公章）： </w:t>
      </w:r>
    </w:p>
    <w:p w14:paraId="1B138AB7">
      <w:pPr>
        <w:spacing w:before="120" w:after="120"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法定代表人或其授权代表（签字或加盖法定代表人私章）：</w:t>
      </w:r>
    </w:p>
    <w:p w14:paraId="5523C5B9">
      <w:pPr>
        <w:spacing w:before="120" w:after="12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14:paraId="30601B9A">
      <w:pPr>
        <w:widowControl/>
        <w:autoSpaceDE w:val="0"/>
        <w:autoSpaceDN w:val="0"/>
        <w:adjustRightInd w:val="0"/>
        <w:snapToGrid w:val="0"/>
        <w:spacing w:line="360" w:lineRule="auto"/>
        <w:ind w:firstLine="241" w:firstLineChars="100"/>
        <w:rPr>
          <w:rFonts w:hint="eastAsia" w:ascii="宋体" w:hAnsi="宋体" w:eastAsia="宋体" w:cs="宋体"/>
          <w:b/>
          <w:color w:val="auto"/>
          <w:sz w:val="24"/>
          <w:szCs w:val="24"/>
          <w:highlight w:val="none"/>
        </w:rPr>
      </w:pPr>
    </w:p>
    <w:p w14:paraId="46E67796">
      <w:pPr>
        <w:widowControl/>
        <w:spacing w:line="400" w:lineRule="exact"/>
        <w:rPr>
          <w:rFonts w:hint="eastAsia" w:ascii="宋体" w:hAnsi="宋体" w:eastAsia="宋体" w:cs="宋体"/>
          <w:color w:val="auto"/>
          <w:sz w:val="24"/>
          <w:szCs w:val="24"/>
          <w:highlight w:val="none"/>
        </w:rPr>
      </w:pPr>
    </w:p>
    <w:p w14:paraId="05BEDDDE">
      <w:pPr>
        <w:pStyle w:val="4"/>
        <w:jc w:val="center"/>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32"/>
          <w:szCs w:val="32"/>
          <w:highlight w:val="none"/>
        </w:rPr>
        <w:t>商务条款偏离表</w:t>
      </w:r>
    </w:p>
    <w:p w14:paraId="4C1D98B4">
      <w:pPr>
        <w:pStyle w:val="8"/>
        <w:ind w:left="1080" w:leftChars="257" w:hanging="540"/>
        <w:rPr>
          <w:rFonts w:hint="eastAsia" w:ascii="宋体" w:hAnsi="宋体" w:eastAsia="宋体" w:cs="宋体"/>
          <w:color w:val="auto"/>
          <w:sz w:val="24"/>
          <w:szCs w:val="24"/>
          <w:highlight w:val="none"/>
        </w:rPr>
      </w:pPr>
    </w:p>
    <w:p w14:paraId="1EF19D83">
      <w:pPr>
        <w:pStyle w:val="8"/>
        <w:ind w:left="1080" w:leftChars="257" w:hanging="54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项目编号:</w:t>
      </w:r>
    </w:p>
    <w:tbl>
      <w:tblPr>
        <w:tblStyle w:val="17"/>
        <w:tblW w:w="8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1792"/>
        <w:gridCol w:w="1194"/>
      </w:tblGrid>
      <w:tr w14:paraId="1D48F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center"/>
          </w:tcPr>
          <w:p w14:paraId="672EF621">
            <w:pPr>
              <w:pStyle w:val="8"/>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040" w:type="dxa"/>
            <w:vAlign w:val="center"/>
          </w:tcPr>
          <w:p w14:paraId="4E1833CE">
            <w:pPr>
              <w:pStyle w:val="8"/>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磋商文件要求</w:t>
            </w:r>
          </w:p>
        </w:tc>
        <w:tc>
          <w:tcPr>
            <w:tcW w:w="2520" w:type="dxa"/>
            <w:vAlign w:val="center"/>
          </w:tcPr>
          <w:p w14:paraId="1D853AE4">
            <w:pPr>
              <w:pStyle w:val="8"/>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响应内容</w:t>
            </w:r>
          </w:p>
        </w:tc>
        <w:tc>
          <w:tcPr>
            <w:tcW w:w="1792" w:type="dxa"/>
            <w:vAlign w:val="center"/>
          </w:tcPr>
          <w:p w14:paraId="5D2AB785">
            <w:pPr>
              <w:pStyle w:val="8"/>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w:t>
            </w:r>
          </w:p>
        </w:tc>
        <w:tc>
          <w:tcPr>
            <w:tcW w:w="1194" w:type="dxa"/>
            <w:vAlign w:val="center"/>
          </w:tcPr>
          <w:p w14:paraId="04340FB6">
            <w:pPr>
              <w:pStyle w:val="8"/>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tc>
      </w:tr>
      <w:tr w14:paraId="2009B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center"/>
          </w:tcPr>
          <w:p w14:paraId="7A8F4A7D">
            <w:pPr>
              <w:pStyle w:val="8"/>
              <w:spacing w:line="240" w:lineRule="auto"/>
              <w:ind w:left="1080" w:leftChars="257" w:hanging="540"/>
              <w:jc w:val="center"/>
              <w:rPr>
                <w:rFonts w:hint="eastAsia" w:ascii="宋体" w:hAnsi="宋体" w:eastAsia="宋体" w:cs="宋体"/>
                <w:color w:val="auto"/>
                <w:sz w:val="24"/>
                <w:szCs w:val="24"/>
                <w:highlight w:val="none"/>
              </w:rPr>
            </w:pPr>
          </w:p>
        </w:tc>
        <w:tc>
          <w:tcPr>
            <w:tcW w:w="2040" w:type="dxa"/>
            <w:vAlign w:val="center"/>
          </w:tcPr>
          <w:p w14:paraId="544B81A9">
            <w:pPr>
              <w:jc w:val="center"/>
              <w:rPr>
                <w:rFonts w:hint="eastAsia" w:ascii="宋体" w:hAnsi="宋体" w:eastAsia="宋体" w:cs="宋体"/>
                <w:bCs/>
                <w:color w:val="auto"/>
                <w:sz w:val="24"/>
                <w:szCs w:val="24"/>
                <w:highlight w:val="none"/>
              </w:rPr>
            </w:pPr>
          </w:p>
        </w:tc>
        <w:tc>
          <w:tcPr>
            <w:tcW w:w="2520" w:type="dxa"/>
            <w:vAlign w:val="center"/>
          </w:tcPr>
          <w:p w14:paraId="7F096E53">
            <w:pPr>
              <w:pStyle w:val="8"/>
              <w:spacing w:line="240" w:lineRule="auto"/>
              <w:ind w:left="1080" w:leftChars="257" w:hanging="540"/>
              <w:jc w:val="center"/>
              <w:rPr>
                <w:rFonts w:hint="eastAsia" w:ascii="宋体" w:hAnsi="宋体" w:eastAsia="宋体" w:cs="宋体"/>
                <w:color w:val="auto"/>
                <w:sz w:val="24"/>
                <w:szCs w:val="24"/>
                <w:highlight w:val="none"/>
              </w:rPr>
            </w:pPr>
          </w:p>
        </w:tc>
        <w:tc>
          <w:tcPr>
            <w:tcW w:w="1792" w:type="dxa"/>
            <w:vAlign w:val="center"/>
          </w:tcPr>
          <w:p w14:paraId="6770C361">
            <w:pPr>
              <w:pStyle w:val="8"/>
              <w:spacing w:line="240" w:lineRule="auto"/>
              <w:ind w:left="1080" w:leftChars="257" w:hanging="540"/>
              <w:jc w:val="center"/>
              <w:rPr>
                <w:rFonts w:hint="eastAsia" w:ascii="宋体" w:hAnsi="宋体" w:eastAsia="宋体" w:cs="宋体"/>
                <w:color w:val="auto"/>
                <w:sz w:val="24"/>
                <w:szCs w:val="24"/>
                <w:highlight w:val="none"/>
              </w:rPr>
            </w:pPr>
          </w:p>
        </w:tc>
        <w:tc>
          <w:tcPr>
            <w:tcW w:w="1194" w:type="dxa"/>
            <w:vAlign w:val="center"/>
          </w:tcPr>
          <w:p w14:paraId="6F7528D3">
            <w:pPr>
              <w:pStyle w:val="8"/>
              <w:spacing w:line="240" w:lineRule="auto"/>
              <w:ind w:left="1080" w:leftChars="257" w:hanging="540"/>
              <w:jc w:val="center"/>
              <w:rPr>
                <w:rFonts w:hint="eastAsia" w:ascii="宋体" w:hAnsi="宋体" w:eastAsia="宋体" w:cs="宋体"/>
                <w:color w:val="auto"/>
                <w:sz w:val="24"/>
                <w:szCs w:val="24"/>
                <w:highlight w:val="none"/>
              </w:rPr>
            </w:pPr>
          </w:p>
        </w:tc>
      </w:tr>
      <w:tr w14:paraId="6463E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center"/>
          </w:tcPr>
          <w:p w14:paraId="569F78BD">
            <w:pPr>
              <w:pStyle w:val="8"/>
              <w:spacing w:line="240" w:lineRule="auto"/>
              <w:ind w:left="1080" w:leftChars="257" w:hanging="540"/>
              <w:jc w:val="center"/>
              <w:rPr>
                <w:rFonts w:hint="eastAsia" w:ascii="宋体" w:hAnsi="宋体" w:eastAsia="宋体" w:cs="宋体"/>
                <w:color w:val="auto"/>
                <w:sz w:val="24"/>
                <w:szCs w:val="24"/>
                <w:highlight w:val="none"/>
              </w:rPr>
            </w:pPr>
          </w:p>
        </w:tc>
        <w:tc>
          <w:tcPr>
            <w:tcW w:w="2040" w:type="dxa"/>
            <w:vAlign w:val="center"/>
          </w:tcPr>
          <w:p w14:paraId="6F0EA540">
            <w:pPr>
              <w:jc w:val="center"/>
              <w:rPr>
                <w:rFonts w:hint="eastAsia" w:ascii="宋体" w:hAnsi="宋体" w:eastAsia="宋体" w:cs="宋体"/>
                <w:bCs/>
                <w:color w:val="auto"/>
                <w:sz w:val="24"/>
                <w:szCs w:val="24"/>
                <w:highlight w:val="none"/>
              </w:rPr>
            </w:pPr>
          </w:p>
        </w:tc>
        <w:tc>
          <w:tcPr>
            <w:tcW w:w="2520" w:type="dxa"/>
            <w:vAlign w:val="center"/>
          </w:tcPr>
          <w:p w14:paraId="51C902EC">
            <w:pPr>
              <w:pStyle w:val="8"/>
              <w:spacing w:line="240" w:lineRule="auto"/>
              <w:ind w:left="1080" w:leftChars="257" w:hanging="540"/>
              <w:jc w:val="center"/>
              <w:rPr>
                <w:rFonts w:hint="eastAsia" w:ascii="宋体" w:hAnsi="宋体" w:eastAsia="宋体" w:cs="宋体"/>
                <w:color w:val="auto"/>
                <w:sz w:val="24"/>
                <w:szCs w:val="24"/>
                <w:highlight w:val="none"/>
              </w:rPr>
            </w:pPr>
          </w:p>
        </w:tc>
        <w:tc>
          <w:tcPr>
            <w:tcW w:w="1792" w:type="dxa"/>
            <w:vAlign w:val="center"/>
          </w:tcPr>
          <w:p w14:paraId="015CC31A">
            <w:pPr>
              <w:pStyle w:val="8"/>
              <w:spacing w:line="240" w:lineRule="auto"/>
              <w:ind w:left="1080" w:leftChars="257" w:hanging="540"/>
              <w:jc w:val="center"/>
              <w:rPr>
                <w:rFonts w:hint="eastAsia" w:ascii="宋体" w:hAnsi="宋体" w:eastAsia="宋体" w:cs="宋体"/>
                <w:color w:val="auto"/>
                <w:sz w:val="24"/>
                <w:szCs w:val="24"/>
                <w:highlight w:val="none"/>
              </w:rPr>
            </w:pPr>
          </w:p>
        </w:tc>
        <w:tc>
          <w:tcPr>
            <w:tcW w:w="1194" w:type="dxa"/>
            <w:vAlign w:val="center"/>
          </w:tcPr>
          <w:p w14:paraId="42A77F8C">
            <w:pPr>
              <w:pStyle w:val="8"/>
              <w:spacing w:line="240" w:lineRule="auto"/>
              <w:ind w:left="1080" w:leftChars="257" w:hanging="540"/>
              <w:jc w:val="center"/>
              <w:rPr>
                <w:rFonts w:hint="eastAsia" w:ascii="宋体" w:hAnsi="宋体" w:eastAsia="宋体" w:cs="宋体"/>
                <w:color w:val="auto"/>
                <w:sz w:val="24"/>
                <w:szCs w:val="24"/>
                <w:highlight w:val="none"/>
              </w:rPr>
            </w:pPr>
          </w:p>
        </w:tc>
      </w:tr>
      <w:tr w14:paraId="09B99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center"/>
          </w:tcPr>
          <w:p w14:paraId="4D08651E">
            <w:pPr>
              <w:pStyle w:val="8"/>
              <w:spacing w:line="240" w:lineRule="auto"/>
              <w:ind w:left="1080" w:leftChars="257" w:hanging="540"/>
              <w:jc w:val="center"/>
              <w:rPr>
                <w:rFonts w:hint="eastAsia" w:ascii="宋体" w:hAnsi="宋体" w:eastAsia="宋体" w:cs="宋体"/>
                <w:color w:val="auto"/>
                <w:sz w:val="24"/>
                <w:szCs w:val="24"/>
                <w:highlight w:val="none"/>
              </w:rPr>
            </w:pPr>
          </w:p>
        </w:tc>
        <w:tc>
          <w:tcPr>
            <w:tcW w:w="2040" w:type="dxa"/>
            <w:vAlign w:val="center"/>
          </w:tcPr>
          <w:p w14:paraId="3997D219">
            <w:pPr>
              <w:jc w:val="center"/>
              <w:rPr>
                <w:rFonts w:hint="eastAsia" w:ascii="宋体" w:hAnsi="宋体" w:eastAsia="宋体" w:cs="宋体"/>
                <w:bCs/>
                <w:color w:val="auto"/>
                <w:sz w:val="24"/>
                <w:szCs w:val="24"/>
                <w:highlight w:val="none"/>
              </w:rPr>
            </w:pPr>
          </w:p>
        </w:tc>
        <w:tc>
          <w:tcPr>
            <w:tcW w:w="2520" w:type="dxa"/>
            <w:vAlign w:val="center"/>
          </w:tcPr>
          <w:p w14:paraId="57932F66">
            <w:pPr>
              <w:pStyle w:val="8"/>
              <w:spacing w:line="240" w:lineRule="auto"/>
              <w:ind w:left="1080" w:leftChars="257" w:hanging="540"/>
              <w:jc w:val="center"/>
              <w:rPr>
                <w:rFonts w:hint="eastAsia" w:ascii="宋体" w:hAnsi="宋体" w:eastAsia="宋体" w:cs="宋体"/>
                <w:color w:val="auto"/>
                <w:sz w:val="24"/>
                <w:szCs w:val="24"/>
                <w:highlight w:val="none"/>
              </w:rPr>
            </w:pPr>
          </w:p>
        </w:tc>
        <w:tc>
          <w:tcPr>
            <w:tcW w:w="1792" w:type="dxa"/>
            <w:vAlign w:val="center"/>
          </w:tcPr>
          <w:p w14:paraId="2B6214BC">
            <w:pPr>
              <w:pStyle w:val="8"/>
              <w:spacing w:line="240" w:lineRule="auto"/>
              <w:ind w:left="1080" w:leftChars="257" w:hanging="540"/>
              <w:jc w:val="center"/>
              <w:rPr>
                <w:rFonts w:hint="eastAsia" w:ascii="宋体" w:hAnsi="宋体" w:eastAsia="宋体" w:cs="宋体"/>
                <w:color w:val="auto"/>
                <w:sz w:val="24"/>
                <w:szCs w:val="24"/>
                <w:highlight w:val="none"/>
              </w:rPr>
            </w:pPr>
          </w:p>
        </w:tc>
        <w:tc>
          <w:tcPr>
            <w:tcW w:w="1194" w:type="dxa"/>
            <w:vAlign w:val="center"/>
          </w:tcPr>
          <w:p w14:paraId="015DCA26">
            <w:pPr>
              <w:pStyle w:val="8"/>
              <w:spacing w:line="240" w:lineRule="auto"/>
              <w:ind w:left="1080" w:leftChars="257" w:hanging="540"/>
              <w:jc w:val="center"/>
              <w:rPr>
                <w:rFonts w:hint="eastAsia" w:ascii="宋体" w:hAnsi="宋体" w:eastAsia="宋体" w:cs="宋体"/>
                <w:color w:val="auto"/>
                <w:sz w:val="24"/>
                <w:szCs w:val="24"/>
                <w:highlight w:val="none"/>
              </w:rPr>
            </w:pPr>
          </w:p>
        </w:tc>
      </w:tr>
      <w:tr w14:paraId="18974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center"/>
          </w:tcPr>
          <w:p w14:paraId="61701F55">
            <w:pPr>
              <w:pStyle w:val="8"/>
              <w:spacing w:line="240" w:lineRule="auto"/>
              <w:ind w:left="1080" w:leftChars="257" w:hanging="540"/>
              <w:jc w:val="center"/>
              <w:rPr>
                <w:rFonts w:hint="eastAsia" w:ascii="宋体" w:hAnsi="宋体" w:eastAsia="宋体" w:cs="宋体"/>
                <w:color w:val="auto"/>
                <w:sz w:val="24"/>
                <w:szCs w:val="24"/>
                <w:highlight w:val="none"/>
              </w:rPr>
            </w:pPr>
          </w:p>
        </w:tc>
        <w:tc>
          <w:tcPr>
            <w:tcW w:w="2040" w:type="dxa"/>
            <w:vAlign w:val="center"/>
          </w:tcPr>
          <w:p w14:paraId="7DF92D3C">
            <w:pPr>
              <w:jc w:val="center"/>
              <w:rPr>
                <w:rFonts w:hint="eastAsia" w:ascii="宋体" w:hAnsi="宋体" w:eastAsia="宋体" w:cs="宋体"/>
                <w:bCs/>
                <w:color w:val="auto"/>
                <w:sz w:val="24"/>
                <w:szCs w:val="24"/>
                <w:highlight w:val="none"/>
              </w:rPr>
            </w:pPr>
          </w:p>
        </w:tc>
        <w:tc>
          <w:tcPr>
            <w:tcW w:w="2520" w:type="dxa"/>
            <w:vAlign w:val="center"/>
          </w:tcPr>
          <w:p w14:paraId="70BCA455">
            <w:pPr>
              <w:pStyle w:val="8"/>
              <w:spacing w:line="240" w:lineRule="auto"/>
              <w:ind w:left="1080" w:leftChars="257" w:hanging="540"/>
              <w:jc w:val="center"/>
              <w:rPr>
                <w:rFonts w:hint="eastAsia" w:ascii="宋体" w:hAnsi="宋体" w:eastAsia="宋体" w:cs="宋体"/>
                <w:color w:val="auto"/>
                <w:sz w:val="24"/>
                <w:szCs w:val="24"/>
                <w:highlight w:val="none"/>
              </w:rPr>
            </w:pPr>
          </w:p>
        </w:tc>
        <w:tc>
          <w:tcPr>
            <w:tcW w:w="1792" w:type="dxa"/>
            <w:vAlign w:val="center"/>
          </w:tcPr>
          <w:p w14:paraId="6D0FA06F">
            <w:pPr>
              <w:pStyle w:val="8"/>
              <w:spacing w:line="240" w:lineRule="auto"/>
              <w:ind w:left="1080" w:leftChars="257" w:hanging="540"/>
              <w:jc w:val="center"/>
              <w:rPr>
                <w:rFonts w:hint="eastAsia" w:ascii="宋体" w:hAnsi="宋体" w:eastAsia="宋体" w:cs="宋体"/>
                <w:color w:val="auto"/>
                <w:sz w:val="24"/>
                <w:szCs w:val="24"/>
                <w:highlight w:val="none"/>
              </w:rPr>
            </w:pPr>
          </w:p>
        </w:tc>
        <w:tc>
          <w:tcPr>
            <w:tcW w:w="1194" w:type="dxa"/>
            <w:vAlign w:val="center"/>
          </w:tcPr>
          <w:p w14:paraId="530A8A42">
            <w:pPr>
              <w:pStyle w:val="8"/>
              <w:spacing w:line="240" w:lineRule="auto"/>
              <w:ind w:left="1080" w:leftChars="257" w:hanging="540"/>
              <w:jc w:val="center"/>
              <w:rPr>
                <w:rFonts w:hint="eastAsia" w:ascii="宋体" w:hAnsi="宋体" w:eastAsia="宋体" w:cs="宋体"/>
                <w:color w:val="auto"/>
                <w:sz w:val="24"/>
                <w:szCs w:val="24"/>
                <w:highlight w:val="none"/>
              </w:rPr>
            </w:pPr>
          </w:p>
        </w:tc>
      </w:tr>
      <w:tr w14:paraId="3A4CE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center"/>
          </w:tcPr>
          <w:p w14:paraId="12780D44">
            <w:pPr>
              <w:pStyle w:val="8"/>
              <w:spacing w:line="240" w:lineRule="auto"/>
              <w:ind w:left="1080" w:leftChars="257" w:hanging="540"/>
              <w:jc w:val="center"/>
              <w:rPr>
                <w:rFonts w:hint="eastAsia" w:ascii="宋体" w:hAnsi="宋体" w:eastAsia="宋体" w:cs="宋体"/>
                <w:color w:val="auto"/>
                <w:sz w:val="24"/>
                <w:szCs w:val="24"/>
                <w:highlight w:val="none"/>
              </w:rPr>
            </w:pPr>
          </w:p>
        </w:tc>
        <w:tc>
          <w:tcPr>
            <w:tcW w:w="2040" w:type="dxa"/>
            <w:vAlign w:val="center"/>
          </w:tcPr>
          <w:p w14:paraId="6D66A73D">
            <w:pPr>
              <w:jc w:val="center"/>
              <w:rPr>
                <w:rFonts w:hint="eastAsia" w:ascii="宋体" w:hAnsi="宋体" w:eastAsia="宋体" w:cs="宋体"/>
                <w:bCs/>
                <w:color w:val="auto"/>
                <w:sz w:val="24"/>
                <w:szCs w:val="24"/>
                <w:highlight w:val="none"/>
              </w:rPr>
            </w:pPr>
          </w:p>
        </w:tc>
        <w:tc>
          <w:tcPr>
            <w:tcW w:w="2520" w:type="dxa"/>
            <w:vAlign w:val="center"/>
          </w:tcPr>
          <w:p w14:paraId="3BA58D25">
            <w:pPr>
              <w:pStyle w:val="8"/>
              <w:spacing w:line="240" w:lineRule="auto"/>
              <w:ind w:left="1080" w:leftChars="257" w:hanging="540"/>
              <w:jc w:val="center"/>
              <w:rPr>
                <w:rFonts w:hint="eastAsia" w:ascii="宋体" w:hAnsi="宋体" w:eastAsia="宋体" w:cs="宋体"/>
                <w:color w:val="auto"/>
                <w:sz w:val="24"/>
                <w:szCs w:val="24"/>
                <w:highlight w:val="none"/>
              </w:rPr>
            </w:pPr>
          </w:p>
        </w:tc>
        <w:tc>
          <w:tcPr>
            <w:tcW w:w="1792" w:type="dxa"/>
            <w:vAlign w:val="center"/>
          </w:tcPr>
          <w:p w14:paraId="261AE5B8">
            <w:pPr>
              <w:pStyle w:val="8"/>
              <w:spacing w:line="240" w:lineRule="auto"/>
              <w:ind w:left="1080" w:leftChars="257" w:hanging="540"/>
              <w:jc w:val="center"/>
              <w:rPr>
                <w:rFonts w:hint="eastAsia" w:ascii="宋体" w:hAnsi="宋体" w:eastAsia="宋体" w:cs="宋体"/>
                <w:color w:val="auto"/>
                <w:sz w:val="24"/>
                <w:szCs w:val="24"/>
                <w:highlight w:val="none"/>
              </w:rPr>
            </w:pPr>
          </w:p>
        </w:tc>
        <w:tc>
          <w:tcPr>
            <w:tcW w:w="1194" w:type="dxa"/>
            <w:vAlign w:val="center"/>
          </w:tcPr>
          <w:p w14:paraId="44B30984">
            <w:pPr>
              <w:pStyle w:val="8"/>
              <w:spacing w:line="240" w:lineRule="auto"/>
              <w:ind w:left="1080" w:leftChars="257" w:hanging="540"/>
              <w:jc w:val="center"/>
              <w:rPr>
                <w:rFonts w:hint="eastAsia" w:ascii="宋体" w:hAnsi="宋体" w:eastAsia="宋体" w:cs="宋体"/>
                <w:color w:val="auto"/>
                <w:sz w:val="24"/>
                <w:szCs w:val="24"/>
                <w:highlight w:val="none"/>
              </w:rPr>
            </w:pPr>
          </w:p>
        </w:tc>
      </w:tr>
      <w:tr w14:paraId="21FDF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center"/>
          </w:tcPr>
          <w:p w14:paraId="3B4F37BC">
            <w:pPr>
              <w:pStyle w:val="8"/>
              <w:spacing w:line="240" w:lineRule="auto"/>
              <w:ind w:left="1080" w:leftChars="257" w:hanging="540"/>
              <w:jc w:val="center"/>
              <w:rPr>
                <w:rFonts w:hint="eastAsia" w:ascii="宋体" w:hAnsi="宋体" w:eastAsia="宋体" w:cs="宋体"/>
                <w:color w:val="auto"/>
                <w:sz w:val="24"/>
                <w:szCs w:val="24"/>
                <w:highlight w:val="none"/>
              </w:rPr>
            </w:pPr>
          </w:p>
        </w:tc>
        <w:tc>
          <w:tcPr>
            <w:tcW w:w="2040" w:type="dxa"/>
            <w:vAlign w:val="center"/>
          </w:tcPr>
          <w:p w14:paraId="2E197D21">
            <w:pPr>
              <w:jc w:val="center"/>
              <w:rPr>
                <w:rFonts w:hint="eastAsia" w:ascii="宋体" w:hAnsi="宋体" w:eastAsia="宋体" w:cs="宋体"/>
                <w:bCs/>
                <w:color w:val="auto"/>
                <w:sz w:val="24"/>
                <w:szCs w:val="24"/>
                <w:highlight w:val="none"/>
              </w:rPr>
            </w:pPr>
          </w:p>
        </w:tc>
        <w:tc>
          <w:tcPr>
            <w:tcW w:w="2520" w:type="dxa"/>
            <w:vAlign w:val="center"/>
          </w:tcPr>
          <w:p w14:paraId="11751C9F">
            <w:pPr>
              <w:pStyle w:val="8"/>
              <w:spacing w:line="240" w:lineRule="auto"/>
              <w:ind w:left="1080" w:leftChars="257" w:hanging="540"/>
              <w:jc w:val="center"/>
              <w:rPr>
                <w:rFonts w:hint="eastAsia" w:ascii="宋体" w:hAnsi="宋体" w:eastAsia="宋体" w:cs="宋体"/>
                <w:color w:val="auto"/>
                <w:sz w:val="24"/>
                <w:szCs w:val="24"/>
                <w:highlight w:val="none"/>
              </w:rPr>
            </w:pPr>
          </w:p>
        </w:tc>
        <w:tc>
          <w:tcPr>
            <w:tcW w:w="1792" w:type="dxa"/>
            <w:vAlign w:val="center"/>
          </w:tcPr>
          <w:p w14:paraId="08FF8768">
            <w:pPr>
              <w:pStyle w:val="8"/>
              <w:spacing w:line="240" w:lineRule="auto"/>
              <w:ind w:left="1080" w:leftChars="257" w:hanging="540"/>
              <w:jc w:val="center"/>
              <w:rPr>
                <w:rFonts w:hint="eastAsia" w:ascii="宋体" w:hAnsi="宋体" w:eastAsia="宋体" w:cs="宋体"/>
                <w:color w:val="auto"/>
                <w:sz w:val="24"/>
                <w:szCs w:val="24"/>
                <w:highlight w:val="none"/>
              </w:rPr>
            </w:pPr>
          </w:p>
        </w:tc>
        <w:tc>
          <w:tcPr>
            <w:tcW w:w="1194" w:type="dxa"/>
            <w:vAlign w:val="center"/>
          </w:tcPr>
          <w:p w14:paraId="2478EFAE">
            <w:pPr>
              <w:pStyle w:val="8"/>
              <w:spacing w:line="240" w:lineRule="auto"/>
              <w:ind w:left="1080" w:leftChars="257" w:hanging="540"/>
              <w:jc w:val="center"/>
              <w:rPr>
                <w:rFonts w:hint="eastAsia" w:ascii="宋体" w:hAnsi="宋体" w:eastAsia="宋体" w:cs="宋体"/>
                <w:color w:val="auto"/>
                <w:sz w:val="24"/>
                <w:szCs w:val="24"/>
                <w:highlight w:val="none"/>
              </w:rPr>
            </w:pPr>
          </w:p>
        </w:tc>
      </w:tr>
      <w:tr w14:paraId="4C116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center"/>
          </w:tcPr>
          <w:p w14:paraId="6AEF570F">
            <w:pPr>
              <w:pStyle w:val="8"/>
              <w:spacing w:line="240" w:lineRule="auto"/>
              <w:ind w:left="1080" w:leftChars="257" w:hanging="540"/>
              <w:jc w:val="center"/>
              <w:rPr>
                <w:rFonts w:hint="eastAsia" w:ascii="宋体" w:hAnsi="宋体" w:eastAsia="宋体" w:cs="宋体"/>
                <w:color w:val="auto"/>
                <w:sz w:val="24"/>
                <w:szCs w:val="24"/>
                <w:highlight w:val="none"/>
              </w:rPr>
            </w:pPr>
          </w:p>
        </w:tc>
        <w:tc>
          <w:tcPr>
            <w:tcW w:w="2040" w:type="dxa"/>
            <w:vAlign w:val="center"/>
          </w:tcPr>
          <w:p w14:paraId="49389957">
            <w:pPr>
              <w:jc w:val="center"/>
              <w:rPr>
                <w:rFonts w:hint="eastAsia" w:ascii="宋体" w:hAnsi="宋体" w:eastAsia="宋体" w:cs="宋体"/>
                <w:bCs/>
                <w:color w:val="auto"/>
                <w:sz w:val="24"/>
                <w:szCs w:val="24"/>
                <w:highlight w:val="none"/>
              </w:rPr>
            </w:pPr>
          </w:p>
        </w:tc>
        <w:tc>
          <w:tcPr>
            <w:tcW w:w="2520" w:type="dxa"/>
            <w:vAlign w:val="center"/>
          </w:tcPr>
          <w:p w14:paraId="5F3855F4">
            <w:pPr>
              <w:pStyle w:val="8"/>
              <w:spacing w:line="240" w:lineRule="auto"/>
              <w:ind w:left="1080" w:leftChars="257" w:hanging="540"/>
              <w:jc w:val="center"/>
              <w:rPr>
                <w:rFonts w:hint="eastAsia" w:ascii="宋体" w:hAnsi="宋体" w:eastAsia="宋体" w:cs="宋体"/>
                <w:color w:val="auto"/>
                <w:sz w:val="24"/>
                <w:szCs w:val="24"/>
                <w:highlight w:val="none"/>
              </w:rPr>
            </w:pPr>
          </w:p>
        </w:tc>
        <w:tc>
          <w:tcPr>
            <w:tcW w:w="1792" w:type="dxa"/>
            <w:vAlign w:val="center"/>
          </w:tcPr>
          <w:p w14:paraId="4E3BD4DA">
            <w:pPr>
              <w:pStyle w:val="8"/>
              <w:spacing w:line="240" w:lineRule="auto"/>
              <w:ind w:left="1080" w:leftChars="257" w:hanging="540"/>
              <w:jc w:val="center"/>
              <w:rPr>
                <w:rFonts w:hint="eastAsia" w:ascii="宋体" w:hAnsi="宋体" w:eastAsia="宋体" w:cs="宋体"/>
                <w:color w:val="auto"/>
                <w:sz w:val="24"/>
                <w:szCs w:val="24"/>
                <w:highlight w:val="none"/>
              </w:rPr>
            </w:pPr>
          </w:p>
        </w:tc>
        <w:tc>
          <w:tcPr>
            <w:tcW w:w="1194" w:type="dxa"/>
            <w:vAlign w:val="center"/>
          </w:tcPr>
          <w:p w14:paraId="053DA650">
            <w:pPr>
              <w:pStyle w:val="8"/>
              <w:spacing w:line="240" w:lineRule="auto"/>
              <w:ind w:left="1080" w:leftChars="257" w:hanging="540"/>
              <w:jc w:val="center"/>
              <w:rPr>
                <w:rFonts w:hint="eastAsia" w:ascii="宋体" w:hAnsi="宋体" w:eastAsia="宋体" w:cs="宋体"/>
                <w:color w:val="auto"/>
                <w:sz w:val="24"/>
                <w:szCs w:val="24"/>
                <w:highlight w:val="none"/>
              </w:rPr>
            </w:pPr>
          </w:p>
        </w:tc>
      </w:tr>
      <w:tr w14:paraId="37E1A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center"/>
          </w:tcPr>
          <w:p w14:paraId="1D3FE9AA">
            <w:pPr>
              <w:pStyle w:val="8"/>
              <w:spacing w:line="240" w:lineRule="auto"/>
              <w:ind w:left="1080" w:leftChars="257" w:hanging="540"/>
              <w:jc w:val="center"/>
              <w:rPr>
                <w:rFonts w:hint="eastAsia" w:ascii="宋体" w:hAnsi="宋体" w:eastAsia="宋体" w:cs="宋体"/>
                <w:color w:val="auto"/>
                <w:sz w:val="24"/>
                <w:szCs w:val="24"/>
                <w:highlight w:val="none"/>
              </w:rPr>
            </w:pPr>
          </w:p>
        </w:tc>
        <w:tc>
          <w:tcPr>
            <w:tcW w:w="2040" w:type="dxa"/>
            <w:vAlign w:val="center"/>
          </w:tcPr>
          <w:p w14:paraId="3DFF9ADF">
            <w:pPr>
              <w:pStyle w:val="8"/>
              <w:spacing w:line="240" w:lineRule="auto"/>
              <w:ind w:left="1080" w:leftChars="257" w:hanging="540"/>
              <w:jc w:val="center"/>
              <w:rPr>
                <w:rFonts w:hint="eastAsia" w:ascii="宋体" w:hAnsi="宋体" w:eastAsia="宋体" w:cs="宋体"/>
                <w:color w:val="auto"/>
                <w:sz w:val="24"/>
                <w:szCs w:val="24"/>
                <w:highlight w:val="none"/>
              </w:rPr>
            </w:pPr>
          </w:p>
        </w:tc>
        <w:tc>
          <w:tcPr>
            <w:tcW w:w="2520" w:type="dxa"/>
            <w:vAlign w:val="center"/>
          </w:tcPr>
          <w:p w14:paraId="2B507C87">
            <w:pPr>
              <w:pStyle w:val="8"/>
              <w:spacing w:line="240" w:lineRule="auto"/>
              <w:ind w:left="1080" w:leftChars="257" w:hanging="540"/>
              <w:jc w:val="center"/>
              <w:rPr>
                <w:rFonts w:hint="eastAsia" w:ascii="宋体" w:hAnsi="宋体" w:eastAsia="宋体" w:cs="宋体"/>
                <w:color w:val="auto"/>
                <w:sz w:val="24"/>
                <w:szCs w:val="24"/>
                <w:highlight w:val="none"/>
              </w:rPr>
            </w:pPr>
          </w:p>
        </w:tc>
        <w:tc>
          <w:tcPr>
            <w:tcW w:w="1792" w:type="dxa"/>
            <w:vAlign w:val="center"/>
          </w:tcPr>
          <w:p w14:paraId="3B436BAC">
            <w:pPr>
              <w:pStyle w:val="8"/>
              <w:spacing w:line="240" w:lineRule="auto"/>
              <w:ind w:left="1080" w:leftChars="257" w:hanging="540"/>
              <w:jc w:val="center"/>
              <w:rPr>
                <w:rFonts w:hint="eastAsia" w:ascii="宋体" w:hAnsi="宋体" w:eastAsia="宋体" w:cs="宋体"/>
                <w:color w:val="auto"/>
                <w:sz w:val="24"/>
                <w:szCs w:val="24"/>
                <w:highlight w:val="none"/>
              </w:rPr>
            </w:pPr>
          </w:p>
        </w:tc>
        <w:tc>
          <w:tcPr>
            <w:tcW w:w="1194" w:type="dxa"/>
            <w:vAlign w:val="center"/>
          </w:tcPr>
          <w:p w14:paraId="68F218BB">
            <w:pPr>
              <w:pStyle w:val="8"/>
              <w:spacing w:line="240" w:lineRule="auto"/>
              <w:ind w:left="1080" w:leftChars="257" w:hanging="540"/>
              <w:jc w:val="center"/>
              <w:rPr>
                <w:rFonts w:hint="eastAsia" w:ascii="宋体" w:hAnsi="宋体" w:eastAsia="宋体" w:cs="宋体"/>
                <w:color w:val="auto"/>
                <w:sz w:val="24"/>
                <w:szCs w:val="24"/>
                <w:highlight w:val="none"/>
              </w:rPr>
            </w:pPr>
          </w:p>
        </w:tc>
      </w:tr>
      <w:tr w14:paraId="14C5F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center"/>
          </w:tcPr>
          <w:p w14:paraId="68456B90">
            <w:pPr>
              <w:pStyle w:val="8"/>
              <w:spacing w:line="240" w:lineRule="auto"/>
              <w:ind w:left="1080" w:leftChars="257" w:hanging="540"/>
              <w:jc w:val="center"/>
              <w:rPr>
                <w:rFonts w:hint="eastAsia" w:ascii="宋体" w:hAnsi="宋体" w:eastAsia="宋体" w:cs="宋体"/>
                <w:color w:val="auto"/>
                <w:sz w:val="24"/>
                <w:szCs w:val="24"/>
                <w:highlight w:val="none"/>
              </w:rPr>
            </w:pPr>
          </w:p>
        </w:tc>
        <w:tc>
          <w:tcPr>
            <w:tcW w:w="2040" w:type="dxa"/>
            <w:vAlign w:val="center"/>
          </w:tcPr>
          <w:p w14:paraId="1BE11AFE">
            <w:pPr>
              <w:pStyle w:val="8"/>
              <w:spacing w:line="240" w:lineRule="auto"/>
              <w:ind w:left="1080" w:leftChars="257" w:hanging="540"/>
              <w:jc w:val="center"/>
              <w:rPr>
                <w:rFonts w:hint="eastAsia" w:ascii="宋体" w:hAnsi="宋体" w:eastAsia="宋体" w:cs="宋体"/>
                <w:color w:val="auto"/>
                <w:sz w:val="24"/>
                <w:szCs w:val="24"/>
                <w:highlight w:val="none"/>
              </w:rPr>
            </w:pPr>
          </w:p>
        </w:tc>
        <w:tc>
          <w:tcPr>
            <w:tcW w:w="2520" w:type="dxa"/>
            <w:vAlign w:val="center"/>
          </w:tcPr>
          <w:p w14:paraId="4A12AC5C">
            <w:pPr>
              <w:pStyle w:val="8"/>
              <w:spacing w:line="240" w:lineRule="auto"/>
              <w:ind w:left="1080" w:leftChars="257" w:hanging="540"/>
              <w:jc w:val="center"/>
              <w:rPr>
                <w:rFonts w:hint="eastAsia" w:ascii="宋体" w:hAnsi="宋体" w:eastAsia="宋体" w:cs="宋体"/>
                <w:color w:val="auto"/>
                <w:sz w:val="24"/>
                <w:szCs w:val="24"/>
                <w:highlight w:val="none"/>
              </w:rPr>
            </w:pPr>
          </w:p>
        </w:tc>
        <w:tc>
          <w:tcPr>
            <w:tcW w:w="1792" w:type="dxa"/>
            <w:vAlign w:val="center"/>
          </w:tcPr>
          <w:p w14:paraId="4A664F4B">
            <w:pPr>
              <w:pStyle w:val="8"/>
              <w:spacing w:line="240" w:lineRule="auto"/>
              <w:ind w:left="1080" w:leftChars="257" w:hanging="540"/>
              <w:jc w:val="center"/>
              <w:rPr>
                <w:rFonts w:hint="eastAsia" w:ascii="宋体" w:hAnsi="宋体" w:eastAsia="宋体" w:cs="宋体"/>
                <w:color w:val="auto"/>
                <w:sz w:val="24"/>
                <w:szCs w:val="24"/>
                <w:highlight w:val="none"/>
              </w:rPr>
            </w:pPr>
          </w:p>
        </w:tc>
        <w:tc>
          <w:tcPr>
            <w:tcW w:w="1194" w:type="dxa"/>
            <w:vAlign w:val="center"/>
          </w:tcPr>
          <w:p w14:paraId="3C284E2B">
            <w:pPr>
              <w:pStyle w:val="8"/>
              <w:spacing w:line="240" w:lineRule="auto"/>
              <w:ind w:left="1080" w:leftChars="257" w:hanging="540"/>
              <w:jc w:val="center"/>
              <w:rPr>
                <w:rFonts w:hint="eastAsia" w:ascii="宋体" w:hAnsi="宋体" w:eastAsia="宋体" w:cs="宋体"/>
                <w:color w:val="auto"/>
                <w:sz w:val="24"/>
                <w:szCs w:val="24"/>
                <w:highlight w:val="none"/>
              </w:rPr>
            </w:pPr>
          </w:p>
        </w:tc>
      </w:tr>
      <w:tr w14:paraId="3A003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center"/>
          </w:tcPr>
          <w:p w14:paraId="4703B9EA">
            <w:pPr>
              <w:pStyle w:val="8"/>
              <w:spacing w:line="240" w:lineRule="auto"/>
              <w:ind w:left="1080" w:leftChars="257" w:hanging="540"/>
              <w:jc w:val="center"/>
              <w:rPr>
                <w:rFonts w:hint="eastAsia" w:ascii="宋体" w:hAnsi="宋体" w:eastAsia="宋体" w:cs="宋体"/>
                <w:color w:val="auto"/>
                <w:sz w:val="24"/>
                <w:szCs w:val="24"/>
                <w:highlight w:val="none"/>
              </w:rPr>
            </w:pPr>
          </w:p>
        </w:tc>
        <w:tc>
          <w:tcPr>
            <w:tcW w:w="2040" w:type="dxa"/>
            <w:vAlign w:val="center"/>
          </w:tcPr>
          <w:p w14:paraId="6D9EB55D">
            <w:pPr>
              <w:pStyle w:val="8"/>
              <w:spacing w:line="240" w:lineRule="auto"/>
              <w:ind w:left="1080" w:leftChars="257" w:hanging="540"/>
              <w:jc w:val="center"/>
              <w:rPr>
                <w:rFonts w:hint="eastAsia" w:ascii="宋体" w:hAnsi="宋体" w:eastAsia="宋体" w:cs="宋体"/>
                <w:color w:val="auto"/>
                <w:sz w:val="24"/>
                <w:szCs w:val="24"/>
                <w:highlight w:val="none"/>
              </w:rPr>
            </w:pPr>
          </w:p>
        </w:tc>
        <w:tc>
          <w:tcPr>
            <w:tcW w:w="2520" w:type="dxa"/>
            <w:vAlign w:val="center"/>
          </w:tcPr>
          <w:p w14:paraId="1EE976A8">
            <w:pPr>
              <w:pStyle w:val="8"/>
              <w:spacing w:line="240" w:lineRule="auto"/>
              <w:ind w:left="1080" w:leftChars="257" w:hanging="540"/>
              <w:jc w:val="center"/>
              <w:rPr>
                <w:rFonts w:hint="eastAsia" w:ascii="宋体" w:hAnsi="宋体" w:eastAsia="宋体" w:cs="宋体"/>
                <w:color w:val="auto"/>
                <w:sz w:val="24"/>
                <w:szCs w:val="24"/>
                <w:highlight w:val="none"/>
              </w:rPr>
            </w:pPr>
          </w:p>
        </w:tc>
        <w:tc>
          <w:tcPr>
            <w:tcW w:w="1792" w:type="dxa"/>
            <w:vAlign w:val="center"/>
          </w:tcPr>
          <w:p w14:paraId="3EEF55FA">
            <w:pPr>
              <w:pStyle w:val="8"/>
              <w:spacing w:line="240" w:lineRule="auto"/>
              <w:ind w:left="1080" w:leftChars="257" w:hanging="540"/>
              <w:jc w:val="center"/>
              <w:rPr>
                <w:rFonts w:hint="eastAsia" w:ascii="宋体" w:hAnsi="宋体" w:eastAsia="宋体" w:cs="宋体"/>
                <w:color w:val="auto"/>
                <w:sz w:val="24"/>
                <w:szCs w:val="24"/>
                <w:highlight w:val="none"/>
              </w:rPr>
            </w:pPr>
          </w:p>
        </w:tc>
        <w:tc>
          <w:tcPr>
            <w:tcW w:w="1194" w:type="dxa"/>
            <w:vAlign w:val="center"/>
          </w:tcPr>
          <w:p w14:paraId="781E259A">
            <w:pPr>
              <w:pStyle w:val="8"/>
              <w:spacing w:line="240" w:lineRule="auto"/>
              <w:ind w:left="1080" w:leftChars="257" w:hanging="540"/>
              <w:jc w:val="center"/>
              <w:rPr>
                <w:rFonts w:hint="eastAsia" w:ascii="宋体" w:hAnsi="宋体" w:eastAsia="宋体" w:cs="宋体"/>
                <w:color w:val="auto"/>
                <w:sz w:val="24"/>
                <w:szCs w:val="24"/>
                <w:highlight w:val="none"/>
              </w:rPr>
            </w:pPr>
          </w:p>
        </w:tc>
      </w:tr>
      <w:tr w14:paraId="0D6C8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center"/>
          </w:tcPr>
          <w:p w14:paraId="4CF7379D">
            <w:pPr>
              <w:pStyle w:val="8"/>
              <w:spacing w:line="240" w:lineRule="auto"/>
              <w:ind w:left="1080" w:leftChars="257" w:hanging="540"/>
              <w:jc w:val="center"/>
              <w:rPr>
                <w:rFonts w:hint="eastAsia" w:ascii="宋体" w:hAnsi="宋体" w:eastAsia="宋体" w:cs="宋体"/>
                <w:color w:val="auto"/>
                <w:sz w:val="24"/>
                <w:szCs w:val="24"/>
                <w:highlight w:val="none"/>
              </w:rPr>
            </w:pPr>
          </w:p>
        </w:tc>
        <w:tc>
          <w:tcPr>
            <w:tcW w:w="2040" w:type="dxa"/>
            <w:vAlign w:val="center"/>
          </w:tcPr>
          <w:p w14:paraId="6FE5416A">
            <w:pPr>
              <w:pStyle w:val="8"/>
              <w:spacing w:line="240" w:lineRule="auto"/>
              <w:ind w:left="1080" w:leftChars="257" w:hanging="540"/>
              <w:jc w:val="center"/>
              <w:rPr>
                <w:rFonts w:hint="eastAsia" w:ascii="宋体" w:hAnsi="宋体" w:eastAsia="宋体" w:cs="宋体"/>
                <w:color w:val="auto"/>
                <w:sz w:val="24"/>
                <w:szCs w:val="24"/>
                <w:highlight w:val="none"/>
              </w:rPr>
            </w:pPr>
          </w:p>
        </w:tc>
        <w:tc>
          <w:tcPr>
            <w:tcW w:w="2520" w:type="dxa"/>
            <w:vAlign w:val="center"/>
          </w:tcPr>
          <w:p w14:paraId="4024B132">
            <w:pPr>
              <w:pStyle w:val="8"/>
              <w:spacing w:line="240" w:lineRule="auto"/>
              <w:ind w:left="1080" w:leftChars="257" w:hanging="540"/>
              <w:jc w:val="center"/>
              <w:rPr>
                <w:rFonts w:hint="eastAsia" w:ascii="宋体" w:hAnsi="宋体" w:eastAsia="宋体" w:cs="宋体"/>
                <w:color w:val="auto"/>
                <w:sz w:val="24"/>
                <w:szCs w:val="24"/>
                <w:highlight w:val="none"/>
              </w:rPr>
            </w:pPr>
          </w:p>
        </w:tc>
        <w:tc>
          <w:tcPr>
            <w:tcW w:w="1792" w:type="dxa"/>
            <w:vAlign w:val="center"/>
          </w:tcPr>
          <w:p w14:paraId="5C368FC5">
            <w:pPr>
              <w:pStyle w:val="8"/>
              <w:spacing w:line="240" w:lineRule="auto"/>
              <w:ind w:left="1080" w:leftChars="257" w:hanging="540"/>
              <w:jc w:val="center"/>
              <w:rPr>
                <w:rFonts w:hint="eastAsia" w:ascii="宋体" w:hAnsi="宋体" w:eastAsia="宋体" w:cs="宋体"/>
                <w:color w:val="auto"/>
                <w:sz w:val="24"/>
                <w:szCs w:val="24"/>
                <w:highlight w:val="none"/>
              </w:rPr>
            </w:pPr>
          </w:p>
        </w:tc>
        <w:tc>
          <w:tcPr>
            <w:tcW w:w="1194" w:type="dxa"/>
            <w:vAlign w:val="center"/>
          </w:tcPr>
          <w:p w14:paraId="1602E631">
            <w:pPr>
              <w:pStyle w:val="8"/>
              <w:spacing w:line="240" w:lineRule="auto"/>
              <w:ind w:left="1080" w:leftChars="257" w:hanging="540"/>
              <w:jc w:val="center"/>
              <w:rPr>
                <w:rFonts w:hint="eastAsia" w:ascii="宋体" w:hAnsi="宋体" w:eastAsia="宋体" w:cs="宋体"/>
                <w:color w:val="auto"/>
                <w:sz w:val="24"/>
                <w:szCs w:val="24"/>
                <w:highlight w:val="none"/>
              </w:rPr>
            </w:pPr>
          </w:p>
        </w:tc>
      </w:tr>
      <w:tr w14:paraId="5D956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center"/>
          </w:tcPr>
          <w:p w14:paraId="61629C72">
            <w:pPr>
              <w:pStyle w:val="8"/>
              <w:spacing w:line="240" w:lineRule="auto"/>
              <w:ind w:left="1080" w:leftChars="257" w:hanging="540"/>
              <w:jc w:val="center"/>
              <w:rPr>
                <w:rFonts w:hint="eastAsia" w:ascii="宋体" w:hAnsi="宋体" w:eastAsia="宋体" w:cs="宋体"/>
                <w:color w:val="auto"/>
                <w:sz w:val="24"/>
                <w:szCs w:val="24"/>
                <w:highlight w:val="none"/>
              </w:rPr>
            </w:pPr>
          </w:p>
        </w:tc>
        <w:tc>
          <w:tcPr>
            <w:tcW w:w="2040" w:type="dxa"/>
            <w:vAlign w:val="center"/>
          </w:tcPr>
          <w:p w14:paraId="739CB4EB">
            <w:pPr>
              <w:pStyle w:val="8"/>
              <w:spacing w:line="240" w:lineRule="auto"/>
              <w:ind w:left="1080" w:leftChars="257" w:hanging="540"/>
              <w:jc w:val="center"/>
              <w:rPr>
                <w:rFonts w:hint="eastAsia" w:ascii="宋体" w:hAnsi="宋体" w:eastAsia="宋体" w:cs="宋体"/>
                <w:color w:val="auto"/>
                <w:sz w:val="24"/>
                <w:szCs w:val="24"/>
                <w:highlight w:val="none"/>
              </w:rPr>
            </w:pPr>
          </w:p>
        </w:tc>
        <w:tc>
          <w:tcPr>
            <w:tcW w:w="2520" w:type="dxa"/>
            <w:vAlign w:val="center"/>
          </w:tcPr>
          <w:p w14:paraId="3C7FDE71">
            <w:pPr>
              <w:pStyle w:val="8"/>
              <w:spacing w:line="240" w:lineRule="auto"/>
              <w:ind w:left="1080" w:leftChars="257" w:hanging="540"/>
              <w:jc w:val="center"/>
              <w:rPr>
                <w:rFonts w:hint="eastAsia" w:ascii="宋体" w:hAnsi="宋体" w:eastAsia="宋体" w:cs="宋体"/>
                <w:color w:val="auto"/>
                <w:sz w:val="24"/>
                <w:szCs w:val="24"/>
                <w:highlight w:val="none"/>
              </w:rPr>
            </w:pPr>
          </w:p>
        </w:tc>
        <w:tc>
          <w:tcPr>
            <w:tcW w:w="1792" w:type="dxa"/>
            <w:vAlign w:val="center"/>
          </w:tcPr>
          <w:p w14:paraId="40FF7E60">
            <w:pPr>
              <w:pStyle w:val="8"/>
              <w:spacing w:line="240" w:lineRule="auto"/>
              <w:ind w:left="1080" w:leftChars="257" w:hanging="540"/>
              <w:jc w:val="center"/>
              <w:rPr>
                <w:rFonts w:hint="eastAsia" w:ascii="宋体" w:hAnsi="宋体" w:eastAsia="宋体" w:cs="宋体"/>
                <w:color w:val="auto"/>
                <w:sz w:val="24"/>
                <w:szCs w:val="24"/>
                <w:highlight w:val="none"/>
              </w:rPr>
            </w:pPr>
          </w:p>
        </w:tc>
        <w:tc>
          <w:tcPr>
            <w:tcW w:w="1194" w:type="dxa"/>
            <w:vAlign w:val="center"/>
          </w:tcPr>
          <w:p w14:paraId="550194C3">
            <w:pPr>
              <w:pStyle w:val="8"/>
              <w:spacing w:line="240" w:lineRule="auto"/>
              <w:ind w:left="1080" w:leftChars="257" w:hanging="540"/>
              <w:jc w:val="center"/>
              <w:rPr>
                <w:rFonts w:hint="eastAsia" w:ascii="宋体" w:hAnsi="宋体" w:eastAsia="宋体" w:cs="宋体"/>
                <w:color w:val="auto"/>
                <w:sz w:val="24"/>
                <w:szCs w:val="24"/>
                <w:highlight w:val="none"/>
              </w:rPr>
            </w:pPr>
          </w:p>
        </w:tc>
      </w:tr>
      <w:tr w14:paraId="477B0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center"/>
          </w:tcPr>
          <w:p w14:paraId="04BE8FBD">
            <w:pPr>
              <w:pStyle w:val="8"/>
              <w:spacing w:line="240" w:lineRule="auto"/>
              <w:ind w:left="1080" w:leftChars="257" w:hanging="540"/>
              <w:jc w:val="center"/>
              <w:rPr>
                <w:rFonts w:hint="eastAsia" w:ascii="宋体" w:hAnsi="宋体" w:eastAsia="宋体" w:cs="宋体"/>
                <w:color w:val="auto"/>
                <w:sz w:val="24"/>
                <w:szCs w:val="24"/>
                <w:highlight w:val="none"/>
              </w:rPr>
            </w:pPr>
          </w:p>
        </w:tc>
        <w:tc>
          <w:tcPr>
            <w:tcW w:w="2040" w:type="dxa"/>
            <w:vAlign w:val="center"/>
          </w:tcPr>
          <w:p w14:paraId="4D539B68">
            <w:pPr>
              <w:pStyle w:val="8"/>
              <w:spacing w:line="240" w:lineRule="auto"/>
              <w:ind w:left="1080" w:leftChars="257" w:hanging="540"/>
              <w:jc w:val="center"/>
              <w:rPr>
                <w:rFonts w:hint="eastAsia" w:ascii="宋体" w:hAnsi="宋体" w:eastAsia="宋体" w:cs="宋体"/>
                <w:color w:val="auto"/>
                <w:sz w:val="24"/>
                <w:szCs w:val="24"/>
                <w:highlight w:val="none"/>
              </w:rPr>
            </w:pPr>
          </w:p>
        </w:tc>
        <w:tc>
          <w:tcPr>
            <w:tcW w:w="2520" w:type="dxa"/>
            <w:vAlign w:val="center"/>
          </w:tcPr>
          <w:p w14:paraId="25F8604E">
            <w:pPr>
              <w:pStyle w:val="8"/>
              <w:spacing w:line="240" w:lineRule="auto"/>
              <w:ind w:left="1080" w:leftChars="257" w:hanging="540"/>
              <w:jc w:val="center"/>
              <w:rPr>
                <w:rFonts w:hint="eastAsia" w:ascii="宋体" w:hAnsi="宋体" w:eastAsia="宋体" w:cs="宋体"/>
                <w:color w:val="auto"/>
                <w:sz w:val="24"/>
                <w:szCs w:val="24"/>
                <w:highlight w:val="none"/>
              </w:rPr>
            </w:pPr>
          </w:p>
        </w:tc>
        <w:tc>
          <w:tcPr>
            <w:tcW w:w="1792" w:type="dxa"/>
            <w:vAlign w:val="center"/>
          </w:tcPr>
          <w:p w14:paraId="64BF253C">
            <w:pPr>
              <w:pStyle w:val="8"/>
              <w:spacing w:line="240" w:lineRule="auto"/>
              <w:ind w:left="1080" w:leftChars="257" w:hanging="540"/>
              <w:jc w:val="center"/>
              <w:rPr>
                <w:rFonts w:hint="eastAsia" w:ascii="宋体" w:hAnsi="宋体" w:eastAsia="宋体" w:cs="宋体"/>
                <w:color w:val="auto"/>
                <w:sz w:val="24"/>
                <w:szCs w:val="24"/>
                <w:highlight w:val="none"/>
              </w:rPr>
            </w:pPr>
          </w:p>
        </w:tc>
        <w:tc>
          <w:tcPr>
            <w:tcW w:w="1194" w:type="dxa"/>
            <w:vAlign w:val="center"/>
          </w:tcPr>
          <w:p w14:paraId="61E8EF05">
            <w:pPr>
              <w:pStyle w:val="8"/>
              <w:spacing w:line="240" w:lineRule="auto"/>
              <w:ind w:left="1080" w:leftChars="257" w:hanging="540"/>
              <w:jc w:val="center"/>
              <w:rPr>
                <w:rFonts w:hint="eastAsia" w:ascii="宋体" w:hAnsi="宋体" w:eastAsia="宋体" w:cs="宋体"/>
                <w:color w:val="auto"/>
                <w:sz w:val="24"/>
                <w:szCs w:val="24"/>
                <w:highlight w:val="none"/>
              </w:rPr>
            </w:pPr>
          </w:p>
        </w:tc>
      </w:tr>
      <w:tr w14:paraId="2CECA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center"/>
          </w:tcPr>
          <w:p w14:paraId="58123392">
            <w:pPr>
              <w:pStyle w:val="8"/>
              <w:spacing w:line="240" w:lineRule="auto"/>
              <w:ind w:left="1080" w:leftChars="257" w:hanging="540"/>
              <w:jc w:val="center"/>
              <w:rPr>
                <w:rFonts w:hint="eastAsia" w:ascii="宋体" w:hAnsi="宋体" w:eastAsia="宋体" w:cs="宋体"/>
                <w:color w:val="auto"/>
                <w:sz w:val="24"/>
                <w:szCs w:val="24"/>
                <w:highlight w:val="none"/>
              </w:rPr>
            </w:pPr>
          </w:p>
        </w:tc>
        <w:tc>
          <w:tcPr>
            <w:tcW w:w="2040" w:type="dxa"/>
            <w:vAlign w:val="center"/>
          </w:tcPr>
          <w:p w14:paraId="056D070C">
            <w:pPr>
              <w:pStyle w:val="8"/>
              <w:spacing w:line="240" w:lineRule="auto"/>
              <w:ind w:left="1080" w:leftChars="257" w:hanging="540"/>
              <w:jc w:val="center"/>
              <w:rPr>
                <w:rFonts w:hint="eastAsia" w:ascii="宋体" w:hAnsi="宋体" w:eastAsia="宋体" w:cs="宋体"/>
                <w:color w:val="auto"/>
                <w:sz w:val="24"/>
                <w:szCs w:val="24"/>
                <w:highlight w:val="none"/>
              </w:rPr>
            </w:pPr>
          </w:p>
        </w:tc>
        <w:tc>
          <w:tcPr>
            <w:tcW w:w="2520" w:type="dxa"/>
            <w:vAlign w:val="center"/>
          </w:tcPr>
          <w:p w14:paraId="45937EA0">
            <w:pPr>
              <w:pStyle w:val="8"/>
              <w:spacing w:line="240" w:lineRule="auto"/>
              <w:ind w:left="1080" w:leftChars="257" w:hanging="540"/>
              <w:jc w:val="center"/>
              <w:rPr>
                <w:rFonts w:hint="eastAsia" w:ascii="宋体" w:hAnsi="宋体" w:eastAsia="宋体" w:cs="宋体"/>
                <w:color w:val="auto"/>
                <w:sz w:val="24"/>
                <w:szCs w:val="24"/>
                <w:highlight w:val="none"/>
              </w:rPr>
            </w:pPr>
          </w:p>
        </w:tc>
        <w:tc>
          <w:tcPr>
            <w:tcW w:w="1792" w:type="dxa"/>
            <w:vAlign w:val="center"/>
          </w:tcPr>
          <w:p w14:paraId="6DD52D44">
            <w:pPr>
              <w:pStyle w:val="8"/>
              <w:spacing w:line="240" w:lineRule="auto"/>
              <w:ind w:left="1080" w:leftChars="257" w:hanging="540"/>
              <w:jc w:val="center"/>
              <w:rPr>
                <w:rFonts w:hint="eastAsia" w:ascii="宋体" w:hAnsi="宋体" w:eastAsia="宋体" w:cs="宋体"/>
                <w:color w:val="auto"/>
                <w:sz w:val="24"/>
                <w:szCs w:val="24"/>
                <w:highlight w:val="none"/>
              </w:rPr>
            </w:pPr>
          </w:p>
        </w:tc>
        <w:tc>
          <w:tcPr>
            <w:tcW w:w="1194" w:type="dxa"/>
            <w:vAlign w:val="center"/>
          </w:tcPr>
          <w:p w14:paraId="62E4EB84">
            <w:pPr>
              <w:pStyle w:val="8"/>
              <w:spacing w:line="240" w:lineRule="auto"/>
              <w:ind w:left="1080" w:leftChars="257" w:hanging="540"/>
              <w:jc w:val="center"/>
              <w:rPr>
                <w:rFonts w:hint="eastAsia" w:ascii="宋体" w:hAnsi="宋体" w:eastAsia="宋体" w:cs="宋体"/>
                <w:color w:val="auto"/>
                <w:sz w:val="24"/>
                <w:szCs w:val="24"/>
                <w:highlight w:val="none"/>
              </w:rPr>
            </w:pPr>
          </w:p>
        </w:tc>
      </w:tr>
      <w:tr w14:paraId="78C0A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center"/>
          </w:tcPr>
          <w:p w14:paraId="5FB15962">
            <w:pPr>
              <w:pStyle w:val="8"/>
              <w:spacing w:line="240" w:lineRule="auto"/>
              <w:ind w:left="1080" w:leftChars="257" w:hanging="540"/>
              <w:jc w:val="center"/>
              <w:rPr>
                <w:rFonts w:hint="eastAsia" w:ascii="宋体" w:hAnsi="宋体" w:eastAsia="宋体" w:cs="宋体"/>
                <w:color w:val="auto"/>
                <w:sz w:val="24"/>
                <w:szCs w:val="24"/>
                <w:highlight w:val="none"/>
              </w:rPr>
            </w:pPr>
          </w:p>
        </w:tc>
        <w:tc>
          <w:tcPr>
            <w:tcW w:w="2040" w:type="dxa"/>
            <w:vAlign w:val="center"/>
          </w:tcPr>
          <w:p w14:paraId="47F4A9BF">
            <w:pPr>
              <w:pStyle w:val="8"/>
              <w:spacing w:line="240" w:lineRule="auto"/>
              <w:ind w:left="1080" w:leftChars="257" w:hanging="540"/>
              <w:jc w:val="center"/>
              <w:rPr>
                <w:rFonts w:hint="eastAsia" w:ascii="宋体" w:hAnsi="宋体" w:eastAsia="宋体" w:cs="宋体"/>
                <w:color w:val="auto"/>
                <w:sz w:val="24"/>
                <w:szCs w:val="24"/>
                <w:highlight w:val="none"/>
              </w:rPr>
            </w:pPr>
          </w:p>
        </w:tc>
        <w:tc>
          <w:tcPr>
            <w:tcW w:w="2520" w:type="dxa"/>
            <w:vAlign w:val="center"/>
          </w:tcPr>
          <w:p w14:paraId="66533B1E">
            <w:pPr>
              <w:pStyle w:val="8"/>
              <w:spacing w:line="240" w:lineRule="auto"/>
              <w:ind w:left="1080" w:leftChars="257" w:hanging="540"/>
              <w:jc w:val="center"/>
              <w:rPr>
                <w:rFonts w:hint="eastAsia" w:ascii="宋体" w:hAnsi="宋体" w:eastAsia="宋体" w:cs="宋体"/>
                <w:color w:val="auto"/>
                <w:sz w:val="24"/>
                <w:szCs w:val="24"/>
                <w:highlight w:val="none"/>
              </w:rPr>
            </w:pPr>
          </w:p>
        </w:tc>
        <w:tc>
          <w:tcPr>
            <w:tcW w:w="1792" w:type="dxa"/>
            <w:vAlign w:val="center"/>
          </w:tcPr>
          <w:p w14:paraId="12875224">
            <w:pPr>
              <w:pStyle w:val="8"/>
              <w:spacing w:line="240" w:lineRule="auto"/>
              <w:ind w:left="1080" w:leftChars="257" w:hanging="540"/>
              <w:jc w:val="center"/>
              <w:rPr>
                <w:rFonts w:hint="eastAsia" w:ascii="宋体" w:hAnsi="宋体" w:eastAsia="宋体" w:cs="宋体"/>
                <w:color w:val="auto"/>
                <w:sz w:val="24"/>
                <w:szCs w:val="24"/>
                <w:highlight w:val="none"/>
              </w:rPr>
            </w:pPr>
          </w:p>
        </w:tc>
        <w:tc>
          <w:tcPr>
            <w:tcW w:w="1194" w:type="dxa"/>
            <w:vAlign w:val="center"/>
          </w:tcPr>
          <w:p w14:paraId="6F071D24">
            <w:pPr>
              <w:pStyle w:val="8"/>
              <w:spacing w:line="240" w:lineRule="auto"/>
              <w:ind w:left="1080" w:leftChars="257" w:hanging="540"/>
              <w:jc w:val="center"/>
              <w:rPr>
                <w:rFonts w:hint="eastAsia" w:ascii="宋体" w:hAnsi="宋体" w:eastAsia="宋体" w:cs="宋体"/>
                <w:color w:val="auto"/>
                <w:sz w:val="24"/>
                <w:szCs w:val="24"/>
                <w:highlight w:val="none"/>
              </w:rPr>
            </w:pPr>
          </w:p>
        </w:tc>
      </w:tr>
      <w:tr w14:paraId="3F470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center"/>
          </w:tcPr>
          <w:p w14:paraId="45149630">
            <w:pPr>
              <w:pStyle w:val="8"/>
              <w:spacing w:line="240" w:lineRule="auto"/>
              <w:ind w:left="1080" w:leftChars="257" w:hanging="540"/>
              <w:jc w:val="center"/>
              <w:rPr>
                <w:rFonts w:hint="eastAsia" w:ascii="宋体" w:hAnsi="宋体" w:eastAsia="宋体" w:cs="宋体"/>
                <w:color w:val="auto"/>
                <w:sz w:val="24"/>
                <w:szCs w:val="24"/>
                <w:highlight w:val="none"/>
              </w:rPr>
            </w:pPr>
          </w:p>
        </w:tc>
        <w:tc>
          <w:tcPr>
            <w:tcW w:w="2040" w:type="dxa"/>
            <w:vAlign w:val="center"/>
          </w:tcPr>
          <w:p w14:paraId="4B202A7D">
            <w:pPr>
              <w:pStyle w:val="8"/>
              <w:spacing w:line="240" w:lineRule="auto"/>
              <w:ind w:left="1080" w:leftChars="257" w:hanging="540"/>
              <w:jc w:val="center"/>
              <w:rPr>
                <w:rFonts w:hint="eastAsia" w:ascii="宋体" w:hAnsi="宋体" w:eastAsia="宋体" w:cs="宋体"/>
                <w:color w:val="auto"/>
                <w:sz w:val="24"/>
                <w:szCs w:val="24"/>
                <w:highlight w:val="none"/>
              </w:rPr>
            </w:pPr>
          </w:p>
        </w:tc>
        <w:tc>
          <w:tcPr>
            <w:tcW w:w="2520" w:type="dxa"/>
            <w:vAlign w:val="center"/>
          </w:tcPr>
          <w:p w14:paraId="6FED8F8C">
            <w:pPr>
              <w:pStyle w:val="8"/>
              <w:spacing w:line="240" w:lineRule="auto"/>
              <w:ind w:left="1080" w:leftChars="257" w:hanging="540"/>
              <w:jc w:val="center"/>
              <w:rPr>
                <w:rFonts w:hint="eastAsia" w:ascii="宋体" w:hAnsi="宋体" w:eastAsia="宋体" w:cs="宋体"/>
                <w:color w:val="auto"/>
                <w:sz w:val="24"/>
                <w:szCs w:val="24"/>
                <w:highlight w:val="none"/>
              </w:rPr>
            </w:pPr>
          </w:p>
        </w:tc>
        <w:tc>
          <w:tcPr>
            <w:tcW w:w="1792" w:type="dxa"/>
            <w:vAlign w:val="center"/>
          </w:tcPr>
          <w:p w14:paraId="5C5426F7">
            <w:pPr>
              <w:pStyle w:val="8"/>
              <w:spacing w:line="240" w:lineRule="auto"/>
              <w:ind w:left="1080" w:leftChars="257" w:hanging="540"/>
              <w:jc w:val="center"/>
              <w:rPr>
                <w:rFonts w:hint="eastAsia" w:ascii="宋体" w:hAnsi="宋体" w:eastAsia="宋体" w:cs="宋体"/>
                <w:color w:val="auto"/>
                <w:sz w:val="24"/>
                <w:szCs w:val="24"/>
                <w:highlight w:val="none"/>
              </w:rPr>
            </w:pPr>
          </w:p>
        </w:tc>
        <w:tc>
          <w:tcPr>
            <w:tcW w:w="1194" w:type="dxa"/>
            <w:vAlign w:val="center"/>
          </w:tcPr>
          <w:p w14:paraId="7C61BEB3">
            <w:pPr>
              <w:pStyle w:val="8"/>
              <w:spacing w:line="240" w:lineRule="auto"/>
              <w:ind w:left="1080" w:leftChars="257" w:hanging="540"/>
              <w:jc w:val="center"/>
              <w:rPr>
                <w:rFonts w:hint="eastAsia" w:ascii="宋体" w:hAnsi="宋体" w:eastAsia="宋体" w:cs="宋体"/>
                <w:color w:val="auto"/>
                <w:sz w:val="24"/>
                <w:szCs w:val="24"/>
                <w:highlight w:val="none"/>
              </w:rPr>
            </w:pPr>
          </w:p>
        </w:tc>
      </w:tr>
      <w:tr w14:paraId="39161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center"/>
          </w:tcPr>
          <w:p w14:paraId="392CD138">
            <w:pPr>
              <w:pStyle w:val="8"/>
              <w:spacing w:line="240" w:lineRule="auto"/>
              <w:ind w:left="1080" w:leftChars="257" w:hanging="540"/>
              <w:jc w:val="center"/>
              <w:rPr>
                <w:rFonts w:hint="eastAsia" w:ascii="宋体" w:hAnsi="宋体" w:eastAsia="宋体" w:cs="宋体"/>
                <w:color w:val="auto"/>
                <w:sz w:val="24"/>
                <w:szCs w:val="24"/>
                <w:highlight w:val="none"/>
              </w:rPr>
            </w:pPr>
          </w:p>
        </w:tc>
        <w:tc>
          <w:tcPr>
            <w:tcW w:w="2040" w:type="dxa"/>
            <w:vAlign w:val="center"/>
          </w:tcPr>
          <w:p w14:paraId="5C1639B0">
            <w:pPr>
              <w:pStyle w:val="8"/>
              <w:spacing w:line="240" w:lineRule="auto"/>
              <w:ind w:left="1080" w:leftChars="257" w:hanging="540"/>
              <w:jc w:val="center"/>
              <w:rPr>
                <w:rFonts w:hint="eastAsia" w:ascii="宋体" w:hAnsi="宋体" w:eastAsia="宋体" w:cs="宋体"/>
                <w:color w:val="auto"/>
                <w:sz w:val="24"/>
                <w:szCs w:val="24"/>
                <w:highlight w:val="none"/>
              </w:rPr>
            </w:pPr>
          </w:p>
        </w:tc>
        <w:tc>
          <w:tcPr>
            <w:tcW w:w="2520" w:type="dxa"/>
            <w:vAlign w:val="center"/>
          </w:tcPr>
          <w:p w14:paraId="5DAB7C96">
            <w:pPr>
              <w:pStyle w:val="8"/>
              <w:spacing w:line="240" w:lineRule="auto"/>
              <w:ind w:left="1080" w:leftChars="257" w:hanging="540"/>
              <w:jc w:val="center"/>
              <w:rPr>
                <w:rFonts w:hint="eastAsia" w:ascii="宋体" w:hAnsi="宋体" w:eastAsia="宋体" w:cs="宋体"/>
                <w:color w:val="auto"/>
                <w:sz w:val="24"/>
                <w:szCs w:val="24"/>
                <w:highlight w:val="none"/>
              </w:rPr>
            </w:pPr>
          </w:p>
        </w:tc>
        <w:tc>
          <w:tcPr>
            <w:tcW w:w="1792" w:type="dxa"/>
            <w:vAlign w:val="center"/>
          </w:tcPr>
          <w:p w14:paraId="7007B16F">
            <w:pPr>
              <w:pStyle w:val="8"/>
              <w:spacing w:line="240" w:lineRule="auto"/>
              <w:ind w:left="1080" w:leftChars="257" w:hanging="540"/>
              <w:jc w:val="center"/>
              <w:rPr>
                <w:rFonts w:hint="eastAsia" w:ascii="宋体" w:hAnsi="宋体" w:eastAsia="宋体" w:cs="宋体"/>
                <w:color w:val="auto"/>
                <w:sz w:val="24"/>
                <w:szCs w:val="24"/>
                <w:highlight w:val="none"/>
              </w:rPr>
            </w:pPr>
          </w:p>
        </w:tc>
        <w:tc>
          <w:tcPr>
            <w:tcW w:w="1194" w:type="dxa"/>
            <w:vAlign w:val="center"/>
          </w:tcPr>
          <w:p w14:paraId="44B74F2F">
            <w:pPr>
              <w:pStyle w:val="8"/>
              <w:spacing w:line="240" w:lineRule="auto"/>
              <w:ind w:left="1080" w:leftChars="257" w:hanging="540"/>
              <w:jc w:val="center"/>
              <w:rPr>
                <w:rFonts w:hint="eastAsia" w:ascii="宋体" w:hAnsi="宋体" w:eastAsia="宋体" w:cs="宋体"/>
                <w:color w:val="auto"/>
                <w:sz w:val="24"/>
                <w:szCs w:val="24"/>
                <w:highlight w:val="none"/>
              </w:rPr>
            </w:pPr>
          </w:p>
        </w:tc>
      </w:tr>
    </w:tbl>
    <w:p w14:paraId="0AE862CE">
      <w:pPr>
        <w:pStyle w:val="8"/>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声明：除本商务偏离表中所列的偏离项目外，其他所有商务均完全响应“磋商文件”中的要求</w:t>
      </w:r>
    </w:p>
    <w:p w14:paraId="22B0C572">
      <w:pPr>
        <w:pStyle w:val="8"/>
        <w:tabs>
          <w:tab w:val="left" w:pos="5370"/>
        </w:tabs>
        <w:ind w:left="1080" w:leftChars="257" w:hanging="54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供应商(公章):</w:t>
      </w:r>
      <w:r>
        <w:rPr>
          <w:rFonts w:hint="eastAsia" w:ascii="宋体" w:hAnsi="宋体" w:eastAsia="宋体" w:cs="宋体"/>
          <w:color w:val="auto"/>
          <w:sz w:val="24"/>
          <w:szCs w:val="24"/>
          <w:highlight w:val="none"/>
          <w:u w:val="single"/>
        </w:rPr>
        <w:tab/>
      </w:r>
    </w:p>
    <w:p w14:paraId="5A38B3D9">
      <w:pPr>
        <w:pStyle w:val="8"/>
        <w:ind w:left="1080" w:leftChars="257" w:hanging="5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法定代表人或授权代表（签字或加盖法定代表人私章）: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lang w:val="en-US" w:eastAsia="zh-CN"/>
        </w:rPr>
        <w:t xml:space="preserve">       </w:t>
      </w:r>
    </w:p>
    <w:p w14:paraId="02117DC4">
      <w:pP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br w:type="page"/>
      </w:r>
      <w:bookmarkEnd w:id="435"/>
      <w:bookmarkEnd w:id="436"/>
      <w:bookmarkEnd w:id="437"/>
      <w:bookmarkEnd w:id="438"/>
      <w:bookmarkEnd w:id="439"/>
      <w:bookmarkEnd w:id="440"/>
    </w:p>
    <w:p w14:paraId="21ADA510">
      <w:pPr>
        <w:pStyle w:val="2"/>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 xml:space="preserve">第三部分  </w:t>
      </w:r>
      <w:r>
        <w:rPr>
          <w:rFonts w:hint="eastAsia" w:ascii="宋体" w:hAnsi="宋体" w:eastAsia="宋体" w:cs="宋体"/>
          <w:b/>
          <w:bCs/>
          <w:color w:val="auto"/>
          <w:sz w:val="28"/>
          <w:szCs w:val="28"/>
          <w:highlight w:val="none"/>
          <w:lang w:eastAsia="zh-CN"/>
        </w:rPr>
        <w:t>磋商响应方案</w:t>
      </w:r>
    </w:p>
    <w:p w14:paraId="6615EA2F">
      <w:pPr>
        <w:widowControl/>
        <w:spacing w:line="500" w:lineRule="exact"/>
        <w:ind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（供应商依照磋商文件《磋商评审办法》中各项条款的要求，编制响应方案格式自拟。凡因供应商对磋商文件阅读不深、理解不透、误解、疏漏等导致扣分，由供应商自行承担。）</w:t>
      </w:r>
    </w:p>
    <w:p w14:paraId="70C26117">
      <w:pPr>
        <w:autoSpaceDE w:val="0"/>
        <w:autoSpaceDN w:val="0"/>
        <w:adjustRightInd w:val="0"/>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bCs/>
          <w:color w:val="auto"/>
          <w:sz w:val="28"/>
          <w:szCs w:val="28"/>
          <w:highlight w:val="none"/>
        </w:rPr>
        <w:t>供应商单位类型声明函</w:t>
      </w:r>
    </w:p>
    <w:p w14:paraId="28BF7E56">
      <w:pPr>
        <w:pStyle w:val="4"/>
        <w:jc w:val="center"/>
        <w:rPr>
          <w:rFonts w:hint="eastAsia" w:ascii="宋体" w:hAnsi="宋体" w:eastAsia="宋体" w:cs="宋体"/>
          <w:color w:val="auto"/>
          <w:sz w:val="28"/>
          <w:szCs w:val="28"/>
          <w:highlight w:val="none"/>
        </w:rPr>
      </w:pPr>
      <w:bookmarkStart w:id="441" w:name="_Toc62194354"/>
      <w:r>
        <w:rPr>
          <w:rFonts w:hint="eastAsia" w:ascii="宋体" w:hAnsi="宋体" w:eastAsia="宋体" w:cs="宋体"/>
          <w:b/>
          <w:color w:val="auto"/>
          <w:sz w:val="28"/>
          <w:szCs w:val="28"/>
          <w:highlight w:val="none"/>
        </w:rPr>
        <w:t>中小企业声明函</w:t>
      </w:r>
      <w:bookmarkEnd w:id="441"/>
      <w:r>
        <w:rPr>
          <w:rFonts w:hint="eastAsia" w:ascii="宋体" w:hAnsi="宋体" w:eastAsia="宋体" w:cs="宋体"/>
          <w:b/>
          <w:color w:val="auto"/>
          <w:sz w:val="28"/>
          <w:szCs w:val="28"/>
          <w:highlight w:val="none"/>
          <w:lang w:val="en-US" w:eastAsia="zh-CN"/>
        </w:rPr>
        <w:t>（服务）</w:t>
      </w:r>
    </w:p>
    <w:p w14:paraId="1C7841B4">
      <w:pPr>
        <w:spacing w:line="560" w:lineRule="exact"/>
        <w:ind w:firstLine="480" w:firstLineChars="200"/>
        <w:rPr>
          <w:rFonts w:hint="eastAsia" w:ascii="宋体" w:hAnsi="宋体" w:eastAsia="宋体" w:cs="宋体"/>
          <w:color w:val="333333"/>
          <w:kern w:val="0"/>
          <w:sz w:val="24"/>
          <w:szCs w:val="24"/>
          <w:highlight w:val="none"/>
        </w:rPr>
      </w:pPr>
      <w:r>
        <w:rPr>
          <w:rFonts w:hint="eastAsia" w:ascii="宋体" w:hAnsi="宋体" w:eastAsia="宋体" w:cs="宋体"/>
          <w:color w:val="333333"/>
          <w:kern w:val="0"/>
          <w:sz w:val="24"/>
          <w:szCs w:val="24"/>
          <w:highlight w:val="none"/>
        </w:rPr>
        <w:t>本公司(联合体)郑重声明，根据《政府采购促进中小企业发展管理办法》(财库(2020)46号)的规定，本公司(联合体)参加</w:t>
      </w:r>
      <w:r>
        <w:rPr>
          <w:rFonts w:hint="eastAsia" w:ascii="宋体" w:hAnsi="宋体" w:eastAsia="宋体" w:cs="宋体"/>
          <w:color w:val="333333"/>
          <w:kern w:val="0"/>
          <w:sz w:val="24"/>
          <w:szCs w:val="24"/>
          <w:highlight w:val="none"/>
          <w:u w:val="single"/>
        </w:rPr>
        <w:t xml:space="preserve">  </w:t>
      </w:r>
      <w:r>
        <w:rPr>
          <w:rFonts w:hint="eastAsia" w:ascii="宋体" w:hAnsi="宋体" w:eastAsia="宋体" w:cs="宋体"/>
          <w:i/>
          <w:color w:val="333333"/>
          <w:kern w:val="0"/>
          <w:sz w:val="24"/>
          <w:szCs w:val="24"/>
          <w:highlight w:val="none"/>
          <w:u w:val="single"/>
        </w:rPr>
        <w:t>(单位名称)</w:t>
      </w:r>
      <w:r>
        <w:rPr>
          <w:rFonts w:hint="eastAsia" w:ascii="宋体" w:hAnsi="宋体" w:eastAsia="宋体" w:cs="宋体"/>
          <w:color w:val="333333"/>
          <w:kern w:val="0"/>
          <w:sz w:val="24"/>
          <w:szCs w:val="24"/>
          <w:highlight w:val="none"/>
          <w:u w:val="single"/>
        </w:rPr>
        <w:t xml:space="preserve"> </w:t>
      </w:r>
      <w:r>
        <w:rPr>
          <w:rFonts w:hint="eastAsia" w:ascii="宋体" w:hAnsi="宋体" w:eastAsia="宋体" w:cs="宋体"/>
          <w:color w:val="333333"/>
          <w:kern w:val="0"/>
          <w:sz w:val="24"/>
          <w:szCs w:val="24"/>
          <w:highlight w:val="none"/>
        </w:rPr>
        <w:t xml:space="preserve"> 的</w:t>
      </w:r>
      <w:r>
        <w:rPr>
          <w:rFonts w:hint="eastAsia" w:ascii="宋体" w:hAnsi="宋体" w:eastAsia="宋体" w:cs="宋体"/>
          <w:color w:val="333333"/>
          <w:kern w:val="0"/>
          <w:sz w:val="24"/>
          <w:szCs w:val="24"/>
          <w:highlight w:val="none"/>
          <w:u w:val="single"/>
        </w:rPr>
        <w:t xml:space="preserve"> </w:t>
      </w:r>
      <w:r>
        <w:rPr>
          <w:rFonts w:hint="eastAsia" w:ascii="宋体" w:hAnsi="宋体" w:eastAsia="宋体" w:cs="宋体"/>
          <w:i/>
          <w:color w:val="333333"/>
          <w:kern w:val="0"/>
          <w:sz w:val="24"/>
          <w:szCs w:val="24"/>
          <w:highlight w:val="none"/>
          <w:u w:val="single"/>
        </w:rPr>
        <w:t>(项目名称)</w:t>
      </w:r>
      <w:r>
        <w:rPr>
          <w:rFonts w:hint="eastAsia" w:ascii="宋体" w:hAnsi="宋体" w:eastAsia="宋体" w:cs="宋体"/>
          <w:color w:val="333333"/>
          <w:kern w:val="0"/>
          <w:sz w:val="24"/>
          <w:szCs w:val="24"/>
          <w:highlight w:val="none"/>
          <w:u w:val="single"/>
        </w:rPr>
        <w:t xml:space="preserve"> 采购</w:t>
      </w:r>
      <w:r>
        <w:rPr>
          <w:rFonts w:hint="eastAsia" w:ascii="宋体" w:hAnsi="宋体" w:eastAsia="宋体" w:cs="宋体"/>
          <w:color w:val="333333"/>
          <w:kern w:val="0"/>
          <w:sz w:val="24"/>
          <w:szCs w:val="24"/>
          <w:highlight w:val="none"/>
        </w:rPr>
        <w:t>活动，工程的施工单位全部为符合政策要求的中小企业(或者:服务全部由符合政策要求的中小企业承接)。相关企业(含联合体中的中小企业、签订分包意向协议的中小企业)的具体情况如下：</w:t>
      </w:r>
    </w:p>
    <w:p w14:paraId="2C4C3198">
      <w:pPr>
        <w:pStyle w:val="30"/>
        <w:numPr>
          <w:ilvl w:val="0"/>
          <w:numId w:val="11"/>
        </w:numPr>
        <w:spacing w:line="560" w:lineRule="exact"/>
        <w:ind w:firstLineChars="0"/>
        <w:rPr>
          <w:rFonts w:hint="eastAsia" w:ascii="宋体" w:hAnsi="宋体" w:eastAsia="宋体" w:cs="宋体"/>
          <w:color w:val="333333"/>
          <w:kern w:val="0"/>
          <w:sz w:val="24"/>
          <w:szCs w:val="24"/>
          <w:highlight w:val="none"/>
        </w:rPr>
      </w:pPr>
      <w:r>
        <w:rPr>
          <w:rFonts w:hint="eastAsia" w:ascii="宋体" w:hAnsi="宋体" w:eastAsia="宋体" w:cs="宋体"/>
          <w:i/>
          <w:color w:val="333333"/>
          <w:kern w:val="0"/>
          <w:sz w:val="24"/>
          <w:szCs w:val="24"/>
          <w:highlight w:val="none"/>
          <w:u w:val="single"/>
        </w:rPr>
        <w:t xml:space="preserve"> (标的名称) </w:t>
      </w:r>
      <w:r>
        <w:rPr>
          <w:rFonts w:hint="eastAsia" w:ascii="宋体" w:hAnsi="宋体" w:eastAsia="宋体" w:cs="宋体"/>
          <w:color w:val="333333"/>
          <w:kern w:val="0"/>
          <w:sz w:val="24"/>
          <w:szCs w:val="24"/>
          <w:highlight w:val="none"/>
        </w:rPr>
        <w:t>，属于</w:t>
      </w:r>
      <w:r>
        <w:rPr>
          <w:rFonts w:hint="eastAsia" w:ascii="宋体" w:hAnsi="宋体" w:eastAsia="宋体" w:cs="宋体"/>
          <w:color w:val="333333"/>
          <w:kern w:val="0"/>
          <w:sz w:val="24"/>
          <w:szCs w:val="24"/>
          <w:highlight w:val="none"/>
          <w:u w:val="single"/>
        </w:rPr>
        <w:t xml:space="preserve"> </w:t>
      </w:r>
      <w:r>
        <w:rPr>
          <w:rFonts w:hint="eastAsia" w:ascii="宋体" w:hAnsi="宋体" w:eastAsia="宋体" w:cs="宋体"/>
          <w:i/>
          <w:color w:val="333333"/>
          <w:kern w:val="0"/>
          <w:sz w:val="24"/>
          <w:szCs w:val="24"/>
          <w:highlight w:val="none"/>
          <w:u w:val="single"/>
        </w:rPr>
        <w:t>(采购文件中</w:t>
      </w:r>
      <w:r>
        <w:rPr>
          <w:rFonts w:hint="eastAsia" w:ascii="宋体" w:hAnsi="宋体" w:eastAsia="宋体" w:cs="宋体"/>
          <w:i/>
          <w:color w:val="333333"/>
          <w:kern w:val="0"/>
          <w:sz w:val="24"/>
          <w:szCs w:val="24"/>
          <w:highlight w:val="none"/>
          <w:u w:val="single"/>
          <w:lang w:val="en-US" w:eastAsia="zh-CN"/>
        </w:rPr>
        <w:t>明确</w:t>
      </w:r>
      <w:r>
        <w:rPr>
          <w:rFonts w:hint="eastAsia" w:ascii="宋体" w:hAnsi="宋体" w:eastAsia="宋体" w:cs="宋体"/>
          <w:i/>
          <w:color w:val="333333"/>
          <w:kern w:val="0"/>
          <w:sz w:val="24"/>
          <w:szCs w:val="24"/>
          <w:highlight w:val="none"/>
          <w:u w:val="single"/>
        </w:rPr>
        <w:t>的所属行业)</w:t>
      </w:r>
      <w:r>
        <w:rPr>
          <w:rFonts w:hint="eastAsia" w:ascii="宋体" w:hAnsi="宋体" w:eastAsia="宋体" w:cs="宋体"/>
          <w:color w:val="333333"/>
          <w:kern w:val="0"/>
          <w:sz w:val="24"/>
          <w:szCs w:val="24"/>
          <w:highlight w:val="none"/>
          <w:u w:val="single"/>
        </w:rPr>
        <w:t xml:space="preserve"> </w:t>
      </w:r>
      <w:r>
        <w:rPr>
          <w:rFonts w:hint="eastAsia" w:ascii="宋体" w:hAnsi="宋体" w:eastAsia="宋体" w:cs="宋体"/>
          <w:color w:val="333333"/>
          <w:kern w:val="0"/>
          <w:sz w:val="24"/>
          <w:szCs w:val="24"/>
          <w:highlight w:val="none"/>
        </w:rPr>
        <w:t>；承建(承接)企业为</w:t>
      </w:r>
      <w:r>
        <w:rPr>
          <w:rFonts w:hint="eastAsia" w:ascii="宋体" w:hAnsi="宋体" w:eastAsia="宋体" w:cs="宋体"/>
          <w:i/>
          <w:color w:val="333333"/>
          <w:kern w:val="0"/>
          <w:sz w:val="24"/>
          <w:szCs w:val="24"/>
          <w:highlight w:val="none"/>
          <w:u w:val="single"/>
        </w:rPr>
        <w:t xml:space="preserve"> (企业名称) </w:t>
      </w:r>
      <w:r>
        <w:rPr>
          <w:rFonts w:hint="eastAsia" w:ascii="宋体" w:hAnsi="宋体" w:eastAsia="宋体" w:cs="宋体"/>
          <w:color w:val="333333"/>
          <w:kern w:val="0"/>
          <w:sz w:val="24"/>
          <w:szCs w:val="24"/>
          <w:highlight w:val="none"/>
        </w:rPr>
        <w:t>，从业人员</w:t>
      </w:r>
      <w:r>
        <w:rPr>
          <w:rFonts w:hint="eastAsia" w:ascii="宋体" w:hAnsi="宋体" w:eastAsia="宋体" w:cs="宋体"/>
          <w:color w:val="333333"/>
          <w:kern w:val="0"/>
          <w:sz w:val="24"/>
          <w:szCs w:val="24"/>
          <w:highlight w:val="none"/>
          <w:u w:val="single"/>
        </w:rPr>
        <w:t xml:space="preserve">   </w:t>
      </w:r>
      <w:r>
        <w:rPr>
          <w:rFonts w:hint="eastAsia" w:ascii="宋体" w:hAnsi="宋体" w:eastAsia="宋体" w:cs="宋体"/>
          <w:color w:val="333333"/>
          <w:kern w:val="0"/>
          <w:sz w:val="24"/>
          <w:szCs w:val="24"/>
          <w:highlight w:val="none"/>
        </w:rPr>
        <w:t>人，营业收入为</w:t>
      </w:r>
      <w:r>
        <w:rPr>
          <w:rFonts w:hint="eastAsia" w:ascii="宋体" w:hAnsi="宋体" w:eastAsia="宋体" w:cs="宋体"/>
          <w:color w:val="333333"/>
          <w:kern w:val="0"/>
          <w:sz w:val="24"/>
          <w:szCs w:val="24"/>
          <w:highlight w:val="none"/>
          <w:u w:val="single"/>
        </w:rPr>
        <w:t xml:space="preserve">   </w:t>
      </w:r>
      <w:r>
        <w:rPr>
          <w:rFonts w:hint="eastAsia" w:ascii="宋体" w:hAnsi="宋体" w:eastAsia="宋体" w:cs="宋体"/>
          <w:color w:val="333333"/>
          <w:kern w:val="0"/>
          <w:sz w:val="24"/>
          <w:szCs w:val="24"/>
          <w:highlight w:val="none"/>
        </w:rPr>
        <w:t>万元，资产总额为</w:t>
      </w:r>
      <w:r>
        <w:rPr>
          <w:rFonts w:hint="eastAsia" w:ascii="宋体" w:hAnsi="宋体" w:eastAsia="宋体" w:cs="宋体"/>
          <w:color w:val="333333"/>
          <w:kern w:val="0"/>
          <w:sz w:val="24"/>
          <w:szCs w:val="24"/>
          <w:highlight w:val="none"/>
          <w:u w:val="single"/>
        </w:rPr>
        <w:t xml:space="preserve">    </w:t>
      </w:r>
      <w:r>
        <w:rPr>
          <w:rFonts w:hint="eastAsia" w:ascii="宋体" w:hAnsi="宋体" w:eastAsia="宋体" w:cs="宋体"/>
          <w:color w:val="333333"/>
          <w:kern w:val="0"/>
          <w:sz w:val="24"/>
          <w:szCs w:val="24"/>
          <w:highlight w:val="none"/>
        </w:rPr>
        <w:t>万元，属于</w:t>
      </w:r>
      <w:r>
        <w:rPr>
          <w:rFonts w:hint="eastAsia" w:ascii="宋体" w:hAnsi="宋体" w:eastAsia="宋体" w:cs="宋体"/>
          <w:i/>
          <w:color w:val="333333"/>
          <w:kern w:val="0"/>
          <w:sz w:val="24"/>
          <w:szCs w:val="24"/>
          <w:highlight w:val="none"/>
          <w:u w:val="single"/>
        </w:rPr>
        <w:t xml:space="preserve"> (中型企必、小型企业、微型企业) </w:t>
      </w:r>
      <w:r>
        <w:rPr>
          <w:rFonts w:hint="eastAsia" w:ascii="宋体" w:hAnsi="宋体" w:eastAsia="宋体" w:cs="宋体"/>
          <w:color w:val="333333"/>
          <w:kern w:val="0"/>
          <w:sz w:val="24"/>
          <w:szCs w:val="24"/>
          <w:highlight w:val="none"/>
        </w:rPr>
        <w:t>；</w:t>
      </w:r>
    </w:p>
    <w:p w14:paraId="17B8C547">
      <w:pPr>
        <w:spacing w:line="560" w:lineRule="exact"/>
        <w:ind w:firstLine="480" w:firstLineChars="200"/>
        <w:rPr>
          <w:rFonts w:hint="eastAsia" w:ascii="宋体" w:hAnsi="宋体" w:eastAsia="宋体" w:cs="宋体"/>
          <w:color w:val="333333"/>
          <w:kern w:val="0"/>
          <w:sz w:val="24"/>
          <w:szCs w:val="24"/>
          <w:highlight w:val="none"/>
        </w:rPr>
      </w:pPr>
      <w:r>
        <w:rPr>
          <w:rFonts w:hint="eastAsia" w:ascii="宋体" w:hAnsi="宋体" w:eastAsia="宋体" w:cs="宋体"/>
          <w:color w:val="333333"/>
          <w:kern w:val="0"/>
          <w:sz w:val="24"/>
          <w:szCs w:val="24"/>
          <w:highlight w:val="none"/>
        </w:rPr>
        <w:t xml:space="preserve">2. </w:t>
      </w:r>
      <w:r>
        <w:rPr>
          <w:rFonts w:hint="eastAsia" w:ascii="宋体" w:hAnsi="宋体" w:eastAsia="宋体" w:cs="宋体"/>
          <w:color w:val="333333"/>
          <w:kern w:val="0"/>
          <w:sz w:val="24"/>
          <w:szCs w:val="24"/>
          <w:highlight w:val="none"/>
          <w:u w:val="single"/>
        </w:rPr>
        <w:t xml:space="preserve"> </w:t>
      </w:r>
      <w:r>
        <w:rPr>
          <w:rFonts w:hint="eastAsia" w:ascii="宋体" w:hAnsi="宋体" w:eastAsia="宋体" w:cs="宋体"/>
          <w:i/>
          <w:color w:val="333333"/>
          <w:kern w:val="0"/>
          <w:sz w:val="24"/>
          <w:szCs w:val="24"/>
          <w:highlight w:val="none"/>
          <w:u w:val="single"/>
        </w:rPr>
        <w:t xml:space="preserve">(标的名称) </w:t>
      </w:r>
      <w:r>
        <w:rPr>
          <w:rFonts w:hint="eastAsia" w:ascii="宋体" w:hAnsi="宋体" w:eastAsia="宋体" w:cs="宋体"/>
          <w:color w:val="333333"/>
          <w:kern w:val="0"/>
          <w:sz w:val="24"/>
          <w:szCs w:val="24"/>
          <w:highlight w:val="none"/>
        </w:rPr>
        <w:t>，属于</w:t>
      </w:r>
      <w:r>
        <w:rPr>
          <w:rFonts w:hint="eastAsia" w:ascii="宋体" w:hAnsi="宋体" w:eastAsia="宋体" w:cs="宋体"/>
          <w:color w:val="333333"/>
          <w:kern w:val="0"/>
          <w:sz w:val="24"/>
          <w:szCs w:val="24"/>
          <w:highlight w:val="none"/>
          <w:u w:val="single"/>
        </w:rPr>
        <w:t xml:space="preserve"> </w:t>
      </w:r>
      <w:r>
        <w:rPr>
          <w:rFonts w:hint="eastAsia" w:ascii="宋体" w:hAnsi="宋体" w:eastAsia="宋体" w:cs="宋体"/>
          <w:i/>
          <w:color w:val="333333"/>
          <w:kern w:val="0"/>
          <w:sz w:val="24"/>
          <w:szCs w:val="24"/>
          <w:highlight w:val="none"/>
          <w:u w:val="single"/>
        </w:rPr>
        <w:t>(采购文件中</w:t>
      </w:r>
      <w:r>
        <w:rPr>
          <w:rFonts w:hint="eastAsia" w:ascii="宋体" w:hAnsi="宋体" w:eastAsia="宋体" w:cs="宋体"/>
          <w:i/>
          <w:color w:val="333333"/>
          <w:kern w:val="0"/>
          <w:sz w:val="24"/>
          <w:szCs w:val="24"/>
          <w:highlight w:val="none"/>
          <w:u w:val="single"/>
          <w:lang w:val="en-US" w:eastAsia="zh-CN"/>
        </w:rPr>
        <w:t>明确</w:t>
      </w:r>
      <w:r>
        <w:rPr>
          <w:rFonts w:hint="eastAsia" w:ascii="宋体" w:hAnsi="宋体" w:eastAsia="宋体" w:cs="宋体"/>
          <w:i/>
          <w:color w:val="333333"/>
          <w:kern w:val="0"/>
          <w:sz w:val="24"/>
          <w:szCs w:val="24"/>
          <w:highlight w:val="none"/>
          <w:u w:val="single"/>
        </w:rPr>
        <w:t>的所属行业)</w:t>
      </w:r>
      <w:r>
        <w:rPr>
          <w:rFonts w:hint="eastAsia" w:ascii="宋体" w:hAnsi="宋体" w:eastAsia="宋体" w:cs="宋体"/>
          <w:color w:val="333333"/>
          <w:kern w:val="0"/>
          <w:sz w:val="24"/>
          <w:szCs w:val="24"/>
          <w:highlight w:val="none"/>
          <w:u w:val="single"/>
        </w:rPr>
        <w:t xml:space="preserve"> </w:t>
      </w:r>
      <w:r>
        <w:rPr>
          <w:rFonts w:hint="eastAsia" w:ascii="宋体" w:hAnsi="宋体" w:eastAsia="宋体" w:cs="宋体"/>
          <w:color w:val="333333"/>
          <w:kern w:val="0"/>
          <w:sz w:val="24"/>
          <w:szCs w:val="24"/>
          <w:highlight w:val="none"/>
        </w:rPr>
        <w:t>；承建(承接)企业为</w:t>
      </w:r>
      <w:r>
        <w:rPr>
          <w:rFonts w:hint="eastAsia" w:ascii="宋体" w:hAnsi="宋体" w:eastAsia="宋体" w:cs="宋体"/>
          <w:i/>
          <w:color w:val="333333"/>
          <w:kern w:val="0"/>
          <w:sz w:val="24"/>
          <w:szCs w:val="24"/>
          <w:highlight w:val="none"/>
          <w:u w:val="single"/>
        </w:rPr>
        <w:t xml:space="preserve"> (企业名称) </w:t>
      </w:r>
      <w:r>
        <w:rPr>
          <w:rFonts w:hint="eastAsia" w:ascii="宋体" w:hAnsi="宋体" w:eastAsia="宋体" w:cs="宋体"/>
          <w:color w:val="333333"/>
          <w:kern w:val="0"/>
          <w:sz w:val="24"/>
          <w:szCs w:val="24"/>
          <w:highlight w:val="none"/>
        </w:rPr>
        <w:t>，从业人员</w:t>
      </w:r>
      <w:r>
        <w:rPr>
          <w:rFonts w:hint="eastAsia" w:ascii="宋体" w:hAnsi="宋体" w:eastAsia="宋体" w:cs="宋体"/>
          <w:color w:val="333333"/>
          <w:kern w:val="0"/>
          <w:sz w:val="24"/>
          <w:szCs w:val="24"/>
          <w:highlight w:val="none"/>
          <w:u w:val="single"/>
        </w:rPr>
        <w:t xml:space="preserve">   </w:t>
      </w:r>
      <w:r>
        <w:rPr>
          <w:rFonts w:hint="eastAsia" w:ascii="宋体" w:hAnsi="宋体" w:eastAsia="宋体" w:cs="宋体"/>
          <w:color w:val="333333"/>
          <w:kern w:val="0"/>
          <w:sz w:val="24"/>
          <w:szCs w:val="24"/>
          <w:highlight w:val="none"/>
        </w:rPr>
        <w:t>人，营业收入为</w:t>
      </w:r>
      <w:r>
        <w:rPr>
          <w:rFonts w:hint="eastAsia" w:ascii="宋体" w:hAnsi="宋体" w:eastAsia="宋体" w:cs="宋体"/>
          <w:color w:val="333333"/>
          <w:kern w:val="0"/>
          <w:sz w:val="24"/>
          <w:szCs w:val="24"/>
          <w:highlight w:val="none"/>
          <w:u w:val="single"/>
        </w:rPr>
        <w:t xml:space="preserve">   </w:t>
      </w:r>
      <w:r>
        <w:rPr>
          <w:rFonts w:hint="eastAsia" w:ascii="宋体" w:hAnsi="宋体" w:eastAsia="宋体" w:cs="宋体"/>
          <w:color w:val="333333"/>
          <w:kern w:val="0"/>
          <w:sz w:val="24"/>
          <w:szCs w:val="24"/>
          <w:highlight w:val="none"/>
        </w:rPr>
        <w:t>万元，资产总额为</w:t>
      </w:r>
      <w:r>
        <w:rPr>
          <w:rFonts w:hint="eastAsia" w:ascii="宋体" w:hAnsi="宋体" w:eastAsia="宋体" w:cs="宋体"/>
          <w:color w:val="333333"/>
          <w:kern w:val="0"/>
          <w:sz w:val="24"/>
          <w:szCs w:val="24"/>
          <w:highlight w:val="none"/>
          <w:u w:val="single"/>
        </w:rPr>
        <w:t xml:space="preserve">    </w:t>
      </w:r>
      <w:r>
        <w:rPr>
          <w:rFonts w:hint="eastAsia" w:ascii="宋体" w:hAnsi="宋体" w:eastAsia="宋体" w:cs="宋体"/>
          <w:color w:val="333333"/>
          <w:kern w:val="0"/>
          <w:sz w:val="24"/>
          <w:szCs w:val="24"/>
          <w:highlight w:val="none"/>
        </w:rPr>
        <w:t>万元，属于</w:t>
      </w:r>
      <w:r>
        <w:rPr>
          <w:rFonts w:hint="eastAsia" w:ascii="宋体" w:hAnsi="宋体" w:eastAsia="宋体" w:cs="宋体"/>
          <w:i/>
          <w:color w:val="333333"/>
          <w:kern w:val="0"/>
          <w:sz w:val="24"/>
          <w:szCs w:val="24"/>
          <w:highlight w:val="none"/>
          <w:u w:val="single"/>
        </w:rPr>
        <w:t xml:space="preserve"> (中型企必、小型企业、微型企业) </w:t>
      </w:r>
      <w:r>
        <w:rPr>
          <w:rFonts w:hint="eastAsia" w:ascii="宋体" w:hAnsi="宋体" w:eastAsia="宋体" w:cs="宋体"/>
          <w:color w:val="333333"/>
          <w:kern w:val="0"/>
          <w:sz w:val="24"/>
          <w:szCs w:val="24"/>
          <w:highlight w:val="none"/>
        </w:rPr>
        <w:t>；</w:t>
      </w:r>
    </w:p>
    <w:p w14:paraId="260789F1">
      <w:pPr>
        <w:spacing w:line="560" w:lineRule="exact"/>
        <w:ind w:firstLine="480" w:firstLineChars="200"/>
        <w:rPr>
          <w:rFonts w:hint="eastAsia" w:ascii="宋体" w:hAnsi="宋体" w:eastAsia="宋体" w:cs="宋体"/>
          <w:color w:val="333333"/>
          <w:kern w:val="0"/>
          <w:sz w:val="24"/>
          <w:szCs w:val="24"/>
          <w:highlight w:val="none"/>
        </w:rPr>
      </w:pPr>
      <w:r>
        <w:rPr>
          <w:rFonts w:hint="eastAsia" w:ascii="宋体" w:hAnsi="宋体" w:eastAsia="宋体" w:cs="宋体"/>
          <w:color w:val="333333"/>
          <w:kern w:val="0"/>
          <w:sz w:val="24"/>
          <w:szCs w:val="24"/>
          <w:highlight w:val="none"/>
        </w:rPr>
        <w:t>……</w:t>
      </w:r>
    </w:p>
    <w:p w14:paraId="1402C7ED">
      <w:pPr>
        <w:spacing w:line="560" w:lineRule="exact"/>
        <w:ind w:firstLine="480" w:firstLineChars="200"/>
        <w:rPr>
          <w:rFonts w:hint="eastAsia" w:ascii="宋体" w:hAnsi="宋体" w:eastAsia="宋体" w:cs="宋体"/>
          <w:color w:val="333333"/>
          <w:kern w:val="0"/>
          <w:sz w:val="24"/>
          <w:szCs w:val="24"/>
          <w:highlight w:val="none"/>
        </w:rPr>
      </w:pPr>
      <w:r>
        <w:rPr>
          <w:rFonts w:hint="eastAsia" w:ascii="宋体" w:hAnsi="宋体" w:eastAsia="宋体" w:cs="宋体"/>
          <w:color w:val="333333"/>
          <w:kern w:val="0"/>
          <w:sz w:val="24"/>
          <w:szCs w:val="24"/>
          <w:highlight w:val="none"/>
        </w:rPr>
        <w:t>以上企业，不属于大企业的分支机构，不存在控股股东为大企业的情形，也不存在与大企业的负责人为同一人的情形。</w:t>
      </w:r>
    </w:p>
    <w:p w14:paraId="2653C98A">
      <w:pPr>
        <w:spacing w:line="560" w:lineRule="exact"/>
        <w:ind w:firstLine="480" w:firstLineChars="200"/>
        <w:rPr>
          <w:rFonts w:hint="eastAsia" w:ascii="宋体" w:hAnsi="宋体" w:eastAsia="宋体" w:cs="宋体"/>
          <w:color w:val="333333"/>
          <w:kern w:val="0"/>
          <w:sz w:val="24"/>
          <w:szCs w:val="24"/>
          <w:highlight w:val="none"/>
        </w:rPr>
      </w:pPr>
      <w:r>
        <w:rPr>
          <w:rFonts w:hint="eastAsia" w:ascii="宋体" w:hAnsi="宋体" w:eastAsia="宋体" w:cs="宋体"/>
          <w:color w:val="333333"/>
          <w:kern w:val="0"/>
          <w:sz w:val="24"/>
          <w:szCs w:val="24"/>
          <w:highlight w:val="none"/>
        </w:rPr>
        <w:t>本企业对上述声明内容的真实性负责。如有虚假，将依法承担相应责任。</w:t>
      </w:r>
    </w:p>
    <w:p w14:paraId="14E723A8">
      <w:pPr>
        <w:spacing w:line="560" w:lineRule="exact"/>
        <w:rPr>
          <w:rFonts w:hint="eastAsia" w:ascii="宋体" w:hAnsi="宋体" w:eastAsia="宋体" w:cs="宋体"/>
          <w:color w:val="333333"/>
          <w:kern w:val="0"/>
          <w:sz w:val="24"/>
          <w:szCs w:val="24"/>
          <w:highlight w:val="none"/>
        </w:rPr>
      </w:pPr>
      <w:r>
        <w:rPr>
          <w:rFonts w:hint="eastAsia" w:ascii="宋体" w:hAnsi="宋体" w:eastAsia="宋体" w:cs="宋体"/>
          <w:color w:val="333333"/>
          <w:kern w:val="0"/>
          <w:sz w:val="24"/>
          <w:szCs w:val="24"/>
          <w:highlight w:val="none"/>
        </w:rPr>
        <w:t xml:space="preserve">                                  企业名称(盖章):</w:t>
      </w:r>
    </w:p>
    <w:p w14:paraId="2CC2D545">
      <w:pPr>
        <w:spacing w:line="560" w:lineRule="exact"/>
        <w:ind w:firstLine="4320" w:firstLineChars="1800"/>
        <w:rPr>
          <w:rFonts w:hint="eastAsia" w:ascii="宋体" w:hAnsi="宋体" w:eastAsia="宋体" w:cs="宋体"/>
          <w:color w:val="333333"/>
          <w:kern w:val="0"/>
          <w:sz w:val="24"/>
          <w:szCs w:val="24"/>
          <w:highlight w:val="none"/>
          <w:u w:val="single"/>
        </w:rPr>
      </w:pPr>
      <w:r>
        <w:rPr>
          <w:rFonts w:hint="eastAsia" w:ascii="宋体" w:hAnsi="宋体" w:eastAsia="宋体" w:cs="宋体"/>
          <w:color w:val="333333"/>
          <w:kern w:val="0"/>
          <w:sz w:val="24"/>
          <w:szCs w:val="24"/>
          <w:highlight w:val="none"/>
        </w:rPr>
        <w:t>日期：</w:t>
      </w:r>
      <w:r>
        <w:rPr>
          <w:rFonts w:hint="eastAsia" w:ascii="宋体" w:hAnsi="宋体" w:eastAsia="宋体" w:cs="宋体"/>
          <w:color w:val="333333"/>
          <w:kern w:val="0"/>
          <w:sz w:val="24"/>
          <w:szCs w:val="24"/>
          <w:highlight w:val="none"/>
          <w:u w:val="single"/>
        </w:rPr>
        <w:t xml:space="preserve">                           </w:t>
      </w:r>
    </w:p>
    <w:p w14:paraId="1905795A">
      <w:pPr>
        <w:spacing w:line="240" w:lineRule="auto"/>
        <w:ind w:firstLine="482" w:firstLineChars="200"/>
        <w:rPr>
          <w:rFonts w:hint="eastAsia" w:ascii="宋体" w:hAnsi="宋体" w:eastAsia="宋体" w:cs="宋体"/>
          <w:b/>
          <w:bCs/>
          <w:sz w:val="24"/>
          <w:szCs w:val="24"/>
          <w:highlight w:val="none"/>
        </w:rPr>
      </w:pPr>
    </w:p>
    <w:p w14:paraId="746E20AD">
      <w:pPr>
        <w:spacing w:line="360" w:lineRule="auto"/>
        <w:ind w:firstLine="482" w:firstLineChars="200"/>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注：</w:t>
      </w:r>
      <w:r>
        <w:rPr>
          <w:rFonts w:hint="eastAsia" w:ascii="宋体" w:hAnsi="宋体" w:eastAsia="宋体" w:cs="宋体"/>
          <w:b/>
          <w:bCs/>
          <w:sz w:val="24"/>
          <w:szCs w:val="24"/>
          <w:highlight w:val="none"/>
          <w:lang w:val="en-US" w:eastAsia="zh-CN"/>
        </w:rPr>
        <w:t>1.</w:t>
      </w:r>
      <w:r>
        <w:rPr>
          <w:rFonts w:hint="eastAsia" w:ascii="宋体" w:hAnsi="宋体" w:eastAsia="宋体" w:cs="宋体"/>
          <w:b/>
          <w:bCs/>
          <w:sz w:val="24"/>
          <w:szCs w:val="24"/>
          <w:highlight w:val="none"/>
        </w:rPr>
        <w:t>从业人员、营业收入、资产总额填报上一年度数据，无上一年度数据的新成立企业可不填报</w:t>
      </w:r>
      <w:r>
        <w:rPr>
          <w:rFonts w:hint="eastAsia" w:ascii="宋体" w:hAnsi="宋体" w:eastAsia="宋体" w:cs="宋体"/>
          <w:b/>
          <w:bCs/>
          <w:sz w:val="24"/>
          <w:szCs w:val="24"/>
          <w:highlight w:val="none"/>
          <w:lang w:eastAsia="zh-CN"/>
        </w:rPr>
        <w:t>；</w:t>
      </w:r>
    </w:p>
    <w:p w14:paraId="40B81AFA">
      <w:pPr>
        <w:numPr>
          <w:ilvl w:val="0"/>
          <w:numId w:val="12"/>
        </w:num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sz w:val="24"/>
          <w:szCs w:val="24"/>
          <w:highlight w:val="none"/>
          <w:lang w:val="en-US" w:eastAsia="zh-CN"/>
        </w:rPr>
        <w:t>说明：本采购项目属于“其他未列明行业”。</w:t>
      </w:r>
    </w:p>
    <w:p w14:paraId="5CFB8375">
      <w:pPr>
        <w:pStyle w:val="4"/>
        <w:jc w:val="center"/>
        <w:rPr>
          <w:rFonts w:hint="eastAsia" w:ascii="宋体" w:hAnsi="宋体" w:eastAsia="宋体" w:cs="宋体"/>
          <w:b/>
          <w:color w:val="auto"/>
          <w:sz w:val="32"/>
          <w:szCs w:val="32"/>
          <w:highlight w:val="none"/>
        </w:rPr>
      </w:pPr>
      <w:bookmarkStart w:id="442" w:name="_Toc62194356"/>
      <w:bookmarkStart w:id="443" w:name="_Toc60929143"/>
      <w:bookmarkStart w:id="444" w:name="_Toc60928911"/>
      <w:bookmarkStart w:id="445" w:name="_Toc532473512"/>
    </w:p>
    <w:p w14:paraId="3B8CE422">
      <w:pPr>
        <w:pStyle w:val="4"/>
        <w:jc w:val="center"/>
        <w:rPr>
          <w:rFonts w:hint="eastAsia" w:ascii="宋体" w:hAnsi="宋体" w:eastAsia="宋体" w:cs="宋体"/>
          <w:b/>
          <w:color w:val="auto"/>
          <w:sz w:val="32"/>
          <w:szCs w:val="32"/>
          <w:highlight w:val="none"/>
        </w:rPr>
      </w:pPr>
    </w:p>
    <w:p w14:paraId="2EB2151D">
      <w:pPr>
        <w:pStyle w:val="4"/>
        <w:jc w:val="center"/>
        <w:rPr>
          <w:rFonts w:hint="eastAsia" w:ascii="宋体" w:hAnsi="宋体" w:eastAsia="宋体" w:cs="宋体"/>
          <w:b/>
          <w:color w:val="auto"/>
          <w:sz w:val="32"/>
          <w:szCs w:val="32"/>
          <w:highlight w:val="none"/>
        </w:rPr>
      </w:pPr>
    </w:p>
    <w:p w14:paraId="164F95D0">
      <w:pPr>
        <w:pStyle w:val="4"/>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供应商监狱企业声明函</w:t>
      </w:r>
      <w:bookmarkEnd w:id="442"/>
      <w:bookmarkEnd w:id="443"/>
      <w:bookmarkEnd w:id="444"/>
    </w:p>
    <w:bookmarkEnd w:id="445"/>
    <w:p w14:paraId="5DBEB957">
      <w:pPr>
        <w:spacing w:line="560" w:lineRule="exact"/>
        <w:ind w:firstLine="480" w:firstLineChars="200"/>
        <w:rPr>
          <w:rFonts w:hint="eastAsia" w:ascii="宋体" w:hAnsi="宋体" w:eastAsia="宋体" w:cs="宋体"/>
          <w:color w:val="333333"/>
          <w:kern w:val="0"/>
          <w:sz w:val="24"/>
          <w:szCs w:val="24"/>
          <w:highlight w:val="none"/>
        </w:rPr>
      </w:pPr>
      <w:r>
        <w:rPr>
          <w:rFonts w:hint="eastAsia" w:ascii="宋体" w:hAnsi="宋体" w:eastAsia="宋体" w:cs="宋体"/>
          <w:color w:val="333333"/>
          <w:kern w:val="0"/>
          <w:sz w:val="24"/>
          <w:szCs w:val="24"/>
          <w:highlight w:val="none"/>
        </w:rPr>
        <w:t>（注：符合条件的监狱企业请提供本函，不符合的不提供本函）</w:t>
      </w:r>
    </w:p>
    <w:p w14:paraId="51201670">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eastAsia" w:ascii="宋体" w:hAnsi="宋体" w:eastAsia="宋体" w:cs="宋体"/>
          <w:kern w:val="0"/>
          <w:sz w:val="24"/>
          <w:szCs w:val="24"/>
          <w:highlight w:val="none"/>
        </w:rPr>
      </w:pPr>
    </w:p>
    <w:p w14:paraId="6C555E06">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本单位郑重声明下列事项（按照实际情况勾选或填空）：</w:t>
      </w:r>
    </w:p>
    <w:p w14:paraId="0BEC1D60">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本单位为直接</w:t>
      </w:r>
      <w:r>
        <w:rPr>
          <w:rFonts w:hint="eastAsia" w:ascii="宋体" w:hAnsi="宋体" w:eastAsia="宋体" w:cs="宋体"/>
          <w:kern w:val="0"/>
          <w:sz w:val="24"/>
          <w:szCs w:val="24"/>
          <w:highlight w:val="none"/>
          <w:lang w:val="en-US" w:eastAsia="zh-CN"/>
        </w:rPr>
        <w:t>供应商，</w:t>
      </w:r>
      <w:r>
        <w:rPr>
          <w:rFonts w:hint="eastAsia" w:ascii="宋体" w:hAnsi="宋体" w:eastAsia="宋体" w:cs="宋体"/>
          <w:kern w:val="0"/>
          <w:sz w:val="24"/>
          <w:szCs w:val="24"/>
          <w:highlight w:val="none"/>
        </w:rPr>
        <w:t>提供本单位制造的货物。</w:t>
      </w:r>
    </w:p>
    <w:p w14:paraId="73089774">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360" w:firstLineChars="15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（1）本企业（单位）</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（请填写：是、不是）监狱企业。如果是，后附省级以上监狱管理局、戒毒管理局（含新疆生产建设兵团）出具的属于监狱企业的证明文件。</w:t>
      </w:r>
    </w:p>
    <w:p w14:paraId="2E8240F1">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2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（2）本企业（单位）</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（请填写：是、不是）为联合体一方，提供本企业（单位）制造的货物，由本企业（单位）承担工程、提供服务。本企业（单位）提供协议合同金额占到共同投标协议合同总金额的比例为</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w:t>
      </w:r>
    </w:p>
    <w:p w14:paraId="472254C6">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本企业（单位）对上述声明的真实性负责。如有虚假，将依法承担相应责任。</w:t>
      </w:r>
    </w:p>
    <w:p w14:paraId="78327887">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r>
        <w:rPr>
          <w:rFonts w:hint="eastAsia" w:ascii="宋体" w:hAnsi="宋体" w:eastAsia="宋体" w:cs="宋体"/>
          <w:b/>
          <w:kern w:val="0"/>
          <w:sz w:val="24"/>
          <w:szCs w:val="24"/>
          <w:highlight w:val="none"/>
        </w:rPr>
        <w:t>　</w:t>
      </w:r>
      <w:r>
        <w:rPr>
          <w:rFonts w:hint="eastAsia" w:ascii="宋体" w:hAnsi="宋体" w:eastAsia="宋体" w:cs="宋体"/>
          <w:kern w:val="0"/>
          <w:sz w:val="24"/>
          <w:szCs w:val="24"/>
          <w:highlight w:val="none"/>
          <w:lang w:val="en-US" w:eastAsia="zh-CN"/>
        </w:rPr>
        <w:t>单位名称</w:t>
      </w:r>
      <w:r>
        <w:rPr>
          <w:rFonts w:hint="eastAsia" w:ascii="宋体" w:hAnsi="宋体" w:eastAsia="宋体" w:cs="宋体"/>
          <w:kern w:val="0"/>
          <w:sz w:val="24"/>
          <w:szCs w:val="24"/>
          <w:highlight w:val="none"/>
        </w:rPr>
        <w:t>（公章）：</w:t>
      </w:r>
      <w:r>
        <w:rPr>
          <w:rFonts w:hint="eastAsia" w:ascii="宋体" w:hAnsi="宋体" w:eastAsia="宋体" w:cs="宋体"/>
          <w:kern w:val="0"/>
          <w:sz w:val="24"/>
          <w:szCs w:val="24"/>
          <w:highlight w:val="none"/>
          <w:u w:val="single"/>
        </w:rPr>
        <w:t xml:space="preserve">             </w:t>
      </w:r>
    </w:p>
    <w:p w14:paraId="075588CB">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 xml:space="preserve">法定代表人或授权代表（签字）: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 xml:space="preserve">           </w:t>
      </w:r>
    </w:p>
    <w:p w14:paraId="43747892">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rPr>
        <w:t>日　期：</w:t>
      </w:r>
      <w:r>
        <w:rPr>
          <w:rFonts w:hint="eastAsia" w:ascii="宋体" w:hAnsi="宋体" w:eastAsia="宋体" w:cs="宋体"/>
          <w:kern w:val="0"/>
          <w:sz w:val="24"/>
          <w:szCs w:val="24"/>
          <w:highlight w:val="none"/>
          <w:u w:val="single"/>
        </w:rPr>
        <w:t xml:space="preserve">             </w:t>
      </w:r>
    </w:p>
    <w:p w14:paraId="40AFB560">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left"/>
        <w:textAlignment w:val="auto"/>
        <w:rPr>
          <w:rFonts w:hint="eastAsia" w:ascii="宋体" w:hAnsi="宋体" w:eastAsia="宋体" w:cs="宋体"/>
          <w:kern w:val="0"/>
          <w:sz w:val="24"/>
          <w:szCs w:val="24"/>
          <w:highlight w:val="none"/>
          <w:u w:val="single"/>
        </w:rPr>
      </w:pPr>
    </w:p>
    <w:p w14:paraId="7EA45A01">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left"/>
        <w:textAlignment w:val="auto"/>
        <w:rPr>
          <w:rFonts w:hint="eastAsia" w:ascii="宋体" w:hAnsi="宋体" w:eastAsia="宋体" w:cs="宋体"/>
          <w:sz w:val="24"/>
          <w:szCs w:val="24"/>
          <w:highlight w:val="none"/>
          <w:u w:val="none"/>
        </w:rPr>
      </w:pPr>
      <w:r>
        <w:rPr>
          <w:rFonts w:hint="eastAsia" w:ascii="宋体" w:hAnsi="宋体" w:eastAsia="宋体" w:cs="宋体"/>
          <w:kern w:val="0"/>
          <w:sz w:val="24"/>
          <w:szCs w:val="24"/>
          <w:highlight w:val="none"/>
          <w:u w:val="none"/>
        </w:rPr>
        <w:t>注：符合《关于政府采购支持监狱企业发展有关问题的通知》价格扣减条件的供应商须提交。</w:t>
      </w:r>
      <w:r>
        <w:rPr>
          <w:rFonts w:hint="eastAsia" w:ascii="宋体" w:hAnsi="宋体" w:eastAsia="宋体" w:cs="宋体"/>
          <w:kern w:val="0"/>
          <w:sz w:val="24"/>
          <w:szCs w:val="24"/>
          <w:highlight w:val="none"/>
          <w:u w:val="none"/>
          <w:lang w:val="en-US" w:eastAsia="zh-CN"/>
        </w:rPr>
        <w:t>需提供</w:t>
      </w:r>
      <w:r>
        <w:rPr>
          <w:rFonts w:hint="eastAsia" w:ascii="宋体" w:hAnsi="宋体" w:eastAsia="宋体" w:cs="宋体"/>
          <w:sz w:val="24"/>
          <w:szCs w:val="24"/>
          <w:highlight w:val="none"/>
          <w:u w:val="none"/>
        </w:rPr>
        <w:t>省级以上监狱管理局、戒毒管理局（含新疆生产建设兵团）出具的属于监狱企业的证明文件。</w:t>
      </w:r>
    </w:p>
    <w:p w14:paraId="40B4749F">
      <w:pPr>
        <w:pStyle w:val="4"/>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br w:type="page"/>
      </w:r>
      <w:bookmarkStart w:id="446" w:name="_Toc60929144"/>
      <w:bookmarkStart w:id="447" w:name="_Toc60928912"/>
      <w:bookmarkStart w:id="448" w:name="_Toc62194357"/>
      <w:bookmarkStart w:id="449" w:name="_Toc532473513"/>
      <w:r>
        <w:rPr>
          <w:rFonts w:hint="eastAsia" w:ascii="宋体" w:hAnsi="宋体" w:eastAsia="宋体" w:cs="宋体"/>
          <w:b/>
          <w:color w:val="auto"/>
          <w:sz w:val="32"/>
          <w:szCs w:val="32"/>
          <w:highlight w:val="none"/>
        </w:rPr>
        <w:t>残疾人福利性单位声明函</w:t>
      </w:r>
      <w:bookmarkEnd w:id="446"/>
      <w:bookmarkEnd w:id="447"/>
      <w:bookmarkEnd w:id="448"/>
    </w:p>
    <w:bookmarkEnd w:id="449"/>
    <w:p w14:paraId="51167D92">
      <w:pPr>
        <w:spacing w:line="360" w:lineRule="auto"/>
        <w:ind w:left="1080" w:leftChars="257" w:hanging="540"/>
        <w:jc w:val="center"/>
        <w:rPr>
          <w:rFonts w:hint="eastAsia" w:ascii="宋体" w:hAnsi="宋体" w:eastAsia="宋体" w:cs="宋体"/>
          <w:color w:val="auto"/>
          <w:kern w:val="0"/>
          <w:sz w:val="24"/>
          <w:szCs w:val="24"/>
          <w:highlight w:val="none"/>
        </w:rPr>
      </w:pPr>
    </w:p>
    <w:p w14:paraId="29180AD4">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（注：符合条件的残疾人福利性单位请提供本函，不符合的不提供本函）</w:t>
      </w:r>
    </w:p>
    <w:p w14:paraId="0EC31938">
      <w:pPr>
        <w:rPr>
          <w:rFonts w:hint="eastAsia" w:ascii="宋体" w:hAnsi="宋体" w:eastAsia="宋体" w:cs="宋体"/>
          <w:sz w:val="24"/>
          <w:szCs w:val="24"/>
          <w:highlight w:val="none"/>
        </w:rPr>
      </w:pPr>
    </w:p>
    <w:p w14:paraId="3D10615F">
      <w:pPr>
        <w:spacing w:line="360" w:lineRule="auto"/>
        <w:rPr>
          <w:rFonts w:hint="eastAsia" w:ascii="宋体" w:hAnsi="宋体" w:eastAsia="宋体" w:cs="宋体"/>
          <w:sz w:val="24"/>
          <w:szCs w:val="24"/>
          <w:highlight w:val="none"/>
        </w:rPr>
      </w:pPr>
    </w:p>
    <w:p w14:paraId="30209C1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7F23CC3">
      <w:pPr>
        <w:spacing w:line="360"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本单位对上述声明的真实性负责。如有虚假，将依法承担相应责任。</w:t>
      </w:r>
    </w:p>
    <w:p w14:paraId="43B07139">
      <w:pPr>
        <w:spacing w:line="360" w:lineRule="auto"/>
        <w:rPr>
          <w:rFonts w:hint="eastAsia" w:ascii="宋体" w:hAnsi="宋体" w:eastAsia="宋体" w:cs="宋体"/>
          <w:sz w:val="24"/>
          <w:szCs w:val="24"/>
          <w:highlight w:val="none"/>
        </w:rPr>
      </w:pPr>
    </w:p>
    <w:p w14:paraId="11BAF9A7">
      <w:pP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1F52E7E9">
      <w:pPr>
        <w:rPr>
          <w:rFonts w:hint="eastAsia" w:ascii="宋体" w:hAnsi="宋体" w:eastAsia="宋体" w:cs="宋体"/>
          <w:sz w:val="24"/>
          <w:szCs w:val="24"/>
          <w:highlight w:val="none"/>
        </w:rPr>
      </w:pPr>
    </w:p>
    <w:p w14:paraId="708840FD">
      <w:pP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62FF6096">
      <w:pPr>
        <w:rPr>
          <w:rFonts w:hint="eastAsia" w:ascii="宋体" w:hAnsi="宋体" w:eastAsia="宋体" w:cs="宋体"/>
          <w:sz w:val="24"/>
          <w:szCs w:val="24"/>
          <w:highlight w:val="none"/>
        </w:rPr>
      </w:pPr>
    </w:p>
    <w:p w14:paraId="78BB0482">
      <w:pPr>
        <w:ind w:firstLine="3600" w:firstLineChars="1500"/>
        <w:rPr>
          <w:rFonts w:hint="eastAsia" w:ascii="宋体" w:hAnsi="宋体" w:eastAsia="宋体" w:cs="宋体"/>
          <w:sz w:val="24"/>
          <w:szCs w:val="24"/>
          <w:highlight w:val="none"/>
        </w:rPr>
      </w:pPr>
      <w:r>
        <w:rPr>
          <w:rFonts w:hint="eastAsia" w:ascii="宋体" w:hAnsi="宋体" w:eastAsia="宋体" w:cs="宋体"/>
          <w:sz w:val="24"/>
          <w:szCs w:val="24"/>
          <w:highlight w:val="none"/>
        </w:rPr>
        <w:t>单位名称（公章）：</w:t>
      </w:r>
    </w:p>
    <w:p w14:paraId="3AC87DF4">
      <w:pPr>
        <w:rPr>
          <w:rFonts w:hint="eastAsia" w:ascii="宋体" w:hAnsi="宋体" w:eastAsia="宋体" w:cs="宋体"/>
          <w:sz w:val="24"/>
          <w:szCs w:val="24"/>
          <w:highlight w:val="none"/>
        </w:rPr>
      </w:pPr>
    </w:p>
    <w:p w14:paraId="0A30B7E2">
      <w:pPr>
        <w:ind w:firstLine="3600" w:firstLineChars="1500"/>
        <w:rPr>
          <w:rFonts w:hint="eastAsia" w:ascii="宋体" w:hAnsi="宋体" w:eastAsia="宋体" w:cs="宋体"/>
          <w:sz w:val="24"/>
          <w:szCs w:val="24"/>
          <w:highlight w:val="none"/>
        </w:rPr>
      </w:pPr>
      <w:r>
        <w:rPr>
          <w:rFonts w:hint="eastAsia" w:ascii="宋体" w:hAnsi="宋体" w:eastAsia="宋体" w:cs="宋体"/>
          <w:sz w:val="24"/>
          <w:szCs w:val="24"/>
          <w:highlight w:val="none"/>
        </w:rPr>
        <w:t>日  期：</w:t>
      </w:r>
    </w:p>
    <w:p w14:paraId="5AD7CFC8">
      <w:pPr>
        <w:rPr>
          <w:rFonts w:hint="eastAsia" w:ascii="宋体" w:hAnsi="宋体" w:eastAsia="宋体" w:cs="宋体"/>
          <w:b/>
          <w:bCs/>
          <w:sz w:val="24"/>
          <w:szCs w:val="24"/>
          <w:highlight w:val="none"/>
        </w:rPr>
      </w:pPr>
    </w:p>
    <w:p w14:paraId="516F299B">
      <w:pPr>
        <w:pStyle w:val="6"/>
        <w:ind w:left="0" w:leftChars="0" w:firstLine="0" w:firstLineChars="0"/>
        <w:rPr>
          <w:rFonts w:hint="eastAsia" w:ascii="宋体" w:hAnsi="宋体" w:eastAsia="宋体" w:cs="宋体"/>
          <w:color w:val="auto"/>
          <w:sz w:val="24"/>
          <w:szCs w:val="24"/>
          <w:highlight w:val="none"/>
        </w:rPr>
      </w:pPr>
    </w:p>
    <w:p w14:paraId="29B7F9C1">
      <w:pPr>
        <w:rPr>
          <w:rFonts w:hint="eastAsia" w:ascii="宋体" w:hAnsi="宋体" w:eastAsia="宋体" w:cs="宋体"/>
          <w:sz w:val="24"/>
          <w:szCs w:val="24"/>
          <w:highlight w:val="none"/>
        </w:rPr>
      </w:pPr>
    </w:p>
    <w:sectPr>
      <w:headerReference r:id="rId9" w:type="default"/>
      <w:pgSz w:w="11906" w:h="16838"/>
      <w:pgMar w:top="1440" w:right="1080" w:bottom="1440" w:left="1080" w:header="851" w:footer="992"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decorative"/>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7A204">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12CCE1">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C12CCE1">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7C53D">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442DE9">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7442DE9">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C5A6A">
    <w:pPr>
      <w:pStyle w:val="10"/>
      <w:tabs>
        <w:tab w:val="right" w:pos="9180"/>
        <w:tab w:val="clear" w:pos="8306"/>
      </w:tabs>
      <w:ind w:right="-288" w:rightChars="-137"/>
      <w:rPr>
        <w:b/>
        <w:i/>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0C07F9">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050C07F9">
                    <w:pPr>
                      <w:pStyle w:val="10"/>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hAnsi="宋体"/>
        <w:b/>
        <w:i/>
        <w:kern w:val="0"/>
        <w:szCs w:val="21"/>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29020">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87D99E">
                          <w:pPr>
                            <w:pStyle w:val="10"/>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787D99E">
                    <w:pPr>
                      <w:pStyle w:val="10"/>
                    </w:pPr>
                    <w:r>
                      <w:fldChar w:fldCharType="begin"/>
                    </w:r>
                    <w:r>
                      <w:instrText xml:space="preserve"> PAGE  \* MERGEFORMAT </w:instrText>
                    </w:r>
                    <w:r>
                      <w:fldChar w:fldCharType="separate"/>
                    </w:r>
                    <w:r>
                      <w:t>26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440B1">
    <w:pPr>
      <w:pStyle w:val="11"/>
      <w:pBdr>
        <w:bottom w:val="none" w:color="auto" w:sz="0" w:space="1"/>
      </w:pBdr>
      <w:tabs>
        <w:tab w:val="clear" w:pos="8306"/>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60C0E">
    <w:pPr>
      <w:pStyle w:val="11"/>
      <w:pBdr>
        <w:bottom w:val="none" w:color="auto" w:sz="0" w:space="1"/>
      </w:pBdr>
      <w:ind w:right="180"/>
      <w:jc w:val="center"/>
      <w:rPr>
        <w:sz w:val="13"/>
        <w:szCs w:val="13"/>
      </w:rPr>
    </w:pPr>
    <w:r>
      <w:rPr>
        <w:rFonts w:hint="eastAsia"/>
        <w:b/>
        <w:bCs/>
        <w:i/>
        <w:iCs/>
        <w:sz w:val="13"/>
        <w:szCs w:val="13"/>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11218">
    <w:pPr>
      <w:pStyle w:val="11"/>
      <w:pBdr>
        <w:bottom w:val="none" w:color="auto" w:sz="0" w:space="1"/>
      </w:pBdr>
      <w:ind w:right="180"/>
      <w:jc w:val="center"/>
    </w:pPr>
    <w:r>
      <w:rPr>
        <w:rFonts w:hint="eastAsia"/>
        <w:b/>
        <w:bCs/>
        <w:i/>
        <w:iCs/>
        <w:sz w:val="13"/>
        <w:szCs w:val="13"/>
        <w:lang w:val="en-US" w:eastAsia="zh-CN"/>
      </w:rPr>
      <w:t xml:space="preserve">                       </w:t>
    </w:r>
  </w:p>
  <w:p w14:paraId="2A320D5E">
    <w:pPr>
      <w:pStyle w:val="11"/>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32A548"/>
    <w:multiLevelType w:val="singleLevel"/>
    <w:tmpl w:val="9432A548"/>
    <w:lvl w:ilvl="0" w:tentative="0">
      <w:start w:val="1"/>
      <w:numFmt w:val="chineseCounting"/>
      <w:suff w:val="space"/>
      <w:lvlText w:val="第%1章"/>
      <w:lvlJc w:val="left"/>
      <w:rPr>
        <w:rFonts w:hint="eastAsia"/>
      </w:rPr>
    </w:lvl>
  </w:abstractNum>
  <w:abstractNum w:abstractNumId="1">
    <w:nsid w:val="9CCCD50F"/>
    <w:multiLevelType w:val="singleLevel"/>
    <w:tmpl w:val="9CCCD50F"/>
    <w:lvl w:ilvl="0" w:tentative="0">
      <w:start w:val="1"/>
      <w:numFmt w:val="decimal"/>
      <w:suff w:val="nothing"/>
      <w:lvlText w:val="%1、"/>
      <w:lvlJc w:val="left"/>
    </w:lvl>
  </w:abstractNum>
  <w:abstractNum w:abstractNumId="2">
    <w:nsid w:val="BEB1F538"/>
    <w:multiLevelType w:val="singleLevel"/>
    <w:tmpl w:val="BEB1F538"/>
    <w:lvl w:ilvl="0" w:tentative="0">
      <w:start w:val="4"/>
      <w:numFmt w:val="chineseCounting"/>
      <w:suff w:val="space"/>
      <w:lvlText w:val="第%1章"/>
      <w:lvlJc w:val="left"/>
      <w:rPr>
        <w:rFonts w:hint="eastAsia"/>
      </w:rPr>
    </w:lvl>
  </w:abstractNum>
  <w:abstractNum w:abstractNumId="3">
    <w:nsid w:val="C071F473"/>
    <w:multiLevelType w:val="singleLevel"/>
    <w:tmpl w:val="C071F473"/>
    <w:lvl w:ilvl="0" w:tentative="0">
      <w:start w:val="2"/>
      <w:numFmt w:val="decimal"/>
      <w:lvlText w:val="%1."/>
      <w:lvlJc w:val="left"/>
      <w:pPr>
        <w:tabs>
          <w:tab w:val="left" w:pos="312"/>
        </w:tabs>
      </w:pPr>
    </w:lvl>
  </w:abstractNum>
  <w:abstractNum w:abstractNumId="4">
    <w:nsid w:val="D72F376E"/>
    <w:multiLevelType w:val="multilevel"/>
    <w:tmpl w:val="D72F376E"/>
    <w:lvl w:ilvl="0" w:tentative="0">
      <w:start w:val="29"/>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5">
    <w:nsid w:val="D77BB83C"/>
    <w:multiLevelType w:val="singleLevel"/>
    <w:tmpl w:val="D77BB83C"/>
    <w:lvl w:ilvl="0" w:tentative="0">
      <w:start w:val="5"/>
      <w:numFmt w:val="chineseCounting"/>
      <w:suff w:val="space"/>
      <w:lvlText w:val="第%1章"/>
      <w:lvlJc w:val="left"/>
      <w:rPr>
        <w:rFonts w:hint="eastAsia"/>
      </w:rPr>
    </w:lvl>
  </w:abstractNum>
  <w:abstractNum w:abstractNumId="6">
    <w:nsid w:val="FA2D3D5B"/>
    <w:multiLevelType w:val="multilevel"/>
    <w:tmpl w:val="FA2D3D5B"/>
    <w:lvl w:ilvl="0" w:tentative="0">
      <w:start w:val="30"/>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7">
    <w:nsid w:val="1035497F"/>
    <w:multiLevelType w:val="singleLevel"/>
    <w:tmpl w:val="1035497F"/>
    <w:lvl w:ilvl="0" w:tentative="0">
      <w:start w:val="5"/>
      <w:numFmt w:val="decimal"/>
      <w:suff w:val="space"/>
      <w:lvlText w:val="%1."/>
      <w:lvlJc w:val="left"/>
    </w:lvl>
  </w:abstractNum>
  <w:abstractNum w:abstractNumId="8">
    <w:nsid w:val="2E3F0D78"/>
    <w:multiLevelType w:val="singleLevel"/>
    <w:tmpl w:val="2E3F0D78"/>
    <w:lvl w:ilvl="0" w:tentative="0">
      <w:start w:val="2"/>
      <w:numFmt w:val="decimal"/>
      <w:suff w:val="nothing"/>
      <w:lvlText w:val="（%1）"/>
      <w:lvlJc w:val="left"/>
    </w:lvl>
  </w:abstractNum>
  <w:abstractNum w:abstractNumId="9">
    <w:nsid w:val="38CF1647"/>
    <w:multiLevelType w:val="multilevel"/>
    <w:tmpl w:val="38CF1647"/>
    <w:lvl w:ilvl="0" w:tentative="0">
      <w:start w:val="5"/>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6D1E61F1"/>
    <w:multiLevelType w:val="singleLevel"/>
    <w:tmpl w:val="6D1E61F1"/>
    <w:lvl w:ilvl="0" w:tentative="0">
      <w:start w:val="1"/>
      <w:numFmt w:val="chineseCounting"/>
      <w:suff w:val="nothing"/>
      <w:lvlText w:val="%1、"/>
      <w:lvlJc w:val="left"/>
      <w:rPr>
        <w:rFonts w:hint="eastAsia"/>
      </w:rPr>
    </w:lvl>
  </w:abstractNum>
  <w:abstractNum w:abstractNumId="11">
    <w:nsid w:val="74681D32"/>
    <w:multiLevelType w:val="multilevel"/>
    <w:tmpl w:val="74681D32"/>
    <w:lvl w:ilvl="0" w:tentative="0">
      <w:start w:val="1"/>
      <w:numFmt w:val="decimal"/>
      <w:lvlText w:val="%1."/>
      <w:lvlJc w:val="left"/>
      <w:pPr>
        <w:ind w:left="960" w:hanging="36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 w:numId="2">
    <w:abstractNumId w:val="7"/>
  </w:num>
  <w:num w:numId="3">
    <w:abstractNumId w:val="4"/>
  </w:num>
  <w:num w:numId="4">
    <w:abstractNumId w:val="6"/>
  </w:num>
  <w:num w:numId="5">
    <w:abstractNumId w:val="8"/>
  </w:num>
  <w:num w:numId="6">
    <w:abstractNumId w:val="2"/>
  </w:num>
  <w:num w:numId="7">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5"/>
  </w:num>
  <w:num w:numId="10">
    <w:abstractNumId w:val="10"/>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hMGJhMWEyMmVmMTc2Y2NlNGJkNzI1MTNkNWU3MDcifQ=="/>
  </w:docVars>
  <w:rsids>
    <w:rsidRoot w:val="336D6AB4"/>
    <w:rsid w:val="00401BC2"/>
    <w:rsid w:val="016F6179"/>
    <w:rsid w:val="01B80B07"/>
    <w:rsid w:val="02444CA8"/>
    <w:rsid w:val="024B1FDD"/>
    <w:rsid w:val="03A66FD9"/>
    <w:rsid w:val="04861904"/>
    <w:rsid w:val="04D3315E"/>
    <w:rsid w:val="04ED4A58"/>
    <w:rsid w:val="05356A51"/>
    <w:rsid w:val="05453FE3"/>
    <w:rsid w:val="05EF21A1"/>
    <w:rsid w:val="06B93C8D"/>
    <w:rsid w:val="06DC19E9"/>
    <w:rsid w:val="08FC0332"/>
    <w:rsid w:val="09AD2157"/>
    <w:rsid w:val="0A294394"/>
    <w:rsid w:val="0B061B8B"/>
    <w:rsid w:val="0B422E25"/>
    <w:rsid w:val="0C551EDE"/>
    <w:rsid w:val="0DE1780D"/>
    <w:rsid w:val="0FB8570D"/>
    <w:rsid w:val="0FD03EEE"/>
    <w:rsid w:val="0FF31714"/>
    <w:rsid w:val="1087139D"/>
    <w:rsid w:val="111474FA"/>
    <w:rsid w:val="1215795E"/>
    <w:rsid w:val="127D020B"/>
    <w:rsid w:val="136256DC"/>
    <w:rsid w:val="14EB7FD7"/>
    <w:rsid w:val="17E051AC"/>
    <w:rsid w:val="18D72D4C"/>
    <w:rsid w:val="192E4161"/>
    <w:rsid w:val="1B476E44"/>
    <w:rsid w:val="1B9C7E34"/>
    <w:rsid w:val="1BE37F88"/>
    <w:rsid w:val="1C2B7405"/>
    <w:rsid w:val="1C7A0D97"/>
    <w:rsid w:val="1C835BA7"/>
    <w:rsid w:val="1CA172A6"/>
    <w:rsid w:val="1DB15016"/>
    <w:rsid w:val="1DD85D04"/>
    <w:rsid w:val="1E026ABD"/>
    <w:rsid w:val="202C7E22"/>
    <w:rsid w:val="21572CB2"/>
    <w:rsid w:val="21DC2148"/>
    <w:rsid w:val="2426022E"/>
    <w:rsid w:val="253B25CB"/>
    <w:rsid w:val="262F7770"/>
    <w:rsid w:val="26FB62F7"/>
    <w:rsid w:val="27AC0517"/>
    <w:rsid w:val="28176711"/>
    <w:rsid w:val="287405B8"/>
    <w:rsid w:val="29080D00"/>
    <w:rsid w:val="2D0F6B01"/>
    <w:rsid w:val="2D957C44"/>
    <w:rsid w:val="2DCF3F4A"/>
    <w:rsid w:val="2E400F3C"/>
    <w:rsid w:val="2F3E34A4"/>
    <w:rsid w:val="2F957F44"/>
    <w:rsid w:val="308C159E"/>
    <w:rsid w:val="30E609FE"/>
    <w:rsid w:val="310178C8"/>
    <w:rsid w:val="313D4203"/>
    <w:rsid w:val="31726E09"/>
    <w:rsid w:val="336D6AB4"/>
    <w:rsid w:val="33EA1B7F"/>
    <w:rsid w:val="343800E4"/>
    <w:rsid w:val="34873421"/>
    <w:rsid w:val="375B1B93"/>
    <w:rsid w:val="383E6FDD"/>
    <w:rsid w:val="38DF7CCF"/>
    <w:rsid w:val="3B52666E"/>
    <w:rsid w:val="3BB169DE"/>
    <w:rsid w:val="3E3F7BD5"/>
    <w:rsid w:val="3FFF1781"/>
    <w:rsid w:val="4031651A"/>
    <w:rsid w:val="40DA4C22"/>
    <w:rsid w:val="418000C2"/>
    <w:rsid w:val="41FF0A9A"/>
    <w:rsid w:val="420D57DE"/>
    <w:rsid w:val="426D44FF"/>
    <w:rsid w:val="42FC570F"/>
    <w:rsid w:val="4319791F"/>
    <w:rsid w:val="43395AF2"/>
    <w:rsid w:val="43FD30AA"/>
    <w:rsid w:val="449066AB"/>
    <w:rsid w:val="456A745E"/>
    <w:rsid w:val="45717F01"/>
    <w:rsid w:val="46AE0CE1"/>
    <w:rsid w:val="46D80F6C"/>
    <w:rsid w:val="47603D87"/>
    <w:rsid w:val="4805549D"/>
    <w:rsid w:val="485E30EA"/>
    <w:rsid w:val="48BA11A0"/>
    <w:rsid w:val="4A4303AE"/>
    <w:rsid w:val="4AA83C4A"/>
    <w:rsid w:val="4AAC49E5"/>
    <w:rsid w:val="4BF74928"/>
    <w:rsid w:val="4D346E27"/>
    <w:rsid w:val="4D657D8E"/>
    <w:rsid w:val="4D741882"/>
    <w:rsid w:val="4EAD2038"/>
    <w:rsid w:val="4EBE7FA5"/>
    <w:rsid w:val="4F0C084E"/>
    <w:rsid w:val="51C01B31"/>
    <w:rsid w:val="5288688A"/>
    <w:rsid w:val="530E4BF1"/>
    <w:rsid w:val="53A94D0A"/>
    <w:rsid w:val="555F6E86"/>
    <w:rsid w:val="569A55A2"/>
    <w:rsid w:val="57A52138"/>
    <w:rsid w:val="58E42C61"/>
    <w:rsid w:val="592D1F39"/>
    <w:rsid w:val="5BB52F92"/>
    <w:rsid w:val="5C084598"/>
    <w:rsid w:val="5C7908BC"/>
    <w:rsid w:val="5D7A3273"/>
    <w:rsid w:val="5D9F1921"/>
    <w:rsid w:val="5ED05841"/>
    <w:rsid w:val="5FC517EF"/>
    <w:rsid w:val="61360E3E"/>
    <w:rsid w:val="61542334"/>
    <w:rsid w:val="61A77DB9"/>
    <w:rsid w:val="61E966F0"/>
    <w:rsid w:val="62F44A9B"/>
    <w:rsid w:val="639331B1"/>
    <w:rsid w:val="63A948B2"/>
    <w:rsid w:val="63AC410E"/>
    <w:rsid w:val="64385925"/>
    <w:rsid w:val="645760BC"/>
    <w:rsid w:val="66CE709B"/>
    <w:rsid w:val="66D25900"/>
    <w:rsid w:val="67CE6DDE"/>
    <w:rsid w:val="689833F8"/>
    <w:rsid w:val="694315A5"/>
    <w:rsid w:val="695232F6"/>
    <w:rsid w:val="69CC4238"/>
    <w:rsid w:val="6AFC176B"/>
    <w:rsid w:val="6B793556"/>
    <w:rsid w:val="6BAC6699"/>
    <w:rsid w:val="6C16685D"/>
    <w:rsid w:val="6D9E0CAC"/>
    <w:rsid w:val="6DBE7C64"/>
    <w:rsid w:val="6DE830A6"/>
    <w:rsid w:val="6E5773F6"/>
    <w:rsid w:val="71706A0F"/>
    <w:rsid w:val="7208402E"/>
    <w:rsid w:val="72972B23"/>
    <w:rsid w:val="740559D8"/>
    <w:rsid w:val="74795513"/>
    <w:rsid w:val="74E120FE"/>
    <w:rsid w:val="74E7523A"/>
    <w:rsid w:val="751F292C"/>
    <w:rsid w:val="75F36BF4"/>
    <w:rsid w:val="7602694E"/>
    <w:rsid w:val="762D5813"/>
    <w:rsid w:val="76A53855"/>
    <w:rsid w:val="79AD7EDA"/>
    <w:rsid w:val="7A753659"/>
    <w:rsid w:val="7D690EE2"/>
    <w:rsid w:val="7D71517A"/>
    <w:rsid w:val="7D813672"/>
    <w:rsid w:val="7E071A14"/>
    <w:rsid w:val="7ED94418"/>
    <w:rsid w:val="7F791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Arial Unicode MS" w:cs="Times New Roman"/>
      <w:kern w:val="2"/>
      <w:sz w:val="21"/>
      <w:szCs w:val="24"/>
      <w:lang w:val="en-US" w:eastAsia="zh-CN" w:bidi="ar-SA"/>
    </w:rPr>
  </w:style>
  <w:style w:type="paragraph" w:styleId="2">
    <w:name w:val="heading 2"/>
    <w:basedOn w:val="1"/>
    <w:next w:val="3"/>
    <w:qFormat/>
    <w:uiPriority w:val="99"/>
    <w:pPr>
      <w:spacing w:before="260" w:after="260" w:line="416" w:lineRule="atLeast"/>
      <w:outlineLvl w:val="1"/>
    </w:pPr>
    <w:rPr>
      <w:rFonts w:ascii="Cambria" w:hAnsi="Cambria"/>
      <w:sz w:val="32"/>
      <w:szCs w:val="32"/>
    </w:rPr>
  </w:style>
  <w:style w:type="paragraph" w:styleId="4">
    <w:name w:val="heading 3"/>
    <w:basedOn w:val="1"/>
    <w:next w:val="1"/>
    <w:qFormat/>
    <w:uiPriority w:val="99"/>
    <w:pPr>
      <w:tabs>
        <w:tab w:val="left" w:pos="588"/>
      </w:tabs>
      <w:spacing w:line="360" w:lineRule="auto"/>
      <w:outlineLvl w:val="2"/>
    </w:pPr>
    <w:rPr>
      <w:rFonts w:ascii="Tahoma" w:hAnsi="Tahoma"/>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spacing w:line="360" w:lineRule="auto"/>
      <w:ind w:firstLine="200" w:firstLineChars="200"/>
    </w:pPr>
    <w:rPr>
      <w:sz w:val="24"/>
      <w:szCs w:val="20"/>
    </w:rPr>
  </w:style>
  <w:style w:type="paragraph" w:styleId="5">
    <w:name w:val="Body Text 3"/>
    <w:basedOn w:val="1"/>
    <w:qFormat/>
    <w:uiPriority w:val="99"/>
    <w:pPr>
      <w:spacing w:after="120"/>
    </w:pPr>
    <w:rPr>
      <w:rFonts w:eastAsia="宋体"/>
      <w:sz w:val="16"/>
      <w:szCs w:val="16"/>
    </w:rPr>
  </w:style>
  <w:style w:type="paragraph" w:styleId="6">
    <w:name w:val="Body Text"/>
    <w:basedOn w:val="1"/>
    <w:next w:val="1"/>
    <w:qFormat/>
    <w:uiPriority w:val="99"/>
    <w:pPr>
      <w:spacing w:line="360" w:lineRule="auto"/>
    </w:pPr>
    <w:rPr>
      <w:rFonts w:ascii="Tahoma" w:hAnsi="Tahoma"/>
    </w:rPr>
  </w:style>
  <w:style w:type="paragraph" w:styleId="7">
    <w:name w:val="Body Text Indent"/>
    <w:basedOn w:val="1"/>
    <w:qFormat/>
    <w:uiPriority w:val="99"/>
    <w:pPr>
      <w:widowControl/>
      <w:spacing w:line="360" w:lineRule="auto"/>
      <w:ind w:firstLine="709"/>
      <w:jc w:val="left"/>
    </w:pPr>
    <w:rPr>
      <w:rFonts w:ascii="Tahoma" w:hAnsi="Tahoma"/>
    </w:rPr>
  </w:style>
  <w:style w:type="paragraph" w:styleId="8">
    <w:name w:val="Plain Text"/>
    <w:basedOn w:val="1"/>
    <w:qFormat/>
    <w:uiPriority w:val="0"/>
    <w:pPr>
      <w:spacing w:line="360" w:lineRule="auto"/>
    </w:pPr>
    <w:rPr>
      <w:rFonts w:ascii="宋体" w:hAnsi="Courier New"/>
      <w:szCs w:val="21"/>
    </w:rPr>
  </w:style>
  <w:style w:type="paragraph" w:styleId="9">
    <w:name w:val="toc 8"/>
    <w:basedOn w:val="1"/>
    <w:next w:val="1"/>
    <w:qFormat/>
    <w:uiPriority w:val="39"/>
    <w:pPr>
      <w:spacing w:line="440" w:lineRule="exact"/>
      <w:ind w:left="1960"/>
      <w:jc w:val="left"/>
    </w:pPr>
    <w:rPr>
      <w:rFonts w:ascii="Calibri" w:hAnsi="Calibri"/>
      <w:sz w:val="18"/>
      <w:szCs w:val="18"/>
    </w:rPr>
  </w:style>
  <w:style w:type="paragraph" w:styleId="10">
    <w:name w:val="footer"/>
    <w:basedOn w:val="1"/>
    <w:qFormat/>
    <w:uiPriority w:val="99"/>
    <w:pPr>
      <w:tabs>
        <w:tab w:val="center" w:pos="4153"/>
        <w:tab w:val="right" w:pos="8306"/>
      </w:tabs>
      <w:adjustRightInd w:val="0"/>
      <w:spacing w:line="240" w:lineRule="atLeast"/>
      <w:jc w:val="left"/>
      <w:textAlignment w:val="baseline"/>
    </w:pPr>
    <w:rPr>
      <w:rFonts w:ascii="Tahoma" w:hAnsi="Tahoma"/>
      <w:sz w:val="18"/>
      <w:szCs w:val="18"/>
    </w:rPr>
  </w:style>
  <w:style w:type="paragraph" w:styleId="11">
    <w:name w:val="header"/>
    <w:basedOn w:val="1"/>
    <w:qFormat/>
    <w:uiPriority w:val="99"/>
    <w:pPr>
      <w:pBdr>
        <w:bottom w:val="single" w:color="auto" w:sz="6" w:space="1"/>
      </w:pBdr>
      <w:tabs>
        <w:tab w:val="center" w:pos="4153"/>
        <w:tab w:val="right" w:pos="8306"/>
      </w:tabs>
      <w:adjustRightInd w:val="0"/>
      <w:spacing w:line="240" w:lineRule="atLeast"/>
      <w:jc w:val="center"/>
      <w:textAlignment w:val="baseline"/>
    </w:pPr>
    <w:rPr>
      <w:rFonts w:ascii="Tahoma" w:hAnsi="Tahoma"/>
      <w:sz w:val="18"/>
      <w:szCs w:val="18"/>
    </w:rPr>
  </w:style>
  <w:style w:type="paragraph" w:styleId="12">
    <w:name w:val="toc 1"/>
    <w:basedOn w:val="1"/>
    <w:next w:val="1"/>
    <w:qFormat/>
    <w:uiPriority w:val="39"/>
    <w:pPr>
      <w:tabs>
        <w:tab w:val="right" w:leader="dot" w:pos="9344"/>
      </w:tabs>
      <w:spacing w:before="120" w:after="120" w:line="360" w:lineRule="auto"/>
      <w:jc w:val="left"/>
    </w:pPr>
    <w:rPr>
      <w:rFonts w:ascii="宋体"/>
      <w:b/>
      <w:bCs/>
      <w:caps/>
      <w:sz w:val="24"/>
      <w:szCs w:val="20"/>
    </w:rPr>
  </w:style>
  <w:style w:type="paragraph" w:styleId="13">
    <w:name w:val="Body Text 2"/>
    <w:basedOn w:val="1"/>
    <w:qFormat/>
    <w:uiPriority w:val="99"/>
    <w:pPr>
      <w:spacing w:line="360" w:lineRule="auto"/>
      <w:ind w:right="26"/>
    </w:pPr>
    <w:rPr>
      <w:rFonts w:ascii="宋体" w:eastAsia="宋体"/>
      <w:szCs w:val="20"/>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5">
    <w:name w:val="Title"/>
    <w:basedOn w:val="1"/>
    <w:next w:val="1"/>
    <w:qFormat/>
    <w:uiPriority w:val="0"/>
    <w:pPr>
      <w:spacing w:before="240" w:after="60" w:line="440" w:lineRule="exact"/>
      <w:jc w:val="center"/>
      <w:outlineLvl w:val="0"/>
    </w:pPr>
    <w:rPr>
      <w:rFonts w:ascii="Cambria" w:hAnsi="Cambria"/>
      <w:b/>
      <w:bCs/>
      <w:sz w:val="32"/>
      <w:szCs w:val="32"/>
    </w:rPr>
  </w:style>
  <w:style w:type="paragraph" w:styleId="16">
    <w:name w:val="Body Text First Indent 2"/>
    <w:basedOn w:val="7"/>
    <w:qFormat/>
    <w:uiPriority w:val="0"/>
    <w:pPr>
      <w:widowControl w:val="0"/>
      <w:spacing w:after="120" w:line="240" w:lineRule="auto"/>
      <w:ind w:left="420" w:leftChars="200" w:firstLine="420" w:firstLineChars="200"/>
      <w:jc w:val="both"/>
    </w:pPr>
    <w:rPr>
      <w:rFonts w:ascii="Times New Roman" w:hAnsi="Times New Roman" w:eastAsia="宋体"/>
    </w:rPr>
  </w:style>
  <w:style w:type="character" w:styleId="19">
    <w:name w:val="page number"/>
    <w:basedOn w:val="18"/>
    <w:qFormat/>
    <w:uiPriority w:val="99"/>
  </w:style>
  <w:style w:type="character" w:styleId="20">
    <w:name w:val="Hyperlink"/>
    <w:qFormat/>
    <w:uiPriority w:val="99"/>
    <w:rPr>
      <w:rFonts w:hint="eastAsia" w:ascii="宋体" w:hAnsi="宋体" w:eastAsia="宋体" w:cs="宋体"/>
      <w:color w:val="004A85"/>
      <w:sz w:val="12"/>
      <w:szCs w:val="12"/>
      <w:u w:val="single"/>
    </w:rPr>
  </w:style>
  <w:style w:type="paragraph" w:customStyle="1" w:styleId="21">
    <w:name w:val="font5"/>
    <w:basedOn w:val="1"/>
    <w:qFormat/>
    <w:uiPriority w:val="0"/>
    <w:pPr>
      <w:widowControl/>
      <w:spacing w:before="100" w:beforeAutospacing="1" w:after="100" w:afterAutospacing="1"/>
      <w:jc w:val="left"/>
    </w:pPr>
    <w:rPr>
      <w:rFonts w:hint="eastAsia" w:ascii="宋体" w:hAnsi="宋体" w:eastAsia="宋体" w:cs="Arial Unicode MS"/>
      <w:kern w:val="0"/>
      <w:sz w:val="18"/>
      <w:szCs w:val="18"/>
    </w:rPr>
  </w:style>
  <w:style w:type="paragraph" w:customStyle="1" w:styleId="22">
    <w:name w:val="BodyText1I2"/>
    <w:basedOn w:val="23"/>
    <w:next w:val="1"/>
    <w:qFormat/>
    <w:uiPriority w:val="0"/>
    <w:pPr>
      <w:spacing w:after="120" w:line="240" w:lineRule="auto"/>
      <w:ind w:left="420" w:leftChars="200" w:firstLine="420" w:firstLineChars="200"/>
      <w:jc w:val="both"/>
      <w:textAlignment w:val="baseline"/>
    </w:pPr>
    <w:rPr>
      <w:rFonts w:ascii="Times New Roman" w:hAnsi="Times New Roman" w:eastAsia="宋体"/>
      <w:kern w:val="2"/>
      <w:sz w:val="21"/>
      <w:szCs w:val="24"/>
      <w:lang w:val="en-US" w:eastAsia="zh-CN" w:bidi="ar-SA"/>
    </w:rPr>
  </w:style>
  <w:style w:type="paragraph" w:customStyle="1" w:styleId="23">
    <w:name w:val="BodyTextIndent"/>
    <w:basedOn w:val="1"/>
    <w:qFormat/>
    <w:uiPriority w:val="0"/>
    <w:pPr>
      <w:spacing w:after="120"/>
      <w:ind w:left="420" w:leftChars="200"/>
      <w:jc w:val="both"/>
      <w:textAlignment w:val="baseline"/>
    </w:pPr>
    <w:rPr>
      <w:rFonts w:ascii="Times New Roman" w:hAnsi="Times New Roman" w:eastAsia="宋体"/>
      <w:kern w:val="2"/>
      <w:sz w:val="21"/>
      <w:szCs w:val="24"/>
      <w:lang w:val="en-US" w:eastAsia="zh-CN" w:bidi="ar-SA"/>
    </w:rPr>
  </w:style>
  <w:style w:type="paragraph" w:customStyle="1" w:styleId="24">
    <w:name w:val="1"/>
    <w:basedOn w:val="25"/>
    <w:next w:val="7"/>
    <w:qFormat/>
    <w:uiPriority w:val="99"/>
    <w:pPr>
      <w:widowControl/>
      <w:overflowPunct w:val="0"/>
      <w:autoSpaceDE w:val="0"/>
      <w:autoSpaceDN w:val="0"/>
      <w:adjustRightInd w:val="0"/>
      <w:spacing w:line="360" w:lineRule="auto"/>
      <w:ind w:firstLine="540"/>
      <w:textAlignment w:val="baseline"/>
    </w:pPr>
    <w:rPr>
      <w:rFonts w:ascii="宋体" w:hAnsi="MS Sans Serif" w:eastAsia="宋体"/>
      <w:spacing w:val="12"/>
      <w:kern w:val="0"/>
      <w:sz w:val="24"/>
      <w:szCs w:val="20"/>
    </w:rPr>
  </w:style>
  <w:style w:type="paragraph" w:customStyle="1" w:styleId="25">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列出段落1"/>
    <w:basedOn w:val="1"/>
    <w:qFormat/>
    <w:uiPriority w:val="0"/>
    <w:pPr>
      <w:adjustRightInd w:val="0"/>
      <w:spacing w:line="300" w:lineRule="auto"/>
      <w:ind w:firstLine="420" w:firstLineChars="200"/>
      <w:textAlignment w:val="baseline"/>
    </w:pPr>
    <w:rPr>
      <w:kern w:val="0"/>
      <w:sz w:val="24"/>
    </w:rPr>
  </w:style>
  <w:style w:type="paragraph" w:customStyle="1" w:styleId="27">
    <w:name w:val="标题2"/>
    <w:basedOn w:val="2"/>
    <w:next w:val="1"/>
    <w:qFormat/>
    <w:uiPriority w:val="0"/>
    <w:pPr>
      <w:widowControl/>
      <w:spacing w:beforeLines="10" w:afterLines="10" w:line="240" w:lineRule="auto"/>
      <w:jc w:val="left"/>
    </w:pPr>
    <w:rPr>
      <w:rFonts w:ascii="Times New Roman" w:hAnsi="Times New Roman" w:eastAsia="黑体"/>
      <w:b/>
      <w:bCs/>
      <w:szCs w:val="24"/>
    </w:rPr>
  </w:style>
  <w:style w:type="paragraph" w:customStyle="1" w:styleId="28">
    <w:name w:val="Default"/>
    <w:qFormat/>
    <w:uiPriority w:val="0"/>
    <w:pPr>
      <w:widowControl w:val="0"/>
      <w:autoSpaceDE w:val="0"/>
      <w:autoSpaceDN w:val="0"/>
      <w:adjustRightInd w:val="0"/>
    </w:pPr>
    <w:rPr>
      <w:rFonts w:ascii="宋体" w:hAnsi="Times New Roman" w:eastAsia="Arial Unicode MS" w:cs="宋体"/>
      <w:color w:val="000000"/>
      <w:sz w:val="24"/>
      <w:szCs w:val="24"/>
      <w:lang w:val="en-US" w:eastAsia="zh-CN" w:bidi="ar-SA"/>
    </w:rPr>
  </w:style>
  <w:style w:type="paragraph" w:customStyle="1" w:styleId="29">
    <w:name w:val="xl23"/>
    <w:basedOn w:val="1"/>
    <w:qFormat/>
    <w:uiPriority w:val="0"/>
    <w:pPr>
      <w:widowControl/>
      <w:spacing w:before="100" w:beforeAutospacing="1" w:after="100" w:afterAutospacing="1" w:line="360" w:lineRule="auto"/>
      <w:textAlignment w:val="top"/>
    </w:pPr>
    <w:rPr>
      <w:kern w:val="0"/>
      <w:sz w:val="24"/>
    </w:rPr>
  </w:style>
  <w:style w:type="paragraph" w:styleId="30">
    <w:name w:val="List Paragraph"/>
    <w:basedOn w:val="1"/>
    <w:qFormat/>
    <w:uiPriority w:val="34"/>
    <w:pPr>
      <w:ind w:firstLine="420" w:firstLineChars="200"/>
    </w:pPr>
    <w:rPr>
      <w:rFonts w:ascii="Calibri" w:hAnsi="Calibri" w:eastAsia="宋体"/>
      <w:szCs w:val="22"/>
    </w:rPr>
  </w:style>
  <w:style w:type="character" w:customStyle="1" w:styleId="31">
    <w:name w:val="NormalCharacter"/>
    <w:qFormat/>
    <w:uiPriority w:val="0"/>
    <w:rPr>
      <w:rFonts w:ascii="Calibri" w:hAnsi="Calibri" w:eastAsia="宋体" w:cs="Calibri"/>
      <w:color w:val="000000"/>
      <w:sz w:val="21"/>
      <w:szCs w:val="24"/>
      <w:lang w:val="en-US" w:eastAsia="zh-CN" w:bidi="ar-SA"/>
    </w:rPr>
  </w:style>
  <w:style w:type="paragraph" w:customStyle="1" w:styleId="32">
    <w:name w:val="UserStyle_105"/>
    <w:qFormat/>
    <w:uiPriority w:val="0"/>
    <w:pPr>
      <w:textAlignment w:val="baseline"/>
    </w:pPr>
    <w:rPr>
      <w:rFonts w:ascii="仿宋_GB2312" w:hAnsi="Times New Roman" w:eastAsia="仿宋_GB2312" w:cs="Times New Roman"/>
      <w:color w:val="000000"/>
      <w:sz w:val="24"/>
      <w:szCs w:val="24"/>
      <w:lang w:val="en-US" w:eastAsia="zh-CN" w:bidi="ar-SA"/>
    </w:rPr>
  </w:style>
  <w:style w:type="paragraph" w:customStyle="1" w:styleId="33">
    <w:name w:val="UserStyle_79"/>
    <w:basedOn w:val="1"/>
    <w:qFormat/>
    <w:uiPriority w:val="0"/>
    <w:pPr>
      <w:ind w:firstLine="420" w:firstLineChars="200"/>
    </w:pPr>
  </w:style>
  <w:style w:type="paragraph" w:customStyle="1" w:styleId="34">
    <w:name w:val="正文缩进1"/>
    <w:basedOn w:val="1"/>
    <w:qFormat/>
    <w:uiPriority w:val="0"/>
    <w:pPr>
      <w:ind w:firstLine="420" w:firstLineChars="200"/>
    </w:pPr>
  </w:style>
  <w:style w:type="table" w:customStyle="1" w:styleId="35">
    <w:name w:val="Table Normal"/>
    <w:semiHidden/>
    <w:unhideWhenUsed/>
    <w:qFormat/>
    <w:uiPriority w:val="0"/>
    <w:tblPr>
      <w:tblCellMar>
        <w:top w:w="0" w:type="dxa"/>
        <w:left w:w="0" w:type="dxa"/>
        <w:bottom w:w="0" w:type="dxa"/>
        <w:right w:w="0" w:type="dxa"/>
      </w:tblCellMar>
    </w:tblPr>
  </w:style>
  <w:style w:type="paragraph" w:customStyle="1" w:styleId="36">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83</Words>
  <Characters>96</Characters>
  <Lines>0</Lines>
  <Paragraphs>0</Paragraphs>
  <TotalTime>36</TotalTime>
  <ScaleCrop>false</ScaleCrop>
  <LinksUpToDate>false</LinksUpToDate>
  <CharactersWithSpaces>98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2022-04-01T01:32:00Z</dcterms:created>
  <dc:creator>WPS_1212399650</dc:creator>
  <cp:lastModifiedBy>zzzzzz</cp:lastModifiedBy>
  <dcterms:modified xsi:type="dcterms:W3CDTF">2025-01-25T01:30:19Z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A3EBD025538E4A0B81EE9F1069C3804A_13</vt:lpwstr>
  </property>
  <property fmtid="{D5CDD505-2E9C-101B-9397-08002B2CF9AE}" pid="4" name="KSOTemplateDocerSaveRecord">
    <vt:lpwstr>eyJoZGlkIjoiYmU1N2U3MDQ3NjYxZmVjZDJlZjI5NmRhZTA3MGM2YmYiLCJ1c2VySWQiOiIyODMwODU3MjYifQ==</vt:lpwstr>
  </property>
</Properties>
</file>