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版本号：HRDL-CG[2025]-001-00120250409001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西禹高速高陵出入口开展城市形象宣传广告投放采购项目</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HRDL-CG[2025]-001-001</w:t>
      </w:r>
      <w:r>
        <w:br/>
      </w:r>
      <w:r>
        <w:br/>
      </w:r>
      <w:r>
        <w:br/>
      </w:r>
    </w:p>
    <w:p>
      <w:pPr>
        <w:pStyle w:val="null3"/>
        <w:jc w:val="center"/>
        <w:outlineLvl w:val="5"/>
      </w:pPr>
      <w:r>
        <w:rPr>
          <w:rFonts w:ascii="仿宋_GB2312" w:hAnsi="仿宋_GB2312" w:cs="仿宋_GB2312" w:eastAsia="仿宋_GB2312"/>
          <w:sz w:val="15"/>
          <w:b/>
        </w:rPr>
        <w:t>中共西安市高陵区委宣传部</w:t>
      </w:r>
    </w:p>
    <w:p>
      <w:pPr>
        <w:pStyle w:val="null3"/>
        <w:jc w:val="center"/>
        <w:outlineLvl w:val="5"/>
      </w:pPr>
      <w:r>
        <w:rPr>
          <w:rFonts w:ascii="仿宋_GB2312" w:hAnsi="仿宋_GB2312" w:cs="仿宋_GB2312" w:eastAsia="仿宋_GB2312"/>
          <w:sz w:val="15"/>
          <w:b/>
        </w:rPr>
        <w:t>陕西恒瑞项目管理有限公司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2025年04月10日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陕西恒瑞项目管理有限公司</w:t>
      </w:r>
      <w:r>
        <w:rPr>
          <w:rFonts w:ascii="仿宋_GB2312" w:hAnsi="仿宋_GB2312" w:cs="仿宋_GB2312" w:eastAsia="仿宋_GB2312"/>
        </w:rPr>
        <w:t>（以下简称“代理机构”）受</w:t>
      </w:r>
      <w:r>
        <w:rPr>
          <w:rFonts w:ascii="仿宋_GB2312" w:hAnsi="仿宋_GB2312" w:cs="仿宋_GB2312" w:eastAsia="仿宋_GB2312"/>
        </w:rPr>
        <w:t>中共西安市高陵区委宣传部</w:t>
      </w:r>
      <w:r>
        <w:rPr>
          <w:rFonts w:ascii="仿宋_GB2312" w:hAnsi="仿宋_GB2312" w:cs="仿宋_GB2312" w:eastAsia="仿宋_GB2312"/>
        </w:rPr>
        <w:t>委托，拟对</w:t>
      </w:r>
      <w:r>
        <w:rPr>
          <w:rFonts w:ascii="仿宋_GB2312" w:hAnsi="仿宋_GB2312" w:cs="仿宋_GB2312" w:eastAsia="仿宋_GB2312"/>
        </w:rPr>
        <w:t>西禹高速高陵出入口开展城市形象宣传广告投放采购项目</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HRDL-CG[2025]-001-001</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西禹高速高陵出入口开展城市形象宣传广告投放采购项目</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为充分利用好西禹高速高陵出入口这一宣传平台和载体，按照区委安排，拟在西禹高速高陵出入口开展城市形象宣传；主要功能或目标:宣传高陵文化底蕴，发展成就，提升高陵城市影响力，展示城市良好品质和形象。</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采购包1（西禹高速高陵出入口开展城市形象宣传广告投放采购项目）：属于专门面向中小企业采购。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p>
      <w:pPr>
        <w:pStyle w:val="null3"/>
      </w:pPr>
      <w:r>
        <w:rPr>
          <w:rFonts w:ascii="仿宋_GB2312" w:hAnsi="仿宋_GB2312" w:cs="仿宋_GB2312" w:eastAsia="仿宋_GB2312"/>
        </w:rPr>
        <w:t>2、财务状况报告：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供应商需在项目电子化交易系统中按要求上传相应证明文件并进行电子签章；</w:t>
      </w:r>
    </w:p>
    <w:p>
      <w:pPr>
        <w:pStyle w:val="null3"/>
      </w:pPr>
      <w:r>
        <w:rPr>
          <w:rFonts w:ascii="仿宋_GB2312" w:hAnsi="仿宋_GB2312" w:cs="仿宋_GB2312" w:eastAsia="仿宋_GB2312"/>
        </w:rPr>
        <w:t>3、税收缴纳证明：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4、社会保障资金缴纳证明：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5、无重大违法记录的书面声明：提供参加政府采购活动前三年内，在经营活动中没有重大违法记录的书面声明；供应商需在项目电子化交易系统中按要求上传相应证明文件并进行电子签章；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6、履约能力：具有履行合同所必需的设备和专业技术能力的书面声明；供应商需在项目电子化交易系统中按要求上传相应证明文件并进行电子签章；</w:t>
      </w:r>
    </w:p>
    <w:p>
      <w:pPr>
        <w:pStyle w:val="null3"/>
      </w:pPr>
      <w:r>
        <w:rPr>
          <w:rFonts w:ascii="仿宋_GB2312" w:hAnsi="仿宋_GB2312" w:cs="仿宋_GB2312" w:eastAsia="仿宋_GB2312"/>
        </w:rPr>
        <w:t>7、法定代表人授权委托书：法定代表人参加投标的，须提供法定代表人身份证明；法定代表人授权他人参加投标的，须提供法定代表人授权委托书；供应商需在项目电子化交易系统中按要求上传相应证明文件并进行电子签章；</w:t>
      </w:r>
    </w:p>
    <w:p>
      <w:pPr>
        <w:pStyle w:val="null3"/>
      </w:pPr>
      <w:r>
        <w:rPr>
          <w:rFonts w:ascii="仿宋_GB2312" w:hAnsi="仿宋_GB2312" w:cs="仿宋_GB2312" w:eastAsia="仿宋_GB2312"/>
        </w:rPr>
        <w:t>8、企业信誉：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p>
      <w:pPr>
        <w:pStyle w:val="null3"/>
      </w:pPr>
      <w:r>
        <w:rPr>
          <w:rFonts w:ascii="仿宋_GB2312" w:hAnsi="仿宋_GB2312" w:cs="仿宋_GB2312" w:eastAsia="仿宋_GB2312"/>
        </w:rPr>
        <w:t>9、非联合体声明：本项目不接受联合体磋商（提供非联合体声明）；供应商需在项目电子化交易系统中按要求上传相应证明文件并进行电子签章；</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中共西安市高陵区委宣传部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东环城路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陈静</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029-86912038</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陕西恒瑞项目管理有限公司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陕西省西安市雁塔区凯森盛世1号A座25层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尹耕耘</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18192129102</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西安市高陵区采购管理科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药咪</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029-86919290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采购包1：650,000.00元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发的《招标代理服务收费管理暂行办法》（计价格[2002]1980号）和国家发展改革委员会办公厅颁发的《关于招标代理服务收费有关问题的通知》（发改办价格[2003]857号）的有关规定执行。 2、成交单位在领取成交通知书前，须向采购代理机构一次性支付招标代理服务费。3、代理服务费缴纳账户如下： 名 称：陕西恒瑞项目管理有限公司 账 号：26136101040001045 开户行：中国农业银行西安雁翔路支行</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中共西安市高陵区委宣传部</w:t>
      </w:r>
      <w:r>
        <w:rPr>
          <w:rFonts w:ascii="仿宋_GB2312" w:hAnsi="仿宋_GB2312" w:cs="仿宋_GB2312" w:eastAsia="仿宋_GB2312"/>
        </w:rPr>
        <w:t>和</w:t>
      </w:r>
      <w:r>
        <w:rPr>
          <w:rFonts w:ascii="仿宋_GB2312" w:hAnsi="仿宋_GB2312" w:cs="仿宋_GB2312" w:eastAsia="仿宋_GB2312"/>
        </w:rPr>
        <w:t>陕西恒瑞项目管理有限公司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陕西恒瑞项目管理有限公司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中共西安市高陵区委宣传部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陕西恒瑞项目管理有限公司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执行合同规定</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陕西恒瑞项目管理有限公司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为充分利用好西禹高速高陵出入口这一宣传平台和载体，按照区委安排，拟在西禹高速高陵出入口开展城市形象宣传；主要功能或目标:宣传高陵文化底蕴，发展成就，提升高陵城市影响力，展示城市良好品质和形象。</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650,000.00</w:t>
      </w:r>
    </w:p>
    <w:p>
      <w:pPr>
        <w:pStyle w:val="null3"/>
      </w:pPr>
      <w:r>
        <w:rPr>
          <w:rFonts w:ascii="仿宋_GB2312" w:hAnsi="仿宋_GB2312" w:cs="仿宋_GB2312" w:eastAsia="仿宋_GB2312"/>
        </w:rPr>
        <w:t>采购包最高限价（元）: 650,000.00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西禹高速高陵出入口开展城市形象宣传广告投放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650,000.00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标的名称：西禹高速高陵出入口开展城市形象宣传广告投放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服务内容</w:t>
            </w:r>
          </w:p>
        </w:tc>
        <w:tc>
          <w:tcPr>
            <w:tcW w:type="dxa" w:w="2076"/>
          </w:tcPr>
          <w:p>
            <w:pPr>
              <w:pStyle w:val="null3"/>
              <w:ind w:firstLine="560"/>
              <w:jc w:val="left"/>
            </w:pPr>
            <w:r>
              <w:rPr>
                <w:rFonts w:ascii="仿宋_GB2312" w:hAnsi="仿宋_GB2312" w:cs="仿宋_GB2312" w:eastAsia="仿宋_GB2312"/>
                <w:sz w:val="21"/>
                <w:b/>
              </w:rPr>
              <w:t>工作区域：西禹高速高陵出入口</w:t>
            </w:r>
          </w:p>
          <w:p>
            <w:pPr>
              <w:pStyle w:val="null3"/>
              <w:ind w:firstLine="560"/>
              <w:jc w:val="left"/>
            </w:pPr>
            <w:r>
              <w:rPr>
                <w:rFonts w:ascii="仿宋_GB2312" w:hAnsi="仿宋_GB2312" w:cs="仿宋_GB2312" w:eastAsia="仿宋_GB2312"/>
                <w:sz w:val="21"/>
                <w:b/>
              </w:rPr>
              <w:t>工作内容：</w:t>
            </w:r>
            <w:r>
              <w:rPr>
                <w:rFonts w:ascii="仿宋_GB2312" w:hAnsi="仿宋_GB2312" w:cs="仿宋_GB2312" w:eastAsia="仿宋_GB2312"/>
                <w:sz w:val="21"/>
              </w:rPr>
              <w:t>按照区委安排，拟在西禹高速高陵出入口开展城市形象宣传；主要功能或目标</w:t>
            </w:r>
            <w:r>
              <w:rPr>
                <w:rFonts w:ascii="仿宋_GB2312" w:hAnsi="仿宋_GB2312" w:cs="仿宋_GB2312" w:eastAsia="仿宋_GB2312"/>
                <w:sz w:val="21"/>
              </w:rPr>
              <w:t>:宣传高陵文化底蕴，发展成就，提升高陵城市影响力，展示城市良好品质和形象。</w:t>
            </w:r>
          </w:p>
          <w:p>
            <w:pPr>
              <w:pStyle w:val="null3"/>
              <w:ind w:firstLine="560"/>
              <w:jc w:val="both"/>
            </w:pPr>
            <w:r>
              <w:rPr>
                <w:rFonts w:ascii="仿宋_GB2312" w:hAnsi="仿宋_GB2312" w:cs="仿宋_GB2312" w:eastAsia="仿宋_GB2312"/>
                <w:sz w:val="21"/>
              </w:rPr>
              <w:t>主要内容包括西禹高速高陵出入口城市宣传画报制作费及安装费、广告位租赁及维护。</w:t>
            </w:r>
          </w:p>
          <w:p>
            <w:pPr>
              <w:pStyle w:val="null3"/>
              <w:ind w:firstLine="560"/>
              <w:jc w:val="left"/>
            </w:pPr>
            <w:r>
              <w:rPr>
                <w:rFonts w:ascii="仿宋_GB2312" w:hAnsi="仿宋_GB2312" w:cs="仿宋_GB2312" w:eastAsia="仿宋_GB2312"/>
                <w:sz w:val="21"/>
              </w:rPr>
              <w:t>1、投放方式</w:t>
            </w:r>
          </w:p>
          <w:p>
            <w:pPr>
              <w:pStyle w:val="null3"/>
              <w:ind w:firstLine="560"/>
              <w:jc w:val="left"/>
            </w:pPr>
            <w:r>
              <w:rPr>
                <w:rFonts w:ascii="仿宋_GB2312" w:hAnsi="仿宋_GB2312" w:cs="仿宋_GB2312" w:eastAsia="仿宋_GB2312"/>
                <w:sz w:val="21"/>
              </w:rPr>
              <w:t>统一采购、固定投放。</w:t>
            </w:r>
          </w:p>
          <w:p>
            <w:pPr>
              <w:pStyle w:val="null3"/>
              <w:ind w:firstLine="560"/>
              <w:jc w:val="left"/>
            </w:pPr>
            <w:r>
              <w:rPr>
                <w:rFonts w:ascii="仿宋_GB2312" w:hAnsi="仿宋_GB2312" w:cs="仿宋_GB2312" w:eastAsia="仿宋_GB2312"/>
                <w:sz w:val="21"/>
              </w:rPr>
              <w:t>2、投放时间</w:t>
            </w:r>
          </w:p>
          <w:p>
            <w:pPr>
              <w:pStyle w:val="null3"/>
              <w:ind w:firstLine="560"/>
              <w:jc w:val="left"/>
            </w:pPr>
            <w:r>
              <w:rPr>
                <w:rFonts w:ascii="仿宋_GB2312" w:hAnsi="仿宋_GB2312" w:cs="仿宋_GB2312" w:eastAsia="仿宋_GB2312"/>
                <w:sz w:val="21"/>
              </w:rPr>
              <w:t>采购人指定时间。</w:t>
            </w:r>
          </w:p>
          <w:p>
            <w:pPr>
              <w:pStyle w:val="null3"/>
              <w:ind w:firstLine="560"/>
              <w:jc w:val="left"/>
            </w:pPr>
            <w:r>
              <w:rPr>
                <w:rFonts w:ascii="仿宋_GB2312" w:hAnsi="仿宋_GB2312" w:cs="仿宋_GB2312" w:eastAsia="仿宋_GB2312"/>
                <w:sz w:val="21"/>
              </w:rPr>
              <w:t>3、投放素材</w:t>
            </w:r>
          </w:p>
          <w:p>
            <w:pPr>
              <w:pStyle w:val="null3"/>
              <w:ind w:firstLine="560"/>
              <w:jc w:val="left"/>
            </w:pPr>
            <w:r>
              <w:rPr>
                <w:rFonts w:ascii="仿宋_GB2312" w:hAnsi="仿宋_GB2312" w:cs="仿宋_GB2312" w:eastAsia="仿宋_GB2312"/>
                <w:sz w:val="21"/>
              </w:rPr>
              <w:t>采购人指定的具有高陵标志性景点、建筑以及高陵文化元素的宣传画报。</w:t>
            </w:r>
          </w:p>
          <w:p>
            <w:pPr>
              <w:pStyle w:val="null3"/>
              <w:ind w:firstLine="560"/>
              <w:jc w:val="left"/>
            </w:pPr>
            <w:r>
              <w:rPr>
                <w:rFonts w:ascii="仿宋_GB2312" w:hAnsi="仿宋_GB2312" w:cs="仿宋_GB2312" w:eastAsia="仿宋_GB2312"/>
                <w:sz w:val="21"/>
              </w:rPr>
              <w:t>4、投放内容</w:t>
            </w:r>
          </w:p>
          <w:p>
            <w:pPr>
              <w:pStyle w:val="null3"/>
              <w:ind w:firstLine="560"/>
              <w:jc w:val="left"/>
            </w:pPr>
            <w:r>
              <w:rPr>
                <w:rFonts w:ascii="仿宋_GB2312" w:hAnsi="仿宋_GB2312" w:cs="仿宋_GB2312" w:eastAsia="仿宋_GB2312"/>
                <w:sz w:val="21"/>
              </w:rPr>
              <w:t>由采购人指定宣传图片。</w:t>
            </w:r>
          </w:p>
          <w:p>
            <w:pPr>
              <w:pStyle w:val="null3"/>
              <w:ind w:firstLine="560"/>
              <w:jc w:val="left"/>
            </w:pPr>
            <w:r>
              <w:rPr>
                <w:rFonts w:ascii="仿宋_GB2312" w:hAnsi="仿宋_GB2312" w:cs="仿宋_GB2312" w:eastAsia="仿宋_GB2312"/>
                <w:sz w:val="21"/>
              </w:rPr>
              <w:t>5、广告投放执行</w:t>
            </w:r>
          </w:p>
          <w:p>
            <w:pPr>
              <w:pStyle w:val="null3"/>
              <w:ind w:firstLine="560"/>
              <w:jc w:val="left"/>
            </w:pPr>
            <w:r>
              <w:rPr>
                <w:rFonts w:ascii="仿宋_GB2312" w:hAnsi="仿宋_GB2312" w:cs="仿宋_GB2312" w:eastAsia="仿宋_GB2312"/>
                <w:sz w:val="21"/>
              </w:rPr>
              <w:t>广告素材制作：根据媒体平台的要求，制作符合规范的广告素材，例如图片、视频、文案等。</w:t>
            </w:r>
          </w:p>
          <w:p>
            <w:pPr>
              <w:pStyle w:val="null3"/>
              <w:ind w:firstLine="560"/>
              <w:jc w:val="left"/>
            </w:pPr>
            <w:r>
              <w:rPr>
                <w:rFonts w:ascii="仿宋_GB2312" w:hAnsi="仿宋_GB2312" w:cs="仿宋_GB2312" w:eastAsia="仿宋_GB2312"/>
                <w:sz w:val="21"/>
              </w:rPr>
              <w:t>广告投放监控：实时监控广告投放情况，确保广告按照计划进行投放，并及时处理投放过程中出现的问题。</w:t>
            </w:r>
          </w:p>
          <w:p>
            <w:pPr>
              <w:pStyle w:val="null3"/>
              <w:ind w:firstLine="560"/>
              <w:jc w:val="left"/>
            </w:pPr>
            <w:r>
              <w:rPr>
                <w:rFonts w:ascii="仿宋_GB2312" w:hAnsi="仿宋_GB2312" w:cs="仿宋_GB2312" w:eastAsia="仿宋_GB2312"/>
                <w:sz w:val="21"/>
              </w:rPr>
              <w:t>6、效果监测与评估</w:t>
            </w:r>
          </w:p>
          <w:p>
            <w:pPr>
              <w:pStyle w:val="null3"/>
              <w:ind w:firstLine="560"/>
              <w:jc w:val="left"/>
            </w:pPr>
            <w:r>
              <w:rPr>
                <w:rFonts w:ascii="仿宋_GB2312" w:hAnsi="仿宋_GB2312" w:cs="仿宋_GB2312" w:eastAsia="仿宋_GB2312"/>
                <w:sz w:val="21"/>
              </w:rPr>
              <w:t>数据监测：收集广告投放数据。</w:t>
            </w:r>
          </w:p>
          <w:p>
            <w:pPr>
              <w:pStyle w:val="null3"/>
              <w:ind w:firstLine="560"/>
              <w:jc w:val="left"/>
            </w:pPr>
            <w:r>
              <w:rPr>
                <w:rFonts w:ascii="仿宋_GB2312" w:hAnsi="仿宋_GB2312" w:cs="仿宋_GB2312" w:eastAsia="仿宋_GB2312"/>
                <w:sz w:val="21"/>
              </w:rPr>
              <w:t>效果评估：分析广告投放数据，评估广告投放效果，并与预期目标进行对比。</w:t>
            </w:r>
          </w:p>
          <w:p>
            <w:pPr>
              <w:pStyle w:val="null3"/>
              <w:jc w:val="both"/>
            </w:pPr>
            <w:r>
              <w:rPr>
                <w:rFonts w:ascii="仿宋_GB2312" w:hAnsi="仿宋_GB2312" w:cs="仿宋_GB2312" w:eastAsia="仿宋_GB2312"/>
                <w:sz w:val="21"/>
              </w:rPr>
              <w:t>优化建议：根据效果评估结果，提出优化建议，例如调整投放策略、优化广告素材等。</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服务要求</w:t>
            </w:r>
          </w:p>
        </w:tc>
        <w:tc>
          <w:tcPr>
            <w:tcW w:type="dxa" w:w="2076"/>
          </w:tcPr>
          <w:p>
            <w:pPr>
              <w:pStyle w:val="null3"/>
              <w:ind w:firstLine="560"/>
              <w:jc w:val="left"/>
            </w:pPr>
            <w:r>
              <w:rPr>
                <w:rFonts w:ascii="仿宋_GB2312" w:hAnsi="仿宋_GB2312" w:cs="仿宋_GB2312" w:eastAsia="仿宋_GB2312"/>
                <w:sz w:val="21"/>
              </w:rPr>
              <w:t>1、供应商应通过投放媒体提供的官方渠道完成广告投放，如需使用第三方渠道的，须提供相应媒体平台官方出具的合法性证明。</w:t>
            </w:r>
          </w:p>
          <w:p>
            <w:pPr>
              <w:pStyle w:val="null3"/>
              <w:ind w:firstLine="560"/>
              <w:jc w:val="left"/>
            </w:pPr>
            <w:r>
              <w:rPr>
                <w:rFonts w:ascii="仿宋_GB2312" w:hAnsi="仿宋_GB2312" w:cs="仿宋_GB2312" w:eastAsia="仿宋_GB2312"/>
                <w:sz w:val="21"/>
              </w:rPr>
              <w:t>2、每阶段投放的起始日期、投放内容及投放数量均由采购人根据实际需求即时调配。</w:t>
            </w:r>
          </w:p>
          <w:p>
            <w:pPr>
              <w:pStyle w:val="null3"/>
              <w:ind w:firstLine="560"/>
              <w:jc w:val="left"/>
            </w:pPr>
            <w:r>
              <w:rPr>
                <w:rFonts w:ascii="仿宋_GB2312" w:hAnsi="仿宋_GB2312" w:cs="仿宋_GB2312" w:eastAsia="仿宋_GB2312"/>
                <w:sz w:val="21"/>
              </w:rPr>
              <w:t>3、为投放设计的软文、图片、视频等宣传素材须经由采购人审核通过后方可使用。</w:t>
            </w:r>
          </w:p>
          <w:p>
            <w:pPr>
              <w:pStyle w:val="null3"/>
              <w:ind w:firstLine="560"/>
              <w:jc w:val="left"/>
            </w:pPr>
            <w:r>
              <w:rPr>
                <w:rFonts w:ascii="仿宋_GB2312" w:hAnsi="仿宋_GB2312" w:cs="仿宋_GB2312" w:eastAsia="仿宋_GB2312"/>
                <w:sz w:val="21"/>
              </w:rPr>
              <w:t>4.供应商应确保广告设计过程中使用的所有素材不涉及版权纠纷。</w:t>
            </w:r>
          </w:p>
          <w:p>
            <w:pPr>
              <w:pStyle w:val="null3"/>
              <w:ind w:firstLine="560"/>
              <w:jc w:val="left"/>
            </w:pPr>
            <w:r>
              <w:rPr>
                <w:rFonts w:ascii="仿宋_GB2312" w:hAnsi="仿宋_GB2312" w:cs="仿宋_GB2312" w:eastAsia="仿宋_GB2312"/>
                <w:sz w:val="21"/>
              </w:rPr>
              <w:t>5、投放过程中使用的所有宣传素材，其版权归采购人所有，未经采购人许可不得随意传播或用于任何商业用途。</w:t>
            </w:r>
          </w:p>
          <w:p>
            <w:pPr>
              <w:pStyle w:val="null3"/>
              <w:ind w:firstLine="560"/>
              <w:jc w:val="left"/>
            </w:pPr>
            <w:r>
              <w:rPr>
                <w:rFonts w:ascii="仿宋_GB2312" w:hAnsi="仿宋_GB2312" w:cs="仿宋_GB2312" w:eastAsia="仿宋_GB2312"/>
                <w:sz w:val="21"/>
              </w:rPr>
              <w:t>6、项目执行过程中，若出现以下情况中的任何一种，采购人有权终止合同：</w:t>
            </w:r>
          </w:p>
          <w:p>
            <w:pPr>
              <w:pStyle w:val="null3"/>
              <w:ind w:firstLine="560"/>
              <w:jc w:val="left"/>
            </w:pPr>
            <w:r>
              <w:rPr>
                <w:rFonts w:ascii="仿宋_GB2312" w:hAnsi="仿宋_GB2312" w:cs="仿宋_GB2312" w:eastAsia="仿宋_GB2312"/>
                <w:sz w:val="21"/>
              </w:rPr>
              <w:t>（</w:t>
            </w:r>
            <w:r>
              <w:rPr>
                <w:rFonts w:ascii="仿宋_GB2312" w:hAnsi="仿宋_GB2312" w:cs="仿宋_GB2312" w:eastAsia="仿宋_GB2312"/>
                <w:sz w:val="21"/>
              </w:rPr>
              <w:t>1）设计质量在双方沟通修改后仍不能令采购人满意；</w:t>
            </w:r>
          </w:p>
          <w:p>
            <w:pPr>
              <w:pStyle w:val="null3"/>
              <w:ind w:firstLine="560"/>
              <w:jc w:val="left"/>
            </w:pPr>
            <w:r>
              <w:rPr>
                <w:rFonts w:ascii="仿宋_GB2312" w:hAnsi="仿宋_GB2312" w:cs="仿宋_GB2312" w:eastAsia="仿宋_GB2312"/>
                <w:sz w:val="21"/>
              </w:rPr>
              <w:t>（</w:t>
            </w:r>
            <w:r>
              <w:rPr>
                <w:rFonts w:ascii="仿宋_GB2312" w:hAnsi="仿宋_GB2312" w:cs="仿宋_GB2312" w:eastAsia="仿宋_GB2312"/>
                <w:sz w:val="21"/>
              </w:rPr>
              <w:t>2）投放渠道协调不力，导致投放工作未能按时进行；</w:t>
            </w:r>
          </w:p>
          <w:p>
            <w:pPr>
              <w:pStyle w:val="null3"/>
              <w:ind w:firstLine="560"/>
              <w:jc w:val="left"/>
            </w:pPr>
            <w:r>
              <w:rPr>
                <w:rFonts w:ascii="仿宋_GB2312" w:hAnsi="仿宋_GB2312" w:cs="仿宋_GB2312" w:eastAsia="仿宋_GB2312"/>
                <w:sz w:val="21"/>
              </w:rPr>
              <w:t>（</w:t>
            </w:r>
            <w:r>
              <w:rPr>
                <w:rFonts w:ascii="仿宋_GB2312" w:hAnsi="仿宋_GB2312" w:cs="仿宋_GB2312" w:eastAsia="仿宋_GB2312"/>
                <w:sz w:val="21"/>
              </w:rPr>
              <w:t>3）未按照采购人指定的活动内容完成投放；</w:t>
            </w:r>
          </w:p>
          <w:p>
            <w:pPr>
              <w:pStyle w:val="null3"/>
              <w:ind w:firstLine="560"/>
              <w:jc w:val="left"/>
            </w:pPr>
            <w:r>
              <w:rPr>
                <w:rFonts w:ascii="仿宋_GB2312" w:hAnsi="仿宋_GB2312" w:cs="仿宋_GB2312" w:eastAsia="仿宋_GB2312"/>
                <w:sz w:val="21"/>
              </w:rPr>
              <w:t>（</w:t>
            </w:r>
            <w:r>
              <w:rPr>
                <w:rFonts w:ascii="仿宋_GB2312" w:hAnsi="仿宋_GB2312" w:cs="仿宋_GB2312" w:eastAsia="仿宋_GB2312"/>
                <w:sz w:val="21"/>
              </w:rPr>
              <w:t>4）未按照采购人指定的媒体平台完成投放；</w:t>
            </w:r>
          </w:p>
          <w:p>
            <w:pPr>
              <w:pStyle w:val="null3"/>
              <w:ind w:firstLine="560"/>
              <w:jc w:val="left"/>
            </w:pPr>
            <w:r>
              <w:rPr>
                <w:rFonts w:ascii="仿宋_GB2312" w:hAnsi="仿宋_GB2312" w:cs="仿宋_GB2312" w:eastAsia="仿宋_GB2312"/>
                <w:sz w:val="21"/>
              </w:rPr>
              <w:t>（</w:t>
            </w:r>
            <w:r>
              <w:rPr>
                <w:rFonts w:ascii="仿宋_GB2312" w:hAnsi="仿宋_GB2312" w:cs="仿宋_GB2312" w:eastAsia="仿宋_GB2312"/>
                <w:sz w:val="21"/>
              </w:rPr>
              <w:t>5）投放数量或持续时间未达到采购人要求；</w:t>
            </w:r>
          </w:p>
          <w:p>
            <w:pPr>
              <w:pStyle w:val="null3"/>
              <w:ind w:firstLine="560"/>
              <w:jc w:val="left"/>
            </w:pPr>
            <w:r>
              <w:rPr>
                <w:rFonts w:ascii="仿宋_GB2312" w:hAnsi="仿宋_GB2312" w:cs="仿宋_GB2312" w:eastAsia="仿宋_GB2312"/>
                <w:sz w:val="21"/>
              </w:rPr>
              <w:t>（</w:t>
            </w:r>
            <w:r>
              <w:rPr>
                <w:rFonts w:ascii="仿宋_GB2312" w:hAnsi="仿宋_GB2312" w:cs="仿宋_GB2312" w:eastAsia="仿宋_GB2312"/>
                <w:sz w:val="21"/>
              </w:rPr>
              <w:t>6）未能提供有效的播出证明。</w:t>
            </w:r>
          </w:p>
          <w:p>
            <w:pPr>
              <w:pStyle w:val="null3"/>
              <w:ind w:firstLine="560"/>
              <w:jc w:val="left"/>
            </w:pPr>
            <w:r>
              <w:rPr>
                <w:rFonts w:ascii="仿宋_GB2312" w:hAnsi="仿宋_GB2312" w:cs="仿宋_GB2312" w:eastAsia="仿宋_GB2312"/>
                <w:sz w:val="21"/>
              </w:rPr>
              <w:t>7、团队人员配备</w:t>
            </w:r>
          </w:p>
          <w:p>
            <w:pPr>
              <w:pStyle w:val="null3"/>
              <w:ind w:firstLine="560"/>
              <w:jc w:val="left"/>
            </w:pPr>
            <w:r>
              <w:rPr>
                <w:rFonts w:ascii="仿宋_GB2312" w:hAnsi="仿宋_GB2312" w:cs="仿宋_GB2312" w:eastAsia="仿宋_GB2312"/>
                <w:sz w:val="21"/>
              </w:rPr>
              <w:t>1、具备丰富的媒体投放经验，熟悉各类媒体平台的投放规则和技巧。</w:t>
            </w:r>
          </w:p>
          <w:p>
            <w:pPr>
              <w:pStyle w:val="null3"/>
              <w:ind w:firstLine="560"/>
              <w:jc w:val="left"/>
            </w:pPr>
            <w:r>
              <w:rPr>
                <w:rFonts w:ascii="仿宋_GB2312" w:hAnsi="仿宋_GB2312" w:cs="仿宋_GB2312" w:eastAsia="仿宋_GB2312"/>
                <w:sz w:val="21"/>
              </w:rPr>
              <w:t>2、拥有专业的媒体策划、媒介采购、数据分析等能力。</w:t>
            </w:r>
          </w:p>
          <w:p>
            <w:pPr>
              <w:pStyle w:val="null3"/>
              <w:ind w:firstLine="560"/>
              <w:jc w:val="left"/>
            </w:pPr>
            <w:r>
              <w:rPr>
                <w:rFonts w:ascii="仿宋_GB2312" w:hAnsi="仿宋_GB2312" w:cs="仿宋_GB2312" w:eastAsia="仿宋_GB2312"/>
                <w:sz w:val="21"/>
              </w:rPr>
              <w:t>3、熟悉城市形象广告宣传的特点和需求，能够制定有效的媒体投放策略。</w:t>
            </w:r>
          </w:p>
        </w:tc>
      </w:tr>
      <w:tr>
        <w:tc>
          <w:tcPr>
            <w:tcW w:type="dxa" w:w="2076"/>
          </w:tcPr>
          <w:p>
            <w:pPr>
              <w:pStyle w:val="null3"/>
            </w:pPr>
            <w:r>
              <w:rPr>
                <w:rFonts w:ascii="仿宋_GB2312" w:hAnsi="仿宋_GB2312" w:cs="仿宋_GB2312" w:eastAsia="仿宋_GB2312"/>
              </w:rPr>
              <w:t>★</w:t>
            </w: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服务期限</w:t>
            </w:r>
          </w:p>
        </w:tc>
        <w:tc>
          <w:tcPr>
            <w:tcW w:type="dxa" w:w="2076"/>
          </w:tcPr>
          <w:p>
            <w:pPr>
              <w:pStyle w:val="null3"/>
              <w:ind w:firstLine="560"/>
            </w:pPr>
            <w:r>
              <w:rPr>
                <w:rFonts w:ascii="仿宋_GB2312" w:hAnsi="仿宋_GB2312" w:cs="仿宋_GB2312" w:eastAsia="仿宋_GB2312"/>
                <w:sz w:val="18"/>
              </w:rPr>
              <w:t>自合同签订之日起</w:t>
            </w:r>
            <w:r>
              <w:rPr>
                <w:rFonts w:ascii="仿宋_GB2312" w:hAnsi="仿宋_GB2312" w:cs="仿宋_GB2312" w:eastAsia="仿宋_GB2312"/>
                <w:sz w:val="18"/>
              </w:rPr>
              <w:t>一年。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满足本次服务要求。</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满足本次服务要求。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西禹高速高陵出入口，采购人指定地点</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由乙方出具相关票据给甲方，甲方在完成报账程序后一次性支付服务费用。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执行合同规定</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2.未按合同或采购文件要求提供服务或服务质量不能满足采购人要求的，采购单位有权单方终止合同，甚至对供应商违约行为进行追究，同时按《中华人民共和国政府采购法》的有关规定进行处罚。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年度经审计的财务报告（成立时间至提交响应文件递交截止时间不足一年的可提供成立后任意时段的资产负债表），或其银行存款账户出具的资信证明（资信证明需提供投标截止时间前6个月内），或财政部门认可的政府采购专业担保机构出具的投标担保函（以上三种形式的资料提供任何一种即可）；供应商需在项目电子化交易系统中按要求上传相应证明文件并进行电子签章；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交响应文件截止时间前6个月内，已缴纳的任意一个月的纳税证明或完税证明，纳税证明或完税证明上应有代收机构或税务机关的公章或业务专用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交响应文件截止时间前6个月内，已缴存的任意一个月的社会保障资金缴存单据或社保机构开具的社会保险参保缴费情况证明，单据或证明上应有社保机构或代收机构的公章或业务专用章。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具有履行合同所必需的设备和专业技术能力的书面声明；供应商需在项目电子化交易系统中按要求上传相应证明文件并进行电子签章；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法定代表人参加投标的，须提供法定代表人身份证明；法定代表人授权他人参加投标的，须提供法定代表人授权委托书；供应商需在项目电子化交易系统中按要求上传相应证明文件并进行电子签章；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企业信誉</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失信主体的供应商，不得为中国政府采购网（www.ccgp.gov.cn）政府采购严重违法失信行为记录名单中被财政部门禁止参加政府采购活动的供应商。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非联合体声明</w:t>
            </w:r>
          </w:p>
        </w:tc>
        <w:tc>
          <w:tcPr>
            <w:tcW w:type="dxa" w:w="3322"/>
          </w:tcPr>
          <w:p>
            <w:pPr>
              <w:pStyle w:val="null3"/>
            </w:pPr>
            <w:r>
              <w:rPr>
                <w:rFonts w:ascii="仿宋_GB2312" w:hAnsi="仿宋_GB2312" w:cs="仿宋_GB2312" w:eastAsia="仿宋_GB2312"/>
              </w:rPr>
              <w:t>本项目不接受联合体磋商（提供非联合体声明）；供应商需在项目电子化交易系统中按要求上传相应证明文件并进行电子签章；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11-相关资格证明材料.docx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服务内容及服务邀请应答表 商务应答表 标的清单 报价表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 在评审过程中，单一来源采购人员认为供应商报价明显低于市场价格的，有可能影响产品质量或者不能诚信履约的，单一来源采购人员应当要求其在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说明和证明材料，应当加盖供应商（法定名称）电子印章，在单一来源采购人员要求的时间内通过项目电子化交易系统进行提交，否则提交的相关证明材料无效。供应商不能证明其响应报价合理性的，单一来源采购人员应当将其响应文件作为无效处理。</w:t>
            </w:r>
          </w:p>
        </w:tc>
        <w:tc>
          <w:tcPr>
            <w:tcW w:type="dxa" w:w="1661"/>
          </w:tcPr>
          <w:p>
            <w:pPr>
              <w:pStyle w:val="null3"/>
            </w:pPr>
            <w:r>
              <w:rPr>
                <w:rFonts w:ascii="仿宋_GB2312" w:hAnsi="仿宋_GB2312" w:cs="仿宋_GB2312" w:eastAsia="仿宋_GB2312"/>
              </w:rPr>
              <w:t>标的清单 报价表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11-相关资格证明材料.docx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应符合“响应文件格式”要求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11-相关资格证明材料.docx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法定代表人或其授权代表人的签字齐全并加盖公章</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11-相关资格证明材料.docx 服务方案 标的清单 报价表 响应函 供应商承诺书.docx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供应商不得出现选择性报价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响应报价不得超出采购预算或最高限价</w:t>
            </w:r>
          </w:p>
        </w:tc>
        <w:tc>
          <w:tcPr>
            <w:tcW w:type="dxa" w:w="3322"/>
          </w:tcPr>
          <w:p>
            <w:pPr>
              <w:pStyle w:val="null3"/>
            </w:pPr>
            <w:r>
              <w:rPr>
                <w:rFonts w:ascii="仿宋_GB2312" w:hAnsi="仿宋_GB2312" w:cs="仿宋_GB2312" w:eastAsia="仿宋_GB2312"/>
              </w:rPr>
              <w:t>响应报价不得超出采购预算或最高限价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投标响应有效期</w:t>
            </w:r>
          </w:p>
        </w:tc>
        <w:tc>
          <w:tcPr>
            <w:tcW w:type="dxa" w:w="3322"/>
          </w:tcPr>
          <w:p>
            <w:pPr>
              <w:pStyle w:val="null3"/>
            </w:pPr>
            <w:r>
              <w:rPr>
                <w:rFonts w:ascii="仿宋_GB2312" w:hAnsi="仿宋_GB2312" w:cs="仿宋_GB2312" w:eastAsia="仿宋_GB2312"/>
              </w:rPr>
              <w:t>满足招标文件规定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应满足单一来源文件中要求的服务期限</w:t>
            </w:r>
          </w:p>
        </w:tc>
        <w:tc>
          <w:tcPr>
            <w:tcW w:type="dxa" w:w="1661"/>
          </w:tcPr>
          <w:p>
            <w:pPr>
              <w:pStyle w:val="null3"/>
            </w:pPr>
            <w:r>
              <w:rPr>
                <w:rFonts w:ascii="仿宋_GB2312" w:hAnsi="仿宋_GB2312" w:cs="仿宋_GB2312" w:eastAsia="仿宋_GB2312"/>
              </w:rPr>
              <w:t>服务内容及服务邀请应答表 商务应答表 标的清单 报价表</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不存在法律、法规和磋商文件规定的其他无效投标情形</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11-相关资格证明材料.docx 服务方案 标的清单 报价表 响应函 供应商承诺书.docx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详见附件：11-相关资格证明材料.docx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