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99311">
      <w:pPr>
        <w:pStyle w:val="7"/>
        <w:shd w:val="clear"/>
        <w:spacing w:after="0" w:line="360" w:lineRule="auto"/>
        <w:ind w:left="0" w:leftChars="0" w:firstLine="0" w:firstLineChars="0"/>
        <w:jc w:val="center"/>
        <w:rPr>
          <w:rFonts w:ascii="黑体" w:hAnsi="黑体" w:eastAsia="黑体" w:cs="黑体"/>
          <w:b/>
          <w:color w:val="auto"/>
          <w:sz w:val="36"/>
          <w:szCs w:val="36"/>
        </w:rPr>
      </w:pPr>
      <w:r>
        <w:rPr>
          <w:rFonts w:hint="eastAsia" w:ascii="黑体" w:hAnsi="黑体" w:eastAsia="黑体" w:cs="黑体"/>
          <w:b/>
          <w:color w:val="auto"/>
          <w:sz w:val="36"/>
          <w:szCs w:val="36"/>
        </w:rPr>
        <w:t>竞争性磋商公告</w:t>
      </w:r>
    </w:p>
    <w:p w14:paraId="4F54A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项目概况</w:t>
      </w:r>
    </w:p>
    <w:p w14:paraId="1E65D0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城固县2025年残疾人职业技能和实用技术培训采购项目采购项目的潜在供应商应在3209672565@qq.com邮箱（在线获取）获取采购文件，并于 2025年05月08日 14时30分 （北京时间）前提交响应文件。</w:t>
      </w:r>
    </w:p>
    <w:p w14:paraId="5D626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一、项目基本情况</w:t>
      </w:r>
    </w:p>
    <w:p w14:paraId="426006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项目编号：TZZB-HZ-2025066C1</w:t>
      </w:r>
    </w:p>
    <w:p w14:paraId="5E6946F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项目名称：城固县2025年残疾人职业技能和实用技术培训采购项目</w:t>
      </w:r>
    </w:p>
    <w:p w14:paraId="01F704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采购方式：竞争性磋商</w:t>
      </w:r>
    </w:p>
    <w:p w14:paraId="0A1954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预算金额：600,000.00元</w:t>
      </w:r>
    </w:p>
    <w:p w14:paraId="071F34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采购需求：</w:t>
      </w:r>
    </w:p>
    <w:p w14:paraId="50F313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418" w:firstLineChars="1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合同包1(城固县2025年残疾人职业技能和实用技术培训采购项目合同包1):</w:t>
      </w:r>
    </w:p>
    <w:p w14:paraId="0A0582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38" w:firstLineChars="2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合同包预算金额：390,000.00元</w:t>
      </w:r>
    </w:p>
    <w:p w14:paraId="2AED15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38" w:firstLineChars="2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合同包最高限价：390,000.00元</w:t>
      </w:r>
    </w:p>
    <w:tbl>
      <w:tblPr>
        <w:tblStyle w:val="8"/>
        <w:tblW w:w="10047"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5"/>
        <w:gridCol w:w="1319"/>
        <w:gridCol w:w="2364"/>
        <w:gridCol w:w="1092"/>
        <w:gridCol w:w="1621"/>
        <w:gridCol w:w="1380"/>
        <w:gridCol w:w="1406"/>
      </w:tblGrid>
      <w:tr w14:paraId="5A31C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 w:hRule="atLeast"/>
          <w:tblHeader/>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08B0BD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23AEC4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36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3BC0D0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2FD945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6DBAC34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62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15F356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6DD9E4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4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EE068F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372D1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62D69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1-1</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83BD69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残疾人服务</w:t>
            </w:r>
          </w:p>
        </w:tc>
        <w:tc>
          <w:tcPr>
            <w:tcW w:w="236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697BE3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残疾人职业技能和</w:t>
            </w:r>
          </w:p>
          <w:p w14:paraId="0C53494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实用技术培训</w:t>
            </w:r>
          </w:p>
        </w:tc>
        <w:tc>
          <w:tcPr>
            <w:tcW w:w="10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B8C229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260(人)</w:t>
            </w:r>
          </w:p>
        </w:tc>
        <w:tc>
          <w:tcPr>
            <w:tcW w:w="1621"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72EB3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3E1432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390,000.00</w:t>
            </w:r>
          </w:p>
        </w:tc>
        <w:tc>
          <w:tcPr>
            <w:tcW w:w="1406"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5352E5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390,000.00</w:t>
            </w:r>
          </w:p>
        </w:tc>
      </w:tr>
    </w:tbl>
    <w:p w14:paraId="2DD91B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38" w:firstLineChars="2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本合同包不接受联合体投标</w:t>
      </w:r>
    </w:p>
    <w:p w14:paraId="1B4018B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38" w:firstLineChars="2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合同履行期限：详见采购文件</w:t>
      </w:r>
    </w:p>
    <w:p w14:paraId="2C9964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合同包2(城固县2025年残疾人职业技能和实用技术培训采购项目合同包2):</w:t>
      </w:r>
    </w:p>
    <w:p w14:paraId="1EB3A3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38" w:firstLineChars="2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合同包预算金额：210,000.00元</w:t>
      </w:r>
    </w:p>
    <w:p w14:paraId="32E575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38" w:firstLineChars="2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合同包最高限价：210,000.00元</w:t>
      </w:r>
    </w:p>
    <w:tbl>
      <w:tblPr>
        <w:tblStyle w:val="8"/>
        <w:tblW w:w="10047"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5"/>
        <w:gridCol w:w="1319"/>
        <w:gridCol w:w="2292"/>
        <w:gridCol w:w="1020"/>
        <w:gridCol w:w="1524"/>
        <w:gridCol w:w="1514"/>
        <w:gridCol w:w="1513"/>
      </w:tblGrid>
      <w:tr w14:paraId="1A14EF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 w:hRule="atLeast"/>
          <w:tblHeader/>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7BAF50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7BA46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70D665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09C08D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1D6850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5C0563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19B251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28F9B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293731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15723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2-1</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7F862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残疾人服务</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092A10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残疾人职业技能和</w:t>
            </w:r>
          </w:p>
          <w:p w14:paraId="4CCCD75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实用技术培训</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925D0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140(人)</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8664BA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214E28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210,000.00</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9179FF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shd w:val="clear" w:color="auto" w:fill="FFFFFF"/>
                <w:lang w:val="en-US" w:eastAsia="zh-CN"/>
              </w:rPr>
              <w:t xml:space="preserve">210,000.00 </w:t>
            </w:r>
          </w:p>
        </w:tc>
      </w:tr>
    </w:tbl>
    <w:p w14:paraId="5D706A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38" w:firstLineChars="2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本合同包不接受联合体投标</w:t>
      </w:r>
    </w:p>
    <w:p w14:paraId="23E96C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38" w:firstLineChars="290"/>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合同履行期限：详见采购文件</w:t>
      </w:r>
    </w:p>
    <w:p w14:paraId="761A3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二、申请人的资格要求：</w:t>
      </w:r>
    </w:p>
    <w:p w14:paraId="63A321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1.满足《中华人民共和国政府采购法》第二十二条规定;</w:t>
      </w:r>
    </w:p>
    <w:p w14:paraId="48E137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2.落实政府采购政策需满足的资格要求：</w:t>
      </w:r>
    </w:p>
    <w:p w14:paraId="04418D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合同包1(城固县2025年残疾人职业技能和实用技术培训采购项目合同包1)落实政府采购政策需满足的资格要求如下:</w:t>
      </w:r>
    </w:p>
    <w:p w14:paraId="40ECCC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专门面向小微企业采购,所提供服务的供应商须为小微企业或监狱企业或残疾人福利性单位。供应商为小型、微型企业的提供《中小企业声明函》，供应商为监狱企业的，应提供监狱企业的证明文件；供应商为残疾人福利性单位的，应提供《残疾人福利性单位声明函》(监狱企业或残疾人福利性单位视同小型、微型企业)。</w:t>
      </w:r>
    </w:p>
    <w:p w14:paraId="38F525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合同包2(城固县2025年残疾人职业技能和实用技术培训采购项目合同包2)落实政府采购政策需满足的资格要求如下:</w:t>
      </w:r>
    </w:p>
    <w:p w14:paraId="7A628C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专门面向小微企业采购,所提供服务的供应商须为小微企业或监狱企业或残疾人福利性单位。供应商为小型、微型企业的提供《中小企业声明函》，供应商为监狱企业的，应提供监狱企业的证明文件；供应商为残疾人福利性单位的，应提供《残疾人福利性单位声明函》(监狱企业或残疾人福利性单位视同小型、微型企业)。</w:t>
      </w:r>
    </w:p>
    <w:p w14:paraId="1A38A6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3.本项目的特定资格要求：</w:t>
      </w:r>
    </w:p>
    <w:p w14:paraId="059DB96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合同包1(城固县2025年残疾人职业技能和实用技术培训采购项目合同包1)特定资格要求如下:</w:t>
      </w:r>
    </w:p>
    <w:p w14:paraId="683861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3.1 满足《中华人民共和国政府采购法》第二十二条的规定,提供下列资格证明文件：</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（2）供应商须提供《汉中市政府采购供应商资格承诺函》；</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3.2 本项目特定资格要求：</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（1）法定代表人直接参加磋商的，须出具法人身份证；法定代表人授权代表参加磋商的，须出具法定代表人授权书及授权代表身份证；</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（2）供应商须具有经人社、教育等部门批准并年审评估认定合格的教育及职业培训机构资格。</w:t>
      </w:r>
    </w:p>
    <w:p w14:paraId="52A9EB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合同包2(城固县2025年残疾人职业技能和实用技术培训采购项目合同包2)特定资格要求如下:</w:t>
      </w:r>
    </w:p>
    <w:p w14:paraId="398F9F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3.1 满足《中华人民共和国政府采购法》第二十二条的规定,提供下列资格证明文件：</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（2）供应商须提供</w:t>
      </w:r>
      <w:bookmarkStart w:id="0" w:name="_GoBack"/>
      <w:bookmarkEnd w:id="0"/>
      <w:r>
        <w:rPr>
          <w:rFonts w:hint="eastAsia" w:ascii="仿宋" w:hAnsi="仿宋" w:eastAsia="仿宋" w:cs="仿宋"/>
          <w:color w:val="auto"/>
          <w:sz w:val="22"/>
          <w:szCs w:val="22"/>
          <w:shd w:val="clear" w:color="auto" w:fill="FFFFFF"/>
          <w:lang w:eastAsia="zh-CN"/>
        </w:rPr>
        <w:t>《汉中市政府采购供应商资格承诺函》；</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3.2 本项目特定资格要求：</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（1）法定代表人直接参加磋商的，须出具法人身份证；法定代表人授权代表参加磋商的，须出具法定代表人授权书及授权代表身份证；</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（2）供应商须具有经人社、教育等部门批准并年审评估认定合格的教育及职业培训机构资格。</w:t>
      </w:r>
    </w:p>
    <w:p w14:paraId="05DCD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三、获取采购文件</w:t>
      </w:r>
    </w:p>
    <w:p w14:paraId="52D2F4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2025年04月24日 至 2025年04月29日 ，每天上午 08:00:00 至 12:00:00 ，下午 14:00:00 至 18:00:00 （北京时间）</w:t>
      </w:r>
    </w:p>
    <w:p w14:paraId="711F65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途径：3209672565@qq.com邮箱（在线获取）</w:t>
      </w:r>
    </w:p>
    <w:p w14:paraId="64C820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方式：在线获取</w:t>
      </w:r>
    </w:p>
    <w:p w14:paraId="7666B3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售价： 300元</w:t>
      </w:r>
    </w:p>
    <w:p w14:paraId="577BF1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四、响应文件提交</w:t>
      </w:r>
    </w:p>
    <w:p w14:paraId="729935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截止时间： 2025年05月08日 14时30分00秒 （北京时间）</w:t>
      </w:r>
    </w:p>
    <w:p w14:paraId="6EBE751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78767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五、开启</w:t>
      </w:r>
    </w:p>
    <w:p w14:paraId="6ADF40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2025年05月08日 14时30分00秒 （北京时间）</w:t>
      </w:r>
    </w:p>
    <w:p w14:paraId="6B287D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06E944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六、公告期限</w:t>
      </w:r>
    </w:p>
    <w:p w14:paraId="775C04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自本公告发布之日起3个工作日。</w:t>
      </w:r>
    </w:p>
    <w:p w14:paraId="0FF1B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七、其他补充事宜</w:t>
      </w:r>
    </w:p>
    <w:p w14:paraId="07BCBD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1、潜在供应商获取竞争性磋商文件时需提交供应商出具的对获取人的介绍信（介绍信需注明项目名称+合同包号、项目编号、联系人、联系方式）以及获取人身份证复印件并加盖公章，以（PDF格式）发送至3209672565@qq.com邮箱，资料审核无误后须填写文件获取登记表并进行线上支付，售后不退。</w:t>
      </w:r>
    </w:p>
    <w:p w14:paraId="4E33AD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279B9B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06785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八、对本次招标提出询问，请按以下方式联系。</w:t>
      </w:r>
    </w:p>
    <w:p w14:paraId="431274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 w:lineRule="atLeast"/>
        <w:ind w:left="0" w:right="0" w:firstLine="220" w:firstLineChars="100"/>
        <w:jc w:val="left"/>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1.采购人信息</w:t>
      </w:r>
    </w:p>
    <w:p w14:paraId="4E23D7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名称：城固县残疾人联合会</w:t>
      </w:r>
    </w:p>
    <w:p w14:paraId="6B2278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地址：陕西省汉中市城固县莲花街道办事处小东关村太古石路304号</w:t>
      </w:r>
    </w:p>
    <w:p w14:paraId="10D528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联系方式：0916-7203276</w:t>
      </w:r>
    </w:p>
    <w:p w14:paraId="02510E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 w:lineRule="atLeast"/>
        <w:ind w:left="0" w:right="0" w:firstLine="220" w:firstLineChars="100"/>
        <w:jc w:val="left"/>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2.采购代理机构信息</w:t>
      </w:r>
    </w:p>
    <w:p w14:paraId="725995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名称：同正项目管理有限公司</w:t>
      </w:r>
    </w:p>
    <w:p w14:paraId="54F409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地址：汉中市汉台区西一环路蓝天御苑小区商铺二层门面房南侧</w:t>
      </w:r>
    </w:p>
    <w:p w14:paraId="613724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联系方式：0916-8897702</w:t>
      </w:r>
    </w:p>
    <w:p w14:paraId="78C032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 w:lineRule="atLeast"/>
        <w:ind w:left="0" w:right="0" w:firstLine="220" w:firstLineChars="100"/>
        <w:jc w:val="left"/>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3.项目联系方式</w:t>
      </w:r>
    </w:p>
    <w:p w14:paraId="543DBD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项目联系人：王丽</w:t>
      </w:r>
    </w:p>
    <w:p w14:paraId="10388F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84" w:lineRule="atLeast"/>
        <w:ind w:left="0" w:right="0" w:firstLine="384"/>
        <w:jc w:val="both"/>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电话：0916-8897702</w:t>
      </w:r>
    </w:p>
    <w:p w14:paraId="4EB8D1C8">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shd w:val="clear" w:color="auto" w:fill="FFFFFF"/>
          <w:lang w:val="en-US" w:eastAsia="zh-CN"/>
        </w:rPr>
      </w:pPr>
    </w:p>
    <w:p w14:paraId="69064C95">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shd w:val="clear" w:color="auto" w:fill="FFFFFF"/>
          <w:lang w:val="en-US" w:eastAsia="zh-CN"/>
        </w:rPr>
      </w:pPr>
    </w:p>
    <w:p w14:paraId="578281A7">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shd w:val="clear" w:color="auto" w:fill="FFFFFF"/>
          <w:lang w:val="en-US" w:eastAsia="zh-CN"/>
        </w:rPr>
      </w:pPr>
    </w:p>
    <w:p w14:paraId="7C5D4702">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shd w:val="clear" w:color="auto" w:fill="FFFFFF"/>
          <w:lang w:val="en-US" w:eastAsia="zh-CN"/>
        </w:rPr>
      </w:pPr>
    </w:p>
    <w:p w14:paraId="500ED88B">
      <w:pPr>
        <w:pStyle w:val="5"/>
        <w:rPr>
          <w:rFonts w:hint="eastAsia"/>
          <w:color w:val="auto"/>
          <w:lang w:val="en-US" w:eastAsia="zh-CN"/>
        </w:rPr>
      </w:pPr>
    </w:p>
    <w:p w14:paraId="28CF5EC7">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rPr>
        <w:t>同正项目管理有限公司</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shd w:val="clear" w:color="auto" w:fill="FFFFFF"/>
          <w:lang w:eastAsia="zh-CN"/>
        </w:rPr>
        <w:t>202</w:t>
      </w:r>
      <w:r>
        <w:rPr>
          <w:rFonts w:hint="eastAsia" w:ascii="仿宋" w:hAnsi="仿宋" w:eastAsia="仿宋" w:cs="仿宋"/>
          <w:color w:val="auto"/>
          <w:sz w:val="22"/>
          <w:szCs w:val="22"/>
          <w:shd w:val="clear" w:color="auto" w:fill="FFFFFF"/>
          <w:lang w:val="en-US" w:eastAsia="zh-CN"/>
        </w:rPr>
        <w:t>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04</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23</w:t>
      </w:r>
      <w:r>
        <w:rPr>
          <w:rFonts w:hint="eastAsia" w:ascii="仿宋" w:hAnsi="仿宋" w:eastAsia="仿宋" w:cs="仿宋"/>
          <w:color w:val="auto"/>
          <w:sz w:val="22"/>
          <w:szCs w:val="22"/>
          <w:shd w:val="clear" w:color="auto" w:fill="FFFFFF"/>
          <w:lang w:eastAsia="zh-CN"/>
        </w:rPr>
        <w:t>日</w:t>
      </w:r>
    </w:p>
    <w:p w14:paraId="721BEB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altName w:val="nagurigaki-P"/>
    <w:panose1 w:val="00000000000000000000"/>
    <w:charset w:val="00"/>
    <w:family w:val="auto"/>
    <w:pitch w:val="default"/>
    <w:sig w:usb0="00000000" w:usb1="00000000" w:usb2="00000000" w:usb3="00000000" w:csb0="00000000" w:csb1="00000000"/>
  </w:font>
  <w:font w:name="nagurigaki-P">
    <w:panose1 w:val="02000600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C6672"/>
    <w:rsid w:val="50F84A49"/>
    <w:rsid w:val="518065D0"/>
    <w:rsid w:val="6213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9"/>
    <w:pPr>
      <w:keepNext/>
      <w:outlineLvl w:val="3"/>
    </w:pPr>
    <w:rPr>
      <w:color w:val="FF0000"/>
      <w:sz w:val="28"/>
      <w:u w:val="single"/>
    </w:rPr>
  </w:style>
  <w:style w:type="paragraph" w:styleId="3">
    <w:name w:val="heading 6"/>
    <w:basedOn w:val="1"/>
    <w:next w:val="1"/>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autoSpaceDE w:val="0"/>
      <w:autoSpaceDN w:val="0"/>
      <w:adjustRightInd w:val="0"/>
      <w:spacing w:line="600" w:lineRule="exact"/>
      <w:ind w:firstLine="560"/>
    </w:pPr>
    <w:rPr>
      <w:rFonts w:ascii="方正书宋简体" w:eastAsia="方正书宋简体"/>
      <w:kern w:val="0"/>
      <w:sz w:val="28"/>
      <w:szCs w:val="28"/>
    </w:rPr>
  </w:style>
  <w:style w:type="paragraph" w:styleId="5">
    <w:name w:val="header"/>
    <w:basedOn w:val="1"/>
    <w:next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rPr>
  </w:style>
  <w:style w:type="paragraph" w:styleId="7">
    <w:name w:val="Body Text First Indent 2"/>
    <w:basedOn w:val="4"/>
    <w:next w:val="1"/>
    <w:qFormat/>
    <w:uiPriority w:val="99"/>
    <w:pPr>
      <w:spacing w:after="120" w:line="240" w:lineRule="auto"/>
      <w:ind w:left="420" w:leftChars="200" w:firstLine="420" w:firstLineChars="200"/>
    </w:pPr>
    <w:rPr>
      <w:rFonts w:ascii="Times New Roman" w:hAnsi="Times New Roman"/>
      <w:sz w:val="21"/>
      <w:szCs w:val="24"/>
    </w:rPr>
  </w:style>
  <w:style w:type="character" w:styleId="10">
    <w:name w:val="Strong"/>
    <w:basedOn w:val="9"/>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2720</Words>
  <Characters>3041</Characters>
  <Lines>0</Lines>
  <Paragraphs>0</Paragraphs>
  <TotalTime>12</TotalTime>
  <ScaleCrop>false</ScaleCrop>
  <LinksUpToDate>false</LinksUpToDate>
  <CharactersWithSpaces>3270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2025-03-28T09:02:00Z</dcterms:created>
  <dc:creator>Administrator</dc:creator>
  <cp:lastModifiedBy>俗野</cp:lastModifiedBy>
  <dcterms:modified xsi:type="dcterms:W3CDTF">2025-04-22T10:36:19Z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eyJoZGlkIjoiMzhmMmY3NmQ4ZGIyZDQzZmE4OTJjYzI4MTQ2ZWE5ZDEiLCJ1c2VySWQiOiIxMjEzODM3NDgyIn0=</vt:lpwstr>
  </property>
  <property fmtid="{D5CDD505-2E9C-101B-9397-08002B2CF9AE}" pid="4" name="ICV">
    <vt:lpwstr>9CA4E10125B34EE48B7DBF3B07D649A7_12</vt:lpwstr>
  </property>
</Properties>
</file>