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FE3056">
      <w:pPr>
        <w:widowControl/>
        <w:jc w:val="center"/>
        <w:rPr>
          <w:rFonts w:hint="eastAsia" w:ascii="仿宋" w:hAnsi="仿宋" w:eastAsia="仿宋" w:cs="宋体"/>
          <w:b/>
          <w:bCs/>
          <w:color w:val="auto"/>
          <w:kern w:val="0"/>
          <w:sz w:val="24"/>
          <w:szCs w:val="24"/>
          <w:lang w:val="en-US" w:eastAsia="zh-CN" w:bidi="ar-SA"/>
        </w:rPr>
      </w:pPr>
      <w:r>
        <w:rPr>
          <w:rFonts w:hint="eastAsia" w:ascii="仿宋" w:hAnsi="仿宋" w:eastAsia="仿宋" w:cs="宋体"/>
          <w:b/>
          <w:bCs/>
          <w:color w:val="auto"/>
          <w:kern w:val="0"/>
          <w:sz w:val="24"/>
          <w:szCs w:val="24"/>
          <w:lang w:val="en-US" w:eastAsia="zh-CN" w:bidi="ar-SA"/>
        </w:rPr>
        <w:t>关于下达2025年中央及省级残疾人事业发展补助资金（实用技术培训）</w:t>
      </w:r>
    </w:p>
    <w:p w14:paraId="06B8E6C3">
      <w:pPr>
        <w:widowControl/>
        <w:jc w:val="center"/>
        <w:rPr>
          <w:rFonts w:ascii="宋体" w:hAnsi="宋体" w:cs="宋体"/>
          <w:b/>
          <w:color w:val="auto"/>
          <w:sz w:val="32"/>
          <w:szCs w:val="32"/>
        </w:rPr>
      </w:pPr>
      <w:r>
        <w:rPr>
          <w:rFonts w:hint="eastAsia" w:ascii="宋体" w:hAnsi="宋体" w:cs="宋体"/>
          <w:b/>
          <w:color w:val="auto"/>
          <w:sz w:val="32"/>
          <w:szCs w:val="32"/>
        </w:rPr>
        <w:t>政府采购需求书（服务类）</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9"/>
        <w:gridCol w:w="1556"/>
        <w:gridCol w:w="7067"/>
      </w:tblGrid>
      <w:tr w14:paraId="2706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5BA8EE41">
            <w:pPr>
              <w:snapToGrid w:val="0"/>
              <w:jc w:val="center"/>
              <w:rPr>
                <w:rFonts w:ascii="宋体" w:hAnsi="宋体" w:cs="宋体"/>
                <w:b/>
                <w:color w:val="auto"/>
                <w:sz w:val="24"/>
              </w:rPr>
            </w:pPr>
            <w:r>
              <w:rPr>
                <w:rFonts w:hint="eastAsia" w:ascii="宋体" w:hAnsi="宋体" w:cs="宋体"/>
                <w:b/>
                <w:color w:val="auto"/>
                <w:sz w:val="28"/>
                <w:szCs w:val="28"/>
                <w:lang w:val="zh-CN"/>
              </w:rPr>
              <w:t>序号</w:t>
            </w:r>
          </w:p>
        </w:tc>
        <w:tc>
          <w:tcPr>
            <w:tcW w:w="1556" w:type="dxa"/>
            <w:vAlign w:val="center"/>
          </w:tcPr>
          <w:p w14:paraId="3CB600DD">
            <w:pPr>
              <w:pStyle w:val="35"/>
              <w:ind w:left="38"/>
              <w:jc w:val="center"/>
              <w:rPr>
                <w:b/>
                <w:color w:val="auto"/>
                <w:kern w:val="2"/>
                <w:lang w:val="zh-CN"/>
              </w:rPr>
            </w:pPr>
            <w:r>
              <w:rPr>
                <w:rFonts w:hint="eastAsia"/>
                <w:b/>
                <w:color w:val="auto"/>
                <w:kern w:val="2"/>
                <w:sz w:val="28"/>
                <w:szCs w:val="28"/>
                <w:lang w:val="zh-CN"/>
              </w:rPr>
              <w:t>关键事项</w:t>
            </w:r>
          </w:p>
        </w:tc>
        <w:tc>
          <w:tcPr>
            <w:tcW w:w="7067" w:type="dxa"/>
            <w:vAlign w:val="center"/>
          </w:tcPr>
          <w:p w14:paraId="7691DF25">
            <w:pPr>
              <w:pStyle w:val="35"/>
              <w:jc w:val="center"/>
              <w:rPr>
                <w:b/>
                <w:color w:val="auto"/>
                <w:kern w:val="2"/>
                <w:lang w:val="zh-CN"/>
              </w:rPr>
            </w:pPr>
            <w:r>
              <w:rPr>
                <w:rFonts w:hint="eastAsia"/>
                <w:b/>
                <w:color w:val="auto"/>
                <w:kern w:val="2"/>
                <w:sz w:val="28"/>
                <w:szCs w:val="28"/>
                <w:lang w:val="zh-CN"/>
              </w:rPr>
              <w:t>说明和要求</w:t>
            </w:r>
          </w:p>
        </w:tc>
      </w:tr>
      <w:tr w14:paraId="2531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0" w:hRule="atLeast"/>
          <w:jc w:val="center"/>
        </w:trPr>
        <w:tc>
          <w:tcPr>
            <w:tcW w:w="689" w:type="dxa"/>
            <w:vAlign w:val="center"/>
          </w:tcPr>
          <w:p w14:paraId="117B3F44">
            <w:pPr>
              <w:snapToGrid w:val="0"/>
              <w:spacing w:after="200"/>
              <w:jc w:val="center"/>
              <w:rPr>
                <w:rFonts w:ascii="宋体" w:hAnsi="宋体" w:cs="宋体"/>
                <w:color w:val="auto"/>
                <w:sz w:val="28"/>
                <w:szCs w:val="28"/>
                <w:lang w:val="zh-CN"/>
              </w:rPr>
            </w:pPr>
            <w:r>
              <w:rPr>
                <w:rFonts w:hint="eastAsia" w:ascii="宋体" w:hAnsi="宋体" w:cs="宋体"/>
                <w:color w:val="auto"/>
                <w:sz w:val="28"/>
                <w:szCs w:val="28"/>
                <w:lang w:val="zh-CN"/>
              </w:rPr>
              <w:t>1</w:t>
            </w:r>
          </w:p>
        </w:tc>
        <w:tc>
          <w:tcPr>
            <w:tcW w:w="1556" w:type="dxa"/>
            <w:vAlign w:val="center"/>
          </w:tcPr>
          <w:p w14:paraId="5DC1F1A3">
            <w:pPr>
              <w:pStyle w:val="35"/>
              <w:ind w:left="38"/>
              <w:jc w:val="center"/>
              <w:rPr>
                <w:color w:val="auto"/>
                <w:kern w:val="2"/>
                <w:sz w:val="28"/>
                <w:szCs w:val="28"/>
                <w:lang w:val="zh-CN"/>
              </w:rPr>
            </w:pPr>
            <w:r>
              <w:rPr>
                <w:rFonts w:hint="eastAsia"/>
                <w:color w:val="auto"/>
                <w:kern w:val="2"/>
                <w:sz w:val="28"/>
                <w:szCs w:val="28"/>
                <w:lang w:val="zh-CN"/>
              </w:rPr>
              <w:t>采购预算</w:t>
            </w:r>
          </w:p>
        </w:tc>
        <w:tc>
          <w:tcPr>
            <w:tcW w:w="7067" w:type="dxa"/>
            <w:vAlign w:val="center"/>
          </w:tcPr>
          <w:p w14:paraId="653EF126">
            <w:pPr>
              <w:pStyle w:val="35"/>
              <w:jc w:val="both"/>
              <w:rPr>
                <w:rFonts w:ascii="仿宋" w:hAnsi="仿宋" w:eastAsia="仿宋"/>
                <w:color w:val="auto"/>
                <w:sz w:val="28"/>
                <w:szCs w:val="28"/>
              </w:rPr>
            </w:pPr>
            <w:r>
              <w:rPr>
                <w:rFonts w:hint="eastAsia" w:ascii="仿宋" w:hAnsi="仿宋" w:eastAsia="仿宋"/>
                <w:color w:val="auto"/>
                <w:sz w:val="28"/>
                <w:szCs w:val="28"/>
              </w:rPr>
              <w:t>人民币</w:t>
            </w:r>
            <w:r>
              <w:rPr>
                <w:rFonts w:hint="eastAsia" w:ascii="仿宋" w:hAnsi="仿宋" w:eastAsia="仿宋"/>
                <w:color w:val="auto"/>
                <w:sz w:val="28"/>
                <w:szCs w:val="28"/>
                <w:lang w:val="en-US" w:eastAsia="zh-CN"/>
              </w:rPr>
              <w:t>750000</w:t>
            </w:r>
            <w:r>
              <w:rPr>
                <w:rFonts w:hint="eastAsia" w:ascii="仿宋" w:hAnsi="仿宋" w:eastAsia="仿宋"/>
                <w:color w:val="auto"/>
                <w:sz w:val="28"/>
                <w:szCs w:val="28"/>
              </w:rPr>
              <w:t>.00元</w:t>
            </w:r>
          </w:p>
          <w:p w14:paraId="26E93B8C">
            <w:pPr>
              <w:pStyle w:val="35"/>
              <w:jc w:val="both"/>
              <w:rPr>
                <w:rFonts w:ascii="仿宋" w:hAnsi="仿宋" w:eastAsia="仿宋"/>
                <w:color w:val="auto"/>
                <w:sz w:val="28"/>
                <w:szCs w:val="28"/>
              </w:rPr>
            </w:pPr>
            <w:r>
              <w:rPr>
                <w:rFonts w:hint="eastAsia" w:ascii="仿宋" w:hAnsi="仿宋" w:eastAsia="仿宋"/>
                <w:color w:val="auto"/>
                <w:sz w:val="28"/>
                <w:szCs w:val="28"/>
              </w:rPr>
              <w:t>仅指与本次采购标的直接相关的费用。</w:t>
            </w:r>
          </w:p>
        </w:tc>
      </w:tr>
      <w:tr w14:paraId="439FA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52" w:hRule="atLeast"/>
          <w:jc w:val="center"/>
        </w:trPr>
        <w:tc>
          <w:tcPr>
            <w:tcW w:w="689" w:type="dxa"/>
            <w:vAlign w:val="center"/>
          </w:tcPr>
          <w:p w14:paraId="4FB9750C">
            <w:pPr>
              <w:snapToGrid w:val="0"/>
              <w:spacing w:after="200"/>
              <w:jc w:val="center"/>
              <w:rPr>
                <w:rFonts w:ascii="宋体" w:hAnsi="宋体" w:cs="宋体"/>
                <w:color w:val="auto"/>
                <w:sz w:val="28"/>
                <w:szCs w:val="28"/>
                <w:lang w:val="zh-CN"/>
              </w:rPr>
            </w:pPr>
            <w:r>
              <w:rPr>
                <w:rFonts w:hint="eastAsia" w:ascii="宋体" w:hAnsi="宋体" w:cs="宋体"/>
                <w:color w:val="auto"/>
                <w:sz w:val="28"/>
                <w:szCs w:val="28"/>
                <w:lang w:val="zh-CN"/>
              </w:rPr>
              <w:t>2</w:t>
            </w:r>
          </w:p>
        </w:tc>
        <w:tc>
          <w:tcPr>
            <w:tcW w:w="1556" w:type="dxa"/>
            <w:vAlign w:val="center"/>
          </w:tcPr>
          <w:p w14:paraId="70D12B41">
            <w:pPr>
              <w:pStyle w:val="35"/>
              <w:ind w:left="38"/>
              <w:jc w:val="center"/>
              <w:rPr>
                <w:color w:val="auto"/>
                <w:kern w:val="2"/>
                <w:sz w:val="28"/>
                <w:szCs w:val="28"/>
                <w:lang w:val="zh-CN"/>
              </w:rPr>
            </w:pPr>
            <w:r>
              <w:rPr>
                <w:rFonts w:hint="eastAsia"/>
                <w:color w:val="auto"/>
                <w:kern w:val="2"/>
                <w:sz w:val="28"/>
                <w:szCs w:val="28"/>
                <w:lang w:val="zh-CN"/>
              </w:rPr>
              <w:t>最高限价</w:t>
            </w:r>
          </w:p>
        </w:tc>
        <w:tc>
          <w:tcPr>
            <w:tcW w:w="7067" w:type="dxa"/>
            <w:vAlign w:val="center"/>
          </w:tcPr>
          <w:p w14:paraId="51A45C60">
            <w:pPr>
              <w:pStyle w:val="35"/>
              <w:jc w:val="both"/>
              <w:rPr>
                <w:rFonts w:ascii="仿宋" w:hAnsi="仿宋" w:eastAsia="仿宋"/>
                <w:color w:val="auto"/>
                <w:sz w:val="28"/>
                <w:szCs w:val="28"/>
              </w:rPr>
            </w:pPr>
            <w:r>
              <w:rPr>
                <w:rFonts w:hint="eastAsia" w:ascii="仿宋" w:hAnsi="仿宋" w:eastAsia="仿宋"/>
                <w:color w:val="auto"/>
                <w:sz w:val="28"/>
                <w:szCs w:val="28"/>
              </w:rPr>
              <w:t>人民币</w:t>
            </w:r>
            <w:r>
              <w:rPr>
                <w:rFonts w:hint="eastAsia" w:ascii="仿宋" w:hAnsi="仿宋" w:eastAsia="仿宋"/>
                <w:color w:val="auto"/>
                <w:sz w:val="28"/>
                <w:szCs w:val="28"/>
                <w:lang w:val="en-US" w:eastAsia="zh-CN"/>
              </w:rPr>
              <w:t>750000</w:t>
            </w:r>
            <w:r>
              <w:rPr>
                <w:rFonts w:hint="eastAsia" w:ascii="仿宋" w:hAnsi="仿宋" w:eastAsia="仿宋"/>
                <w:color w:val="auto"/>
                <w:sz w:val="28"/>
                <w:szCs w:val="28"/>
              </w:rPr>
              <w:t>.00元</w:t>
            </w:r>
          </w:p>
          <w:p w14:paraId="6C45A08F">
            <w:pPr>
              <w:pStyle w:val="35"/>
              <w:ind w:left="38"/>
              <w:jc w:val="both"/>
              <w:rPr>
                <w:rFonts w:ascii="仿宋" w:hAnsi="仿宋" w:eastAsia="仿宋"/>
                <w:color w:val="auto"/>
                <w:sz w:val="28"/>
                <w:szCs w:val="28"/>
              </w:rPr>
            </w:pPr>
            <w:r>
              <w:rPr>
                <w:rFonts w:hint="eastAsia" w:ascii="仿宋" w:hAnsi="仿宋" w:eastAsia="仿宋"/>
                <w:color w:val="auto"/>
                <w:sz w:val="28"/>
                <w:szCs w:val="28"/>
              </w:rPr>
              <w:t>供应商投标报价高于最高限价的则其投标文件将按无效投标文件处理。</w:t>
            </w:r>
          </w:p>
        </w:tc>
      </w:tr>
      <w:tr w14:paraId="5129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1" w:hRule="atLeast"/>
          <w:jc w:val="center"/>
        </w:trPr>
        <w:tc>
          <w:tcPr>
            <w:tcW w:w="689" w:type="dxa"/>
            <w:vMerge w:val="restart"/>
            <w:vAlign w:val="center"/>
          </w:tcPr>
          <w:p w14:paraId="4D5B64DB">
            <w:pPr>
              <w:snapToGrid w:val="0"/>
              <w:spacing w:after="200"/>
              <w:jc w:val="center"/>
              <w:rPr>
                <w:rFonts w:ascii="宋体" w:hAnsi="宋体" w:cs="宋体"/>
                <w:color w:val="auto"/>
                <w:sz w:val="28"/>
                <w:szCs w:val="28"/>
                <w:lang w:val="zh-CN"/>
              </w:rPr>
            </w:pPr>
            <w:r>
              <w:rPr>
                <w:rFonts w:hint="eastAsia" w:ascii="宋体" w:hAnsi="宋体" w:cs="宋体"/>
                <w:color w:val="auto"/>
                <w:sz w:val="28"/>
                <w:szCs w:val="28"/>
              </w:rPr>
              <w:t>3</w:t>
            </w:r>
          </w:p>
        </w:tc>
        <w:tc>
          <w:tcPr>
            <w:tcW w:w="1556" w:type="dxa"/>
            <w:vMerge w:val="restart"/>
            <w:vAlign w:val="center"/>
          </w:tcPr>
          <w:p w14:paraId="7DCD84B3">
            <w:pPr>
              <w:pStyle w:val="35"/>
              <w:ind w:left="38"/>
              <w:jc w:val="center"/>
              <w:rPr>
                <w:color w:val="auto"/>
                <w:kern w:val="2"/>
                <w:sz w:val="28"/>
                <w:szCs w:val="28"/>
                <w:lang w:val="zh-CN"/>
              </w:rPr>
            </w:pPr>
            <w:r>
              <w:rPr>
                <w:rFonts w:hint="eastAsia"/>
                <w:color w:val="auto"/>
                <w:kern w:val="2"/>
                <w:sz w:val="28"/>
                <w:szCs w:val="28"/>
                <w:lang w:val="zh-CN"/>
              </w:rPr>
              <w:t>项目性质</w:t>
            </w:r>
          </w:p>
        </w:tc>
        <w:tc>
          <w:tcPr>
            <w:tcW w:w="7067" w:type="dxa"/>
            <w:vAlign w:val="center"/>
          </w:tcPr>
          <w:p w14:paraId="77F8DBEA">
            <w:pPr>
              <w:pStyle w:val="35"/>
              <w:jc w:val="both"/>
              <w:rPr>
                <w:rFonts w:ascii="仿宋" w:hAnsi="仿宋" w:eastAsia="仿宋"/>
                <w:color w:val="auto"/>
                <w:sz w:val="28"/>
                <w:szCs w:val="28"/>
              </w:rPr>
            </w:pPr>
            <w:r>
              <w:rPr>
                <w:rFonts w:hint="eastAsia" w:ascii="仿宋" w:hAnsi="仿宋" w:eastAsia="仿宋"/>
                <w:color w:val="auto"/>
                <w:sz w:val="28"/>
                <w:szCs w:val="28"/>
              </w:rPr>
              <w:t>⊙专门面向中小企业采购</w:t>
            </w:r>
          </w:p>
          <w:p w14:paraId="031FDF7A">
            <w:pPr>
              <w:pStyle w:val="35"/>
              <w:ind w:left="38"/>
              <w:jc w:val="both"/>
              <w:rPr>
                <w:rFonts w:ascii="仿宋" w:hAnsi="仿宋" w:eastAsia="仿宋"/>
                <w:color w:val="auto"/>
                <w:sz w:val="28"/>
                <w:szCs w:val="28"/>
              </w:rPr>
            </w:pPr>
            <w:r>
              <w:rPr>
                <w:rFonts w:hint="eastAsia" w:ascii="仿宋" w:hAnsi="仿宋" w:eastAsia="仿宋"/>
                <w:color w:val="auto"/>
                <w:sz w:val="28"/>
                <w:szCs w:val="28"/>
              </w:rPr>
              <w:t>仅允许中小企业或小型、微型企业参与投标。</w:t>
            </w:r>
          </w:p>
        </w:tc>
      </w:tr>
      <w:tr w14:paraId="22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6A28F895">
            <w:pPr>
              <w:snapToGrid w:val="0"/>
              <w:spacing w:after="200"/>
              <w:ind w:left="142"/>
              <w:jc w:val="center"/>
              <w:rPr>
                <w:rFonts w:ascii="宋体" w:hAnsi="宋体" w:cs="宋体"/>
                <w:b/>
                <w:color w:val="auto"/>
                <w:sz w:val="28"/>
                <w:szCs w:val="28"/>
                <w:lang w:val="zh-CN"/>
              </w:rPr>
            </w:pPr>
          </w:p>
        </w:tc>
        <w:tc>
          <w:tcPr>
            <w:tcW w:w="1556" w:type="dxa"/>
            <w:vMerge w:val="continue"/>
            <w:vAlign w:val="center"/>
          </w:tcPr>
          <w:p w14:paraId="400CE12F">
            <w:pPr>
              <w:pStyle w:val="35"/>
              <w:ind w:left="96"/>
              <w:jc w:val="center"/>
              <w:rPr>
                <w:color w:val="auto"/>
                <w:kern w:val="2"/>
                <w:sz w:val="28"/>
                <w:szCs w:val="28"/>
                <w:lang w:val="zh-CN"/>
              </w:rPr>
            </w:pPr>
          </w:p>
        </w:tc>
        <w:tc>
          <w:tcPr>
            <w:tcW w:w="7067" w:type="dxa"/>
            <w:vAlign w:val="center"/>
          </w:tcPr>
          <w:p w14:paraId="0A5CFCC6">
            <w:pPr>
              <w:rPr>
                <w:rFonts w:ascii="仿宋" w:hAnsi="仿宋" w:eastAsia="仿宋" w:cs="宋体"/>
                <w:color w:val="auto"/>
                <w:kern w:val="0"/>
                <w:sz w:val="28"/>
                <w:szCs w:val="28"/>
              </w:rPr>
            </w:pPr>
            <w:r>
              <w:rPr>
                <w:rFonts w:hint="eastAsia" w:ascii="仿宋" w:hAnsi="仿宋" w:eastAsia="仿宋"/>
                <w:color w:val="auto"/>
                <w:sz w:val="28"/>
                <w:szCs w:val="28"/>
              </w:rPr>
              <w:t>○</w:t>
            </w:r>
            <w:r>
              <w:rPr>
                <w:rFonts w:hint="eastAsia" w:ascii="仿宋" w:hAnsi="仿宋" w:eastAsia="仿宋" w:cs="宋体"/>
                <w:color w:val="auto"/>
                <w:kern w:val="0"/>
                <w:sz w:val="28"/>
                <w:szCs w:val="28"/>
              </w:rPr>
              <w:t>非专门面向中小企业采购</w:t>
            </w:r>
          </w:p>
          <w:p w14:paraId="722913AF">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对符合《政府采购促进中小型企业发展管理办法》（财库〔2020〕46⊙号）规定的小微企业（监狱企业视同小型、微型企业）的报价给予</w:t>
            </w:r>
            <w:r>
              <w:rPr>
                <w:rFonts w:hint="eastAsia" w:ascii="仿宋" w:hAnsi="仿宋" w:eastAsia="仿宋" w:cs="宋体"/>
                <w:color w:val="auto"/>
                <w:kern w:val="0"/>
                <w:sz w:val="28"/>
                <w:szCs w:val="28"/>
                <w:u w:val="single"/>
                <w:lang w:val="en-US" w:eastAsia="zh-CN"/>
              </w:rPr>
              <w:t xml:space="preserve">     </w:t>
            </w:r>
            <w:r>
              <w:rPr>
                <w:rFonts w:hint="eastAsia" w:ascii="仿宋" w:hAnsi="仿宋" w:eastAsia="仿宋" w:cs="宋体"/>
                <w:color w:val="auto"/>
                <w:kern w:val="0"/>
                <w:sz w:val="28"/>
                <w:szCs w:val="28"/>
              </w:rPr>
              <w:t>%的扣除，用扣除后的价格参加评审。</w:t>
            </w:r>
          </w:p>
        </w:tc>
      </w:tr>
      <w:tr w14:paraId="1FE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4548E7E">
            <w:pPr>
              <w:snapToGrid w:val="0"/>
              <w:spacing w:after="200"/>
              <w:jc w:val="center"/>
              <w:rPr>
                <w:rFonts w:ascii="宋体" w:hAnsi="宋体" w:cs="宋体"/>
                <w:color w:val="auto"/>
                <w:sz w:val="24"/>
              </w:rPr>
            </w:pPr>
            <w:r>
              <w:rPr>
                <w:rFonts w:hint="eastAsia" w:ascii="宋体" w:hAnsi="宋体" w:cs="宋体"/>
                <w:color w:val="auto"/>
                <w:sz w:val="24"/>
              </w:rPr>
              <w:t>4</w:t>
            </w:r>
          </w:p>
        </w:tc>
        <w:tc>
          <w:tcPr>
            <w:tcW w:w="1556" w:type="dxa"/>
            <w:vAlign w:val="center"/>
          </w:tcPr>
          <w:p w14:paraId="64F02094">
            <w:pPr>
              <w:pStyle w:val="35"/>
              <w:ind w:left="96"/>
              <w:jc w:val="center"/>
              <w:rPr>
                <w:color w:val="auto"/>
                <w:kern w:val="2"/>
                <w:sz w:val="28"/>
                <w:szCs w:val="28"/>
                <w:lang w:val="zh-CN"/>
              </w:rPr>
            </w:pPr>
            <w:r>
              <w:rPr>
                <w:rFonts w:hint="eastAsia"/>
                <w:color w:val="auto"/>
                <w:kern w:val="2"/>
                <w:sz w:val="28"/>
                <w:szCs w:val="28"/>
                <w:lang w:val="zh-CN"/>
              </w:rPr>
              <w:t>对供应商的</w:t>
            </w:r>
          </w:p>
          <w:p w14:paraId="180DB1A8">
            <w:pPr>
              <w:pStyle w:val="35"/>
              <w:ind w:left="96"/>
              <w:jc w:val="center"/>
              <w:rPr>
                <w:color w:val="auto"/>
                <w:kern w:val="2"/>
                <w:sz w:val="28"/>
                <w:szCs w:val="28"/>
                <w:lang w:val="zh-CN"/>
              </w:rPr>
            </w:pPr>
            <w:r>
              <w:rPr>
                <w:rFonts w:hint="eastAsia"/>
                <w:color w:val="auto"/>
                <w:kern w:val="2"/>
                <w:sz w:val="28"/>
                <w:szCs w:val="28"/>
                <w:lang w:val="zh-CN"/>
              </w:rPr>
              <w:t>资格要求</w:t>
            </w:r>
          </w:p>
        </w:tc>
        <w:tc>
          <w:tcPr>
            <w:tcW w:w="7067" w:type="dxa"/>
            <w:vAlign w:val="center"/>
          </w:tcPr>
          <w:p w14:paraId="0EAF3E08">
            <w:pPr>
              <w:widowControl/>
              <w:shd w:val="clear" w:color="auto" w:fill="FFFFFF"/>
              <w:spacing w:line="510" w:lineRule="atLeast"/>
              <w:ind w:firstLine="480"/>
              <w:jc w:val="left"/>
              <w:rPr>
                <w:rFonts w:ascii="仿宋" w:hAnsi="仿宋" w:eastAsia="仿宋" w:cs="Helvetica"/>
                <w:color w:val="auto"/>
                <w:kern w:val="0"/>
                <w:sz w:val="28"/>
                <w:szCs w:val="28"/>
              </w:rPr>
            </w:pPr>
            <w:r>
              <w:rPr>
                <w:rFonts w:hint="eastAsia" w:ascii="仿宋" w:hAnsi="仿宋" w:eastAsia="仿宋" w:cs="Helvetica"/>
                <w:color w:val="auto"/>
                <w:kern w:val="0"/>
                <w:sz w:val="28"/>
                <w:szCs w:val="28"/>
              </w:rPr>
              <w:t>1、满足《中华人民共和国政府采购法》第二十二条规定</w:t>
            </w:r>
          </w:p>
          <w:p w14:paraId="289E84D3">
            <w:pPr>
              <w:widowControl/>
              <w:shd w:val="clear" w:color="auto" w:fill="FFFFFF"/>
              <w:spacing w:after="240" w:line="510" w:lineRule="atLeast"/>
              <w:ind w:firstLine="480"/>
              <w:jc w:val="left"/>
              <w:rPr>
                <w:rFonts w:ascii="仿宋" w:hAnsi="仿宋" w:eastAsia="仿宋" w:cs="宋体"/>
                <w:color w:val="auto"/>
                <w:kern w:val="0"/>
                <w:sz w:val="28"/>
                <w:szCs w:val="28"/>
              </w:rPr>
            </w:pPr>
            <w:r>
              <w:rPr>
                <w:rFonts w:hint="eastAsia" w:ascii="仿宋" w:hAnsi="仿宋" w:eastAsia="仿宋" w:cs="宋体"/>
                <w:color w:val="auto"/>
                <w:kern w:val="0"/>
                <w:sz w:val="28"/>
                <w:szCs w:val="28"/>
              </w:rPr>
              <w:t>2、落实政府采购政策需满足的资格要求：本项目专门面向中小企业采购</w:t>
            </w:r>
          </w:p>
          <w:p w14:paraId="72050DD0">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3、本项目的特定资格要求：</w:t>
            </w:r>
            <w:r>
              <w:rPr>
                <w:rFonts w:hint="eastAsia" w:ascii="仿宋" w:hAnsi="仿宋" w:eastAsia="仿宋"/>
                <w:color w:val="auto"/>
                <w:sz w:val="28"/>
                <w:szCs w:val="28"/>
                <w:lang w:val="en-US" w:eastAsia="zh-CN"/>
              </w:rPr>
              <w:t xml:space="preserve">（1）具有独立承担民事责任能力的企业法人或其他组织或注册地在中国境内的外资企业，提供合法有效的（三证合一）统一社会信用代码的营业执照（复印件加盖供应商公章或提供网上可查询的网址信息）； </w:t>
            </w:r>
          </w:p>
          <w:p w14:paraId="0C6FAFF9">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（2）法定代表人直接磋商须提交法定代表人身份证明书及其身份证原件，法定代表人授权代表参加磋商的，须出具授权书及被授权人身份证（原件）； </w:t>
            </w:r>
          </w:p>
          <w:p w14:paraId="0F5AB1C2">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（3）财务状况报告：提供 2023 年或2024度经审计的财务报告（包括三表一注，成立时间至提交磋商响应文件截止时间不足一年的可提供成立后任意时段的资产负债表），或其开标前三个月内基本存款账户开户银行出具的资信证明，或信用担保机构出具的投标担保函。（以上三种形式的资料提供任何一种即可） ； </w:t>
            </w:r>
          </w:p>
          <w:p w14:paraId="316D9DEA">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（4）税收缴纳证明：供应商须提供磋商截止时间一年内任意 1 个月的缴税证明（注：依法免税或零申报的供应商应提供相关文件证明；）（复印件加盖供应商公章或提供网上可查询的网址信息）； </w:t>
            </w:r>
          </w:p>
          <w:p w14:paraId="63C34993">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（5）社会保障资金缴纳证明：供应商须提供磋商截止时间一年内任意 1 个月的社会保险缴纳证明（注：依法不需要缴纳社会保障资金的供应商应提供相关文件证 明；）（复印件加盖供应商公章或提供网上可查询的网址 信息）； </w:t>
            </w:r>
          </w:p>
          <w:p w14:paraId="581D1B9F">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（6）供应商须提供具有履行合同所必需的设备和专业技术能力的承诺函(加盖供应商公章)； </w:t>
            </w:r>
          </w:p>
          <w:p w14:paraId="3A835238">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（7）供应商应具备良好的商业信誉，提供参加政府采购活动前 3 年内在经营活动中没有重大违法记录的书面声明（原件加盖供应商公章）； </w:t>
            </w:r>
          </w:p>
          <w:p w14:paraId="0A4E98A8">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（8）提供磋商时限内“信用中国”(www.creditchina.gov.cn)网站生成的带 水印信用报告及中国政府采购网(www.ccgp.gov.cn)查询截图中，无严重失信记录；（民办非企业单位提供信用承诺函。对列入失信被执行人、重大税收违法案件当事人名单、政府采购严重违法失信行为记录名单及其他不符合《中华人民共和国政府采购法》第二十二条规定条件的，招标代理机构将拒绝其参与政府采购活动）（加盖供应商公章）。 </w:t>
            </w:r>
          </w:p>
          <w:p w14:paraId="5BC0D106">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 xml:space="preserve">（9）供应商在本项目磋商中，不存在与其它供应商负责人为同一人，有控股、管理等关联关系。（提供承诺书） </w:t>
            </w:r>
          </w:p>
          <w:p w14:paraId="03A74DF0">
            <w:pPr>
              <w:pStyle w:val="35"/>
              <w:spacing w:line="360" w:lineRule="auto"/>
              <w:ind w:firstLine="560" w:firstLineChars="200"/>
              <w:jc w:val="both"/>
              <w:rPr>
                <w:rFonts w:hint="eastAsia" w:ascii="仿宋" w:hAnsi="仿宋" w:eastAsia="仿宋"/>
                <w:color w:val="auto"/>
                <w:sz w:val="28"/>
                <w:szCs w:val="28"/>
              </w:rPr>
            </w:pPr>
            <w:r>
              <w:rPr>
                <w:rFonts w:hint="eastAsia" w:ascii="仿宋" w:hAnsi="仿宋" w:eastAsia="仿宋"/>
                <w:color w:val="auto"/>
                <w:sz w:val="28"/>
                <w:szCs w:val="28"/>
                <w:lang w:val="en-US" w:eastAsia="zh-CN"/>
              </w:rPr>
              <w:t>（10）本项目不接受联合体磋商（提供书面声明材料）。</w:t>
            </w:r>
          </w:p>
          <w:p w14:paraId="279B419B">
            <w:pPr>
              <w:pStyle w:val="35"/>
              <w:spacing w:line="360" w:lineRule="auto"/>
              <w:ind w:firstLine="560" w:firstLineChars="200"/>
              <w:jc w:val="both"/>
              <w:rPr>
                <w:color w:val="auto"/>
                <w:kern w:val="2"/>
                <w:sz w:val="28"/>
                <w:szCs w:val="28"/>
                <w:lang w:val="zh-CN"/>
              </w:rPr>
            </w:pPr>
          </w:p>
        </w:tc>
      </w:tr>
      <w:tr w14:paraId="119BF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3117CAF">
            <w:pPr>
              <w:snapToGrid w:val="0"/>
              <w:spacing w:after="200"/>
              <w:jc w:val="center"/>
              <w:rPr>
                <w:rFonts w:ascii="宋体" w:hAnsi="宋体" w:cs="宋体"/>
                <w:color w:val="auto"/>
                <w:sz w:val="24"/>
              </w:rPr>
            </w:pPr>
            <w:r>
              <w:rPr>
                <w:rFonts w:hint="eastAsia" w:ascii="宋体" w:hAnsi="宋体" w:cs="宋体"/>
                <w:color w:val="auto"/>
                <w:sz w:val="24"/>
              </w:rPr>
              <w:t>5</w:t>
            </w:r>
          </w:p>
        </w:tc>
        <w:tc>
          <w:tcPr>
            <w:tcW w:w="1556" w:type="dxa"/>
            <w:vMerge w:val="restart"/>
            <w:vAlign w:val="center"/>
          </w:tcPr>
          <w:p w14:paraId="5C7766AD">
            <w:pPr>
              <w:pStyle w:val="35"/>
              <w:ind w:left="96"/>
              <w:jc w:val="center"/>
              <w:rPr>
                <w:rFonts w:ascii="仿宋" w:hAnsi="仿宋" w:eastAsia="仿宋"/>
                <w:color w:val="auto"/>
                <w:sz w:val="28"/>
                <w:szCs w:val="28"/>
              </w:rPr>
            </w:pPr>
            <w:r>
              <w:rPr>
                <w:rFonts w:hint="eastAsia" w:ascii="仿宋" w:hAnsi="仿宋" w:eastAsia="仿宋"/>
                <w:color w:val="auto"/>
                <w:sz w:val="28"/>
                <w:szCs w:val="28"/>
              </w:rPr>
              <w:t>是否接受</w:t>
            </w:r>
          </w:p>
          <w:p w14:paraId="74AB1567">
            <w:pPr>
              <w:pStyle w:val="35"/>
              <w:ind w:left="96"/>
              <w:jc w:val="center"/>
              <w:rPr>
                <w:rFonts w:ascii="仿宋" w:hAnsi="仿宋" w:eastAsia="仿宋"/>
                <w:color w:val="auto"/>
                <w:sz w:val="28"/>
                <w:szCs w:val="28"/>
              </w:rPr>
            </w:pPr>
            <w:r>
              <w:rPr>
                <w:rFonts w:hint="eastAsia" w:ascii="仿宋" w:hAnsi="仿宋" w:eastAsia="仿宋"/>
                <w:color w:val="auto"/>
                <w:sz w:val="28"/>
                <w:szCs w:val="28"/>
              </w:rPr>
              <w:t>联合体投标</w:t>
            </w:r>
          </w:p>
        </w:tc>
        <w:tc>
          <w:tcPr>
            <w:tcW w:w="7067" w:type="dxa"/>
            <w:vAlign w:val="center"/>
          </w:tcPr>
          <w:p w14:paraId="6B02FC19">
            <w:pPr>
              <w:pStyle w:val="35"/>
              <w:jc w:val="both"/>
              <w:rPr>
                <w:rFonts w:ascii="仿宋" w:hAnsi="仿宋" w:eastAsia="仿宋"/>
                <w:color w:val="auto"/>
                <w:sz w:val="28"/>
                <w:szCs w:val="28"/>
              </w:rPr>
            </w:pPr>
            <w:r>
              <w:rPr>
                <w:rFonts w:hint="eastAsia" w:ascii="仿宋" w:hAnsi="仿宋" w:eastAsia="仿宋"/>
                <w:color w:val="auto"/>
                <w:sz w:val="28"/>
                <w:szCs w:val="28"/>
              </w:rPr>
              <w:t>○接受</w:t>
            </w:r>
          </w:p>
          <w:p w14:paraId="5106B0C8">
            <w:pPr>
              <w:pStyle w:val="35"/>
              <w:jc w:val="both"/>
              <w:rPr>
                <w:rFonts w:ascii="仿宋" w:hAnsi="仿宋" w:eastAsia="仿宋"/>
                <w:color w:val="auto"/>
                <w:sz w:val="28"/>
                <w:szCs w:val="28"/>
              </w:rPr>
            </w:pPr>
            <w:r>
              <w:rPr>
                <w:rFonts w:hint="eastAsia" w:ascii="仿宋" w:hAnsi="仿宋" w:eastAsia="仿宋"/>
                <w:color w:val="auto"/>
                <w:sz w:val="28"/>
                <w:szCs w:val="28"/>
              </w:rPr>
              <w:t>对于联合体协议或者分包意向协议约定小微企业的合同份额占到合同总金额30%以上的，对联合体或者大中型企业的报价给予___%（2%-3%）的扣除，用扣除后的报价参加评审。</w:t>
            </w:r>
          </w:p>
        </w:tc>
      </w:tr>
      <w:tr w14:paraId="7EF6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492E095E">
            <w:pPr>
              <w:snapToGrid w:val="0"/>
              <w:spacing w:after="200"/>
              <w:ind w:left="142"/>
              <w:jc w:val="center"/>
              <w:rPr>
                <w:rFonts w:ascii="宋体" w:hAnsi="宋体" w:cs="宋体"/>
                <w:color w:val="auto"/>
                <w:sz w:val="24"/>
              </w:rPr>
            </w:pPr>
          </w:p>
        </w:tc>
        <w:tc>
          <w:tcPr>
            <w:tcW w:w="1556" w:type="dxa"/>
            <w:vMerge w:val="continue"/>
            <w:vAlign w:val="center"/>
          </w:tcPr>
          <w:p w14:paraId="7A296F31">
            <w:pPr>
              <w:pStyle w:val="35"/>
              <w:ind w:left="96"/>
              <w:jc w:val="center"/>
              <w:rPr>
                <w:rFonts w:ascii="仿宋" w:hAnsi="仿宋" w:eastAsia="仿宋"/>
                <w:color w:val="auto"/>
                <w:sz w:val="28"/>
                <w:szCs w:val="28"/>
              </w:rPr>
            </w:pPr>
          </w:p>
        </w:tc>
        <w:tc>
          <w:tcPr>
            <w:tcW w:w="7067" w:type="dxa"/>
            <w:vAlign w:val="center"/>
          </w:tcPr>
          <w:p w14:paraId="72BDB7BB">
            <w:pPr>
              <w:pStyle w:val="35"/>
              <w:jc w:val="both"/>
              <w:rPr>
                <w:rFonts w:ascii="仿宋" w:hAnsi="仿宋" w:eastAsia="仿宋"/>
                <w:color w:val="auto"/>
                <w:sz w:val="28"/>
                <w:szCs w:val="28"/>
              </w:rPr>
            </w:pPr>
            <w:r>
              <w:rPr>
                <w:rFonts w:hint="eastAsia" w:ascii="仿宋" w:hAnsi="仿宋" w:eastAsia="仿宋"/>
                <w:color w:val="auto"/>
                <w:sz w:val="28"/>
                <w:szCs w:val="28"/>
              </w:rPr>
              <w:t>⊙不接受</w:t>
            </w:r>
          </w:p>
        </w:tc>
      </w:tr>
      <w:tr w14:paraId="14A3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restart"/>
            <w:vAlign w:val="center"/>
          </w:tcPr>
          <w:p w14:paraId="78A6AC5E">
            <w:pPr>
              <w:snapToGrid w:val="0"/>
              <w:spacing w:after="200"/>
              <w:jc w:val="center"/>
              <w:rPr>
                <w:rFonts w:ascii="宋体" w:hAnsi="宋体" w:cs="宋体"/>
                <w:color w:val="auto"/>
                <w:sz w:val="24"/>
                <w:szCs w:val="24"/>
              </w:rPr>
            </w:pPr>
            <w:r>
              <w:rPr>
                <w:rFonts w:hint="eastAsia" w:ascii="宋体" w:hAnsi="宋体" w:cs="宋体"/>
                <w:color w:val="auto"/>
                <w:sz w:val="24"/>
                <w:szCs w:val="24"/>
              </w:rPr>
              <w:t>6</w:t>
            </w:r>
          </w:p>
        </w:tc>
        <w:tc>
          <w:tcPr>
            <w:tcW w:w="1556" w:type="dxa"/>
            <w:vMerge w:val="restart"/>
            <w:vAlign w:val="center"/>
          </w:tcPr>
          <w:p w14:paraId="4F8D711A">
            <w:pPr>
              <w:pStyle w:val="35"/>
              <w:ind w:left="96"/>
              <w:jc w:val="center"/>
              <w:rPr>
                <w:rFonts w:ascii="仿宋" w:hAnsi="仿宋" w:eastAsia="仿宋"/>
                <w:color w:val="auto"/>
                <w:sz w:val="28"/>
                <w:szCs w:val="28"/>
              </w:rPr>
            </w:pPr>
            <w:r>
              <w:rPr>
                <w:rFonts w:hint="eastAsia" w:ascii="仿宋" w:hAnsi="仿宋" w:eastAsia="仿宋"/>
                <w:color w:val="auto"/>
                <w:sz w:val="28"/>
                <w:szCs w:val="28"/>
              </w:rPr>
              <w:t>履约保证金</w:t>
            </w:r>
          </w:p>
        </w:tc>
        <w:tc>
          <w:tcPr>
            <w:tcW w:w="7067" w:type="dxa"/>
            <w:vAlign w:val="center"/>
          </w:tcPr>
          <w:p w14:paraId="5DF759B0">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占政府采购合同金额的</w:t>
            </w:r>
            <w:r>
              <w:rPr>
                <w:rFonts w:hint="eastAsia" w:ascii="仿宋" w:hAnsi="仿宋" w:eastAsia="仿宋" w:cs="宋体"/>
                <w:color w:val="auto"/>
                <w:kern w:val="0"/>
                <w:sz w:val="28"/>
                <w:szCs w:val="28"/>
                <w:lang w:val="en-US" w:eastAsia="zh-CN"/>
              </w:rPr>
              <w:t xml:space="preserve"> 0 </w:t>
            </w:r>
            <w:r>
              <w:rPr>
                <w:rFonts w:hint="eastAsia" w:ascii="仿宋" w:hAnsi="仿宋" w:eastAsia="仿宋" w:cs="宋体"/>
                <w:color w:val="auto"/>
                <w:kern w:val="0"/>
                <w:sz w:val="28"/>
                <w:szCs w:val="28"/>
              </w:rPr>
              <w:t xml:space="preserve"> %</w:t>
            </w:r>
          </w:p>
          <w:p w14:paraId="3C2F75AE">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履约保证金的数额不得超过政府采购合同金额的10%；对于单价合同，其数额不得超过采购预算的10%</w:t>
            </w:r>
          </w:p>
        </w:tc>
      </w:tr>
      <w:tr w14:paraId="726D9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Merge w:val="continue"/>
            <w:vAlign w:val="center"/>
          </w:tcPr>
          <w:p w14:paraId="2C22C8C6">
            <w:pPr>
              <w:snapToGrid w:val="0"/>
              <w:spacing w:after="200"/>
              <w:ind w:left="142"/>
              <w:jc w:val="center"/>
              <w:rPr>
                <w:rFonts w:ascii="宋体" w:hAnsi="宋体" w:cs="宋体"/>
                <w:color w:val="auto"/>
                <w:sz w:val="24"/>
                <w:szCs w:val="24"/>
              </w:rPr>
            </w:pPr>
          </w:p>
        </w:tc>
        <w:tc>
          <w:tcPr>
            <w:tcW w:w="1556" w:type="dxa"/>
            <w:vMerge w:val="continue"/>
            <w:vAlign w:val="center"/>
          </w:tcPr>
          <w:p w14:paraId="1E97FC71">
            <w:pPr>
              <w:pStyle w:val="35"/>
              <w:ind w:left="96"/>
              <w:jc w:val="center"/>
              <w:rPr>
                <w:rFonts w:ascii="仿宋" w:hAnsi="仿宋" w:eastAsia="仿宋"/>
                <w:color w:val="auto"/>
                <w:sz w:val="28"/>
                <w:szCs w:val="28"/>
              </w:rPr>
            </w:pPr>
          </w:p>
        </w:tc>
        <w:tc>
          <w:tcPr>
            <w:tcW w:w="7067" w:type="dxa"/>
            <w:vAlign w:val="center"/>
          </w:tcPr>
          <w:p w14:paraId="311CF527">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○由采购单位自行收退</w:t>
            </w:r>
          </w:p>
          <w:p w14:paraId="422DA29E">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○由代理机构负责收退</w:t>
            </w:r>
          </w:p>
        </w:tc>
      </w:tr>
      <w:tr w14:paraId="7ED6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1C34B85">
            <w:pPr>
              <w:snapToGrid w:val="0"/>
              <w:spacing w:after="200"/>
              <w:jc w:val="center"/>
              <w:rPr>
                <w:rFonts w:ascii="宋体" w:hAnsi="宋体" w:cs="宋体"/>
                <w:color w:val="auto"/>
                <w:sz w:val="24"/>
                <w:szCs w:val="24"/>
              </w:rPr>
            </w:pPr>
            <w:r>
              <w:rPr>
                <w:rFonts w:hint="eastAsia" w:ascii="宋体" w:hAnsi="宋体" w:cs="宋体"/>
                <w:color w:val="auto"/>
                <w:sz w:val="24"/>
                <w:szCs w:val="24"/>
              </w:rPr>
              <w:t>7</w:t>
            </w:r>
          </w:p>
        </w:tc>
        <w:tc>
          <w:tcPr>
            <w:tcW w:w="1556" w:type="dxa"/>
            <w:vAlign w:val="center"/>
          </w:tcPr>
          <w:p w14:paraId="6A06DD72">
            <w:pPr>
              <w:pStyle w:val="35"/>
              <w:ind w:left="96"/>
              <w:jc w:val="center"/>
              <w:rPr>
                <w:rFonts w:ascii="仿宋" w:hAnsi="仿宋" w:eastAsia="仿宋"/>
                <w:color w:val="auto"/>
                <w:sz w:val="28"/>
                <w:szCs w:val="28"/>
              </w:rPr>
            </w:pPr>
            <w:r>
              <w:rPr>
                <w:rFonts w:hint="eastAsia" w:ascii="仿宋" w:hAnsi="仿宋" w:eastAsia="仿宋"/>
                <w:color w:val="auto"/>
                <w:sz w:val="28"/>
                <w:szCs w:val="28"/>
              </w:rPr>
              <w:t>集中答疑</w:t>
            </w:r>
          </w:p>
        </w:tc>
        <w:tc>
          <w:tcPr>
            <w:tcW w:w="7067" w:type="dxa"/>
            <w:vAlign w:val="center"/>
          </w:tcPr>
          <w:p w14:paraId="4E7A1154">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○组织，集结地点为：_______________________</w:t>
            </w:r>
          </w:p>
          <w:p w14:paraId="3685D1FC">
            <w:pPr>
              <w:ind w:right="94" w:rightChars="45"/>
              <w:rPr>
                <w:rFonts w:ascii="仿宋" w:hAnsi="仿宋" w:eastAsia="仿宋" w:cs="宋体"/>
                <w:color w:val="auto"/>
                <w:kern w:val="0"/>
                <w:sz w:val="28"/>
                <w:szCs w:val="28"/>
              </w:rPr>
            </w:pPr>
            <w:r>
              <w:rPr>
                <w:rFonts w:hint="eastAsia" w:ascii="仿宋" w:hAnsi="仿宋" w:eastAsia="仿宋" w:cs="宋体"/>
                <w:color w:val="auto"/>
                <w:kern w:val="0"/>
                <w:sz w:val="28"/>
                <w:szCs w:val="28"/>
              </w:rPr>
              <w:t>⊙不组织</w:t>
            </w:r>
          </w:p>
        </w:tc>
      </w:tr>
      <w:tr w14:paraId="1E67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607EBA1">
            <w:pPr>
              <w:snapToGrid w:val="0"/>
              <w:spacing w:after="200"/>
              <w:jc w:val="center"/>
              <w:rPr>
                <w:rFonts w:ascii="宋体" w:hAnsi="宋体" w:cs="宋体"/>
                <w:color w:val="auto"/>
                <w:sz w:val="24"/>
                <w:szCs w:val="24"/>
              </w:rPr>
            </w:pPr>
            <w:r>
              <w:rPr>
                <w:rFonts w:hint="eastAsia" w:ascii="宋体" w:hAnsi="宋体" w:cs="宋体"/>
                <w:color w:val="auto"/>
                <w:sz w:val="24"/>
                <w:szCs w:val="24"/>
              </w:rPr>
              <w:t>8</w:t>
            </w:r>
          </w:p>
        </w:tc>
        <w:tc>
          <w:tcPr>
            <w:tcW w:w="1556" w:type="dxa"/>
            <w:vAlign w:val="center"/>
          </w:tcPr>
          <w:p w14:paraId="318A58DE">
            <w:pPr>
              <w:pStyle w:val="35"/>
              <w:ind w:left="96"/>
              <w:jc w:val="center"/>
              <w:rPr>
                <w:rFonts w:ascii="仿宋" w:hAnsi="仿宋" w:eastAsia="仿宋"/>
                <w:color w:val="auto"/>
                <w:sz w:val="28"/>
                <w:szCs w:val="28"/>
              </w:rPr>
            </w:pPr>
            <w:r>
              <w:rPr>
                <w:rFonts w:hint="eastAsia" w:ascii="仿宋" w:hAnsi="仿宋" w:eastAsia="仿宋"/>
                <w:color w:val="auto"/>
                <w:sz w:val="28"/>
                <w:szCs w:val="28"/>
              </w:rPr>
              <w:t>价格分比重</w:t>
            </w:r>
          </w:p>
        </w:tc>
        <w:tc>
          <w:tcPr>
            <w:tcW w:w="7067" w:type="dxa"/>
            <w:vAlign w:val="center"/>
          </w:tcPr>
          <w:p w14:paraId="051EB366">
            <w:pPr>
              <w:widowControl/>
              <w:rPr>
                <w:rFonts w:ascii="仿宋" w:hAnsi="仿宋" w:eastAsia="仿宋" w:cs="宋体"/>
                <w:color w:val="auto"/>
                <w:kern w:val="0"/>
                <w:sz w:val="28"/>
                <w:szCs w:val="28"/>
              </w:rPr>
            </w:pPr>
            <w:r>
              <w:rPr>
                <w:rFonts w:hint="eastAsia" w:ascii="仿宋" w:hAnsi="仿宋" w:eastAsia="仿宋" w:cs="宋体"/>
                <w:color w:val="auto"/>
                <w:kern w:val="0"/>
                <w:sz w:val="28"/>
                <w:szCs w:val="28"/>
              </w:rPr>
              <w:t>占总分值的</w:t>
            </w:r>
            <w:r>
              <w:rPr>
                <w:rFonts w:hint="eastAsia" w:ascii="仿宋" w:hAnsi="仿宋" w:eastAsia="仿宋" w:cs="宋体"/>
                <w:color w:val="auto"/>
                <w:kern w:val="0"/>
                <w:sz w:val="28"/>
                <w:szCs w:val="28"/>
                <w:u w:val="single"/>
                <w:lang w:val="en-US" w:eastAsia="zh-CN"/>
              </w:rPr>
              <w:t xml:space="preserve">  </w:t>
            </w:r>
            <w:r>
              <w:rPr>
                <w:rFonts w:hint="eastAsia" w:ascii="仿宋" w:hAnsi="仿宋" w:eastAsia="仿宋" w:cs="宋体"/>
                <w:color w:val="auto"/>
                <w:kern w:val="0"/>
                <w:sz w:val="28"/>
                <w:szCs w:val="28"/>
                <w:u w:val="single"/>
              </w:rPr>
              <w:t>20</w:t>
            </w:r>
            <w:r>
              <w:rPr>
                <w:rFonts w:hint="eastAsia" w:ascii="仿宋" w:hAnsi="仿宋" w:eastAsia="仿宋" w:cs="宋体"/>
                <w:color w:val="auto"/>
                <w:kern w:val="0"/>
                <w:sz w:val="28"/>
                <w:szCs w:val="28"/>
                <w:u w:val="single"/>
                <w:lang w:val="en-US" w:eastAsia="zh-CN"/>
              </w:rPr>
              <w:t xml:space="preserve">  </w:t>
            </w:r>
            <w:r>
              <w:rPr>
                <w:rFonts w:hint="eastAsia" w:ascii="仿宋" w:hAnsi="仿宋" w:eastAsia="仿宋" w:cs="宋体"/>
                <w:color w:val="auto"/>
                <w:kern w:val="0"/>
                <w:sz w:val="28"/>
                <w:szCs w:val="28"/>
                <w:u w:val="single"/>
              </w:rPr>
              <w:t xml:space="preserve"> </w:t>
            </w:r>
            <w:r>
              <w:rPr>
                <w:rFonts w:hint="eastAsia" w:ascii="仿宋" w:hAnsi="仿宋" w:eastAsia="仿宋" w:cs="宋体"/>
                <w:color w:val="auto"/>
                <w:kern w:val="0"/>
                <w:sz w:val="28"/>
                <w:szCs w:val="28"/>
              </w:rPr>
              <w:t>%</w:t>
            </w:r>
          </w:p>
          <w:p w14:paraId="7473AE12">
            <w:pPr>
              <w:widowControl/>
              <w:rPr>
                <w:rFonts w:ascii="仿宋" w:hAnsi="仿宋" w:eastAsia="仿宋" w:cs="宋体"/>
                <w:color w:val="auto"/>
                <w:kern w:val="0"/>
                <w:sz w:val="28"/>
                <w:szCs w:val="28"/>
              </w:rPr>
            </w:pPr>
            <w:r>
              <w:rPr>
                <w:rFonts w:ascii="仿宋" w:hAnsi="仿宋" w:eastAsia="仿宋" w:cs="宋体"/>
                <w:b/>
                <w:bCs/>
                <w:color w:val="auto"/>
                <w:kern w:val="0"/>
                <w:sz w:val="28"/>
                <w:szCs w:val="28"/>
                <w:lang w:val="en-US" w:eastAsia="zh-CN"/>
              </w:rPr>
              <w:t>[</w:t>
            </w:r>
            <w:r>
              <w:rPr>
                <w:rFonts w:ascii="仿宋" w:hAnsi="仿宋" w:eastAsia="仿宋" w:cs="宋体"/>
                <w:color w:val="auto"/>
                <w:kern w:val="0"/>
                <w:sz w:val="28"/>
                <w:szCs w:val="28"/>
                <w:lang w:val="en-US" w:eastAsia="zh-CN"/>
              </w:rPr>
              <w:t>招标</w:t>
            </w:r>
            <w:r>
              <w:rPr>
                <w:rFonts w:ascii="仿宋" w:hAnsi="仿宋" w:eastAsia="仿宋" w:cs="宋体"/>
                <w:b/>
                <w:bCs/>
                <w:color w:val="auto"/>
                <w:kern w:val="0"/>
                <w:sz w:val="28"/>
                <w:szCs w:val="28"/>
                <w:lang w:val="en-US" w:eastAsia="zh-CN"/>
              </w:rPr>
              <w:t>]</w:t>
            </w:r>
            <w:r>
              <w:rPr>
                <w:rFonts w:ascii="仿宋" w:hAnsi="仿宋" w:eastAsia="仿宋" w:cs="宋体"/>
                <w:color w:val="auto"/>
                <w:kern w:val="0"/>
                <w:sz w:val="28"/>
                <w:szCs w:val="28"/>
                <w:lang w:val="en-US" w:eastAsia="zh-CN"/>
              </w:rPr>
              <w:t>根据《政府采购货物和服务招标投标管理办法》（财政部87号</w:t>
            </w:r>
            <w:r>
              <w:rPr>
                <w:rFonts w:hint="eastAsia" w:ascii="仿宋" w:hAnsi="仿宋" w:eastAsia="仿宋" w:cs="宋体"/>
                <w:color w:val="auto"/>
                <w:kern w:val="0"/>
                <w:sz w:val="28"/>
                <w:szCs w:val="28"/>
                <w:lang w:val="en-US" w:eastAsia="zh-CN"/>
              </w:rPr>
              <w:t xml:space="preserve">令）的规定，综合评分法货物项目的价格分值占总分值的比重不得低于10%。执行国家统一定价标准和采用固定价格采购的项目，其价格不死皮为评审因素。 </w:t>
            </w:r>
          </w:p>
          <w:p w14:paraId="4067B530">
            <w:pPr>
              <w:widowControl/>
              <w:rPr>
                <w:rFonts w:ascii="仿宋" w:hAnsi="仿宋" w:eastAsia="仿宋" w:cs="宋体"/>
                <w:color w:val="auto"/>
                <w:kern w:val="0"/>
                <w:sz w:val="28"/>
                <w:szCs w:val="28"/>
              </w:rPr>
            </w:pPr>
            <w:r>
              <w:rPr>
                <w:rFonts w:hint="eastAsia" w:ascii="仿宋" w:hAnsi="仿宋" w:eastAsia="仿宋" w:cs="宋体"/>
                <w:b/>
                <w:bCs/>
                <w:color w:val="auto"/>
                <w:kern w:val="0"/>
                <w:sz w:val="28"/>
                <w:szCs w:val="28"/>
                <w:lang w:val="en-US" w:eastAsia="zh-CN"/>
              </w:rPr>
              <w:t>[</w:t>
            </w:r>
            <w:r>
              <w:rPr>
                <w:rFonts w:hint="eastAsia" w:ascii="仿宋" w:hAnsi="仿宋" w:eastAsia="仿宋" w:cs="宋体"/>
                <w:color w:val="auto"/>
                <w:kern w:val="0"/>
                <w:sz w:val="28"/>
                <w:szCs w:val="28"/>
                <w:lang w:val="en-US" w:eastAsia="zh-CN"/>
              </w:rPr>
              <w:t>磋商</w:t>
            </w:r>
            <w:r>
              <w:rPr>
                <w:rFonts w:hint="eastAsia" w:ascii="仿宋" w:hAnsi="仿宋" w:eastAsia="仿宋" w:cs="宋体"/>
                <w:b/>
                <w:bCs/>
                <w:color w:val="auto"/>
                <w:kern w:val="0"/>
                <w:sz w:val="28"/>
                <w:szCs w:val="28"/>
                <w:lang w:val="en-US" w:eastAsia="zh-CN"/>
              </w:rPr>
              <w:t>]</w:t>
            </w:r>
            <w:r>
              <w:rPr>
                <w:rFonts w:hint="eastAsia" w:ascii="仿宋" w:hAnsi="仿宋" w:eastAsia="仿宋" w:cs="宋体"/>
                <w:color w:val="auto"/>
                <w:kern w:val="0"/>
                <w:sz w:val="28"/>
                <w:szCs w:val="28"/>
                <w:lang w:val="en-US" w:eastAsia="zh-CN"/>
              </w:rPr>
              <w:t xml:space="preserve">根据《政府采购竞争性磋商采购方式管理》（财库〔2014〕 214号）的规定，货物项目的价格分值占总分值的比重（即权值）为10%-30%。 </w:t>
            </w:r>
          </w:p>
          <w:p w14:paraId="7E099FA6">
            <w:pPr>
              <w:widowControl/>
              <w:rPr>
                <w:rFonts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[其他采购方式]无须设置。</w:t>
            </w:r>
          </w:p>
        </w:tc>
      </w:tr>
      <w:tr w14:paraId="7F8A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15AD5B71">
            <w:pPr>
              <w:snapToGrid w:val="0"/>
              <w:spacing w:after="200"/>
              <w:jc w:val="center"/>
              <w:rPr>
                <w:rFonts w:ascii="宋体" w:hAnsi="宋体" w:cs="宋体"/>
                <w:color w:val="auto"/>
                <w:sz w:val="24"/>
                <w:szCs w:val="24"/>
              </w:rPr>
            </w:pPr>
            <w:r>
              <w:rPr>
                <w:rFonts w:hint="eastAsia" w:ascii="宋体" w:hAnsi="宋体" w:cs="宋体"/>
                <w:color w:val="auto"/>
                <w:sz w:val="24"/>
                <w:szCs w:val="24"/>
              </w:rPr>
              <w:t>9</w:t>
            </w:r>
          </w:p>
        </w:tc>
        <w:tc>
          <w:tcPr>
            <w:tcW w:w="1556" w:type="dxa"/>
            <w:vAlign w:val="center"/>
          </w:tcPr>
          <w:p w14:paraId="48CF9854">
            <w:pPr>
              <w:pStyle w:val="35"/>
              <w:ind w:left="96"/>
              <w:jc w:val="center"/>
              <w:rPr>
                <w:rFonts w:ascii="仿宋" w:hAnsi="仿宋" w:eastAsia="仿宋"/>
                <w:color w:val="auto"/>
                <w:sz w:val="28"/>
                <w:szCs w:val="28"/>
              </w:rPr>
            </w:pPr>
            <w:r>
              <w:rPr>
                <w:rFonts w:hint="eastAsia" w:ascii="仿宋" w:hAnsi="仿宋" w:eastAsia="仿宋"/>
                <w:color w:val="auto"/>
                <w:sz w:val="28"/>
                <w:szCs w:val="28"/>
              </w:rPr>
              <w:t>合同类型</w:t>
            </w:r>
          </w:p>
        </w:tc>
        <w:tc>
          <w:tcPr>
            <w:tcW w:w="7067" w:type="dxa"/>
            <w:vAlign w:val="center"/>
          </w:tcPr>
          <w:p w14:paraId="7EE9435B">
            <w:pPr>
              <w:rPr>
                <w:rFonts w:ascii="仿宋" w:hAnsi="仿宋" w:eastAsia="仿宋" w:cs="宋体"/>
                <w:color w:val="auto"/>
                <w:kern w:val="0"/>
                <w:sz w:val="28"/>
                <w:szCs w:val="28"/>
              </w:rPr>
            </w:pPr>
            <w:r>
              <w:rPr>
                <w:rFonts w:hint="eastAsia" w:ascii="仿宋" w:hAnsi="仿宋" w:eastAsia="仿宋" w:cs="宋体"/>
                <w:color w:val="auto"/>
                <w:kern w:val="0"/>
                <w:sz w:val="28"/>
                <w:szCs w:val="28"/>
              </w:rPr>
              <w:t>⊙固定总价</w:t>
            </w:r>
          </w:p>
          <w:p w14:paraId="279E09D6">
            <w:pPr>
              <w:rPr>
                <w:rFonts w:ascii="仿宋" w:hAnsi="仿宋" w:eastAsia="仿宋" w:cs="宋体"/>
                <w:color w:val="auto"/>
                <w:kern w:val="0"/>
                <w:sz w:val="28"/>
                <w:szCs w:val="28"/>
              </w:rPr>
            </w:pPr>
            <w:r>
              <w:rPr>
                <w:rFonts w:hint="eastAsia" w:ascii="仿宋" w:hAnsi="仿宋" w:eastAsia="仿宋" w:cs="宋体"/>
                <w:color w:val="auto"/>
                <w:kern w:val="0"/>
                <w:sz w:val="28"/>
                <w:szCs w:val="28"/>
              </w:rPr>
              <w:t>○固定单价（适用于采购数量不定的情形）</w:t>
            </w:r>
          </w:p>
          <w:p w14:paraId="6E2FA4C2">
            <w:pPr>
              <w:rPr>
                <w:rFonts w:ascii="仿宋" w:hAnsi="仿宋" w:eastAsia="仿宋" w:cs="宋体"/>
                <w:color w:val="auto"/>
                <w:kern w:val="0"/>
                <w:sz w:val="28"/>
                <w:szCs w:val="28"/>
              </w:rPr>
            </w:pPr>
            <w:r>
              <w:rPr>
                <w:rFonts w:hint="eastAsia" w:ascii="仿宋" w:hAnsi="仿宋" w:eastAsia="仿宋" w:cs="宋体"/>
                <w:color w:val="auto"/>
                <w:kern w:val="0"/>
                <w:sz w:val="28"/>
                <w:szCs w:val="28"/>
              </w:rPr>
              <w:t>○其他：___________________________</w:t>
            </w:r>
          </w:p>
        </w:tc>
      </w:tr>
      <w:tr w14:paraId="7FE0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3918F8D1">
            <w:pPr>
              <w:pStyle w:val="35"/>
              <w:jc w:val="both"/>
              <w:rPr>
                <w:rFonts w:ascii="仿宋" w:hAnsi="仿宋" w:eastAsia="仿宋"/>
                <w:color w:val="auto"/>
                <w:szCs w:val="22"/>
              </w:rPr>
            </w:pPr>
            <w:r>
              <w:rPr>
                <w:rFonts w:hint="eastAsia" w:ascii="仿宋" w:hAnsi="仿宋" w:eastAsia="仿宋"/>
                <w:color w:val="auto"/>
                <w:szCs w:val="22"/>
              </w:rPr>
              <w:t>10</w:t>
            </w:r>
          </w:p>
        </w:tc>
        <w:tc>
          <w:tcPr>
            <w:tcW w:w="1556" w:type="dxa"/>
            <w:vAlign w:val="center"/>
          </w:tcPr>
          <w:p w14:paraId="34D3F5C2">
            <w:pPr>
              <w:pStyle w:val="35"/>
              <w:jc w:val="both"/>
              <w:rPr>
                <w:rFonts w:ascii="仿宋" w:hAnsi="仿宋" w:eastAsia="仿宋"/>
                <w:color w:val="auto"/>
                <w:sz w:val="28"/>
                <w:szCs w:val="28"/>
              </w:rPr>
            </w:pPr>
            <w:r>
              <w:rPr>
                <w:rFonts w:hint="eastAsia" w:ascii="仿宋" w:hAnsi="仿宋" w:eastAsia="仿宋"/>
                <w:color w:val="auto"/>
                <w:sz w:val="28"/>
                <w:szCs w:val="28"/>
              </w:rPr>
              <w:t>争议解决途径</w:t>
            </w:r>
          </w:p>
        </w:tc>
        <w:tc>
          <w:tcPr>
            <w:tcW w:w="7067" w:type="dxa"/>
            <w:vAlign w:val="center"/>
          </w:tcPr>
          <w:p w14:paraId="357B2DBC">
            <w:pPr>
              <w:pStyle w:val="35"/>
              <w:jc w:val="both"/>
              <w:rPr>
                <w:rFonts w:ascii="仿宋" w:hAnsi="仿宋" w:eastAsia="仿宋"/>
                <w:color w:val="auto"/>
                <w:sz w:val="28"/>
                <w:szCs w:val="28"/>
              </w:rPr>
            </w:pPr>
            <w:r>
              <w:rPr>
                <w:rFonts w:hint="eastAsia" w:ascii="仿宋" w:hAnsi="仿宋" w:eastAsia="仿宋"/>
                <w:color w:val="auto"/>
                <w:sz w:val="28"/>
                <w:szCs w:val="28"/>
              </w:rPr>
              <w:t>⊙向有管辖权的人民法院提起诉讼</w:t>
            </w:r>
          </w:p>
          <w:p w14:paraId="1096B0BE">
            <w:pPr>
              <w:pStyle w:val="35"/>
              <w:jc w:val="both"/>
              <w:rPr>
                <w:rFonts w:ascii="仿宋" w:hAnsi="仿宋" w:eastAsia="仿宋"/>
                <w:color w:val="auto"/>
                <w:sz w:val="28"/>
                <w:szCs w:val="28"/>
              </w:rPr>
            </w:pPr>
            <w:r>
              <w:rPr>
                <w:rFonts w:hint="eastAsia" w:ascii="仿宋" w:hAnsi="仿宋" w:eastAsia="仿宋"/>
                <w:color w:val="auto"/>
                <w:sz w:val="28"/>
                <w:szCs w:val="28"/>
              </w:rPr>
              <w:t>○向西安仲裁委员会提请仲裁</w:t>
            </w:r>
          </w:p>
          <w:p w14:paraId="77B0F5BC">
            <w:pPr>
              <w:pStyle w:val="35"/>
              <w:jc w:val="both"/>
              <w:rPr>
                <w:rFonts w:ascii="仿宋" w:hAnsi="仿宋" w:eastAsia="仿宋"/>
                <w:color w:val="auto"/>
                <w:sz w:val="28"/>
                <w:szCs w:val="28"/>
              </w:rPr>
            </w:pPr>
            <w:r>
              <w:rPr>
                <w:rFonts w:hint="eastAsia" w:ascii="仿宋" w:hAnsi="仿宋" w:eastAsia="仿宋"/>
                <w:color w:val="auto"/>
                <w:sz w:val="28"/>
                <w:szCs w:val="28"/>
              </w:rPr>
              <w:t>○由供应商做出选择</w:t>
            </w:r>
          </w:p>
        </w:tc>
      </w:tr>
      <w:tr w14:paraId="12644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9" w:type="dxa"/>
            <w:vAlign w:val="center"/>
          </w:tcPr>
          <w:p w14:paraId="0E04FA01">
            <w:pPr>
              <w:pStyle w:val="35"/>
              <w:jc w:val="both"/>
              <w:rPr>
                <w:rFonts w:ascii="仿宋" w:hAnsi="仿宋" w:eastAsia="仿宋"/>
                <w:color w:val="auto"/>
                <w:szCs w:val="22"/>
              </w:rPr>
            </w:pPr>
            <w:r>
              <w:rPr>
                <w:rFonts w:hint="eastAsia" w:ascii="仿宋" w:hAnsi="仿宋" w:eastAsia="仿宋"/>
                <w:color w:val="auto"/>
                <w:szCs w:val="22"/>
              </w:rPr>
              <w:t>11</w:t>
            </w:r>
          </w:p>
        </w:tc>
        <w:tc>
          <w:tcPr>
            <w:tcW w:w="1556" w:type="dxa"/>
            <w:vAlign w:val="center"/>
          </w:tcPr>
          <w:p w14:paraId="1CA14BB3">
            <w:pPr>
              <w:pStyle w:val="35"/>
              <w:jc w:val="both"/>
              <w:rPr>
                <w:rFonts w:ascii="仿宋" w:hAnsi="仿宋" w:eastAsia="仿宋"/>
                <w:color w:val="auto"/>
                <w:sz w:val="28"/>
                <w:szCs w:val="28"/>
              </w:rPr>
            </w:pPr>
            <w:r>
              <w:rPr>
                <w:rFonts w:hint="eastAsia" w:ascii="仿宋" w:hAnsi="仿宋" w:eastAsia="仿宋"/>
                <w:color w:val="auto"/>
                <w:sz w:val="28"/>
                <w:szCs w:val="28"/>
              </w:rPr>
              <w:t>联系方式</w:t>
            </w:r>
          </w:p>
        </w:tc>
        <w:tc>
          <w:tcPr>
            <w:tcW w:w="7067" w:type="dxa"/>
            <w:vAlign w:val="center"/>
          </w:tcPr>
          <w:p w14:paraId="36B717FE">
            <w:pPr>
              <w:pStyle w:val="35"/>
              <w:jc w:val="both"/>
              <w:rPr>
                <w:rFonts w:hint="default" w:ascii="仿宋" w:hAnsi="仿宋" w:eastAsia="仿宋"/>
                <w:color w:val="auto"/>
                <w:sz w:val="28"/>
                <w:szCs w:val="28"/>
                <w:lang w:val="en-US" w:eastAsia="zh-CN"/>
              </w:rPr>
            </w:pPr>
            <w:r>
              <w:rPr>
                <w:rFonts w:hint="eastAsia" w:ascii="仿宋" w:hAnsi="仿宋" w:eastAsia="仿宋"/>
                <w:color w:val="auto"/>
                <w:sz w:val="28"/>
                <w:szCs w:val="28"/>
              </w:rPr>
              <w:t xml:space="preserve">项目对接人： </w:t>
            </w:r>
            <w:r>
              <w:rPr>
                <w:rFonts w:hint="eastAsia" w:ascii="仿宋" w:hAnsi="仿宋" w:eastAsia="仿宋"/>
                <w:color w:val="auto"/>
                <w:sz w:val="28"/>
                <w:szCs w:val="28"/>
                <w:lang w:val="en-US" w:eastAsia="zh-CN"/>
              </w:rPr>
              <w:t>王科长</w:t>
            </w:r>
          </w:p>
          <w:p w14:paraId="0066A583">
            <w:pPr>
              <w:pStyle w:val="35"/>
              <w:jc w:val="both"/>
              <w:rPr>
                <w:rFonts w:hint="default" w:ascii="仿宋" w:hAnsi="仿宋" w:eastAsia="仿宋"/>
                <w:color w:val="auto"/>
                <w:sz w:val="28"/>
                <w:szCs w:val="28"/>
                <w:u w:val="single"/>
                <w:lang w:val="en-US" w:eastAsia="zh-CN"/>
              </w:rPr>
            </w:pPr>
            <w:r>
              <w:rPr>
                <w:rFonts w:hint="eastAsia" w:ascii="仿宋" w:hAnsi="仿宋" w:eastAsia="仿宋"/>
                <w:color w:val="auto"/>
                <w:sz w:val="28"/>
                <w:szCs w:val="28"/>
              </w:rPr>
              <w:t xml:space="preserve">联系电话： </w:t>
            </w:r>
            <w:r>
              <w:rPr>
                <w:rFonts w:hint="eastAsia" w:ascii="仿宋" w:hAnsi="仿宋" w:eastAsia="仿宋"/>
                <w:color w:val="auto"/>
                <w:sz w:val="28"/>
                <w:szCs w:val="28"/>
                <w:lang w:val="en-US" w:eastAsia="zh-CN"/>
              </w:rPr>
              <w:t>029-82722241</w:t>
            </w:r>
            <w:r>
              <w:rPr>
                <w:rFonts w:hint="eastAsia" w:ascii="仿宋" w:hAnsi="仿宋" w:eastAsia="仿宋"/>
                <w:color w:val="auto"/>
                <w:sz w:val="28"/>
                <w:szCs w:val="28"/>
              </w:rPr>
              <w:t xml:space="preserve"> </w:t>
            </w:r>
          </w:p>
        </w:tc>
      </w:tr>
    </w:tbl>
    <w:p w14:paraId="010E9705">
      <w:pPr>
        <w:widowControl/>
        <w:jc w:val="center"/>
        <w:rPr>
          <w:rFonts w:hint="eastAsia" w:ascii="宋体" w:hAnsi="宋体" w:cs="宋体"/>
          <w:b/>
          <w:color w:val="auto"/>
          <w:sz w:val="24"/>
          <w:szCs w:val="24"/>
        </w:rPr>
      </w:pPr>
    </w:p>
    <w:p w14:paraId="31C7E330">
      <w:pPr>
        <w:widowControl/>
        <w:jc w:val="center"/>
        <w:rPr>
          <w:rFonts w:hint="eastAsia" w:ascii="宋体" w:hAnsi="宋体" w:cs="宋体"/>
          <w:b/>
          <w:color w:val="auto"/>
          <w:sz w:val="24"/>
          <w:szCs w:val="24"/>
        </w:rPr>
      </w:pPr>
    </w:p>
    <w:p w14:paraId="7523677F">
      <w:pPr>
        <w:widowControl/>
        <w:jc w:val="center"/>
        <w:rPr>
          <w:rFonts w:hint="eastAsia" w:ascii="宋体" w:hAnsi="宋体" w:cs="宋体"/>
          <w:b/>
          <w:color w:val="auto"/>
          <w:sz w:val="24"/>
          <w:szCs w:val="24"/>
        </w:rPr>
      </w:pPr>
    </w:p>
    <w:p w14:paraId="591558F7">
      <w:pPr>
        <w:widowControl/>
        <w:jc w:val="center"/>
        <w:rPr>
          <w:rFonts w:hint="eastAsia" w:ascii="宋体" w:hAnsi="宋体" w:cs="宋体"/>
          <w:b/>
          <w:color w:val="auto"/>
          <w:sz w:val="24"/>
          <w:szCs w:val="24"/>
        </w:rPr>
      </w:pPr>
    </w:p>
    <w:p w14:paraId="25829CFE">
      <w:pPr>
        <w:widowControl/>
        <w:jc w:val="center"/>
        <w:rPr>
          <w:rFonts w:hint="eastAsia" w:ascii="宋体" w:hAnsi="宋体" w:cs="宋体"/>
          <w:b/>
          <w:color w:val="auto"/>
          <w:sz w:val="24"/>
          <w:szCs w:val="24"/>
        </w:rPr>
      </w:pPr>
    </w:p>
    <w:p w14:paraId="3483C13B">
      <w:pPr>
        <w:widowControl/>
        <w:jc w:val="center"/>
        <w:rPr>
          <w:rFonts w:hint="eastAsia" w:ascii="宋体" w:hAnsi="宋体" w:cs="宋体"/>
          <w:b/>
          <w:color w:val="auto"/>
          <w:sz w:val="24"/>
          <w:szCs w:val="24"/>
        </w:rPr>
      </w:pPr>
    </w:p>
    <w:p w14:paraId="4E0E3719">
      <w:pPr>
        <w:widowControl/>
        <w:jc w:val="center"/>
        <w:rPr>
          <w:rFonts w:hint="eastAsia" w:ascii="宋体" w:hAnsi="宋体" w:cs="宋体"/>
          <w:b/>
          <w:color w:val="auto"/>
          <w:sz w:val="24"/>
          <w:szCs w:val="24"/>
        </w:rPr>
      </w:pPr>
    </w:p>
    <w:p w14:paraId="6C4C43BA">
      <w:pPr>
        <w:widowControl/>
        <w:jc w:val="center"/>
        <w:rPr>
          <w:rFonts w:hint="eastAsia" w:ascii="宋体" w:hAnsi="宋体" w:cs="宋体"/>
          <w:b/>
          <w:color w:val="auto"/>
          <w:sz w:val="24"/>
          <w:szCs w:val="24"/>
        </w:rPr>
      </w:pPr>
    </w:p>
    <w:p w14:paraId="73AAD1C8">
      <w:pPr>
        <w:widowControl/>
        <w:jc w:val="center"/>
        <w:rPr>
          <w:rFonts w:hint="eastAsia" w:ascii="宋体" w:hAnsi="宋体" w:cs="宋体"/>
          <w:b/>
          <w:color w:val="auto"/>
          <w:sz w:val="24"/>
          <w:szCs w:val="24"/>
        </w:rPr>
      </w:pPr>
    </w:p>
    <w:p w14:paraId="787FB341">
      <w:pPr>
        <w:widowControl/>
        <w:jc w:val="center"/>
        <w:rPr>
          <w:rFonts w:hint="eastAsia" w:ascii="宋体" w:hAnsi="宋体" w:cs="宋体"/>
          <w:b/>
          <w:color w:val="auto"/>
          <w:sz w:val="24"/>
          <w:szCs w:val="24"/>
        </w:rPr>
      </w:pPr>
    </w:p>
    <w:p w14:paraId="722DFDCC">
      <w:pPr>
        <w:widowControl/>
        <w:jc w:val="center"/>
        <w:rPr>
          <w:rFonts w:hint="eastAsia" w:ascii="宋体" w:hAnsi="宋体" w:cs="宋体"/>
          <w:b/>
          <w:color w:val="auto"/>
          <w:sz w:val="24"/>
          <w:szCs w:val="24"/>
        </w:rPr>
      </w:pPr>
    </w:p>
    <w:p w14:paraId="30DB93F5">
      <w:pPr>
        <w:widowControl/>
        <w:jc w:val="center"/>
        <w:rPr>
          <w:rFonts w:hint="eastAsia" w:ascii="宋体" w:hAnsi="宋体" w:cs="宋体"/>
          <w:b/>
          <w:color w:val="auto"/>
          <w:sz w:val="24"/>
          <w:szCs w:val="24"/>
        </w:rPr>
      </w:pPr>
    </w:p>
    <w:p w14:paraId="6667249D">
      <w:pPr>
        <w:widowControl/>
        <w:jc w:val="center"/>
        <w:rPr>
          <w:rFonts w:hint="eastAsia" w:ascii="宋体" w:hAnsi="宋体" w:cs="宋体"/>
          <w:b/>
          <w:color w:val="auto"/>
          <w:sz w:val="24"/>
          <w:szCs w:val="24"/>
        </w:rPr>
      </w:pPr>
    </w:p>
    <w:p w14:paraId="3EA5D6A0">
      <w:pPr>
        <w:widowControl/>
        <w:jc w:val="center"/>
        <w:rPr>
          <w:rFonts w:hint="eastAsia" w:ascii="宋体" w:hAnsi="宋体" w:cs="宋体"/>
          <w:b/>
          <w:color w:val="auto"/>
          <w:sz w:val="24"/>
          <w:szCs w:val="24"/>
        </w:rPr>
      </w:pPr>
    </w:p>
    <w:p w14:paraId="7EEC41FA">
      <w:pPr>
        <w:widowControl/>
        <w:jc w:val="center"/>
        <w:rPr>
          <w:rFonts w:hint="eastAsia" w:ascii="宋体" w:hAnsi="宋体" w:cs="宋体"/>
          <w:b/>
          <w:color w:val="auto"/>
          <w:sz w:val="24"/>
          <w:szCs w:val="24"/>
        </w:rPr>
      </w:pPr>
    </w:p>
    <w:p w14:paraId="544CEFB6">
      <w:pPr>
        <w:widowControl/>
        <w:jc w:val="center"/>
        <w:rPr>
          <w:rFonts w:hint="eastAsia" w:ascii="宋体" w:hAnsi="宋体" w:cs="宋体"/>
          <w:b/>
          <w:color w:val="auto"/>
          <w:sz w:val="24"/>
          <w:szCs w:val="24"/>
        </w:rPr>
      </w:pPr>
    </w:p>
    <w:p w14:paraId="1B31D621">
      <w:pPr>
        <w:widowControl/>
        <w:jc w:val="center"/>
        <w:rPr>
          <w:rFonts w:hint="eastAsia" w:ascii="宋体" w:hAnsi="宋体" w:cs="宋体"/>
          <w:b/>
          <w:color w:val="auto"/>
          <w:sz w:val="24"/>
          <w:szCs w:val="24"/>
        </w:rPr>
      </w:pPr>
    </w:p>
    <w:p w14:paraId="37992D8E">
      <w:pPr>
        <w:widowControl/>
        <w:jc w:val="center"/>
        <w:rPr>
          <w:rFonts w:hint="eastAsia" w:ascii="宋体" w:hAnsi="宋体" w:cs="宋体"/>
          <w:b/>
          <w:color w:val="auto"/>
          <w:sz w:val="24"/>
          <w:szCs w:val="24"/>
        </w:rPr>
      </w:pPr>
    </w:p>
    <w:p w14:paraId="3F9D2FE8">
      <w:pPr>
        <w:widowControl/>
        <w:jc w:val="center"/>
        <w:rPr>
          <w:rFonts w:hint="eastAsia" w:ascii="宋体" w:hAnsi="宋体" w:cs="宋体"/>
          <w:b/>
          <w:color w:val="auto"/>
          <w:sz w:val="24"/>
          <w:szCs w:val="24"/>
        </w:rPr>
      </w:pPr>
    </w:p>
    <w:p w14:paraId="4C88A215">
      <w:pPr>
        <w:widowControl/>
        <w:jc w:val="center"/>
        <w:rPr>
          <w:rFonts w:hint="eastAsia" w:ascii="宋体" w:hAnsi="宋体" w:cs="宋体"/>
          <w:b/>
          <w:color w:val="auto"/>
          <w:sz w:val="24"/>
          <w:szCs w:val="24"/>
        </w:rPr>
      </w:pPr>
    </w:p>
    <w:p w14:paraId="0F392703">
      <w:pPr>
        <w:spacing w:line="400" w:lineRule="exact"/>
        <w:rPr>
          <w:rFonts w:ascii="宋体" w:hAnsi="宋体" w:cs="宋体"/>
          <w:color w:val="auto"/>
        </w:rPr>
      </w:pPr>
    </w:p>
    <w:p w14:paraId="4917BC15">
      <w:pPr>
        <w:pStyle w:val="2"/>
        <w:rPr>
          <w:rFonts w:ascii="宋体" w:hAnsi="宋体" w:cs="宋体"/>
          <w:color w:val="auto"/>
        </w:rPr>
      </w:pPr>
    </w:p>
    <w:p w14:paraId="5C8945CE">
      <w:pPr>
        <w:rPr>
          <w:rFonts w:ascii="宋体" w:hAnsi="宋体" w:cs="宋体"/>
          <w:color w:val="auto"/>
        </w:rPr>
      </w:pPr>
    </w:p>
    <w:p w14:paraId="6ECF5FC6">
      <w:pPr>
        <w:pStyle w:val="2"/>
        <w:rPr>
          <w:rFonts w:ascii="宋体" w:hAnsi="宋体" w:cs="宋体"/>
          <w:color w:val="auto"/>
        </w:rPr>
      </w:pPr>
    </w:p>
    <w:p w14:paraId="21CCFBCF">
      <w:pPr>
        <w:rPr>
          <w:rFonts w:ascii="宋体" w:hAnsi="宋体" w:cs="宋体"/>
          <w:color w:val="auto"/>
        </w:rPr>
      </w:pPr>
    </w:p>
    <w:p w14:paraId="037452E7">
      <w:pPr>
        <w:pStyle w:val="2"/>
        <w:rPr>
          <w:rFonts w:ascii="宋体" w:hAnsi="宋体" w:cs="宋体"/>
          <w:color w:val="auto"/>
        </w:rPr>
      </w:pPr>
    </w:p>
    <w:p w14:paraId="6A3BDD95">
      <w:pPr>
        <w:rPr>
          <w:rFonts w:ascii="宋体" w:hAnsi="宋体" w:cs="宋体"/>
          <w:color w:val="auto"/>
        </w:rPr>
      </w:pPr>
    </w:p>
    <w:p w14:paraId="4EF67D44">
      <w:pPr>
        <w:pStyle w:val="2"/>
        <w:rPr>
          <w:rFonts w:ascii="宋体" w:hAnsi="宋体" w:cs="宋体"/>
          <w:color w:val="auto"/>
        </w:rPr>
      </w:pPr>
    </w:p>
    <w:p w14:paraId="00D5FF16">
      <w:pPr>
        <w:rPr>
          <w:rFonts w:ascii="宋体" w:hAnsi="宋体" w:cs="宋体"/>
          <w:color w:val="auto"/>
        </w:rPr>
      </w:pPr>
    </w:p>
    <w:p w14:paraId="4132A7B6">
      <w:pPr>
        <w:pStyle w:val="2"/>
        <w:rPr>
          <w:rFonts w:ascii="宋体" w:hAnsi="宋体" w:cs="宋体"/>
          <w:color w:val="auto"/>
        </w:rPr>
      </w:pPr>
    </w:p>
    <w:p w14:paraId="31DB381A">
      <w:pPr>
        <w:rPr>
          <w:rFonts w:ascii="宋体" w:hAnsi="宋体" w:cs="宋体"/>
          <w:color w:val="auto"/>
        </w:rPr>
      </w:pPr>
    </w:p>
    <w:p w14:paraId="46A791C3">
      <w:pPr>
        <w:pStyle w:val="2"/>
        <w:rPr>
          <w:rFonts w:ascii="宋体" w:hAnsi="宋体" w:cs="宋体"/>
          <w:color w:val="auto"/>
        </w:rPr>
      </w:pPr>
    </w:p>
    <w:p w14:paraId="7A2185BA">
      <w:pPr>
        <w:rPr>
          <w:rFonts w:ascii="宋体" w:hAnsi="宋体" w:cs="宋体"/>
          <w:color w:val="auto"/>
        </w:rPr>
      </w:pPr>
    </w:p>
    <w:p w14:paraId="2EBED5DC">
      <w:pPr>
        <w:pStyle w:val="2"/>
        <w:rPr>
          <w:rFonts w:ascii="宋体" w:hAnsi="宋体" w:cs="宋体"/>
          <w:color w:val="auto"/>
        </w:rPr>
      </w:pPr>
    </w:p>
    <w:p w14:paraId="63EC546E">
      <w:pPr>
        <w:keepNext w:val="0"/>
        <w:keepLines w:val="0"/>
        <w:widowControl/>
        <w:suppressLineNumbers w:val="0"/>
        <w:jc w:val="center"/>
        <w:rPr>
          <w:color w:val="auto"/>
        </w:rPr>
      </w:pPr>
      <w:r>
        <w:rPr>
          <w:rFonts w:ascii="仿宋" w:hAnsi="仿宋" w:eastAsia="仿宋" w:cs="仿宋"/>
          <w:b/>
          <w:bCs/>
          <w:color w:val="auto"/>
          <w:kern w:val="0"/>
          <w:sz w:val="31"/>
          <w:szCs w:val="31"/>
          <w:lang w:val="en-US" w:eastAsia="zh-CN" w:bidi="ar"/>
        </w:rPr>
        <w:t>需求框架（服务类）</w:t>
      </w:r>
    </w:p>
    <w:p w14:paraId="7E012B06">
      <w:pPr>
        <w:keepNext w:val="0"/>
        <w:keepLines w:val="0"/>
        <w:widowControl/>
        <w:suppressLineNumbers w:val="0"/>
        <w:jc w:val="left"/>
        <w:rPr>
          <w:color w:val="auto"/>
        </w:rPr>
      </w:pPr>
      <w:r>
        <w:rPr>
          <w:rFonts w:hint="eastAsia" w:ascii="仿宋" w:hAnsi="仿宋" w:eastAsia="仿宋" w:cs="仿宋"/>
          <w:b/>
          <w:bCs/>
          <w:color w:val="auto"/>
          <w:kern w:val="0"/>
          <w:sz w:val="30"/>
          <w:szCs w:val="30"/>
          <w:lang w:val="en-US" w:eastAsia="zh-CN" w:bidi="ar"/>
        </w:rPr>
        <w:t xml:space="preserve">一、项目概况 </w:t>
      </w:r>
    </w:p>
    <w:p w14:paraId="6600C8E8">
      <w:pPr>
        <w:keepNext w:val="0"/>
        <w:keepLines w:val="0"/>
        <w:widowControl/>
        <w:suppressLineNumbers w:val="0"/>
        <w:ind w:firstLine="600" w:firstLineChars="200"/>
        <w:jc w:val="left"/>
        <w:rPr>
          <w:color w:val="auto"/>
        </w:rPr>
      </w:pPr>
      <w:bookmarkStart w:id="0" w:name="_GoBack"/>
      <w:r>
        <w:rPr>
          <w:rFonts w:hint="eastAsia" w:ascii="仿宋" w:hAnsi="仿宋" w:eastAsia="仿宋" w:cs="仿宋"/>
          <w:color w:val="auto"/>
          <w:kern w:val="0"/>
          <w:sz w:val="30"/>
          <w:szCs w:val="30"/>
          <w:lang w:val="en-US" w:eastAsia="zh-CN" w:bidi="ar"/>
        </w:rPr>
        <w:t xml:space="preserve">开展残疾人实用技术，帮助残疾人掌握 1 门以上实用技术及职业技能, 鼓励引导有愿望和培训需求的残疾人接受相应的实用技术及职业技能培训,力争为每一位有意愿、有能力的残疾人提供相应的实用技术及职业技能培训，提高技术、技能，促进能力、实现增收致富的目标。 </w:t>
      </w:r>
    </w:p>
    <w:bookmarkEnd w:id="0"/>
    <w:p w14:paraId="3F7221E1">
      <w:pPr>
        <w:keepNext w:val="0"/>
        <w:keepLines w:val="0"/>
        <w:widowControl/>
        <w:suppressLineNumbers w:val="0"/>
        <w:jc w:val="left"/>
        <w:rPr>
          <w:color w:val="auto"/>
        </w:rPr>
      </w:pPr>
      <w:r>
        <w:rPr>
          <w:rFonts w:hint="eastAsia" w:ascii="仿宋" w:hAnsi="仿宋" w:eastAsia="仿宋" w:cs="仿宋"/>
          <w:b/>
          <w:bCs/>
          <w:color w:val="auto"/>
          <w:kern w:val="0"/>
          <w:sz w:val="30"/>
          <w:szCs w:val="30"/>
          <w:lang w:val="en-US" w:eastAsia="zh-CN" w:bidi="ar"/>
        </w:rPr>
        <w:t xml:space="preserve">二、采购内容 </w:t>
      </w:r>
    </w:p>
    <w:p w14:paraId="05C53D88">
      <w:pPr>
        <w:keepNext w:val="0"/>
        <w:keepLines w:val="0"/>
        <w:widowControl/>
        <w:suppressLineNumbers w:val="0"/>
        <w:ind w:firstLine="600" w:firstLineChars="200"/>
        <w:jc w:val="both"/>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（一）培训对象 </w:t>
      </w:r>
    </w:p>
    <w:p w14:paraId="2C34DA9C">
      <w:pPr>
        <w:keepNext w:val="0"/>
        <w:keepLines w:val="0"/>
        <w:widowControl/>
        <w:suppressLineNumbers w:val="0"/>
        <w:ind w:firstLine="600" w:firstLineChars="200"/>
        <w:jc w:val="both"/>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全县处于就业年龄段内有劳动能力和就业意愿的残疾人。（就业年龄段：男16-59周岁，女16-54周岁，残疾级别3-4级。）重度残疾人家庭直系亲属也可以作为培训对象。</w:t>
      </w:r>
    </w:p>
    <w:p w14:paraId="41F92A86">
      <w:pPr>
        <w:pStyle w:val="2"/>
        <w:ind w:firstLine="600" w:firstLineChars="200"/>
        <w:rPr>
          <w:rFonts w:hint="default" w:ascii="仿宋" w:hAnsi="仿宋" w:eastAsia="仿宋" w:cs="仿宋"/>
          <w:color w:val="auto"/>
          <w:kern w:val="0"/>
          <w:sz w:val="30"/>
          <w:szCs w:val="30"/>
          <w:lang w:val="en-US" w:eastAsia="zh-CN" w:bidi="ar"/>
        </w:rPr>
      </w:pPr>
      <w:r>
        <w:rPr>
          <w:rFonts w:hint="default" w:ascii="仿宋" w:hAnsi="仿宋" w:eastAsia="仿宋" w:cs="仿宋"/>
          <w:color w:val="auto"/>
          <w:kern w:val="0"/>
          <w:sz w:val="30"/>
          <w:szCs w:val="30"/>
          <w:lang w:val="en-US" w:eastAsia="zh-CN" w:bidi="ar"/>
        </w:rPr>
        <w:t xml:space="preserve">（二）培训内容及人数 </w:t>
      </w:r>
    </w:p>
    <w:p w14:paraId="2EA3D9AD">
      <w:pPr>
        <w:pStyle w:val="2"/>
        <w:ind w:firstLine="600" w:firstLineChars="200"/>
        <w:rPr>
          <w:rFonts w:hint="default"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残疾人实用技术培训（职业技能培训）</w:t>
      </w:r>
      <w:r>
        <w:rPr>
          <w:rFonts w:hint="default" w:ascii="仿宋" w:hAnsi="仿宋" w:eastAsia="仿宋" w:cs="仿宋"/>
          <w:color w:val="auto"/>
          <w:kern w:val="0"/>
          <w:sz w:val="30"/>
          <w:szCs w:val="30"/>
          <w:lang w:val="en-US" w:eastAsia="zh-CN" w:bidi="ar"/>
        </w:rPr>
        <w:t>培训共</w:t>
      </w:r>
      <w:r>
        <w:rPr>
          <w:rFonts w:hint="eastAsia" w:ascii="仿宋" w:hAnsi="仿宋" w:eastAsia="仿宋" w:cs="仿宋"/>
          <w:color w:val="auto"/>
          <w:kern w:val="0"/>
          <w:sz w:val="30"/>
          <w:szCs w:val="30"/>
          <w:lang w:val="en-US" w:eastAsia="zh-CN" w:bidi="ar"/>
        </w:rPr>
        <w:t>500</w:t>
      </w:r>
      <w:r>
        <w:rPr>
          <w:rFonts w:hint="default" w:ascii="仿宋" w:hAnsi="仿宋" w:eastAsia="仿宋" w:cs="仿宋"/>
          <w:color w:val="auto"/>
          <w:kern w:val="0"/>
          <w:sz w:val="30"/>
          <w:szCs w:val="30"/>
          <w:lang w:val="en-US" w:eastAsia="zh-CN" w:bidi="ar"/>
        </w:rPr>
        <w:t xml:space="preserve">人，1500元/人次 。包括种养殖培训、手工培训。每天安排5-7个标准学时安排教学。 </w:t>
      </w:r>
    </w:p>
    <w:p w14:paraId="5B760640">
      <w:pPr>
        <w:pStyle w:val="2"/>
        <w:ind w:firstLine="600" w:firstLineChars="200"/>
        <w:rPr>
          <w:rFonts w:hint="default" w:ascii="仿宋" w:hAnsi="仿宋" w:eastAsia="仿宋" w:cs="仿宋"/>
          <w:color w:val="auto"/>
          <w:kern w:val="0"/>
          <w:sz w:val="30"/>
          <w:szCs w:val="30"/>
          <w:lang w:val="en-US" w:eastAsia="zh-CN" w:bidi="ar"/>
        </w:rPr>
      </w:pPr>
      <w:r>
        <w:rPr>
          <w:rFonts w:hint="default" w:ascii="仿宋" w:hAnsi="仿宋" w:eastAsia="仿宋" w:cs="仿宋"/>
          <w:color w:val="auto"/>
          <w:kern w:val="0"/>
          <w:sz w:val="30"/>
          <w:szCs w:val="30"/>
          <w:lang w:val="en-US" w:eastAsia="zh-CN" w:bidi="ar"/>
        </w:rPr>
        <w:t xml:space="preserve">对农村残疾人进行突出针对性、实用性、通俗性、简便性和灵活的实用技能培训，针对农村残疾人进行“种、 养、加”实用技术培训，提高农村残疾人适应能力。 </w:t>
      </w:r>
    </w:p>
    <w:p w14:paraId="1F122E79">
      <w:pPr>
        <w:pStyle w:val="2"/>
        <w:ind w:firstLine="600" w:firstLineChars="200"/>
        <w:rPr>
          <w:rFonts w:hint="default" w:ascii="仿宋" w:hAnsi="仿宋" w:eastAsia="仿宋" w:cs="仿宋"/>
          <w:color w:val="auto"/>
          <w:kern w:val="0"/>
          <w:sz w:val="30"/>
          <w:szCs w:val="30"/>
          <w:lang w:val="en-US" w:eastAsia="zh-CN" w:bidi="ar"/>
        </w:rPr>
      </w:pPr>
      <w:r>
        <w:rPr>
          <w:rFonts w:hint="default" w:ascii="仿宋" w:hAnsi="仿宋" w:eastAsia="仿宋" w:cs="仿宋"/>
          <w:color w:val="auto"/>
          <w:kern w:val="0"/>
          <w:sz w:val="30"/>
          <w:szCs w:val="30"/>
          <w:lang w:val="en-US" w:eastAsia="zh-CN" w:bidi="ar"/>
        </w:rPr>
        <w:t xml:space="preserve">手工培训包括残疾妇女手工制作（例如发夹制作、棒针编织、串珠艺术等手工制作）等。 </w:t>
      </w:r>
    </w:p>
    <w:p w14:paraId="75F96739">
      <w:pPr>
        <w:numPr>
          <w:ilvl w:val="0"/>
          <w:numId w:val="1"/>
        </w:numPr>
        <w:ind w:firstLine="600" w:firstLineChars="200"/>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培训时间</w:t>
      </w:r>
    </w:p>
    <w:p w14:paraId="6F1AA6EB">
      <w:pPr>
        <w:numPr>
          <w:ilvl w:val="0"/>
          <w:numId w:val="0"/>
        </w:numPr>
        <w:ind w:firstLine="600" w:firstLineChars="200"/>
        <w:rPr>
          <w:rFonts w:hint="default" w:ascii="仿宋" w:hAnsi="仿宋" w:eastAsia="仿宋" w:cs="仿宋"/>
          <w:color w:val="auto"/>
          <w:kern w:val="0"/>
          <w:sz w:val="30"/>
          <w:szCs w:val="30"/>
          <w:lang w:val="en-US" w:eastAsia="zh-CN" w:bidi="ar"/>
        </w:rPr>
      </w:pPr>
      <w:r>
        <w:rPr>
          <w:rFonts w:hint="default" w:ascii="仿宋" w:hAnsi="仿宋" w:eastAsia="仿宋" w:cs="仿宋"/>
          <w:color w:val="auto"/>
          <w:kern w:val="0"/>
          <w:sz w:val="30"/>
          <w:szCs w:val="30"/>
          <w:lang w:val="en-US" w:eastAsia="zh-CN" w:bidi="ar"/>
        </w:rPr>
        <w:t xml:space="preserve">每期培训时间为6天，具体期数据实际情况确定。需在90日历日内将所有的人员培训完成。 </w:t>
      </w:r>
    </w:p>
    <w:p w14:paraId="14B40FFA">
      <w:pPr>
        <w:pStyle w:val="2"/>
        <w:numPr>
          <w:ilvl w:val="0"/>
          <w:numId w:val="1"/>
        </w:numPr>
        <w:ind w:left="0" w:leftChars="0" w:firstLine="600" w:firstLineChars="200"/>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培训方式</w:t>
      </w:r>
    </w:p>
    <w:p w14:paraId="492D868C">
      <w:pPr>
        <w:numPr>
          <w:ilvl w:val="0"/>
          <w:numId w:val="0"/>
        </w:numPr>
        <w:ind w:firstLine="600" w:firstLineChars="200"/>
        <w:rPr>
          <w:rFonts w:hint="default"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采用理论与实践相结合的培训模式。</w:t>
      </w:r>
    </w:p>
    <w:p w14:paraId="717837D5">
      <w:pPr>
        <w:numPr>
          <w:ilvl w:val="0"/>
          <w:numId w:val="0"/>
        </w:numPr>
        <w:ind w:firstLine="602" w:firstLineChars="200"/>
        <w:rPr>
          <w:rFonts w:hint="default"/>
          <w:color w:val="auto"/>
          <w:lang w:val="en-US" w:eastAsia="zh-CN"/>
        </w:rPr>
      </w:pPr>
      <w:r>
        <w:rPr>
          <w:rFonts w:hint="eastAsia" w:ascii="仿宋" w:hAnsi="仿宋" w:eastAsia="仿宋" w:cs="仿宋"/>
          <w:b/>
          <w:bCs/>
          <w:color w:val="auto"/>
          <w:kern w:val="0"/>
          <w:sz w:val="30"/>
          <w:szCs w:val="30"/>
          <w:lang w:val="en-US" w:eastAsia="zh-CN" w:bidi="ar"/>
        </w:rPr>
        <w:t>三、技术要求</w:t>
      </w:r>
    </w:p>
    <w:p w14:paraId="75A426BF">
      <w:pPr>
        <w:keepNext w:val="0"/>
        <w:keepLines w:val="0"/>
        <w:widowControl/>
        <w:suppressLineNumbers w:val="0"/>
        <w:ind w:firstLine="600" w:firstLineChars="200"/>
        <w:jc w:val="both"/>
        <w:rPr>
          <w:color w:val="auto"/>
        </w:rPr>
      </w:pPr>
      <w:r>
        <w:rPr>
          <w:rFonts w:hint="eastAsia" w:ascii="仿宋" w:hAnsi="仿宋" w:eastAsia="仿宋" w:cs="仿宋"/>
          <w:color w:val="auto"/>
          <w:kern w:val="0"/>
          <w:sz w:val="30"/>
          <w:szCs w:val="30"/>
          <w:lang w:val="en-US" w:eastAsia="zh-CN" w:bidi="ar"/>
        </w:rPr>
        <w:t xml:space="preserve">照残疾人个性化需求，分类开展培训，通过培训项目实施，让接受培训的残疾人掌握 1 门以上实用技术，切实增强能力，为稳定平稳创新发展提供坚强的技术保障四、服务要求（如对人员配置、专业设备、服务标准等） </w:t>
      </w:r>
    </w:p>
    <w:p w14:paraId="006207F7">
      <w:pPr>
        <w:keepNext w:val="0"/>
        <w:keepLines w:val="0"/>
        <w:widowControl/>
        <w:suppressLineNumbers w:val="0"/>
        <w:jc w:val="left"/>
        <w:rPr>
          <w:color w:val="auto"/>
        </w:rPr>
      </w:pPr>
      <w:r>
        <w:rPr>
          <w:rFonts w:hint="eastAsia" w:ascii="仿宋" w:hAnsi="仿宋" w:eastAsia="仿宋" w:cs="仿宋"/>
          <w:b/>
          <w:bCs/>
          <w:color w:val="auto"/>
          <w:kern w:val="0"/>
          <w:sz w:val="30"/>
          <w:szCs w:val="30"/>
          <w:lang w:val="en-US" w:eastAsia="zh-CN" w:bidi="ar"/>
        </w:rPr>
        <w:t xml:space="preserve">五、商务要求 （如服务期限、款项结算等） </w:t>
      </w:r>
    </w:p>
    <w:p w14:paraId="3AB42514">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（一）服务期限 </w:t>
      </w:r>
    </w:p>
    <w:p w14:paraId="4A43D531">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服务期自合同签订后 90 日历日。 </w:t>
      </w:r>
    </w:p>
    <w:p w14:paraId="08BA49CE">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（二）款项结算 </w:t>
      </w:r>
    </w:p>
    <w:p w14:paraId="3FB803F4">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1.付款方式： </w:t>
      </w:r>
    </w:p>
    <w:p w14:paraId="0DF0D35E">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项目实施结束后，经甲方验收合格一次性付清全部服务费。 </w:t>
      </w:r>
    </w:p>
    <w:p w14:paraId="39F44E50">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乙方向甲方开具正式发票。 </w:t>
      </w:r>
    </w:p>
    <w:p w14:paraId="4BFB899A">
      <w:pPr>
        <w:keepNext w:val="0"/>
        <w:keepLines w:val="0"/>
        <w:widowControl/>
        <w:numPr>
          <w:ilvl w:val="0"/>
          <w:numId w:val="0"/>
        </w:numPr>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 xml:space="preserve">2、支付方式：银行转账。 </w:t>
      </w:r>
    </w:p>
    <w:p w14:paraId="2C4FD9C9">
      <w:pPr>
        <w:pStyle w:val="2"/>
        <w:numPr>
          <w:ilvl w:val="0"/>
          <w:numId w:val="0"/>
        </w:numPr>
        <w:ind w:firstLine="600" w:firstLineChars="200"/>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3、服务地点：采购人指定地点。</w:t>
      </w:r>
    </w:p>
    <w:p w14:paraId="5193BF61">
      <w:pPr>
        <w:keepNext w:val="0"/>
        <w:keepLines w:val="0"/>
        <w:widowControl/>
        <w:suppressLineNumbers w:val="0"/>
        <w:jc w:val="left"/>
        <w:rPr>
          <w:color w:val="auto"/>
        </w:rPr>
      </w:pPr>
      <w:r>
        <w:rPr>
          <w:rFonts w:hint="eastAsia" w:ascii="仿宋" w:hAnsi="仿宋" w:eastAsia="仿宋" w:cs="仿宋"/>
          <w:b/>
          <w:bCs/>
          <w:color w:val="auto"/>
          <w:kern w:val="0"/>
          <w:sz w:val="30"/>
          <w:szCs w:val="30"/>
          <w:lang w:val="en-US" w:eastAsia="zh-CN" w:bidi="ar"/>
        </w:rPr>
        <w:t xml:space="preserve">六、其他（如有要求，请写明） </w:t>
      </w:r>
    </w:p>
    <w:p w14:paraId="50267851">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（一）对服务商的业绩要求 </w:t>
      </w:r>
    </w:p>
    <w:p w14:paraId="13DCB81C">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2022年 1月起至今，供应商承接类似服务项目的业绩（合同扫描件或中标通知书） </w:t>
      </w:r>
    </w:p>
    <w:p w14:paraId="793B0B9C">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（二）进度要求 </w:t>
      </w:r>
    </w:p>
    <w:p w14:paraId="39F2599C">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在规定时间内完成服务。 </w:t>
      </w:r>
    </w:p>
    <w:p w14:paraId="4D390742">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（三）成果交付要求 </w:t>
      </w:r>
    </w:p>
    <w:p w14:paraId="49747513">
      <w:pPr>
        <w:keepNext w:val="0"/>
        <w:keepLines w:val="0"/>
        <w:widowControl/>
        <w:suppressLineNumbers w:val="0"/>
        <w:ind w:firstLine="600" w:firstLineChars="200"/>
        <w:jc w:val="left"/>
        <w:rPr>
          <w:rFonts w:hint="eastAsia" w:ascii="仿宋" w:hAnsi="仿宋" w:eastAsia="仿宋" w:cs="仿宋"/>
          <w:color w:val="auto"/>
          <w:kern w:val="0"/>
          <w:sz w:val="30"/>
          <w:szCs w:val="30"/>
          <w:lang w:val="en-US" w:eastAsia="zh-CN" w:bidi="ar"/>
        </w:rPr>
      </w:pPr>
      <w:r>
        <w:rPr>
          <w:rFonts w:hint="eastAsia" w:ascii="仿宋" w:hAnsi="仿宋" w:eastAsia="仿宋" w:cs="仿宋"/>
          <w:color w:val="auto"/>
          <w:kern w:val="0"/>
          <w:sz w:val="30"/>
          <w:szCs w:val="30"/>
          <w:lang w:val="en-US" w:eastAsia="zh-CN" w:bidi="ar"/>
        </w:rPr>
        <w:t>达到国家、省、市相关行业规范要求的“合格”标准，符合采购人的要求。</w:t>
      </w:r>
    </w:p>
    <w:p w14:paraId="74F2F002">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（四）质量验收标准或规范 </w:t>
      </w:r>
    </w:p>
    <w:p w14:paraId="546C4B48">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 xml:space="preserve">残疾人服务行业验收标准。 </w:t>
      </w:r>
    </w:p>
    <w:p w14:paraId="455FD966">
      <w:pPr>
        <w:keepNext w:val="0"/>
        <w:keepLines w:val="0"/>
        <w:widowControl/>
        <w:suppressLineNumbers w:val="0"/>
        <w:jc w:val="left"/>
        <w:rPr>
          <w:color w:val="auto"/>
        </w:rPr>
      </w:pPr>
      <w:r>
        <w:rPr>
          <w:rFonts w:hint="eastAsia" w:ascii="仿宋" w:hAnsi="仿宋" w:eastAsia="仿宋" w:cs="仿宋"/>
          <w:color w:val="auto"/>
          <w:kern w:val="0"/>
          <w:sz w:val="30"/>
          <w:szCs w:val="30"/>
          <w:lang w:val="en-US" w:eastAsia="zh-CN" w:bidi="ar"/>
        </w:rPr>
        <w:t xml:space="preserve">（五）违约责任 </w:t>
      </w:r>
    </w:p>
    <w:p w14:paraId="355DB266">
      <w:pPr>
        <w:keepNext w:val="0"/>
        <w:keepLines w:val="0"/>
        <w:widowControl/>
        <w:suppressLineNumbers w:val="0"/>
        <w:ind w:firstLine="600" w:firstLineChars="200"/>
        <w:jc w:val="left"/>
        <w:rPr>
          <w:color w:val="auto"/>
        </w:rPr>
      </w:pPr>
      <w:r>
        <w:rPr>
          <w:rFonts w:hint="eastAsia" w:ascii="仿宋" w:hAnsi="仿宋" w:eastAsia="仿宋" w:cs="仿宋"/>
          <w:color w:val="auto"/>
          <w:kern w:val="0"/>
          <w:sz w:val="30"/>
          <w:szCs w:val="30"/>
          <w:lang w:val="en-US" w:eastAsia="zh-CN" w:bidi="ar"/>
        </w:rPr>
        <w:t>按《中华人民共和国政府采购法》第七十三条、《中华人民共和国民法典》第五百七十七条中的相关条款执行。未按合同或磋商文件要求提供的产品或者服务，质量不能满足采购人技术要求，采购单位有权终止合同，甚至对供应商违约行为进行追究。</w:t>
      </w:r>
    </w:p>
    <w:p w14:paraId="48FAFFD7">
      <w:pPr>
        <w:rPr>
          <w:color w:val="auto"/>
        </w:rPr>
      </w:pPr>
    </w:p>
    <w:sectPr>
      <w:head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0A6E">
    <w:pPr>
      <w:pStyle w:val="7"/>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2CA20"/>
    <w:multiLevelType w:val="singleLevel"/>
    <w:tmpl w:val="01A2CA2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MWE1ODBiYThlODc1YmI2MzE1YjUzOTliMWFlN2IifQ=="/>
  </w:docVars>
  <w:rsids>
    <w:rsidRoot w:val="0022387C"/>
    <w:rsid w:val="0000159C"/>
    <w:rsid w:val="000019FA"/>
    <w:rsid w:val="00002BB3"/>
    <w:rsid w:val="00003F53"/>
    <w:rsid w:val="00004F9A"/>
    <w:rsid w:val="00006A52"/>
    <w:rsid w:val="00012137"/>
    <w:rsid w:val="00012844"/>
    <w:rsid w:val="00012F9B"/>
    <w:rsid w:val="00013929"/>
    <w:rsid w:val="00014DAF"/>
    <w:rsid w:val="00015802"/>
    <w:rsid w:val="00016042"/>
    <w:rsid w:val="00022F41"/>
    <w:rsid w:val="00023261"/>
    <w:rsid w:val="000234CF"/>
    <w:rsid w:val="000235C8"/>
    <w:rsid w:val="00027E6B"/>
    <w:rsid w:val="0003251F"/>
    <w:rsid w:val="00032BB4"/>
    <w:rsid w:val="00033377"/>
    <w:rsid w:val="00033B5A"/>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51C6"/>
    <w:rsid w:val="00095A8D"/>
    <w:rsid w:val="00096428"/>
    <w:rsid w:val="00097CDB"/>
    <w:rsid w:val="000A0237"/>
    <w:rsid w:val="000A2583"/>
    <w:rsid w:val="000B5ACF"/>
    <w:rsid w:val="000B6858"/>
    <w:rsid w:val="000C048C"/>
    <w:rsid w:val="000C078B"/>
    <w:rsid w:val="000C21A4"/>
    <w:rsid w:val="000C538D"/>
    <w:rsid w:val="000C59A5"/>
    <w:rsid w:val="000D0AF3"/>
    <w:rsid w:val="000D0DE1"/>
    <w:rsid w:val="000D1277"/>
    <w:rsid w:val="000D4097"/>
    <w:rsid w:val="000E3FB5"/>
    <w:rsid w:val="000E6AE7"/>
    <w:rsid w:val="000F0C8A"/>
    <w:rsid w:val="000F1A9A"/>
    <w:rsid w:val="000F27AD"/>
    <w:rsid w:val="000F2BEC"/>
    <w:rsid w:val="000F3064"/>
    <w:rsid w:val="000F35AB"/>
    <w:rsid w:val="000F3645"/>
    <w:rsid w:val="000F4ECB"/>
    <w:rsid w:val="000F66FE"/>
    <w:rsid w:val="000F6831"/>
    <w:rsid w:val="000F6A10"/>
    <w:rsid w:val="000F735B"/>
    <w:rsid w:val="000F7DA6"/>
    <w:rsid w:val="00100C1B"/>
    <w:rsid w:val="00103379"/>
    <w:rsid w:val="00106530"/>
    <w:rsid w:val="00107B8A"/>
    <w:rsid w:val="001101BD"/>
    <w:rsid w:val="00111F0F"/>
    <w:rsid w:val="001131D6"/>
    <w:rsid w:val="00113B9B"/>
    <w:rsid w:val="00121FC0"/>
    <w:rsid w:val="00122D76"/>
    <w:rsid w:val="001254F9"/>
    <w:rsid w:val="001257D4"/>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361E"/>
    <w:rsid w:val="00156ED5"/>
    <w:rsid w:val="001630D0"/>
    <w:rsid w:val="00164101"/>
    <w:rsid w:val="00164EE1"/>
    <w:rsid w:val="00166FD9"/>
    <w:rsid w:val="00167ECE"/>
    <w:rsid w:val="0017054A"/>
    <w:rsid w:val="00171A61"/>
    <w:rsid w:val="00173749"/>
    <w:rsid w:val="00173A35"/>
    <w:rsid w:val="0017410F"/>
    <w:rsid w:val="00174285"/>
    <w:rsid w:val="00175756"/>
    <w:rsid w:val="00176F0E"/>
    <w:rsid w:val="00184F72"/>
    <w:rsid w:val="00187846"/>
    <w:rsid w:val="00191A7E"/>
    <w:rsid w:val="00193B5F"/>
    <w:rsid w:val="001947E8"/>
    <w:rsid w:val="00194890"/>
    <w:rsid w:val="00196A1C"/>
    <w:rsid w:val="001A2103"/>
    <w:rsid w:val="001A5309"/>
    <w:rsid w:val="001A5764"/>
    <w:rsid w:val="001B0699"/>
    <w:rsid w:val="001B2019"/>
    <w:rsid w:val="001B49FD"/>
    <w:rsid w:val="001B6B99"/>
    <w:rsid w:val="001C0BA3"/>
    <w:rsid w:val="001C0BBD"/>
    <w:rsid w:val="001C25ED"/>
    <w:rsid w:val="001D0B39"/>
    <w:rsid w:val="001D1BCB"/>
    <w:rsid w:val="001D22C0"/>
    <w:rsid w:val="001D4171"/>
    <w:rsid w:val="001D576E"/>
    <w:rsid w:val="001D70BC"/>
    <w:rsid w:val="001E2BB9"/>
    <w:rsid w:val="001E6A70"/>
    <w:rsid w:val="001F2059"/>
    <w:rsid w:val="001F49A1"/>
    <w:rsid w:val="001F4ACC"/>
    <w:rsid w:val="001F7532"/>
    <w:rsid w:val="00201795"/>
    <w:rsid w:val="0020498C"/>
    <w:rsid w:val="00207790"/>
    <w:rsid w:val="00210CFC"/>
    <w:rsid w:val="00210FBE"/>
    <w:rsid w:val="002125C8"/>
    <w:rsid w:val="00213205"/>
    <w:rsid w:val="002137AF"/>
    <w:rsid w:val="002147DA"/>
    <w:rsid w:val="002174B0"/>
    <w:rsid w:val="00220787"/>
    <w:rsid w:val="0022387C"/>
    <w:rsid w:val="00230C6A"/>
    <w:rsid w:val="00232AB2"/>
    <w:rsid w:val="00233D53"/>
    <w:rsid w:val="002345B9"/>
    <w:rsid w:val="00237A3F"/>
    <w:rsid w:val="00237C8C"/>
    <w:rsid w:val="0024210D"/>
    <w:rsid w:val="00244C29"/>
    <w:rsid w:val="00247B11"/>
    <w:rsid w:val="00250468"/>
    <w:rsid w:val="00250A0D"/>
    <w:rsid w:val="00250B6E"/>
    <w:rsid w:val="00252050"/>
    <w:rsid w:val="00253B74"/>
    <w:rsid w:val="002547E0"/>
    <w:rsid w:val="00255DBC"/>
    <w:rsid w:val="0025777A"/>
    <w:rsid w:val="00260306"/>
    <w:rsid w:val="00261898"/>
    <w:rsid w:val="00264014"/>
    <w:rsid w:val="0026501F"/>
    <w:rsid w:val="0026629F"/>
    <w:rsid w:val="00266611"/>
    <w:rsid w:val="002677C6"/>
    <w:rsid w:val="00267AE5"/>
    <w:rsid w:val="00267C8A"/>
    <w:rsid w:val="00271136"/>
    <w:rsid w:val="00273219"/>
    <w:rsid w:val="002742EA"/>
    <w:rsid w:val="0027449B"/>
    <w:rsid w:val="00276641"/>
    <w:rsid w:val="0028033D"/>
    <w:rsid w:val="00282837"/>
    <w:rsid w:val="00291777"/>
    <w:rsid w:val="0029384E"/>
    <w:rsid w:val="002938B0"/>
    <w:rsid w:val="002961E2"/>
    <w:rsid w:val="00296372"/>
    <w:rsid w:val="00297703"/>
    <w:rsid w:val="00297866"/>
    <w:rsid w:val="002A3B25"/>
    <w:rsid w:val="002A6815"/>
    <w:rsid w:val="002B35C4"/>
    <w:rsid w:val="002B36C2"/>
    <w:rsid w:val="002B59BE"/>
    <w:rsid w:val="002B65AB"/>
    <w:rsid w:val="002B696D"/>
    <w:rsid w:val="002C4511"/>
    <w:rsid w:val="002D2B5F"/>
    <w:rsid w:val="002D327B"/>
    <w:rsid w:val="002D41DD"/>
    <w:rsid w:val="002D5C1A"/>
    <w:rsid w:val="002D7418"/>
    <w:rsid w:val="002E1660"/>
    <w:rsid w:val="002E43F6"/>
    <w:rsid w:val="002E7C3E"/>
    <w:rsid w:val="002F1C19"/>
    <w:rsid w:val="002F1C7D"/>
    <w:rsid w:val="002F1EC9"/>
    <w:rsid w:val="002F25EC"/>
    <w:rsid w:val="002F2EAB"/>
    <w:rsid w:val="002F30DD"/>
    <w:rsid w:val="002F3224"/>
    <w:rsid w:val="002F7D7D"/>
    <w:rsid w:val="00300067"/>
    <w:rsid w:val="00300B27"/>
    <w:rsid w:val="0030123B"/>
    <w:rsid w:val="00301FAE"/>
    <w:rsid w:val="003024CF"/>
    <w:rsid w:val="00306470"/>
    <w:rsid w:val="00311862"/>
    <w:rsid w:val="00316D60"/>
    <w:rsid w:val="003172BB"/>
    <w:rsid w:val="00322208"/>
    <w:rsid w:val="003245F8"/>
    <w:rsid w:val="00325D47"/>
    <w:rsid w:val="00325EF1"/>
    <w:rsid w:val="003276DE"/>
    <w:rsid w:val="00332A7C"/>
    <w:rsid w:val="00337CFC"/>
    <w:rsid w:val="003406B1"/>
    <w:rsid w:val="00343305"/>
    <w:rsid w:val="003443D3"/>
    <w:rsid w:val="003450CD"/>
    <w:rsid w:val="00345F35"/>
    <w:rsid w:val="00351734"/>
    <w:rsid w:val="00354FCF"/>
    <w:rsid w:val="00360830"/>
    <w:rsid w:val="00364896"/>
    <w:rsid w:val="00366A2C"/>
    <w:rsid w:val="00372CF8"/>
    <w:rsid w:val="00373AE9"/>
    <w:rsid w:val="00374506"/>
    <w:rsid w:val="0037495D"/>
    <w:rsid w:val="00375819"/>
    <w:rsid w:val="00375C89"/>
    <w:rsid w:val="00376DAF"/>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B0D75"/>
    <w:rsid w:val="003B3207"/>
    <w:rsid w:val="003C3325"/>
    <w:rsid w:val="003D2606"/>
    <w:rsid w:val="003D39C7"/>
    <w:rsid w:val="003D45F5"/>
    <w:rsid w:val="003D6B60"/>
    <w:rsid w:val="003E010E"/>
    <w:rsid w:val="003E1D81"/>
    <w:rsid w:val="003E7874"/>
    <w:rsid w:val="003F60A3"/>
    <w:rsid w:val="004001BE"/>
    <w:rsid w:val="0040124D"/>
    <w:rsid w:val="004017C8"/>
    <w:rsid w:val="0040181A"/>
    <w:rsid w:val="004024C2"/>
    <w:rsid w:val="004068A7"/>
    <w:rsid w:val="00406C11"/>
    <w:rsid w:val="004106B2"/>
    <w:rsid w:val="00412CBC"/>
    <w:rsid w:val="004156E2"/>
    <w:rsid w:val="0042388D"/>
    <w:rsid w:val="00427ABD"/>
    <w:rsid w:val="004317AB"/>
    <w:rsid w:val="00431DBF"/>
    <w:rsid w:val="00433512"/>
    <w:rsid w:val="0043432D"/>
    <w:rsid w:val="00441D7B"/>
    <w:rsid w:val="00444250"/>
    <w:rsid w:val="00444298"/>
    <w:rsid w:val="004456C5"/>
    <w:rsid w:val="00454666"/>
    <w:rsid w:val="004574A4"/>
    <w:rsid w:val="00463236"/>
    <w:rsid w:val="004657D3"/>
    <w:rsid w:val="0046690A"/>
    <w:rsid w:val="0046782F"/>
    <w:rsid w:val="00471E1E"/>
    <w:rsid w:val="0047278F"/>
    <w:rsid w:val="0047590B"/>
    <w:rsid w:val="00490F98"/>
    <w:rsid w:val="00491349"/>
    <w:rsid w:val="00493684"/>
    <w:rsid w:val="00493E48"/>
    <w:rsid w:val="00496ACE"/>
    <w:rsid w:val="00497530"/>
    <w:rsid w:val="004A00FD"/>
    <w:rsid w:val="004A5CFF"/>
    <w:rsid w:val="004A61D7"/>
    <w:rsid w:val="004A6B5A"/>
    <w:rsid w:val="004B1026"/>
    <w:rsid w:val="004B5992"/>
    <w:rsid w:val="004C093C"/>
    <w:rsid w:val="004C0B7A"/>
    <w:rsid w:val="004C0CA0"/>
    <w:rsid w:val="004C5B48"/>
    <w:rsid w:val="004C6493"/>
    <w:rsid w:val="004D2D8E"/>
    <w:rsid w:val="004D4879"/>
    <w:rsid w:val="004D7C23"/>
    <w:rsid w:val="004D7F2C"/>
    <w:rsid w:val="004E07B6"/>
    <w:rsid w:val="004E0B6D"/>
    <w:rsid w:val="004E63AF"/>
    <w:rsid w:val="004F411F"/>
    <w:rsid w:val="004F60D3"/>
    <w:rsid w:val="004F7D8F"/>
    <w:rsid w:val="0050182A"/>
    <w:rsid w:val="00502DB5"/>
    <w:rsid w:val="005053C1"/>
    <w:rsid w:val="00506ECC"/>
    <w:rsid w:val="00510D3F"/>
    <w:rsid w:val="00511E18"/>
    <w:rsid w:val="00512B77"/>
    <w:rsid w:val="00515ADE"/>
    <w:rsid w:val="00515E63"/>
    <w:rsid w:val="005176F4"/>
    <w:rsid w:val="005203BA"/>
    <w:rsid w:val="005220F8"/>
    <w:rsid w:val="00522932"/>
    <w:rsid w:val="0052539A"/>
    <w:rsid w:val="005309DD"/>
    <w:rsid w:val="0053320F"/>
    <w:rsid w:val="00536D18"/>
    <w:rsid w:val="005372E0"/>
    <w:rsid w:val="005406CD"/>
    <w:rsid w:val="00542C65"/>
    <w:rsid w:val="00544037"/>
    <w:rsid w:val="0054537C"/>
    <w:rsid w:val="00547AD0"/>
    <w:rsid w:val="005509F0"/>
    <w:rsid w:val="00553778"/>
    <w:rsid w:val="00553AC5"/>
    <w:rsid w:val="00554646"/>
    <w:rsid w:val="005555A0"/>
    <w:rsid w:val="00556272"/>
    <w:rsid w:val="0056216F"/>
    <w:rsid w:val="005627E9"/>
    <w:rsid w:val="00572506"/>
    <w:rsid w:val="00573AC9"/>
    <w:rsid w:val="00581DBA"/>
    <w:rsid w:val="00581F60"/>
    <w:rsid w:val="005829C2"/>
    <w:rsid w:val="00582A46"/>
    <w:rsid w:val="0058322B"/>
    <w:rsid w:val="00583A5C"/>
    <w:rsid w:val="0058471F"/>
    <w:rsid w:val="0058487A"/>
    <w:rsid w:val="005863EF"/>
    <w:rsid w:val="00592CFD"/>
    <w:rsid w:val="00593C8A"/>
    <w:rsid w:val="005960B9"/>
    <w:rsid w:val="005A3DFC"/>
    <w:rsid w:val="005A5B0F"/>
    <w:rsid w:val="005A69F8"/>
    <w:rsid w:val="005A6B45"/>
    <w:rsid w:val="005A7B9D"/>
    <w:rsid w:val="005B0579"/>
    <w:rsid w:val="005B27CD"/>
    <w:rsid w:val="005B314D"/>
    <w:rsid w:val="005B353B"/>
    <w:rsid w:val="005B547C"/>
    <w:rsid w:val="005B65A5"/>
    <w:rsid w:val="005B67BE"/>
    <w:rsid w:val="005B7116"/>
    <w:rsid w:val="005C6C4F"/>
    <w:rsid w:val="005D000E"/>
    <w:rsid w:val="005D62E5"/>
    <w:rsid w:val="005D7216"/>
    <w:rsid w:val="005E12F7"/>
    <w:rsid w:val="005E548A"/>
    <w:rsid w:val="005E5BCC"/>
    <w:rsid w:val="005E5CCE"/>
    <w:rsid w:val="005E6CCC"/>
    <w:rsid w:val="005F19BB"/>
    <w:rsid w:val="005F3B5B"/>
    <w:rsid w:val="006022C0"/>
    <w:rsid w:val="00602E42"/>
    <w:rsid w:val="00603657"/>
    <w:rsid w:val="0060479B"/>
    <w:rsid w:val="00606A55"/>
    <w:rsid w:val="00611AC2"/>
    <w:rsid w:val="00613BB6"/>
    <w:rsid w:val="0061777B"/>
    <w:rsid w:val="00624066"/>
    <w:rsid w:val="00624620"/>
    <w:rsid w:val="00624946"/>
    <w:rsid w:val="00625173"/>
    <w:rsid w:val="00630CCB"/>
    <w:rsid w:val="00631E71"/>
    <w:rsid w:val="0063350A"/>
    <w:rsid w:val="006340A0"/>
    <w:rsid w:val="0063581A"/>
    <w:rsid w:val="00636BF4"/>
    <w:rsid w:val="00642CB1"/>
    <w:rsid w:val="006431A9"/>
    <w:rsid w:val="006466DF"/>
    <w:rsid w:val="006518D0"/>
    <w:rsid w:val="00652393"/>
    <w:rsid w:val="00656003"/>
    <w:rsid w:val="006571DD"/>
    <w:rsid w:val="0065774D"/>
    <w:rsid w:val="0065792C"/>
    <w:rsid w:val="0066668A"/>
    <w:rsid w:val="00675065"/>
    <w:rsid w:val="00675563"/>
    <w:rsid w:val="00675632"/>
    <w:rsid w:val="00685346"/>
    <w:rsid w:val="00685B24"/>
    <w:rsid w:val="006870E8"/>
    <w:rsid w:val="00690BC5"/>
    <w:rsid w:val="00690C8E"/>
    <w:rsid w:val="006933DD"/>
    <w:rsid w:val="0069471D"/>
    <w:rsid w:val="00695670"/>
    <w:rsid w:val="00695E20"/>
    <w:rsid w:val="006A3BA0"/>
    <w:rsid w:val="006A4EC6"/>
    <w:rsid w:val="006A6DF3"/>
    <w:rsid w:val="006B20D5"/>
    <w:rsid w:val="006B34F6"/>
    <w:rsid w:val="006B4952"/>
    <w:rsid w:val="006B5EA1"/>
    <w:rsid w:val="006B7F10"/>
    <w:rsid w:val="006C042B"/>
    <w:rsid w:val="006C2543"/>
    <w:rsid w:val="006C7C59"/>
    <w:rsid w:val="006D0312"/>
    <w:rsid w:val="006D214E"/>
    <w:rsid w:val="006D2DEA"/>
    <w:rsid w:val="006D2E9C"/>
    <w:rsid w:val="006D30BC"/>
    <w:rsid w:val="006E1A0E"/>
    <w:rsid w:val="006E6E8B"/>
    <w:rsid w:val="006E7C76"/>
    <w:rsid w:val="006F04CD"/>
    <w:rsid w:val="006F07C9"/>
    <w:rsid w:val="006F0A6B"/>
    <w:rsid w:val="006F0F75"/>
    <w:rsid w:val="006F5AC8"/>
    <w:rsid w:val="006F5F50"/>
    <w:rsid w:val="006F721C"/>
    <w:rsid w:val="00704218"/>
    <w:rsid w:val="00706102"/>
    <w:rsid w:val="00711356"/>
    <w:rsid w:val="00716375"/>
    <w:rsid w:val="00724763"/>
    <w:rsid w:val="007326D4"/>
    <w:rsid w:val="007331C5"/>
    <w:rsid w:val="00733D26"/>
    <w:rsid w:val="00733E96"/>
    <w:rsid w:val="00734BE2"/>
    <w:rsid w:val="00734DBA"/>
    <w:rsid w:val="007405AB"/>
    <w:rsid w:val="0074169B"/>
    <w:rsid w:val="007416A5"/>
    <w:rsid w:val="00742326"/>
    <w:rsid w:val="00743F8B"/>
    <w:rsid w:val="00746D76"/>
    <w:rsid w:val="007552A7"/>
    <w:rsid w:val="00757FC1"/>
    <w:rsid w:val="00760265"/>
    <w:rsid w:val="00763522"/>
    <w:rsid w:val="00770D89"/>
    <w:rsid w:val="00771FBD"/>
    <w:rsid w:val="00772751"/>
    <w:rsid w:val="00772BFA"/>
    <w:rsid w:val="007732E5"/>
    <w:rsid w:val="00773A1F"/>
    <w:rsid w:val="007750D4"/>
    <w:rsid w:val="00775725"/>
    <w:rsid w:val="00781A2A"/>
    <w:rsid w:val="007821ED"/>
    <w:rsid w:val="0079003B"/>
    <w:rsid w:val="00797959"/>
    <w:rsid w:val="007A0298"/>
    <w:rsid w:val="007A0EED"/>
    <w:rsid w:val="007A1F61"/>
    <w:rsid w:val="007A2D00"/>
    <w:rsid w:val="007A3433"/>
    <w:rsid w:val="007A5B38"/>
    <w:rsid w:val="007A7AC5"/>
    <w:rsid w:val="007B0FC2"/>
    <w:rsid w:val="007B1707"/>
    <w:rsid w:val="007B1F48"/>
    <w:rsid w:val="007B4190"/>
    <w:rsid w:val="007B5A22"/>
    <w:rsid w:val="007B7795"/>
    <w:rsid w:val="007C1E2E"/>
    <w:rsid w:val="007C32E6"/>
    <w:rsid w:val="007C6103"/>
    <w:rsid w:val="007C7079"/>
    <w:rsid w:val="007C745E"/>
    <w:rsid w:val="007C7E4A"/>
    <w:rsid w:val="007D249E"/>
    <w:rsid w:val="007D2EE8"/>
    <w:rsid w:val="007D4745"/>
    <w:rsid w:val="007D596E"/>
    <w:rsid w:val="007D61F2"/>
    <w:rsid w:val="007D6288"/>
    <w:rsid w:val="007D7D00"/>
    <w:rsid w:val="007E1576"/>
    <w:rsid w:val="007E2BD2"/>
    <w:rsid w:val="007E3DA2"/>
    <w:rsid w:val="007E5F41"/>
    <w:rsid w:val="007E6CF2"/>
    <w:rsid w:val="007F1EB4"/>
    <w:rsid w:val="007F5493"/>
    <w:rsid w:val="007F5B53"/>
    <w:rsid w:val="007F6DC7"/>
    <w:rsid w:val="0080075E"/>
    <w:rsid w:val="00802AAC"/>
    <w:rsid w:val="00806FED"/>
    <w:rsid w:val="00811115"/>
    <w:rsid w:val="008134C7"/>
    <w:rsid w:val="008139EB"/>
    <w:rsid w:val="008150A6"/>
    <w:rsid w:val="008151E2"/>
    <w:rsid w:val="00816091"/>
    <w:rsid w:val="00816182"/>
    <w:rsid w:val="00821BA2"/>
    <w:rsid w:val="00822824"/>
    <w:rsid w:val="008228B9"/>
    <w:rsid w:val="00824639"/>
    <w:rsid w:val="00826C95"/>
    <w:rsid w:val="00832985"/>
    <w:rsid w:val="008332CE"/>
    <w:rsid w:val="008345B9"/>
    <w:rsid w:val="008354ED"/>
    <w:rsid w:val="00835DAD"/>
    <w:rsid w:val="008376EF"/>
    <w:rsid w:val="00837760"/>
    <w:rsid w:val="00837F02"/>
    <w:rsid w:val="00840EF2"/>
    <w:rsid w:val="0084322A"/>
    <w:rsid w:val="00843C41"/>
    <w:rsid w:val="0084500E"/>
    <w:rsid w:val="008455FB"/>
    <w:rsid w:val="0084584F"/>
    <w:rsid w:val="00850BC8"/>
    <w:rsid w:val="00850E33"/>
    <w:rsid w:val="00856715"/>
    <w:rsid w:val="00856DC0"/>
    <w:rsid w:val="00861CE7"/>
    <w:rsid w:val="00864D01"/>
    <w:rsid w:val="00865BFC"/>
    <w:rsid w:val="0087394A"/>
    <w:rsid w:val="00874D32"/>
    <w:rsid w:val="00881B84"/>
    <w:rsid w:val="008876A3"/>
    <w:rsid w:val="00887DFB"/>
    <w:rsid w:val="0089283A"/>
    <w:rsid w:val="00892ADC"/>
    <w:rsid w:val="00893813"/>
    <w:rsid w:val="00893886"/>
    <w:rsid w:val="0089658C"/>
    <w:rsid w:val="00896F74"/>
    <w:rsid w:val="00897000"/>
    <w:rsid w:val="008A2458"/>
    <w:rsid w:val="008A66B8"/>
    <w:rsid w:val="008A7EED"/>
    <w:rsid w:val="008B2B1D"/>
    <w:rsid w:val="008B5009"/>
    <w:rsid w:val="008B7E45"/>
    <w:rsid w:val="008C1237"/>
    <w:rsid w:val="008C64FB"/>
    <w:rsid w:val="008C771B"/>
    <w:rsid w:val="008C77A4"/>
    <w:rsid w:val="008D0DB7"/>
    <w:rsid w:val="008D2DAF"/>
    <w:rsid w:val="008D4EEC"/>
    <w:rsid w:val="008D68A5"/>
    <w:rsid w:val="008E1C91"/>
    <w:rsid w:val="008E2EFF"/>
    <w:rsid w:val="008E3B9E"/>
    <w:rsid w:val="008E4E0F"/>
    <w:rsid w:val="008E738E"/>
    <w:rsid w:val="008F0A84"/>
    <w:rsid w:val="008F0CC3"/>
    <w:rsid w:val="008F44C7"/>
    <w:rsid w:val="008F5035"/>
    <w:rsid w:val="008F5056"/>
    <w:rsid w:val="0090408F"/>
    <w:rsid w:val="00906F8A"/>
    <w:rsid w:val="00915570"/>
    <w:rsid w:val="0091611D"/>
    <w:rsid w:val="00916267"/>
    <w:rsid w:val="00921082"/>
    <w:rsid w:val="00922EFB"/>
    <w:rsid w:val="00923A6C"/>
    <w:rsid w:val="009249C8"/>
    <w:rsid w:val="00933F00"/>
    <w:rsid w:val="00935401"/>
    <w:rsid w:val="0094003A"/>
    <w:rsid w:val="0094004A"/>
    <w:rsid w:val="00946173"/>
    <w:rsid w:val="00946A82"/>
    <w:rsid w:val="00951071"/>
    <w:rsid w:val="0095333C"/>
    <w:rsid w:val="00955186"/>
    <w:rsid w:val="00956EE8"/>
    <w:rsid w:val="009643C2"/>
    <w:rsid w:val="00966B6A"/>
    <w:rsid w:val="0097057C"/>
    <w:rsid w:val="009715C5"/>
    <w:rsid w:val="00971AF2"/>
    <w:rsid w:val="009723B8"/>
    <w:rsid w:val="0098281C"/>
    <w:rsid w:val="0098423D"/>
    <w:rsid w:val="009850E9"/>
    <w:rsid w:val="00985DFA"/>
    <w:rsid w:val="00986315"/>
    <w:rsid w:val="009911E3"/>
    <w:rsid w:val="00994E42"/>
    <w:rsid w:val="00995178"/>
    <w:rsid w:val="009A1C33"/>
    <w:rsid w:val="009A2439"/>
    <w:rsid w:val="009A2BFF"/>
    <w:rsid w:val="009A6D30"/>
    <w:rsid w:val="009B206F"/>
    <w:rsid w:val="009B5F6F"/>
    <w:rsid w:val="009B7A7F"/>
    <w:rsid w:val="009B7A90"/>
    <w:rsid w:val="009B7BA4"/>
    <w:rsid w:val="009C1007"/>
    <w:rsid w:val="009C1F6E"/>
    <w:rsid w:val="009C2514"/>
    <w:rsid w:val="009C3C03"/>
    <w:rsid w:val="009C3EBA"/>
    <w:rsid w:val="009C4C61"/>
    <w:rsid w:val="009C5377"/>
    <w:rsid w:val="009C7BA0"/>
    <w:rsid w:val="009D1B51"/>
    <w:rsid w:val="009D52BF"/>
    <w:rsid w:val="009D6DD3"/>
    <w:rsid w:val="009E3F57"/>
    <w:rsid w:val="009E4F8A"/>
    <w:rsid w:val="009E6771"/>
    <w:rsid w:val="009E67E4"/>
    <w:rsid w:val="009F0511"/>
    <w:rsid w:val="009F0732"/>
    <w:rsid w:val="009F1DBD"/>
    <w:rsid w:val="009F22FE"/>
    <w:rsid w:val="009F750B"/>
    <w:rsid w:val="00A00435"/>
    <w:rsid w:val="00A03071"/>
    <w:rsid w:val="00A03602"/>
    <w:rsid w:val="00A05B11"/>
    <w:rsid w:val="00A06B7F"/>
    <w:rsid w:val="00A07D9C"/>
    <w:rsid w:val="00A109CC"/>
    <w:rsid w:val="00A13EDB"/>
    <w:rsid w:val="00A14C4D"/>
    <w:rsid w:val="00A15845"/>
    <w:rsid w:val="00A17B52"/>
    <w:rsid w:val="00A2141C"/>
    <w:rsid w:val="00A21B16"/>
    <w:rsid w:val="00A22D76"/>
    <w:rsid w:val="00A24D47"/>
    <w:rsid w:val="00A30370"/>
    <w:rsid w:val="00A32017"/>
    <w:rsid w:val="00A3527C"/>
    <w:rsid w:val="00A37E7E"/>
    <w:rsid w:val="00A4098F"/>
    <w:rsid w:val="00A4193A"/>
    <w:rsid w:val="00A45C6F"/>
    <w:rsid w:val="00A46DCC"/>
    <w:rsid w:val="00A5014E"/>
    <w:rsid w:val="00A562E3"/>
    <w:rsid w:val="00A569D3"/>
    <w:rsid w:val="00A6062B"/>
    <w:rsid w:val="00A62089"/>
    <w:rsid w:val="00A654EF"/>
    <w:rsid w:val="00A658F2"/>
    <w:rsid w:val="00A65AFD"/>
    <w:rsid w:val="00A66B78"/>
    <w:rsid w:val="00A6769B"/>
    <w:rsid w:val="00A677C6"/>
    <w:rsid w:val="00A67E25"/>
    <w:rsid w:val="00A72C38"/>
    <w:rsid w:val="00A72FD2"/>
    <w:rsid w:val="00A7420A"/>
    <w:rsid w:val="00A74D3C"/>
    <w:rsid w:val="00A75DB1"/>
    <w:rsid w:val="00A761C2"/>
    <w:rsid w:val="00A76D29"/>
    <w:rsid w:val="00A86960"/>
    <w:rsid w:val="00A91A54"/>
    <w:rsid w:val="00A91B7E"/>
    <w:rsid w:val="00A96F13"/>
    <w:rsid w:val="00AA1080"/>
    <w:rsid w:val="00AA16D3"/>
    <w:rsid w:val="00AA18CA"/>
    <w:rsid w:val="00AA3BFA"/>
    <w:rsid w:val="00AA5A0A"/>
    <w:rsid w:val="00AA5E84"/>
    <w:rsid w:val="00AA725C"/>
    <w:rsid w:val="00AB3274"/>
    <w:rsid w:val="00AB7A0E"/>
    <w:rsid w:val="00AC0409"/>
    <w:rsid w:val="00AC0C60"/>
    <w:rsid w:val="00AC23B0"/>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2758"/>
    <w:rsid w:val="00B02B5A"/>
    <w:rsid w:val="00B036CF"/>
    <w:rsid w:val="00B04B8A"/>
    <w:rsid w:val="00B04BFB"/>
    <w:rsid w:val="00B104AA"/>
    <w:rsid w:val="00B11872"/>
    <w:rsid w:val="00B13979"/>
    <w:rsid w:val="00B15E4F"/>
    <w:rsid w:val="00B2012B"/>
    <w:rsid w:val="00B20B29"/>
    <w:rsid w:val="00B20CB9"/>
    <w:rsid w:val="00B20D52"/>
    <w:rsid w:val="00B2167C"/>
    <w:rsid w:val="00B246D3"/>
    <w:rsid w:val="00B262C9"/>
    <w:rsid w:val="00B26A2C"/>
    <w:rsid w:val="00B30526"/>
    <w:rsid w:val="00B31668"/>
    <w:rsid w:val="00B32FCD"/>
    <w:rsid w:val="00B34577"/>
    <w:rsid w:val="00B34E07"/>
    <w:rsid w:val="00B43464"/>
    <w:rsid w:val="00B45223"/>
    <w:rsid w:val="00B45C7D"/>
    <w:rsid w:val="00B461F3"/>
    <w:rsid w:val="00B50C36"/>
    <w:rsid w:val="00B51C5E"/>
    <w:rsid w:val="00B52083"/>
    <w:rsid w:val="00B52525"/>
    <w:rsid w:val="00B52B44"/>
    <w:rsid w:val="00B52D72"/>
    <w:rsid w:val="00B56BAC"/>
    <w:rsid w:val="00B56D99"/>
    <w:rsid w:val="00B571F4"/>
    <w:rsid w:val="00B64780"/>
    <w:rsid w:val="00B6494B"/>
    <w:rsid w:val="00B65E8E"/>
    <w:rsid w:val="00B67926"/>
    <w:rsid w:val="00B679FA"/>
    <w:rsid w:val="00B71667"/>
    <w:rsid w:val="00B72B4C"/>
    <w:rsid w:val="00B75DE1"/>
    <w:rsid w:val="00B76EAC"/>
    <w:rsid w:val="00B81ECA"/>
    <w:rsid w:val="00B838D7"/>
    <w:rsid w:val="00B86A3E"/>
    <w:rsid w:val="00B9113C"/>
    <w:rsid w:val="00B91DE8"/>
    <w:rsid w:val="00B96111"/>
    <w:rsid w:val="00B975ED"/>
    <w:rsid w:val="00B979E2"/>
    <w:rsid w:val="00B97D1F"/>
    <w:rsid w:val="00B97E9D"/>
    <w:rsid w:val="00BA38E0"/>
    <w:rsid w:val="00BA619F"/>
    <w:rsid w:val="00BA7D43"/>
    <w:rsid w:val="00BB02EB"/>
    <w:rsid w:val="00BB0A6C"/>
    <w:rsid w:val="00BB2DBC"/>
    <w:rsid w:val="00BB4AC7"/>
    <w:rsid w:val="00BB4CD0"/>
    <w:rsid w:val="00BB61C1"/>
    <w:rsid w:val="00BB6B4A"/>
    <w:rsid w:val="00BB7E90"/>
    <w:rsid w:val="00BC03CC"/>
    <w:rsid w:val="00BC11D7"/>
    <w:rsid w:val="00BC1B9C"/>
    <w:rsid w:val="00BC2C14"/>
    <w:rsid w:val="00BC31EE"/>
    <w:rsid w:val="00BC3C19"/>
    <w:rsid w:val="00BC4B27"/>
    <w:rsid w:val="00BC5C23"/>
    <w:rsid w:val="00BD15BE"/>
    <w:rsid w:val="00BD3BF3"/>
    <w:rsid w:val="00BD5316"/>
    <w:rsid w:val="00BD6613"/>
    <w:rsid w:val="00BD7E81"/>
    <w:rsid w:val="00BE41BE"/>
    <w:rsid w:val="00BE6F8C"/>
    <w:rsid w:val="00BE735F"/>
    <w:rsid w:val="00BF0B0F"/>
    <w:rsid w:val="00BF150A"/>
    <w:rsid w:val="00BF30A5"/>
    <w:rsid w:val="00BF3210"/>
    <w:rsid w:val="00BF3B09"/>
    <w:rsid w:val="00C03270"/>
    <w:rsid w:val="00C048FB"/>
    <w:rsid w:val="00C04CFA"/>
    <w:rsid w:val="00C076EF"/>
    <w:rsid w:val="00C16C84"/>
    <w:rsid w:val="00C21DB4"/>
    <w:rsid w:val="00C224CD"/>
    <w:rsid w:val="00C23E10"/>
    <w:rsid w:val="00C25539"/>
    <w:rsid w:val="00C25C2B"/>
    <w:rsid w:val="00C34D95"/>
    <w:rsid w:val="00C357EB"/>
    <w:rsid w:val="00C37015"/>
    <w:rsid w:val="00C40072"/>
    <w:rsid w:val="00C4213E"/>
    <w:rsid w:val="00C438D5"/>
    <w:rsid w:val="00C45741"/>
    <w:rsid w:val="00C472A3"/>
    <w:rsid w:val="00C50C4A"/>
    <w:rsid w:val="00C524B1"/>
    <w:rsid w:val="00C56B9D"/>
    <w:rsid w:val="00C60706"/>
    <w:rsid w:val="00C6464D"/>
    <w:rsid w:val="00C64FE6"/>
    <w:rsid w:val="00C72DBC"/>
    <w:rsid w:val="00C76B39"/>
    <w:rsid w:val="00C8194B"/>
    <w:rsid w:val="00C8510F"/>
    <w:rsid w:val="00C856C4"/>
    <w:rsid w:val="00C8634C"/>
    <w:rsid w:val="00C86F92"/>
    <w:rsid w:val="00C90072"/>
    <w:rsid w:val="00C9533B"/>
    <w:rsid w:val="00CB0748"/>
    <w:rsid w:val="00CB18BD"/>
    <w:rsid w:val="00CB232C"/>
    <w:rsid w:val="00CB2D79"/>
    <w:rsid w:val="00CB2E90"/>
    <w:rsid w:val="00CB4405"/>
    <w:rsid w:val="00CB4EF4"/>
    <w:rsid w:val="00CB5BD0"/>
    <w:rsid w:val="00CB63F6"/>
    <w:rsid w:val="00CC042F"/>
    <w:rsid w:val="00CC11D6"/>
    <w:rsid w:val="00CD0BAA"/>
    <w:rsid w:val="00CD2668"/>
    <w:rsid w:val="00CD2FAC"/>
    <w:rsid w:val="00CD495B"/>
    <w:rsid w:val="00CD6EAC"/>
    <w:rsid w:val="00CD79D5"/>
    <w:rsid w:val="00CD7C0B"/>
    <w:rsid w:val="00CD7C6C"/>
    <w:rsid w:val="00CE351D"/>
    <w:rsid w:val="00CE3BDB"/>
    <w:rsid w:val="00CE4305"/>
    <w:rsid w:val="00CE44AB"/>
    <w:rsid w:val="00CE4BC6"/>
    <w:rsid w:val="00CE52BF"/>
    <w:rsid w:val="00CE70DB"/>
    <w:rsid w:val="00CF001E"/>
    <w:rsid w:val="00CF50D5"/>
    <w:rsid w:val="00CF5C9B"/>
    <w:rsid w:val="00CF6662"/>
    <w:rsid w:val="00D01058"/>
    <w:rsid w:val="00D01136"/>
    <w:rsid w:val="00D03474"/>
    <w:rsid w:val="00D03476"/>
    <w:rsid w:val="00D03C0F"/>
    <w:rsid w:val="00D06B71"/>
    <w:rsid w:val="00D105D9"/>
    <w:rsid w:val="00D11FB0"/>
    <w:rsid w:val="00D129B0"/>
    <w:rsid w:val="00D1756F"/>
    <w:rsid w:val="00D21893"/>
    <w:rsid w:val="00D222AA"/>
    <w:rsid w:val="00D23DB6"/>
    <w:rsid w:val="00D242FC"/>
    <w:rsid w:val="00D26400"/>
    <w:rsid w:val="00D264F9"/>
    <w:rsid w:val="00D35E6A"/>
    <w:rsid w:val="00D361F7"/>
    <w:rsid w:val="00D37A4D"/>
    <w:rsid w:val="00D37BDA"/>
    <w:rsid w:val="00D409F8"/>
    <w:rsid w:val="00D41D8D"/>
    <w:rsid w:val="00D50FE0"/>
    <w:rsid w:val="00D51C08"/>
    <w:rsid w:val="00D51F3E"/>
    <w:rsid w:val="00D55D74"/>
    <w:rsid w:val="00D568D6"/>
    <w:rsid w:val="00D613B2"/>
    <w:rsid w:val="00D61D4F"/>
    <w:rsid w:val="00D62526"/>
    <w:rsid w:val="00D65B3B"/>
    <w:rsid w:val="00D6655A"/>
    <w:rsid w:val="00D73BEF"/>
    <w:rsid w:val="00D75DD7"/>
    <w:rsid w:val="00D80BB1"/>
    <w:rsid w:val="00D8461E"/>
    <w:rsid w:val="00D848AF"/>
    <w:rsid w:val="00D84D41"/>
    <w:rsid w:val="00D85867"/>
    <w:rsid w:val="00D90438"/>
    <w:rsid w:val="00D90F7C"/>
    <w:rsid w:val="00D93BBB"/>
    <w:rsid w:val="00D9483F"/>
    <w:rsid w:val="00D9612C"/>
    <w:rsid w:val="00DA0DFD"/>
    <w:rsid w:val="00DA26D1"/>
    <w:rsid w:val="00DB18FC"/>
    <w:rsid w:val="00DB2769"/>
    <w:rsid w:val="00DB3FFB"/>
    <w:rsid w:val="00DB4762"/>
    <w:rsid w:val="00DB630A"/>
    <w:rsid w:val="00DB6473"/>
    <w:rsid w:val="00DC4AE1"/>
    <w:rsid w:val="00DC6B38"/>
    <w:rsid w:val="00DC767D"/>
    <w:rsid w:val="00DC7A15"/>
    <w:rsid w:val="00DD0CDD"/>
    <w:rsid w:val="00DD26EA"/>
    <w:rsid w:val="00DD35BB"/>
    <w:rsid w:val="00DD7198"/>
    <w:rsid w:val="00DE3310"/>
    <w:rsid w:val="00DE3B48"/>
    <w:rsid w:val="00DF0FF1"/>
    <w:rsid w:val="00DF1557"/>
    <w:rsid w:val="00DF7197"/>
    <w:rsid w:val="00DF7223"/>
    <w:rsid w:val="00DF749E"/>
    <w:rsid w:val="00DF7988"/>
    <w:rsid w:val="00E0112E"/>
    <w:rsid w:val="00E02056"/>
    <w:rsid w:val="00E037D5"/>
    <w:rsid w:val="00E07EB9"/>
    <w:rsid w:val="00E10A87"/>
    <w:rsid w:val="00E114BC"/>
    <w:rsid w:val="00E11D50"/>
    <w:rsid w:val="00E12A45"/>
    <w:rsid w:val="00E13609"/>
    <w:rsid w:val="00E14B3C"/>
    <w:rsid w:val="00E16067"/>
    <w:rsid w:val="00E16681"/>
    <w:rsid w:val="00E17358"/>
    <w:rsid w:val="00E212E3"/>
    <w:rsid w:val="00E227F4"/>
    <w:rsid w:val="00E23903"/>
    <w:rsid w:val="00E2575E"/>
    <w:rsid w:val="00E27DAA"/>
    <w:rsid w:val="00E27FDC"/>
    <w:rsid w:val="00E30E7D"/>
    <w:rsid w:val="00E31BA9"/>
    <w:rsid w:val="00E40872"/>
    <w:rsid w:val="00E41594"/>
    <w:rsid w:val="00E46A08"/>
    <w:rsid w:val="00E55B23"/>
    <w:rsid w:val="00E56FE8"/>
    <w:rsid w:val="00E57C5E"/>
    <w:rsid w:val="00E6057C"/>
    <w:rsid w:val="00E607A7"/>
    <w:rsid w:val="00E63BD1"/>
    <w:rsid w:val="00E6467D"/>
    <w:rsid w:val="00E66BCF"/>
    <w:rsid w:val="00E71342"/>
    <w:rsid w:val="00E728E4"/>
    <w:rsid w:val="00E75741"/>
    <w:rsid w:val="00E83DB2"/>
    <w:rsid w:val="00E85DAF"/>
    <w:rsid w:val="00E87864"/>
    <w:rsid w:val="00E9170D"/>
    <w:rsid w:val="00E9198A"/>
    <w:rsid w:val="00E931C1"/>
    <w:rsid w:val="00E93D73"/>
    <w:rsid w:val="00E94BFD"/>
    <w:rsid w:val="00E94E0E"/>
    <w:rsid w:val="00E97186"/>
    <w:rsid w:val="00E97F6C"/>
    <w:rsid w:val="00EA04D2"/>
    <w:rsid w:val="00EA68DB"/>
    <w:rsid w:val="00EB1A62"/>
    <w:rsid w:val="00EB7A4C"/>
    <w:rsid w:val="00EC2A66"/>
    <w:rsid w:val="00EC3672"/>
    <w:rsid w:val="00ED0960"/>
    <w:rsid w:val="00ED3782"/>
    <w:rsid w:val="00ED56C1"/>
    <w:rsid w:val="00EE1F49"/>
    <w:rsid w:val="00EE1F87"/>
    <w:rsid w:val="00EE3720"/>
    <w:rsid w:val="00EE3F92"/>
    <w:rsid w:val="00EE7634"/>
    <w:rsid w:val="00EF1FCF"/>
    <w:rsid w:val="00EF271D"/>
    <w:rsid w:val="00EF4228"/>
    <w:rsid w:val="00EF4DC8"/>
    <w:rsid w:val="00EF659E"/>
    <w:rsid w:val="00EF6A13"/>
    <w:rsid w:val="00F01751"/>
    <w:rsid w:val="00F02CF2"/>
    <w:rsid w:val="00F0385A"/>
    <w:rsid w:val="00F1070F"/>
    <w:rsid w:val="00F14992"/>
    <w:rsid w:val="00F21D20"/>
    <w:rsid w:val="00F22674"/>
    <w:rsid w:val="00F22B78"/>
    <w:rsid w:val="00F244F9"/>
    <w:rsid w:val="00F25220"/>
    <w:rsid w:val="00F25320"/>
    <w:rsid w:val="00F26FA6"/>
    <w:rsid w:val="00F306D7"/>
    <w:rsid w:val="00F308B7"/>
    <w:rsid w:val="00F31736"/>
    <w:rsid w:val="00F31CAB"/>
    <w:rsid w:val="00F32A46"/>
    <w:rsid w:val="00F37170"/>
    <w:rsid w:val="00F43040"/>
    <w:rsid w:val="00F44E00"/>
    <w:rsid w:val="00F44EC3"/>
    <w:rsid w:val="00F459DC"/>
    <w:rsid w:val="00F46B72"/>
    <w:rsid w:val="00F474AB"/>
    <w:rsid w:val="00F476F6"/>
    <w:rsid w:val="00F47A28"/>
    <w:rsid w:val="00F5050C"/>
    <w:rsid w:val="00F5134E"/>
    <w:rsid w:val="00F528DD"/>
    <w:rsid w:val="00F52A18"/>
    <w:rsid w:val="00F52C68"/>
    <w:rsid w:val="00F53CC6"/>
    <w:rsid w:val="00F564CD"/>
    <w:rsid w:val="00F61702"/>
    <w:rsid w:val="00F62E71"/>
    <w:rsid w:val="00F630C8"/>
    <w:rsid w:val="00F64C12"/>
    <w:rsid w:val="00F6552D"/>
    <w:rsid w:val="00F67278"/>
    <w:rsid w:val="00F710E9"/>
    <w:rsid w:val="00F733F0"/>
    <w:rsid w:val="00F76A72"/>
    <w:rsid w:val="00F77340"/>
    <w:rsid w:val="00F8042D"/>
    <w:rsid w:val="00F85256"/>
    <w:rsid w:val="00F87572"/>
    <w:rsid w:val="00F87CA2"/>
    <w:rsid w:val="00F91976"/>
    <w:rsid w:val="00F92C8D"/>
    <w:rsid w:val="00F931AD"/>
    <w:rsid w:val="00F9741A"/>
    <w:rsid w:val="00FA1F53"/>
    <w:rsid w:val="00FA2095"/>
    <w:rsid w:val="00FA244D"/>
    <w:rsid w:val="00FB1215"/>
    <w:rsid w:val="00FB4CB0"/>
    <w:rsid w:val="00FB6392"/>
    <w:rsid w:val="00FC39BA"/>
    <w:rsid w:val="00FC3DAC"/>
    <w:rsid w:val="00FD059C"/>
    <w:rsid w:val="00FD1428"/>
    <w:rsid w:val="00FD20C5"/>
    <w:rsid w:val="00FD2761"/>
    <w:rsid w:val="00FD37B5"/>
    <w:rsid w:val="00FD4568"/>
    <w:rsid w:val="00FD5B5E"/>
    <w:rsid w:val="00FD5D95"/>
    <w:rsid w:val="00FD613E"/>
    <w:rsid w:val="00FD6F4D"/>
    <w:rsid w:val="00FE05A0"/>
    <w:rsid w:val="00FE3FCF"/>
    <w:rsid w:val="00FF2E19"/>
    <w:rsid w:val="00FF756F"/>
    <w:rsid w:val="050B0AD9"/>
    <w:rsid w:val="12D15108"/>
    <w:rsid w:val="149A59CD"/>
    <w:rsid w:val="18ED28B3"/>
    <w:rsid w:val="1A0561FD"/>
    <w:rsid w:val="1A415DD9"/>
    <w:rsid w:val="1A81003C"/>
    <w:rsid w:val="1B0F0923"/>
    <w:rsid w:val="1F670CDD"/>
    <w:rsid w:val="238E0693"/>
    <w:rsid w:val="2451679D"/>
    <w:rsid w:val="25F9277E"/>
    <w:rsid w:val="2708024A"/>
    <w:rsid w:val="28E374EB"/>
    <w:rsid w:val="2917768B"/>
    <w:rsid w:val="2CFA1945"/>
    <w:rsid w:val="2FC14E86"/>
    <w:rsid w:val="35EC44C5"/>
    <w:rsid w:val="36E042EE"/>
    <w:rsid w:val="38477972"/>
    <w:rsid w:val="3A304090"/>
    <w:rsid w:val="3CC37075"/>
    <w:rsid w:val="3E823E0B"/>
    <w:rsid w:val="3F1A1920"/>
    <w:rsid w:val="402868A8"/>
    <w:rsid w:val="41044638"/>
    <w:rsid w:val="4129396E"/>
    <w:rsid w:val="42B20683"/>
    <w:rsid w:val="42B63889"/>
    <w:rsid w:val="45E35BB7"/>
    <w:rsid w:val="46364CA7"/>
    <w:rsid w:val="4B73730E"/>
    <w:rsid w:val="4D8B5E56"/>
    <w:rsid w:val="4DD43225"/>
    <w:rsid w:val="4FF32022"/>
    <w:rsid w:val="52FE4F46"/>
    <w:rsid w:val="56C6283C"/>
    <w:rsid w:val="5A8303EF"/>
    <w:rsid w:val="5B1C6DEC"/>
    <w:rsid w:val="5B5900C0"/>
    <w:rsid w:val="60A34C05"/>
    <w:rsid w:val="652C2B1D"/>
    <w:rsid w:val="669707F9"/>
    <w:rsid w:val="6D0203CD"/>
    <w:rsid w:val="6E63507A"/>
    <w:rsid w:val="701D28B0"/>
    <w:rsid w:val="70A670F1"/>
    <w:rsid w:val="710B6BAC"/>
    <w:rsid w:val="7529226B"/>
    <w:rsid w:val="77B27308"/>
    <w:rsid w:val="79596A0D"/>
    <w:rsid w:val="79D9159C"/>
    <w:rsid w:val="7A02406E"/>
    <w:rsid w:val="7AC45085"/>
    <w:rsid w:val="7B711B50"/>
    <w:rsid w:val="7E4204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sz w:val="24"/>
    </w:rPr>
  </w:style>
  <w:style w:type="paragraph" w:styleId="3">
    <w:name w:val="Normal Indent"/>
    <w:basedOn w:val="1"/>
    <w:autoRedefine/>
    <w:qFormat/>
    <w:uiPriority w:val="0"/>
    <w:pPr>
      <w:ind w:firstLine="420"/>
    </w:pPr>
    <w:rPr>
      <w:szCs w:val="20"/>
    </w:rPr>
  </w:style>
  <w:style w:type="paragraph" w:styleId="4">
    <w:name w:val="annotation text"/>
    <w:basedOn w:val="1"/>
    <w:link w:val="39"/>
    <w:autoRedefine/>
    <w:semiHidden/>
    <w:unhideWhenUsed/>
    <w:qFormat/>
    <w:uiPriority w:val="99"/>
    <w:pPr>
      <w:jc w:val="left"/>
    </w:pPr>
  </w:style>
  <w:style w:type="paragraph" w:styleId="5">
    <w:name w:val="Balloon Text"/>
    <w:basedOn w:val="1"/>
    <w:link w:val="41"/>
    <w:autoRedefine/>
    <w:semiHidden/>
    <w:unhideWhenUsed/>
    <w:qFormat/>
    <w:uiPriority w:val="99"/>
    <w:rPr>
      <w:sz w:val="18"/>
      <w:szCs w:val="18"/>
    </w:rPr>
  </w:style>
  <w:style w:type="paragraph" w:styleId="6">
    <w:name w:val="footer"/>
    <w:basedOn w:val="1"/>
    <w:link w:val="38"/>
    <w:autoRedefine/>
    <w:unhideWhenUsed/>
    <w:qFormat/>
    <w:uiPriority w:val="99"/>
    <w:pPr>
      <w:tabs>
        <w:tab w:val="center" w:pos="4153"/>
        <w:tab w:val="right" w:pos="8306"/>
      </w:tabs>
      <w:snapToGrid w:val="0"/>
      <w:jc w:val="left"/>
    </w:pPr>
    <w:rPr>
      <w:sz w:val="18"/>
      <w:szCs w:val="18"/>
    </w:rPr>
  </w:style>
  <w:style w:type="paragraph" w:styleId="7">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40"/>
    <w:autoRedefine/>
    <w:semiHidden/>
    <w:unhideWhenUsed/>
    <w:qFormat/>
    <w:uiPriority w:val="99"/>
    <w:rPr>
      <w:b/>
      <w:bCs/>
    </w:rPr>
  </w:style>
  <w:style w:type="character" w:styleId="12">
    <w:name w:val="FollowedHyperlink"/>
    <w:basedOn w:val="11"/>
    <w:autoRedefine/>
    <w:semiHidden/>
    <w:unhideWhenUsed/>
    <w:qFormat/>
    <w:uiPriority w:val="99"/>
    <w:rPr>
      <w:color w:val="333333"/>
      <w:u w:val="none"/>
    </w:rPr>
  </w:style>
  <w:style w:type="character" w:styleId="13">
    <w:name w:val="Hyperlink"/>
    <w:basedOn w:val="11"/>
    <w:autoRedefine/>
    <w:semiHidden/>
    <w:unhideWhenUsed/>
    <w:qFormat/>
    <w:uiPriority w:val="99"/>
    <w:rPr>
      <w:color w:val="333333"/>
      <w:u w:val="none"/>
    </w:rPr>
  </w:style>
  <w:style w:type="character" w:styleId="14">
    <w:name w:val="annotation reference"/>
    <w:basedOn w:val="11"/>
    <w:autoRedefine/>
    <w:semiHidden/>
    <w:unhideWhenUsed/>
    <w:qFormat/>
    <w:uiPriority w:val="99"/>
    <w:rPr>
      <w:sz w:val="21"/>
      <w:szCs w:val="21"/>
    </w:rPr>
  </w:style>
  <w:style w:type="paragraph" w:customStyle="1" w:styleId="15">
    <w:name w:val="※封面大标题"/>
    <w:basedOn w:val="1"/>
    <w:next w:val="1"/>
    <w:autoRedefine/>
    <w:qFormat/>
    <w:uiPriority w:val="0"/>
    <w:pPr>
      <w:widowControl/>
      <w:jc w:val="center"/>
    </w:pPr>
    <w:rPr>
      <w:rFonts w:ascii="华文中宋" w:hAnsi="华文中宋" w:eastAsia="华文中宋"/>
      <w:sz w:val="96"/>
      <w:szCs w:val="96"/>
    </w:rPr>
  </w:style>
  <w:style w:type="paragraph" w:customStyle="1" w:styleId="16">
    <w:name w:val="※封面题颌"/>
    <w:basedOn w:val="1"/>
    <w:next w:val="1"/>
    <w:autoRedefine/>
    <w:qFormat/>
    <w:uiPriority w:val="0"/>
    <w:pPr>
      <w:widowControl/>
      <w:jc w:val="center"/>
    </w:pPr>
    <w:rPr>
      <w:rFonts w:ascii="Calibri Light" w:hAnsi="Calibri Light" w:eastAsia="华文仿宋"/>
      <w:sz w:val="36"/>
      <w:szCs w:val="36"/>
    </w:rPr>
  </w:style>
  <w:style w:type="paragraph" w:customStyle="1" w:styleId="17">
    <w:name w:val="※封面题眉"/>
    <w:basedOn w:val="1"/>
    <w:next w:val="15"/>
    <w:autoRedefine/>
    <w:qFormat/>
    <w:uiPriority w:val="0"/>
    <w:pPr>
      <w:widowControl/>
      <w:jc w:val="center"/>
    </w:pPr>
    <w:rPr>
      <w:rFonts w:ascii="华文仿宋" w:hAnsi="华文仿宋" w:eastAsia="华文仿宋"/>
      <w:sz w:val="52"/>
      <w:szCs w:val="28"/>
    </w:rPr>
  </w:style>
  <w:style w:type="paragraph" w:customStyle="1" w:styleId="18">
    <w:name w:val="※封面题须"/>
    <w:basedOn w:val="1"/>
    <w:autoRedefine/>
    <w:qFormat/>
    <w:uiPriority w:val="0"/>
    <w:pPr>
      <w:widowControl/>
      <w:ind w:left="850" w:leftChars="350" w:right="250" w:rightChars="250" w:hanging="500" w:hangingChars="500"/>
      <w:jc w:val="left"/>
    </w:pPr>
    <w:rPr>
      <w:rFonts w:ascii="Calibri Light" w:hAnsi="Calibri Light" w:eastAsia="华文仿宋"/>
      <w:sz w:val="36"/>
      <w:szCs w:val="36"/>
    </w:rPr>
  </w:style>
  <w:style w:type="paragraph" w:customStyle="1" w:styleId="19">
    <w:name w:val="※目录（次）"/>
    <w:basedOn w:val="1"/>
    <w:autoRedefine/>
    <w:qFormat/>
    <w:uiPriority w:val="0"/>
    <w:pPr>
      <w:widowControl/>
      <w:tabs>
        <w:tab w:val="right" w:leader="hyphen" w:pos="8400"/>
      </w:tabs>
      <w:wordWrap w:val="0"/>
      <w:ind w:left="700" w:leftChars="200" w:right="300" w:rightChars="300" w:hanging="500" w:hangingChars="500"/>
      <w:jc w:val="left"/>
    </w:pPr>
    <w:rPr>
      <w:rFonts w:ascii="Calibri Light" w:hAnsi="Calibri Light" w:eastAsia="华文仿宋"/>
      <w:sz w:val="36"/>
      <w:szCs w:val="28"/>
    </w:rPr>
  </w:style>
  <w:style w:type="paragraph" w:customStyle="1" w:styleId="20">
    <w:name w:val="※目录（主）"/>
    <w:basedOn w:val="1"/>
    <w:autoRedefine/>
    <w:qFormat/>
    <w:uiPriority w:val="0"/>
    <w:pPr>
      <w:widowControl/>
      <w:tabs>
        <w:tab w:val="right" w:leader="hyphen" w:pos="8400"/>
      </w:tabs>
      <w:spacing w:afterLines="100" w:line="400" w:lineRule="exact"/>
      <w:ind w:left="200" w:leftChars="200" w:right="200" w:rightChars="200" w:hanging="499" w:hangingChars="400"/>
      <w:jc w:val="left"/>
    </w:pPr>
    <w:rPr>
      <w:rFonts w:ascii="Calibri Light" w:hAnsi="Calibri Light" w:eastAsia="华文仿宋"/>
      <w:sz w:val="36"/>
      <w:szCs w:val="36"/>
    </w:rPr>
  </w:style>
  <w:style w:type="paragraph" w:customStyle="1" w:styleId="21">
    <w:name w:val="※小标题 1"/>
    <w:basedOn w:val="1"/>
    <w:next w:val="1"/>
    <w:autoRedefine/>
    <w:qFormat/>
    <w:uiPriority w:val="0"/>
    <w:pPr>
      <w:widowControl/>
      <w:wordWrap w:val="0"/>
      <w:spacing w:before="20" w:after="20" w:line="400" w:lineRule="exact"/>
      <w:ind w:firstLine="200" w:firstLineChars="200"/>
      <w:jc w:val="left"/>
      <w:outlineLvl w:val="4"/>
    </w:pPr>
    <w:rPr>
      <w:rFonts w:ascii="Calibri Light" w:hAnsi="Calibri Light" w:eastAsia="华文仿宋"/>
      <w:b/>
      <w:sz w:val="28"/>
      <w:szCs w:val="28"/>
    </w:rPr>
  </w:style>
  <w:style w:type="paragraph" w:customStyle="1" w:styleId="22">
    <w:name w:val="※正文"/>
    <w:basedOn w:val="1"/>
    <w:next w:val="1"/>
    <w:autoRedefine/>
    <w:qFormat/>
    <w:uiPriority w:val="0"/>
    <w:pPr>
      <w:widowControl/>
      <w:wordWrap w:val="0"/>
      <w:spacing w:line="400" w:lineRule="exact"/>
    </w:pPr>
    <w:rPr>
      <w:rFonts w:ascii="Calibri Light" w:hAnsi="Calibri Light" w:eastAsia="华文仿宋"/>
      <w:sz w:val="28"/>
      <w:szCs w:val="28"/>
    </w:rPr>
  </w:style>
  <w:style w:type="paragraph" w:customStyle="1" w:styleId="23">
    <w:name w:val="※小标题 一"/>
    <w:basedOn w:val="22"/>
    <w:next w:val="22"/>
    <w:autoRedefine/>
    <w:qFormat/>
    <w:uiPriority w:val="0"/>
    <w:pPr>
      <w:spacing w:before="120" w:line="240" w:lineRule="auto"/>
      <w:outlineLvl w:val="2"/>
    </w:pPr>
    <w:rPr>
      <w:b/>
      <w:color w:val="203864" w:themeColor="accent5" w:themeShade="80"/>
      <w:sz w:val="32"/>
    </w:rPr>
  </w:style>
  <w:style w:type="paragraph" w:customStyle="1" w:styleId="24">
    <w:name w:val="※小标题（1）"/>
    <w:basedOn w:val="1"/>
    <w:next w:val="22"/>
    <w:autoRedefine/>
    <w:qFormat/>
    <w:uiPriority w:val="0"/>
    <w:pPr>
      <w:widowControl/>
      <w:wordWrap w:val="0"/>
      <w:spacing w:line="400" w:lineRule="exact"/>
      <w:ind w:firstLine="200" w:firstLineChars="200"/>
      <w:outlineLvl w:val="5"/>
    </w:pPr>
    <w:rPr>
      <w:rFonts w:ascii="Calibri Light" w:hAnsi="Calibri Light" w:eastAsia="华文仿宋"/>
      <w:b/>
      <w:sz w:val="28"/>
      <w:szCs w:val="28"/>
    </w:rPr>
  </w:style>
  <w:style w:type="paragraph" w:customStyle="1" w:styleId="25">
    <w:name w:val="※小标题（一）"/>
    <w:basedOn w:val="1"/>
    <w:next w:val="22"/>
    <w:autoRedefine/>
    <w:qFormat/>
    <w:uiPriority w:val="0"/>
    <w:pPr>
      <w:widowControl/>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26">
    <w:name w:val="※页脚（横屏）"/>
    <w:basedOn w:val="1"/>
    <w:autoRedefine/>
    <w:qFormat/>
    <w:uiPriority w:val="0"/>
    <w:pPr>
      <w:widowControl/>
      <w:tabs>
        <w:tab w:val="center" w:pos="7000"/>
      </w:tabs>
      <w:wordWrap w:val="0"/>
      <w:spacing w:line="240" w:lineRule="atLeast"/>
      <w:jc w:val="left"/>
    </w:pPr>
    <w:rPr>
      <w:rFonts w:ascii="宋体" w:hAnsi="宋体"/>
      <w:sz w:val="18"/>
      <w:szCs w:val="18"/>
    </w:rPr>
  </w:style>
  <w:style w:type="paragraph" w:customStyle="1" w:styleId="27">
    <w:name w:val="※页脚（竖屏）"/>
    <w:basedOn w:val="1"/>
    <w:autoRedefine/>
    <w:qFormat/>
    <w:uiPriority w:val="0"/>
    <w:pPr>
      <w:widowControl/>
      <w:tabs>
        <w:tab w:val="center" w:pos="4536"/>
      </w:tabs>
      <w:wordWrap w:val="0"/>
      <w:spacing w:line="240" w:lineRule="atLeast"/>
      <w:jc w:val="left"/>
    </w:pPr>
    <w:rPr>
      <w:rFonts w:ascii="宋体" w:hAnsi="宋体"/>
      <w:sz w:val="18"/>
      <w:szCs w:val="18"/>
    </w:rPr>
  </w:style>
  <w:style w:type="paragraph" w:customStyle="1" w:styleId="28">
    <w:name w:val="※页眉"/>
    <w:basedOn w:val="22"/>
    <w:autoRedefine/>
    <w:qFormat/>
    <w:uiPriority w:val="0"/>
    <w:pPr>
      <w:pBdr>
        <w:bottom w:val="single" w:color="auto" w:sz="4" w:space="1"/>
      </w:pBdr>
      <w:spacing w:line="240" w:lineRule="atLeast"/>
      <w:jc w:val="right"/>
    </w:pPr>
    <w:rPr>
      <w:rFonts w:ascii="宋体" w:hAnsi="宋体" w:eastAsia="宋体"/>
      <w:sz w:val="18"/>
    </w:rPr>
  </w:style>
  <w:style w:type="paragraph" w:customStyle="1" w:styleId="29">
    <w:name w:val="※章节标题（第X章）"/>
    <w:basedOn w:val="1"/>
    <w:autoRedefine/>
    <w:qFormat/>
    <w:uiPriority w:val="0"/>
    <w:pPr>
      <w:widowControl/>
      <w:jc w:val="center"/>
      <w:outlineLvl w:val="0"/>
    </w:pPr>
    <w:rPr>
      <w:rFonts w:ascii="Calibri Light" w:hAnsi="Calibri Light" w:eastAsia="黑体"/>
      <w:sz w:val="36"/>
      <w:szCs w:val="28"/>
    </w:rPr>
  </w:style>
  <w:style w:type="paragraph" w:customStyle="1" w:styleId="30">
    <w:name w:val="※章节标题（第Y部分）"/>
    <w:basedOn w:val="1"/>
    <w:next w:val="1"/>
    <w:autoRedefine/>
    <w:qFormat/>
    <w:uiPriority w:val="0"/>
    <w:pPr>
      <w:widowControl/>
      <w:jc w:val="center"/>
      <w:outlineLvl w:val="1"/>
    </w:pPr>
    <w:rPr>
      <w:rFonts w:ascii="Calibri Light" w:hAnsi="Calibri Light" w:eastAsia="黑体"/>
      <w:color w:val="1F4E79" w:themeColor="accent1" w:themeShade="80"/>
      <w:sz w:val="32"/>
      <w:szCs w:val="36"/>
    </w:rPr>
  </w:style>
  <w:style w:type="paragraph" w:customStyle="1" w:styleId="31">
    <w:name w:val="※章节标题（第Z部分分项）"/>
    <w:basedOn w:val="30"/>
    <w:autoRedefine/>
    <w:qFormat/>
    <w:uiPriority w:val="0"/>
    <w:pPr>
      <w:outlineLvl w:val="2"/>
    </w:pPr>
  </w:style>
  <w:style w:type="paragraph" w:customStyle="1" w:styleId="32">
    <w:name w:val="※正文（落款）"/>
    <w:basedOn w:val="1"/>
    <w:autoRedefine/>
    <w:qFormat/>
    <w:uiPriority w:val="0"/>
    <w:pPr>
      <w:widowControl/>
      <w:tabs>
        <w:tab w:val="center" w:pos="6663"/>
      </w:tabs>
      <w:wordWrap w:val="0"/>
      <w:spacing w:line="240" w:lineRule="atLeast"/>
      <w:jc w:val="left"/>
    </w:pPr>
    <w:rPr>
      <w:rFonts w:ascii="Calibri Light" w:hAnsi="Calibri Light" w:eastAsia="华文仿宋"/>
      <w:sz w:val="28"/>
      <w:szCs w:val="28"/>
    </w:rPr>
  </w:style>
  <w:style w:type="paragraph" w:customStyle="1" w:styleId="33">
    <w:name w:val="※正文（缩进2）"/>
    <w:basedOn w:val="22"/>
    <w:autoRedefine/>
    <w:qFormat/>
    <w:uiPriority w:val="0"/>
    <w:pPr>
      <w:ind w:firstLine="200" w:firstLineChars="200"/>
    </w:pPr>
  </w:style>
  <w:style w:type="paragraph" w:customStyle="1" w:styleId="34">
    <w:name w:val="※正文（缩进4）"/>
    <w:basedOn w:val="22"/>
    <w:autoRedefine/>
    <w:qFormat/>
    <w:uiPriority w:val="0"/>
    <w:pPr>
      <w:ind w:firstLine="400" w:firstLineChars="400"/>
    </w:pPr>
  </w:style>
  <w:style w:type="paragraph" w:customStyle="1" w:styleId="35">
    <w:name w:val="样式"/>
    <w:link w:val="36"/>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6">
    <w:name w:val="样式 Char Char"/>
    <w:link w:val="35"/>
    <w:autoRedefine/>
    <w:qFormat/>
    <w:locked/>
    <w:uiPriority w:val="0"/>
    <w:rPr>
      <w:rFonts w:ascii="宋体" w:hAnsi="宋体" w:eastAsia="宋体" w:cs="宋体"/>
      <w:kern w:val="0"/>
      <w:sz w:val="24"/>
      <w:szCs w:val="24"/>
    </w:rPr>
  </w:style>
  <w:style w:type="character" w:customStyle="1" w:styleId="37">
    <w:name w:val="页眉 Char"/>
    <w:basedOn w:val="11"/>
    <w:link w:val="7"/>
    <w:autoRedefine/>
    <w:qFormat/>
    <w:uiPriority w:val="99"/>
    <w:rPr>
      <w:rFonts w:ascii="Calibri" w:hAnsi="Calibri" w:eastAsia="宋体" w:cs="Times New Roman"/>
      <w:sz w:val="18"/>
      <w:szCs w:val="18"/>
    </w:rPr>
  </w:style>
  <w:style w:type="character" w:customStyle="1" w:styleId="38">
    <w:name w:val="页脚 Char"/>
    <w:basedOn w:val="11"/>
    <w:link w:val="6"/>
    <w:autoRedefine/>
    <w:qFormat/>
    <w:uiPriority w:val="99"/>
    <w:rPr>
      <w:rFonts w:ascii="Calibri" w:hAnsi="Calibri" w:eastAsia="宋体" w:cs="Times New Roman"/>
      <w:sz w:val="18"/>
      <w:szCs w:val="18"/>
    </w:rPr>
  </w:style>
  <w:style w:type="character" w:customStyle="1" w:styleId="39">
    <w:name w:val="批注文字 Char"/>
    <w:basedOn w:val="11"/>
    <w:link w:val="4"/>
    <w:autoRedefine/>
    <w:semiHidden/>
    <w:qFormat/>
    <w:uiPriority w:val="99"/>
    <w:rPr>
      <w:rFonts w:ascii="Calibri" w:hAnsi="Calibri" w:eastAsia="宋体" w:cs="Times New Roman"/>
    </w:rPr>
  </w:style>
  <w:style w:type="character" w:customStyle="1" w:styleId="40">
    <w:name w:val="批注主题 Char"/>
    <w:basedOn w:val="39"/>
    <w:link w:val="9"/>
    <w:autoRedefine/>
    <w:semiHidden/>
    <w:qFormat/>
    <w:uiPriority w:val="99"/>
    <w:rPr>
      <w:rFonts w:ascii="Calibri" w:hAnsi="Calibri" w:eastAsia="宋体" w:cs="Times New Roman"/>
      <w:b/>
      <w:bCs/>
    </w:rPr>
  </w:style>
  <w:style w:type="character" w:customStyle="1" w:styleId="41">
    <w:name w:val="批注框文本 Char"/>
    <w:basedOn w:val="11"/>
    <w:link w:val="5"/>
    <w:autoRedefine/>
    <w:semiHidden/>
    <w:qFormat/>
    <w:uiPriority w:val="99"/>
    <w:rPr>
      <w:rFonts w:ascii="Calibri" w:hAnsi="Calibri" w:eastAsia="宋体" w:cs="Times New Roman"/>
      <w:sz w:val="18"/>
      <w:szCs w:val="18"/>
    </w:rPr>
  </w:style>
  <w:style w:type="paragraph" w:styleId="42">
    <w:name w:val="List Paragraph"/>
    <w:basedOn w:val="1"/>
    <w:autoRedefine/>
    <w:qFormat/>
    <w:uiPriority w:val="34"/>
    <w:pPr>
      <w:ind w:firstLine="420" w:firstLineChars="200"/>
    </w:pPr>
    <w:rPr>
      <w:rFonts w:asciiTheme="minorHAnsi" w:hAnsiTheme="minorHAnsi" w:eastAsiaTheme="minorEastAsia" w:cstheme="minorBidi"/>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font41"/>
    <w:autoRedefine/>
    <w:qFormat/>
    <w:uiPriority w:val="0"/>
    <w:rPr>
      <w:rFonts w:hint="default" w:ascii="仿宋_GB2312" w:eastAsia="仿宋_GB2312" w:cs="仿宋_GB2312"/>
      <w:color w:val="000000"/>
      <w:sz w:val="21"/>
      <w:szCs w:val="21"/>
      <w:u w:val="none"/>
    </w:rPr>
  </w:style>
  <w:style w:type="character" w:customStyle="1" w:styleId="45">
    <w:name w:val="font31"/>
    <w:autoRedefine/>
    <w:qFormat/>
    <w:uiPriority w:val="0"/>
    <w:rPr>
      <w:rFonts w:ascii="宋体" w:hAnsi="宋体" w:eastAsia="宋体" w:cs="宋体"/>
      <w:color w:val="000000"/>
      <w:sz w:val="21"/>
      <w:szCs w:val="21"/>
      <w:u w:val="none"/>
    </w:rPr>
  </w:style>
  <w:style w:type="paragraph" w:customStyle="1" w:styleId="46">
    <w:name w:val="样式 首行缩进:  2 字符"/>
    <w:basedOn w:val="1"/>
    <w:autoRedefine/>
    <w:qFormat/>
    <w:uiPriority w:val="0"/>
    <w:pPr>
      <w:ind w:firstLine="420" w:firstLineChars="200"/>
    </w:pPr>
    <w:rPr>
      <w:rFonts w:cs="宋体"/>
      <w:szCs w:val="20"/>
    </w:rPr>
  </w:style>
  <w:style w:type="paragraph" w:customStyle="1" w:styleId="47">
    <w:name w:val="cucd-TB"/>
    <w:autoRedefine/>
    <w:qFormat/>
    <w:uiPriority w:val="0"/>
    <w:pPr>
      <w:spacing w:line="360" w:lineRule="auto"/>
      <w:jc w:val="center"/>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2569</Words>
  <Characters>2747</Characters>
  <Lines>20</Lines>
  <Paragraphs>5</Paragraphs>
  <TotalTime>3</TotalTime>
  <ScaleCrop>false</ScaleCrop>
  <LinksUpToDate>false</LinksUpToDate>
  <CharactersWithSpaces>2827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2021-03-19T04:47:00Z</dcterms:created>
  <cp:lastPrinted>2021-03-24T02:37:00Z</cp:lastPrinted>
  <dcterms:modified xsi:type="dcterms:W3CDTF">2025-04-14T08:21:09Z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9A679D8341A74652B0236749F77CBD4E_13</vt:lpwstr>
  </property>
  <property fmtid="{D5CDD505-2E9C-101B-9397-08002B2CF9AE}" pid="4" name="KSOTemplateDocerSaveRecord">
    <vt:lpwstr>eyJoZGlkIjoiNjNkNDg3OTA4NWU2OGUyYmUwMWM4NTZiMjNmMjg3MWMiLCJ1c2VySWQiOiIxNjI2NTk1MzY4In0=</vt:lpwstr>
  </property>
</Properties>
</file>