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5796D">
      <w:pPr>
        <w:pStyle w:val="6"/>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采购需求</w:t>
      </w:r>
    </w:p>
    <w:p w14:paraId="2E5B1825">
      <w:pPr>
        <w:pStyle w:val="6"/>
        <w:ind w:firstLine="480"/>
        <w:rPr>
          <w:color w:val="auto"/>
        </w:rPr>
      </w:pPr>
      <w:r>
        <w:rPr>
          <w:color w:val="auto"/>
        </w:rPr>
        <w:t>（注：当采购包的评标方法为综合评分法时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67240FA9">
      <w:pPr>
        <w:pStyle w:val="6"/>
        <w:ind w:firstLine="480"/>
        <w:rPr>
          <w:color w:val="auto"/>
        </w:rPr>
      </w:pPr>
      <w:r>
        <w:rPr>
          <w:color w:val="auto"/>
        </w:rPr>
        <w:t xml:space="preserve"> （注：当采购包的评标方法为最低评标价法时带“★”的参数需求为实质性要求，供应商必须响应并满足的参数需求，采购人、采购代理机构应当根据项目实际需求合理设定，并明确具体要求。）</w:t>
      </w:r>
    </w:p>
    <w:p w14:paraId="21811B02">
      <w:pPr>
        <w:pStyle w:val="6"/>
        <w:outlineLvl w:val="2"/>
        <w:rPr>
          <w:color w:val="auto"/>
        </w:rPr>
      </w:pPr>
      <w:r>
        <w:rPr>
          <w:b/>
          <w:color w:val="auto"/>
          <w:sz w:val="28"/>
        </w:rPr>
        <w:t>3.1采购项目概况</w:t>
      </w:r>
    </w:p>
    <w:p w14:paraId="72457315">
      <w:pPr>
        <w:pStyle w:val="6"/>
        <w:ind w:firstLine="480"/>
        <w:rPr>
          <w:color w:val="auto"/>
        </w:rPr>
      </w:pPr>
      <w:r>
        <w:rPr>
          <w:rFonts w:hint="eastAsia"/>
          <w:color w:val="auto"/>
        </w:rPr>
        <w:t>本项目为西安市含光中学初中理化生学业水平考试智能考评系统建设项目，具体内容详见第三章技术要求</w:t>
      </w:r>
      <w:r>
        <w:rPr>
          <w:color w:val="auto"/>
        </w:rPr>
        <w:t>。</w:t>
      </w:r>
    </w:p>
    <w:p w14:paraId="1D072626">
      <w:pPr>
        <w:pStyle w:val="6"/>
        <w:outlineLvl w:val="2"/>
        <w:rPr>
          <w:color w:val="auto"/>
        </w:rPr>
      </w:pPr>
      <w:r>
        <w:rPr>
          <w:b/>
          <w:color w:val="auto"/>
          <w:sz w:val="28"/>
        </w:rPr>
        <w:t>3.2采购内容</w:t>
      </w:r>
    </w:p>
    <w:p w14:paraId="05C87A1D">
      <w:pPr>
        <w:pStyle w:val="6"/>
        <w:rPr>
          <w:color w:val="auto"/>
        </w:rPr>
      </w:pPr>
      <w:r>
        <w:rPr>
          <w:color w:val="auto"/>
        </w:rPr>
        <w:t>采购包1：</w:t>
      </w:r>
    </w:p>
    <w:p w14:paraId="43B28615">
      <w:pPr>
        <w:pStyle w:val="6"/>
        <w:rPr>
          <w:color w:val="auto"/>
        </w:rPr>
      </w:pPr>
      <w:r>
        <w:rPr>
          <w:color w:val="auto"/>
        </w:rPr>
        <w:t xml:space="preserve">采购包预算金额（元）: </w:t>
      </w:r>
      <w:r>
        <w:rPr>
          <w:rFonts w:hint="eastAsia"/>
          <w:color w:val="auto"/>
        </w:rPr>
        <w:t>1600000.00</w:t>
      </w:r>
    </w:p>
    <w:p w14:paraId="1370863D">
      <w:pPr>
        <w:pStyle w:val="6"/>
        <w:rPr>
          <w:color w:val="auto"/>
        </w:rPr>
      </w:pPr>
      <w:r>
        <w:rPr>
          <w:color w:val="auto"/>
        </w:rPr>
        <w:t xml:space="preserve">采购包最高限价（元）: </w:t>
      </w:r>
      <w:r>
        <w:rPr>
          <w:rFonts w:hint="eastAsia"/>
          <w:color w:val="auto"/>
        </w:rPr>
        <w:t>1600000.00</w:t>
      </w:r>
    </w:p>
    <w:p w14:paraId="4A260FB7">
      <w:pPr>
        <w:pStyle w:val="6"/>
        <w:rPr>
          <w:color w:val="auto"/>
        </w:rPr>
      </w:pPr>
      <w:r>
        <w:rPr>
          <w:color w:val="auto"/>
        </w:rPr>
        <w:t>供应商报价不允许超过标的金额</w:t>
      </w:r>
    </w:p>
    <w:p w14:paraId="76F5DF3D">
      <w:pPr>
        <w:pStyle w:val="6"/>
        <w:rPr>
          <w:color w:val="auto"/>
        </w:rPr>
      </w:pPr>
      <w:r>
        <w:rPr>
          <w:color w:val="auto"/>
        </w:rPr>
        <w:t>（招单价的）供应商报价不允许超过标的单价</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7"/>
        <w:gridCol w:w="1179"/>
        <w:gridCol w:w="790"/>
        <w:gridCol w:w="1179"/>
        <w:gridCol w:w="767"/>
        <w:gridCol w:w="768"/>
        <w:gridCol w:w="768"/>
        <w:gridCol w:w="768"/>
        <w:gridCol w:w="768"/>
        <w:gridCol w:w="768"/>
      </w:tblGrid>
      <w:tr w14:paraId="7E14D5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AF27910">
            <w:pPr>
              <w:pStyle w:val="6"/>
              <w:rPr>
                <w:color w:val="auto"/>
              </w:rPr>
            </w:pPr>
            <w:r>
              <w:rPr>
                <w:color w:val="auto"/>
              </w:rPr>
              <w:t>序号</w:t>
            </w:r>
          </w:p>
        </w:tc>
        <w:tc>
          <w:tcPr>
            <w:tcW w:w="831" w:type="dxa"/>
          </w:tcPr>
          <w:p w14:paraId="15EEA34A">
            <w:pPr>
              <w:pStyle w:val="6"/>
              <w:rPr>
                <w:color w:val="auto"/>
              </w:rPr>
            </w:pPr>
            <w:r>
              <w:rPr>
                <w:color w:val="auto"/>
              </w:rPr>
              <w:t>标的名称</w:t>
            </w:r>
          </w:p>
        </w:tc>
        <w:tc>
          <w:tcPr>
            <w:tcW w:w="831" w:type="dxa"/>
          </w:tcPr>
          <w:p w14:paraId="27FE382F">
            <w:pPr>
              <w:pStyle w:val="6"/>
              <w:rPr>
                <w:color w:val="auto"/>
              </w:rPr>
            </w:pPr>
            <w:r>
              <w:rPr>
                <w:color w:val="auto"/>
              </w:rPr>
              <w:t>数量</w:t>
            </w:r>
          </w:p>
        </w:tc>
        <w:tc>
          <w:tcPr>
            <w:tcW w:w="831" w:type="dxa"/>
          </w:tcPr>
          <w:p w14:paraId="24BC3351">
            <w:pPr>
              <w:pStyle w:val="6"/>
              <w:rPr>
                <w:color w:val="auto"/>
              </w:rPr>
            </w:pPr>
            <w:r>
              <w:rPr>
                <w:color w:val="auto"/>
              </w:rPr>
              <w:t>标的金额 （元）</w:t>
            </w:r>
          </w:p>
        </w:tc>
        <w:tc>
          <w:tcPr>
            <w:tcW w:w="831" w:type="dxa"/>
          </w:tcPr>
          <w:p w14:paraId="0014654A">
            <w:pPr>
              <w:pStyle w:val="6"/>
              <w:rPr>
                <w:color w:val="auto"/>
              </w:rPr>
            </w:pPr>
            <w:r>
              <w:rPr>
                <w:color w:val="auto"/>
              </w:rPr>
              <w:t>计量单位</w:t>
            </w:r>
          </w:p>
        </w:tc>
        <w:tc>
          <w:tcPr>
            <w:tcW w:w="831" w:type="dxa"/>
          </w:tcPr>
          <w:p w14:paraId="435EEEAD">
            <w:pPr>
              <w:pStyle w:val="6"/>
              <w:rPr>
                <w:color w:val="auto"/>
              </w:rPr>
            </w:pPr>
            <w:r>
              <w:rPr>
                <w:color w:val="auto"/>
              </w:rPr>
              <w:t>所属行业</w:t>
            </w:r>
          </w:p>
        </w:tc>
        <w:tc>
          <w:tcPr>
            <w:tcW w:w="831" w:type="dxa"/>
          </w:tcPr>
          <w:p w14:paraId="1F605C6E">
            <w:pPr>
              <w:pStyle w:val="6"/>
              <w:rPr>
                <w:color w:val="auto"/>
              </w:rPr>
            </w:pPr>
            <w:r>
              <w:rPr>
                <w:color w:val="auto"/>
              </w:rPr>
              <w:t>是否核心产品</w:t>
            </w:r>
          </w:p>
        </w:tc>
        <w:tc>
          <w:tcPr>
            <w:tcW w:w="831" w:type="dxa"/>
          </w:tcPr>
          <w:p w14:paraId="4068FFD9">
            <w:pPr>
              <w:pStyle w:val="6"/>
              <w:rPr>
                <w:color w:val="auto"/>
              </w:rPr>
            </w:pPr>
            <w:r>
              <w:rPr>
                <w:color w:val="auto"/>
              </w:rPr>
              <w:t>是否允许进口产品</w:t>
            </w:r>
          </w:p>
        </w:tc>
        <w:tc>
          <w:tcPr>
            <w:tcW w:w="831" w:type="dxa"/>
          </w:tcPr>
          <w:p w14:paraId="5EDD3C80">
            <w:pPr>
              <w:pStyle w:val="6"/>
              <w:rPr>
                <w:color w:val="auto"/>
                <w:highlight w:val="none"/>
              </w:rPr>
            </w:pPr>
            <w:r>
              <w:rPr>
                <w:color w:val="auto"/>
                <w:highlight w:val="none"/>
              </w:rPr>
              <w:t>是否属于节能产品</w:t>
            </w:r>
          </w:p>
        </w:tc>
        <w:tc>
          <w:tcPr>
            <w:tcW w:w="831" w:type="dxa"/>
          </w:tcPr>
          <w:p w14:paraId="5CEF5C47">
            <w:pPr>
              <w:pStyle w:val="6"/>
              <w:rPr>
                <w:color w:val="auto"/>
                <w:highlight w:val="none"/>
              </w:rPr>
            </w:pPr>
            <w:r>
              <w:rPr>
                <w:color w:val="auto"/>
                <w:highlight w:val="none"/>
              </w:rPr>
              <w:t>是否属于环境标志产品</w:t>
            </w:r>
          </w:p>
        </w:tc>
      </w:tr>
      <w:tr w14:paraId="18801B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31" w:type="dxa"/>
          </w:tcPr>
          <w:p w14:paraId="3FC7EB29">
            <w:pPr>
              <w:pStyle w:val="6"/>
              <w:rPr>
                <w:color w:val="auto"/>
              </w:rPr>
            </w:pPr>
            <w:r>
              <w:rPr>
                <w:color w:val="auto"/>
              </w:rPr>
              <w:t>1</w:t>
            </w:r>
          </w:p>
        </w:tc>
        <w:tc>
          <w:tcPr>
            <w:tcW w:w="831" w:type="dxa"/>
          </w:tcPr>
          <w:p w14:paraId="4036D4E7">
            <w:pPr>
              <w:pStyle w:val="6"/>
              <w:rPr>
                <w:color w:val="auto"/>
              </w:rPr>
            </w:pPr>
            <w:r>
              <w:rPr>
                <w:rFonts w:hint="eastAsia"/>
                <w:color w:val="auto"/>
              </w:rPr>
              <w:t>1600000.00</w:t>
            </w:r>
          </w:p>
        </w:tc>
        <w:tc>
          <w:tcPr>
            <w:tcW w:w="831" w:type="dxa"/>
          </w:tcPr>
          <w:p w14:paraId="06A292FD">
            <w:pPr>
              <w:pStyle w:val="6"/>
              <w:jc w:val="right"/>
              <w:rPr>
                <w:color w:val="auto"/>
              </w:rPr>
            </w:pPr>
            <w:r>
              <w:rPr>
                <w:color w:val="auto"/>
              </w:rPr>
              <w:t>1.00</w:t>
            </w:r>
          </w:p>
        </w:tc>
        <w:tc>
          <w:tcPr>
            <w:tcW w:w="831" w:type="dxa"/>
          </w:tcPr>
          <w:p w14:paraId="3030E6C0">
            <w:pPr>
              <w:pStyle w:val="6"/>
              <w:jc w:val="right"/>
              <w:rPr>
                <w:color w:val="auto"/>
              </w:rPr>
            </w:pPr>
            <w:r>
              <w:rPr>
                <w:rFonts w:hint="eastAsia"/>
                <w:color w:val="auto"/>
              </w:rPr>
              <w:t>1600000.00</w:t>
            </w:r>
          </w:p>
        </w:tc>
        <w:tc>
          <w:tcPr>
            <w:tcW w:w="831" w:type="dxa"/>
          </w:tcPr>
          <w:p w14:paraId="0B71B77A">
            <w:pPr>
              <w:pStyle w:val="6"/>
              <w:rPr>
                <w:color w:val="auto"/>
              </w:rPr>
            </w:pPr>
            <w:r>
              <w:rPr>
                <w:color w:val="auto"/>
              </w:rPr>
              <w:t>项</w:t>
            </w:r>
          </w:p>
        </w:tc>
        <w:tc>
          <w:tcPr>
            <w:tcW w:w="831" w:type="dxa"/>
          </w:tcPr>
          <w:p w14:paraId="443766ED">
            <w:pPr>
              <w:pStyle w:val="6"/>
              <w:rPr>
                <w:color w:val="auto"/>
              </w:rPr>
            </w:pPr>
            <w:r>
              <w:rPr>
                <w:color w:val="auto"/>
              </w:rPr>
              <w:t>工业</w:t>
            </w:r>
          </w:p>
        </w:tc>
        <w:tc>
          <w:tcPr>
            <w:tcW w:w="831" w:type="dxa"/>
          </w:tcPr>
          <w:p w14:paraId="4FE0556F">
            <w:pPr>
              <w:pStyle w:val="6"/>
              <w:rPr>
                <w:color w:val="auto"/>
              </w:rPr>
            </w:pPr>
            <w:r>
              <w:rPr>
                <w:color w:val="auto"/>
              </w:rPr>
              <w:t>是</w:t>
            </w:r>
          </w:p>
        </w:tc>
        <w:tc>
          <w:tcPr>
            <w:tcW w:w="831" w:type="dxa"/>
          </w:tcPr>
          <w:p w14:paraId="159D0DD2">
            <w:pPr>
              <w:pStyle w:val="6"/>
              <w:rPr>
                <w:color w:val="auto"/>
              </w:rPr>
            </w:pPr>
            <w:r>
              <w:rPr>
                <w:color w:val="auto"/>
              </w:rPr>
              <w:t>否</w:t>
            </w:r>
          </w:p>
        </w:tc>
        <w:tc>
          <w:tcPr>
            <w:tcW w:w="831" w:type="dxa"/>
          </w:tcPr>
          <w:p w14:paraId="775B9ABF">
            <w:pPr>
              <w:pStyle w:val="6"/>
              <w:rPr>
                <w:color w:val="auto"/>
              </w:rPr>
            </w:pPr>
            <w:r>
              <w:rPr>
                <w:color w:val="auto"/>
              </w:rPr>
              <w:t>是</w:t>
            </w:r>
          </w:p>
        </w:tc>
        <w:tc>
          <w:tcPr>
            <w:tcW w:w="831" w:type="dxa"/>
          </w:tcPr>
          <w:p w14:paraId="52C4DC17">
            <w:pPr>
              <w:pStyle w:val="6"/>
              <w:rPr>
                <w:color w:val="auto"/>
              </w:rPr>
            </w:pPr>
            <w:r>
              <w:rPr>
                <w:color w:val="auto"/>
              </w:rPr>
              <w:t>是</w:t>
            </w:r>
          </w:p>
        </w:tc>
      </w:tr>
    </w:tbl>
    <w:p w14:paraId="5822D7DB">
      <w:pPr>
        <w:pStyle w:val="6"/>
        <w:outlineLvl w:val="2"/>
        <w:rPr>
          <w:color w:val="auto"/>
        </w:rPr>
      </w:pPr>
      <w:r>
        <w:rPr>
          <w:b/>
          <w:color w:val="auto"/>
          <w:sz w:val="28"/>
        </w:rPr>
        <w:t>3.3技术要求</w:t>
      </w:r>
    </w:p>
    <w:p w14:paraId="31CBAF29">
      <w:pPr>
        <w:pStyle w:val="6"/>
        <w:rPr>
          <w:color w:val="auto"/>
        </w:rPr>
      </w:pPr>
      <w:r>
        <w:rPr>
          <w:color w:val="auto"/>
        </w:rPr>
        <w:t>采购包1：</w:t>
      </w:r>
    </w:p>
    <w:p w14:paraId="1AEA3B72">
      <w:pPr>
        <w:pStyle w:val="6"/>
        <w:rPr>
          <w:color w:val="auto"/>
        </w:rPr>
      </w:pPr>
      <w:r>
        <w:rPr>
          <w:color w:val="auto"/>
        </w:rPr>
        <w:t>供应商报价不允许超过标的金额</w:t>
      </w:r>
    </w:p>
    <w:p w14:paraId="7831E969">
      <w:pPr>
        <w:pStyle w:val="6"/>
        <w:rPr>
          <w:color w:val="auto"/>
        </w:rPr>
      </w:pPr>
      <w:r>
        <w:rPr>
          <w:color w:val="auto"/>
        </w:rPr>
        <w:t>（招单价的）供应商报价不允许超过标的单价</w:t>
      </w:r>
    </w:p>
    <w:p w14:paraId="41A7F55A">
      <w:pPr>
        <w:pStyle w:val="6"/>
        <w:rPr>
          <w:color w:val="auto"/>
        </w:rPr>
      </w:pPr>
      <w:r>
        <w:rPr>
          <w:color w:val="auto"/>
        </w:rPr>
        <w:t>标的名称：</w:t>
      </w:r>
      <w:r>
        <w:rPr>
          <w:rFonts w:hint="eastAsia"/>
          <w:color w:val="auto"/>
        </w:rPr>
        <w:t>初中理化生学业水平考试智能考评系统建设项目</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61"/>
        <w:gridCol w:w="455"/>
        <w:gridCol w:w="7606"/>
      </w:tblGrid>
      <w:tr w14:paraId="716F1B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tcPr>
          <w:p w14:paraId="0A6E00E1">
            <w:pPr>
              <w:pStyle w:val="6"/>
              <w:rPr>
                <w:color w:val="auto"/>
              </w:rPr>
            </w:pPr>
            <w:r>
              <w:rPr>
                <w:color w:val="auto"/>
              </w:rPr>
              <w:t xml:space="preserve"> 参数性质</w:t>
            </w:r>
          </w:p>
        </w:tc>
        <w:tc>
          <w:tcPr>
            <w:tcW w:w="733" w:type="dxa"/>
          </w:tcPr>
          <w:p w14:paraId="341538AE">
            <w:pPr>
              <w:pStyle w:val="6"/>
              <w:rPr>
                <w:color w:val="auto"/>
              </w:rPr>
            </w:pPr>
            <w:r>
              <w:rPr>
                <w:color w:val="auto"/>
              </w:rPr>
              <w:t xml:space="preserve"> 序号</w:t>
            </w:r>
          </w:p>
        </w:tc>
        <w:tc>
          <w:tcPr>
            <w:tcW w:w="7000" w:type="dxa"/>
          </w:tcPr>
          <w:p w14:paraId="16F2E388">
            <w:pPr>
              <w:pStyle w:val="6"/>
              <w:rPr>
                <w:color w:val="auto"/>
              </w:rPr>
            </w:pPr>
            <w:r>
              <w:rPr>
                <w:color w:val="auto"/>
              </w:rPr>
              <w:t xml:space="preserve"> 技术参数与性能指标</w:t>
            </w:r>
          </w:p>
        </w:tc>
      </w:tr>
      <w:tr w14:paraId="1BE31A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tcPr>
          <w:p w14:paraId="492EA68E">
            <w:pPr>
              <w:pStyle w:val="6"/>
              <w:rPr>
                <w:color w:val="auto"/>
              </w:rPr>
            </w:pPr>
          </w:p>
        </w:tc>
        <w:tc>
          <w:tcPr>
            <w:tcW w:w="733" w:type="dxa"/>
          </w:tcPr>
          <w:p w14:paraId="55F78E4E">
            <w:pPr>
              <w:pStyle w:val="6"/>
              <w:rPr>
                <w:color w:val="auto"/>
                <w:highlight w:val="none"/>
              </w:rPr>
            </w:pPr>
            <w:r>
              <w:rPr>
                <w:color w:val="auto"/>
                <w:highlight w:val="none"/>
              </w:rPr>
              <w:t>1</w:t>
            </w:r>
          </w:p>
        </w:tc>
        <w:tc>
          <w:tcPr>
            <w:tcW w:w="7000" w:type="dxa"/>
          </w:tcPr>
          <w:p w14:paraId="477530A1">
            <w:pPr>
              <w:pStyle w:val="6"/>
              <w:jc w:val="both"/>
              <w:rPr>
                <w:color w:val="auto"/>
                <w:sz w:val="20"/>
                <w:szCs w:val="20"/>
                <w:highlight w:val="none"/>
              </w:rPr>
            </w:pPr>
            <w:r>
              <w:rPr>
                <w:rFonts w:ascii="宋体" w:hAnsi="宋体" w:eastAsia="宋体" w:cs="宋体"/>
                <w:b/>
                <w:color w:val="auto"/>
                <w:sz w:val="20"/>
                <w:szCs w:val="20"/>
                <w:highlight w:val="none"/>
              </w:rPr>
              <w:t>一、项目概况</w:t>
            </w:r>
          </w:p>
          <w:p w14:paraId="71DDB79F">
            <w:pPr>
              <w:pStyle w:val="6"/>
              <w:ind w:firstLine="400"/>
              <w:rPr>
                <w:color w:val="auto"/>
                <w:sz w:val="20"/>
                <w:szCs w:val="20"/>
                <w:highlight w:val="none"/>
              </w:rPr>
            </w:pPr>
            <w:r>
              <w:rPr>
                <w:rFonts w:hint="eastAsia"/>
                <w:color w:val="auto"/>
                <w:sz w:val="20"/>
                <w:szCs w:val="20"/>
                <w:highlight w:val="none"/>
              </w:rPr>
              <w:t>本项目为西安市含光中学初中理化生学业水平考试智能考评系统建设项目，具体内容详见第三章技术要求</w:t>
            </w:r>
            <w:r>
              <w:rPr>
                <w:rFonts w:ascii="宋体" w:hAnsi="宋体" w:eastAsia="宋体" w:cs="宋体"/>
                <w:color w:val="auto"/>
                <w:sz w:val="20"/>
                <w:szCs w:val="20"/>
                <w:highlight w:val="none"/>
              </w:rPr>
              <w:t>。</w:t>
            </w:r>
          </w:p>
          <w:p w14:paraId="563591D7">
            <w:pPr>
              <w:pStyle w:val="6"/>
              <w:ind w:firstLine="400"/>
              <w:jc w:val="both"/>
              <w:rPr>
                <w:color w:val="auto"/>
                <w:sz w:val="20"/>
                <w:szCs w:val="20"/>
                <w:highlight w:val="none"/>
              </w:rPr>
            </w:pPr>
            <w:r>
              <w:rPr>
                <w:rFonts w:ascii="宋体" w:hAnsi="宋体" w:eastAsia="宋体" w:cs="宋体"/>
                <w:color w:val="auto"/>
                <w:sz w:val="20"/>
                <w:szCs w:val="20"/>
                <w:highlight w:val="none"/>
              </w:rPr>
              <w:t>本项目行业属性为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0A53AEF">
            <w:pPr>
              <w:pStyle w:val="6"/>
              <w:jc w:val="both"/>
              <w:rPr>
                <w:color w:val="auto"/>
                <w:sz w:val="20"/>
                <w:szCs w:val="20"/>
                <w:highlight w:val="none"/>
              </w:rPr>
            </w:pPr>
            <w:r>
              <w:rPr>
                <w:rFonts w:ascii="宋体" w:hAnsi="宋体" w:eastAsia="宋体" w:cs="宋体"/>
                <w:b/>
                <w:color w:val="auto"/>
                <w:sz w:val="20"/>
                <w:szCs w:val="20"/>
                <w:highlight w:val="none"/>
              </w:rPr>
              <w:t>二、采购内容</w:t>
            </w:r>
          </w:p>
          <w:p w14:paraId="032ECC5C">
            <w:pPr>
              <w:pStyle w:val="6"/>
              <w:ind w:firstLine="400"/>
              <w:jc w:val="both"/>
              <w:rPr>
                <w:color w:val="auto"/>
                <w:sz w:val="20"/>
                <w:szCs w:val="20"/>
                <w:highlight w:val="none"/>
              </w:rPr>
            </w:pPr>
            <w:r>
              <w:rPr>
                <w:rFonts w:ascii="宋体" w:hAnsi="宋体" w:eastAsia="宋体" w:cs="宋体"/>
                <w:color w:val="auto"/>
                <w:sz w:val="20"/>
                <w:szCs w:val="20"/>
                <w:highlight w:val="none"/>
              </w:rPr>
              <w:t>详见附表：货物技术要求一览表</w:t>
            </w:r>
          </w:p>
          <w:p w14:paraId="14B0587B">
            <w:pPr>
              <w:pStyle w:val="6"/>
              <w:spacing w:after="120"/>
              <w:jc w:val="both"/>
              <w:rPr>
                <w:color w:val="auto"/>
                <w:sz w:val="20"/>
                <w:szCs w:val="20"/>
                <w:highlight w:val="none"/>
              </w:rPr>
            </w:pPr>
            <w:r>
              <w:rPr>
                <w:rFonts w:ascii="宋体" w:hAnsi="宋体" w:eastAsia="宋体" w:cs="宋体"/>
                <w:b/>
                <w:color w:val="auto"/>
                <w:sz w:val="20"/>
                <w:szCs w:val="20"/>
                <w:highlight w:val="none"/>
              </w:rPr>
              <w:t>三、技术要求</w:t>
            </w:r>
          </w:p>
          <w:p w14:paraId="22C8148C">
            <w:pPr>
              <w:pStyle w:val="6"/>
              <w:ind w:firstLine="402"/>
              <w:jc w:val="left"/>
              <w:rPr>
                <w:color w:val="auto"/>
                <w:sz w:val="20"/>
                <w:szCs w:val="20"/>
                <w:highlight w:val="none"/>
              </w:rPr>
            </w:pPr>
            <w:r>
              <w:rPr>
                <w:rFonts w:ascii="宋体" w:hAnsi="宋体" w:eastAsia="宋体" w:cs="宋体"/>
                <w:b/>
                <w:color w:val="auto"/>
                <w:sz w:val="20"/>
                <w:szCs w:val="20"/>
                <w:highlight w:val="none"/>
              </w:rPr>
              <w:t>1、带有</w:t>
            </w:r>
            <w:r>
              <w:rPr>
                <w:rFonts w:ascii="Calibri" w:hAnsi="Calibri" w:eastAsia="Calibri" w:cs="Calibri"/>
                <w:color w:val="auto"/>
                <w:sz w:val="20"/>
                <w:szCs w:val="20"/>
                <w:highlight w:val="none"/>
              </w:rPr>
              <w:t>▲</w:t>
            </w:r>
            <w:r>
              <w:rPr>
                <w:rFonts w:ascii="宋体" w:hAnsi="宋体" w:eastAsia="宋体" w:cs="宋体"/>
                <w:b/>
                <w:color w:val="auto"/>
                <w:sz w:val="20"/>
                <w:szCs w:val="20"/>
                <w:highlight w:val="none"/>
              </w:rPr>
              <w:t>号的技术参数需提供：相应的功能证明材料（包括但不限于测试报告、官网和功能截图等）</w:t>
            </w:r>
          </w:p>
          <w:p w14:paraId="385D37AD">
            <w:pPr>
              <w:pStyle w:val="6"/>
              <w:ind w:firstLine="402"/>
              <w:jc w:val="both"/>
              <w:rPr>
                <w:rFonts w:hint="eastAsia" w:ascii="宋体" w:hAnsi="宋体" w:eastAsia="宋体" w:cs="宋体"/>
                <w:b/>
                <w:color w:val="auto"/>
                <w:sz w:val="20"/>
                <w:szCs w:val="20"/>
                <w:highlight w:val="none"/>
                <w:u w:val="single"/>
                <w:lang w:val="en-US" w:eastAsia="zh-CN"/>
              </w:rPr>
            </w:pPr>
            <w:r>
              <w:rPr>
                <w:rFonts w:ascii="宋体" w:hAnsi="宋体" w:eastAsia="宋体" w:cs="宋体"/>
                <w:b/>
                <w:color w:val="auto"/>
                <w:sz w:val="20"/>
                <w:szCs w:val="20"/>
                <w:highlight w:val="none"/>
              </w:rPr>
              <w:t>2、核心产品名称：</w:t>
            </w:r>
            <w:r>
              <w:rPr>
                <w:rFonts w:ascii="宋体" w:hAnsi="宋体" w:eastAsia="宋体" w:cs="宋体"/>
                <w:b/>
                <w:color w:val="auto"/>
                <w:sz w:val="20"/>
                <w:szCs w:val="20"/>
                <w:highlight w:val="none"/>
                <w:u w:val="single"/>
              </w:rPr>
              <w:t xml:space="preserve"> </w:t>
            </w:r>
            <w:r>
              <w:rPr>
                <w:rFonts w:hint="eastAsia" w:ascii="宋体" w:hAnsi="宋体" w:eastAsia="宋体" w:cs="宋体"/>
                <w:b/>
                <w:color w:val="auto"/>
                <w:sz w:val="20"/>
                <w:szCs w:val="20"/>
                <w:highlight w:val="none"/>
                <w:u w:val="single"/>
                <w:lang w:val="en-US" w:eastAsia="zh-CN"/>
              </w:rPr>
              <w:t xml:space="preserve"> 便携式考试终端   </w:t>
            </w:r>
          </w:p>
          <w:p w14:paraId="0C9860CB">
            <w:pPr>
              <w:pStyle w:val="6"/>
              <w:ind w:firstLine="402"/>
              <w:jc w:val="both"/>
              <w:rPr>
                <w:color w:val="auto"/>
                <w:sz w:val="20"/>
                <w:szCs w:val="20"/>
                <w:highlight w:val="none"/>
              </w:rPr>
            </w:pPr>
            <w:r>
              <w:rPr>
                <w:rFonts w:ascii="宋体" w:hAnsi="宋体" w:eastAsia="宋体" w:cs="宋体"/>
                <w:b/>
                <w:color w:val="auto"/>
                <w:sz w:val="20"/>
                <w:szCs w:val="20"/>
                <w:highlight w:val="none"/>
              </w:rPr>
              <w:t>3、下列产品为强制采购的节能产品：</w:t>
            </w:r>
            <w:r>
              <w:rPr>
                <w:rFonts w:hint="eastAsia" w:ascii="宋体" w:hAnsi="宋体" w:eastAsia="宋体" w:cs="宋体"/>
                <w:b/>
                <w:color w:val="auto"/>
                <w:sz w:val="20"/>
                <w:szCs w:val="20"/>
                <w:highlight w:val="none"/>
                <w:u w:val="single"/>
                <w:lang w:val="en-US" w:eastAsia="zh-CN"/>
              </w:rPr>
              <w:t xml:space="preserve"> 计算机</w:t>
            </w:r>
            <w:r>
              <w:rPr>
                <w:b/>
                <w:color w:val="auto"/>
                <w:sz w:val="20"/>
                <w:szCs w:val="20"/>
                <w:highlight w:val="none"/>
                <w:u w:val="single"/>
              </w:rPr>
              <w:t xml:space="preserve"> </w:t>
            </w:r>
          </w:p>
          <w:p w14:paraId="40147F58">
            <w:pPr>
              <w:pStyle w:val="6"/>
              <w:ind w:firstLine="402"/>
              <w:jc w:val="both"/>
              <w:rPr>
                <w:color w:val="auto"/>
                <w:sz w:val="20"/>
                <w:szCs w:val="20"/>
                <w:highlight w:val="none"/>
              </w:rPr>
            </w:pPr>
            <w:r>
              <w:rPr>
                <w:rFonts w:ascii="宋体" w:hAnsi="宋体" w:eastAsia="宋体" w:cs="宋体"/>
                <w:b/>
                <w:color w:val="auto"/>
                <w:sz w:val="20"/>
                <w:szCs w:val="20"/>
                <w:highlight w:val="none"/>
              </w:rPr>
              <w:t>4、货物技术要求一览表（详见附表）</w:t>
            </w:r>
          </w:p>
          <w:p w14:paraId="248F0018">
            <w:pPr>
              <w:pStyle w:val="6"/>
              <w:ind w:firstLine="402"/>
              <w:jc w:val="both"/>
              <w:rPr>
                <w:color w:val="auto"/>
                <w:sz w:val="20"/>
                <w:szCs w:val="20"/>
                <w:highlight w:val="none"/>
              </w:rPr>
            </w:pPr>
            <w:r>
              <w:rPr>
                <w:rFonts w:ascii="宋体" w:hAnsi="宋体" w:eastAsia="宋体" w:cs="宋体"/>
                <w:b/>
                <w:color w:val="auto"/>
                <w:sz w:val="20"/>
                <w:szCs w:val="20"/>
                <w:highlight w:val="none"/>
              </w:rPr>
              <w:t>5、质量要求</w:t>
            </w:r>
          </w:p>
          <w:p w14:paraId="78142048">
            <w:pPr>
              <w:pStyle w:val="6"/>
              <w:ind w:firstLine="400"/>
              <w:rPr>
                <w:color w:val="auto"/>
                <w:sz w:val="20"/>
                <w:szCs w:val="20"/>
                <w:highlight w:val="none"/>
              </w:rPr>
            </w:pPr>
            <w:r>
              <w:rPr>
                <w:rFonts w:ascii="宋体" w:hAnsi="宋体" w:eastAsia="宋体" w:cs="宋体"/>
                <w:color w:val="auto"/>
                <w:sz w:val="20"/>
                <w:szCs w:val="20"/>
                <w:highlight w:val="none"/>
              </w:rPr>
              <w:t>货物（产品）制造商、经销代理商应严格遵守《中华人民共和国产品质量法》，确保提供的产品符合质量标准，达到合格产品的要求。可能危及人体健康和人身、财产安全的工业产品，必须符合保障人体健康和人身、财产安全的国家标准、行业标准</w:t>
            </w:r>
            <w:r>
              <w:rPr>
                <w:rFonts w:ascii="Calibri" w:hAnsi="Calibri" w:eastAsia="Calibri" w:cs="Calibri"/>
                <w:color w:val="auto"/>
                <w:sz w:val="20"/>
                <w:szCs w:val="20"/>
                <w:highlight w:val="none"/>
              </w:rPr>
              <w:t>;</w:t>
            </w:r>
            <w:r>
              <w:rPr>
                <w:rFonts w:ascii="宋体" w:hAnsi="宋体" w:eastAsia="宋体" w:cs="宋体"/>
                <w:color w:val="auto"/>
                <w:sz w:val="20"/>
                <w:szCs w:val="20"/>
                <w:highlight w:val="none"/>
              </w:rPr>
              <w:t>未制定国家标准、行业标准的，必须符合保障人体健康和人身、财产安全的要求。</w:t>
            </w:r>
          </w:p>
          <w:p w14:paraId="4298DB47">
            <w:pPr>
              <w:pStyle w:val="6"/>
              <w:ind w:firstLine="361"/>
              <w:jc w:val="both"/>
              <w:rPr>
                <w:color w:val="auto"/>
                <w:sz w:val="20"/>
                <w:szCs w:val="20"/>
                <w:highlight w:val="none"/>
              </w:rPr>
            </w:pPr>
            <w:r>
              <w:rPr>
                <w:rFonts w:ascii="宋体" w:hAnsi="宋体" w:eastAsia="宋体" w:cs="宋体"/>
                <w:b/>
                <w:color w:val="auto"/>
                <w:sz w:val="20"/>
                <w:szCs w:val="20"/>
                <w:highlight w:val="none"/>
              </w:rPr>
              <w:t>6、安全要求</w:t>
            </w:r>
          </w:p>
          <w:p w14:paraId="2B3553D4">
            <w:pPr>
              <w:pStyle w:val="6"/>
              <w:ind w:firstLine="400"/>
              <w:rPr>
                <w:color w:val="auto"/>
                <w:sz w:val="20"/>
                <w:szCs w:val="20"/>
                <w:highlight w:val="none"/>
              </w:rPr>
            </w:pPr>
            <w:r>
              <w:rPr>
                <w:rFonts w:ascii="宋体" w:hAnsi="宋体" w:eastAsia="宋体" w:cs="宋体"/>
                <w:color w:val="auto"/>
                <w:sz w:val="20"/>
                <w:szCs w:val="20"/>
                <w:highlight w:val="none"/>
              </w:rPr>
              <w:t>认真贯彻执行国家及省、市有关安全文明生产的法律法规规章和强制性标准、安全操作规程等，建立健全安装现场安全文明生产保证体系，落实各项具体措施，切实履行安全文明生产责任和义务，保护职工身体健康和生命安全，以及社会公众安全，保护环境卫生，保持安装现场整齐有序，做到文明施工。</w:t>
            </w:r>
          </w:p>
          <w:p w14:paraId="27145CFD">
            <w:pPr>
              <w:pStyle w:val="6"/>
              <w:ind w:firstLine="402"/>
              <w:jc w:val="both"/>
              <w:rPr>
                <w:color w:val="auto"/>
                <w:sz w:val="20"/>
                <w:szCs w:val="20"/>
                <w:highlight w:val="none"/>
              </w:rPr>
            </w:pPr>
            <w:r>
              <w:rPr>
                <w:rFonts w:ascii="宋体" w:hAnsi="宋体" w:eastAsia="宋体" w:cs="宋体"/>
                <w:b/>
                <w:color w:val="auto"/>
                <w:sz w:val="20"/>
                <w:szCs w:val="20"/>
                <w:highlight w:val="none"/>
              </w:rPr>
              <w:t>四、商务要求</w:t>
            </w:r>
          </w:p>
          <w:p w14:paraId="6266C1F1">
            <w:pPr>
              <w:pStyle w:val="6"/>
              <w:ind w:firstLine="402"/>
              <w:jc w:val="both"/>
              <w:rPr>
                <w:color w:val="auto"/>
                <w:sz w:val="20"/>
                <w:szCs w:val="20"/>
                <w:highlight w:val="none"/>
              </w:rPr>
            </w:pPr>
            <w:r>
              <w:rPr>
                <w:rFonts w:hint="eastAsia" w:ascii="宋体" w:hAnsi="宋体" w:eastAsia="宋体" w:cs="宋体"/>
                <w:b/>
                <w:color w:val="auto"/>
                <w:sz w:val="20"/>
                <w:szCs w:val="20"/>
                <w:highlight w:val="none"/>
                <w:lang w:val="en-US" w:eastAsia="zh-CN"/>
              </w:rPr>
              <w:t>1</w:t>
            </w:r>
            <w:r>
              <w:rPr>
                <w:rFonts w:ascii="宋体" w:hAnsi="宋体" w:eastAsia="宋体" w:cs="宋体"/>
                <w:b/>
                <w:color w:val="auto"/>
                <w:sz w:val="20"/>
                <w:szCs w:val="20"/>
                <w:highlight w:val="none"/>
              </w:rPr>
              <w:t>、售后服务要求：</w:t>
            </w:r>
          </w:p>
          <w:p w14:paraId="546DBBAC">
            <w:pPr>
              <w:pStyle w:val="6"/>
              <w:ind w:firstLine="400"/>
              <w:rPr>
                <w:color w:val="auto"/>
                <w:sz w:val="20"/>
                <w:szCs w:val="20"/>
                <w:highlight w:val="none"/>
              </w:rPr>
            </w:pPr>
            <w:r>
              <w:rPr>
                <w:rFonts w:ascii="宋体" w:hAnsi="宋体" w:eastAsia="宋体" w:cs="宋体"/>
                <w:color w:val="auto"/>
                <w:sz w:val="20"/>
                <w:szCs w:val="20"/>
                <w:highlight w:val="none"/>
              </w:rPr>
              <w:t>（</w:t>
            </w:r>
            <w:r>
              <w:rPr>
                <w:rFonts w:ascii="Calibri" w:hAnsi="Calibri" w:eastAsia="Calibri" w:cs="Calibri"/>
                <w:color w:val="auto"/>
                <w:sz w:val="20"/>
                <w:szCs w:val="20"/>
                <w:highlight w:val="none"/>
              </w:rPr>
              <w:t>1</w:t>
            </w:r>
            <w:r>
              <w:rPr>
                <w:rFonts w:ascii="宋体" w:hAnsi="宋体" w:eastAsia="宋体" w:cs="宋体"/>
                <w:color w:val="auto"/>
                <w:sz w:val="20"/>
                <w:szCs w:val="20"/>
                <w:highlight w:val="none"/>
              </w:rPr>
              <w:t>）中标人须指派专人负责与采购人联系售后服务事宜；</w:t>
            </w:r>
          </w:p>
          <w:p w14:paraId="5DC99A42">
            <w:pPr>
              <w:pStyle w:val="6"/>
              <w:ind w:firstLine="400"/>
              <w:rPr>
                <w:color w:val="auto"/>
                <w:sz w:val="20"/>
                <w:szCs w:val="20"/>
                <w:highlight w:val="none"/>
              </w:rPr>
            </w:pPr>
            <w:r>
              <w:rPr>
                <w:rFonts w:ascii="宋体" w:hAnsi="宋体" w:eastAsia="宋体" w:cs="宋体"/>
                <w:color w:val="auto"/>
                <w:sz w:val="20"/>
                <w:szCs w:val="20"/>
                <w:highlight w:val="none"/>
              </w:rPr>
              <w:t>（</w:t>
            </w:r>
            <w:r>
              <w:rPr>
                <w:rFonts w:ascii="Calibri" w:hAnsi="Calibri" w:eastAsia="Calibri" w:cs="Calibri"/>
                <w:color w:val="auto"/>
                <w:sz w:val="20"/>
                <w:szCs w:val="20"/>
                <w:highlight w:val="none"/>
              </w:rPr>
              <w:t>2</w:t>
            </w:r>
            <w:r>
              <w:rPr>
                <w:rFonts w:ascii="宋体" w:hAnsi="宋体" w:eastAsia="宋体" w:cs="宋体"/>
                <w:color w:val="auto"/>
                <w:sz w:val="20"/>
                <w:szCs w:val="20"/>
                <w:highlight w:val="none"/>
              </w:rPr>
              <w:t>）中标人负责货物（硬件和软件）的现场安装、调试、测试和启动等；</w:t>
            </w:r>
          </w:p>
          <w:p w14:paraId="681966FA">
            <w:pPr>
              <w:pStyle w:val="6"/>
              <w:ind w:firstLine="400"/>
              <w:rPr>
                <w:color w:val="auto"/>
                <w:sz w:val="20"/>
                <w:szCs w:val="20"/>
                <w:highlight w:val="none"/>
              </w:rPr>
            </w:pPr>
            <w:r>
              <w:rPr>
                <w:rFonts w:ascii="宋体" w:hAnsi="宋体" w:eastAsia="宋体" w:cs="宋体"/>
                <w:color w:val="auto"/>
                <w:sz w:val="20"/>
                <w:szCs w:val="20"/>
                <w:highlight w:val="none"/>
              </w:rPr>
              <w:t>（</w:t>
            </w:r>
            <w:r>
              <w:rPr>
                <w:rFonts w:ascii="Calibri" w:hAnsi="Calibri" w:eastAsia="Calibri" w:cs="Calibri"/>
                <w:color w:val="auto"/>
                <w:sz w:val="20"/>
                <w:szCs w:val="20"/>
                <w:highlight w:val="none"/>
              </w:rPr>
              <w:t>3</w:t>
            </w:r>
            <w:r>
              <w:rPr>
                <w:rFonts w:ascii="宋体" w:hAnsi="宋体" w:eastAsia="宋体" w:cs="宋体"/>
                <w:color w:val="auto"/>
                <w:sz w:val="20"/>
                <w:szCs w:val="20"/>
                <w:highlight w:val="none"/>
              </w:rPr>
              <w:t>）中标人负责货物（硬件和软件）的安装、启动、运行及维护等对使用人员进行免费培训：培训主要内容为货物（硬件和软件）的基本结构、性能、主要部件的构造及原理，日常使用操作、维护保养与管理，常见故障的排除、紧急情况的处理等，如使用方未使用过同类型货物（硬件和软件），中标人还需就货物（硬件和软件）的功能对使用方人员进行相应的技术培训，培训地点为货物安装现场或由采购人安排；</w:t>
            </w:r>
          </w:p>
          <w:p w14:paraId="3E1E95BE">
            <w:pPr>
              <w:pStyle w:val="6"/>
              <w:ind w:firstLine="400"/>
              <w:rPr>
                <w:color w:val="auto"/>
                <w:sz w:val="20"/>
                <w:szCs w:val="20"/>
                <w:highlight w:val="none"/>
              </w:rPr>
            </w:pPr>
            <w:r>
              <w:rPr>
                <w:rFonts w:ascii="宋体" w:hAnsi="宋体" w:eastAsia="宋体" w:cs="宋体"/>
                <w:color w:val="auto"/>
                <w:sz w:val="20"/>
                <w:szCs w:val="20"/>
                <w:highlight w:val="none"/>
              </w:rPr>
              <w:t>（</w:t>
            </w:r>
            <w:r>
              <w:rPr>
                <w:rFonts w:ascii="Calibri" w:hAnsi="Calibri" w:eastAsia="Calibri" w:cs="Calibri"/>
                <w:color w:val="auto"/>
                <w:sz w:val="20"/>
                <w:szCs w:val="20"/>
                <w:highlight w:val="none"/>
              </w:rPr>
              <w:t>4</w:t>
            </w:r>
            <w:r>
              <w:rPr>
                <w:rFonts w:ascii="宋体" w:hAnsi="宋体" w:eastAsia="宋体" w:cs="宋体"/>
                <w:color w:val="auto"/>
                <w:sz w:val="20"/>
                <w:szCs w:val="20"/>
                <w:highlight w:val="none"/>
              </w:rPr>
              <w:t>）质保期自采购人在质量验收单（终验）上签字之日起计算，质保费用计入总价；</w:t>
            </w:r>
          </w:p>
          <w:p w14:paraId="190C0E5A">
            <w:pPr>
              <w:pStyle w:val="6"/>
              <w:ind w:firstLine="400"/>
              <w:rPr>
                <w:color w:val="auto"/>
                <w:sz w:val="20"/>
                <w:szCs w:val="20"/>
                <w:highlight w:val="none"/>
              </w:rPr>
            </w:pPr>
            <w:r>
              <w:rPr>
                <w:rFonts w:ascii="宋体" w:hAnsi="宋体" w:eastAsia="宋体" w:cs="宋体"/>
                <w:color w:val="auto"/>
                <w:sz w:val="20"/>
                <w:szCs w:val="20"/>
                <w:highlight w:val="none"/>
              </w:rPr>
              <w:t>（</w:t>
            </w:r>
            <w:r>
              <w:rPr>
                <w:rFonts w:ascii="Calibri" w:hAnsi="Calibri" w:eastAsia="Calibri" w:cs="Calibri"/>
                <w:color w:val="auto"/>
                <w:sz w:val="20"/>
                <w:szCs w:val="20"/>
                <w:highlight w:val="none"/>
              </w:rPr>
              <w:t>5</w:t>
            </w:r>
            <w:r>
              <w:rPr>
                <w:rFonts w:ascii="宋体" w:hAnsi="宋体" w:eastAsia="宋体" w:cs="宋体"/>
                <w:color w:val="auto"/>
                <w:sz w:val="20"/>
                <w:szCs w:val="20"/>
                <w:highlight w:val="none"/>
              </w:rPr>
              <w:t>）中标人负责对其提供的货物（硬件和软件）整体进行维修和系统维护，质保期内应无偿负责的维修和替换等工作，不再收取任何费用，但不可抗力（如火灾、雷击等）造成的故障除外；超出质保期只收取维修所需原设备、材料成本费用。</w:t>
            </w:r>
          </w:p>
          <w:p w14:paraId="0ED0315D">
            <w:pPr>
              <w:pStyle w:val="6"/>
              <w:ind w:firstLine="400"/>
              <w:rPr>
                <w:color w:val="auto"/>
                <w:sz w:val="20"/>
                <w:szCs w:val="20"/>
                <w:highlight w:val="none"/>
              </w:rPr>
            </w:pPr>
            <w:r>
              <w:rPr>
                <w:rFonts w:ascii="宋体" w:hAnsi="宋体" w:eastAsia="宋体" w:cs="宋体"/>
                <w:color w:val="auto"/>
                <w:sz w:val="20"/>
                <w:szCs w:val="20"/>
                <w:highlight w:val="none"/>
              </w:rPr>
              <w:t>（</w:t>
            </w:r>
            <w:r>
              <w:rPr>
                <w:rFonts w:ascii="Calibri" w:hAnsi="Calibri" w:eastAsia="Calibri" w:cs="Calibri"/>
                <w:color w:val="auto"/>
                <w:sz w:val="20"/>
                <w:szCs w:val="20"/>
                <w:highlight w:val="none"/>
              </w:rPr>
              <w:t>6</w:t>
            </w:r>
            <w:r>
              <w:rPr>
                <w:rFonts w:ascii="宋体" w:hAnsi="宋体" w:eastAsia="宋体" w:cs="宋体"/>
                <w:color w:val="auto"/>
                <w:sz w:val="20"/>
                <w:szCs w:val="20"/>
                <w:highlight w:val="none"/>
              </w:rPr>
              <w:t>）中标人对其所提供软硬件设备、材料等负责备品配件的供应</w:t>
            </w:r>
            <w:r>
              <w:rPr>
                <w:rFonts w:ascii="Calibri" w:hAnsi="Calibri" w:eastAsia="Calibri" w:cs="Calibri"/>
                <w:color w:val="auto"/>
                <w:sz w:val="20"/>
                <w:szCs w:val="20"/>
                <w:highlight w:val="none"/>
              </w:rPr>
              <w:t>,</w:t>
            </w:r>
            <w:r>
              <w:rPr>
                <w:rFonts w:ascii="宋体" w:hAnsi="宋体" w:eastAsia="宋体" w:cs="宋体"/>
                <w:color w:val="auto"/>
                <w:sz w:val="20"/>
                <w:szCs w:val="20"/>
                <w:highlight w:val="none"/>
              </w:rPr>
              <w:t>长期提供维修服务，并提供技术咨询等服务，所有维修记录交用户的现场技术人员一份，并详细说明问题所在、解决办法及注意事项。</w:t>
            </w:r>
          </w:p>
          <w:p w14:paraId="0B724452">
            <w:pPr>
              <w:pStyle w:val="6"/>
              <w:ind w:firstLine="400"/>
              <w:rPr>
                <w:color w:val="auto"/>
                <w:sz w:val="20"/>
                <w:szCs w:val="20"/>
                <w:highlight w:val="none"/>
              </w:rPr>
            </w:pPr>
            <w:r>
              <w:rPr>
                <w:rFonts w:ascii="宋体" w:hAnsi="宋体" w:eastAsia="宋体" w:cs="宋体"/>
                <w:color w:val="auto"/>
                <w:sz w:val="20"/>
                <w:szCs w:val="20"/>
                <w:highlight w:val="none"/>
              </w:rPr>
              <w:t>（</w:t>
            </w:r>
            <w:r>
              <w:rPr>
                <w:rFonts w:ascii="Calibri" w:hAnsi="Calibri" w:eastAsia="Calibri" w:cs="Calibri"/>
                <w:color w:val="auto"/>
                <w:sz w:val="20"/>
                <w:szCs w:val="20"/>
                <w:highlight w:val="none"/>
              </w:rPr>
              <w:t>7</w:t>
            </w:r>
            <w:r>
              <w:rPr>
                <w:rFonts w:ascii="宋体" w:hAnsi="宋体" w:eastAsia="宋体" w:cs="宋体"/>
                <w:color w:val="auto"/>
                <w:sz w:val="20"/>
                <w:szCs w:val="20"/>
                <w:highlight w:val="none"/>
              </w:rPr>
              <w:t>）货物（硬件和软件）故障报修的响应时间为：</w:t>
            </w:r>
            <w:r>
              <w:rPr>
                <w:rFonts w:ascii="Calibri" w:hAnsi="Calibri" w:eastAsia="Calibri" w:cs="Calibri"/>
                <w:color w:val="auto"/>
                <w:sz w:val="20"/>
                <w:szCs w:val="20"/>
                <w:highlight w:val="none"/>
              </w:rPr>
              <w:t>7x24</w:t>
            </w:r>
            <w:r>
              <w:rPr>
                <w:rFonts w:ascii="宋体" w:hAnsi="宋体" w:eastAsia="宋体" w:cs="宋体"/>
                <w:color w:val="auto"/>
                <w:sz w:val="20"/>
                <w:szCs w:val="20"/>
                <w:highlight w:val="none"/>
              </w:rPr>
              <w:t>小时免费上门服务。</w:t>
            </w:r>
          </w:p>
          <w:p w14:paraId="4574F104">
            <w:pPr>
              <w:pStyle w:val="6"/>
              <w:ind w:firstLine="400"/>
              <w:rPr>
                <w:color w:val="auto"/>
                <w:sz w:val="20"/>
                <w:szCs w:val="20"/>
                <w:highlight w:val="none"/>
              </w:rPr>
            </w:pPr>
            <w:r>
              <w:rPr>
                <w:rFonts w:ascii="宋体" w:hAnsi="宋体" w:eastAsia="宋体" w:cs="宋体"/>
                <w:color w:val="auto"/>
                <w:sz w:val="20"/>
                <w:szCs w:val="20"/>
                <w:highlight w:val="none"/>
              </w:rPr>
              <w:t>（</w:t>
            </w:r>
            <w:r>
              <w:rPr>
                <w:rFonts w:ascii="Calibri" w:hAnsi="Calibri" w:eastAsia="Calibri" w:cs="Calibri"/>
                <w:color w:val="auto"/>
                <w:sz w:val="20"/>
                <w:szCs w:val="20"/>
                <w:highlight w:val="none"/>
              </w:rPr>
              <w:t>8</w:t>
            </w:r>
            <w:r>
              <w:rPr>
                <w:rFonts w:ascii="宋体" w:hAnsi="宋体" w:eastAsia="宋体" w:cs="宋体"/>
                <w:color w:val="auto"/>
                <w:sz w:val="20"/>
                <w:szCs w:val="20"/>
                <w:highlight w:val="none"/>
              </w:rPr>
              <w:t>）所有货物（硬件和软件）服务方式均为中标人上门服务，即由中标人派员到货物使用现场维修，由此产生的一切费用均由中标人承担，对系统进行定期的检修、保养工作，并与用户进行沟通，定期开展技术交流活动，预防故障发生，保证系统的正常运行；</w:t>
            </w:r>
          </w:p>
          <w:p w14:paraId="768B88F6">
            <w:pPr>
              <w:pStyle w:val="6"/>
              <w:ind w:firstLine="400"/>
              <w:rPr>
                <w:color w:val="auto"/>
                <w:sz w:val="20"/>
                <w:szCs w:val="20"/>
                <w:highlight w:val="none"/>
              </w:rPr>
            </w:pPr>
            <w:r>
              <w:rPr>
                <w:rFonts w:ascii="宋体" w:hAnsi="宋体" w:eastAsia="宋体" w:cs="宋体"/>
                <w:color w:val="auto"/>
                <w:sz w:val="20"/>
                <w:szCs w:val="20"/>
                <w:highlight w:val="none"/>
              </w:rPr>
              <w:t>（</w:t>
            </w:r>
            <w:r>
              <w:rPr>
                <w:rFonts w:ascii="Calibri" w:hAnsi="Calibri" w:eastAsia="Calibri" w:cs="Calibri"/>
                <w:color w:val="auto"/>
                <w:sz w:val="20"/>
                <w:szCs w:val="20"/>
                <w:highlight w:val="none"/>
              </w:rPr>
              <w:t>9</w:t>
            </w:r>
            <w:r>
              <w:rPr>
                <w:rFonts w:ascii="宋体" w:hAnsi="宋体" w:eastAsia="宋体" w:cs="宋体"/>
                <w:color w:val="auto"/>
                <w:sz w:val="20"/>
                <w:szCs w:val="20"/>
                <w:highlight w:val="none"/>
              </w:rPr>
              <w:t>）在保修期内更换系统中部件（软件和硬件），其保修期应相应延长；</w:t>
            </w:r>
          </w:p>
          <w:p w14:paraId="3DE7ED03">
            <w:pPr>
              <w:pStyle w:val="6"/>
              <w:ind w:firstLine="400"/>
              <w:rPr>
                <w:color w:val="auto"/>
                <w:sz w:val="20"/>
                <w:szCs w:val="20"/>
                <w:highlight w:val="none"/>
              </w:rPr>
            </w:pPr>
            <w:r>
              <w:rPr>
                <w:rFonts w:ascii="宋体" w:hAnsi="宋体" w:eastAsia="宋体" w:cs="宋体"/>
                <w:color w:val="auto"/>
                <w:sz w:val="20"/>
                <w:szCs w:val="20"/>
                <w:highlight w:val="none"/>
              </w:rPr>
              <w:t>（</w:t>
            </w:r>
            <w:r>
              <w:rPr>
                <w:rFonts w:ascii="Calibri" w:hAnsi="Calibri" w:eastAsia="Calibri" w:cs="Calibri"/>
                <w:color w:val="auto"/>
                <w:sz w:val="20"/>
                <w:szCs w:val="20"/>
                <w:highlight w:val="none"/>
              </w:rPr>
              <w:t>10</w:t>
            </w:r>
            <w:r>
              <w:rPr>
                <w:rFonts w:ascii="宋体" w:hAnsi="宋体" w:eastAsia="宋体" w:cs="宋体"/>
                <w:color w:val="auto"/>
                <w:sz w:val="20"/>
                <w:szCs w:val="20"/>
                <w:highlight w:val="none"/>
              </w:rPr>
              <w:t>）质保期结束后的维修、维护等由双方协商再定。</w:t>
            </w:r>
          </w:p>
          <w:p w14:paraId="5EEC73E5">
            <w:pPr>
              <w:pStyle w:val="6"/>
              <w:ind w:firstLine="402"/>
              <w:jc w:val="both"/>
              <w:rPr>
                <w:color w:val="auto"/>
                <w:sz w:val="20"/>
                <w:szCs w:val="20"/>
                <w:highlight w:val="none"/>
              </w:rPr>
            </w:pPr>
            <w:r>
              <w:rPr>
                <w:rFonts w:hint="eastAsia" w:ascii="宋体" w:hAnsi="宋体" w:eastAsia="宋体" w:cs="宋体"/>
                <w:b/>
                <w:color w:val="auto"/>
                <w:sz w:val="20"/>
                <w:szCs w:val="20"/>
                <w:highlight w:val="none"/>
                <w:lang w:val="en-US" w:eastAsia="zh-CN"/>
              </w:rPr>
              <w:t>2</w:t>
            </w:r>
            <w:r>
              <w:rPr>
                <w:rFonts w:ascii="宋体" w:hAnsi="宋体" w:eastAsia="宋体" w:cs="宋体"/>
                <w:b/>
                <w:color w:val="auto"/>
                <w:sz w:val="20"/>
                <w:szCs w:val="20"/>
                <w:highlight w:val="none"/>
              </w:rPr>
              <w:t>、“三包”要求：</w:t>
            </w:r>
            <w:r>
              <w:rPr>
                <w:rFonts w:ascii="宋体" w:hAnsi="宋体" w:eastAsia="宋体" w:cs="宋体"/>
                <w:color w:val="auto"/>
                <w:sz w:val="20"/>
                <w:szCs w:val="20"/>
                <w:highlight w:val="none"/>
              </w:rPr>
              <w:t>货物（产品）属于国家规定的“三包产品”，产品制造商、经销代理商应遵守“三包”的规定，在产品发生质量问题时，及时对所提供产品实行“包退、包换、保修”服务。</w:t>
            </w:r>
          </w:p>
          <w:p w14:paraId="07CC67B8">
            <w:pPr>
              <w:pStyle w:val="6"/>
              <w:ind w:firstLine="402"/>
              <w:jc w:val="both"/>
              <w:rPr>
                <w:color w:val="auto"/>
                <w:sz w:val="20"/>
                <w:szCs w:val="20"/>
                <w:highlight w:val="none"/>
              </w:rPr>
            </w:pPr>
            <w:r>
              <w:rPr>
                <w:rFonts w:hint="eastAsia" w:ascii="宋体" w:hAnsi="宋体" w:eastAsia="宋体" w:cs="宋体"/>
                <w:b/>
                <w:color w:val="auto"/>
                <w:sz w:val="20"/>
                <w:szCs w:val="20"/>
                <w:highlight w:val="none"/>
                <w:lang w:val="en-US" w:eastAsia="zh-CN"/>
              </w:rPr>
              <w:t>3</w:t>
            </w:r>
            <w:r>
              <w:rPr>
                <w:rFonts w:ascii="宋体" w:hAnsi="宋体" w:eastAsia="宋体" w:cs="宋体"/>
                <w:b/>
                <w:color w:val="auto"/>
                <w:sz w:val="20"/>
                <w:szCs w:val="20"/>
                <w:highlight w:val="none"/>
              </w:rPr>
              <w:t>、电子电器产品服务要求：</w:t>
            </w:r>
            <w:r>
              <w:rPr>
                <w:rFonts w:ascii="宋体" w:hAnsi="宋体" w:eastAsia="宋体" w:cs="宋体"/>
                <w:color w:val="auto"/>
                <w:sz w:val="20"/>
                <w:szCs w:val="20"/>
                <w:highlight w:val="none"/>
              </w:rPr>
              <w:t>货物（产品）属于电子电器的，产品制造商、经销代理商应按照《政府采购电子电器服务规范》（GB/T33496-2017）的要求提供服务。</w:t>
            </w:r>
          </w:p>
          <w:p w14:paraId="453C9AEC">
            <w:pPr>
              <w:pStyle w:val="6"/>
              <w:spacing w:after="120"/>
              <w:jc w:val="both"/>
              <w:rPr>
                <w:color w:val="auto"/>
                <w:sz w:val="20"/>
                <w:szCs w:val="20"/>
                <w:highlight w:val="none"/>
              </w:rPr>
            </w:pPr>
            <w:r>
              <w:rPr>
                <w:rFonts w:ascii="宋体" w:hAnsi="宋体" w:eastAsia="宋体" w:cs="宋体"/>
                <w:b/>
                <w:color w:val="auto"/>
                <w:sz w:val="20"/>
                <w:szCs w:val="20"/>
                <w:highlight w:val="none"/>
              </w:rPr>
              <w:t>附表：货物技术要求一览表</w:t>
            </w:r>
          </w:p>
          <w:p w14:paraId="4C178225">
            <w:pPr>
              <w:widowControl/>
              <w:jc w:val="left"/>
              <w:textAlignment w:val="center"/>
              <w:rPr>
                <w:rFonts w:hint="eastAsia" w:ascii="微软雅黑" w:hAnsi="微软雅黑" w:eastAsia="微软雅黑" w:cs="微软雅黑"/>
                <w:b/>
                <w:bCs/>
                <w:color w:val="auto"/>
                <w:kern w:val="0"/>
                <w:sz w:val="20"/>
                <w:szCs w:val="20"/>
                <w:highlight w:val="none"/>
                <w:lang w:bidi="ar"/>
              </w:rPr>
            </w:pPr>
            <w:r>
              <w:rPr>
                <w:rFonts w:hint="eastAsia" w:ascii="微软雅黑" w:hAnsi="微软雅黑" w:eastAsia="微软雅黑" w:cs="微软雅黑"/>
                <w:b/>
                <w:bCs/>
                <w:color w:val="auto"/>
                <w:kern w:val="0"/>
                <w:sz w:val="20"/>
                <w:szCs w:val="20"/>
                <w:highlight w:val="none"/>
                <w:lang w:bidi="ar"/>
              </w:rPr>
              <w:t>理化生便携式考评系统：</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3027"/>
              <w:gridCol w:w="1845"/>
              <w:gridCol w:w="1845"/>
            </w:tblGrid>
            <w:tr w14:paraId="555CB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313B9D11">
                  <w:pPr>
                    <w:pStyle w:val="2"/>
                    <w:spacing w:before="0" w:beforeAutospacing="0" w:after="0" w:afterAutospacing="0" w:line="360" w:lineRule="auto"/>
                    <w:rPr>
                      <w:rFonts w:hint="eastAsia" w:eastAsiaTheme="minorEastAsia" w:cstheme="minorBidi"/>
                      <w:bCs/>
                      <w:color w:val="auto"/>
                      <w:sz w:val="20"/>
                      <w:szCs w:val="20"/>
                      <w:highlight w:val="none"/>
                    </w:rPr>
                  </w:pPr>
                  <w:r>
                    <w:rPr>
                      <w:rFonts w:hint="eastAsia" w:eastAsiaTheme="minorEastAsia" w:cstheme="minorBidi"/>
                      <w:bCs/>
                      <w:color w:val="auto"/>
                      <w:sz w:val="20"/>
                      <w:szCs w:val="20"/>
                      <w:highlight w:val="none"/>
                    </w:rPr>
                    <w:t>序号</w:t>
                  </w:r>
                </w:p>
              </w:tc>
              <w:tc>
                <w:tcPr>
                  <w:tcW w:w="3548" w:type="dxa"/>
                  <w:vAlign w:val="center"/>
                </w:tcPr>
                <w:p w14:paraId="64E512FC">
                  <w:pPr>
                    <w:pStyle w:val="2"/>
                    <w:spacing w:before="0" w:beforeAutospacing="0" w:after="0" w:afterAutospacing="0" w:line="360" w:lineRule="auto"/>
                    <w:jc w:val="center"/>
                    <w:rPr>
                      <w:rFonts w:hint="eastAsia" w:eastAsiaTheme="minorEastAsia" w:cstheme="minorBidi"/>
                      <w:bCs/>
                      <w:color w:val="auto"/>
                      <w:sz w:val="20"/>
                      <w:szCs w:val="20"/>
                      <w:highlight w:val="none"/>
                    </w:rPr>
                  </w:pPr>
                  <w:r>
                    <w:rPr>
                      <w:rFonts w:hint="eastAsia" w:eastAsiaTheme="minorEastAsia" w:cstheme="minorBidi"/>
                      <w:bCs/>
                      <w:color w:val="auto"/>
                      <w:sz w:val="20"/>
                      <w:szCs w:val="20"/>
                      <w:highlight w:val="none"/>
                    </w:rPr>
                    <w:t>教室名称</w:t>
                  </w:r>
                </w:p>
              </w:tc>
              <w:tc>
                <w:tcPr>
                  <w:tcW w:w="2130" w:type="dxa"/>
                  <w:vAlign w:val="center"/>
                </w:tcPr>
                <w:p w14:paraId="78164934">
                  <w:pPr>
                    <w:pStyle w:val="2"/>
                    <w:spacing w:before="0" w:beforeAutospacing="0" w:after="0" w:afterAutospacing="0" w:line="360" w:lineRule="auto"/>
                    <w:jc w:val="center"/>
                    <w:rPr>
                      <w:rFonts w:hint="eastAsia" w:eastAsiaTheme="minorEastAsia" w:cstheme="minorBidi"/>
                      <w:bCs/>
                      <w:color w:val="auto"/>
                      <w:sz w:val="20"/>
                      <w:szCs w:val="20"/>
                      <w:highlight w:val="none"/>
                    </w:rPr>
                  </w:pPr>
                  <w:r>
                    <w:rPr>
                      <w:rFonts w:hint="eastAsia" w:eastAsiaTheme="minorEastAsia" w:cstheme="minorBidi"/>
                      <w:bCs/>
                      <w:color w:val="auto"/>
                      <w:sz w:val="20"/>
                      <w:szCs w:val="20"/>
                      <w:highlight w:val="none"/>
                    </w:rPr>
                    <w:t>数量</w:t>
                  </w:r>
                </w:p>
              </w:tc>
              <w:tc>
                <w:tcPr>
                  <w:tcW w:w="2130" w:type="dxa"/>
                  <w:vAlign w:val="center"/>
                </w:tcPr>
                <w:p w14:paraId="2AA71D03">
                  <w:pPr>
                    <w:pStyle w:val="2"/>
                    <w:spacing w:before="0" w:beforeAutospacing="0" w:after="0" w:afterAutospacing="0" w:line="360" w:lineRule="auto"/>
                    <w:jc w:val="center"/>
                    <w:rPr>
                      <w:rFonts w:hint="eastAsia" w:eastAsiaTheme="minorEastAsia" w:cstheme="minorBidi"/>
                      <w:bCs/>
                      <w:color w:val="auto"/>
                      <w:sz w:val="20"/>
                      <w:szCs w:val="20"/>
                      <w:highlight w:val="none"/>
                    </w:rPr>
                  </w:pPr>
                  <w:r>
                    <w:rPr>
                      <w:rFonts w:hint="eastAsia" w:eastAsiaTheme="minorEastAsia" w:cstheme="minorBidi"/>
                      <w:bCs/>
                      <w:color w:val="auto"/>
                      <w:sz w:val="20"/>
                      <w:szCs w:val="20"/>
                      <w:highlight w:val="none"/>
                    </w:rPr>
                    <w:t>单位</w:t>
                  </w:r>
                </w:p>
              </w:tc>
            </w:tr>
            <w:tr w14:paraId="5D0C3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51505987">
                  <w:pPr>
                    <w:pStyle w:val="2"/>
                    <w:spacing w:before="0" w:beforeAutospacing="0" w:after="0" w:afterAutospacing="0" w:line="360" w:lineRule="auto"/>
                    <w:jc w:val="center"/>
                    <w:rPr>
                      <w:rFonts w:hint="eastAsia" w:eastAsiaTheme="minorEastAsia" w:cstheme="minorBidi"/>
                      <w:bCs/>
                      <w:color w:val="auto"/>
                      <w:sz w:val="20"/>
                      <w:szCs w:val="20"/>
                      <w:highlight w:val="none"/>
                    </w:rPr>
                  </w:pPr>
                  <w:r>
                    <w:rPr>
                      <w:rFonts w:hint="eastAsia" w:eastAsiaTheme="minorEastAsia" w:cstheme="minorBidi"/>
                      <w:bCs/>
                      <w:color w:val="auto"/>
                      <w:sz w:val="20"/>
                      <w:szCs w:val="20"/>
                      <w:highlight w:val="none"/>
                    </w:rPr>
                    <w:t>1</w:t>
                  </w:r>
                </w:p>
              </w:tc>
              <w:tc>
                <w:tcPr>
                  <w:tcW w:w="3548" w:type="dxa"/>
                  <w:vAlign w:val="center"/>
                </w:tcPr>
                <w:p w14:paraId="26E4618C">
                  <w:pPr>
                    <w:pStyle w:val="2"/>
                    <w:spacing w:before="0" w:beforeAutospacing="0" w:after="0" w:afterAutospacing="0" w:line="360" w:lineRule="auto"/>
                    <w:jc w:val="center"/>
                    <w:rPr>
                      <w:rFonts w:hint="eastAsia" w:eastAsiaTheme="minorEastAsia" w:cstheme="minorBidi"/>
                      <w:bCs/>
                      <w:color w:val="auto"/>
                      <w:sz w:val="20"/>
                      <w:szCs w:val="20"/>
                      <w:highlight w:val="none"/>
                    </w:rPr>
                  </w:pPr>
                  <w:r>
                    <w:rPr>
                      <w:rFonts w:hint="eastAsia" w:eastAsiaTheme="minorEastAsia" w:cstheme="minorBidi"/>
                      <w:bCs/>
                      <w:color w:val="auto"/>
                      <w:sz w:val="20"/>
                      <w:szCs w:val="20"/>
                      <w:highlight w:val="none"/>
                    </w:rPr>
                    <w:t>理化生便携式考评系统</w:t>
                  </w:r>
                </w:p>
              </w:tc>
              <w:tc>
                <w:tcPr>
                  <w:tcW w:w="2130" w:type="dxa"/>
                  <w:vAlign w:val="center"/>
                </w:tcPr>
                <w:p w14:paraId="1BB0C0A8">
                  <w:pPr>
                    <w:pStyle w:val="2"/>
                    <w:spacing w:before="0" w:beforeAutospacing="0" w:after="0" w:afterAutospacing="0" w:line="360" w:lineRule="auto"/>
                    <w:jc w:val="center"/>
                    <w:rPr>
                      <w:rFonts w:hint="eastAsia" w:eastAsiaTheme="minorEastAsia" w:cstheme="minorBidi"/>
                      <w:bCs/>
                      <w:color w:val="auto"/>
                      <w:sz w:val="20"/>
                      <w:szCs w:val="20"/>
                      <w:highlight w:val="none"/>
                    </w:rPr>
                  </w:pPr>
                  <w:r>
                    <w:rPr>
                      <w:rFonts w:hint="eastAsia" w:eastAsiaTheme="minorEastAsia" w:cstheme="minorBidi"/>
                      <w:bCs/>
                      <w:color w:val="auto"/>
                      <w:sz w:val="20"/>
                      <w:szCs w:val="20"/>
                      <w:highlight w:val="none"/>
                    </w:rPr>
                    <w:t>3</w:t>
                  </w:r>
                </w:p>
              </w:tc>
              <w:tc>
                <w:tcPr>
                  <w:tcW w:w="2130" w:type="dxa"/>
                  <w:vAlign w:val="center"/>
                </w:tcPr>
                <w:p w14:paraId="3543B6C0">
                  <w:pPr>
                    <w:pStyle w:val="2"/>
                    <w:spacing w:before="0" w:beforeAutospacing="0" w:after="0" w:afterAutospacing="0" w:line="360" w:lineRule="auto"/>
                    <w:jc w:val="center"/>
                    <w:rPr>
                      <w:rFonts w:hint="eastAsia" w:eastAsiaTheme="minorEastAsia" w:cstheme="minorBidi"/>
                      <w:bCs/>
                      <w:color w:val="auto"/>
                      <w:sz w:val="20"/>
                      <w:szCs w:val="20"/>
                      <w:highlight w:val="none"/>
                    </w:rPr>
                  </w:pPr>
                  <w:r>
                    <w:rPr>
                      <w:rFonts w:hint="eastAsia" w:eastAsiaTheme="minorEastAsia" w:cstheme="minorBidi"/>
                      <w:bCs/>
                      <w:color w:val="auto"/>
                      <w:sz w:val="20"/>
                      <w:szCs w:val="20"/>
                      <w:highlight w:val="none"/>
                    </w:rPr>
                    <w:t>间</w:t>
                  </w:r>
                </w:p>
              </w:tc>
            </w:tr>
            <w:tr w14:paraId="5D4D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12" w:type="dxa"/>
                  <w:vAlign w:val="center"/>
                </w:tcPr>
                <w:p w14:paraId="2109624D">
                  <w:pPr>
                    <w:pStyle w:val="2"/>
                    <w:spacing w:before="0" w:beforeAutospacing="0" w:after="0" w:afterAutospacing="0" w:line="360" w:lineRule="auto"/>
                    <w:jc w:val="center"/>
                    <w:rPr>
                      <w:rFonts w:hint="eastAsia" w:eastAsiaTheme="minorEastAsia" w:cstheme="minorBidi"/>
                      <w:bCs/>
                      <w:color w:val="auto"/>
                      <w:sz w:val="20"/>
                      <w:szCs w:val="20"/>
                      <w:highlight w:val="none"/>
                    </w:rPr>
                  </w:pPr>
                  <w:r>
                    <w:rPr>
                      <w:rFonts w:hint="eastAsia" w:eastAsiaTheme="minorEastAsia" w:cstheme="minorBidi"/>
                      <w:bCs/>
                      <w:color w:val="auto"/>
                      <w:sz w:val="20"/>
                      <w:szCs w:val="20"/>
                      <w:highlight w:val="none"/>
                    </w:rPr>
                    <w:t>2</w:t>
                  </w:r>
                </w:p>
              </w:tc>
              <w:tc>
                <w:tcPr>
                  <w:tcW w:w="3548" w:type="dxa"/>
                  <w:vAlign w:val="center"/>
                </w:tcPr>
                <w:p w14:paraId="3D323F7A">
                  <w:pPr>
                    <w:pStyle w:val="2"/>
                    <w:spacing w:before="0" w:beforeAutospacing="0" w:after="0" w:afterAutospacing="0" w:line="360" w:lineRule="auto"/>
                    <w:jc w:val="center"/>
                    <w:rPr>
                      <w:rFonts w:hint="eastAsia" w:eastAsiaTheme="minorEastAsia" w:cstheme="minorBidi"/>
                      <w:bCs/>
                      <w:color w:val="auto"/>
                      <w:sz w:val="20"/>
                      <w:szCs w:val="20"/>
                      <w:highlight w:val="none"/>
                    </w:rPr>
                  </w:pPr>
                  <w:r>
                    <w:rPr>
                      <w:rFonts w:hint="eastAsia" w:eastAsiaTheme="minorEastAsia" w:cstheme="minorBidi"/>
                      <w:bCs/>
                      <w:color w:val="auto"/>
                      <w:sz w:val="20"/>
                      <w:szCs w:val="20"/>
                      <w:highlight w:val="none"/>
                    </w:rPr>
                    <w:t>侯考抽签室</w:t>
                  </w:r>
                </w:p>
              </w:tc>
              <w:tc>
                <w:tcPr>
                  <w:tcW w:w="2130" w:type="dxa"/>
                  <w:vAlign w:val="center"/>
                </w:tcPr>
                <w:p w14:paraId="40AD4056">
                  <w:pPr>
                    <w:pStyle w:val="2"/>
                    <w:spacing w:before="0" w:beforeAutospacing="0" w:after="0" w:afterAutospacing="0" w:line="360" w:lineRule="auto"/>
                    <w:jc w:val="center"/>
                    <w:rPr>
                      <w:rFonts w:hint="eastAsia" w:eastAsiaTheme="minorEastAsia" w:cstheme="minorBidi"/>
                      <w:bCs/>
                      <w:color w:val="auto"/>
                      <w:sz w:val="20"/>
                      <w:szCs w:val="20"/>
                      <w:highlight w:val="none"/>
                    </w:rPr>
                  </w:pPr>
                  <w:r>
                    <w:rPr>
                      <w:rFonts w:hint="eastAsia" w:eastAsiaTheme="minorEastAsia" w:cstheme="minorBidi"/>
                      <w:bCs/>
                      <w:color w:val="auto"/>
                      <w:sz w:val="20"/>
                      <w:szCs w:val="20"/>
                      <w:highlight w:val="none"/>
                    </w:rPr>
                    <w:t>1</w:t>
                  </w:r>
                </w:p>
              </w:tc>
              <w:tc>
                <w:tcPr>
                  <w:tcW w:w="2130" w:type="dxa"/>
                  <w:vAlign w:val="center"/>
                </w:tcPr>
                <w:p w14:paraId="3C850F97">
                  <w:pPr>
                    <w:pStyle w:val="2"/>
                    <w:spacing w:before="0" w:beforeAutospacing="0" w:after="0" w:afterAutospacing="0" w:line="360" w:lineRule="auto"/>
                    <w:jc w:val="center"/>
                    <w:rPr>
                      <w:rFonts w:hint="eastAsia" w:eastAsiaTheme="minorEastAsia" w:cstheme="minorBidi"/>
                      <w:bCs/>
                      <w:color w:val="auto"/>
                      <w:sz w:val="20"/>
                      <w:szCs w:val="20"/>
                      <w:highlight w:val="none"/>
                    </w:rPr>
                  </w:pPr>
                  <w:r>
                    <w:rPr>
                      <w:rFonts w:hint="eastAsia" w:eastAsiaTheme="minorEastAsia" w:cstheme="minorBidi"/>
                      <w:bCs/>
                      <w:color w:val="auto"/>
                      <w:sz w:val="20"/>
                      <w:szCs w:val="20"/>
                      <w:highlight w:val="none"/>
                    </w:rPr>
                    <w:t>间</w:t>
                  </w:r>
                </w:p>
              </w:tc>
            </w:tr>
            <w:tr w14:paraId="1A2FE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270E0A76">
                  <w:pPr>
                    <w:pStyle w:val="2"/>
                    <w:spacing w:before="0" w:beforeAutospacing="0" w:after="0" w:afterAutospacing="0" w:line="360" w:lineRule="auto"/>
                    <w:jc w:val="center"/>
                    <w:rPr>
                      <w:rFonts w:hint="eastAsia" w:eastAsiaTheme="minorEastAsia" w:cstheme="minorBidi"/>
                      <w:bCs/>
                      <w:color w:val="auto"/>
                      <w:sz w:val="20"/>
                      <w:szCs w:val="20"/>
                      <w:highlight w:val="none"/>
                    </w:rPr>
                  </w:pPr>
                  <w:r>
                    <w:rPr>
                      <w:rFonts w:hint="eastAsia" w:eastAsiaTheme="minorEastAsia" w:cstheme="minorBidi"/>
                      <w:bCs/>
                      <w:color w:val="auto"/>
                      <w:sz w:val="20"/>
                      <w:szCs w:val="20"/>
                      <w:highlight w:val="none"/>
                    </w:rPr>
                    <w:t>3</w:t>
                  </w:r>
                </w:p>
              </w:tc>
              <w:tc>
                <w:tcPr>
                  <w:tcW w:w="3548" w:type="dxa"/>
                  <w:vAlign w:val="center"/>
                </w:tcPr>
                <w:p w14:paraId="15CFD945">
                  <w:pPr>
                    <w:pStyle w:val="2"/>
                    <w:spacing w:before="0" w:beforeAutospacing="0" w:after="0" w:afterAutospacing="0" w:line="360" w:lineRule="auto"/>
                    <w:jc w:val="center"/>
                    <w:rPr>
                      <w:rFonts w:hint="eastAsia" w:eastAsiaTheme="minorEastAsia" w:cstheme="minorBidi"/>
                      <w:bCs/>
                      <w:color w:val="auto"/>
                      <w:sz w:val="20"/>
                      <w:szCs w:val="20"/>
                      <w:highlight w:val="none"/>
                    </w:rPr>
                  </w:pPr>
                  <w:r>
                    <w:rPr>
                      <w:rFonts w:hint="eastAsia" w:eastAsiaTheme="minorEastAsia" w:cstheme="minorBidi"/>
                      <w:bCs/>
                      <w:color w:val="auto"/>
                      <w:sz w:val="20"/>
                      <w:szCs w:val="20"/>
                      <w:highlight w:val="none"/>
                    </w:rPr>
                    <w:t>校级服务平台系统</w:t>
                  </w:r>
                </w:p>
              </w:tc>
              <w:tc>
                <w:tcPr>
                  <w:tcW w:w="2130" w:type="dxa"/>
                  <w:vAlign w:val="center"/>
                </w:tcPr>
                <w:p w14:paraId="7749B638">
                  <w:pPr>
                    <w:pStyle w:val="2"/>
                    <w:spacing w:before="0" w:beforeAutospacing="0" w:after="0" w:afterAutospacing="0" w:line="360" w:lineRule="auto"/>
                    <w:jc w:val="center"/>
                    <w:rPr>
                      <w:rFonts w:hint="eastAsia" w:eastAsiaTheme="minorEastAsia" w:cstheme="minorBidi"/>
                      <w:bCs/>
                      <w:color w:val="auto"/>
                      <w:sz w:val="20"/>
                      <w:szCs w:val="20"/>
                      <w:highlight w:val="none"/>
                    </w:rPr>
                  </w:pPr>
                  <w:r>
                    <w:rPr>
                      <w:rFonts w:hint="eastAsia" w:eastAsiaTheme="minorEastAsia" w:cstheme="minorBidi"/>
                      <w:bCs/>
                      <w:color w:val="auto"/>
                      <w:sz w:val="20"/>
                      <w:szCs w:val="20"/>
                      <w:highlight w:val="none"/>
                    </w:rPr>
                    <w:t>1</w:t>
                  </w:r>
                </w:p>
              </w:tc>
              <w:tc>
                <w:tcPr>
                  <w:tcW w:w="2130" w:type="dxa"/>
                  <w:vAlign w:val="center"/>
                </w:tcPr>
                <w:p w14:paraId="2E756F2B">
                  <w:pPr>
                    <w:pStyle w:val="2"/>
                    <w:spacing w:before="0" w:beforeAutospacing="0" w:after="0" w:afterAutospacing="0" w:line="360" w:lineRule="auto"/>
                    <w:jc w:val="center"/>
                    <w:rPr>
                      <w:rFonts w:hint="eastAsia" w:eastAsiaTheme="minorEastAsia" w:cstheme="minorBidi"/>
                      <w:bCs/>
                      <w:color w:val="auto"/>
                      <w:sz w:val="20"/>
                      <w:szCs w:val="20"/>
                      <w:highlight w:val="none"/>
                    </w:rPr>
                  </w:pPr>
                  <w:r>
                    <w:rPr>
                      <w:rFonts w:hint="eastAsia" w:eastAsiaTheme="minorEastAsia" w:cstheme="minorBidi"/>
                      <w:bCs/>
                      <w:color w:val="auto"/>
                      <w:sz w:val="20"/>
                      <w:szCs w:val="20"/>
                      <w:highlight w:val="none"/>
                    </w:rPr>
                    <w:t>套</w:t>
                  </w:r>
                </w:p>
              </w:tc>
            </w:tr>
          </w:tbl>
          <w:p w14:paraId="0BF32D67">
            <w:pPr>
              <w:widowControl/>
              <w:jc w:val="left"/>
              <w:textAlignment w:val="center"/>
              <w:rPr>
                <w:rFonts w:hint="eastAsia" w:ascii="微软雅黑" w:hAnsi="微软雅黑" w:eastAsia="微软雅黑" w:cs="微软雅黑"/>
                <w:b/>
                <w:bCs/>
                <w:color w:val="auto"/>
                <w:kern w:val="0"/>
                <w:sz w:val="20"/>
                <w:szCs w:val="20"/>
                <w:highlight w:val="none"/>
                <w:lang w:bidi="ar"/>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
              <w:gridCol w:w="616"/>
              <w:gridCol w:w="5616"/>
              <w:gridCol w:w="416"/>
              <w:gridCol w:w="416"/>
            </w:tblGrid>
            <w:tr w14:paraId="4E39A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14:paraId="01D3F8AB">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一、实验室考评系统相关配置</w:t>
                  </w:r>
                </w:p>
              </w:tc>
            </w:tr>
            <w:tr w14:paraId="48611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3868A58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817" w:type="dxa"/>
                  <w:vAlign w:val="center"/>
                </w:tcPr>
                <w:p w14:paraId="0160E9CD">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便携式考试终端</w:t>
                  </w:r>
                </w:p>
              </w:tc>
              <w:tc>
                <w:tcPr>
                  <w:tcW w:w="6150" w:type="dxa"/>
                </w:tcPr>
                <w:p w14:paraId="4F69EBA2">
                  <w:pPr>
                    <w:widowControl/>
                    <w:jc w:val="left"/>
                    <w:textAlignment w:val="top"/>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kern w:val="0"/>
                      <w:sz w:val="20"/>
                      <w:szCs w:val="20"/>
                      <w:highlight w:val="none"/>
                      <w:lang w:bidi="ar"/>
                    </w:rPr>
                    <w:t xml:space="preserve">1、整体：设备采用一体化设计，集成了考试终端、考试系统、摄像机于一体，可快速搭建考试环境，随用随取。 </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2、要求整机与桌面在无任何固定件的情况下，可安全置于考试桌，不易碰倒，随拿随放，可任意调整角度。</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3、处理器配置不低于 4核4线程2.0GHz-2.7GHz；</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4、显卡配置不低于 UHD Graphics 600；</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5、内存配置不低于8GB DDR4 2400MHZ Max；</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6、硬盘：标配≥1TB，支持最大扩展至8TB；</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sz w:val="20"/>
                      <w:szCs w:val="20"/>
                      <w:highlight w:val="none"/>
                    </w:rPr>
                    <w:t>▲</w:t>
                  </w:r>
                  <w:r>
                    <w:rPr>
                      <w:rFonts w:hint="eastAsia" w:ascii="宋体" w:hAnsi="宋体" w:eastAsia="宋体" w:cs="宋体"/>
                      <w:color w:val="auto"/>
                      <w:kern w:val="0"/>
                      <w:sz w:val="20"/>
                      <w:szCs w:val="20"/>
                      <w:highlight w:val="none"/>
                      <w:lang w:bidi="ar"/>
                    </w:rPr>
                    <w:t>7、设备接口：≥2个USB3.0接口，≥2个网络接口，≥2个HDMI高清接口。</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sz w:val="20"/>
                      <w:szCs w:val="20"/>
                      <w:highlight w:val="none"/>
                    </w:rPr>
                    <w:t>▲</w:t>
                  </w:r>
                  <w:r>
                    <w:rPr>
                      <w:rFonts w:hint="eastAsia" w:ascii="宋体" w:hAnsi="宋体" w:eastAsia="宋体" w:cs="宋体"/>
                      <w:color w:val="auto"/>
                      <w:kern w:val="0"/>
                      <w:sz w:val="20"/>
                      <w:szCs w:val="20"/>
                      <w:highlight w:val="none"/>
                      <w:lang w:bidi="ar"/>
                    </w:rPr>
                    <w:t>8、一体化集成≥15英寸液晶显示屏，支持触控操作，内置软键盘，支持中文、英文、特殊符号输入。</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sz w:val="20"/>
                      <w:szCs w:val="20"/>
                      <w:highlight w:val="none"/>
                    </w:rPr>
                    <w:t>▲</w:t>
                  </w:r>
                  <w:r>
                    <w:rPr>
                      <w:rFonts w:hint="eastAsia" w:ascii="宋体" w:hAnsi="宋体" w:eastAsia="宋体" w:cs="宋体"/>
                      <w:color w:val="auto"/>
                      <w:kern w:val="0"/>
                      <w:sz w:val="20"/>
                      <w:szCs w:val="20"/>
                      <w:highlight w:val="none"/>
                      <w:lang w:bidi="ar"/>
                    </w:rPr>
                    <w:t>9、液晶屏采用IPS A+级屏幕，亮度≥500cd/㎡，可视角度≥178度，具有生物安全（防蓝光）设计。</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10、设备集成至少2个摄像头，具有升降装置，摄像头角度支持手动调节。</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sz w:val="20"/>
                      <w:szCs w:val="20"/>
                      <w:highlight w:val="none"/>
                    </w:rPr>
                    <w:t>▲</w:t>
                  </w:r>
                  <w:r>
                    <w:rPr>
                      <w:rFonts w:hint="eastAsia" w:ascii="宋体" w:hAnsi="宋体" w:eastAsia="宋体" w:cs="宋体"/>
                      <w:color w:val="auto"/>
                      <w:kern w:val="0"/>
                      <w:sz w:val="20"/>
                      <w:szCs w:val="20"/>
                      <w:highlight w:val="none"/>
                      <w:lang w:bidi="ar"/>
                    </w:rPr>
                    <w:t>11、视频采集系统采用≥1/2.8英寸，≥200万像素CMOS传感器，最大帧率支持1080P@30fps，镜头采用≥3mm定焦镜头，F≥2.2，水平视场角≥90°，垂直视场角≥56°；支持2D/3D数字降噪；兼容H.265/H.264视频压缩技术；</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sz w:val="20"/>
                      <w:szCs w:val="20"/>
                      <w:highlight w:val="none"/>
                    </w:rPr>
                    <w:t>▲</w:t>
                  </w:r>
                  <w:r>
                    <w:rPr>
                      <w:rFonts w:hint="eastAsia" w:ascii="宋体" w:hAnsi="宋体" w:eastAsia="宋体" w:cs="宋体"/>
                      <w:color w:val="auto"/>
                      <w:kern w:val="0"/>
                      <w:sz w:val="20"/>
                      <w:szCs w:val="20"/>
                      <w:highlight w:val="none"/>
                      <w:lang w:bidi="ar"/>
                    </w:rPr>
                    <w:t>12、配备两路视频采集通道，一路用于实验操作视频的全景录制；一路用于侧拍，辅助记录实验操作细节。</w:t>
                  </w:r>
                </w:p>
              </w:tc>
              <w:tc>
                <w:tcPr>
                  <w:tcW w:w="533" w:type="dxa"/>
                  <w:vAlign w:val="center"/>
                </w:tcPr>
                <w:p w14:paraId="7EC8D0A9">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24</w:t>
                  </w:r>
                </w:p>
              </w:tc>
              <w:tc>
                <w:tcPr>
                  <w:tcW w:w="510" w:type="dxa"/>
                  <w:vAlign w:val="center"/>
                </w:tcPr>
                <w:p w14:paraId="7875F46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　</w:t>
                  </w:r>
                </w:p>
              </w:tc>
            </w:tr>
            <w:tr w14:paraId="4014A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0B3FF3F9">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817" w:type="dxa"/>
                  <w:vAlign w:val="center"/>
                </w:tcPr>
                <w:p w14:paraId="2C969F1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便携式考试系统</w:t>
                  </w:r>
                </w:p>
              </w:tc>
              <w:tc>
                <w:tcPr>
                  <w:tcW w:w="6150" w:type="dxa"/>
                </w:tcPr>
                <w:p w14:paraId="66EDD613">
                  <w:pPr>
                    <w:widowControl/>
                    <w:jc w:val="left"/>
                    <w:textAlignment w:val="top"/>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1.登录验证：要求支持准考证输入登录，准确快速验证考生身份，适配多地考务文件需求。需支持USB键盘输入和触控软键盘输入两种输入方式。</w:t>
                  </w:r>
                </w:p>
                <w:p w14:paraId="0E83E693">
                  <w:pPr>
                    <w:widowControl/>
                    <w:jc w:val="left"/>
                    <w:textAlignment w:val="top"/>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2.要求具有摄像头检测功能：客户端软件打开后自动弹出摄像头检测画面，学生核对摄像头角度、清晰度无误后，才可进行考试。</w:t>
                  </w:r>
                </w:p>
                <w:p w14:paraId="76FB301E">
                  <w:pPr>
                    <w:widowControl/>
                    <w:jc w:val="left"/>
                    <w:textAlignment w:val="top"/>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▲3.要求具有考前信息确认功能：系统支持考生考前查看实验注意事项确认个人信息、阅读考生须知，考生确认无误后，方可开始考试。</w:t>
                  </w:r>
                </w:p>
                <w:p w14:paraId="5C2C6729">
                  <w:pPr>
                    <w:widowControl/>
                    <w:jc w:val="left"/>
                    <w:textAlignment w:val="top"/>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4.考试准备：实验考试前，根据考试科目、内容提示实验所需准备的器材，并提醒考生检查核准无误后开始考试。</w:t>
                  </w:r>
                </w:p>
                <w:p w14:paraId="1FAF1EF7">
                  <w:pPr>
                    <w:widowControl/>
                    <w:jc w:val="left"/>
                    <w:textAlignment w:val="top"/>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▲5.考试倒计时：系统需支持考试全过程倒计时，帮助学生把握考试作答时间。</w:t>
                  </w:r>
                </w:p>
                <w:p w14:paraId="684BFC17">
                  <w:pPr>
                    <w:widowControl/>
                    <w:jc w:val="left"/>
                    <w:textAlignment w:val="top"/>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6.考试答卷：要求支持查看实验步骤，并根据实验结果在答题区作答，作答内容支持外接键盘鼠标输入，也支持触控软键盘输入两种输入方式，支持中文、英文等输入内容。</w:t>
                  </w:r>
                </w:p>
                <w:p w14:paraId="106C2824">
                  <w:pPr>
                    <w:widowControl/>
                    <w:jc w:val="left"/>
                    <w:textAlignment w:val="top"/>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7.考试记录：要求系统支持对考生的实验操作过程进行高清录制，并存储在本地。</w:t>
                  </w:r>
                </w:p>
                <w:p w14:paraId="24BFE568">
                  <w:pPr>
                    <w:widowControl/>
                    <w:jc w:val="left"/>
                    <w:textAlignment w:val="top"/>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▲8.提前交卷：要求系统支持提前交卷配置，定义可提前交卷时间，达到指定时间，学生可主动提前交卷离场。</w:t>
                  </w:r>
                </w:p>
                <w:p w14:paraId="0CCF5766">
                  <w:pPr>
                    <w:widowControl/>
                    <w:jc w:val="left"/>
                    <w:textAlignment w:val="top"/>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▲9.要求具有强制交卷功能：当考试时间结束后，系统将强制交卷。</w:t>
                  </w:r>
                </w:p>
                <w:p w14:paraId="7EF4DCF5">
                  <w:pPr>
                    <w:widowControl/>
                    <w:jc w:val="left"/>
                    <w:textAlignment w:val="top"/>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▲10.为了避免考试过程中采集到考生画面，要求支持自动识别人像，并动态打码。</w:t>
                  </w:r>
                </w:p>
                <w:p w14:paraId="01F31EBE">
                  <w:pPr>
                    <w:widowControl/>
                    <w:jc w:val="left"/>
                    <w:textAlignment w:val="top"/>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11.要求实验操作视频同步录制本地保存，服务端崩溃不影响学生端的视频录制。支持视频回看。</w:t>
                  </w:r>
                </w:p>
                <w:p w14:paraId="27FC7779">
                  <w:pPr>
                    <w:widowControl/>
                    <w:jc w:val="left"/>
                    <w:textAlignment w:val="top"/>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12.要求视频支持自动上传：考生交卷后，考试视频自动上传到考试平台，以弹窗的方式实时显示上传进度。</w:t>
                  </w:r>
                </w:p>
                <w:p w14:paraId="06988D33">
                  <w:pPr>
                    <w:widowControl/>
                    <w:jc w:val="left"/>
                    <w:textAlignment w:val="top"/>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▲13.异常恢复：要求学生端支持发生异常后能自动恢复考试，即时现场发生异常后 ,学生端重新点击进入程序，学生端可继续考试，答题信息实时保存，无需重复作答。</w:t>
                  </w:r>
                </w:p>
              </w:tc>
              <w:tc>
                <w:tcPr>
                  <w:tcW w:w="533" w:type="dxa"/>
                  <w:vAlign w:val="center"/>
                </w:tcPr>
                <w:p w14:paraId="106CD9B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24</w:t>
                  </w:r>
                </w:p>
              </w:tc>
              <w:tc>
                <w:tcPr>
                  <w:tcW w:w="510" w:type="dxa"/>
                  <w:vAlign w:val="center"/>
                </w:tcPr>
                <w:p w14:paraId="7F19239B">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套　</w:t>
                  </w:r>
                </w:p>
              </w:tc>
            </w:tr>
            <w:tr w14:paraId="785DF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0462D6BB">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3</w:t>
                  </w:r>
                </w:p>
              </w:tc>
              <w:tc>
                <w:tcPr>
                  <w:tcW w:w="817" w:type="dxa"/>
                  <w:vAlign w:val="center"/>
                </w:tcPr>
                <w:p w14:paraId="7418544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考试管理工作站（国产化）</w:t>
                  </w:r>
                </w:p>
              </w:tc>
              <w:tc>
                <w:tcPr>
                  <w:tcW w:w="6150" w:type="dxa"/>
                </w:tcPr>
                <w:p w14:paraId="0E49F650">
                  <w:pPr>
                    <w:pStyle w:val="7"/>
                    <w:widowControl/>
                    <w:numPr>
                      <w:ilvl w:val="0"/>
                      <w:numId w:val="1"/>
                    </w:numPr>
                    <w:ind w:firstLineChars="0"/>
                    <w:jc w:val="left"/>
                    <w:textAlignment w:val="top"/>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处理器≥8核，CPU主频≥3.0GHz，国产化;</w:t>
                  </w:r>
                </w:p>
                <w:p w14:paraId="2D5A4CE7">
                  <w:pPr>
                    <w:pStyle w:val="7"/>
                    <w:widowControl/>
                    <w:numPr>
                      <w:ilvl w:val="0"/>
                      <w:numId w:val="1"/>
                    </w:numPr>
                    <w:ind w:firstLineChars="0"/>
                    <w:jc w:val="left"/>
                    <w:textAlignment w:val="top"/>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内存：≥16G DDR4 2666 ECC，内存插槽：4个，最大内存支持：128GB；</w:t>
                  </w:r>
                </w:p>
                <w:p w14:paraId="2425762E">
                  <w:pPr>
                    <w:pStyle w:val="7"/>
                    <w:widowControl/>
                    <w:numPr>
                      <w:ilvl w:val="0"/>
                      <w:numId w:val="1"/>
                    </w:numPr>
                    <w:ind w:firstLineChars="0"/>
                    <w:jc w:val="left"/>
                    <w:textAlignment w:val="top"/>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配置≥512GB SSD固态硬盘+1TB机械硬盘;</w:t>
                  </w:r>
                </w:p>
                <w:p w14:paraId="2C766559">
                  <w:pPr>
                    <w:widowControl/>
                    <w:jc w:val="left"/>
                    <w:textAlignment w:val="top"/>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4、显卡： 标配2G独立显卡，支持VGA+HDMI视频输出显示； 5、网卡：千兆网卡；</w:t>
                  </w:r>
                </w:p>
                <w:p w14:paraId="3EACE4D2">
                  <w:pPr>
                    <w:widowControl/>
                    <w:jc w:val="left"/>
                    <w:textAlignment w:val="top"/>
                    <w:rPr>
                      <w:rFonts w:hint="eastAsia" w:ascii="宋体" w:hAnsi="宋体" w:eastAsia="宋体" w:cs="宋体"/>
                      <w:color w:val="auto"/>
                      <w:sz w:val="20"/>
                      <w:szCs w:val="20"/>
                      <w:highlight w:val="none"/>
                    </w:rPr>
                  </w:pPr>
                  <w:r>
                    <w:rPr>
                      <w:rFonts w:hint="eastAsia" w:ascii="宋体" w:hAnsi="宋体" w:cs="宋体"/>
                      <w:color w:val="auto"/>
                      <w:sz w:val="20"/>
                      <w:szCs w:val="20"/>
                      <w:highlight w:val="none"/>
                      <w:lang w:val="en-US" w:eastAsia="zh-CN"/>
                    </w:rPr>
                    <w:t>5</w:t>
                  </w:r>
                  <w:r>
                    <w:rPr>
                      <w:rFonts w:hint="eastAsia" w:ascii="宋体" w:hAnsi="宋体" w:eastAsia="宋体" w:cs="宋体"/>
                      <w:color w:val="auto"/>
                      <w:sz w:val="20"/>
                      <w:szCs w:val="20"/>
                      <w:highlight w:val="none"/>
                    </w:rPr>
                    <w:t>、机箱：机箱≥13.6L，支持全高全长扩展卡</w:t>
                  </w:r>
                  <w:r>
                    <w:rPr>
                      <w:rFonts w:hint="eastAsia" w:ascii="宋体" w:hAnsi="宋体" w:eastAsia="宋体" w:cs="宋体"/>
                      <w:color w:val="auto"/>
                      <w:sz w:val="20"/>
                      <w:szCs w:val="20"/>
                      <w:highlight w:val="none"/>
                    </w:rPr>
                    <w:tab/>
                  </w:r>
                  <w:r>
                    <w:rPr>
                      <w:rFonts w:hint="eastAsia" w:ascii="宋体" w:hAnsi="宋体" w:eastAsia="宋体" w:cs="宋体"/>
                      <w:color w:val="auto"/>
                      <w:sz w:val="20"/>
                      <w:szCs w:val="20"/>
                      <w:highlight w:val="none"/>
                    </w:rPr>
                    <w:t>免工具拆卸机箱、带顶置提手，支持键盘开机；</w:t>
                  </w:r>
                </w:p>
                <w:p w14:paraId="0B68EE65">
                  <w:pPr>
                    <w:widowControl/>
                    <w:jc w:val="left"/>
                    <w:textAlignment w:val="top"/>
                    <w:rPr>
                      <w:rFonts w:hint="eastAsia" w:ascii="宋体" w:hAnsi="宋体" w:eastAsia="宋体" w:cs="宋体"/>
                      <w:color w:val="auto"/>
                      <w:sz w:val="20"/>
                      <w:szCs w:val="20"/>
                      <w:highlight w:val="none"/>
                    </w:rPr>
                  </w:pPr>
                  <w:r>
                    <w:rPr>
                      <w:rFonts w:hint="eastAsia" w:ascii="宋体" w:hAnsi="宋体" w:cs="宋体"/>
                      <w:color w:val="auto"/>
                      <w:sz w:val="20"/>
                      <w:szCs w:val="20"/>
                      <w:highlight w:val="none"/>
                      <w:lang w:val="en-US" w:eastAsia="zh-CN"/>
                    </w:rPr>
                    <w:t>6</w:t>
                  </w:r>
                  <w:r>
                    <w:rPr>
                      <w:rFonts w:hint="eastAsia" w:ascii="宋体" w:hAnsi="宋体" w:eastAsia="宋体" w:cs="宋体"/>
                      <w:color w:val="auto"/>
                      <w:sz w:val="20"/>
                      <w:szCs w:val="20"/>
                      <w:highlight w:val="none"/>
                    </w:rPr>
                    <w:t>；电源：电源功率≤180W；电源通过80PLUS认证；</w:t>
                  </w:r>
                </w:p>
                <w:p w14:paraId="771E9A15">
                  <w:pPr>
                    <w:widowControl/>
                    <w:jc w:val="left"/>
                    <w:textAlignment w:val="top"/>
                    <w:rPr>
                      <w:rFonts w:hint="eastAsia" w:ascii="宋体" w:hAnsi="宋体" w:eastAsia="宋体" w:cs="宋体"/>
                      <w:color w:val="auto"/>
                      <w:sz w:val="20"/>
                      <w:szCs w:val="20"/>
                      <w:highlight w:val="none"/>
                    </w:rPr>
                  </w:pPr>
                  <w:r>
                    <w:rPr>
                      <w:rFonts w:hint="eastAsia" w:ascii="宋体" w:hAnsi="宋体" w:cs="宋体"/>
                      <w:color w:val="auto"/>
                      <w:sz w:val="20"/>
                      <w:szCs w:val="20"/>
                      <w:highlight w:val="none"/>
                      <w:lang w:val="en-US" w:eastAsia="zh-CN"/>
                    </w:rPr>
                    <w:t>7</w:t>
                  </w:r>
                  <w:r>
                    <w:rPr>
                      <w:rFonts w:hint="eastAsia" w:ascii="宋体" w:hAnsi="宋体" w:eastAsia="宋体" w:cs="宋体"/>
                      <w:color w:val="auto"/>
                      <w:sz w:val="20"/>
                      <w:szCs w:val="20"/>
                      <w:highlight w:val="none"/>
                    </w:rPr>
                    <w:t>、键鼠：原厂标配USB键盘、USB光电鼠标；</w:t>
                  </w:r>
                </w:p>
                <w:p w14:paraId="2F24F48B">
                  <w:pPr>
                    <w:widowControl/>
                    <w:jc w:val="left"/>
                    <w:textAlignment w:val="top"/>
                    <w:rPr>
                      <w:rFonts w:hint="eastAsia" w:ascii="宋体" w:hAnsi="宋体" w:eastAsia="宋体" w:cs="宋体"/>
                      <w:color w:val="auto"/>
                      <w:sz w:val="20"/>
                      <w:szCs w:val="20"/>
                      <w:highlight w:val="none"/>
                    </w:rPr>
                  </w:pPr>
                  <w:r>
                    <w:rPr>
                      <w:rFonts w:hint="eastAsia" w:ascii="宋体" w:hAnsi="宋体" w:cs="宋体"/>
                      <w:color w:val="auto"/>
                      <w:sz w:val="20"/>
                      <w:szCs w:val="20"/>
                      <w:highlight w:val="none"/>
                      <w:lang w:val="en-US" w:eastAsia="zh-CN"/>
                    </w:rPr>
                    <w:t>8</w:t>
                  </w:r>
                  <w:r>
                    <w:rPr>
                      <w:rFonts w:hint="eastAsia" w:ascii="宋体" w:hAnsi="宋体" w:eastAsia="宋体" w:cs="宋体"/>
                      <w:color w:val="auto"/>
                      <w:sz w:val="20"/>
                      <w:szCs w:val="20"/>
                      <w:highlight w:val="none"/>
                    </w:rPr>
                    <w:t>、接口：≥1个PCIe x16，1个PCIe x4，1个PCIe x1扩展槽；USB接口不少于8个（其中前置USB3.0 Type A数量≥4个，后置USB3.0接口≥4个）；音频接口：前置麦克风1个，耳机1个；后端3个Audio音频接口；</w:t>
                  </w:r>
                </w:p>
                <w:p w14:paraId="5AE76801">
                  <w:pPr>
                    <w:widowControl/>
                    <w:jc w:val="left"/>
                    <w:textAlignment w:val="top"/>
                    <w:rPr>
                      <w:rFonts w:hint="eastAsia" w:ascii="宋体" w:hAnsi="宋体" w:eastAsia="宋体" w:cs="宋体"/>
                      <w:color w:val="auto"/>
                      <w:sz w:val="20"/>
                      <w:szCs w:val="20"/>
                      <w:highlight w:val="none"/>
                    </w:rPr>
                  </w:pPr>
                  <w:r>
                    <w:rPr>
                      <w:rFonts w:hint="eastAsia" w:ascii="宋体" w:hAnsi="宋体" w:cs="宋体"/>
                      <w:color w:val="auto"/>
                      <w:sz w:val="20"/>
                      <w:szCs w:val="20"/>
                      <w:highlight w:val="none"/>
                      <w:lang w:val="en-US" w:eastAsia="zh-CN"/>
                    </w:rPr>
                    <w:t>9</w:t>
                  </w:r>
                  <w:r>
                    <w:rPr>
                      <w:rFonts w:hint="eastAsia" w:ascii="宋体" w:hAnsi="宋体" w:eastAsia="宋体" w:cs="宋体"/>
                      <w:color w:val="auto"/>
                      <w:sz w:val="20"/>
                      <w:szCs w:val="20"/>
                      <w:highlight w:val="none"/>
                    </w:rPr>
                    <w:t>、显示器：≥21.5英寸，屏幕分辨率: 1920x1080;</w:t>
                  </w:r>
                </w:p>
                <w:p w14:paraId="2B4561E7">
                  <w:pPr>
                    <w:widowControl/>
                    <w:jc w:val="left"/>
                    <w:textAlignment w:val="top"/>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r>
                    <w:rPr>
                      <w:rFonts w:hint="eastAsia" w:ascii="宋体" w:hAnsi="宋体" w:cs="宋体"/>
                      <w:color w:val="auto"/>
                      <w:sz w:val="20"/>
                      <w:szCs w:val="20"/>
                      <w:highlight w:val="none"/>
                      <w:lang w:val="en-US" w:eastAsia="zh-CN"/>
                    </w:rPr>
                    <w:t>0</w:t>
                  </w:r>
                  <w:r>
                    <w:rPr>
                      <w:rFonts w:hint="eastAsia" w:ascii="宋体" w:hAnsi="宋体" w:eastAsia="宋体" w:cs="宋体"/>
                      <w:color w:val="auto"/>
                      <w:sz w:val="20"/>
                      <w:szCs w:val="20"/>
                      <w:highlight w:val="none"/>
                    </w:rPr>
                    <w:t>、售后服务：原厂五年售后上门服务（出具原厂证明函）</w:t>
                  </w:r>
                </w:p>
              </w:tc>
              <w:tc>
                <w:tcPr>
                  <w:tcW w:w="533" w:type="dxa"/>
                  <w:vAlign w:val="center"/>
                </w:tcPr>
                <w:p w14:paraId="5299AB50">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510" w:type="dxa"/>
                  <w:vAlign w:val="center"/>
                </w:tcPr>
                <w:p w14:paraId="6130DC08">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r>
            <w:tr w14:paraId="58DAF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78BB1BE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817" w:type="dxa"/>
                  <w:vAlign w:val="center"/>
                </w:tcPr>
                <w:p w14:paraId="2EA7DD3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实验实操考试监考系统</w:t>
                  </w:r>
                </w:p>
              </w:tc>
              <w:tc>
                <w:tcPr>
                  <w:tcW w:w="6150" w:type="dxa"/>
                </w:tcPr>
                <w:p w14:paraId="3BC10BDA">
                  <w:pPr>
                    <w:widowControl/>
                    <w:jc w:val="left"/>
                    <w:textAlignment w:val="top"/>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1、登录验证：账号密码登录。</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2、客户端具有监控功能，支持实时监看每个考试桌的俯视和侧视两个画面。</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3、实时监考：支持实时监考模式，可实时显示每路摄像机的状态，支持多画面布局。</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4、画面轮巡功能：监考时具有画面轮巡功能，可选择默认是否开启，支持轮巡间隔时间自由设置，支持轮巡布局，支持手动翻页显示学生画面。</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5、故障登记功能：当考场有设备出现故障影响考试过程的时候，监考老师可对故障设备进行登记，并对故障问题进行描述。提交登记信息后，相关数据实时同步到后端考试平台。</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6、作弊登记功能：监考过程中有考生作弊，监考老师可将作弊行为进行登记上报，登记信息包含：考试名称、考场、座位编号、考生个人信息及情况描述。提交登记信息后，相关数据实时同步到后端考试平台。</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7、缓考登记：监考过程中，因设备问题导致考生无法继续考试的特殊情况下，监考老师可对该考生进行缓考登记。考生信息退回到备考端，考生可重新抽签后继续参加考试。</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8、支持录入设备信息，至少包含：硬盘录像机、流媒体服务器、摄像机等设备信息，通讯协议支持市场上主流品牌的标准协议。支持设备信息同步备份至本地，支持将设备信息上传至后端管理平台。</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9、支持同时录入至少8台硬盘录像机的设备信息，支持主备之间随时切换，保障考试安全。</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10、支持通道画面与实验桌绑定，当添加摄像头时，自动接入指定通道。</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11、支持对接流媒体服务器，支持RTSP、RTMP等标准协议。</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12、支持按考试桌号对应录入俯拍摄像机、侧拍摄像机的设备信息，支持标准协议，支持多路视频流接入。</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13、考试视频可以在本地视频备份存储，并能对存储的视频进行批量统一管理。</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14、具备在线更新系统，具备问题反馈功能。</w:t>
                  </w:r>
                </w:p>
              </w:tc>
              <w:tc>
                <w:tcPr>
                  <w:tcW w:w="533" w:type="dxa"/>
                  <w:vAlign w:val="center"/>
                </w:tcPr>
                <w:p w14:paraId="2E345E5D">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510" w:type="dxa"/>
                  <w:vAlign w:val="center"/>
                </w:tcPr>
                <w:p w14:paraId="60EEC05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套</w:t>
                  </w:r>
                </w:p>
              </w:tc>
            </w:tr>
            <w:tr w14:paraId="32C5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30FF795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w:t>
                  </w:r>
                </w:p>
              </w:tc>
              <w:tc>
                <w:tcPr>
                  <w:tcW w:w="817" w:type="dxa"/>
                  <w:vAlign w:val="center"/>
                </w:tcPr>
                <w:p w14:paraId="766C644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视频处理终端</w:t>
                  </w:r>
                </w:p>
              </w:tc>
              <w:tc>
                <w:tcPr>
                  <w:tcW w:w="6150" w:type="dxa"/>
                </w:tcPr>
                <w:p w14:paraId="618FE688">
                  <w:pPr>
                    <w:widowControl/>
                    <w:jc w:val="left"/>
                    <w:textAlignment w:val="top"/>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支持嵌入式Linux系统。</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支持WEB、本地界面操作可接驳支持ONVIF、RTSP协议的第三方摄像机和主流品牌摄像机。</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支持IPv4、IPv6、HTTP、UPnP、NTP、SADP、SNMP、PPPoE、DNS、FTP、ONVIF（支持2.4版本）网络协议。</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支持最大64路网络视频接入</w:t>
                  </w:r>
                </w:p>
                <w:p w14:paraId="03985AF2">
                  <w:pPr>
                    <w:widowControl/>
                    <w:jc w:val="left"/>
                    <w:textAlignment w:val="top"/>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支持12MP/8MP/6MP/5MP/4MP/3MP/1080P/1.3MP/720P IPC分辨率接入。</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支持2×12M/4×8MP/6×5MP/8×4MP/11×3MP/16×1080P/32×720P解码，支持≥16路视频回放。</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支持VGA1/HDMI1同源输出、VGA2/HDMI2同源输出、VGA1/HDMI1和VGA2/HDMI2两组之间支持异源输出。其中HDMI1最大支持4K显示输出，VGA1/VGA2/HDMI2最大支持1080P显示输出。</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配置10TB存储，可扩展至80TB，支持RAID0、RAID1、RAID5、RAID6、RAID10等各种数据保护模式。</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具备≥1个外置eSATA接口，用于录像和备份。</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支持≥1路音频输入，支持≥2路输出，支持PC通过NVR与网络摄像机进行语音对讲。</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6路报警输出，支持开关量输入输出模式。</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具备≥4个USB接口（2个前置USB2.0接口、2个后置USB3.0接口）。</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具备≥2个千兆以太网口，支持2个不同段IP地址的IPC设备接入，支持将双网口设置同一个IP地址，实现数据链路冗余。</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具备按时间、按事件等多种方式进行录像的检索、回放、备份，具备图片本地回放与查询；</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具备标签自定义功能，设备支持对指定时间的录像进行标签并归档，便于后续查看。</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具备硬盘，eSATA方式，DVD刻录备份方式。</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具备设备操作日志、报警日志、系统日志的记录与查询功能。</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具备断网续传功能</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具备即时回放功能，在预览画面下回放指定通道的录像。</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具备预览图像与回放图像的放大。</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具备远程管理功能。</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具备切片回放功能，将录像切片等分成若干段视频进行多路同时回放。</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具备视频录像的定向存储。</w:t>
                  </w:r>
                </w:p>
              </w:tc>
              <w:tc>
                <w:tcPr>
                  <w:tcW w:w="533" w:type="dxa"/>
                  <w:vAlign w:val="center"/>
                </w:tcPr>
                <w:p w14:paraId="2BE9B4EF">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510" w:type="dxa"/>
                  <w:vAlign w:val="center"/>
                </w:tcPr>
                <w:p w14:paraId="543E9D0D">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　</w:t>
                  </w:r>
                </w:p>
              </w:tc>
            </w:tr>
            <w:tr w14:paraId="6A44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29C27F38">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6</w:t>
                  </w:r>
                </w:p>
              </w:tc>
              <w:tc>
                <w:tcPr>
                  <w:tcW w:w="817" w:type="dxa"/>
                  <w:vAlign w:val="center"/>
                </w:tcPr>
                <w:p w14:paraId="6039A2C8">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交换机</w:t>
                  </w:r>
                </w:p>
              </w:tc>
              <w:tc>
                <w:tcPr>
                  <w:tcW w:w="6150" w:type="dxa"/>
                  <w:vAlign w:val="center"/>
                </w:tcPr>
                <w:p w14:paraId="6EE72753">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固化10/100/1000M以太网端口≥48个，整机最大可用千兆口≥52；</w:t>
                  </w:r>
                </w:p>
              </w:tc>
              <w:tc>
                <w:tcPr>
                  <w:tcW w:w="533" w:type="dxa"/>
                  <w:vAlign w:val="center"/>
                </w:tcPr>
                <w:p w14:paraId="1E167E29">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510" w:type="dxa"/>
                  <w:vAlign w:val="center"/>
                </w:tcPr>
                <w:p w14:paraId="5B99519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w:t>
                  </w:r>
                </w:p>
              </w:tc>
            </w:tr>
            <w:tr w14:paraId="6A54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79CFD5FD">
                  <w:pPr>
                    <w:rPr>
                      <w:rFonts w:hint="eastAsia" w:ascii="宋体" w:hAnsi="宋体" w:eastAsia="宋体" w:cs="宋体"/>
                      <w:color w:val="auto"/>
                      <w:sz w:val="20"/>
                      <w:szCs w:val="20"/>
                      <w:highlight w:val="none"/>
                    </w:rPr>
                  </w:pPr>
                  <w:r>
                    <w:rPr>
                      <w:rFonts w:hint="eastAsia" w:ascii="宋体" w:hAnsi="宋体" w:eastAsia="宋体" w:cs="宋体"/>
                      <w:b/>
                      <w:bCs/>
                      <w:color w:val="auto"/>
                      <w:kern w:val="0"/>
                      <w:sz w:val="20"/>
                      <w:szCs w:val="20"/>
                      <w:highlight w:val="none"/>
                      <w:lang w:bidi="ar"/>
                    </w:rPr>
                    <w:t>二、</w:t>
                  </w:r>
                  <w:r>
                    <w:rPr>
                      <w:rFonts w:hint="eastAsia" w:ascii="宋体" w:hAnsi="宋体" w:eastAsia="宋体" w:cs="宋体"/>
                      <w:b/>
                      <w:bCs/>
                      <w:color w:val="auto"/>
                      <w:sz w:val="20"/>
                      <w:szCs w:val="20"/>
                      <w:highlight w:val="none"/>
                    </w:rPr>
                    <w:t>安装调试部分</w:t>
                  </w:r>
                </w:p>
              </w:tc>
            </w:tr>
            <w:tr w14:paraId="534B1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4D6BE72B">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817" w:type="dxa"/>
                  <w:vAlign w:val="center"/>
                </w:tcPr>
                <w:p w14:paraId="6E151BD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网络改造及布线</w:t>
                  </w:r>
                </w:p>
              </w:tc>
              <w:tc>
                <w:tcPr>
                  <w:tcW w:w="6150" w:type="dxa"/>
                  <w:vAlign w:val="center"/>
                </w:tcPr>
                <w:p w14:paraId="26D7EA2C">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超五类网络布线，实验台内部所需的电源线、网线、水晶头等耗材及实施</w:t>
                  </w:r>
                </w:p>
              </w:tc>
              <w:tc>
                <w:tcPr>
                  <w:tcW w:w="533" w:type="dxa"/>
                  <w:vAlign w:val="center"/>
                </w:tcPr>
                <w:p w14:paraId="34C335C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510" w:type="dxa"/>
                  <w:vAlign w:val="center"/>
                </w:tcPr>
                <w:p w14:paraId="32F3C9E0">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项</w:t>
                  </w:r>
                </w:p>
              </w:tc>
            </w:tr>
            <w:tr w14:paraId="4B03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0C3F59E6">
                  <w:pPr>
                    <w:widowControl/>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w:t>
                  </w:r>
                </w:p>
              </w:tc>
              <w:tc>
                <w:tcPr>
                  <w:tcW w:w="817" w:type="dxa"/>
                  <w:vAlign w:val="center"/>
                </w:tcPr>
                <w:p w14:paraId="721637CD">
                  <w:pPr>
                    <w:widowControl/>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系统安装调试</w:t>
                  </w:r>
                </w:p>
              </w:tc>
              <w:tc>
                <w:tcPr>
                  <w:tcW w:w="6150" w:type="dxa"/>
                </w:tcPr>
                <w:p w14:paraId="23CD0B40">
                  <w:pPr>
                    <w:widowControl/>
                    <w:jc w:val="left"/>
                    <w:textAlignment w:val="top"/>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1.信息化设备网络配置与通信调试：对实验室的信息化设备进行网络环境配置与调试，保证实验室内信息化设备与校内外平台软件服务器、视频服务器之间的正常通信</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2.平台软件用户数据初始化：指导和帮助学校在平台软件上完成教师以及所教学生等校本化的用户数据初始化（用户人数不限）</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3.平台软件功能应用培训：通过培训，帮助教师以及所教学生等平台软件用户掌握平台软件的教学功能。</w:t>
                  </w:r>
                </w:p>
              </w:tc>
              <w:tc>
                <w:tcPr>
                  <w:tcW w:w="533" w:type="dxa"/>
                  <w:vAlign w:val="center"/>
                </w:tcPr>
                <w:p w14:paraId="200E4D9D">
                  <w:pPr>
                    <w:widowControl/>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w:t>
                  </w:r>
                </w:p>
              </w:tc>
              <w:tc>
                <w:tcPr>
                  <w:tcW w:w="510" w:type="dxa"/>
                  <w:vAlign w:val="center"/>
                </w:tcPr>
                <w:p w14:paraId="3789B0A4">
                  <w:pPr>
                    <w:widowControl/>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套</w:t>
                  </w:r>
                </w:p>
              </w:tc>
            </w:tr>
          </w:tbl>
          <w:p w14:paraId="13990586">
            <w:pPr>
              <w:widowControl/>
              <w:jc w:val="left"/>
              <w:textAlignment w:val="center"/>
              <w:rPr>
                <w:rFonts w:hint="eastAsia" w:ascii="微软雅黑" w:hAnsi="微软雅黑" w:eastAsia="微软雅黑" w:cs="微软雅黑"/>
                <w:b/>
                <w:bCs/>
                <w:color w:val="auto"/>
                <w:kern w:val="0"/>
                <w:sz w:val="20"/>
                <w:szCs w:val="20"/>
                <w:highlight w:val="none"/>
                <w:lang w:bidi="ar"/>
              </w:rPr>
            </w:pPr>
            <w:r>
              <w:rPr>
                <w:rFonts w:hint="eastAsia" w:ascii="微软雅黑" w:hAnsi="微软雅黑" w:eastAsia="微软雅黑" w:cs="微软雅黑"/>
                <w:b/>
                <w:bCs/>
                <w:color w:val="auto"/>
                <w:kern w:val="0"/>
                <w:sz w:val="20"/>
                <w:szCs w:val="20"/>
                <w:highlight w:val="none"/>
                <w:lang w:bidi="ar"/>
              </w:rPr>
              <w:t>侯考抽签室：</w:t>
            </w:r>
          </w:p>
          <w:tbl>
            <w:tblPr>
              <w:tblStyle w:val="4"/>
              <w:tblpPr w:leftFromText="180" w:rightFromText="180" w:vertAnchor="text" w:horzAnchor="page" w:tblpX="1842" w:tblpY="5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722"/>
              <w:gridCol w:w="5178"/>
              <w:gridCol w:w="490"/>
              <w:gridCol w:w="504"/>
            </w:tblGrid>
            <w:tr w14:paraId="2353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5"/>
                </w:tcPr>
                <w:p w14:paraId="47B4119C">
                  <w:pPr>
                    <w:rPr>
                      <w:rFonts w:hint="eastAsia" w:ascii="宋体" w:hAnsi="宋体" w:cs="宋体"/>
                      <w:color w:val="auto"/>
                      <w:sz w:val="20"/>
                      <w:szCs w:val="20"/>
                      <w:highlight w:val="none"/>
                    </w:rPr>
                  </w:pPr>
                  <w:r>
                    <w:rPr>
                      <w:rFonts w:hint="eastAsia" w:ascii="宋体" w:hAnsi="宋体" w:cs="宋体"/>
                      <w:b/>
                      <w:bCs/>
                      <w:color w:val="auto"/>
                      <w:sz w:val="20"/>
                      <w:szCs w:val="20"/>
                      <w:highlight w:val="none"/>
                    </w:rPr>
                    <w:t>一、侯考抽签室</w:t>
                  </w:r>
                </w:p>
              </w:tc>
            </w:tr>
            <w:tr w14:paraId="351FB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174D41E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800" w:type="dxa"/>
                  <w:vAlign w:val="center"/>
                </w:tcPr>
                <w:p w14:paraId="4239F5A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触控一体机</w:t>
                  </w:r>
                </w:p>
              </w:tc>
              <w:tc>
                <w:tcPr>
                  <w:tcW w:w="6133" w:type="dxa"/>
                </w:tcPr>
                <w:p w14:paraId="7BF2AA83">
                  <w:pPr>
                    <w:widowControl/>
                    <w:numPr>
                      <w:ilvl w:val="0"/>
                      <w:numId w:val="2"/>
                    </w:numPr>
                    <w:jc w:val="left"/>
                    <w:textAlignment w:val="top"/>
                    <w:rPr>
                      <w:rFonts w:hint="eastAsia" w:ascii="宋体" w:hAnsi="宋体" w:cs="宋体"/>
                      <w:color w:val="auto"/>
                      <w:sz w:val="20"/>
                      <w:szCs w:val="20"/>
                      <w:highlight w:val="none"/>
                    </w:rPr>
                  </w:pPr>
                  <w:r>
                    <w:rPr>
                      <w:rFonts w:hint="eastAsia" w:ascii="宋体" w:hAnsi="宋体" w:cs="宋体"/>
                      <w:b/>
                      <w:bCs/>
                      <w:color w:val="auto"/>
                      <w:kern w:val="0"/>
                      <w:sz w:val="20"/>
                      <w:szCs w:val="20"/>
                      <w:highlight w:val="none"/>
                      <w:lang w:bidi="ar"/>
                    </w:rPr>
                    <w:t>整机设计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1.整体采用包边设计，表面钢化玻璃在合金边框内，四角圆弧，双重保护，安全抗冲击。</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2.屏幕尺寸</w:t>
                  </w:r>
                  <w:r>
                    <w:rPr>
                      <w:rFonts w:hint="eastAsia" w:ascii="宋体" w:hAnsi="宋体" w:cs="宋体"/>
                      <w:color w:val="auto"/>
                      <w:kern w:val="0"/>
                      <w:sz w:val="20"/>
                      <w:szCs w:val="20"/>
                      <w:highlight w:val="none"/>
                      <w:lang w:val="en-US" w:eastAsia="zh-CN" w:bidi="ar"/>
                    </w:rPr>
                    <w:t>≥</w:t>
                  </w:r>
                  <w:r>
                    <w:rPr>
                      <w:rFonts w:hint="eastAsia" w:ascii="宋体" w:hAnsi="宋体" w:cs="宋体"/>
                      <w:color w:val="auto"/>
                      <w:kern w:val="0"/>
                      <w:sz w:val="20"/>
                      <w:szCs w:val="20"/>
                      <w:highlight w:val="none"/>
                      <w:lang w:bidi="ar"/>
                    </w:rPr>
                    <w:t>86英寸，分辨率3840×2160，表面采用耐磨、防眩光、防划伤、高安全系数钢化玻璃。</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3.内置喇叭，采用防尘设计，功率2x15W。</w:t>
                  </w:r>
                  <w:r>
                    <w:rPr>
                      <w:rFonts w:hint="eastAsia" w:ascii="宋体" w:hAnsi="宋体" w:cs="宋体"/>
                      <w:color w:val="auto"/>
                      <w:kern w:val="0"/>
                      <w:sz w:val="20"/>
                      <w:szCs w:val="20"/>
                      <w:highlight w:val="none"/>
                      <w:lang w:bidi="ar"/>
                    </w:rPr>
                    <w:br w:type="textWrapping"/>
                  </w:r>
                  <w:r>
                    <w:rPr>
                      <w:rFonts w:hint="eastAsia" w:cs="Arial" w:asciiTheme="minorEastAsia" w:hAnsiTheme="minorEastAsia"/>
                      <w:color w:val="auto"/>
                      <w:sz w:val="20"/>
                      <w:szCs w:val="20"/>
                      <w:highlight w:val="none"/>
                      <w:lang w:bidi="ar"/>
                    </w:rPr>
                    <w:t>▲</w:t>
                  </w:r>
                  <w:r>
                    <w:rPr>
                      <w:rFonts w:hint="eastAsia" w:ascii="宋体" w:hAnsi="宋体" w:cs="宋体"/>
                      <w:color w:val="auto"/>
                      <w:kern w:val="0"/>
                      <w:sz w:val="20"/>
                      <w:szCs w:val="20"/>
                      <w:highlight w:val="none"/>
                      <w:lang w:bidi="ar"/>
                    </w:rPr>
                    <w:t>4.具有不少于8个前置物理按键，至少包含电源键、菜单、主页、信号源、音量、OPS，按键具备明显标识；支持电源按键三合一功能，可选择关闭产品、内置电脑、节能等。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5.采用红外多点触控技术，支持手指轻触。</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6.内置无线网络模块，采用全向信号收发设计，支持无线网络连接。</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 当设备切换到任何信号源下，均可通过HDMI输出接口将当前画面输出到其他显示设备上。</w:t>
                  </w:r>
                  <w:r>
                    <w:rPr>
                      <w:rFonts w:hint="eastAsia" w:ascii="宋体" w:hAnsi="宋体" w:cs="宋体"/>
                      <w:color w:val="auto"/>
                      <w:kern w:val="0"/>
                      <w:sz w:val="20"/>
                      <w:szCs w:val="20"/>
                      <w:highlight w:val="none"/>
                      <w:lang w:bidi="ar"/>
                    </w:rPr>
                    <w:br w:type="textWrapping"/>
                  </w:r>
                  <w:r>
                    <w:rPr>
                      <w:rFonts w:hint="eastAsia" w:cs="Arial" w:asciiTheme="minorEastAsia" w:hAnsiTheme="minorEastAsia"/>
                      <w:color w:val="auto"/>
                      <w:sz w:val="20"/>
                      <w:szCs w:val="20"/>
                      <w:highlight w:val="none"/>
                      <w:lang w:bidi="ar"/>
                    </w:rPr>
                    <w:t>▲</w:t>
                  </w:r>
                  <w:r>
                    <w:rPr>
                      <w:rFonts w:hint="eastAsia" w:ascii="宋体" w:hAnsi="宋体" w:cs="宋体"/>
                      <w:color w:val="auto"/>
                      <w:kern w:val="0"/>
                      <w:sz w:val="20"/>
                      <w:szCs w:val="20"/>
                      <w:highlight w:val="none"/>
                      <w:lang w:bidi="ar"/>
                    </w:rPr>
                    <w:t>8.内置触摸中控菜单，需支持信号源通道切换、背光、声音等，无须实体按键，在任意显示通道下均可通过手势在屏幕上调取触摸菜单，方便快捷；</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9.支持环境感光功能。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10.支持无信号接收状态时能够自动熄屏，自动熄屏的时间间隔可选，支持定时开关机。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11.内置安卓系统，系统版本14.0，内存≥4G,存储≥32G；</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12.支持无PC状态下，支持无线投屏功能，支持APP投屏、USB发射器投屏、热点共享投屏三种模式，支持手机、平板电脑、笔记本电脑多个终端无线投屏。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13.支持网络共享功能（双系统单网口上网），单根网线接入，即可实现安卓系统和内置的电脑同时有线上网。</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14. 无需借助PC，设备需支持一键进行硬件自检，至少包括对系统内存、存储、设备温度、光感系统、内置电脑、网络、摄像头、麦克风等进行状态提示及故障提示，支持一键优化。</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15.整机具有纸质护眼模式，包括素描、牛皮纸、宣纸、水彩纸等。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16.整机内置非独立的高清摄像头，摄像头像素≥1300万，视角≥118°，需支持阵列数字音频MIC，支持调用，实现场景音视录制。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17.OPS插拔式电脑：采用插拔式架构，≥80pin，屏体与插拔式电脑无单独接线；处理器配置不低于Intel Core i5；内存不低于8G；硬盘不低于256G-SSD 固态硬盘；具有独立非外扩展接口：HDMI out≥1个 、Mic in≥1个、 LINE-out≥1个、USB口≥6个，Rj45≥1个；内置有线网卡和无线网卡。</w:t>
                  </w:r>
                  <w:r>
                    <w:rPr>
                      <w:rFonts w:hint="eastAsia" w:ascii="宋体" w:hAnsi="宋体" w:cs="宋体"/>
                      <w:color w:val="auto"/>
                      <w:kern w:val="0"/>
                      <w:sz w:val="20"/>
                      <w:szCs w:val="20"/>
                      <w:highlight w:val="none"/>
                      <w:lang w:bidi="ar"/>
                    </w:rPr>
                    <w:br w:type="textWrapping"/>
                  </w:r>
                  <w:r>
                    <w:rPr>
                      <w:rFonts w:hint="eastAsia" w:ascii="宋体" w:hAnsi="宋体" w:cs="宋体"/>
                      <w:b/>
                      <w:bCs/>
                      <w:color w:val="auto"/>
                      <w:kern w:val="0"/>
                      <w:sz w:val="20"/>
                      <w:szCs w:val="20"/>
                      <w:highlight w:val="none"/>
                      <w:lang w:bidi="ar"/>
                    </w:rPr>
                    <w:t>二、同屏软件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1.支持手机、笔记本电脑等移动端通过自动搜索接收端设备和六位识别码两种方式无线连接到。</w:t>
                  </w:r>
                  <w:r>
                    <w:rPr>
                      <w:rFonts w:hint="eastAsia" w:ascii="宋体" w:hAnsi="宋体" w:cs="宋体"/>
                      <w:color w:val="auto"/>
                      <w:kern w:val="0"/>
                      <w:sz w:val="20"/>
                      <w:szCs w:val="20"/>
                      <w:highlight w:val="none"/>
                      <w:lang w:bidi="ar"/>
                    </w:rPr>
                    <w:br w:type="textWrapping"/>
                  </w:r>
                  <w:r>
                    <w:rPr>
                      <w:rFonts w:hint="eastAsia" w:asciiTheme="minorEastAsia" w:hAnsiTheme="minorEastAsia" w:eastAsiaTheme="minorEastAsia"/>
                      <w:color w:val="auto"/>
                      <w:sz w:val="20"/>
                      <w:szCs w:val="20"/>
                      <w:highlight w:val="none"/>
                    </w:rPr>
                    <w:t>▲</w:t>
                  </w:r>
                  <w:r>
                    <w:rPr>
                      <w:rFonts w:hint="eastAsia" w:ascii="宋体" w:hAnsi="宋体" w:cs="宋体"/>
                      <w:color w:val="auto"/>
                      <w:kern w:val="0"/>
                      <w:sz w:val="20"/>
                      <w:szCs w:val="20"/>
                      <w:highlight w:val="none"/>
                      <w:lang w:bidi="ar"/>
                    </w:rPr>
                    <w:t>2.支持5个投屏客户端图像画面对比展示，在上可以反向控制。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3.支持将手机中的音视频文件无线推送至,并能进行播放和进行音量控制。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4.Windows客户端投屏支持桌面同步、镜像投屏和拓展投屏功能，点击功能会跳转至对应控制页面；Windows客户端进入控制页面，支持调节投屏清晰度，支持超清、高清等标准。</w:t>
                  </w:r>
                </w:p>
              </w:tc>
              <w:tc>
                <w:tcPr>
                  <w:tcW w:w="534" w:type="dxa"/>
                  <w:vAlign w:val="center"/>
                </w:tcPr>
                <w:p w14:paraId="0409ABB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526" w:type="dxa"/>
                  <w:vAlign w:val="center"/>
                </w:tcPr>
                <w:p w14:paraId="2A266CC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r>
            <w:tr w14:paraId="42D2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2BE9AE6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800" w:type="dxa"/>
                  <w:vAlign w:val="center"/>
                </w:tcPr>
                <w:p w14:paraId="796B3AF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初中物理虚拟实验软件</w:t>
                  </w:r>
                </w:p>
              </w:tc>
              <w:tc>
                <w:tcPr>
                  <w:tcW w:w="6133" w:type="dxa"/>
                </w:tcPr>
                <w:p w14:paraId="5ACD0CD1">
                  <w:pPr>
                    <w:widowControl/>
                    <w:jc w:val="left"/>
                    <w:textAlignment w:val="top"/>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应依据初中物理教学大纲，提供至少200个物理实验资源，包括电与磁、力学、光学、热学、声学、家庭电路、近代物理模块，各类型实验应根据教学需要提供不同的实验模板、实验器材、实验设置功能，支持人教版、教科版、北师版教材；</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2.应提供不少于200种初中物理常用实验器材，器材与器材之间相互关联、相互影响，能够任意搭配自由组合新的实验，实验器材支持模糊搜索功能，可通过关键词快速搜索到相关器材；                                                                                              3.支持用户可以在pc设备上离线使用，也可以在浏览器上在线使用;支持电子白板、一体机、台式电脑、笔记本、平板电脑等设备全适配，客户端软件支持Windows、Mac OS操作系统;</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4.物理实验能够按照教材版本、章节、单元、知识点进行分类与筛选，每个实验都配置完整的实验器材，即选即用，同时提供模糊搜索和精准搜索功能，可快速查找所需实验资源；</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5.提供实验简介功能，能够显示对应实验的实验目的、实验原理、实验器材、实验步骤、实验结论等内容，同时能够自定义编辑实验简介；</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6.电与磁实验中能够表现纯电阻电路和非纯电阻电路的电学特性，能够任意组装连接各种电磁学实验：</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1）支持通过提供的导线或直接绘制导线的方式任意连接实验器材，导线能够显示；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2）实验器材参数应能够任意调节，支持烧坏提示，能够展示熔断、短路的实验现象，能够表现电流表和电压表等各种表内阻对实验产生的误差；</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3）支持电场线、等势面、磁感线等抽象概念可视化，还原难以呈现的场景，支持静电现象的自主DIY实验；</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4）提供电路图插件，具备电路图编辑功能，应提供不少于20个初中教学常用的电路图，支持自定义创建电路图，电路图与实物图可以相互转换，支持电路图一键导出功能；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提供可编辑表格。表格应用于记录实验数据，可在表格内自动录入相关器材的数据（器材包括电流表、电压表、毫安表、灵敏电流计，录入数据包括电流、电压、电阻等相关实验数据），并支持公式自动计算，可将实验数据导出为csv格式文件，可生成相应的实验数据x-y图像，显示数据的函数解析式，并能够导出对应的图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力学实验中应包含重力系统，能够自由调节空气阻力、重力加速度等实验环境，器材之间可以碰撞受力，能够提供理想的实验环境和非理想的实验环境，自由绘制各种规则形状、DIY自由形状和滑块在斜面上受力分析等场景；支持自由创建、组装新实验；</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8.光学实验中能够实现动态光路可视化，支持法线显示、反射光线、光路方向等实验显示，可以清晰呈现折射、反射、散射等现象，可以任意更改照射角度，支持利用实验器材自由DIY光路创作；</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9.声学实验能够提供声音监听系统，可以监听虚拟实验的声音和外部环境的声音，实现虚拟与现实的结合；</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10.热学实验能够实现压强对实验的影响，实验细节支持放大显示展现，实验器材能够自由搭配组装，提供温度传感器，可以完成研究晶体的融化与凝固、研究不同物质的吸热本领实验，自动记录、保存实验数据，并可以对实验数据分析处理，生成坐标曲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11.家庭电路应提供仿真家庭电路系统，完美模拟家庭电路的各种接线方式，可模拟各种家庭电路出现的情况如漏电保护、偷电等各种家庭电路场景，每个家用电器具有高度仿真的特点，还原度高；</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12.支持画笔功能，能够在实验操作界面添加标注、进行重点圈划等，笔迹能够随意擦除、撤销，免去在黑板和屏幕之间来回切换的烦恼；</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13.用户设计、修改后的实验将保存在个人实验空间，并提供实验资源管理、演示、编辑、分享、删除等功能，已删除资源应支持不少于20天的保留期，方便将误删的资源找回；</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14.提供专属个人空间，通过个人空间实现任务管理、消息管理、个人信息管理等功能，可以设置个人信息，并对登录设备进行管理；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15.物理实验应支持录屏功能，无需额外打开屏幕录制软件，即可直接将实验操作过程以MP4格式保存到本地。在录制视频时应能够根据教学需要自定义屏幕录制范围，同时能够以画中画的形式展示教师画面；</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16.资源支持鼠标交互和多点触控两种交互方式，实验操作界面可随意放大缩小并提供不少于8种实验缩放倍率选择；</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17.为避免使用过程中误操作而导致实验界面放大缩小，应支持界面锁定功能，实验操作界面被锁定后，画面将不能再进行上下左右放大缩小等操作；</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18.物理实验提供与实验资源对应的实验视频，完整演示实验操作过程，并在实验的关键操作步骤添加打点信息，用户能根据意愿进行快速定位播放相应的操作步骤；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19.提供学案&amp;作业功能板块，教师可自定义编辑学案内容，学案支持插入文字、图片、实验、试题，试题支持单选题、多选题、判断题；</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20.支持教师建立班级，学生可加入班级，教师可以发送实验和试题供学生进行实验操作与学习，学生可将学习后的成果提交至教师，教师可查阅班级内学生学习成果；</w:t>
                  </w:r>
                </w:p>
              </w:tc>
              <w:tc>
                <w:tcPr>
                  <w:tcW w:w="534" w:type="dxa"/>
                  <w:vAlign w:val="center"/>
                </w:tcPr>
                <w:p w14:paraId="0A1D743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526" w:type="dxa"/>
                  <w:vAlign w:val="center"/>
                </w:tcPr>
                <w:p w14:paraId="3129B4B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r>
            <w:tr w14:paraId="7B047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32C8443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800" w:type="dxa"/>
                  <w:vAlign w:val="center"/>
                </w:tcPr>
                <w:p w14:paraId="031894B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初中化学虚拟实验软件</w:t>
                  </w:r>
                </w:p>
              </w:tc>
              <w:tc>
                <w:tcPr>
                  <w:tcW w:w="6133" w:type="dxa"/>
                </w:tcPr>
                <w:p w14:paraId="7A1B854B">
                  <w:pPr>
                    <w:widowControl/>
                    <w:jc w:val="left"/>
                    <w:textAlignment w:val="top"/>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应依据初中化学教学大纲，提供不少于120项精品实验资源，能够按照教材版本、知识点、章节、单元、资源类型进行分类与筛选，配置完整的实验器材，即选即用，同时提供模糊搜索功能，可通过关键词搜索到相关实验资源；</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2.用户既可以在pc设备上离线使用，也可以在浏览器上在线使用;支持电子白板、一体机、台式电脑、笔记本、平板电脑等设备全适配，客户端软件支持Windows、Mac OS操作系统;</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应提供不低于150种反应容器和辅助器材，不少于250种化学药品，能够任意搭配自由组合新的实验。能够通过关键词或首字母的方式搜索反应容器、辅助器材与化学药品。化学药品能够根据固体药品、液体药品、气体药品的分类进行查找，也能够按照金属元素、非金属元素、带电离子团的方式进行快速查询；</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4.化学实验应根据教学需要提供方程式连接符号、音效、按钮文字、背景颜色等功能设置；</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化学药品应呈现重力效果，真实呈现滚动、倾倒、震荡、混合、搅拌等现象。为精确把握实验药品用量，获得精准的实验数据，化学药品的用量应支持按需添加，固体药品能够设置具体取用数值，液体药品可选择倾倒体积；</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6.提供实验简介功能，能够显示对应实验的实验目的、实验原理、实验器材、实验步骤、实验结论等内容，同时能够自定义编辑实验简介，实现个性化教学；</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化学实验能够展示热力学现象，能量能够随化学反应变化而变化，压强能够随温度和气体量变化发生相应变化；支持数据追踪系统，能够实现反应数据可视化，包括反应方程式、温度、体积、物质的量、浓度、质量等，其中化学方程式可进行任意位置的移动及放大展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8.化学实验能够合理呈现化学反应中的烟、雾、扩散等动态效果，如沉淀、溶解扩散、烟雾、火焰、气泡、絮状、析出、爆炸以及颜色变化等，还原真实实验现象；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9.化学反应产物应具有相应的化学性质，反应随条件发生，现象随反应出现，实验产物可追溯，可继续进行相应的化学反应；</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10.化学实验应具备错误操作演示功能，能够将错误操作导致的危险现象呈现，预防真实实验过程中发生不必要的危险，可以将涉及易燃易爆、有毒有害、高温高压、反应周期长等难以在课堂上进行演示的实验真实呈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11.化学实验应支持化学方程式功能，能够直接通过化学方程式跳转到对应的实验，能够查看氧化还原反应中的基本概念和电子转移，提高教学效率；</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12.支持画笔功能，能够在实验操作界面添加标注、进行重点圈划等，笔迹能够随意擦除、撤销，免去在黑板和屏幕之间来回切换的烦恼；</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13.用户设计、修改后的实验将保存在我的实验空间，并提供实验资源管理、演示、编辑、分享、删除等功能，已删除资源应支持不少于20天的保留期，方便将误删的资源找回；</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14.应提供专属个人空间，通过个人空间实现动态管理、任务管理、消息管理、个人信息管理等功能，可以设置个人信息，并对化学实验的登录设备进行管理；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15.为方便保留大量实验资料，化学实验客户端应支持录屏功能，无需额外打开屏幕录制软件，即可直接将实验操作过程以MP4格式保存到本地。在录制视频时应能够根据教学需要自定义屏幕录制范围，同时能够以画中画的形式展示教师画面；</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16.所有资源均需支持鼠标交互和多点触控两种交互方式，实验操作界面可随意放大缩小并提供不少于6种实验缩放倍率选择；</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17.为避免使用过程中误操作而导致实验界面放大缩小，应支持界面锁定功能，实验操作界面被锁定后，画面将不能再进行上下左右放大缩小等操作；</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18.化学实验提供与实验资源对应的实验视频，完整演示实验操作过程，并在实验的关键操作步骤添加打点信息，用户能根据意愿进行快速定位播放相应的操作步骤；</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19.提供学案&amp;作业功能板块，教师可自定义编辑学案内容，学案支持插入文字、图片、实验、试题，试题支持单选题、多选题、判断题；</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20.支持教师建立班级，学生可加入班级，教师可以发送实验和试题供学生进行实验操作与学习，学生可将学习后的成果提交至教师，教师可查阅班级内学生学习成果；</w:t>
                  </w:r>
                </w:p>
              </w:tc>
              <w:tc>
                <w:tcPr>
                  <w:tcW w:w="534" w:type="dxa"/>
                  <w:vAlign w:val="center"/>
                </w:tcPr>
                <w:p w14:paraId="3ADCB83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526" w:type="dxa"/>
                  <w:vAlign w:val="center"/>
                </w:tcPr>
                <w:p w14:paraId="1F1D78F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r>
            <w:tr w14:paraId="4AD3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7B4930A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800" w:type="dxa"/>
                  <w:vAlign w:val="center"/>
                </w:tcPr>
                <w:p w14:paraId="63FB857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初中生物虚拟实验软件</w:t>
                  </w:r>
                </w:p>
              </w:tc>
              <w:tc>
                <w:tcPr>
                  <w:tcW w:w="6133" w:type="dxa"/>
                </w:tcPr>
                <w:p w14:paraId="74273723">
                  <w:pPr>
                    <w:widowControl/>
                    <w:jc w:val="left"/>
                    <w:textAlignment w:val="top"/>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1.用户既可以在pc设备上离线使用，也可以在浏览器上在线使用;支持电子白板、一体机、台式电脑、笔记本、平板电脑等设备全适配，客户端软件支持Windows、Mac OS操作系统;</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2.应涵盖初中生物教学大纲的实验教学内容，提供动物学、植物学、微生物学、人体生理和生态系统等不少于150项优质教学实验资源；</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3.能够按照教材版本、知识点、章节、单元、资源类型进行分类与筛选，同时提供模糊搜索功能，可通过关键词搜索到相关实验资源；</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4.生物实验至少应包括显微镜、3D观察、视频观察、图片浏览等实验类型，其中3D高精度模型观察类实验数量不少于50个；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5.生物实验资源应有明确的实验目的、实验讨论问题，并设有参考答案进行教学引导；</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6.显微镜实验应有明确的实验目的和操作步骤，要求显微镜完全模拟真实操作，每一部件均可仿真操作，显微镜所成像为倒像，显微镜图像可全屏展示；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7.物镜倍数可在4倍、10倍、40倍之间任意切换，且成像不失真，支持图像任意移动，装片和图像位置实时对应；</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8.提供个人空间，通过个人空间实现动态管理、任务管理、消息管理、个人信息管理等功能，可以设置个人信息，并对生物实验的登录设备进行管理；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9.所有均需支持鼠标交互和多点触控两种交互方式；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10.提供学案&amp;作业功能板块，教师可自定义编辑学案内容，学案支持插入文字、图片、实验、试题，试题支持单选题、多选题、判断题；</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11.支持教师建立班级，学生可加入班级，教师可以发送实验和试题供学生进行实验操作与学习，学生可将学习后的成果提交至教师，教师可查阅班级内学生学习成果；</w:t>
                  </w:r>
                </w:p>
              </w:tc>
              <w:tc>
                <w:tcPr>
                  <w:tcW w:w="534" w:type="dxa"/>
                  <w:vAlign w:val="center"/>
                </w:tcPr>
                <w:p w14:paraId="4878173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526" w:type="dxa"/>
                  <w:vAlign w:val="center"/>
                </w:tcPr>
                <w:p w14:paraId="553ED59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r>
            <w:tr w14:paraId="3117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65370B6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800" w:type="dxa"/>
                  <w:vAlign w:val="center"/>
                </w:tcPr>
                <w:p w14:paraId="7472857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移动支架</w:t>
                  </w:r>
                </w:p>
              </w:tc>
              <w:tc>
                <w:tcPr>
                  <w:tcW w:w="6133" w:type="dxa"/>
                  <w:vAlign w:val="center"/>
                </w:tcPr>
                <w:p w14:paraId="0707260B">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适应机型：55吋-86吋</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最大承重：≥180KG</w:t>
                  </w:r>
                </w:p>
              </w:tc>
              <w:tc>
                <w:tcPr>
                  <w:tcW w:w="534" w:type="dxa"/>
                  <w:vAlign w:val="center"/>
                </w:tcPr>
                <w:p w14:paraId="268C4F2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526" w:type="dxa"/>
                  <w:vAlign w:val="center"/>
                </w:tcPr>
                <w:p w14:paraId="5E4D9D5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r>
            <w:tr w14:paraId="1458C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02FE50B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800" w:type="dxa"/>
                  <w:vAlign w:val="center"/>
                </w:tcPr>
                <w:p w14:paraId="2EE19D4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实验实操考试备考系统</w:t>
                  </w:r>
                </w:p>
              </w:tc>
              <w:tc>
                <w:tcPr>
                  <w:tcW w:w="6133" w:type="dxa"/>
                </w:tcPr>
                <w:p w14:paraId="58B7CE8D">
                  <w:pPr>
                    <w:widowControl/>
                    <w:jc w:val="left"/>
                    <w:textAlignment w:val="top"/>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1、符合初中理化生学业水平考试流程和功能应用。具有签到、抽签、缓考登记、查询抽签信息、查询故障设备信息等功能。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登录：支持账号密码登录，账号信息由考试平台统一注册、管理。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数据同步：系统包含考试信息库（含考务信息、考生信息、考场信息、批次信息等）并与考场情况动态关联；。</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签到功能：备考管理老师可对到达考点的考生进行签到登记，根据考试名称、考场、当天场次可查询相关考生信息，实时显示考试开始时间和签到开始时间。对未能到达现场的考生可作缺考登记，并自动上传后端数据库。对有特殊情况需缓考的考生可作缓考登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签到查询功能：支持按考试名称、考场、场次等信息实时查看签到历史结果。</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抽签功能：考生签到登记后，相关信息自动录入抽签池，在抽签界面可随机分配考场位置、考试科目和试卷。系统支持根据考场已设定的考位分配相应人数。抽签结果支持实时显示，并可以通过打印机打印抽签结果。</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抽签结果查询功能：支持按考试名称、考场、场次等信息实时查看抽签历史结果。支持重新打印抽签结果。</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缓考功能：系统界面可实时查看已作缓考登记考生的详细信息，包含：考生姓名、性别、身份证号、学号、准考证号、考试名称等信息。详情界面可事实查看考生缓考原因。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9、</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系统具有查看设备故障信息的功能。当监考端上报设备故障时，相关信息自动同步至考试平台和备考系统客户端，备考管理老师可实时查看故障的详情，并对相应场次的考位不再安排考生。有效避免了因设备故障导致连锁反应，从而影响考试过程。</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10、</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设备故障显示界面支持以图片的形式显示故障设备位置，便于老师直观、快速的了解相关信息。</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11、</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通知功能：当考试平台发布系统通知时，备考端可实时查看通知信息。</w:t>
                  </w:r>
                </w:p>
              </w:tc>
              <w:tc>
                <w:tcPr>
                  <w:tcW w:w="534" w:type="dxa"/>
                  <w:vAlign w:val="center"/>
                </w:tcPr>
                <w:p w14:paraId="44D7778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526" w:type="dxa"/>
                  <w:vAlign w:val="center"/>
                </w:tcPr>
                <w:p w14:paraId="70B1382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r>
            <w:tr w14:paraId="049E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2E3B570B">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7</w:t>
                  </w:r>
                </w:p>
              </w:tc>
              <w:tc>
                <w:tcPr>
                  <w:tcW w:w="800" w:type="dxa"/>
                  <w:vAlign w:val="center"/>
                </w:tcPr>
                <w:p w14:paraId="504B3926">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抽签打印机</w:t>
                  </w:r>
                </w:p>
              </w:tc>
              <w:tc>
                <w:tcPr>
                  <w:tcW w:w="6133" w:type="dxa"/>
                  <w:vAlign w:val="center"/>
                </w:tcPr>
                <w:p w14:paraId="6B0B3304">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1.打印材质：热敏纸</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2.打印负荷：≥10,000页</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3.剪切方式：自动全切；自带锯齿形切刀</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4.输入方式：USB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5.打印机语言：GDI(基于主机语言)</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6.打印速度：黑白(正常模式)：不低于20页/分钟</w:t>
                  </w:r>
                </w:p>
              </w:tc>
              <w:tc>
                <w:tcPr>
                  <w:tcW w:w="534" w:type="dxa"/>
                  <w:vAlign w:val="center"/>
                </w:tcPr>
                <w:p w14:paraId="1B4F0698">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c>
                <w:tcPr>
                  <w:tcW w:w="526" w:type="dxa"/>
                  <w:vAlign w:val="center"/>
                </w:tcPr>
                <w:p w14:paraId="23AC47E2">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台</w:t>
                  </w:r>
                </w:p>
              </w:tc>
            </w:tr>
            <w:tr w14:paraId="7E6A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594C217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800" w:type="dxa"/>
                  <w:vAlign w:val="center"/>
                </w:tcPr>
                <w:p w14:paraId="1EE13CA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抽签电脑</w:t>
                  </w:r>
                </w:p>
              </w:tc>
              <w:tc>
                <w:tcPr>
                  <w:tcW w:w="6133" w:type="dxa"/>
                  <w:vAlign w:val="center"/>
                </w:tcPr>
                <w:p w14:paraId="1AD05165">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 处理器：6核12线程,,CPU主频≥2.0GHz</w:t>
                  </w:r>
                </w:p>
                <w:p w14:paraId="4E0BDF9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 内存：≥16G（DDR4）</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 硬盘：≥512G SSD</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 .显示器：≥23.8英寸 IPS屏 分辨率≥1920*1080</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 网卡：千兆网卡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6.键鼠套装</w:t>
                  </w:r>
                </w:p>
              </w:tc>
              <w:tc>
                <w:tcPr>
                  <w:tcW w:w="534" w:type="dxa"/>
                  <w:vAlign w:val="center"/>
                </w:tcPr>
                <w:p w14:paraId="2F15208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526" w:type="dxa"/>
                  <w:vAlign w:val="center"/>
                </w:tcPr>
                <w:p w14:paraId="251B9B09">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r>
          </w:tbl>
          <w:p w14:paraId="2424930E">
            <w:pPr>
              <w:rPr>
                <w:rFonts w:hint="eastAsia" w:ascii="微软雅黑" w:hAnsi="微软雅黑" w:eastAsia="微软雅黑" w:cs="微软雅黑"/>
                <w:b/>
                <w:bCs/>
                <w:color w:val="auto"/>
                <w:kern w:val="0"/>
                <w:sz w:val="20"/>
                <w:szCs w:val="20"/>
                <w:highlight w:val="none"/>
                <w:lang w:bidi="ar"/>
              </w:rPr>
            </w:pPr>
            <w:r>
              <w:rPr>
                <w:rFonts w:hint="eastAsia" w:ascii="微软雅黑" w:hAnsi="微软雅黑" w:eastAsia="微软雅黑" w:cs="微软雅黑"/>
                <w:b/>
                <w:bCs/>
                <w:color w:val="auto"/>
                <w:kern w:val="0"/>
                <w:sz w:val="20"/>
                <w:szCs w:val="20"/>
                <w:highlight w:val="none"/>
                <w:lang w:bidi="ar"/>
              </w:rPr>
              <w:br w:type="page"/>
            </w:r>
            <w:r>
              <w:rPr>
                <w:rFonts w:hint="eastAsia" w:ascii="微软雅黑" w:hAnsi="微软雅黑" w:eastAsia="微软雅黑" w:cs="微软雅黑"/>
                <w:b/>
                <w:bCs/>
                <w:color w:val="auto"/>
                <w:kern w:val="0"/>
                <w:sz w:val="20"/>
                <w:szCs w:val="20"/>
                <w:highlight w:val="none"/>
                <w:lang w:bidi="ar"/>
              </w:rPr>
              <w:t>校级服务平台系统</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819"/>
              <w:gridCol w:w="5081"/>
              <w:gridCol w:w="529"/>
              <w:gridCol w:w="462"/>
            </w:tblGrid>
            <w:tr w14:paraId="56B3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2" w:type="dxa"/>
                  <w:gridSpan w:val="5"/>
                </w:tcPr>
                <w:p w14:paraId="4EEB495B">
                  <w:pPr>
                    <w:rPr>
                      <w:rFonts w:hint="eastAsia" w:ascii="宋体" w:hAnsi="宋体" w:cs="宋体"/>
                      <w:color w:val="auto"/>
                      <w:sz w:val="20"/>
                      <w:szCs w:val="20"/>
                      <w:highlight w:val="none"/>
                    </w:rPr>
                  </w:pPr>
                  <w:r>
                    <w:rPr>
                      <w:rFonts w:hint="eastAsia" w:ascii="宋体" w:hAnsi="宋体" w:cs="宋体"/>
                      <w:b/>
                      <w:bCs/>
                      <w:color w:val="auto"/>
                      <w:sz w:val="20"/>
                      <w:szCs w:val="20"/>
                      <w:highlight w:val="none"/>
                    </w:rPr>
                    <w:t>一、校级服务平台系统配置</w:t>
                  </w:r>
                </w:p>
              </w:tc>
            </w:tr>
            <w:tr w14:paraId="4143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14:paraId="24A11D6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819" w:type="dxa"/>
                  <w:vAlign w:val="center"/>
                </w:tcPr>
                <w:p w14:paraId="776DA91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理化生实验考试与教学平台服务器 </w:t>
                  </w:r>
                  <w:r>
                    <w:rPr>
                      <w:rFonts w:hint="eastAsia" w:ascii="宋体" w:hAnsi="宋体" w:cs="宋体"/>
                      <w:b/>
                      <w:bCs/>
                      <w:color w:val="auto"/>
                      <w:kern w:val="0"/>
                      <w:sz w:val="20"/>
                      <w:szCs w:val="20"/>
                      <w:highlight w:val="none"/>
                      <w:lang w:bidi="ar"/>
                    </w:rPr>
                    <w:t>（国产化）</w:t>
                  </w:r>
                </w:p>
              </w:tc>
              <w:tc>
                <w:tcPr>
                  <w:tcW w:w="5083" w:type="dxa"/>
                </w:tcPr>
                <w:p w14:paraId="4C839A13">
                  <w:pPr>
                    <w:widowControl/>
                    <w:jc w:val="left"/>
                    <w:textAlignment w:val="top"/>
                    <w:rPr>
                      <w:rFonts w:hint="eastAsia" w:ascii="宋体" w:hAnsi="宋体" w:cs="宋体"/>
                      <w:color w:val="auto"/>
                      <w:sz w:val="20"/>
                      <w:szCs w:val="20"/>
                      <w:highlight w:val="none"/>
                    </w:rPr>
                  </w:pPr>
                  <w:r>
                    <w:rPr>
                      <w:rFonts w:hint="eastAsia" w:ascii="宋体" w:hAnsi="宋体" w:cs="宋体"/>
                      <w:color w:val="auto"/>
                      <w:sz w:val="20"/>
                      <w:szCs w:val="20"/>
                      <w:highlight w:val="none"/>
                    </w:rPr>
                    <w:t>1、国产自主品牌，非OEM；标准2U机架式服务器；</w:t>
                  </w:r>
                </w:p>
                <w:p w14:paraId="41107012">
                  <w:pPr>
                    <w:widowControl/>
                    <w:jc w:val="left"/>
                    <w:textAlignment w:val="top"/>
                    <w:rPr>
                      <w:rFonts w:hint="eastAsia" w:ascii="宋体" w:hAnsi="宋体" w:cs="宋体"/>
                      <w:color w:val="auto"/>
                      <w:sz w:val="20"/>
                      <w:szCs w:val="20"/>
                      <w:highlight w:val="none"/>
                    </w:rPr>
                  </w:pPr>
                  <w:r>
                    <w:rPr>
                      <w:rFonts w:hint="eastAsia" w:ascii="宋体" w:hAnsi="宋体" w:cs="宋体"/>
                      <w:color w:val="auto"/>
                      <w:sz w:val="20"/>
                      <w:szCs w:val="20"/>
                      <w:highlight w:val="none"/>
                    </w:rPr>
                    <w:t>2、处理器：≥2颗海光5000系列国产处理器，单CPU主频≥2.5GHz，单CPU核数≥16；</w:t>
                  </w:r>
                </w:p>
                <w:p w14:paraId="3FAF5364">
                  <w:pPr>
                    <w:widowControl/>
                    <w:jc w:val="left"/>
                    <w:textAlignment w:val="top"/>
                    <w:rPr>
                      <w:rFonts w:hint="eastAsia" w:ascii="宋体" w:hAnsi="宋体" w:cs="宋体"/>
                      <w:color w:val="auto"/>
                      <w:sz w:val="20"/>
                      <w:szCs w:val="20"/>
                      <w:highlight w:val="none"/>
                    </w:rPr>
                  </w:pPr>
                  <w:r>
                    <w:rPr>
                      <w:rFonts w:hint="eastAsia" w:ascii="宋体" w:hAnsi="宋体" w:cs="宋体"/>
                      <w:color w:val="auto"/>
                      <w:sz w:val="20"/>
                      <w:szCs w:val="20"/>
                      <w:highlight w:val="none"/>
                    </w:rPr>
                    <w:t>3、内存：≥256GB DDR4内存，≥16个内存插槽，可扩展支持内存容量≥2TB；</w:t>
                  </w:r>
                </w:p>
                <w:p w14:paraId="27631AB6">
                  <w:pPr>
                    <w:widowControl/>
                    <w:jc w:val="left"/>
                    <w:textAlignment w:val="top"/>
                    <w:rPr>
                      <w:rFonts w:hint="eastAsia" w:ascii="宋体" w:hAnsi="宋体" w:cs="宋体"/>
                      <w:color w:val="auto"/>
                      <w:sz w:val="20"/>
                      <w:szCs w:val="20"/>
                      <w:highlight w:val="none"/>
                    </w:rPr>
                  </w:pPr>
                  <w:r>
                    <w:rPr>
                      <w:rFonts w:hint="eastAsia" w:ascii="宋体" w:hAnsi="宋体" w:cs="宋体"/>
                      <w:color w:val="auto"/>
                      <w:sz w:val="20"/>
                      <w:szCs w:val="20"/>
                      <w:highlight w:val="none"/>
                    </w:rPr>
                    <w:t>4、硬盘：≥2块480G SSD，≥2块4T SATA HDD；最大可支持前置12块硬盘+4块后置硬盘+内置2块M.2 SSD硬盘，前置支持SAS/SATA/NVMe硬盘混插；支持≥8块NVMe硬盘；</w:t>
                  </w:r>
                </w:p>
                <w:p w14:paraId="57347BF8">
                  <w:pPr>
                    <w:widowControl/>
                    <w:jc w:val="left"/>
                    <w:textAlignment w:val="top"/>
                    <w:rPr>
                      <w:rFonts w:hint="eastAsia" w:ascii="宋体" w:hAnsi="宋体" w:cs="宋体"/>
                      <w:color w:val="auto"/>
                      <w:sz w:val="20"/>
                      <w:szCs w:val="20"/>
                      <w:highlight w:val="none"/>
                    </w:rPr>
                  </w:pPr>
                  <w:r>
                    <w:rPr>
                      <w:rFonts w:hint="eastAsia" w:ascii="宋体" w:hAnsi="宋体" w:cs="宋体"/>
                      <w:color w:val="auto"/>
                      <w:sz w:val="20"/>
                      <w:szCs w:val="20"/>
                      <w:highlight w:val="none"/>
                    </w:rPr>
                    <w:t>5、RAID：配置与服务器同品牌的独立8通道1GB缓存高性能SAS RAID卡，带电池保护，支持RAID0/1/5/6/10/50等；</w:t>
                  </w:r>
                </w:p>
                <w:p w14:paraId="4C65E3D5">
                  <w:pPr>
                    <w:widowControl/>
                    <w:jc w:val="left"/>
                    <w:textAlignment w:val="top"/>
                    <w:rPr>
                      <w:rFonts w:hint="eastAsia" w:ascii="宋体" w:hAnsi="宋体" w:cs="宋体"/>
                      <w:color w:val="auto"/>
                      <w:sz w:val="20"/>
                      <w:szCs w:val="20"/>
                      <w:highlight w:val="none"/>
                    </w:rPr>
                  </w:pPr>
                  <w:r>
                    <w:rPr>
                      <w:rFonts w:hint="eastAsia" w:ascii="宋体" w:hAnsi="宋体" w:cs="宋体"/>
                      <w:color w:val="auto"/>
                      <w:sz w:val="20"/>
                      <w:szCs w:val="20"/>
                      <w:highlight w:val="none"/>
                    </w:rPr>
                    <w:t>6、网络：≥4个千兆以太网口，1个独立的千兆以太网管理网口；</w:t>
                  </w:r>
                </w:p>
                <w:p w14:paraId="0DEF9816">
                  <w:pPr>
                    <w:widowControl/>
                    <w:jc w:val="left"/>
                    <w:textAlignment w:val="top"/>
                    <w:rPr>
                      <w:rFonts w:hint="eastAsia" w:ascii="宋体" w:hAnsi="宋体" w:cs="宋体"/>
                      <w:color w:val="auto"/>
                      <w:sz w:val="20"/>
                      <w:szCs w:val="20"/>
                      <w:highlight w:val="none"/>
                    </w:rPr>
                  </w:pPr>
                  <w:r>
                    <w:rPr>
                      <w:rFonts w:hint="eastAsia" w:ascii="宋体" w:hAnsi="宋体" w:cs="宋体"/>
                      <w:color w:val="auto"/>
                      <w:sz w:val="20"/>
                      <w:szCs w:val="20"/>
                      <w:highlight w:val="none"/>
                    </w:rPr>
                    <w:t>7、I/O扩展：最大支持≥5个PCI-E4.0插槽；配置≥2个VGA口（前后端各1个），≥1个串口，≥4个USB接口（3个USB3.0，1个USB2.0）；</w:t>
                  </w:r>
                </w:p>
                <w:p w14:paraId="45E3E15B">
                  <w:pPr>
                    <w:widowControl/>
                    <w:jc w:val="left"/>
                    <w:textAlignment w:val="top"/>
                    <w:rPr>
                      <w:rFonts w:hint="eastAsia" w:ascii="宋体" w:hAnsi="宋体" w:cs="宋体"/>
                      <w:color w:val="auto"/>
                      <w:sz w:val="20"/>
                      <w:szCs w:val="20"/>
                      <w:highlight w:val="none"/>
                    </w:rPr>
                  </w:pPr>
                  <w:r>
                    <w:rPr>
                      <w:rFonts w:hint="eastAsia" w:ascii="宋体" w:hAnsi="宋体" w:cs="宋体"/>
                      <w:color w:val="auto"/>
                      <w:sz w:val="20"/>
                      <w:szCs w:val="20"/>
                      <w:highlight w:val="none"/>
                    </w:rPr>
                    <w:t>8、预装麒麟系统；</w:t>
                  </w:r>
                </w:p>
                <w:p w14:paraId="7F12F45E">
                  <w:pPr>
                    <w:widowControl/>
                    <w:jc w:val="left"/>
                    <w:textAlignment w:val="top"/>
                    <w:rPr>
                      <w:rFonts w:hint="eastAsia" w:ascii="宋体" w:hAnsi="宋体" w:cs="宋体"/>
                      <w:color w:val="auto"/>
                      <w:sz w:val="20"/>
                      <w:szCs w:val="20"/>
                      <w:highlight w:val="none"/>
                    </w:rPr>
                  </w:pPr>
                  <w:r>
                    <w:rPr>
                      <w:rFonts w:hint="eastAsia" w:ascii="宋体" w:hAnsi="宋体" w:cs="宋体"/>
                      <w:color w:val="auto"/>
                      <w:sz w:val="20"/>
                      <w:szCs w:val="20"/>
                      <w:highlight w:val="none"/>
                    </w:rPr>
                    <w:t>9、测试认证：提供所投产品3C证书，节能证书，环保证书，MTBF测试报告（≥20万小时）；</w:t>
                  </w:r>
                </w:p>
                <w:p w14:paraId="0BDB305B">
                  <w:pPr>
                    <w:widowControl/>
                    <w:jc w:val="left"/>
                    <w:textAlignment w:val="top"/>
                    <w:rPr>
                      <w:rFonts w:hint="eastAsia" w:ascii="宋体" w:hAnsi="宋体" w:cs="宋体"/>
                      <w:color w:val="auto"/>
                      <w:sz w:val="20"/>
                      <w:szCs w:val="20"/>
                      <w:highlight w:val="none"/>
                    </w:rPr>
                  </w:pPr>
                  <w:r>
                    <w:rPr>
                      <w:rFonts w:hint="eastAsia" w:ascii="宋体" w:hAnsi="宋体" w:cs="宋体"/>
                      <w:color w:val="auto"/>
                      <w:sz w:val="20"/>
                      <w:szCs w:val="20"/>
                      <w:highlight w:val="none"/>
                    </w:rPr>
                    <w:t>10、电源及风扇：配置≥2个800W 热插拔冗余电源模块，支持1+1冗余；配置≥4个热插拔冗余风扇；</w:t>
                  </w:r>
                </w:p>
                <w:p w14:paraId="50DC5E88">
                  <w:pPr>
                    <w:widowControl/>
                    <w:jc w:val="left"/>
                    <w:textAlignment w:val="top"/>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11、安全：支持TCM和TPM安全模块；配置机箱入侵检测，在外部打开机箱盖时提供报警功能； </w:t>
                  </w:r>
                </w:p>
                <w:p w14:paraId="41D87BB1">
                  <w:pPr>
                    <w:widowControl/>
                    <w:jc w:val="left"/>
                    <w:textAlignment w:val="top"/>
                    <w:rPr>
                      <w:rFonts w:hint="eastAsia" w:ascii="宋体" w:hAnsi="宋体" w:cs="宋体"/>
                      <w:color w:val="auto"/>
                      <w:sz w:val="20"/>
                      <w:szCs w:val="20"/>
                      <w:highlight w:val="none"/>
                    </w:rPr>
                  </w:pPr>
                  <w:r>
                    <w:rPr>
                      <w:rFonts w:hint="eastAsia" w:ascii="宋体" w:hAnsi="宋体" w:cs="宋体"/>
                      <w:color w:val="auto"/>
                      <w:sz w:val="20"/>
                      <w:szCs w:val="20"/>
                      <w:highlight w:val="none"/>
                    </w:rPr>
                    <w:t>12、故障诊断：主机前面板提供故障诊断功能，具有对系统/内存/电源/风扇/温度/网络/硬盘等关键部件的故障诊断报警功能；能够分别提示硬盘故障、系统运行故障、风扇及温度故障、网络故障、内存故障和电源故障；</w:t>
                  </w:r>
                </w:p>
                <w:p w14:paraId="204D224D">
                  <w:pPr>
                    <w:widowControl/>
                    <w:jc w:val="left"/>
                    <w:textAlignment w:val="top"/>
                    <w:rPr>
                      <w:rFonts w:hint="eastAsia" w:ascii="宋体" w:hAnsi="宋体" w:cs="宋体"/>
                      <w:color w:val="auto"/>
                      <w:sz w:val="20"/>
                      <w:szCs w:val="20"/>
                      <w:highlight w:val="none"/>
                    </w:rPr>
                  </w:pPr>
                  <w:r>
                    <w:rPr>
                      <w:rFonts w:hint="eastAsia" w:ascii="宋体" w:hAnsi="宋体" w:cs="宋体"/>
                      <w:color w:val="auto"/>
                      <w:sz w:val="20"/>
                      <w:szCs w:val="20"/>
                      <w:highlight w:val="none"/>
                    </w:rPr>
                    <w:t>13、服务：三年免费整机硬件保修，三年原厂工程师上门服务，提供原厂授权书及售后服务承诺书。</w:t>
                  </w:r>
                </w:p>
              </w:tc>
              <w:tc>
                <w:tcPr>
                  <w:tcW w:w="529" w:type="dxa"/>
                  <w:vAlign w:val="center"/>
                </w:tcPr>
                <w:p w14:paraId="795F5BB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　</w:t>
                  </w:r>
                </w:p>
              </w:tc>
              <w:tc>
                <w:tcPr>
                  <w:tcW w:w="462" w:type="dxa"/>
                  <w:vAlign w:val="center"/>
                </w:tcPr>
                <w:p w14:paraId="0F1AD37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r>
            <w:tr w14:paraId="44B66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14:paraId="0DB17CB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819" w:type="dxa"/>
                  <w:vAlign w:val="center"/>
                </w:tcPr>
                <w:p w14:paraId="0505C453">
                  <w:pPr>
                    <w:widowControl/>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校级实验综合管理平台</w:t>
                  </w:r>
                </w:p>
              </w:tc>
              <w:tc>
                <w:tcPr>
                  <w:tcW w:w="5083" w:type="dxa"/>
                </w:tcPr>
                <w:p w14:paraId="40D6CD71">
                  <w:pPr>
                    <w:widowControl/>
                    <w:jc w:val="left"/>
                    <w:textAlignment w:val="top"/>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一、开放平台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1、统一认证管理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（1）支持用户的集中化和统一的管理，对各类应用进行认证集成，对用户提供统一的电子身份，支持统一的用户认证方式。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（2）支持单点登录，用户登录平台后，可直接访问已授权的应用系统或模块，无须重复登录即可在应用间进行切换。</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（3）基于分级授权可有效控制用户对不同系统的访问操作权限，统一认证服务通过提供统一的认证服务、授权服务、集中管理用户信息、集中审计。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二、基础数据管理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1、学段管理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支持对各学段信息的增、删、改、查，如初中、高中。支持查看各学段的标识信息、学段名称、创建时间等内容；</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2、学科管理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（1）支持初中、高中学段的学科信息增、删、改、查，如：物理、生物、化学等；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（2）支持查看各学科的详细信息，包含：标识信息、学科名称、创建时间等；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（3）支持关联学段功能；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（4）支持快捷搜索功能。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3、年级管理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（1）支持各年级信息的增、删、改、查功能，可根据各学校的实际情况自由创建年级名称；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（2）支持查看各年级的详细信息，包含：年级标识、年级名称、创建时间等；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（3）支持关联学段功能；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（4）支持快捷搜索功能。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4、班级管理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（1）支持对学校的各个班级进行统一管理，包括新增、查询、删除和修改；</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（2）为了更行细化管理，在新增班级时需关联教室类型、教室名称、所属年级等信息，支持自由编辑班级名称。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（3）支持查看各个班级的详细信息，包含：所属学校、班级标识、班级名称、创建时间等。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（4）支持关键字搜索功能，当管理的班级数量较多时，可通过查询功能快速定位班级信息。</w:t>
                  </w:r>
                </w:p>
              </w:tc>
              <w:tc>
                <w:tcPr>
                  <w:tcW w:w="529" w:type="dxa"/>
                  <w:vAlign w:val="center"/>
                </w:tcPr>
                <w:p w14:paraId="20C0066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62" w:type="dxa"/>
                  <w:vAlign w:val="center"/>
                </w:tcPr>
                <w:p w14:paraId="69D6CAF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r>
            <w:tr w14:paraId="70048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14:paraId="24330DC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819" w:type="dxa"/>
                  <w:vAlign w:val="center"/>
                </w:tcPr>
                <w:p w14:paraId="6CDDF58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实验考试管理系统</w:t>
                  </w:r>
                </w:p>
              </w:tc>
              <w:tc>
                <w:tcPr>
                  <w:tcW w:w="5083" w:type="dxa"/>
                </w:tcPr>
                <w:p w14:paraId="4A3E60BA">
                  <w:pPr>
                    <w:widowControl/>
                    <w:jc w:val="left"/>
                    <w:textAlignment w:val="top"/>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基础功能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个人中心：支持查看个人基本信息和账号信息。</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通知功能：支持查看考试相关的通知消息，如：考试通知、考场关闭通知等。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账号管理：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以树形结构列出主要组织机构，方便快速定位需查找的账号。</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支持查看账号信息，包含：账号、姓名、手机号、性别、应用角色等；支持给每个账号绑定角色信息。</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具有账号搜索功能：支持关键字搜索，同时支持按年级、班级、学科等不同维度的快捷搜索账号。</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角色管理：支持查看已创建的角色信息。支持新增用户角色，并根据不同的角色选配不同的管理权限。</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考场管理：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考场类别管理：支持创建、编辑、删除考场类别名称；新增考场类别时，支持选择不同物理、化学、生物等不同学科，支持自定义考场类别名称。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考场信息管理：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①</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支持查看已创建的考场信息，包含：考场名称、实验室类别、座位数、考试容纳人数、所属学校。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②</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支持新增、编辑、删除考场信息。</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③</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具有快捷搜索功能，支持关键字快速查找考场信息。</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考场故障管理：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①</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支持查看考场设备故障信息，包含：考试名称、学科、上报时间、考场场次、考场、设备编号、故障信息等。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②</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具有快捷搜索功能，支持关键字快速查找考场故障信息。</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③</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支持按年、月、学科不同维度查找考场故障信息。</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④</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关联前端实验监考系统，实时同步设备故障信息并存储。同时平台可将设备故障信息同步至实验备考系统，避免在下一场考试抽签中再安排考生到该故障座位。</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二、</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考务管理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试卷管理：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提供试卷创建及存储，可在多场考试内调用试卷使用。每张试卷都有对应试卷时长、试卷总分和及格分数。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支持查看已创建的试卷信息，支持按学科查找试卷，支持关键字搜索功能。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支持新增、修改、删除试卷信息。</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新增试卷：</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①</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支持学科选择、自定义试卷标题，支持导入试卷。</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②</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符合中学实验操作规范，支持自定义“实验准备”、“实验步骤”、“实验题目”等内容，每一步均支持图片插入。</w:t>
                  </w:r>
                  <w:r>
                    <w:rPr>
                      <w:rFonts w:hint="eastAsia" w:ascii="宋体" w:hAnsi="宋体" w:cs="宋体"/>
                      <w:color w:val="auto"/>
                      <w:kern w:val="0"/>
                      <w:sz w:val="20"/>
                      <w:szCs w:val="20"/>
                      <w:highlight w:val="none"/>
                      <w:lang w:bidi="ar"/>
                    </w:rPr>
                    <w:br w:type="textWrapping"/>
                  </w:r>
                  <w:r>
                    <w:rPr>
                      <w:rFonts w:ascii="Symbol" w:hAnsi="Symbol" w:cs="Symbol"/>
                      <w:color w:val="auto"/>
                      <w:kern w:val="0"/>
                      <w:sz w:val="20"/>
                      <w:szCs w:val="20"/>
                      <w:highlight w:val="none"/>
                      <w:lang w:bidi="ar"/>
                    </w:rPr>
                    <w:t></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实验准备：支持根据实验内容自定实验所需的器材、药品、工具等。</w:t>
                  </w:r>
                  <w:r>
                    <w:rPr>
                      <w:rFonts w:hint="eastAsia" w:ascii="宋体" w:hAnsi="宋体" w:cs="宋体"/>
                      <w:color w:val="auto"/>
                      <w:kern w:val="0"/>
                      <w:sz w:val="20"/>
                      <w:szCs w:val="20"/>
                      <w:highlight w:val="none"/>
                      <w:lang w:bidi="ar"/>
                    </w:rPr>
                    <w:br w:type="textWrapping"/>
                  </w:r>
                  <w:r>
                    <w:rPr>
                      <w:rFonts w:ascii="Symbol" w:hAnsi="Symbol" w:cs="Symbol"/>
                      <w:color w:val="auto"/>
                      <w:kern w:val="0"/>
                      <w:sz w:val="20"/>
                      <w:szCs w:val="20"/>
                      <w:highlight w:val="none"/>
                      <w:lang w:bidi="ar"/>
                    </w:rPr>
                    <w:t></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实验步骤：支持根据实验课要求，自定义实验步骤细则，明确每一步的操作要领。</w:t>
                  </w:r>
                  <w:r>
                    <w:rPr>
                      <w:rFonts w:hint="eastAsia" w:ascii="宋体" w:hAnsi="宋体" w:cs="宋体"/>
                      <w:color w:val="auto"/>
                      <w:kern w:val="0"/>
                      <w:sz w:val="20"/>
                      <w:szCs w:val="20"/>
                      <w:highlight w:val="none"/>
                      <w:lang w:bidi="ar"/>
                    </w:rPr>
                    <w:br w:type="textWrapping"/>
                  </w:r>
                  <w:r>
                    <w:rPr>
                      <w:rFonts w:ascii="Symbol" w:hAnsi="Symbol" w:cs="Symbol"/>
                      <w:color w:val="auto"/>
                      <w:kern w:val="0"/>
                      <w:sz w:val="20"/>
                      <w:szCs w:val="20"/>
                      <w:highlight w:val="none"/>
                      <w:lang w:bidi="ar"/>
                    </w:rPr>
                    <w:t></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实验题目：支持根据实验要求，自定义实验考核内容，支持填空题、选择题、简答题。</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③</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评分标准：支持自定义实验评分标准，包含评分指标、分值，为了细化评分标准，支持无限添加评分指标。</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考试管理：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提供考试列表管理，可查看考试的名称、考试学科、开始时间、结束时间等信息，也可发布通知。</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支持新增、查看、删除考试信息，具有关键字搜索功能。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创建考试：创建考试信息符合中学实验实操考试规范要求，包含：考试人员设置、考场考点设置、考试时间设置、试卷编号设置、其他设置等内容。创建考试信息时，支持学科选择、自定义考试名称。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考试人员设置：</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①</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考生设置：支持按年级、班级选择考试范围。为了满足特殊情况，支持最低按学生维度选择考试范围。</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②</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监考人员设置：支持选择监考人员范围，为了实现精细化管理，支持指定具体的监考老师。</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③</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阅卷人员设置：支持选择阅卷老师。</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④</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复核人员设置：支持选择复核人员范围，为了实现精细化管理，支持指定具体的复核人员。同时，系统具有自定甄别功能，复核人员和阅卷人员不能为同一人。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考试时间设置：</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①</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时间设置：支持设置每场考试时长、间隔时长、每日上午考试时间、没人下午考试时间等。并根据考生总数自动生成考试天数。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②</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考试日期：以日历的方式，根据考试天数选择考试起止日期。</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③</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考试安排：支持自动生成考试安排表，明确每一场考试的起止时间。</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阅卷与仲裁：</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①</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支持是否开启阅卷AI评分功能。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②</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支持阅卷开始时间、结束时间设置。</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③</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支持仲裁结束时间设置。仲裁结束时间应为阅卷工作结束之后。</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（8）试卷设置：</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①</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待选区：支持按选定的学科自动展示试卷列表，支持关键字搜索功能。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②</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已选区：实时展示已选定的试卷列表，支持关键字搜索功能。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③</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具有只显示试卷题目功能：根据各地区的考试习惯，考试时可只显示试卷题目，不显示实验准备、实验步骤等考试内容。</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（9）</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其他设置：</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①</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考试须知：支持自定义考试须知内容，考生须知内容随准考证信息一同下发至考生。</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②</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考试工作安排：支持自定义考试工作安排内容，具体内容以信息的方式通知监考人员、阅卷人员。</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③</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双评阅卷：系统支持双评阅卷功能，同一份试卷由2位老师同时评阅，最终结果支持选择平均分或最大分。支持设置双评结果误差范围值。</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缺考管理：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（1）系统平台支持与备考客户端数据互联互通，在学生签到的时候，负责抽签的老师可将缺考人员登记为缺考或缓考，并同步将数据传输至考试平台。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（2）提供缺考信息列表，可查看考试的名称、考生姓名、准考证号、登记时间、缺考状态等信息，具有关键字搜索功能。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（3）缺考操作：支持缓考、弃考、删除缺考信息等操作。</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作弊管理：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（1）系统平台支持与教师监考端数据互联互通，在考试监考过程中，当监考老师提交作弊登记后，平台可实时显示作弊考生信息。</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（2）具有作弊信息列表，可查看考试名称、考生姓名、准考证号、登记时间、考点、考场等信息，具有关键字搜索功能。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（3）视频回放：监考老师提交作弊登记后，相关考生信息、考试视频自动上传至平台并锁定。平台可回放作弊考生的考试视频，并确认作弊情况。</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缓考管理：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（1）系统平台支持与备考客户端数据互联互通，当考生遇特殊情况无法正常参加考试的时候，可报请负责抽签的老师，申请缓考登记。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（2）针对考生，在正常考试流程结束后，支持统一组织缓考考试。</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（3）发布缓考考试：创建缓考考试信息符合中学实验实操考试规范要求，包含：考试人员设置、考场考点设置、考试时间设置、试卷编号设置、其他设置等内容。创建考试信息时，支持学科选择。</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（4）支持缓考考生信息列表，可查看原考试名称、学科、考试姓名、准考证号、登记时间、缓考原因等信息。支持查看单个缓考考生的详细信息。</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（5）支持关键字搜索功能，支持按学科筛选缓考考生。</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成绩管理：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（1）具有成绩信息列表，可查看考试名称、学科、考试时间、总分值、考生等信息。</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（2）具有关键字搜索功能，还支持按年份、月份、学科等不同维度快速筛选。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（3）支持查看每场考试的成绩分析：</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①整体信息：支持自动统计该场考试的平均分、最高分、最低分、及格率。</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②考试排名：支持按分数自动排名该场考场的成绩信息。</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（4）支持成绩信息下载功能。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（5）支持成绩发布功能，成绩发布后教师和学生即可在平台查询考生成绩信息。</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争议仲裁：</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争议管理：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系统引入“双评机制”，即同一份试卷由两位老师评阅，当两次评分超出误差范围，系统自动评定为争议试卷，列入争议管理范围，由复核老师再次评阅试卷，促进阅卷工作的公平、公正。</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①</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具有争议试卷列表，可查看考试名称、学科、试卷名称、评定时间、当前状态等信息。</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②</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复核阅卷：当出现争议试卷后，复核老师可介入阅卷过程，调出考试视频、实验步骤、评分标准、电子答题卡等内容重新审核打分，并给出最终得分结果。</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③</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复核打分：复核老师在阅卷过程中可根据评分标准及学生实操情况给予权威判分，同时可根据作弊情况给予扣分。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仲裁管理：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系统引入“仲裁机制”，即考生对评分有异议的时候，可申请仲裁。考生反馈的实验考试评分结果仲裁需要考务人员对反馈进行处理或拒绝，拒绝需要填写原因，同意仲裁的话需要分配复核阅卷老师进行重新评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①</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具有仲裁管理列表，可查看考试名称、学科、试卷名称、申请时间、当前状态等信息。</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②</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仲裁提交：</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①</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阅卷工作完成后，考试在登录平台查看分数，对得分有异议的可在查询界面提交争议仲裁申请，并写明仲裁原因。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②</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查询界面可实时查看仲裁状态。</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仲裁阅卷：</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①</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在考务人员分配完阅卷人员后相关人员可收到仲裁阅卷通知，在阅卷后提交结果至考务人员。</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②</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在阅卷人员提交阅卷结果后，考务人员可查看阅卷结果，但不显示阅卷人员姓名，以1.2.3代替。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③</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在所有已选阅卷人员均阅卷完成后，考务人员可选择支持的阅卷结果分数并填写仲裁结论并将新分数和结论反馈至考生。</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三、</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考试成绩查询</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所有阅卷工作结束后，考生可登录平台查询个人得分情况。</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1、检索功能：支持按年、月、学科、考试名称等多个维度搜索。</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2、成绩列表：支持考生成绩列表功能，可查看考试名称、学科、开始时间、结束时间、状态等信息。</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3、为了保护学生隐私，主页面不显示得分，需逐项点开查看单个学科得分情况，并由学生自主选择是否仲裁。</w:t>
                  </w:r>
                </w:p>
              </w:tc>
              <w:tc>
                <w:tcPr>
                  <w:tcW w:w="529" w:type="dxa"/>
                  <w:vAlign w:val="center"/>
                </w:tcPr>
                <w:p w14:paraId="5AB3227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62" w:type="dxa"/>
                  <w:vAlign w:val="center"/>
                </w:tcPr>
                <w:p w14:paraId="0D20A43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r>
            <w:tr w14:paraId="6C65D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14:paraId="7CFB79B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819" w:type="dxa"/>
                  <w:vAlign w:val="center"/>
                </w:tcPr>
                <w:p w14:paraId="0157ECC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实验考试阅卷系统</w:t>
                  </w:r>
                </w:p>
              </w:tc>
              <w:tc>
                <w:tcPr>
                  <w:tcW w:w="5083" w:type="dxa"/>
                </w:tcPr>
                <w:p w14:paraId="0D34AAE9">
                  <w:pPr>
                    <w:widowControl/>
                    <w:jc w:val="left"/>
                    <w:textAlignment w:val="top"/>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 xml:space="preserve">平台采用B/S架构，支持分布式部署；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学生考试完成后，考试系统自动合成视频信息，并上传至平台存储，具有阅卷权限的老师和调阅考试视频。</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阅卷老师进行视频阅卷，展示学生实验考试记录。如果多名阅卷老师 ，分值差大于设定阈值，则学生考试信息自动进入争议数据库，包含视频的播放，实验步骤、评分标准和答题内容。复核老师有权修改最终得分。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引入“双评机制”：即同一份试卷由两位老师评阅，当两次评分超出误差范围，系统自动评定为争议试卷，列入争议管理范围，由复核老师再次评阅试卷，促进阅卷工作的公平、公正。</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引入“盲评机制”：即考务人员分配完阅卷人员后相关人员可收到阅卷通知，在阅卷后提交结果至考务人员，考务人员可查看阅卷结果，但不显示阅卷人员姓名，以1.2.3代替。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考试视频可按照设定内置算法自动切片，形成切片预览，便于阅卷老师按实验步骤快速定位实验视频。</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w:t>
                  </w:r>
                  <w:r>
                    <w:rPr>
                      <w:rFonts w:ascii="Arial" w:hAnsi="Arial" w:cs="Arial"/>
                      <w:color w:val="auto"/>
                      <w:kern w:val="0"/>
                      <w:sz w:val="20"/>
                      <w:szCs w:val="20"/>
                      <w:highlight w:val="none"/>
                      <w:lang w:bidi="ar"/>
                    </w:rPr>
                    <w:t xml:space="preserve"> </w:t>
                  </w:r>
                  <w:r>
                    <w:rPr>
                      <w:rFonts w:hint="eastAsia" w:ascii="宋体" w:hAnsi="宋体" w:cs="宋体"/>
                      <w:color w:val="auto"/>
                      <w:kern w:val="0"/>
                      <w:sz w:val="20"/>
                      <w:szCs w:val="20"/>
                      <w:highlight w:val="none"/>
                      <w:lang w:bidi="ar"/>
                    </w:rPr>
                    <w:t>为了便于阅卷老师观看考试视频，老师可将视频进行全屏播放。视频播放过程中，可随时暂停和停止播放。</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8、视频阅卷界面实时显示计划阅卷结束的倒计时，当原定时间内不能完成阅卷工作时，可申请延长阅卷时间。</w:t>
                  </w:r>
                </w:p>
              </w:tc>
              <w:tc>
                <w:tcPr>
                  <w:tcW w:w="529" w:type="dxa"/>
                  <w:vAlign w:val="center"/>
                </w:tcPr>
                <w:p w14:paraId="51D9D51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62" w:type="dxa"/>
                  <w:vAlign w:val="center"/>
                </w:tcPr>
                <w:p w14:paraId="1635F5C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r>
            <w:tr w14:paraId="0CC3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dxa"/>
                  <w:vAlign w:val="center"/>
                </w:tcPr>
                <w:p w14:paraId="3408DFE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819" w:type="dxa"/>
                  <w:vAlign w:val="center"/>
                </w:tcPr>
                <w:p w14:paraId="2801740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机柜</w:t>
                  </w:r>
                </w:p>
              </w:tc>
              <w:tc>
                <w:tcPr>
                  <w:tcW w:w="5083" w:type="dxa"/>
                </w:tcPr>
                <w:p w14:paraId="02882FDB">
                  <w:pPr>
                    <w:widowControl/>
                    <w:jc w:val="left"/>
                    <w:textAlignment w:val="top"/>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≥22U</w:t>
                  </w:r>
                </w:p>
              </w:tc>
              <w:tc>
                <w:tcPr>
                  <w:tcW w:w="529" w:type="dxa"/>
                  <w:vAlign w:val="center"/>
                </w:tcPr>
                <w:p w14:paraId="2500DC1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62" w:type="dxa"/>
                  <w:vAlign w:val="center"/>
                </w:tcPr>
                <w:p w14:paraId="06310B6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r>
          </w:tbl>
          <w:p w14:paraId="0FDB82CF">
            <w:pPr>
              <w:rPr>
                <w:color w:val="auto"/>
                <w:sz w:val="20"/>
                <w:szCs w:val="20"/>
                <w:highlight w:val="none"/>
              </w:rPr>
            </w:pPr>
          </w:p>
        </w:tc>
      </w:tr>
    </w:tbl>
    <w:p w14:paraId="655DB579">
      <w:pPr>
        <w:pStyle w:val="6"/>
        <w:outlineLvl w:val="2"/>
        <w:rPr>
          <w:color w:val="auto"/>
        </w:rPr>
      </w:pPr>
      <w:r>
        <w:rPr>
          <w:b/>
          <w:color w:val="auto"/>
          <w:sz w:val="28"/>
        </w:rPr>
        <w:t>3.4商务要求</w:t>
      </w:r>
    </w:p>
    <w:p w14:paraId="516D3D9F">
      <w:pPr>
        <w:pStyle w:val="6"/>
        <w:outlineLvl w:val="3"/>
        <w:rPr>
          <w:color w:val="auto"/>
        </w:rPr>
      </w:pPr>
      <w:r>
        <w:rPr>
          <w:b/>
          <w:color w:val="auto"/>
          <w:sz w:val="24"/>
        </w:rPr>
        <w:t xml:space="preserve"> 3.4.1交货时间</w:t>
      </w:r>
    </w:p>
    <w:p w14:paraId="1D16029A">
      <w:pPr>
        <w:pStyle w:val="6"/>
        <w:rPr>
          <w:color w:val="auto"/>
        </w:rPr>
      </w:pPr>
      <w:r>
        <w:rPr>
          <w:color w:val="auto"/>
        </w:rPr>
        <w:t>采购包1：</w:t>
      </w:r>
    </w:p>
    <w:p w14:paraId="67EB2280">
      <w:pPr>
        <w:pStyle w:val="6"/>
        <w:rPr>
          <w:color w:val="auto"/>
        </w:rPr>
      </w:pPr>
      <w:r>
        <w:rPr>
          <w:color w:val="auto"/>
        </w:rPr>
        <w:t>自合同签订生效之日起30日内完成供货、安装、调试、验收。</w:t>
      </w:r>
    </w:p>
    <w:p w14:paraId="131D2B50">
      <w:pPr>
        <w:pStyle w:val="6"/>
        <w:outlineLvl w:val="3"/>
        <w:rPr>
          <w:color w:val="auto"/>
        </w:rPr>
      </w:pPr>
      <w:r>
        <w:rPr>
          <w:b/>
          <w:color w:val="auto"/>
          <w:sz w:val="24"/>
        </w:rPr>
        <w:t>3.4.2交货地点</w:t>
      </w:r>
    </w:p>
    <w:p w14:paraId="0595AC5A">
      <w:pPr>
        <w:pStyle w:val="6"/>
        <w:rPr>
          <w:color w:val="auto"/>
        </w:rPr>
      </w:pPr>
      <w:r>
        <w:rPr>
          <w:color w:val="auto"/>
        </w:rPr>
        <w:t>采购包1：</w:t>
      </w:r>
    </w:p>
    <w:p w14:paraId="28CE716E">
      <w:pPr>
        <w:pStyle w:val="6"/>
        <w:rPr>
          <w:color w:val="auto"/>
        </w:rPr>
      </w:pPr>
      <w:r>
        <w:rPr>
          <w:color w:val="auto"/>
        </w:rPr>
        <w:t>按采购人指定地点。</w:t>
      </w:r>
    </w:p>
    <w:p w14:paraId="04FD0565">
      <w:pPr>
        <w:pStyle w:val="6"/>
        <w:outlineLvl w:val="3"/>
        <w:rPr>
          <w:color w:val="auto"/>
        </w:rPr>
      </w:pPr>
      <w:r>
        <w:rPr>
          <w:b/>
          <w:color w:val="auto"/>
          <w:sz w:val="24"/>
        </w:rPr>
        <w:t>3.4.3支付方式</w:t>
      </w:r>
    </w:p>
    <w:p w14:paraId="32B30CB2">
      <w:pPr>
        <w:pStyle w:val="6"/>
        <w:rPr>
          <w:color w:val="auto"/>
        </w:rPr>
      </w:pPr>
      <w:r>
        <w:rPr>
          <w:color w:val="auto"/>
        </w:rPr>
        <w:t>采购包1：</w:t>
      </w:r>
    </w:p>
    <w:p w14:paraId="14F41ECF">
      <w:pPr>
        <w:pStyle w:val="6"/>
        <w:outlineLvl w:val="3"/>
        <w:rPr>
          <w:rFonts w:hint="eastAsia"/>
          <w:color w:val="auto"/>
          <w:lang w:val="en-US" w:eastAsia="zh-CN"/>
        </w:rPr>
      </w:pPr>
      <w:r>
        <w:rPr>
          <w:rFonts w:hint="eastAsia"/>
          <w:color w:val="auto"/>
          <w:lang w:val="en-US" w:eastAsia="zh-CN"/>
        </w:rPr>
        <w:t>分期支付</w:t>
      </w:r>
    </w:p>
    <w:p w14:paraId="51053AB6">
      <w:pPr>
        <w:pStyle w:val="6"/>
        <w:outlineLvl w:val="3"/>
        <w:rPr>
          <w:color w:val="auto"/>
        </w:rPr>
      </w:pPr>
      <w:r>
        <w:rPr>
          <w:b/>
          <w:color w:val="auto"/>
          <w:sz w:val="24"/>
        </w:rPr>
        <w:t>3.4.4支付约定</w:t>
      </w:r>
    </w:p>
    <w:p w14:paraId="48670157">
      <w:pPr>
        <w:pStyle w:val="6"/>
        <w:rPr>
          <w:color w:val="auto"/>
        </w:rPr>
      </w:pPr>
      <w:r>
        <w:rPr>
          <w:color w:val="auto"/>
        </w:rPr>
        <w:t>采购包1： 付款条件说明：</w:t>
      </w:r>
      <w:r>
        <w:rPr>
          <w:rFonts w:hint="eastAsia"/>
          <w:color w:val="auto"/>
        </w:rPr>
        <w:t>签订采购合同</w:t>
      </w:r>
      <w:r>
        <w:rPr>
          <w:rFonts w:hint="eastAsia"/>
          <w:color w:val="auto"/>
          <w:lang w:val="en-US" w:eastAsia="zh-CN"/>
        </w:rPr>
        <w:t>后</w:t>
      </w:r>
      <w:r>
        <w:rPr>
          <w:color w:val="auto"/>
        </w:rPr>
        <w:t>，</w:t>
      </w:r>
      <w:r>
        <w:rPr>
          <w:rFonts w:hint="eastAsia"/>
          <w:color w:val="auto"/>
          <w:lang w:val="en-US" w:eastAsia="zh-CN"/>
        </w:rPr>
        <w:t>支付合同总金额的30%作为预付款，</w:t>
      </w:r>
      <w:r>
        <w:rPr>
          <w:color w:val="auto"/>
        </w:rPr>
        <w:t>达到付款条件起 7 日内，支付合同总金额的</w:t>
      </w:r>
      <w:r>
        <w:rPr>
          <w:rFonts w:hint="eastAsia"/>
          <w:color w:val="auto"/>
          <w:lang w:val="en-US" w:eastAsia="zh-CN"/>
        </w:rPr>
        <w:t>30</w:t>
      </w:r>
      <w:r>
        <w:rPr>
          <w:color w:val="auto"/>
        </w:rPr>
        <w:t>.00%。</w:t>
      </w:r>
    </w:p>
    <w:p w14:paraId="7E890AD2">
      <w:pPr>
        <w:pStyle w:val="6"/>
        <w:rPr>
          <w:color w:val="auto"/>
        </w:rPr>
      </w:pPr>
      <w:r>
        <w:rPr>
          <w:color w:val="auto"/>
        </w:rPr>
        <w:t>付款条件说明：</w:t>
      </w:r>
      <w:r>
        <w:rPr>
          <w:rFonts w:hint="eastAsia"/>
          <w:color w:val="auto"/>
        </w:rPr>
        <w:t>供货、安装、调试、验收</w:t>
      </w:r>
      <w:r>
        <w:rPr>
          <w:rFonts w:hint="eastAsia"/>
          <w:color w:val="auto"/>
          <w:lang w:val="en-US" w:eastAsia="zh-CN"/>
        </w:rPr>
        <w:t>合格后</w:t>
      </w:r>
      <w:r>
        <w:rPr>
          <w:color w:val="auto"/>
        </w:rPr>
        <w:t>，</w:t>
      </w:r>
      <w:r>
        <w:rPr>
          <w:rFonts w:hint="eastAsia"/>
          <w:color w:val="auto"/>
          <w:lang w:val="en-US" w:eastAsia="zh-CN"/>
        </w:rPr>
        <w:t>支付合同总金额的70%，</w:t>
      </w:r>
      <w:r>
        <w:rPr>
          <w:color w:val="auto"/>
        </w:rPr>
        <w:t>达到付款条件起 7 日内，支付合同总金额的</w:t>
      </w:r>
      <w:r>
        <w:rPr>
          <w:rFonts w:hint="eastAsia"/>
          <w:color w:val="auto"/>
          <w:lang w:val="en-US" w:eastAsia="zh-CN"/>
        </w:rPr>
        <w:t>70</w:t>
      </w:r>
      <w:r>
        <w:rPr>
          <w:color w:val="auto"/>
        </w:rPr>
        <w:t>.00%。</w:t>
      </w:r>
    </w:p>
    <w:p w14:paraId="19FF8D1E">
      <w:pPr>
        <w:pStyle w:val="6"/>
        <w:outlineLvl w:val="3"/>
        <w:rPr>
          <w:color w:val="auto"/>
        </w:rPr>
      </w:pPr>
      <w:r>
        <w:rPr>
          <w:b/>
          <w:color w:val="auto"/>
          <w:sz w:val="24"/>
        </w:rPr>
        <w:t>3.4.5验收标准和方法</w:t>
      </w:r>
    </w:p>
    <w:p w14:paraId="174CA568">
      <w:pPr>
        <w:pStyle w:val="6"/>
        <w:rPr>
          <w:color w:val="auto"/>
        </w:rPr>
      </w:pPr>
      <w:r>
        <w:rPr>
          <w:color w:val="auto"/>
        </w:rPr>
        <w:t>采购包1：</w:t>
      </w:r>
    </w:p>
    <w:p w14:paraId="4429B2C5">
      <w:pPr>
        <w:pStyle w:val="6"/>
        <w:rPr>
          <w:color w:val="auto"/>
        </w:rPr>
      </w:pPr>
      <w:r>
        <w:rPr>
          <w:color w:val="auto"/>
        </w:rPr>
        <w:t>所有设备（产品）数量、型号、技术指标及配置等全部按招标文件、投标文件及澄清函等进行验收。各项指标均应符合要求，若所验设备（产品）的指标、性能参数通过验收达不到要求，或在使用中发现采购人不能容忍的缺陷等，将视为设备（产品）验收不合格，投标人应免费更换或退货。</w:t>
      </w:r>
    </w:p>
    <w:p w14:paraId="7ABF63DF">
      <w:pPr>
        <w:pStyle w:val="6"/>
        <w:outlineLvl w:val="3"/>
        <w:rPr>
          <w:color w:val="auto"/>
        </w:rPr>
      </w:pPr>
      <w:r>
        <w:rPr>
          <w:b/>
          <w:color w:val="auto"/>
          <w:sz w:val="24"/>
        </w:rPr>
        <w:t>3.4.6包装方式及运输</w:t>
      </w:r>
    </w:p>
    <w:p w14:paraId="447B9635">
      <w:pPr>
        <w:pStyle w:val="6"/>
        <w:rPr>
          <w:color w:val="auto"/>
        </w:rPr>
      </w:pPr>
      <w:r>
        <w:rPr>
          <w:color w:val="auto"/>
        </w:rPr>
        <w:t>采购包1：</w:t>
      </w:r>
    </w:p>
    <w:p w14:paraId="7813492F">
      <w:pPr>
        <w:pStyle w:val="6"/>
        <w:numPr>
          <w:ilvl w:val="0"/>
          <w:numId w:val="3"/>
        </w:numPr>
        <w:rPr>
          <w:color w:val="auto"/>
          <w:highlight w:val="none"/>
        </w:rPr>
      </w:pPr>
      <w:r>
        <w:rPr>
          <w:color w:val="auto"/>
          <w:highlight w:val="none"/>
        </w:rPr>
        <w:t xml:space="preserve">包装要求： </w:t>
      </w:r>
    </w:p>
    <w:p w14:paraId="7CE10788">
      <w:pPr>
        <w:pStyle w:val="6"/>
        <w:numPr>
          <w:ilvl w:val="0"/>
          <w:numId w:val="0"/>
        </w:numPr>
        <w:rPr>
          <w:color w:val="auto"/>
          <w:highlight w:val="none"/>
        </w:rPr>
      </w:pPr>
      <w:r>
        <w:rPr>
          <w:rFonts w:hint="eastAsia"/>
          <w:color w:val="auto"/>
          <w:highlight w:val="none"/>
          <w:lang w:val="en-US" w:eastAsia="zh-CN"/>
        </w:rPr>
        <w:t>1.1</w:t>
      </w:r>
      <w:r>
        <w:rPr>
          <w:color w:val="auto"/>
          <w:highlight w:val="none"/>
        </w:rPr>
        <w:t xml:space="preserve">全部货物（产品）均应按照国家、行业规定的标准和保护措施进行包装，该包装应适应于远距离运输、防潮、防震、防锈和防野蛮装卸，以确保货物安全运抵指定地点。 </w:t>
      </w:r>
    </w:p>
    <w:p w14:paraId="1EB97543">
      <w:pPr>
        <w:pStyle w:val="6"/>
        <w:numPr>
          <w:ilvl w:val="0"/>
          <w:numId w:val="0"/>
        </w:numPr>
        <w:rPr>
          <w:color w:val="auto"/>
          <w:highlight w:val="none"/>
        </w:rPr>
      </w:pPr>
      <w:r>
        <w:rPr>
          <w:rFonts w:hint="eastAsia"/>
          <w:color w:val="auto"/>
          <w:highlight w:val="none"/>
          <w:lang w:val="en-US" w:eastAsia="zh-CN"/>
        </w:rPr>
        <w:t>1.2</w:t>
      </w:r>
      <w:r>
        <w:rPr>
          <w:color w:val="auto"/>
          <w:highlight w:val="none"/>
        </w:rPr>
        <w:t xml:space="preserve">当包装使用塑料、纸质、木材等包装材料时，除应当按照国家、行业规定的包装标准进行包装外，还需按照《商品包装政府采购需求标准（试行）》（财办库[2020]）123号）规定的环保要求进行包装。 </w:t>
      </w:r>
      <w:r>
        <w:rPr>
          <w:rFonts w:hint="eastAsia"/>
          <w:color w:val="auto"/>
          <w:highlight w:val="none"/>
          <w:lang w:val="en-US" w:eastAsia="zh-CN"/>
        </w:rPr>
        <w:t>1.3</w:t>
      </w:r>
      <w:r>
        <w:rPr>
          <w:color w:val="auto"/>
          <w:highlight w:val="none"/>
        </w:rPr>
        <w:t>当采用快递交货方式时，快递包装除应当按照国家、行业规定的包装标准进行包装外，还需按照《快递包装政府采购需求标准（试行）》（财办库[2020]）123号）规定的环保要求进行包装。</w:t>
      </w:r>
    </w:p>
    <w:p w14:paraId="2EA7FB23">
      <w:pPr>
        <w:keepNext w:val="0"/>
        <w:keepLines w:val="0"/>
        <w:pageBreakBefore w:val="0"/>
        <w:widowControl w:val="0"/>
        <w:numPr>
          <w:ilvl w:val="0"/>
          <w:numId w:val="0"/>
        </w:numPr>
        <w:kinsoku/>
        <w:wordWrap/>
        <w:overflowPunct/>
        <w:topLinePunct w:val="0"/>
        <w:bidi w:val="0"/>
        <w:textAlignment w:val="auto"/>
        <w:rPr>
          <w:rFonts w:hint="eastAsia" w:ascii="宋体" w:hAnsi="宋体" w:eastAsia="宋体" w:cs="宋体"/>
          <w:color w:val="auto"/>
          <w:highlight w:val="none"/>
          <w:lang w:val="en-US" w:eastAsia="zh-CN"/>
        </w:rPr>
      </w:pPr>
      <w:r>
        <w:rPr>
          <w:color w:val="auto"/>
          <w:highlight w:val="none"/>
        </w:rPr>
        <w:t xml:space="preserve">2、运输要求： </w:t>
      </w:r>
    </w:p>
    <w:p w14:paraId="4BDB4056">
      <w:pPr>
        <w:pStyle w:val="6"/>
        <w:numPr>
          <w:ilvl w:val="0"/>
          <w:numId w:val="0"/>
        </w:numPr>
        <w:rPr>
          <w:rFonts w:hint="eastAsia"/>
          <w:color w:val="auto"/>
          <w:highlight w:val="none"/>
          <w:lang w:val="en-US" w:eastAsia="zh-CN"/>
        </w:rPr>
      </w:pPr>
      <w:r>
        <w:rPr>
          <w:rFonts w:hint="eastAsia"/>
          <w:color w:val="auto"/>
          <w:highlight w:val="none"/>
          <w:lang w:val="en-US" w:eastAsia="zh-CN"/>
        </w:rPr>
        <w:t>2.1投标人负责所有产品的运输，确保采购产品安全、完整到达采购人指定地点。运杂费用包含在合同总价内，包括从产品供应地点所含的运输费、装卸费、仓储费、保险费等。</w:t>
      </w:r>
    </w:p>
    <w:p w14:paraId="37D4EBF6">
      <w:pPr>
        <w:pStyle w:val="6"/>
        <w:numPr>
          <w:ilvl w:val="0"/>
          <w:numId w:val="0"/>
        </w:numPr>
        <w:rPr>
          <w:rFonts w:hint="eastAsia"/>
          <w:color w:val="auto"/>
          <w:highlight w:val="none"/>
          <w:lang w:val="en-US" w:eastAsia="zh-CN"/>
        </w:rPr>
      </w:pPr>
      <w:r>
        <w:rPr>
          <w:rFonts w:hint="eastAsia"/>
          <w:color w:val="auto"/>
          <w:highlight w:val="none"/>
          <w:lang w:val="en-US" w:eastAsia="zh-CN"/>
        </w:rPr>
        <w:t>2.2运输方式由投标人自行选择，但必须保证按期交货所欲采购货物在运输、搬运的过程中，造成采购人损失的，由投标人为采购人免费更换。</w:t>
      </w:r>
    </w:p>
    <w:p w14:paraId="58196C13">
      <w:pPr>
        <w:pStyle w:val="6"/>
        <w:numPr>
          <w:ilvl w:val="0"/>
          <w:numId w:val="0"/>
        </w:numPr>
        <w:rPr>
          <w:color w:val="auto"/>
          <w:highlight w:val="none"/>
        </w:rPr>
      </w:pPr>
      <w:r>
        <w:rPr>
          <w:rFonts w:hint="eastAsia"/>
          <w:color w:val="auto"/>
          <w:highlight w:val="none"/>
          <w:lang w:val="en-US" w:eastAsia="zh-CN"/>
        </w:rPr>
        <w:t>2.3</w:t>
      </w:r>
      <w:r>
        <w:rPr>
          <w:color w:val="auto"/>
          <w:highlight w:val="none"/>
        </w:rPr>
        <w:t>采用公路或铁路运输方式，选择风险小、运费低和运距短的运输路线。运杂费一次性包死在总价内，采购人不再额外支付，包括从生产厂家到使用（安装）现场的包装、装载、运输、卸载、现场保管、二次倒运等费用。</w:t>
      </w:r>
    </w:p>
    <w:p w14:paraId="3BCB6054">
      <w:pPr>
        <w:pStyle w:val="6"/>
        <w:outlineLvl w:val="3"/>
        <w:rPr>
          <w:color w:val="auto"/>
        </w:rPr>
      </w:pPr>
      <w:r>
        <w:rPr>
          <w:b/>
          <w:color w:val="auto"/>
          <w:sz w:val="24"/>
        </w:rPr>
        <w:t>3.4.7质量保修范围和保修期</w:t>
      </w:r>
    </w:p>
    <w:p w14:paraId="13BFFE8B">
      <w:pPr>
        <w:pStyle w:val="6"/>
        <w:rPr>
          <w:color w:val="auto"/>
        </w:rPr>
      </w:pPr>
      <w:r>
        <w:rPr>
          <w:color w:val="auto"/>
        </w:rPr>
        <w:t>采购包1：</w:t>
      </w:r>
    </w:p>
    <w:p w14:paraId="24CA435B">
      <w:pPr>
        <w:pStyle w:val="6"/>
        <w:rPr>
          <w:color w:val="auto"/>
        </w:rPr>
      </w:pPr>
      <w:r>
        <w:rPr>
          <w:color w:val="auto"/>
        </w:rPr>
        <w:t>设备（产品）的质保期不少于24个月；投标人承诺超过招标文件要求的，按其承诺的质保期进行质保，质保期起始时间为终验合格之日。</w:t>
      </w:r>
    </w:p>
    <w:p w14:paraId="48401C6A">
      <w:pPr>
        <w:pStyle w:val="6"/>
        <w:outlineLvl w:val="3"/>
        <w:rPr>
          <w:color w:val="auto"/>
        </w:rPr>
      </w:pPr>
      <w:r>
        <w:rPr>
          <w:b/>
          <w:color w:val="auto"/>
          <w:sz w:val="24"/>
        </w:rPr>
        <w:t>3.4.8违约责任与解决争议的方法</w:t>
      </w:r>
    </w:p>
    <w:p w14:paraId="3D0DF3CD">
      <w:pPr>
        <w:pStyle w:val="6"/>
        <w:rPr>
          <w:color w:val="auto"/>
        </w:rPr>
      </w:pPr>
      <w:r>
        <w:rPr>
          <w:color w:val="auto"/>
        </w:rPr>
        <w:t>采购包1：</w:t>
      </w:r>
    </w:p>
    <w:p w14:paraId="7A8DB320">
      <w:pPr>
        <w:pStyle w:val="6"/>
        <w:rPr>
          <w:color w:val="auto"/>
        </w:rPr>
      </w:pPr>
      <w:r>
        <w:rPr>
          <w:color w:val="auto"/>
        </w:rPr>
        <w:t>详见合同</w:t>
      </w:r>
    </w:p>
    <w:p w14:paraId="2B9F4CD6">
      <w:pPr>
        <w:pStyle w:val="6"/>
        <w:jc w:val="left"/>
        <w:outlineLvl w:val="2"/>
        <w:rPr>
          <w:color w:val="auto"/>
        </w:rPr>
      </w:pPr>
      <w:r>
        <w:rPr>
          <w:b/>
          <w:color w:val="auto"/>
          <w:sz w:val="28"/>
        </w:rPr>
        <w:t>3.5其他要求</w:t>
      </w:r>
    </w:p>
    <w:p w14:paraId="753D0441">
      <w:pPr>
        <w:pStyle w:val="6"/>
        <w:rPr>
          <w:color w:val="auto"/>
        </w:rPr>
      </w:pPr>
      <w:r>
        <w:rPr>
          <w:color w:val="auto"/>
        </w:rPr>
        <w:t>一、中标人在领取中标通知书时提供纸质版投标文件2套，应通过专用制作软件直接打印，确保与电子投标文件保持一致，不允许修改和补充。提交地点：西安市莲湖区丰登南路9号怡景花园酒店裙楼（A座）2层招标二部。 二、投标人的投标报价包括投标人完成本项目所需直接费、间接费、利润、税金及其他相关的一切费用。包括但不限于：产品费、附件费、工具费、验收费、运输费、保险费、安装费、调试费、技术服务费（含售后）、采购代理服务费、税金、利润及不可预见费等全部费用。 三、投标有效期：1.出现特殊情况需要延长投标有效期的，采购代理机构或采购人可于投标有效期满之前，以书面形式通知所有投标人延长</w:t>
      </w:r>
      <w:r>
        <w:rPr>
          <w:rFonts w:hint="eastAsia"/>
          <w:color w:val="auto"/>
          <w:lang w:val="en-US" w:eastAsia="zh-CN"/>
        </w:rPr>
        <w:t>投标</w:t>
      </w:r>
      <w:r>
        <w:rPr>
          <w:color w:val="auto"/>
        </w:rPr>
        <w:t>有效期。投标人应予书面答复，同意延长的，应相应延长其投标保证金有效期，但不得要求或被允许修改其投标文件；投标人拒绝延长的，其投标文件失效，递交投标保证金的，投标人有权收回其投标保证金。 2.在投标有效期内，投标人撤销投标文件的，应承担招标文件和法律规定的责任。 3.中标人的投标有效期自动延长至合同终止为止。 四、合格投标少于3家的处理：评审过程中，合格投标人少于3家时，采购人应依法重新组织采购活动。 五、分公司独立参与投标时，不能使用总公司的资质或业绩；总公司单独参与投标时，除总公司所投产品为分公司生产的产品外，不能使用分公司的资质或业绩。总公司授权分公司或分支机构参与投标，可以使用总公司的资质或业绩。 六、恶意质疑、投诉的法律后果 1.对捏造事实、提供虚假材料进行质疑、投诉的行为将予以严肃处理： 《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 2.对捏造事实诬告陷害他人、诽谤他人的法律适用： （1）《中华人民共和国刑法》第243条【诬告陷害罪】捏造事实诬告陷害他人，意图使他人受刑事追究，情节严重的，处三年以下有期徒刑、拘役或者管制；造成严重后果的，处三年以上十年以下有期徒刑。 （2）《中华人民共和国刑法》第246条【侮辱罪、诽谤罪】以暴力或者其他方法公然侮辱他人或者捏造事实诽谤他人，情节严重的，处三年以下有期徒刑、拘役、管制或者剥夺政治权利。 七、签名是指手写签名或者加盖名章(含电子)，盖章是指加盖单位印章。</w:t>
      </w:r>
    </w:p>
    <w:p w14:paraId="1B0E192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693664"/>
    <w:multiLevelType w:val="multilevel"/>
    <w:tmpl w:val="26693664"/>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EDA5246"/>
    <w:multiLevelType w:val="singleLevel"/>
    <w:tmpl w:val="3EDA5246"/>
    <w:lvl w:ilvl="0" w:tentative="0">
      <w:start w:val="1"/>
      <w:numFmt w:val="decimal"/>
      <w:suff w:val="nothing"/>
      <w:lvlText w:val="%1、"/>
      <w:lvlJc w:val="left"/>
    </w:lvl>
  </w:abstractNum>
  <w:abstractNum w:abstractNumId="2">
    <w:nsid w:val="56F82068"/>
    <w:multiLevelType w:val="singleLevel"/>
    <w:tmpl w:val="56F82068"/>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937CAE"/>
    <w:rsid w:val="53F23494"/>
    <w:rsid w:val="6FBB2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null3"/>
    <w:hidden/>
    <w:qFormat/>
    <w:uiPriority w:val="0"/>
    <w:rPr>
      <w:rFonts w:hint="eastAsia" w:asciiTheme="minorHAnsi" w:hAnsiTheme="minorHAnsi" w:eastAsiaTheme="minorEastAsia" w:cstheme="minorBidi"/>
      <w:lang w:val="en-US" w:eastAsia="zh-Hans"/>
    </w:rPr>
  </w:style>
  <w:style w:type="paragraph" w:styleId="7">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18082</Words>
  <Characters>19198</Characters>
  <Lines>0</Lines>
  <Paragraphs>0</Paragraphs>
  <TotalTime>0</TotalTime>
  <ScaleCrop>false</ScaleCrop>
  <LinksUpToDate>false</LinksUpToDate>
  <CharactersWithSpaces>19480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2025-01-23T11:44:00Z</dcterms:created>
  <dc:creator>Administrator</dc:creator>
  <cp:lastModifiedBy>CLOWN-</cp:lastModifiedBy>
  <dcterms:modified xsi:type="dcterms:W3CDTF">2025-01-23T12:25:05Z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eyJoZGlkIjoiODViY2JkMjU3NGYzZTEwMzZmMGFkZWViYmNkYWU3NDIiLCJ1c2VySWQiOiI4MTA3MzA2NDAifQ==</vt:lpwstr>
  </property>
  <property fmtid="{D5CDD505-2E9C-101B-9397-08002B2CF9AE}" pid="4" name="ICV">
    <vt:lpwstr>37802E953195444CBD2331A26FF64356_12</vt:lpwstr>
  </property>
</Properties>
</file>