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4BFE0">
      <w:pPr>
        <w:ind w:right="-99" w:rightChars="-47"/>
        <w:rPr>
          <w:rFonts w:hint="eastAsia" w:ascii="仿宋" w:hAnsi="仿宋" w:eastAsia="仿宋" w:cs="仿宋"/>
          <w:b/>
          <w:color w:val="auto"/>
          <w:sz w:val="28"/>
          <w:szCs w:val="28"/>
          <w:highlight w:val="none"/>
        </w:rPr>
      </w:pPr>
      <w:bookmarkStart w:id="0" w:name="_Toc183682338"/>
      <w:bookmarkStart w:id="1" w:name="_Toc217446030"/>
    </w:p>
    <w:p w14:paraId="3EA86F5E">
      <w:pPr>
        <w:ind w:right="-99" w:rightChars="-47" w:firstLine="2530" w:firstLineChars="900"/>
        <w:jc w:val="righ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SJR2025-ZC0103</w:t>
      </w:r>
    </w:p>
    <w:p w14:paraId="590C6F01">
      <w:pPr>
        <w:tabs>
          <w:tab w:val="left" w:pos="7080"/>
        </w:tabs>
        <w:spacing w:line="580" w:lineRule="exact"/>
        <w:ind w:right="-99" w:rightChars="-47"/>
        <w:rPr>
          <w:rFonts w:hint="eastAsia" w:ascii="仿宋" w:hAnsi="仿宋" w:eastAsia="仿宋" w:cs="仿宋"/>
          <w:bCs/>
          <w:color w:val="auto"/>
          <w:spacing w:val="20"/>
          <w:kern w:val="0"/>
          <w:sz w:val="32"/>
          <w:szCs w:val="32"/>
          <w:highlight w:val="none"/>
        </w:rPr>
      </w:pPr>
    </w:p>
    <w:p w14:paraId="726A4DA5">
      <w:pPr>
        <w:spacing w:line="800" w:lineRule="exact"/>
        <w:ind w:right="-99" w:rightChars="-47"/>
        <w:jc w:val="both"/>
        <w:rPr>
          <w:rFonts w:hint="eastAsia" w:ascii="仿宋" w:hAnsi="仿宋" w:eastAsia="仿宋" w:cs="仿宋"/>
          <w:b/>
          <w:bCs/>
          <w:color w:val="auto"/>
          <w:sz w:val="44"/>
          <w:szCs w:val="44"/>
          <w:highlight w:val="none"/>
          <w:lang w:val="en-US" w:eastAsia="zh-CN"/>
        </w:rPr>
      </w:pPr>
    </w:p>
    <w:p w14:paraId="52EA6BA4">
      <w:pPr>
        <w:spacing w:line="800" w:lineRule="exact"/>
        <w:ind w:right="-99" w:rightChars="-47"/>
        <w:jc w:val="center"/>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56"/>
          <w:szCs w:val="56"/>
          <w:highlight w:val="none"/>
          <w:lang w:val="en-US" w:eastAsia="zh-CN"/>
        </w:rPr>
        <w:t>中国共产党留坝县委宣传部电影《药香谷》联合摄制服务项目</w:t>
      </w:r>
    </w:p>
    <w:p w14:paraId="3D547EF3">
      <w:pPr>
        <w:pStyle w:val="13"/>
        <w:jc w:val="both"/>
        <w:rPr>
          <w:rFonts w:hint="eastAsia" w:ascii="仿宋" w:hAnsi="仿宋" w:eastAsia="仿宋" w:cs="仿宋"/>
          <w:lang w:val="en-US" w:eastAsia="zh-CN"/>
        </w:rPr>
      </w:pPr>
    </w:p>
    <w:p w14:paraId="5A8FE053">
      <w:pPr>
        <w:pStyle w:val="13"/>
        <w:rPr>
          <w:rFonts w:hint="eastAsia" w:ascii="仿宋" w:hAnsi="仿宋" w:eastAsia="仿宋" w:cs="仿宋"/>
          <w:b/>
          <w:bCs/>
          <w:color w:val="auto"/>
          <w:sz w:val="44"/>
          <w:szCs w:val="44"/>
          <w:highlight w:val="none"/>
          <w:lang w:val="en-US" w:eastAsia="zh-CN"/>
        </w:rPr>
      </w:pPr>
    </w:p>
    <w:p w14:paraId="05915B28">
      <w:pPr>
        <w:rPr>
          <w:rFonts w:hint="eastAsia" w:ascii="仿宋" w:hAnsi="仿宋" w:eastAsia="仿宋" w:cs="仿宋"/>
          <w:lang w:val="en-US" w:eastAsia="zh-CN"/>
        </w:rPr>
      </w:pPr>
    </w:p>
    <w:p w14:paraId="783A21A8">
      <w:pPr>
        <w:pStyle w:val="29"/>
        <w:rPr>
          <w:rFonts w:hint="eastAsia" w:ascii="仿宋" w:hAnsi="仿宋" w:eastAsia="仿宋" w:cs="仿宋"/>
          <w:lang w:val="en-US" w:eastAsia="zh-CN"/>
        </w:rPr>
      </w:pPr>
    </w:p>
    <w:p w14:paraId="502A8F56">
      <w:pPr>
        <w:spacing w:line="800" w:lineRule="exact"/>
        <w:ind w:right="-99" w:rightChars="-47"/>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72"/>
          <w:szCs w:val="72"/>
          <w:highlight w:val="none"/>
        </w:rPr>
        <w:t>竞争性磋商文件</w:t>
      </w:r>
      <w:r>
        <w:rPr>
          <w:rFonts w:hint="eastAsia" w:ascii="仿宋" w:hAnsi="仿宋" w:eastAsia="仿宋" w:cs="仿宋"/>
          <w:b/>
          <w:bCs/>
          <w:color w:val="auto"/>
          <w:sz w:val="52"/>
          <w:szCs w:val="52"/>
          <w:highlight w:val="none"/>
        </w:rPr>
        <w:t xml:space="preserve"> </w:t>
      </w:r>
    </w:p>
    <w:p w14:paraId="0C803148">
      <w:pPr>
        <w:ind w:right="-99" w:rightChars="-47"/>
        <w:jc w:val="center"/>
        <w:rPr>
          <w:rFonts w:hint="eastAsia" w:ascii="仿宋" w:hAnsi="仿宋" w:eastAsia="仿宋" w:cs="仿宋"/>
          <w:color w:val="auto"/>
          <w:sz w:val="22"/>
          <w:szCs w:val="22"/>
          <w:highlight w:val="none"/>
        </w:rPr>
      </w:pPr>
    </w:p>
    <w:p w14:paraId="54A7F6CA">
      <w:pPr>
        <w:pStyle w:val="18"/>
        <w:rPr>
          <w:rFonts w:hint="eastAsia" w:ascii="仿宋" w:hAnsi="仿宋" w:eastAsia="仿宋" w:cs="仿宋"/>
        </w:rPr>
      </w:pPr>
    </w:p>
    <w:p w14:paraId="4DE387FC">
      <w:pPr>
        <w:pStyle w:val="18"/>
        <w:rPr>
          <w:rFonts w:hint="eastAsia" w:ascii="仿宋" w:hAnsi="仿宋" w:eastAsia="仿宋" w:cs="仿宋"/>
        </w:rPr>
      </w:pPr>
    </w:p>
    <w:p w14:paraId="4CB6D34E">
      <w:pPr>
        <w:ind w:right="-99" w:rightChars="-47"/>
        <w:jc w:val="center"/>
        <w:rPr>
          <w:rFonts w:hint="eastAsia" w:ascii="仿宋" w:hAnsi="仿宋" w:eastAsia="仿宋" w:cs="仿宋"/>
          <w:color w:val="auto"/>
          <w:sz w:val="18"/>
          <w:szCs w:val="18"/>
          <w:highlight w:val="none"/>
        </w:rPr>
      </w:pPr>
    </w:p>
    <w:p w14:paraId="56013370">
      <w:pPr>
        <w:ind w:right="-99" w:rightChars="-47"/>
        <w:rPr>
          <w:rFonts w:hint="eastAsia" w:ascii="仿宋" w:hAnsi="仿宋" w:eastAsia="仿宋" w:cs="仿宋"/>
          <w:color w:val="auto"/>
          <w:sz w:val="18"/>
          <w:szCs w:val="18"/>
          <w:highlight w:val="none"/>
        </w:rPr>
      </w:pPr>
    </w:p>
    <w:p w14:paraId="322E07D4">
      <w:pPr>
        <w:ind w:right="-99" w:rightChars="-47"/>
        <w:rPr>
          <w:rFonts w:hint="eastAsia" w:ascii="仿宋" w:hAnsi="仿宋" w:eastAsia="仿宋" w:cs="仿宋"/>
          <w:color w:val="auto"/>
          <w:sz w:val="18"/>
          <w:szCs w:val="18"/>
          <w:highlight w:val="none"/>
        </w:rPr>
      </w:pPr>
    </w:p>
    <w:p w14:paraId="0D3AE791">
      <w:pPr>
        <w:pStyle w:val="3"/>
        <w:rPr>
          <w:rFonts w:hint="eastAsia" w:ascii="仿宋" w:hAnsi="仿宋" w:eastAsia="仿宋" w:cs="仿宋"/>
          <w:color w:val="auto"/>
          <w:sz w:val="18"/>
          <w:szCs w:val="18"/>
          <w:highlight w:val="none"/>
          <w:lang w:eastAsia="zh-CN"/>
        </w:rPr>
      </w:pPr>
    </w:p>
    <w:p w14:paraId="709352D7">
      <w:pPr>
        <w:rPr>
          <w:rFonts w:hint="eastAsia" w:ascii="仿宋" w:hAnsi="仿宋" w:eastAsia="仿宋" w:cs="仿宋"/>
          <w:lang w:eastAsia="zh-CN"/>
        </w:rPr>
      </w:pPr>
    </w:p>
    <w:p w14:paraId="1172858E">
      <w:pPr>
        <w:ind w:right="-99" w:rightChars="-47"/>
        <w:rPr>
          <w:rFonts w:hint="eastAsia" w:ascii="仿宋" w:hAnsi="仿宋" w:eastAsia="仿宋" w:cs="仿宋"/>
          <w:color w:val="auto"/>
          <w:sz w:val="18"/>
          <w:szCs w:val="18"/>
          <w:highlight w:val="none"/>
        </w:rPr>
      </w:pPr>
    </w:p>
    <w:p w14:paraId="78B35493">
      <w:pPr>
        <w:ind w:right="-99" w:rightChars="-47"/>
        <w:rPr>
          <w:rFonts w:hint="eastAsia" w:ascii="仿宋" w:hAnsi="仿宋" w:eastAsia="仿宋" w:cs="仿宋"/>
          <w:color w:val="auto"/>
          <w:sz w:val="18"/>
          <w:szCs w:val="18"/>
          <w:highlight w:val="none"/>
        </w:rPr>
      </w:pPr>
    </w:p>
    <w:p w14:paraId="78D6E184">
      <w:pPr>
        <w:ind w:right="-99" w:rightChars="-47"/>
        <w:rPr>
          <w:rFonts w:hint="eastAsia" w:ascii="仿宋" w:hAnsi="仿宋" w:eastAsia="仿宋" w:cs="仿宋"/>
          <w:color w:val="auto"/>
          <w:sz w:val="18"/>
          <w:szCs w:val="18"/>
          <w:highlight w:val="none"/>
        </w:rPr>
      </w:pPr>
    </w:p>
    <w:p w14:paraId="5DD9E288">
      <w:pPr>
        <w:ind w:right="-99" w:rightChars="-47"/>
        <w:rPr>
          <w:rFonts w:hint="eastAsia" w:ascii="仿宋" w:hAnsi="仿宋" w:eastAsia="仿宋" w:cs="仿宋"/>
          <w:color w:val="auto"/>
          <w:sz w:val="18"/>
          <w:szCs w:val="18"/>
          <w:highlight w:val="none"/>
        </w:rPr>
      </w:pPr>
    </w:p>
    <w:p w14:paraId="264BE6DA">
      <w:pPr>
        <w:ind w:right="-99" w:rightChars="-47"/>
        <w:rPr>
          <w:rFonts w:hint="eastAsia" w:ascii="仿宋" w:hAnsi="仿宋" w:eastAsia="仿宋" w:cs="仿宋"/>
          <w:color w:val="auto"/>
          <w:sz w:val="18"/>
          <w:szCs w:val="18"/>
          <w:highlight w:val="none"/>
        </w:rPr>
      </w:pPr>
    </w:p>
    <w:p w14:paraId="28CD00E3">
      <w:pPr>
        <w:ind w:right="-99" w:rightChars="-47"/>
        <w:rPr>
          <w:rFonts w:hint="eastAsia" w:ascii="仿宋" w:hAnsi="仿宋" w:eastAsia="仿宋" w:cs="仿宋"/>
          <w:b/>
          <w:color w:val="auto"/>
          <w:sz w:val="28"/>
          <w:szCs w:val="28"/>
          <w:highlight w:val="none"/>
          <w:lang w:eastAsia="zh-CN"/>
        </w:rPr>
      </w:pPr>
    </w:p>
    <w:p w14:paraId="181CD057">
      <w:pPr>
        <w:pStyle w:val="18"/>
        <w:rPr>
          <w:rFonts w:hint="eastAsia" w:ascii="仿宋" w:hAnsi="仿宋" w:eastAsia="仿宋" w:cs="仿宋"/>
          <w:b/>
          <w:color w:val="auto"/>
          <w:sz w:val="28"/>
          <w:szCs w:val="28"/>
          <w:highlight w:val="none"/>
          <w:lang w:eastAsia="zh-CN"/>
        </w:rPr>
      </w:pPr>
    </w:p>
    <w:p w14:paraId="0ED5D328">
      <w:pPr>
        <w:rPr>
          <w:rFonts w:hint="eastAsia" w:ascii="仿宋" w:hAnsi="仿宋" w:eastAsia="仿宋" w:cs="仿宋"/>
          <w:lang w:eastAsia="zh-CN"/>
        </w:rPr>
      </w:pPr>
    </w:p>
    <w:p w14:paraId="4E556F0D">
      <w:pPr>
        <w:ind w:right="-99" w:rightChars="-47"/>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采购人：</w:t>
      </w:r>
      <w:r>
        <w:rPr>
          <w:rFonts w:hint="eastAsia" w:ascii="仿宋" w:hAnsi="仿宋" w:eastAsia="仿宋" w:cs="仿宋"/>
          <w:b/>
          <w:color w:val="auto"/>
          <w:sz w:val="28"/>
          <w:szCs w:val="28"/>
          <w:highlight w:val="none"/>
          <w:lang w:val="en-US" w:eastAsia="zh-CN"/>
        </w:rPr>
        <w:t>中国共产党留坝县委宣传部</w:t>
      </w:r>
    </w:p>
    <w:p w14:paraId="6EC142AC">
      <w:pPr>
        <w:pStyle w:val="18"/>
        <w:rPr>
          <w:rFonts w:hint="eastAsia" w:ascii="仿宋" w:hAnsi="仿宋" w:eastAsia="仿宋" w:cs="仿宋"/>
          <w:lang w:eastAsia="zh-CN"/>
        </w:rPr>
      </w:pPr>
    </w:p>
    <w:p w14:paraId="75BE21BC">
      <w:pPr>
        <w:ind w:right="-99" w:rightChars="-47"/>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采购代理机构</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陕西顺捷瑞工程项目管理有限公司</w:t>
      </w:r>
    </w:p>
    <w:p w14:paraId="53CD8B1A">
      <w:pPr>
        <w:ind w:right="-99" w:rightChars="-47"/>
        <w:rPr>
          <w:rFonts w:hint="eastAsia" w:ascii="仿宋" w:hAnsi="仿宋" w:eastAsia="仿宋" w:cs="仿宋"/>
          <w:b/>
          <w:color w:val="auto"/>
          <w:sz w:val="28"/>
          <w:szCs w:val="28"/>
          <w:highlight w:val="none"/>
        </w:rPr>
      </w:pPr>
    </w:p>
    <w:p w14:paraId="5AA88165">
      <w:pPr>
        <w:jc w:val="center"/>
        <w:rPr>
          <w:rFonts w:hint="eastAsia" w:ascii="仿宋" w:hAnsi="仿宋" w:eastAsia="仿宋" w:cs="仿宋"/>
          <w:b/>
          <w:bCs/>
          <w:color w:val="auto"/>
          <w:sz w:val="28"/>
          <w:szCs w:val="28"/>
          <w:highlight w:val="none"/>
          <w:lang w:eastAsia="zh-CN"/>
        </w:rPr>
      </w:pPr>
    </w:p>
    <w:p w14:paraId="54760D33">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二〇二五年一月</w:t>
      </w:r>
    </w:p>
    <w:p w14:paraId="5D7F94BB">
      <w:pPr>
        <w:jc w:val="center"/>
        <w:rPr>
          <w:rFonts w:hint="eastAsia" w:ascii="仿宋" w:hAnsi="仿宋" w:eastAsia="仿宋" w:cs="仿宋"/>
          <w:b/>
          <w:bCs/>
          <w:color w:val="auto"/>
          <w:sz w:val="28"/>
          <w:szCs w:val="28"/>
          <w:highlight w:val="none"/>
          <w:lang w:eastAsia="zh-CN"/>
        </w:rPr>
        <w:sectPr>
          <w:headerReference r:id="rId3" w:type="default"/>
          <w:footerReference r:id="rId4" w:type="default"/>
          <w:pgSz w:w="11907" w:h="16840"/>
          <w:pgMar w:top="1440" w:right="1803" w:bottom="1440" w:left="1803" w:header="851" w:footer="992" w:gutter="0"/>
          <w:pgNumType w:fmt="decimal" w:start="1"/>
          <w:cols w:space="720" w:num="1"/>
        </w:sectPr>
      </w:pPr>
    </w:p>
    <w:p w14:paraId="61782E86">
      <w:pPr>
        <w:pStyle w:val="29"/>
        <w:rPr>
          <w:rFonts w:hint="eastAsia" w:ascii="仿宋" w:hAnsi="仿宋" w:eastAsia="仿宋" w:cs="仿宋"/>
          <w:lang w:eastAsia="zh-CN"/>
        </w:rPr>
      </w:pPr>
    </w:p>
    <w:p w14:paraId="068C7C73">
      <w:pPr>
        <w:jc w:val="cente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t>目录</w:t>
      </w:r>
    </w:p>
    <w:p w14:paraId="1C615566">
      <w:pPr>
        <w:jc w:val="center"/>
        <w:rPr>
          <w:rFonts w:hint="eastAsia" w:ascii="仿宋" w:hAnsi="仿宋" w:eastAsia="仿宋" w:cs="仿宋"/>
          <w:bCs/>
          <w:color w:val="auto"/>
          <w:sz w:val="36"/>
          <w:highlight w:val="none"/>
        </w:rPr>
      </w:pPr>
    </w:p>
    <w:bookmarkEnd w:id="0"/>
    <w:bookmarkEnd w:id="1"/>
    <w:p w14:paraId="36B199E3">
      <w:pPr>
        <w:pStyle w:val="31"/>
        <w:tabs>
          <w:tab w:val="right" w:leader="dot" w:pos="8959"/>
          <w:tab w:val="clear" w:pos="9060"/>
        </w:tabs>
        <w:spacing w:line="440" w:lineRule="exact"/>
        <w:jc w:val="center"/>
        <w:rPr>
          <w:rFonts w:hint="eastAsia" w:ascii="仿宋" w:hAnsi="仿宋" w:eastAsia="仿宋" w:cs="仿宋"/>
          <w:color w:val="auto"/>
          <w:szCs w:val="21"/>
          <w:highlight w:val="none"/>
        </w:rPr>
      </w:pPr>
      <w:bookmarkStart w:id="2" w:name="_Toc482201954"/>
      <w:bookmarkStart w:id="3" w:name="_Toc2872_WPSOffice_Level1"/>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TOC \o "1-2" \h \u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_Toc32596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kern w:val="44"/>
          <w:szCs w:val="21"/>
          <w:highlight w:val="none"/>
        </w:rPr>
        <w:t>第一</w:t>
      </w:r>
      <w:r>
        <w:rPr>
          <w:rFonts w:hint="eastAsia" w:ascii="仿宋" w:hAnsi="仿宋" w:eastAsia="仿宋" w:cs="仿宋"/>
          <w:color w:val="auto"/>
          <w:szCs w:val="21"/>
          <w:highlight w:val="none"/>
        </w:rPr>
        <w:t>章 竞争性磋商公告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_Toc32596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483B45A0">
      <w:pPr>
        <w:pStyle w:val="31"/>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_Toc10200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kern w:val="44"/>
          <w:szCs w:val="21"/>
          <w:highlight w:val="none"/>
        </w:rPr>
        <w:t>第二</w:t>
      </w:r>
      <w:r>
        <w:rPr>
          <w:rFonts w:hint="eastAsia" w:ascii="仿宋" w:hAnsi="仿宋" w:eastAsia="仿宋" w:cs="仿宋"/>
          <w:color w:val="auto"/>
          <w:szCs w:val="21"/>
          <w:highlight w:val="none"/>
        </w:rPr>
        <w:t>章 供应商须知</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_Toc10200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087DF3B">
      <w:pPr>
        <w:pStyle w:val="36"/>
        <w:tabs>
          <w:tab w:val="right" w:leader="dot" w:pos="8959"/>
        </w:tabs>
        <w:spacing w:line="440" w:lineRule="exact"/>
        <w:jc w:val="lef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_Toc758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供应商须知前附表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_Toc758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6</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6BF50C19">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_Toc27146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1.总  则</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_Toc27146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10</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FE54FB2">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_Toc15751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2.磋商文件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_Toc15751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12</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7758C3D2">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_Toc20565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3.供应商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_Toc20565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13</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34CC8735">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_Toc6380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4.响应文件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_Toc6380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16</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E59470C">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_Toc4052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5.响应文件的提交</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_Toc4052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20</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3D73655D">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_Toc32263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6.开启响应文件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_Toc32263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7A80CFEC">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_Toc11229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7.磋商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_Toc11229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8F6E5D9">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_Toc9593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8.确定成交供应商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_Toc9593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24</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66C14FD0">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_Toc10746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9.合同授予</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_Toc10746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26</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5B5BF0F9">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_Toc6253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10.终止磋商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_Toc6253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27</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8357D5E">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_Toc10593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11.采购代理服务费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_Toc10593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27</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61CFB9DC">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_Toc12558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12.质疑与投诉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_Toc12558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28</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721741A">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_Toc15388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13.其他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_Toc15388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29</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0EFBBBF4">
      <w:pPr>
        <w:pStyle w:val="31"/>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_Toc32671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第三章 磋商办法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_Toc32671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30</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5C9DBC8A">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_Toc26172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1.磋商程序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_Toc26172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30</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57C57F6D">
      <w:pPr>
        <w:pStyle w:val="36"/>
        <w:tabs>
          <w:tab w:val="right" w:leader="dot" w:pos="8959"/>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_Toc16740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2.评审方法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_Toc16740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35</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0140A0D0">
      <w:pPr>
        <w:pStyle w:val="31"/>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_Toc23458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第四章 采购内容及要求</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_Toc23458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39</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59014576">
      <w:pPr>
        <w:pStyle w:val="31"/>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_Toc16313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eastAsia="zh-CN"/>
        </w:rPr>
        <w:t>五</w:t>
      </w:r>
      <w:r>
        <w:rPr>
          <w:rFonts w:hint="eastAsia" w:ascii="仿宋" w:hAnsi="仿宋" w:eastAsia="仿宋" w:cs="仿宋"/>
          <w:color w:val="auto"/>
          <w:szCs w:val="21"/>
          <w:highlight w:val="none"/>
        </w:rPr>
        <w:t>章 政府采购合同格式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_Toc16313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43</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29A79828">
      <w:pPr>
        <w:pStyle w:val="31"/>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_Toc6445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第六章 响应文件格式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_Toc6445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48</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0533A8C3">
      <w:pPr>
        <w:pStyle w:val="116"/>
        <w:tabs>
          <w:tab w:val="right" w:leader="dot" w:pos="8959"/>
        </w:tabs>
        <w:spacing w:line="440" w:lineRule="exact"/>
        <w:ind w:left="420"/>
        <w:rPr>
          <w:rFonts w:hint="eastAsia" w:ascii="仿宋" w:hAnsi="仿宋" w:eastAsia="仿宋" w:cs="仿宋"/>
          <w:color w:val="auto"/>
          <w:kern w:val="44"/>
          <w:sz w:val="44"/>
          <w:szCs w:val="44"/>
          <w:highlight w:val="none"/>
        </w:rPr>
      </w:pPr>
      <w:r>
        <w:rPr>
          <w:rFonts w:hint="eastAsia" w:ascii="仿宋" w:hAnsi="仿宋" w:eastAsia="仿宋" w:cs="仿宋"/>
          <w:color w:val="auto"/>
          <w:kern w:val="44"/>
          <w:sz w:val="21"/>
          <w:szCs w:val="21"/>
          <w:highlight w:val="none"/>
        </w:rPr>
        <w:fldChar w:fldCharType="end"/>
      </w:r>
    </w:p>
    <w:bookmarkEnd w:id="2"/>
    <w:bookmarkEnd w:id="3"/>
    <w:p w14:paraId="6336D12C">
      <w:pPr>
        <w:spacing w:after="50" w:line="600" w:lineRule="exact"/>
        <w:jc w:val="center"/>
        <w:outlineLvl w:val="0"/>
        <w:rPr>
          <w:rFonts w:hint="eastAsia" w:ascii="仿宋" w:hAnsi="仿宋" w:eastAsia="仿宋" w:cs="仿宋"/>
          <w:b/>
          <w:color w:val="auto"/>
          <w:kern w:val="44"/>
          <w:sz w:val="44"/>
          <w:szCs w:val="44"/>
          <w:highlight w:val="none"/>
        </w:rPr>
        <w:sectPr>
          <w:footerReference r:id="rId5" w:type="default"/>
          <w:pgSz w:w="11907" w:h="16840"/>
          <w:pgMar w:top="1440" w:right="1803" w:bottom="1440" w:left="1803" w:header="851" w:footer="992" w:gutter="0"/>
          <w:pgNumType w:fmt="decimal" w:start="2"/>
          <w:cols w:space="720" w:num="1"/>
        </w:sectPr>
      </w:pPr>
      <w:bookmarkStart w:id="4" w:name="_Toc32596"/>
    </w:p>
    <w:p w14:paraId="55363360">
      <w:pPr>
        <w:spacing w:after="50" w:line="600" w:lineRule="exac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kern w:val="44"/>
          <w:sz w:val="44"/>
          <w:szCs w:val="44"/>
          <w:highlight w:val="none"/>
        </w:rPr>
        <w:t>第一</w:t>
      </w:r>
      <w:r>
        <w:rPr>
          <w:rFonts w:hint="eastAsia" w:ascii="仿宋" w:hAnsi="仿宋" w:eastAsia="仿宋" w:cs="仿宋"/>
          <w:b/>
          <w:color w:val="auto"/>
          <w:sz w:val="44"/>
          <w:szCs w:val="44"/>
          <w:highlight w:val="none"/>
        </w:rPr>
        <w:t>章  竞争性磋商公告</w:t>
      </w:r>
      <w:bookmarkEnd w:id="4"/>
    </w:p>
    <w:p w14:paraId="4403294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bookmarkStart w:id="5" w:name="_Toc6043"/>
      <w:bookmarkStart w:id="6" w:name="_Toc23432"/>
      <w:bookmarkStart w:id="7" w:name="_Toc23494_WPSOffice_Level1"/>
      <w:bookmarkStart w:id="8" w:name="_Toc27029"/>
      <w:bookmarkStart w:id="9" w:name="_Toc10200"/>
      <w:bookmarkStart w:id="10" w:name="_Toc5385"/>
      <w:bookmarkStart w:id="11" w:name="_Toc31287"/>
      <w:bookmarkStart w:id="12" w:name="_Toc183682339"/>
      <w:bookmarkStart w:id="13" w:name="_Toc89075871"/>
      <w:bookmarkStart w:id="14" w:name="_Toc183582202"/>
      <w:bookmarkStart w:id="15" w:name="_Toc77400776"/>
      <w:r>
        <w:rPr>
          <w:rFonts w:hint="eastAsia" w:ascii="仿宋" w:hAnsi="仿宋" w:eastAsia="仿宋" w:cs="仿宋"/>
          <w:color w:val="auto"/>
          <w:sz w:val="24"/>
          <w:szCs w:val="24"/>
          <w:highlight w:val="none"/>
          <w:lang w:val="en-US" w:eastAsia="zh-CN"/>
        </w:rPr>
        <w:t>中国共产党留坝县委宣传部电影《药香谷》联合摄制服务项目潜在的供应商可在汉中市汉台区滨江东路晨晖帝景府A1号楼2402室获取响应文件，并于 2025年1月16日10:00:00前递交响应文件。</w:t>
      </w:r>
    </w:p>
    <w:p w14:paraId="5AB4CB0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一、项目基本情况：</w:t>
      </w:r>
    </w:p>
    <w:p w14:paraId="3651E1F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项目编号：SJR2025-ZC0103</w:t>
      </w:r>
    </w:p>
    <w:p w14:paraId="7392D68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项目名称：中国共产党留坝县委宣传部电影《药香谷》联合摄制服务项目</w:t>
      </w:r>
    </w:p>
    <w:p w14:paraId="26AC698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采购方式：竞争性磋商</w:t>
      </w:r>
    </w:p>
    <w:p w14:paraId="0BC9C3D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预算金额：500,000元</w:t>
      </w:r>
    </w:p>
    <w:p w14:paraId="3AF2DD9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14:paraId="11B8E33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合同包1(中国共产党留坝县委宣传部电影《药香谷》联合摄制服务项目):</w:t>
      </w:r>
    </w:p>
    <w:p w14:paraId="5381542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合同包预算金额：500,000元</w:t>
      </w:r>
    </w:p>
    <w:p w14:paraId="150FEA3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合同包最高限价：</w:t>
      </w:r>
    </w:p>
    <w:tbl>
      <w:tblPr>
        <w:tblStyle w:val="44"/>
        <w:tblW w:w="101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350"/>
        <w:gridCol w:w="2381"/>
        <w:gridCol w:w="1763"/>
        <w:gridCol w:w="1706"/>
        <w:gridCol w:w="1425"/>
        <w:gridCol w:w="885"/>
      </w:tblGrid>
      <w:tr w14:paraId="677D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blHeader/>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FEB5E0">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品目号</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D772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品目名称</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67BF87">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采购标的</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5F90E">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数量（单位）</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34ACC1">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407EFC">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品目预算(元)</w:t>
            </w:r>
          </w:p>
        </w:tc>
        <w:tc>
          <w:tcPr>
            <w:tcW w:w="8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536F50">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最高限价(元)</w:t>
            </w:r>
          </w:p>
        </w:tc>
      </w:tr>
      <w:tr w14:paraId="618F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06892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18DE50">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电影服务</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50F697">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中国共产党留坝县委宣传部电影《药香谷》联合摄制服务项目</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956AA2">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37EB93">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D72531">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500,000</w:t>
            </w:r>
          </w:p>
        </w:tc>
        <w:tc>
          <w:tcPr>
            <w:tcW w:w="8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88FB8C">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p>
        </w:tc>
      </w:tr>
    </w:tbl>
    <w:p w14:paraId="5C73093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本合同包不接受联合体投标</w:t>
      </w:r>
    </w:p>
    <w:p w14:paraId="107BFA93">
      <w:pPr>
        <w:spacing w:line="560" w:lineRule="exact"/>
        <w:ind w:right="-99" w:rightChars="-47" w:firstLine="480" w:firstLineChars="200"/>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合同履行期限：2025年6月前国内公映。</w:t>
      </w:r>
    </w:p>
    <w:p w14:paraId="3A85A29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 响应供应商的资格要求</w:t>
      </w:r>
    </w:p>
    <w:p w14:paraId="6491262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37F58F7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2、落实政府采购政策需满足的资格要求：无</w:t>
      </w:r>
    </w:p>
    <w:p w14:paraId="3DC0838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14:paraId="18AC311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3.1具有独立承担民事责任能力的法人、其他组织或自然人，提供合法有效的统一社会信用代码营业执照（事业单位提供事业单位法人证书，自然人提供身份证明）；</w:t>
      </w:r>
    </w:p>
    <w:p w14:paraId="24F9192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3.2法定代表人授权委托书：法定代表人参加磋商的，须出示身份证原件；法定代表人授权他人参加磋商的，须提供法定代表人授权委托书及被授权人身份证原件；</w:t>
      </w:r>
    </w:p>
    <w:p w14:paraId="46FC051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  满足《汉中市政府采购供应商资格承诺函》要求。</w:t>
      </w:r>
    </w:p>
    <w:p w14:paraId="40FDF02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3.4本项目为专门面向中小企业预留份额采购项目（整体预留），中小企业应按照招标文件要求提供相应证明材料。</w:t>
      </w:r>
    </w:p>
    <w:p w14:paraId="3FD38C9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 采购文件的获取方式</w:t>
      </w:r>
    </w:p>
    <w:p w14:paraId="71BDC51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时间：2025年1月6日 至 2025年1月10日，每天上午 08:30:00至12:00:00 ，下午14:00:00至17:30:00 （北京时间）</w:t>
      </w:r>
    </w:p>
    <w:p w14:paraId="67AA399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地点：汉中市汉台区滨江东路晨晖帝景府A1号楼2402室</w:t>
      </w:r>
    </w:p>
    <w:p w14:paraId="2BBF946C">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方式：现场购买</w:t>
      </w:r>
    </w:p>
    <w:p w14:paraId="3C5728D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 每套500元（人民币），售后不退</w:t>
      </w:r>
    </w:p>
    <w:p w14:paraId="6A2A607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 响应文件递交</w:t>
      </w:r>
    </w:p>
    <w:p w14:paraId="4D7DCB7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 2025年1月16日10:00:00</w:t>
      </w:r>
    </w:p>
    <w:p w14:paraId="7C354DE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地点：汉中市汉台区滨江东路晨晖帝景府A1号楼2402室</w:t>
      </w:r>
    </w:p>
    <w:p w14:paraId="130935C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五、公告期限</w:t>
      </w:r>
    </w:p>
    <w:p w14:paraId="261A8C3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自本公告发布之日起3个工作日。</w:t>
      </w:r>
    </w:p>
    <w:p w14:paraId="0875847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六、其他补充事宜</w:t>
      </w:r>
    </w:p>
    <w:p w14:paraId="06EF7C3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购买磋商文件请携带单位介绍信原件,经办人身份证原件及加盖供应商公章的复印件。</w:t>
      </w:r>
    </w:p>
    <w:p w14:paraId="18B2CF1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七、对本次采购提出询问，请按以下方式联系。</w:t>
      </w:r>
    </w:p>
    <w:p w14:paraId="5A13842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1、采购人信息：中国共产党留坝县委宣传部</w:t>
      </w:r>
    </w:p>
    <w:p w14:paraId="6A1F21B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地址：陕西省汉中市留坝县县委大院</w:t>
      </w:r>
    </w:p>
    <w:p w14:paraId="15A5CDCE">
      <w:pPr>
        <w:spacing w:line="560" w:lineRule="exact"/>
        <w:ind w:right="-99" w:rightChars="-47"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电话：18829217806</w:t>
      </w:r>
    </w:p>
    <w:p w14:paraId="4D765AB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2、项目联系方式</w:t>
      </w:r>
    </w:p>
    <w:p w14:paraId="38E6467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项目联系人：陈工</w:t>
      </w:r>
    </w:p>
    <w:p w14:paraId="188D9FD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话：13679205494</w:t>
      </w:r>
    </w:p>
    <w:p w14:paraId="32E7F1D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传 真：/</w:t>
      </w:r>
    </w:p>
    <w:p w14:paraId="5DEB688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3、采购代理机构信息</w:t>
      </w:r>
    </w:p>
    <w:p w14:paraId="03F1887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名称：陕西顺捷瑞工程项目管理有限公司</w:t>
      </w:r>
    </w:p>
    <w:p w14:paraId="5ECEEE8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联系地址：西安市高新六路32号汇德科技园3幢一单元10449-224室</w:t>
      </w:r>
    </w:p>
    <w:p w14:paraId="6A8F2C2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联系方式：13679205494</w:t>
      </w:r>
    </w:p>
    <w:p w14:paraId="1878631B">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AEDAC78">
      <w:pPr>
        <w:spacing w:after="50" w:line="600" w:lineRule="exac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kern w:val="44"/>
          <w:sz w:val="44"/>
          <w:szCs w:val="44"/>
          <w:highlight w:val="none"/>
        </w:rPr>
        <w:t>第二</w:t>
      </w:r>
      <w:r>
        <w:rPr>
          <w:rFonts w:hint="eastAsia" w:ascii="仿宋" w:hAnsi="仿宋" w:eastAsia="仿宋" w:cs="仿宋"/>
          <w:b/>
          <w:color w:val="auto"/>
          <w:sz w:val="44"/>
          <w:szCs w:val="44"/>
          <w:highlight w:val="none"/>
        </w:rPr>
        <w:t>章  供应商须知</w:t>
      </w:r>
      <w:bookmarkEnd w:id="5"/>
      <w:bookmarkEnd w:id="6"/>
      <w:bookmarkEnd w:id="7"/>
      <w:bookmarkEnd w:id="8"/>
      <w:bookmarkEnd w:id="9"/>
      <w:bookmarkEnd w:id="10"/>
      <w:bookmarkEnd w:id="11"/>
    </w:p>
    <w:p w14:paraId="5C5F7131">
      <w:pPr>
        <w:spacing w:before="240" w:beforeLines="100" w:after="50" w:line="600" w:lineRule="exact"/>
        <w:jc w:val="center"/>
        <w:outlineLvl w:val="1"/>
        <w:rPr>
          <w:rFonts w:hint="eastAsia" w:ascii="仿宋" w:hAnsi="仿宋" w:eastAsia="仿宋" w:cs="仿宋"/>
          <w:color w:val="auto"/>
          <w:sz w:val="36"/>
          <w:szCs w:val="36"/>
          <w:highlight w:val="none"/>
        </w:rPr>
      </w:pPr>
      <w:bookmarkStart w:id="16" w:name="_Toc2998"/>
      <w:bookmarkStart w:id="17" w:name="_Toc6855"/>
      <w:bookmarkStart w:id="18" w:name="_Toc21533"/>
      <w:bookmarkStart w:id="19" w:name="_Toc966_WPSOffice_Level2"/>
      <w:bookmarkStart w:id="20" w:name="_Toc755"/>
      <w:bookmarkStart w:id="21" w:name="_Toc758"/>
      <w:bookmarkStart w:id="22" w:name="_Toc19095"/>
      <w:r>
        <w:rPr>
          <w:rFonts w:hint="eastAsia" w:ascii="仿宋" w:hAnsi="仿宋" w:eastAsia="仿宋" w:cs="仿宋"/>
          <w:color w:val="auto"/>
          <w:sz w:val="36"/>
          <w:szCs w:val="36"/>
          <w:highlight w:val="none"/>
        </w:rPr>
        <w:t>供应商须知前附表</w:t>
      </w:r>
      <w:bookmarkEnd w:id="16"/>
      <w:bookmarkEnd w:id="17"/>
      <w:bookmarkEnd w:id="18"/>
      <w:bookmarkEnd w:id="19"/>
      <w:bookmarkEnd w:id="20"/>
      <w:bookmarkEnd w:id="21"/>
      <w:bookmarkEnd w:id="22"/>
    </w:p>
    <w:tbl>
      <w:tblPr>
        <w:tblStyle w:val="44"/>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1"/>
        <w:gridCol w:w="2081"/>
        <w:gridCol w:w="6609"/>
      </w:tblGrid>
      <w:tr w14:paraId="1FD0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3B8333A">
            <w:pPr>
              <w:pStyle w:val="82"/>
              <w:keepNext w:val="0"/>
              <w:keepLines w:val="0"/>
              <w:suppressLineNumbers w:val="0"/>
              <w:spacing w:before="0" w:beforeAutospacing="0" w:after="0" w:afterAutospacing="0"/>
              <w:ind w:left="9"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xml:space="preserve">序号 </w:t>
            </w:r>
          </w:p>
        </w:tc>
        <w:tc>
          <w:tcPr>
            <w:tcW w:w="2081" w:type="dxa"/>
            <w:noWrap w:val="0"/>
            <w:vAlign w:val="center"/>
          </w:tcPr>
          <w:p w14:paraId="0A252AF9">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内容</w:t>
            </w:r>
          </w:p>
        </w:tc>
        <w:tc>
          <w:tcPr>
            <w:tcW w:w="6609" w:type="dxa"/>
            <w:noWrap w:val="0"/>
            <w:vAlign w:val="center"/>
          </w:tcPr>
          <w:p w14:paraId="6D764106">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说明和要求</w:t>
            </w:r>
          </w:p>
        </w:tc>
      </w:tr>
      <w:tr w14:paraId="566B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370FBE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1</w:t>
            </w:r>
          </w:p>
        </w:tc>
        <w:tc>
          <w:tcPr>
            <w:tcW w:w="2081" w:type="dxa"/>
            <w:noWrap w:val="0"/>
            <w:vAlign w:val="center"/>
          </w:tcPr>
          <w:p w14:paraId="5C1793ED">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采购人</w:t>
            </w:r>
          </w:p>
        </w:tc>
        <w:tc>
          <w:tcPr>
            <w:tcW w:w="6609" w:type="dxa"/>
            <w:noWrap w:val="0"/>
            <w:vAlign w:val="center"/>
          </w:tcPr>
          <w:p w14:paraId="1ACC0223">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名  称：</w:t>
            </w:r>
            <w:r>
              <w:rPr>
                <w:rFonts w:hint="eastAsia" w:ascii="仿宋" w:hAnsi="仿宋" w:eastAsia="仿宋" w:cs="仿宋"/>
                <w:color w:val="auto"/>
                <w:kern w:val="2"/>
                <w:sz w:val="28"/>
                <w:szCs w:val="28"/>
                <w:highlight w:val="none"/>
                <w:lang w:val="en-US" w:eastAsia="zh-CN"/>
              </w:rPr>
              <w:t>中国共产党留坝县委宣传部</w:t>
            </w:r>
          </w:p>
        </w:tc>
      </w:tr>
      <w:tr w14:paraId="4526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6FA507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2</w:t>
            </w:r>
          </w:p>
        </w:tc>
        <w:tc>
          <w:tcPr>
            <w:tcW w:w="2081" w:type="dxa"/>
            <w:noWrap w:val="0"/>
            <w:vAlign w:val="center"/>
          </w:tcPr>
          <w:p w14:paraId="400224F3">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采购代理机构</w:t>
            </w:r>
          </w:p>
        </w:tc>
        <w:tc>
          <w:tcPr>
            <w:tcW w:w="6609" w:type="dxa"/>
            <w:noWrap w:val="0"/>
            <w:vAlign w:val="center"/>
          </w:tcPr>
          <w:p w14:paraId="4D43E738">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rPr>
              <w:t>名  称：</w:t>
            </w:r>
            <w:r>
              <w:rPr>
                <w:rFonts w:hint="eastAsia" w:ascii="仿宋" w:hAnsi="仿宋" w:eastAsia="仿宋" w:cs="仿宋"/>
                <w:color w:val="auto"/>
                <w:kern w:val="2"/>
                <w:sz w:val="28"/>
                <w:szCs w:val="28"/>
                <w:highlight w:val="none"/>
                <w:lang w:eastAsia="zh-CN"/>
              </w:rPr>
              <w:t>陕西顺捷瑞工程项目管理有限公司</w:t>
            </w:r>
          </w:p>
          <w:p w14:paraId="736D8B32">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rPr>
              <w:t>地  址：</w:t>
            </w:r>
            <w:r>
              <w:rPr>
                <w:rFonts w:hint="eastAsia" w:ascii="仿宋" w:hAnsi="仿宋" w:eastAsia="仿宋" w:cs="仿宋"/>
                <w:color w:val="auto"/>
                <w:kern w:val="2"/>
                <w:sz w:val="28"/>
                <w:szCs w:val="28"/>
                <w:highlight w:val="none"/>
                <w:lang w:val="en-US" w:eastAsia="zh-CN"/>
              </w:rPr>
              <w:t>西安市高新六路32号汇德科技园3幢一单元10449-224室</w:t>
            </w:r>
          </w:p>
          <w:p w14:paraId="3487A48F">
            <w:pPr>
              <w:pStyle w:val="5"/>
              <w:keepNext w:val="0"/>
              <w:keepLines w:val="0"/>
              <w:suppressLineNumbers w:val="0"/>
              <w:spacing w:before="0" w:beforeAutospacing="0" w:after="0" w:afterAutospacing="0"/>
              <w:ind w:left="142" w:right="0" w:firstLine="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kern w:val="0"/>
                <w:sz w:val="28"/>
                <w:szCs w:val="28"/>
                <w:highlight w:val="none"/>
                <w:lang w:val="en-US" w:eastAsia="zh-CN"/>
              </w:rPr>
              <w:t>陈工</w:t>
            </w:r>
            <w:r>
              <w:rPr>
                <w:rFonts w:hint="eastAsia" w:ascii="仿宋" w:hAnsi="仿宋" w:eastAsia="仿宋" w:cs="仿宋"/>
                <w:color w:val="auto"/>
                <w:kern w:val="0"/>
                <w:sz w:val="28"/>
                <w:szCs w:val="28"/>
                <w:highlight w:val="none"/>
              </w:rPr>
              <w:t xml:space="preserve">  </w:t>
            </w:r>
          </w:p>
          <w:p w14:paraId="28039BAC">
            <w:pPr>
              <w:pStyle w:val="5"/>
              <w:keepNext w:val="0"/>
              <w:keepLines w:val="0"/>
              <w:suppressLineNumbers w:val="0"/>
              <w:spacing w:before="0" w:beforeAutospacing="0" w:after="0" w:afterAutospacing="0"/>
              <w:ind w:left="142" w:right="0" w:firstLine="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电  话：</w:t>
            </w:r>
            <w:r>
              <w:rPr>
                <w:rFonts w:hint="eastAsia" w:ascii="仿宋" w:hAnsi="仿宋" w:eastAsia="仿宋" w:cs="仿宋"/>
                <w:color w:val="auto"/>
                <w:kern w:val="0"/>
                <w:sz w:val="28"/>
                <w:szCs w:val="28"/>
                <w:highlight w:val="none"/>
                <w:lang w:eastAsia="zh-CN"/>
              </w:rPr>
              <w:t>13679205494</w:t>
            </w:r>
          </w:p>
        </w:tc>
      </w:tr>
      <w:tr w14:paraId="071E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E89CEDE">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3</w:t>
            </w:r>
          </w:p>
        </w:tc>
        <w:tc>
          <w:tcPr>
            <w:tcW w:w="2081" w:type="dxa"/>
            <w:noWrap w:val="0"/>
            <w:vAlign w:val="center"/>
          </w:tcPr>
          <w:p w14:paraId="192A462F">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采购项目名称</w:t>
            </w:r>
          </w:p>
        </w:tc>
        <w:tc>
          <w:tcPr>
            <w:tcW w:w="6609" w:type="dxa"/>
            <w:noWrap w:val="0"/>
            <w:vAlign w:val="center"/>
          </w:tcPr>
          <w:p w14:paraId="1B384EDE">
            <w:pPr>
              <w:pStyle w:val="5"/>
              <w:keepNext w:val="0"/>
              <w:keepLines w:val="0"/>
              <w:suppressLineNumbers w:val="0"/>
              <w:spacing w:before="0" w:beforeAutospacing="0" w:after="0" w:afterAutospacing="0"/>
              <w:ind w:left="142" w:right="0" w:firstLine="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中国共产党留坝县委宣传部电影《药香谷》联合摄制服务项目</w:t>
            </w:r>
          </w:p>
        </w:tc>
      </w:tr>
      <w:tr w14:paraId="0898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C9199E8">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4</w:t>
            </w:r>
          </w:p>
        </w:tc>
        <w:tc>
          <w:tcPr>
            <w:tcW w:w="2081" w:type="dxa"/>
            <w:noWrap w:val="0"/>
            <w:vAlign w:val="center"/>
          </w:tcPr>
          <w:p w14:paraId="55CA9B21">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采购项目编号</w:t>
            </w:r>
          </w:p>
        </w:tc>
        <w:tc>
          <w:tcPr>
            <w:tcW w:w="6609" w:type="dxa"/>
            <w:noWrap w:val="0"/>
            <w:vAlign w:val="center"/>
          </w:tcPr>
          <w:p w14:paraId="117D62B4">
            <w:pPr>
              <w:pStyle w:val="5"/>
              <w:keepNext w:val="0"/>
              <w:keepLines w:val="0"/>
              <w:suppressLineNumbers w:val="0"/>
              <w:spacing w:before="0" w:beforeAutospacing="0" w:after="0" w:afterAutospacing="0"/>
              <w:ind w:left="142" w:right="0" w:firstLine="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SJR2025-ZC0103</w:t>
            </w:r>
          </w:p>
        </w:tc>
      </w:tr>
      <w:tr w14:paraId="7B90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D6701D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5</w:t>
            </w:r>
          </w:p>
        </w:tc>
        <w:tc>
          <w:tcPr>
            <w:tcW w:w="2081" w:type="dxa"/>
            <w:noWrap w:val="0"/>
            <w:vAlign w:val="center"/>
          </w:tcPr>
          <w:p w14:paraId="63400407">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资金来源</w:t>
            </w:r>
          </w:p>
        </w:tc>
        <w:tc>
          <w:tcPr>
            <w:tcW w:w="6609" w:type="dxa"/>
            <w:noWrap w:val="0"/>
            <w:vAlign w:val="center"/>
          </w:tcPr>
          <w:p w14:paraId="72E26F6D">
            <w:pPr>
              <w:keepNext w:val="0"/>
              <w:keepLines w:val="0"/>
              <w:suppressLineNumbers w:val="0"/>
              <w:spacing w:before="0" w:beforeAutospacing="0" w:after="0" w:afterAutospacing="0"/>
              <w:ind w:left="0" w:right="0" w:firstLine="280" w:firstLineChars="100"/>
              <w:jc w:val="left"/>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rPr>
              <w:t>财政预算</w:t>
            </w:r>
          </w:p>
        </w:tc>
      </w:tr>
      <w:tr w14:paraId="35AD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34F33FD">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6</w:t>
            </w:r>
          </w:p>
        </w:tc>
        <w:tc>
          <w:tcPr>
            <w:tcW w:w="2081" w:type="dxa"/>
            <w:noWrap w:val="0"/>
            <w:vAlign w:val="center"/>
          </w:tcPr>
          <w:p w14:paraId="1B9BBC6A">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项目预算</w:t>
            </w:r>
          </w:p>
        </w:tc>
        <w:tc>
          <w:tcPr>
            <w:tcW w:w="6609" w:type="dxa"/>
            <w:noWrap w:val="0"/>
            <w:vAlign w:val="center"/>
          </w:tcPr>
          <w:p w14:paraId="4900C23E">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zh-CN" w:eastAsia="zh-CN"/>
              </w:rPr>
            </w:pPr>
            <w:r>
              <w:rPr>
                <w:rFonts w:hint="eastAsia" w:ascii="仿宋" w:hAnsi="仿宋" w:eastAsia="仿宋" w:cs="仿宋"/>
                <w:b/>
                <w:bCs/>
                <w:color w:val="auto"/>
                <w:kern w:val="2"/>
                <w:sz w:val="28"/>
                <w:szCs w:val="28"/>
                <w:highlight w:val="none"/>
                <w:lang w:val="en-US" w:eastAsia="zh-CN"/>
              </w:rPr>
              <w:t>500,000元</w:t>
            </w:r>
          </w:p>
        </w:tc>
      </w:tr>
      <w:tr w14:paraId="209C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88EF5EC">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7</w:t>
            </w:r>
          </w:p>
        </w:tc>
        <w:tc>
          <w:tcPr>
            <w:tcW w:w="2081" w:type="dxa"/>
            <w:noWrap w:val="0"/>
            <w:vAlign w:val="center"/>
          </w:tcPr>
          <w:p w14:paraId="15A9CE6C">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报价方式</w:t>
            </w:r>
          </w:p>
        </w:tc>
        <w:tc>
          <w:tcPr>
            <w:tcW w:w="6609" w:type="dxa"/>
            <w:noWrap w:val="0"/>
            <w:vAlign w:val="center"/>
          </w:tcPr>
          <w:p w14:paraId="1EAA02A4">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按照总价进行报价（供应商报价超过项目预算的为无效报价）</w:t>
            </w:r>
          </w:p>
        </w:tc>
      </w:tr>
      <w:tr w14:paraId="3D07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546DFE8">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8</w:t>
            </w:r>
          </w:p>
        </w:tc>
        <w:tc>
          <w:tcPr>
            <w:tcW w:w="2081" w:type="dxa"/>
            <w:noWrap w:val="0"/>
            <w:vAlign w:val="center"/>
          </w:tcPr>
          <w:p w14:paraId="2EC3887A">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项目用途</w:t>
            </w:r>
          </w:p>
        </w:tc>
        <w:tc>
          <w:tcPr>
            <w:tcW w:w="6609" w:type="dxa"/>
            <w:noWrap w:val="0"/>
            <w:vAlign w:val="center"/>
          </w:tcPr>
          <w:p w14:paraId="1F9AC9EA">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中国共产党留坝县委宣传部电影《药香谷》联合摄制服务项目</w:t>
            </w:r>
          </w:p>
        </w:tc>
      </w:tr>
      <w:tr w14:paraId="01F7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53B48FD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9</w:t>
            </w:r>
          </w:p>
        </w:tc>
        <w:tc>
          <w:tcPr>
            <w:tcW w:w="2081" w:type="dxa"/>
            <w:noWrap w:val="0"/>
            <w:vAlign w:val="center"/>
          </w:tcPr>
          <w:p w14:paraId="7AE4749D">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采购方式</w:t>
            </w:r>
          </w:p>
        </w:tc>
        <w:tc>
          <w:tcPr>
            <w:tcW w:w="6609" w:type="dxa"/>
            <w:noWrap w:val="0"/>
            <w:vAlign w:val="center"/>
          </w:tcPr>
          <w:p w14:paraId="7A7C371F">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竞争性磋商</w:t>
            </w:r>
          </w:p>
        </w:tc>
      </w:tr>
      <w:tr w14:paraId="5C92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0162698">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10</w:t>
            </w:r>
          </w:p>
        </w:tc>
        <w:tc>
          <w:tcPr>
            <w:tcW w:w="2081" w:type="dxa"/>
            <w:noWrap w:val="0"/>
            <w:vAlign w:val="center"/>
          </w:tcPr>
          <w:p w14:paraId="5675FAE0">
            <w:pPr>
              <w:pStyle w:val="82"/>
              <w:keepNext w:val="0"/>
              <w:keepLines w:val="0"/>
              <w:suppressLineNumbers w:val="0"/>
              <w:spacing w:before="0" w:beforeAutospacing="0" w:after="0" w:afterAutospacing="0"/>
              <w:ind w:left="38"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采购范围</w:t>
            </w:r>
          </w:p>
        </w:tc>
        <w:tc>
          <w:tcPr>
            <w:tcW w:w="6609" w:type="dxa"/>
            <w:noWrap w:val="0"/>
            <w:vAlign w:val="center"/>
          </w:tcPr>
          <w:p w14:paraId="1CA6E2FF">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电影《药香谷》联合摄制服务</w:t>
            </w:r>
            <w:r>
              <w:rPr>
                <w:rFonts w:hint="eastAsia" w:ascii="仿宋" w:hAnsi="仿宋" w:eastAsia="仿宋" w:cs="仿宋"/>
                <w:color w:val="auto"/>
                <w:kern w:val="2"/>
                <w:sz w:val="28"/>
                <w:szCs w:val="28"/>
                <w:highlight w:val="none"/>
              </w:rPr>
              <w:t>（具体参数详见磋商文件第四章）</w:t>
            </w:r>
          </w:p>
        </w:tc>
      </w:tr>
      <w:tr w14:paraId="4AAC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D21B714">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1</w:t>
            </w:r>
          </w:p>
        </w:tc>
        <w:tc>
          <w:tcPr>
            <w:tcW w:w="2081" w:type="dxa"/>
            <w:noWrap w:val="0"/>
            <w:vAlign w:val="center"/>
          </w:tcPr>
          <w:p w14:paraId="36C63CE7">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green"/>
                <w:lang w:val="en-US" w:eastAsia="zh-CN"/>
              </w:rPr>
            </w:pPr>
            <w:r>
              <w:rPr>
                <w:rFonts w:hint="eastAsia" w:ascii="仿宋" w:hAnsi="仿宋" w:eastAsia="仿宋" w:cs="仿宋"/>
                <w:color w:val="auto"/>
                <w:kern w:val="2"/>
                <w:sz w:val="28"/>
                <w:szCs w:val="28"/>
                <w:highlight w:val="none"/>
                <w:lang w:val="en-US" w:eastAsia="zh-CN"/>
              </w:rPr>
              <w:t>服务期</w:t>
            </w:r>
          </w:p>
        </w:tc>
        <w:tc>
          <w:tcPr>
            <w:tcW w:w="6609" w:type="dxa"/>
            <w:noWrap w:val="0"/>
            <w:vAlign w:val="center"/>
          </w:tcPr>
          <w:p w14:paraId="07795A9D">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green"/>
                <w:lang w:val="en-US" w:eastAsia="zh-CN"/>
              </w:rPr>
            </w:pPr>
            <w:r>
              <w:rPr>
                <w:rFonts w:hint="eastAsia" w:ascii="仿宋" w:hAnsi="仿宋" w:eastAsia="仿宋" w:cs="仿宋"/>
                <w:color w:val="auto"/>
                <w:kern w:val="2"/>
                <w:sz w:val="28"/>
                <w:szCs w:val="28"/>
                <w:highlight w:val="none"/>
                <w:lang w:val="en-US" w:eastAsia="zh-CN"/>
              </w:rPr>
              <w:t>2025年6月前国内公映</w:t>
            </w:r>
          </w:p>
        </w:tc>
      </w:tr>
      <w:tr w14:paraId="141B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544425D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12</w:t>
            </w:r>
          </w:p>
        </w:tc>
        <w:tc>
          <w:tcPr>
            <w:tcW w:w="2081" w:type="dxa"/>
            <w:noWrap w:val="0"/>
            <w:vAlign w:val="center"/>
          </w:tcPr>
          <w:p w14:paraId="3B4DEBFF">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资格要求</w:t>
            </w:r>
          </w:p>
        </w:tc>
        <w:tc>
          <w:tcPr>
            <w:tcW w:w="6609" w:type="dxa"/>
            <w:noWrap w:val="0"/>
            <w:vAlign w:val="center"/>
          </w:tcPr>
          <w:p w14:paraId="7D9B4122">
            <w:pPr>
              <w:keepNext w:val="0"/>
              <w:keepLines w:val="0"/>
              <w:suppressLineNumbers w:val="0"/>
              <w:spacing w:before="0" w:beforeAutospacing="0" w:after="0" w:afterAutospacing="0" w:line="360" w:lineRule="auto"/>
              <w:ind w:left="0" w:right="-99" w:rightChars="-47"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1.具有独立承担民事责任能力的法人、其他组织或自然人，提供合法有效的统一社会信用代码营业执照（事业单位提供事业单位法人证书，自然人提供身份证明）；</w:t>
            </w:r>
          </w:p>
          <w:p w14:paraId="3656191F">
            <w:pPr>
              <w:keepNext w:val="0"/>
              <w:keepLines w:val="0"/>
              <w:suppressLineNumbers w:val="0"/>
              <w:spacing w:before="0" w:beforeAutospacing="0" w:after="0" w:afterAutospacing="0" w:line="360" w:lineRule="auto"/>
              <w:ind w:left="0" w:right="-99" w:rightChars="-47"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2.法定代表人授权委托书：法定代表人参加磋商的，须出示身份证原件；法定代表人授权他人参加磋商的，须提供法定代表人授权委托书及被授权人身份证原件；</w:t>
            </w:r>
          </w:p>
          <w:p w14:paraId="61B70A0A">
            <w:pPr>
              <w:keepNext w:val="0"/>
              <w:keepLines w:val="0"/>
              <w:suppressLineNumbers w:val="0"/>
              <w:spacing w:before="0" w:beforeAutospacing="0" w:after="0" w:afterAutospacing="0" w:line="360" w:lineRule="auto"/>
              <w:ind w:left="0" w:right="-99" w:rightChars="-47"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 满足《汉中市政府采购供应商资格承诺函》要求。</w:t>
            </w:r>
          </w:p>
          <w:p w14:paraId="6ECB7DA3">
            <w:pPr>
              <w:keepNext w:val="0"/>
              <w:keepLines w:val="0"/>
              <w:suppressLineNumbers w:val="0"/>
              <w:spacing w:before="0" w:beforeAutospacing="0" w:after="0" w:afterAutospacing="0" w:line="360" w:lineRule="auto"/>
              <w:ind w:left="0" w:right="-99" w:rightChars="-47" w:firstLine="560" w:firstLineChars="20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4.本项目为专门面向中小企业预留份额采购项目（整体预留），中小企业应按照招标文件要求提供相应证明材料。</w:t>
            </w:r>
          </w:p>
          <w:p w14:paraId="55D5BDBF">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t>注：供应商在开标截止时间之前单独递交上述资格审查文件，缺少任何一项或某项达不到招标文件要求或无法辨识从而不能确认真伪的均按无效文件处理。</w:t>
            </w:r>
          </w:p>
        </w:tc>
      </w:tr>
      <w:tr w14:paraId="3F48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2FDF787">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3</w:t>
            </w:r>
          </w:p>
        </w:tc>
        <w:tc>
          <w:tcPr>
            <w:tcW w:w="2081" w:type="dxa"/>
            <w:noWrap w:val="0"/>
            <w:vAlign w:val="center"/>
          </w:tcPr>
          <w:p w14:paraId="702B118B">
            <w:pPr>
              <w:pStyle w:val="82"/>
              <w:keepNext w:val="0"/>
              <w:keepLines w:val="0"/>
              <w:suppressLineNumbers w:val="0"/>
              <w:spacing w:before="0" w:beforeAutospacing="0" w:after="0" w:afterAutospacing="0"/>
              <w:ind w:left="235"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联合体磋商</w:t>
            </w:r>
          </w:p>
        </w:tc>
        <w:tc>
          <w:tcPr>
            <w:tcW w:w="6609" w:type="dxa"/>
            <w:noWrap w:val="0"/>
            <w:vAlign w:val="center"/>
          </w:tcPr>
          <w:p w14:paraId="50803ED9">
            <w:pPr>
              <w:keepNext w:val="0"/>
              <w:keepLines w:val="0"/>
              <w:suppressLineNumbers w:val="0"/>
              <w:spacing w:before="0" w:beforeAutospacing="0" w:after="0" w:afterAutospacing="0" w:line="340" w:lineRule="exact"/>
              <w:ind w:left="0" w:right="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不接受</w:t>
            </w:r>
          </w:p>
          <w:p w14:paraId="3A3A7C7D">
            <w:pPr>
              <w:pStyle w:val="82"/>
              <w:keepNext w:val="0"/>
              <w:keepLines w:val="0"/>
              <w:suppressLineNumbers w:val="0"/>
              <w:spacing w:before="0" w:beforeAutospacing="0" w:after="0" w:afterAutospacing="0"/>
              <w:ind w:left="0" w:right="0" w:firstLine="280" w:firstLineChars="1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接受，详见供应商须知第3.3条款</w:t>
            </w:r>
          </w:p>
        </w:tc>
      </w:tr>
      <w:tr w14:paraId="10C3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E937FA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4</w:t>
            </w:r>
          </w:p>
        </w:tc>
        <w:tc>
          <w:tcPr>
            <w:tcW w:w="2081" w:type="dxa"/>
            <w:noWrap w:val="0"/>
            <w:vAlign w:val="center"/>
          </w:tcPr>
          <w:p w14:paraId="477543B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踏勘现场、</w:t>
            </w:r>
          </w:p>
          <w:p w14:paraId="3E8546FA">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磋商前答疑会</w:t>
            </w:r>
          </w:p>
        </w:tc>
        <w:tc>
          <w:tcPr>
            <w:tcW w:w="6609" w:type="dxa"/>
            <w:noWrap w:val="0"/>
            <w:vAlign w:val="center"/>
          </w:tcPr>
          <w:p w14:paraId="16BC9A81">
            <w:pPr>
              <w:keepNext w:val="0"/>
              <w:keepLines w:val="0"/>
              <w:suppressLineNumbers w:val="0"/>
              <w:spacing w:before="0" w:beforeAutospacing="0" w:after="0" w:afterAutospacing="0"/>
              <w:ind w:left="0" w:right="0" w:firstLine="280" w:firstLineChars="1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不组织</w:t>
            </w:r>
            <w:r>
              <w:rPr>
                <w:rFonts w:hint="eastAsia" w:ascii="仿宋" w:hAnsi="仿宋" w:eastAsia="仿宋" w:cs="仿宋"/>
                <w:color w:val="auto"/>
                <w:sz w:val="28"/>
                <w:szCs w:val="28"/>
                <w:highlight w:val="none"/>
                <w:lang w:bidi="ar"/>
              </w:rPr>
              <w:t>，磋商人自行踏勘现场</w:t>
            </w:r>
          </w:p>
          <w:p w14:paraId="6A13BB64">
            <w:pPr>
              <w:pStyle w:val="82"/>
              <w:keepNext w:val="0"/>
              <w:keepLines w:val="0"/>
              <w:suppressLineNumbers w:val="0"/>
              <w:spacing w:before="0" w:beforeAutospacing="0" w:after="0" w:afterAutospacing="0"/>
              <w:ind w:left="0" w:right="0" w:firstLine="280" w:firstLineChars="100"/>
              <w:jc w:val="both"/>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组织，踏勘时间：</w:t>
            </w:r>
          </w:p>
          <w:p w14:paraId="626D2320">
            <w:pPr>
              <w:pStyle w:val="82"/>
              <w:keepNext w:val="0"/>
              <w:keepLines w:val="0"/>
              <w:suppressLineNumbers w:val="0"/>
              <w:spacing w:before="0" w:beforeAutospacing="0" w:after="0" w:afterAutospacing="0"/>
              <w:ind w:left="0" w:right="0" w:firstLine="280" w:firstLineChars="1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踏勘集中地点：</w:t>
            </w:r>
          </w:p>
        </w:tc>
      </w:tr>
      <w:tr w14:paraId="2656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8A69976">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5</w:t>
            </w:r>
          </w:p>
        </w:tc>
        <w:tc>
          <w:tcPr>
            <w:tcW w:w="2081" w:type="dxa"/>
            <w:noWrap w:val="0"/>
            <w:vAlign w:val="center"/>
          </w:tcPr>
          <w:p w14:paraId="6E66260C">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转包与分包</w:t>
            </w:r>
          </w:p>
        </w:tc>
        <w:tc>
          <w:tcPr>
            <w:tcW w:w="6609" w:type="dxa"/>
            <w:noWrap w:val="0"/>
            <w:vAlign w:val="center"/>
          </w:tcPr>
          <w:p w14:paraId="4C9DC90A">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本项目不得转包。是否允许分包：</w:t>
            </w:r>
          </w:p>
          <w:p w14:paraId="3C68D82C">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rPr>
              <w:t xml:space="preserve">☑ </w:t>
            </w:r>
            <w:r>
              <w:rPr>
                <w:rFonts w:hint="eastAsia" w:ascii="仿宋" w:hAnsi="仿宋" w:eastAsia="仿宋" w:cs="仿宋"/>
                <w:color w:val="auto"/>
                <w:kern w:val="2"/>
                <w:sz w:val="28"/>
                <w:szCs w:val="28"/>
                <w:highlight w:val="none"/>
                <w:lang w:val="zh-CN"/>
              </w:rPr>
              <w:t>不允许</w:t>
            </w:r>
          </w:p>
          <w:p w14:paraId="2DF36A36">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允许 分包内容要求：</w:t>
            </w:r>
          </w:p>
          <w:p w14:paraId="35B7F47E">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xml:space="preserve">        分包金额要求：</w:t>
            </w:r>
          </w:p>
          <w:p w14:paraId="7DD68A32">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接受分包的第三人资质要求：</w:t>
            </w:r>
          </w:p>
        </w:tc>
      </w:tr>
      <w:tr w14:paraId="59DE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30AB6D2">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6</w:t>
            </w:r>
          </w:p>
        </w:tc>
        <w:tc>
          <w:tcPr>
            <w:tcW w:w="2081" w:type="dxa"/>
            <w:noWrap w:val="0"/>
            <w:vAlign w:val="center"/>
          </w:tcPr>
          <w:p w14:paraId="08146DF6">
            <w:pPr>
              <w:pStyle w:val="5"/>
              <w:keepNext w:val="0"/>
              <w:keepLines w:val="0"/>
              <w:suppressLineNumbers w:val="0"/>
              <w:spacing w:before="0" w:beforeAutospacing="0" w:after="0" w:afterAutospacing="0"/>
              <w:ind w:left="0" w:right="0"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磋商文件澄清</w:t>
            </w:r>
          </w:p>
          <w:p w14:paraId="6175FD77">
            <w:pPr>
              <w:pStyle w:val="5"/>
              <w:keepNext w:val="0"/>
              <w:keepLines w:val="0"/>
              <w:suppressLineNumbers w:val="0"/>
              <w:spacing w:before="0" w:beforeAutospacing="0" w:after="0" w:afterAutospacing="0"/>
              <w:ind w:left="0" w:right="0" w:firstLine="0"/>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或修改时间、形式</w:t>
            </w:r>
          </w:p>
        </w:tc>
        <w:tc>
          <w:tcPr>
            <w:tcW w:w="6609" w:type="dxa"/>
            <w:noWrap w:val="0"/>
            <w:vAlign w:val="center"/>
          </w:tcPr>
          <w:p w14:paraId="2589F6DB">
            <w:pPr>
              <w:pStyle w:val="5"/>
              <w:keepNext w:val="0"/>
              <w:keepLines w:val="0"/>
              <w:suppressLineNumbers w:val="0"/>
              <w:spacing w:before="0" w:beforeAutospacing="0" w:after="0" w:afterAutospacing="0"/>
              <w:ind w:left="0" w:right="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时间：</w:t>
            </w:r>
            <w:r>
              <w:rPr>
                <w:rFonts w:hint="eastAsia" w:ascii="仿宋" w:hAnsi="仿宋" w:eastAsia="仿宋" w:cs="仿宋"/>
                <w:color w:val="auto"/>
                <w:sz w:val="28"/>
                <w:szCs w:val="28"/>
                <w:highlight w:val="none"/>
              </w:rPr>
              <w:t>提交响应文件截至时间5日前</w:t>
            </w:r>
          </w:p>
          <w:p w14:paraId="2AD3C466">
            <w:pPr>
              <w:pStyle w:val="5"/>
              <w:keepNext w:val="0"/>
              <w:keepLines w:val="0"/>
              <w:suppressLineNumbers w:val="0"/>
              <w:spacing w:before="0" w:beforeAutospacing="0" w:after="0" w:afterAutospacing="0"/>
              <w:ind w:left="0" w:right="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形式：书面和公告</w:t>
            </w:r>
          </w:p>
        </w:tc>
      </w:tr>
      <w:tr w14:paraId="1575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BF1859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1</w:t>
            </w:r>
            <w:r>
              <w:rPr>
                <w:rFonts w:hint="eastAsia" w:ascii="仿宋" w:hAnsi="仿宋" w:eastAsia="仿宋" w:cs="仿宋"/>
                <w:color w:val="auto"/>
                <w:kern w:val="2"/>
                <w:sz w:val="28"/>
                <w:szCs w:val="28"/>
                <w:highlight w:val="none"/>
                <w:lang w:val="en-US" w:eastAsia="zh-CN"/>
              </w:rPr>
              <w:t>7</w:t>
            </w:r>
          </w:p>
        </w:tc>
        <w:tc>
          <w:tcPr>
            <w:tcW w:w="2081" w:type="dxa"/>
            <w:noWrap w:val="0"/>
            <w:vAlign w:val="center"/>
          </w:tcPr>
          <w:p w14:paraId="23E7385D">
            <w:pPr>
              <w:pStyle w:val="82"/>
              <w:keepNext w:val="0"/>
              <w:keepLines w:val="0"/>
              <w:suppressLineNumbers w:val="0"/>
              <w:spacing w:before="0" w:beforeAutospacing="0" w:after="0" w:afterAutospacing="0"/>
              <w:ind w:left="52"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构成磋商文件的</w:t>
            </w:r>
          </w:p>
          <w:p w14:paraId="026D8B94">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其他文件</w:t>
            </w:r>
          </w:p>
        </w:tc>
        <w:tc>
          <w:tcPr>
            <w:tcW w:w="6609" w:type="dxa"/>
            <w:noWrap w:val="0"/>
            <w:vAlign w:val="center"/>
          </w:tcPr>
          <w:p w14:paraId="6E35E58A">
            <w:pPr>
              <w:pStyle w:val="82"/>
              <w:keepNext w:val="0"/>
              <w:keepLines w:val="0"/>
              <w:suppressLineNumbers w:val="0"/>
              <w:spacing w:before="0" w:beforeAutospacing="0" w:after="0" w:afterAutospacing="0"/>
              <w:ind w:left="210" w:leftChars="10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磋商文件的澄清</w:t>
            </w:r>
            <w:r>
              <w:rPr>
                <w:rFonts w:hint="eastAsia" w:ascii="仿宋" w:hAnsi="仿宋" w:eastAsia="仿宋" w:cs="仿宋"/>
                <w:color w:val="auto"/>
                <w:kern w:val="2"/>
                <w:sz w:val="28"/>
                <w:szCs w:val="28"/>
                <w:highlight w:val="none"/>
              </w:rPr>
              <w:t>、修改书及有关补充通知为磋商文件的有效组成部分</w:t>
            </w:r>
          </w:p>
        </w:tc>
      </w:tr>
      <w:tr w14:paraId="21B6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451B06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18</w:t>
            </w:r>
          </w:p>
        </w:tc>
        <w:tc>
          <w:tcPr>
            <w:tcW w:w="2081" w:type="dxa"/>
            <w:noWrap w:val="0"/>
            <w:vAlign w:val="center"/>
          </w:tcPr>
          <w:p w14:paraId="72AF323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供应商对磋商文件提出质疑的时间、形式</w:t>
            </w:r>
          </w:p>
        </w:tc>
        <w:tc>
          <w:tcPr>
            <w:tcW w:w="6609" w:type="dxa"/>
            <w:noWrap w:val="0"/>
            <w:vAlign w:val="center"/>
          </w:tcPr>
          <w:p w14:paraId="2961FCE1">
            <w:pPr>
              <w:pStyle w:val="82"/>
              <w:keepNext w:val="0"/>
              <w:keepLines w:val="0"/>
              <w:suppressLineNumbers w:val="0"/>
              <w:spacing w:before="0" w:beforeAutospacing="0" w:after="0" w:afterAutospacing="0" w:line="320" w:lineRule="exact"/>
              <w:ind w:left="1050" w:leftChars="100" w:right="0" w:hanging="840" w:hangingChars="3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时间：自供应商收到磋商文件之日起7个工作日内，超过期限的采购人或采购代理机构不再受理</w:t>
            </w:r>
          </w:p>
          <w:p w14:paraId="320404D6">
            <w:pPr>
              <w:pStyle w:val="82"/>
              <w:keepNext w:val="0"/>
              <w:keepLines w:val="0"/>
              <w:suppressLineNumbers w:val="0"/>
              <w:spacing w:before="0" w:beforeAutospacing="0" w:after="0" w:afterAutospacing="0" w:line="320" w:lineRule="exact"/>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形式：书面形式（详见</w:t>
            </w:r>
            <w:r>
              <w:rPr>
                <w:rFonts w:hint="eastAsia" w:ascii="仿宋" w:hAnsi="仿宋" w:eastAsia="仿宋" w:cs="仿宋"/>
                <w:color w:val="auto"/>
                <w:kern w:val="2"/>
                <w:sz w:val="28"/>
                <w:szCs w:val="28"/>
                <w:highlight w:val="none"/>
              </w:rPr>
              <w:t>供应商须知第12.1.3条款</w:t>
            </w:r>
            <w:r>
              <w:rPr>
                <w:rFonts w:hint="eastAsia" w:ascii="仿宋" w:hAnsi="仿宋" w:eastAsia="仿宋" w:cs="仿宋"/>
                <w:color w:val="auto"/>
                <w:kern w:val="2"/>
                <w:sz w:val="28"/>
                <w:szCs w:val="28"/>
                <w:highlight w:val="none"/>
                <w:lang w:val="zh-CN"/>
              </w:rPr>
              <w:t>）</w:t>
            </w:r>
          </w:p>
        </w:tc>
      </w:tr>
      <w:tr w14:paraId="61F6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6F4F1D4">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19</w:t>
            </w:r>
          </w:p>
        </w:tc>
        <w:tc>
          <w:tcPr>
            <w:tcW w:w="2081" w:type="dxa"/>
            <w:noWrap w:val="0"/>
            <w:vAlign w:val="center"/>
          </w:tcPr>
          <w:p w14:paraId="4BF894EA">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对供应商提出质疑答复时间、形式</w:t>
            </w:r>
          </w:p>
        </w:tc>
        <w:tc>
          <w:tcPr>
            <w:tcW w:w="6609" w:type="dxa"/>
            <w:noWrap w:val="0"/>
            <w:vAlign w:val="center"/>
          </w:tcPr>
          <w:p w14:paraId="1E14E008">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时间：自收到供应商质疑函之日起7个工作日内</w:t>
            </w:r>
          </w:p>
          <w:p w14:paraId="0ACA6616">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形式：书面形式</w:t>
            </w:r>
          </w:p>
        </w:tc>
      </w:tr>
      <w:tr w14:paraId="52CD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56081E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0</w:t>
            </w:r>
          </w:p>
        </w:tc>
        <w:tc>
          <w:tcPr>
            <w:tcW w:w="2081" w:type="dxa"/>
            <w:noWrap w:val="0"/>
            <w:vAlign w:val="center"/>
          </w:tcPr>
          <w:p w14:paraId="2B611310">
            <w:pPr>
              <w:pStyle w:val="82"/>
              <w:keepNext w:val="0"/>
              <w:keepLines w:val="0"/>
              <w:suppressLineNumbers w:val="0"/>
              <w:spacing w:before="0" w:beforeAutospacing="0" w:after="0" w:afterAutospacing="0"/>
              <w:ind w:left="33"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磋商有效期</w:t>
            </w:r>
          </w:p>
        </w:tc>
        <w:tc>
          <w:tcPr>
            <w:tcW w:w="6609" w:type="dxa"/>
            <w:noWrap w:val="0"/>
            <w:vAlign w:val="center"/>
          </w:tcPr>
          <w:p w14:paraId="1BFB7630">
            <w:pPr>
              <w:pStyle w:val="82"/>
              <w:keepNext w:val="0"/>
              <w:keepLines w:val="0"/>
              <w:suppressLineNumbers w:val="0"/>
              <w:spacing w:before="0" w:beforeAutospacing="0" w:after="0" w:afterAutospacing="0"/>
              <w:ind w:left="0" w:right="0" w:firstLine="280" w:firstLineChars="1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从响应文件首次提交截止之日起90日</w:t>
            </w:r>
          </w:p>
        </w:tc>
      </w:tr>
      <w:tr w14:paraId="0724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DD4FD9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1</w:t>
            </w:r>
          </w:p>
        </w:tc>
        <w:tc>
          <w:tcPr>
            <w:tcW w:w="2081" w:type="dxa"/>
            <w:noWrap w:val="0"/>
            <w:vAlign w:val="center"/>
          </w:tcPr>
          <w:p w14:paraId="4E0A976F">
            <w:pPr>
              <w:pStyle w:val="82"/>
              <w:keepNext w:val="0"/>
              <w:keepLines w:val="0"/>
              <w:suppressLineNumbers w:val="0"/>
              <w:spacing w:before="0" w:beforeAutospacing="0" w:after="0" w:afterAutospacing="0"/>
              <w:ind w:left="33"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是否允许递交多个备选磋商方案</w:t>
            </w:r>
          </w:p>
        </w:tc>
        <w:tc>
          <w:tcPr>
            <w:tcW w:w="6609" w:type="dxa"/>
            <w:noWrap w:val="0"/>
            <w:vAlign w:val="center"/>
          </w:tcPr>
          <w:p w14:paraId="52BC630E">
            <w:pPr>
              <w:pStyle w:val="82"/>
              <w:keepNext w:val="0"/>
              <w:keepLines w:val="0"/>
              <w:suppressLineNumbers w:val="0"/>
              <w:spacing w:before="0" w:beforeAutospacing="0" w:after="0" w:afterAutospacing="0"/>
              <w:ind w:left="0" w:right="0" w:firstLine="280" w:firstLineChars="100"/>
              <w:jc w:val="both"/>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zh-CN"/>
              </w:rPr>
              <w:t xml:space="preserve"> 不允许</w:t>
            </w:r>
          </w:p>
          <w:p w14:paraId="2E1ACF14">
            <w:pPr>
              <w:pStyle w:val="82"/>
              <w:keepNext w:val="0"/>
              <w:keepLines w:val="0"/>
              <w:numPr>
                <w:ilvl w:val="0"/>
                <w:numId w:val="3"/>
              </w:numPr>
              <w:suppressLineNumbers w:val="0"/>
              <w:spacing w:before="0" w:beforeAutospacing="0" w:after="0" w:afterAutospacing="0"/>
              <w:ind w:right="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允许</w:t>
            </w:r>
          </w:p>
        </w:tc>
      </w:tr>
      <w:tr w14:paraId="6717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0F9D4DB">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2</w:t>
            </w:r>
          </w:p>
        </w:tc>
        <w:tc>
          <w:tcPr>
            <w:tcW w:w="2081" w:type="dxa"/>
            <w:noWrap w:val="0"/>
            <w:vAlign w:val="center"/>
          </w:tcPr>
          <w:p w14:paraId="674ECFE8">
            <w:pPr>
              <w:pStyle w:val="82"/>
              <w:keepNext w:val="0"/>
              <w:keepLines w:val="0"/>
              <w:suppressLineNumbers w:val="0"/>
              <w:spacing w:before="0" w:beforeAutospacing="0" w:after="0" w:afterAutospacing="0"/>
              <w:ind w:left="33"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磋商保证金</w:t>
            </w:r>
          </w:p>
        </w:tc>
        <w:tc>
          <w:tcPr>
            <w:tcW w:w="6609" w:type="dxa"/>
            <w:noWrap w:val="0"/>
            <w:vAlign w:val="center"/>
          </w:tcPr>
          <w:p w14:paraId="794C7347">
            <w:pPr>
              <w:keepNext w:val="0"/>
              <w:keepLines w:val="0"/>
              <w:suppressLineNumbers w:val="0"/>
              <w:spacing w:before="120" w:beforeLines="50" w:beforeAutospacing="0" w:after="0" w:afterAutospacing="0"/>
              <w:ind w:left="0" w:right="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是否要求供应商提交磋商保证金：</w:t>
            </w:r>
          </w:p>
          <w:p w14:paraId="3059F52C">
            <w:pPr>
              <w:keepNext w:val="0"/>
              <w:keepLines w:val="0"/>
              <w:suppressLineNumbers w:val="0"/>
              <w:spacing w:before="0" w:beforeAutospacing="0" w:after="0" w:afterAutospacing="0"/>
              <w:ind w:left="0" w:right="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sym w:font="Wingdings 2" w:char="00A3"/>
            </w:r>
            <w:r>
              <w:rPr>
                <w:rFonts w:hint="eastAsia" w:ascii="仿宋" w:hAnsi="仿宋" w:eastAsia="仿宋" w:cs="仿宋"/>
                <w:b/>
                <w:color w:val="auto"/>
                <w:sz w:val="28"/>
                <w:szCs w:val="28"/>
                <w:highlight w:val="none"/>
              </w:rPr>
              <w:t xml:space="preserve">  </w:t>
            </w:r>
            <w:r>
              <w:rPr>
                <w:rFonts w:hint="eastAsia" w:ascii="仿宋" w:hAnsi="仿宋" w:eastAsia="仿宋" w:cs="仿宋"/>
                <w:color w:val="auto"/>
                <w:sz w:val="28"/>
                <w:szCs w:val="28"/>
                <w:highlight w:val="none"/>
              </w:rPr>
              <w:t>要求：</w:t>
            </w:r>
          </w:p>
          <w:p w14:paraId="51C68AB0">
            <w:pPr>
              <w:keepNext w:val="0"/>
              <w:keepLines w:val="0"/>
              <w:suppressLineNumbers w:val="0"/>
              <w:spacing w:before="0" w:beforeAutospacing="0" w:after="0" w:afterAutospacing="0"/>
              <w:ind w:left="0" w:right="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磋商保证金的金额：</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0.00元</w:t>
            </w:r>
          </w:p>
          <w:p w14:paraId="5AB781A1">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rPr>
              <w:t xml:space="preserve"> </w:t>
            </w:r>
            <w:r>
              <w:rPr>
                <w:rFonts w:hint="eastAsia" w:ascii="仿宋" w:hAnsi="仿宋" w:eastAsia="仿宋" w:cs="仿宋"/>
                <w:color w:val="auto"/>
                <w:kern w:val="2"/>
                <w:sz w:val="28"/>
                <w:szCs w:val="28"/>
                <w:highlight w:val="none"/>
              </w:rPr>
              <w:sym w:font="Wingdings 2" w:char="0052"/>
            </w:r>
            <w:r>
              <w:rPr>
                <w:rFonts w:hint="eastAsia" w:ascii="仿宋" w:hAnsi="仿宋" w:eastAsia="仿宋" w:cs="仿宋"/>
                <w:color w:val="auto"/>
                <w:kern w:val="2"/>
                <w:sz w:val="28"/>
                <w:szCs w:val="28"/>
                <w:highlight w:val="none"/>
              </w:rPr>
              <w:t xml:space="preserve"> 不要求</w:t>
            </w:r>
          </w:p>
          <w:p w14:paraId="67701976">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eastAsia="zh-CN"/>
              </w:rPr>
              <w:t>递交时间：同</w:t>
            </w:r>
            <w:r>
              <w:rPr>
                <w:rFonts w:hint="eastAsia" w:ascii="仿宋" w:hAnsi="仿宋" w:eastAsia="仿宋" w:cs="仿宋"/>
                <w:color w:val="auto"/>
                <w:kern w:val="2"/>
                <w:sz w:val="28"/>
                <w:szCs w:val="28"/>
                <w:highlight w:val="none"/>
                <w:lang w:val="zh-CN"/>
              </w:rPr>
              <w:t>提交响应文件截至时间</w:t>
            </w:r>
          </w:p>
          <w:p w14:paraId="20CFC0DF">
            <w:pPr>
              <w:pStyle w:val="82"/>
              <w:keepNext w:val="0"/>
              <w:keepLines w:val="0"/>
              <w:suppressLineNumbers w:val="0"/>
              <w:spacing w:before="0" w:beforeAutospacing="0" w:after="0" w:afterAutospacing="0"/>
              <w:ind w:left="142" w:right="0"/>
              <w:jc w:val="both"/>
              <w:rPr>
                <w:rFonts w:hint="eastAsia" w:ascii="仿宋" w:hAnsi="仿宋" w:eastAsia="仿宋" w:cs="仿宋"/>
                <w:color w:val="auto"/>
                <w:kern w:val="2"/>
                <w:sz w:val="28"/>
                <w:szCs w:val="28"/>
                <w:highlight w:val="none"/>
                <w:lang w:eastAsia="zh-CN"/>
              </w:rPr>
            </w:pPr>
            <w:r>
              <w:rPr>
                <w:rFonts w:hint="eastAsia" w:ascii="仿宋" w:hAnsi="仿宋" w:eastAsia="仿宋" w:cs="仿宋"/>
                <w:b/>
                <w:bCs/>
                <w:color w:val="auto"/>
                <w:kern w:val="2"/>
                <w:sz w:val="28"/>
                <w:szCs w:val="28"/>
                <w:highlight w:val="none"/>
                <w:lang w:val="zh-CN"/>
              </w:rPr>
              <w:t>如参标供应商主动放弃参与项目开标，应至少于开标前一个工作日书面或致电告知采购代理机构</w:t>
            </w:r>
          </w:p>
        </w:tc>
      </w:tr>
      <w:tr w14:paraId="61C4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D0C6CF9">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3</w:t>
            </w:r>
          </w:p>
        </w:tc>
        <w:tc>
          <w:tcPr>
            <w:tcW w:w="2081" w:type="dxa"/>
            <w:noWrap w:val="0"/>
            <w:vAlign w:val="center"/>
          </w:tcPr>
          <w:p w14:paraId="621B82EB">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不予退还磋商</w:t>
            </w:r>
          </w:p>
          <w:p w14:paraId="1BB03D5E">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保证金的情形</w:t>
            </w:r>
          </w:p>
        </w:tc>
        <w:tc>
          <w:tcPr>
            <w:tcW w:w="6609" w:type="dxa"/>
            <w:noWrap w:val="0"/>
            <w:vAlign w:val="center"/>
          </w:tcPr>
          <w:p w14:paraId="0650A378">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详见</w:t>
            </w:r>
            <w:r>
              <w:rPr>
                <w:rFonts w:hint="eastAsia" w:ascii="仿宋" w:hAnsi="仿宋" w:eastAsia="仿宋" w:cs="仿宋"/>
                <w:color w:val="auto"/>
                <w:kern w:val="2"/>
                <w:sz w:val="28"/>
                <w:szCs w:val="28"/>
                <w:highlight w:val="none"/>
              </w:rPr>
              <w:t>供应商须知第4.5.3.2条款</w:t>
            </w:r>
          </w:p>
        </w:tc>
      </w:tr>
      <w:tr w14:paraId="3692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C60CDA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4</w:t>
            </w:r>
          </w:p>
        </w:tc>
        <w:tc>
          <w:tcPr>
            <w:tcW w:w="2081" w:type="dxa"/>
            <w:noWrap w:val="0"/>
            <w:vAlign w:val="center"/>
          </w:tcPr>
          <w:p w14:paraId="037DDEA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响应文件份数</w:t>
            </w:r>
          </w:p>
        </w:tc>
        <w:tc>
          <w:tcPr>
            <w:tcW w:w="6609" w:type="dxa"/>
            <w:noWrap w:val="0"/>
            <w:vAlign w:val="center"/>
          </w:tcPr>
          <w:p w14:paraId="15A5AC18">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正本</w:t>
            </w:r>
            <w:r>
              <w:rPr>
                <w:rFonts w:hint="eastAsia" w:ascii="仿宋" w:hAnsi="仿宋" w:eastAsia="仿宋" w:cs="仿宋"/>
                <w:color w:val="auto"/>
                <w:kern w:val="2"/>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rPr>
              <w:t>1</w:t>
            </w:r>
            <w:r>
              <w:rPr>
                <w:rFonts w:hint="eastAsia" w:ascii="仿宋" w:hAnsi="仿宋" w:eastAsia="仿宋" w:cs="仿宋"/>
                <w:color w:val="auto"/>
                <w:kern w:val="2"/>
                <w:sz w:val="28"/>
                <w:szCs w:val="28"/>
                <w:highlight w:val="none"/>
                <w:u w:val="single"/>
                <w:lang w:val="en-US" w:eastAsia="zh-CN"/>
              </w:rPr>
              <w:t xml:space="preserve"> </w:t>
            </w:r>
            <w:r>
              <w:rPr>
                <w:rFonts w:hint="eastAsia" w:ascii="仿宋" w:hAnsi="仿宋" w:eastAsia="仿宋" w:cs="仿宋"/>
                <w:color w:val="auto"/>
                <w:kern w:val="2"/>
                <w:sz w:val="28"/>
                <w:szCs w:val="28"/>
                <w:highlight w:val="none"/>
              </w:rPr>
              <w:t>份、副本</w:t>
            </w:r>
            <w:r>
              <w:rPr>
                <w:rFonts w:hint="eastAsia" w:ascii="仿宋" w:hAnsi="仿宋" w:eastAsia="仿宋" w:cs="仿宋"/>
                <w:color w:val="auto"/>
                <w:kern w:val="2"/>
                <w:sz w:val="28"/>
                <w:szCs w:val="28"/>
                <w:highlight w:val="none"/>
                <w:u w:val="single"/>
                <w:lang w:val="en-US" w:eastAsia="zh-CN"/>
              </w:rPr>
              <w:t xml:space="preserve"> 2 </w:t>
            </w:r>
            <w:r>
              <w:rPr>
                <w:rFonts w:hint="eastAsia" w:ascii="仿宋" w:hAnsi="仿宋" w:eastAsia="仿宋" w:cs="仿宋"/>
                <w:color w:val="auto"/>
                <w:kern w:val="2"/>
                <w:sz w:val="28"/>
                <w:szCs w:val="28"/>
                <w:highlight w:val="none"/>
              </w:rPr>
              <w:t>份和电子文件（</w:t>
            </w:r>
            <w:r>
              <w:rPr>
                <w:rFonts w:hint="eastAsia" w:ascii="仿宋" w:hAnsi="仿宋" w:eastAsia="仿宋" w:cs="仿宋"/>
                <w:color w:val="auto"/>
                <w:kern w:val="2"/>
                <w:sz w:val="28"/>
                <w:szCs w:val="28"/>
                <w:highlight w:val="none"/>
                <w:lang w:val="en-US" w:eastAsia="zh-CN"/>
              </w:rPr>
              <w:t>U盘</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u w:val="single"/>
                <w:lang w:val="en-US" w:eastAsia="zh-CN"/>
              </w:rPr>
              <w:t xml:space="preserve"> 1 </w:t>
            </w:r>
            <w:r>
              <w:rPr>
                <w:rFonts w:hint="eastAsia" w:ascii="仿宋" w:hAnsi="仿宋" w:eastAsia="仿宋" w:cs="仿宋"/>
                <w:color w:val="auto"/>
                <w:kern w:val="2"/>
                <w:sz w:val="28"/>
                <w:szCs w:val="28"/>
                <w:highlight w:val="none"/>
              </w:rPr>
              <w:t>份</w:t>
            </w:r>
          </w:p>
        </w:tc>
      </w:tr>
      <w:tr w14:paraId="5BF5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1EF35D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5</w:t>
            </w:r>
          </w:p>
        </w:tc>
        <w:tc>
          <w:tcPr>
            <w:tcW w:w="2081" w:type="dxa"/>
            <w:noWrap w:val="0"/>
            <w:vAlign w:val="center"/>
          </w:tcPr>
          <w:p w14:paraId="2315522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响应文件签字</w:t>
            </w:r>
          </w:p>
          <w:p w14:paraId="207B94D4">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或盖章要求</w:t>
            </w:r>
          </w:p>
        </w:tc>
        <w:tc>
          <w:tcPr>
            <w:tcW w:w="6609" w:type="dxa"/>
            <w:noWrap w:val="0"/>
            <w:vAlign w:val="center"/>
          </w:tcPr>
          <w:p w14:paraId="1B04B532">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供应商必须按照磋商文件的规定和要求签字、盖章</w:t>
            </w:r>
          </w:p>
        </w:tc>
      </w:tr>
      <w:tr w14:paraId="07A2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E25E2E4">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6</w:t>
            </w:r>
          </w:p>
        </w:tc>
        <w:tc>
          <w:tcPr>
            <w:tcW w:w="2081" w:type="dxa"/>
            <w:noWrap w:val="0"/>
            <w:vAlign w:val="center"/>
          </w:tcPr>
          <w:p w14:paraId="14022A4F">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响应文件是否分册装订</w:t>
            </w:r>
          </w:p>
        </w:tc>
        <w:tc>
          <w:tcPr>
            <w:tcW w:w="6609" w:type="dxa"/>
            <w:noWrap w:val="0"/>
            <w:vAlign w:val="center"/>
          </w:tcPr>
          <w:p w14:paraId="0C19E4B8">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不需要</w:t>
            </w:r>
          </w:p>
          <w:p w14:paraId="30DFAB00">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资格审查文件和商务技术文件不需要分册装订</w:t>
            </w:r>
          </w:p>
          <w:p w14:paraId="3BC4B8D6">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密封要求：一律采用A4纸</w:t>
            </w:r>
            <w:r>
              <w:rPr>
                <w:rFonts w:hint="eastAsia" w:ascii="仿宋" w:hAnsi="仿宋" w:eastAsia="仿宋" w:cs="仿宋"/>
                <w:color w:val="auto"/>
                <w:kern w:val="2"/>
                <w:sz w:val="28"/>
                <w:szCs w:val="28"/>
                <w:highlight w:val="none"/>
                <w:lang w:eastAsia="zh-CN"/>
              </w:rPr>
              <w:t>胶装</w:t>
            </w:r>
            <w:r>
              <w:rPr>
                <w:rFonts w:hint="eastAsia" w:ascii="仿宋" w:hAnsi="仿宋" w:eastAsia="仿宋" w:cs="仿宋"/>
                <w:color w:val="auto"/>
                <w:kern w:val="2"/>
                <w:sz w:val="28"/>
                <w:szCs w:val="28"/>
                <w:highlight w:val="none"/>
              </w:rPr>
              <w:t>成册（禁止使用活页），正本和副本分别装订，电子版放置正本密封袋中。正本</w:t>
            </w:r>
            <w:r>
              <w:rPr>
                <w:rFonts w:hint="eastAsia" w:ascii="仿宋" w:hAnsi="仿宋" w:eastAsia="仿宋" w:cs="仿宋"/>
                <w:color w:val="auto"/>
                <w:kern w:val="2"/>
                <w:sz w:val="28"/>
                <w:szCs w:val="28"/>
                <w:highlight w:val="none"/>
                <w:lang w:eastAsia="zh-CN"/>
              </w:rPr>
              <w:t>单独密封，所有的</w:t>
            </w:r>
            <w:r>
              <w:rPr>
                <w:rFonts w:hint="eastAsia" w:ascii="仿宋" w:hAnsi="仿宋" w:eastAsia="仿宋" w:cs="仿宋"/>
                <w:color w:val="auto"/>
                <w:kern w:val="2"/>
                <w:sz w:val="28"/>
                <w:szCs w:val="28"/>
                <w:highlight w:val="none"/>
              </w:rPr>
              <w:t>副本一起密封或单独密封</w:t>
            </w:r>
          </w:p>
          <w:p w14:paraId="7A89BD45">
            <w:pPr>
              <w:pStyle w:val="82"/>
              <w:keepNext w:val="0"/>
              <w:keepLines w:val="0"/>
              <w:suppressLineNumbers w:val="0"/>
              <w:spacing w:before="0" w:beforeAutospacing="0" w:after="0" w:afterAutospacing="0"/>
              <w:ind w:left="0" w:right="0" w:firstLine="21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需要，分册装订要求：</w:t>
            </w:r>
          </w:p>
        </w:tc>
      </w:tr>
      <w:tr w14:paraId="744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91FCBE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7</w:t>
            </w:r>
          </w:p>
        </w:tc>
        <w:tc>
          <w:tcPr>
            <w:tcW w:w="2081" w:type="dxa"/>
            <w:noWrap w:val="0"/>
            <w:vAlign w:val="center"/>
          </w:tcPr>
          <w:p w14:paraId="513A31E9">
            <w:pPr>
              <w:pStyle w:val="82"/>
              <w:keepNext w:val="0"/>
              <w:keepLines w:val="0"/>
              <w:suppressLineNumbers w:val="0"/>
              <w:spacing w:before="0" w:beforeAutospacing="0" w:after="0" w:afterAutospacing="0"/>
              <w:ind w:left="351" w:leftChars="167" w:right="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响应文件封面</w:t>
            </w:r>
          </w:p>
          <w:p w14:paraId="513A156C">
            <w:pPr>
              <w:pStyle w:val="82"/>
              <w:keepNext w:val="0"/>
              <w:keepLines w:val="0"/>
              <w:suppressLineNumbers w:val="0"/>
              <w:spacing w:before="0" w:beforeAutospacing="0" w:after="0" w:afterAutospacing="0"/>
              <w:ind w:left="351" w:leftChars="167" w:right="0" w:firstLine="560" w:firstLineChars="2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标注</w:t>
            </w:r>
          </w:p>
        </w:tc>
        <w:tc>
          <w:tcPr>
            <w:tcW w:w="6609" w:type="dxa"/>
            <w:noWrap w:val="0"/>
            <w:vAlign w:val="center"/>
          </w:tcPr>
          <w:p w14:paraId="210824DC">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响应文件正本和副本的封面上均应标明：采购项目名称、采购项目编号、包号（如有）、供应商名称、年月日；并分别在右上角标明“正本”和“副本”字样</w:t>
            </w:r>
          </w:p>
        </w:tc>
      </w:tr>
      <w:tr w14:paraId="011A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A9BA41F">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28</w:t>
            </w:r>
          </w:p>
        </w:tc>
        <w:tc>
          <w:tcPr>
            <w:tcW w:w="2081" w:type="dxa"/>
            <w:noWrap w:val="0"/>
            <w:vAlign w:val="center"/>
          </w:tcPr>
          <w:p w14:paraId="5EB0E0A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封套上应载明的信息</w:t>
            </w:r>
          </w:p>
        </w:tc>
        <w:tc>
          <w:tcPr>
            <w:tcW w:w="6609" w:type="dxa"/>
            <w:noWrap w:val="0"/>
            <w:vAlign w:val="center"/>
          </w:tcPr>
          <w:p w14:paraId="7F0EE15C">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u w:val="single"/>
                <w:lang w:val="en-US" w:eastAsia="zh-CN"/>
              </w:rPr>
            </w:pPr>
            <w:r>
              <w:rPr>
                <w:rFonts w:hint="eastAsia" w:ascii="仿宋" w:hAnsi="仿宋" w:eastAsia="仿宋" w:cs="仿宋"/>
                <w:color w:val="auto"/>
                <w:kern w:val="2"/>
                <w:sz w:val="28"/>
                <w:szCs w:val="28"/>
                <w:highlight w:val="none"/>
                <w:lang w:val="zh-CN"/>
              </w:rPr>
              <w:t>采购项目名称：</w:t>
            </w:r>
            <w:r>
              <w:rPr>
                <w:rFonts w:hint="eastAsia" w:ascii="仿宋" w:hAnsi="仿宋" w:eastAsia="仿宋" w:cs="仿宋"/>
                <w:color w:val="auto"/>
                <w:kern w:val="2"/>
                <w:sz w:val="28"/>
                <w:szCs w:val="28"/>
                <w:highlight w:val="none"/>
                <w:u w:val="single"/>
                <w:lang w:val="en-US" w:eastAsia="zh-CN"/>
              </w:rPr>
              <w:t xml:space="preserve">            磋商响应（或投标）文件</w:t>
            </w:r>
          </w:p>
          <w:p w14:paraId="2EB0DE2F">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“正本”或“副本”字样</w:t>
            </w:r>
          </w:p>
          <w:p w14:paraId="1E12CFAD">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采购项目编号、包号（如有）：</w:t>
            </w:r>
          </w:p>
          <w:p w14:paraId="4AC23593">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供应商名称：</w:t>
            </w:r>
          </w:p>
          <w:p w14:paraId="4F325DA0">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日期：</w:t>
            </w:r>
          </w:p>
          <w:p w14:paraId="37B1FF5F">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在    年  月  日  时  分前不得开启</w:t>
            </w:r>
          </w:p>
          <w:p w14:paraId="5B615937">
            <w:pPr>
              <w:pStyle w:val="82"/>
              <w:keepNext w:val="0"/>
              <w:keepLines w:val="0"/>
              <w:suppressLineNumbers w:val="0"/>
              <w:spacing w:before="0" w:beforeAutospacing="0" w:after="0" w:afterAutospacing="0" w:line="320" w:lineRule="exact"/>
              <w:ind w:left="0" w:right="0" w:firstLine="280" w:firstLineChars="1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并有法定代表人或授权代表手写签字或盖章，并加盖公司鲜章</w:t>
            </w:r>
          </w:p>
        </w:tc>
      </w:tr>
      <w:tr w14:paraId="06FB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106858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29</w:t>
            </w:r>
          </w:p>
        </w:tc>
        <w:tc>
          <w:tcPr>
            <w:tcW w:w="2081" w:type="dxa"/>
            <w:noWrap w:val="0"/>
            <w:vAlign w:val="center"/>
          </w:tcPr>
          <w:p w14:paraId="70DBC265">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提交响应文件截至时间</w:t>
            </w:r>
          </w:p>
        </w:tc>
        <w:tc>
          <w:tcPr>
            <w:tcW w:w="6609" w:type="dxa"/>
            <w:noWrap w:val="0"/>
            <w:vAlign w:val="center"/>
          </w:tcPr>
          <w:p w14:paraId="1E3A8635">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以公告时间为准</w:t>
            </w:r>
          </w:p>
        </w:tc>
      </w:tr>
      <w:tr w14:paraId="667F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B0A5118">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0</w:t>
            </w:r>
          </w:p>
        </w:tc>
        <w:tc>
          <w:tcPr>
            <w:tcW w:w="2081" w:type="dxa"/>
            <w:noWrap w:val="0"/>
            <w:vAlign w:val="center"/>
          </w:tcPr>
          <w:p w14:paraId="1F56491C">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提交响应文件地点</w:t>
            </w:r>
          </w:p>
        </w:tc>
        <w:tc>
          <w:tcPr>
            <w:tcW w:w="6609" w:type="dxa"/>
            <w:noWrap w:val="0"/>
            <w:vAlign w:val="center"/>
          </w:tcPr>
          <w:p w14:paraId="5B26C257">
            <w:pPr>
              <w:pStyle w:val="82"/>
              <w:keepNext w:val="0"/>
              <w:keepLines w:val="0"/>
              <w:suppressLineNumbers w:val="0"/>
              <w:spacing w:before="0" w:beforeAutospacing="0" w:after="0" w:afterAutospacing="0"/>
              <w:ind w:left="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w:t>
            </w:r>
            <w:r>
              <w:rPr>
                <w:rFonts w:hint="eastAsia" w:ascii="仿宋" w:hAnsi="仿宋" w:eastAsia="仿宋" w:cs="仿宋"/>
                <w:color w:val="auto"/>
                <w:kern w:val="2"/>
                <w:sz w:val="28"/>
                <w:szCs w:val="28"/>
                <w:highlight w:val="none"/>
                <w:lang w:val="zh-CN" w:eastAsia="zh-CN"/>
              </w:rPr>
              <w:t>汉中市汉台区滨江东路晨晖帝景府A1号楼2402室</w:t>
            </w:r>
          </w:p>
        </w:tc>
      </w:tr>
      <w:tr w14:paraId="6BA7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67F690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1</w:t>
            </w:r>
          </w:p>
        </w:tc>
        <w:tc>
          <w:tcPr>
            <w:tcW w:w="2081" w:type="dxa"/>
            <w:noWrap w:val="0"/>
            <w:vAlign w:val="center"/>
          </w:tcPr>
          <w:p w14:paraId="7381E9AB">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响应文件是否退还</w:t>
            </w:r>
          </w:p>
        </w:tc>
        <w:tc>
          <w:tcPr>
            <w:tcW w:w="6609" w:type="dxa"/>
            <w:noWrap w:val="0"/>
            <w:vAlign w:val="center"/>
          </w:tcPr>
          <w:p w14:paraId="67B5A70B">
            <w:pPr>
              <w:keepNext w:val="0"/>
              <w:keepLines w:val="0"/>
              <w:suppressLineNumbers w:val="0"/>
              <w:autoSpaceDE w:val="0"/>
              <w:autoSpaceDN w:val="0"/>
              <w:adjustRightInd w:val="0"/>
              <w:spacing w:before="0" w:beforeAutospacing="0" w:after="0" w:afterAutospacing="0"/>
              <w:ind w:left="0" w:right="0" w:firstLine="280" w:firstLineChars="1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b/>
                <w:color w:val="auto"/>
                <w:sz w:val="28"/>
                <w:szCs w:val="28"/>
                <w:highlight w:val="none"/>
              </w:rPr>
              <w:t xml:space="preserve"> </w:t>
            </w:r>
            <w:r>
              <w:rPr>
                <w:rFonts w:hint="eastAsia" w:ascii="仿宋" w:hAnsi="仿宋" w:eastAsia="仿宋" w:cs="仿宋"/>
                <w:color w:val="auto"/>
                <w:sz w:val="28"/>
                <w:szCs w:val="28"/>
                <w:highlight w:val="none"/>
              </w:rPr>
              <w:t>否</w:t>
            </w:r>
          </w:p>
          <w:p w14:paraId="381BD018">
            <w:pPr>
              <w:keepNext w:val="0"/>
              <w:keepLines w:val="0"/>
              <w:suppressLineNumbers w:val="0"/>
              <w:autoSpaceDE w:val="0"/>
              <w:autoSpaceDN w:val="0"/>
              <w:adjustRightInd w:val="0"/>
              <w:spacing w:before="0" w:beforeAutospacing="0" w:after="0" w:afterAutospacing="0"/>
              <w:ind w:left="0" w:right="0" w:firstLine="280" w:firstLineChars="1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退还，退还时间：</w:t>
            </w:r>
          </w:p>
        </w:tc>
      </w:tr>
      <w:tr w14:paraId="4B28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08A6DE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2</w:t>
            </w:r>
          </w:p>
        </w:tc>
        <w:tc>
          <w:tcPr>
            <w:tcW w:w="2081" w:type="dxa"/>
            <w:noWrap w:val="0"/>
            <w:vAlign w:val="center"/>
          </w:tcPr>
          <w:p w14:paraId="1E0FFF3A">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开启响应文件时间</w:t>
            </w:r>
          </w:p>
          <w:p w14:paraId="1A64DF0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和地点</w:t>
            </w:r>
          </w:p>
        </w:tc>
        <w:tc>
          <w:tcPr>
            <w:tcW w:w="6609" w:type="dxa"/>
            <w:noWrap w:val="0"/>
            <w:vAlign w:val="center"/>
          </w:tcPr>
          <w:p w14:paraId="37A2D197">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开启响应文件时间：同提交响应文件截至时间</w:t>
            </w:r>
          </w:p>
          <w:p w14:paraId="71E27C49">
            <w:pPr>
              <w:pStyle w:val="82"/>
              <w:keepNext w:val="0"/>
              <w:keepLines w:val="0"/>
              <w:suppressLineNumbers w:val="0"/>
              <w:spacing w:before="0" w:beforeAutospacing="0" w:after="0" w:afterAutospacing="0"/>
              <w:ind w:left="0" w:right="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开启响应文件地点：同提交响应文件地点</w:t>
            </w:r>
          </w:p>
        </w:tc>
      </w:tr>
      <w:bookmarkEnd w:id="12"/>
      <w:bookmarkEnd w:id="13"/>
      <w:bookmarkEnd w:id="14"/>
      <w:bookmarkEnd w:id="15"/>
      <w:tr w14:paraId="700E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7BC88D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bookmarkStart w:id="23" w:name="_Toc217446033"/>
            <w:bookmarkStart w:id="24" w:name="_Toc183682341"/>
            <w:bookmarkStart w:id="25" w:name="_Toc89075873"/>
            <w:bookmarkStart w:id="26" w:name="_Toc77400778"/>
            <w:bookmarkStart w:id="27" w:name="_Toc183582204"/>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3</w:t>
            </w:r>
          </w:p>
        </w:tc>
        <w:tc>
          <w:tcPr>
            <w:tcW w:w="2081" w:type="dxa"/>
            <w:noWrap w:val="0"/>
            <w:vAlign w:val="center"/>
          </w:tcPr>
          <w:p w14:paraId="7BB4A6E7">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磋商小组的组建</w:t>
            </w:r>
          </w:p>
        </w:tc>
        <w:tc>
          <w:tcPr>
            <w:tcW w:w="6609" w:type="dxa"/>
            <w:noWrap w:val="0"/>
            <w:vAlign w:val="center"/>
          </w:tcPr>
          <w:p w14:paraId="60B1FF15">
            <w:pPr>
              <w:pStyle w:val="82"/>
              <w:keepNext w:val="0"/>
              <w:keepLines w:val="0"/>
              <w:suppressLineNumbers w:val="0"/>
              <w:spacing w:before="0" w:beforeAutospacing="0" w:after="0" w:afterAutospacing="0" w:line="320" w:lineRule="exact"/>
              <w:ind w:left="774" w:leftChars="102" w:right="0" w:hanging="560" w:hangingChars="2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磋商小组构成形式、人数，评审专家确定方式：</w:t>
            </w:r>
          </w:p>
          <w:p w14:paraId="7A4FF24A">
            <w:pPr>
              <w:pStyle w:val="82"/>
              <w:keepNext w:val="0"/>
              <w:keepLines w:val="0"/>
              <w:suppressLineNumbers w:val="0"/>
              <w:spacing w:before="0" w:beforeAutospacing="0" w:after="0" w:afterAutospacing="0" w:line="320" w:lineRule="exact"/>
              <w:ind w:left="774" w:leftChars="102" w:right="0" w:hanging="560" w:hanging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详见供应商须知第7.1.1条款</w:t>
            </w:r>
          </w:p>
        </w:tc>
      </w:tr>
      <w:tr w14:paraId="1CEA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671DE8D">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4</w:t>
            </w:r>
          </w:p>
        </w:tc>
        <w:tc>
          <w:tcPr>
            <w:tcW w:w="2081" w:type="dxa"/>
            <w:noWrap w:val="0"/>
            <w:vAlign w:val="center"/>
          </w:tcPr>
          <w:p w14:paraId="6D80D82E">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磋商办法</w:t>
            </w:r>
          </w:p>
        </w:tc>
        <w:tc>
          <w:tcPr>
            <w:tcW w:w="6609" w:type="dxa"/>
            <w:noWrap w:val="0"/>
            <w:vAlign w:val="center"/>
          </w:tcPr>
          <w:p w14:paraId="66A25A2D">
            <w:pPr>
              <w:pStyle w:val="82"/>
              <w:keepNext w:val="0"/>
              <w:keepLines w:val="0"/>
              <w:suppressLineNumbers w:val="0"/>
              <w:spacing w:before="0" w:beforeAutospacing="0" w:after="0" w:afterAutospacing="0"/>
              <w:ind w:left="774" w:leftChars="102" w:right="0" w:hanging="560" w:hangingChars="200"/>
              <w:rPr>
                <w:rFonts w:hint="eastAsia" w:ascii="仿宋" w:hAnsi="仿宋" w:eastAsia="仿宋" w:cs="仿宋"/>
                <w:b/>
                <w:color w:val="auto"/>
                <w:kern w:val="2"/>
                <w:sz w:val="28"/>
                <w:szCs w:val="28"/>
                <w:highlight w:val="none"/>
              </w:rPr>
            </w:pPr>
            <w:r>
              <w:rPr>
                <w:rFonts w:hint="eastAsia" w:ascii="仿宋" w:hAnsi="仿宋" w:eastAsia="仿宋" w:cs="仿宋"/>
                <w:color w:val="auto"/>
                <w:kern w:val="2"/>
                <w:sz w:val="28"/>
                <w:szCs w:val="28"/>
                <w:highlight w:val="none"/>
                <w:lang w:val="zh-CN"/>
              </w:rPr>
              <w:t>详见第三章磋商办法</w:t>
            </w:r>
          </w:p>
        </w:tc>
      </w:tr>
      <w:tr w14:paraId="2ADF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CCB76BE">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5</w:t>
            </w:r>
          </w:p>
        </w:tc>
        <w:tc>
          <w:tcPr>
            <w:tcW w:w="2081" w:type="dxa"/>
            <w:noWrap w:val="0"/>
            <w:vAlign w:val="center"/>
          </w:tcPr>
          <w:p w14:paraId="5F13898A">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磋商小组推荐成交候选人的家数</w:t>
            </w:r>
          </w:p>
        </w:tc>
        <w:tc>
          <w:tcPr>
            <w:tcW w:w="6609" w:type="dxa"/>
            <w:noWrap w:val="0"/>
            <w:vAlign w:val="center"/>
          </w:tcPr>
          <w:p w14:paraId="6328C67A">
            <w:pPr>
              <w:pStyle w:val="82"/>
              <w:keepNext w:val="0"/>
              <w:keepLines w:val="0"/>
              <w:suppressLineNumbers w:val="0"/>
              <w:spacing w:before="0" w:beforeAutospacing="0" w:after="0" w:afterAutospacing="0"/>
              <w:ind w:left="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3 </w:t>
            </w:r>
          </w:p>
        </w:tc>
      </w:tr>
      <w:tr w14:paraId="3901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54B9B7CB">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6</w:t>
            </w:r>
          </w:p>
        </w:tc>
        <w:tc>
          <w:tcPr>
            <w:tcW w:w="2081" w:type="dxa"/>
            <w:noWrap w:val="0"/>
            <w:vAlign w:val="center"/>
          </w:tcPr>
          <w:p w14:paraId="6C174E35">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是否授权磋商小组确定成交供应商</w:t>
            </w:r>
          </w:p>
        </w:tc>
        <w:tc>
          <w:tcPr>
            <w:tcW w:w="6609" w:type="dxa"/>
            <w:noWrap w:val="0"/>
            <w:vAlign w:val="center"/>
          </w:tcPr>
          <w:p w14:paraId="686E36F3">
            <w:pPr>
              <w:pStyle w:val="82"/>
              <w:keepNext w:val="0"/>
              <w:keepLines w:val="0"/>
              <w:suppressLineNumbers w:val="0"/>
              <w:spacing w:before="0" w:beforeAutospacing="0" w:after="0" w:afterAutospacing="0"/>
              <w:ind w:left="210" w:right="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是</w:t>
            </w:r>
          </w:p>
          <w:p w14:paraId="6B8F0AAA">
            <w:pPr>
              <w:pStyle w:val="82"/>
              <w:keepNext w:val="0"/>
              <w:keepLines w:val="0"/>
              <w:suppressLineNumbers w:val="0"/>
              <w:tabs>
                <w:tab w:val="left" w:pos="561"/>
              </w:tabs>
              <w:spacing w:before="0" w:beforeAutospacing="0" w:after="0" w:afterAutospacing="0"/>
              <w:ind w:left="21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b/>
                <w:color w:val="auto"/>
                <w:kern w:val="2"/>
                <w:sz w:val="28"/>
                <w:szCs w:val="28"/>
                <w:highlight w:val="none"/>
              </w:rPr>
              <w:t xml:space="preserve">  </w:t>
            </w:r>
            <w:r>
              <w:rPr>
                <w:rFonts w:hint="eastAsia" w:ascii="仿宋" w:hAnsi="仿宋" w:eastAsia="仿宋" w:cs="仿宋"/>
                <w:color w:val="auto"/>
                <w:kern w:val="2"/>
                <w:sz w:val="28"/>
                <w:szCs w:val="28"/>
                <w:highlight w:val="none"/>
                <w:lang w:val="zh-CN"/>
              </w:rPr>
              <w:t>否</w:t>
            </w:r>
          </w:p>
        </w:tc>
      </w:tr>
      <w:tr w14:paraId="3F59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7062446">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3</w:t>
            </w:r>
            <w:r>
              <w:rPr>
                <w:rFonts w:hint="eastAsia" w:ascii="仿宋" w:hAnsi="仿宋" w:eastAsia="仿宋" w:cs="仿宋"/>
                <w:color w:val="auto"/>
                <w:kern w:val="2"/>
                <w:sz w:val="28"/>
                <w:szCs w:val="28"/>
                <w:highlight w:val="none"/>
                <w:lang w:val="en-US" w:eastAsia="zh-CN"/>
              </w:rPr>
              <w:t>7</w:t>
            </w:r>
          </w:p>
        </w:tc>
        <w:tc>
          <w:tcPr>
            <w:tcW w:w="2081" w:type="dxa"/>
            <w:noWrap w:val="0"/>
            <w:vAlign w:val="center"/>
          </w:tcPr>
          <w:p w14:paraId="546866B2">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发布成交公告的</w:t>
            </w:r>
          </w:p>
          <w:p w14:paraId="6BEA9978">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时间、媒介和期限</w:t>
            </w:r>
          </w:p>
        </w:tc>
        <w:tc>
          <w:tcPr>
            <w:tcW w:w="6609" w:type="dxa"/>
            <w:noWrap w:val="0"/>
            <w:vAlign w:val="center"/>
          </w:tcPr>
          <w:p w14:paraId="2F0969B5">
            <w:pPr>
              <w:pStyle w:val="82"/>
              <w:keepNext w:val="0"/>
              <w:keepLines w:val="0"/>
              <w:suppressLineNumbers w:val="0"/>
              <w:spacing w:before="0" w:beforeAutospacing="0" w:after="0" w:afterAutospacing="0"/>
              <w:ind w:left="210" w:right="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公告时间：在确定成交供应商之日起2个工作日内</w:t>
            </w:r>
          </w:p>
          <w:p w14:paraId="2388434E">
            <w:pPr>
              <w:pStyle w:val="82"/>
              <w:keepNext w:val="0"/>
              <w:keepLines w:val="0"/>
              <w:suppressLineNumbers w:val="0"/>
              <w:spacing w:before="0" w:beforeAutospacing="0" w:after="0" w:afterAutospacing="0"/>
              <w:ind w:left="210" w:right="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公告媒介：陕西省政府采购网</w:t>
            </w:r>
          </w:p>
          <w:p w14:paraId="249C52B0">
            <w:pPr>
              <w:pStyle w:val="82"/>
              <w:keepNext w:val="0"/>
              <w:keepLines w:val="0"/>
              <w:suppressLineNumbers w:val="0"/>
              <w:spacing w:before="0" w:beforeAutospacing="0" w:after="0" w:afterAutospacing="0"/>
              <w:ind w:left="21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公告期限：1个工作日</w:t>
            </w:r>
          </w:p>
        </w:tc>
      </w:tr>
      <w:tr w14:paraId="6472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6455B7E">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38</w:t>
            </w:r>
          </w:p>
        </w:tc>
        <w:tc>
          <w:tcPr>
            <w:tcW w:w="2081" w:type="dxa"/>
            <w:noWrap w:val="0"/>
            <w:vAlign w:val="center"/>
          </w:tcPr>
          <w:p w14:paraId="7518EFEB">
            <w:pPr>
              <w:pStyle w:val="82"/>
              <w:keepNext w:val="0"/>
              <w:keepLines w:val="0"/>
              <w:suppressLineNumbers w:val="0"/>
              <w:spacing w:before="0" w:beforeAutospacing="0" w:after="0" w:afterAutospacing="0"/>
              <w:ind w:left="96"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履约保证金</w:t>
            </w:r>
          </w:p>
        </w:tc>
        <w:tc>
          <w:tcPr>
            <w:tcW w:w="6609" w:type="dxa"/>
            <w:noWrap w:val="0"/>
            <w:vAlign w:val="center"/>
          </w:tcPr>
          <w:p w14:paraId="2ED28CCE">
            <w:pPr>
              <w:pStyle w:val="82"/>
              <w:keepNext w:val="0"/>
              <w:keepLines w:val="0"/>
              <w:suppressLineNumbers w:val="0"/>
              <w:spacing w:before="0" w:beforeAutospacing="0" w:after="0" w:afterAutospacing="0" w:line="320" w:lineRule="exact"/>
              <w:ind w:left="774" w:leftChars="102" w:right="0" w:hanging="560" w:hangingChars="2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是否要求成交供应商提交履约保证金：</w:t>
            </w:r>
          </w:p>
          <w:p w14:paraId="6C50980A">
            <w:pPr>
              <w:pStyle w:val="82"/>
              <w:keepNext w:val="0"/>
              <w:keepLines w:val="0"/>
              <w:suppressLineNumbers w:val="0"/>
              <w:spacing w:before="0" w:beforeAutospacing="0" w:after="0" w:afterAutospacing="0" w:line="320" w:lineRule="exact"/>
              <w:ind w:left="210" w:right="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要求:</w:t>
            </w:r>
          </w:p>
          <w:p w14:paraId="774F6FEB">
            <w:pPr>
              <w:pStyle w:val="82"/>
              <w:keepNext w:val="0"/>
              <w:keepLines w:val="0"/>
              <w:suppressLineNumbers w:val="0"/>
              <w:spacing w:before="0" w:beforeAutospacing="0" w:after="0" w:afterAutospacing="0" w:line="320" w:lineRule="exact"/>
              <w:ind w:left="774" w:leftChars="102" w:right="0" w:hanging="560" w:hangingChars="2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 xml:space="preserve">    履约保证金的金额：¥</w:t>
            </w:r>
            <w:r>
              <w:rPr>
                <w:rFonts w:hint="eastAsia" w:ascii="仿宋" w:hAnsi="仿宋" w:eastAsia="仿宋" w:cs="仿宋"/>
                <w:color w:val="auto"/>
                <w:kern w:val="2"/>
                <w:sz w:val="28"/>
                <w:szCs w:val="28"/>
                <w:highlight w:val="none"/>
                <w:u w:val="single"/>
                <w:lang w:val="zh-CN"/>
              </w:rPr>
              <w:t xml:space="preserve"> </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kern w:val="2"/>
                <w:sz w:val="28"/>
                <w:szCs w:val="28"/>
                <w:highlight w:val="none"/>
                <w:u w:val="single"/>
                <w:lang w:val="zh-CN"/>
              </w:rPr>
              <w:t xml:space="preserve">  </w:t>
            </w:r>
          </w:p>
          <w:p w14:paraId="0ADBD276">
            <w:pPr>
              <w:pStyle w:val="82"/>
              <w:keepNext w:val="0"/>
              <w:keepLines w:val="0"/>
              <w:suppressLineNumbers w:val="0"/>
              <w:spacing w:before="0" w:beforeAutospacing="0" w:after="0" w:afterAutospacing="0" w:line="320" w:lineRule="exact"/>
              <w:ind w:left="0" w:right="0" w:firstLine="840" w:firstLineChars="300"/>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履约保证金的形式：可采取银行转账或履约担保方式提交</w:t>
            </w:r>
          </w:p>
          <w:p w14:paraId="4E3A48C6">
            <w:pPr>
              <w:pStyle w:val="82"/>
              <w:keepNext w:val="0"/>
              <w:keepLines w:val="0"/>
              <w:suppressLineNumbers w:val="0"/>
              <w:spacing w:before="0" w:beforeAutospacing="0" w:after="0" w:afterAutospacing="0" w:line="320" w:lineRule="exact"/>
              <w:ind w:left="0" w:right="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 xml:space="preserve">  </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zh-CN"/>
              </w:rPr>
              <w:t xml:space="preserve"> 不要求</w:t>
            </w:r>
          </w:p>
        </w:tc>
      </w:tr>
      <w:tr w14:paraId="332C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1EC6E73">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39</w:t>
            </w:r>
          </w:p>
        </w:tc>
        <w:tc>
          <w:tcPr>
            <w:tcW w:w="2081" w:type="dxa"/>
            <w:noWrap w:val="0"/>
            <w:vAlign w:val="center"/>
          </w:tcPr>
          <w:p w14:paraId="4975D1FD">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供应商信用信息</w:t>
            </w:r>
          </w:p>
          <w:p w14:paraId="29ED95D1">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查询截至时点</w:t>
            </w:r>
          </w:p>
        </w:tc>
        <w:tc>
          <w:tcPr>
            <w:tcW w:w="6609" w:type="dxa"/>
            <w:noWrap w:val="0"/>
            <w:vAlign w:val="center"/>
          </w:tcPr>
          <w:p w14:paraId="38BD1042">
            <w:pPr>
              <w:keepNext w:val="0"/>
              <w:keepLines w:val="0"/>
              <w:suppressLineNumbers w:val="0"/>
              <w:spacing w:before="0" w:beforeAutospacing="0" w:after="0" w:afterAutospacing="0" w:line="340" w:lineRule="exact"/>
              <w:ind w:left="210" w:right="105" w:right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磋商公告期限截</w:t>
            </w:r>
            <w:r>
              <w:rPr>
                <w:rFonts w:hint="eastAsia" w:ascii="仿宋" w:hAnsi="仿宋" w:eastAsia="仿宋" w:cs="仿宋"/>
                <w:color w:val="auto"/>
                <w:sz w:val="28"/>
                <w:szCs w:val="28"/>
                <w:highlight w:val="none"/>
                <w:lang w:eastAsia="zh-CN"/>
              </w:rPr>
              <w:t>之</w:t>
            </w:r>
            <w:r>
              <w:rPr>
                <w:rFonts w:hint="eastAsia" w:ascii="仿宋" w:hAnsi="仿宋" w:eastAsia="仿宋" w:cs="仿宋"/>
                <w:color w:val="auto"/>
                <w:sz w:val="28"/>
                <w:szCs w:val="28"/>
                <w:highlight w:val="none"/>
              </w:rPr>
              <w:t>日至今，由采购人和采购代理机构共同核查</w:t>
            </w:r>
          </w:p>
        </w:tc>
      </w:tr>
      <w:tr w14:paraId="0578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975065A">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4</w:t>
            </w:r>
            <w:r>
              <w:rPr>
                <w:rFonts w:hint="eastAsia" w:ascii="仿宋" w:hAnsi="仿宋" w:eastAsia="仿宋" w:cs="仿宋"/>
                <w:color w:val="auto"/>
                <w:kern w:val="2"/>
                <w:sz w:val="28"/>
                <w:szCs w:val="28"/>
                <w:highlight w:val="none"/>
                <w:lang w:val="en-US" w:eastAsia="zh-CN"/>
              </w:rPr>
              <w:t>0</w:t>
            </w:r>
          </w:p>
        </w:tc>
        <w:tc>
          <w:tcPr>
            <w:tcW w:w="2081" w:type="dxa"/>
            <w:noWrap w:val="0"/>
            <w:vAlign w:val="center"/>
          </w:tcPr>
          <w:p w14:paraId="1F9CE6F6">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资格审查时是否</w:t>
            </w:r>
          </w:p>
          <w:p w14:paraId="239775FA">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核验证件</w:t>
            </w:r>
          </w:p>
        </w:tc>
        <w:tc>
          <w:tcPr>
            <w:tcW w:w="6609" w:type="dxa"/>
            <w:noWrap w:val="0"/>
            <w:vAlign w:val="center"/>
          </w:tcPr>
          <w:p w14:paraId="647533E2">
            <w:pPr>
              <w:keepNext w:val="0"/>
              <w:keepLines w:val="0"/>
              <w:numPr>
                <w:ilvl w:val="0"/>
                <w:numId w:val="4"/>
              </w:numPr>
              <w:suppressLineNumbers w:val="0"/>
              <w:spacing w:before="0" w:beforeAutospacing="0" w:after="0" w:afterAutospacing="0" w:line="340" w:lineRule="exact"/>
              <w:ind w:right="105" w:right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需要，核验要求：</w:t>
            </w:r>
          </w:p>
          <w:p w14:paraId="4326EF43">
            <w:pPr>
              <w:pStyle w:val="82"/>
              <w:keepNext w:val="0"/>
              <w:keepLines w:val="0"/>
              <w:suppressLineNumbers w:val="0"/>
              <w:spacing w:before="0" w:beforeAutospacing="0" w:after="0" w:afterAutospacing="0" w:line="320" w:lineRule="exact"/>
              <w:ind w:left="0" w:right="105" w:rightChars="50" w:firstLine="280" w:firstLineChars="1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不需要</w:t>
            </w:r>
          </w:p>
        </w:tc>
      </w:tr>
      <w:tr w14:paraId="3D4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C1A9360">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zh-CN"/>
              </w:rPr>
              <w:t>4</w:t>
            </w:r>
            <w:r>
              <w:rPr>
                <w:rFonts w:hint="eastAsia" w:ascii="仿宋" w:hAnsi="仿宋" w:eastAsia="仿宋" w:cs="仿宋"/>
                <w:color w:val="auto"/>
                <w:kern w:val="2"/>
                <w:sz w:val="28"/>
                <w:szCs w:val="28"/>
                <w:highlight w:val="none"/>
                <w:lang w:val="en-US" w:eastAsia="zh-CN"/>
              </w:rPr>
              <w:t>1</w:t>
            </w:r>
          </w:p>
        </w:tc>
        <w:tc>
          <w:tcPr>
            <w:tcW w:w="2081" w:type="dxa"/>
            <w:noWrap w:val="0"/>
            <w:vAlign w:val="center"/>
          </w:tcPr>
          <w:p w14:paraId="137C720D">
            <w:pPr>
              <w:pStyle w:val="82"/>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zh-CN"/>
              </w:rPr>
              <w:t>付款方式</w:t>
            </w:r>
          </w:p>
        </w:tc>
        <w:tc>
          <w:tcPr>
            <w:tcW w:w="6609" w:type="dxa"/>
            <w:noWrap w:val="0"/>
            <w:vAlign w:val="center"/>
          </w:tcPr>
          <w:p w14:paraId="3E218E5F">
            <w:pPr>
              <w:pStyle w:val="82"/>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成交供应商与采购人双方合同中约定</w:t>
            </w:r>
          </w:p>
        </w:tc>
      </w:tr>
      <w:tr w14:paraId="5DCA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B8D0ADF">
            <w:pPr>
              <w:pStyle w:val="82"/>
              <w:keepNext w:val="0"/>
              <w:keepLines w:val="0"/>
              <w:suppressLineNumbers w:val="0"/>
              <w:spacing w:before="0" w:beforeAutospacing="0" w:after="0" w:afterAutospacing="0"/>
              <w:ind w:left="0" w:right="0"/>
              <w:jc w:val="center"/>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42</w:t>
            </w:r>
          </w:p>
        </w:tc>
        <w:tc>
          <w:tcPr>
            <w:tcW w:w="2081" w:type="dxa"/>
            <w:noWrap w:val="0"/>
            <w:vAlign w:val="center"/>
          </w:tcPr>
          <w:p w14:paraId="22366B32">
            <w:pPr>
              <w:pStyle w:val="82"/>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中小企业</w:t>
            </w:r>
          </w:p>
        </w:tc>
        <w:tc>
          <w:tcPr>
            <w:tcW w:w="6609" w:type="dxa"/>
            <w:noWrap w:val="0"/>
            <w:vAlign w:val="center"/>
          </w:tcPr>
          <w:p w14:paraId="259CBBBE">
            <w:pPr>
              <w:pStyle w:val="82"/>
              <w:keepNext w:val="0"/>
              <w:keepLines w:val="0"/>
              <w:suppressLineNumbers w:val="0"/>
              <w:spacing w:before="0" w:beforeAutospacing="0" w:after="0" w:afterAutospacing="0"/>
              <w:ind w:left="0" w:leftChars="0" w:right="0" w:rightChars="0" w:firstLine="560" w:firstLineChars="20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本项目为专门面向中小企业预留份额采购项目（整体预留），中小企业应按照招标文件提供的格式填写“中小企业声明函”。</w:t>
            </w:r>
          </w:p>
        </w:tc>
      </w:tr>
      <w:tr w14:paraId="1F3D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D780536">
            <w:pPr>
              <w:pStyle w:val="82"/>
              <w:keepNext w:val="0"/>
              <w:keepLines w:val="0"/>
              <w:suppressLineNumbers w:val="0"/>
              <w:spacing w:before="0" w:beforeAutospacing="0" w:after="0" w:afterAutospacing="0"/>
              <w:ind w:left="0" w:right="0"/>
              <w:jc w:val="center"/>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43</w:t>
            </w:r>
          </w:p>
        </w:tc>
        <w:tc>
          <w:tcPr>
            <w:tcW w:w="2081" w:type="dxa"/>
            <w:noWrap w:val="0"/>
            <w:vAlign w:val="center"/>
          </w:tcPr>
          <w:p w14:paraId="1B60BFC3">
            <w:pPr>
              <w:pStyle w:val="82"/>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行业类别</w:t>
            </w:r>
          </w:p>
        </w:tc>
        <w:tc>
          <w:tcPr>
            <w:tcW w:w="6609" w:type="dxa"/>
            <w:noWrap w:val="0"/>
            <w:vAlign w:val="center"/>
          </w:tcPr>
          <w:p w14:paraId="18A4F2CD">
            <w:pPr>
              <w:pStyle w:val="82"/>
              <w:keepNext w:val="0"/>
              <w:keepLines w:val="0"/>
              <w:suppressLineNumbers w:val="0"/>
              <w:spacing w:before="0" w:beforeAutospacing="0" w:after="0" w:afterAutospacing="0"/>
              <w:ind w:left="0" w:leftChars="0" w:right="0" w:rightChars="0" w:firstLine="560" w:firstLineChars="20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其他未列明行业：</w:t>
            </w:r>
          </w:p>
          <w:p w14:paraId="68D2AC9C">
            <w:pPr>
              <w:pStyle w:val="82"/>
              <w:keepNext w:val="0"/>
              <w:keepLines w:val="0"/>
              <w:suppressLineNumbers w:val="0"/>
              <w:spacing w:before="0" w:beforeAutospacing="0" w:after="0" w:afterAutospacing="0"/>
              <w:ind w:left="0" w:leftChars="0" w:right="0" w:rightChars="0" w:firstLine="560" w:firstLineChars="20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从业人员300人以上的为大型企业；</w:t>
            </w:r>
          </w:p>
          <w:p w14:paraId="0CB57017">
            <w:pPr>
              <w:pStyle w:val="82"/>
              <w:keepNext w:val="0"/>
              <w:keepLines w:val="0"/>
              <w:suppressLineNumbers w:val="0"/>
              <w:spacing w:before="0" w:beforeAutospacing="0" w:after="0" w:afterAutospacing="0"/>
              <w:ind w:left="0" w:leftChars="0" w:right="0" w:rightChars="0" w:firstLine="560" w:firstLineChars="20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从业人员100人及以上的为中型企业；</w:t>
            </w:r>
          </w:p>
          <w:p w14:paraId="2ED20DD7">
            <w:pPr>
              <w:pStyle w:val="82"/>
              <w:keepNext w:val="0"/>
              <w:keepLines w:val="0"/>
              <w:suppressLineNumbers w:val="0"/>
              <w:spacing w:before="0" w:beforeAutospacing="0" w:after="0" w:afterAutospacing="0"/>
              <w:ind w:left="0" w:leftChars="0" w:right="0" w:rightChars="0" w:firstLine="560" w:firstLineChars="20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从业人员10人及以上的为小型企业；</w:t>
            </w:r>
          </w:p>
          <w:p w14:paraId="0739C6A0">
            <w:pPr>
              <w:pStyle w:val="82"/>
              <w:keepNext w:val="0"/>
              <w:keepLines w:val="0"/>
              <w:suppressLineNumbers w:val="0"/>
              <w:spacing w:before="0" w:beforeAutospacing="0" w:after="0" w:afterAutospacing="0"/>
              <w:ind w:left="0" w:leftChars="0" w:right="0" w:rightChars="0" w:firstLine="560" w:firstLineChars="20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从业人员10人以下的为微型企业</w:t>
            </w:r>
          </w:p>
        </w:tc>
      </w:tr>
    </w:tbl>
    <w:p w14:paraId="12B0C9C2">
      <w:pPr>
        <w:pStyle w:val="2"/>
        <w:pageBreakBefore w:val="0"/>
        <w:numPr>
          <w:ilvl w:val="0"/>
          <w:numId w:val="5"/>
        </w:numPr>
        <w:kinsoku/>
        <w:wordWrap/>
        <w:overflowPunct/>
        <w:topLinePunct w:val="0"/>
        <w:bidi w:val="0"/>
        <w:spacing w:before="0" w:after="120" w:afterLines="50" w:line="400" w:lineRule="exact"/>
        <w:rPr>
          <w:rFonts w:hint="eastAsia" w:ascii="仿宋" w:hAnsi="仿宋" w:eastAsia="仿宋" w:cs="仿宋"/>
          <w:b w:val="0"/>
          <w:color w:val="auto"/>
          <w:sz w:val="36"/>
          <w:szCs w:val="36"/>
          <w:highlight w:val="none"/>
        </w:rPr>
      </w:pPr>
      <w:r>
        <w:rPr>
          <w:rFonts w:hint="eastAsia" w:ascii="仿宋" w:hAnsi="仿宋" w:eastAsia="仿宋" w:cs="仿宋"/>
          <w:b w:val="0"/>
          <w:color w:val="auto"/>
          <w:sz w:val="32"/>
          <w:szCs w:val="32"/>
          <w:highlight w:val="none"/>
        </w:rPr>
        <w:br w:type="page"/>
      </w:r>
      <w:bookmarkEnd w:id="23"/>
      <w:bookmarkEnd w:id="24"/>
      <w:bookmarkEnd w:id="25"/>
      <w:bookmarkEnd w:id="26"/>
      <w:bookmarkEnd w:id="27"/>
      <w:bookmarkStart w:id="28" w:name="_Toc1874"/>
      <w:bookmarkStart w:id="29" w:name="_Toc28313"/>
      <w:bookmarkStart w:id="30" w:name="_Toc5242"/>
      <w:bookmarkStart w:id="31" w:name="_Toc27146"/>
      <w:bookmarkStart w:id="32" w:name="_Toc3104"/>
      <w:bookmarkStart w:id="33" w:name="_Toc17149_WPSOffice_Level2"/>
      <w:bookmarkStart w:id="34" w:name="_Toc19968"/>
      <w:bookmarkStart w:id="35" w:name="_Toc183682344"/>
      <w:bookmarkStart w:id="36" w:name="_Toc183582207"/>
      <w:bookmarkStart w:id="37" w:name="_Toc217446036"/>
      <w:bookmarkStart w:id="38" w:name="_Toc217390843"/>
      <w:r>
        <w:rPr>
          <w:rFonts w:hint="eastAsia" w:ascii="仿宋" w:hAnsi="仿宋" w:eastAsia="仿宋" w:cs="仿宋"/>
          <w:b w:val="0"/>
          <w:color w:val="auto"/>
          <w:sz w:val="36"/>
          <w:szCs w:val="36"/>
          <w:highlight w:val="none"/>
        </w:rPr>
        <w:t>总  则</w:t>
      </w:r>
      <w:bookmarkEnd w:id="28"/>
      <w:bookmarkEnd w:id="29"/>
      <w:bookmarkEnd w:id="30"/>
      <w:bookmarkEnd w:id="31"/>
      <w:bookmarkEnd w:id="32"/>
      <w:bookmarkEnd w:id="33"/>
      <w:bookmarkEnd w:id="34"/>
    </w:p>
    <w:p w14:paraId="2C90894A">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bookmarkStart w:id="39" w:name="_Toc12795"/>
      <w:bookmarkStart w:id="40" w:name="_Toc6430"/>
      <w:bookmarkStart w:id="41" w:name="_Toc26527"/>
      <w:bookmarkStart w:id="42" w:name="_Toc25355"/>
      <w:bookmarkStart w:id="43" w:name="_Toc18359"/>
      <w:bookmarkStart w:id="44" w:name="_Toc25061"/>
      <w:r>
        <w:rPr>
          <w:rFonts w:hint="eastAsia" w:ascii="仿宋" w:hAnsi="仿宋" w:eastAsia="仿宋" w:cs="仿宋"/>
          <w:b/>
          <w:color w:val="auto"/>
          <w:sz w:val="30"/>
          <w:szCs w:val="30"/>
          <w:highlight w:val="none"/>
        </w:rPr>
        <w:t>1.1适用范围</w:t>
      </w:r>
      <w:bookmarkEnd w:id="39"/>
      <w:bookmarkEnd w:id="40"/>
      <w:bookmarkEnd w:id="41"/>
      <w:bookmarkEnd w:id="42"/>
      <w:bookmarkEnd w:id="43"/>
      <w:bookmarkEnd w:id="44"/>
    </w:p>
    <w:p w14:paraId="02F5E32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本竞争性磋商文件仅适用于本次竞争性磋商（以下简称磋商）所叙述的服务项目的采购活动。</w:t>
      </w:r>
    </w:p>
    <w:p w14:paraId="0F20343B">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1.2名词解释</w:t>
      </w:r>
    </w:p>
    <w:bookmarkEnd w:id="35"/>
    <w:bookmarkEnd w:id="36"/>
    <w:bookmarkEnd w:id="37"/>
    <w:bookmarkEnd w:id="38"/>
    <w:p w14:paraId="6AB9A3F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bookmarkStart w:id="45" w:name="_Toc217446037"/>
      <w:bookmarkStart w:id="46" w:name="_Toc183582208"/>
      <w:bookmarkStart w:id="47" w:name="_Toc183682345"/>
      <w:r>
        <w:rPr>
          <w:rFonts w:hint="eastAsia" w:ascii="仿宋" w:hAnsi="仿宋" w:eastAsia="仿宋" w:cs="仿宋"/>
          <w:color w:val="auto"/>
          <w:szCs w:val="21"/>
          <w:highlight w:val="none"/>
        </w:rPr>
        <w:t xml:space="preserve">1.2.1 </w:t>
      </w:r>
      <w:r>
        <w:rPr>
          <w:rFonts w:hint="eastAsia" w:ascii="仿宋" w:hAnsi="仿宋" w:eastAsia="仿宋" w:cs="仿宋"/>
          <w:b/>
          <w:bCs/>
          <w:color w:val="auto"/>
          <w:szCs w:val="21"/>
          <w:highlight w:val="none"/>
          <w:lang w:eastAsia="zh-CN"/>
        </w:rPr>
        <w:t>采购人</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lang w:eastAsia="zh-CN"/>
        </w:rPr>
        <w:t>中国共产党留坝县委宣传部</w:t>
      </w:r>
      <w:r>
        <w:rPr>
          <w:rFonts w:hint="eastAsia" w:ascii="仿宋" w:hAnsi="仿宋" w:eastAsia="仿宋" w:cs="仿宋"/>
          <w:color w:val="auto"/>
          <w:szCs w:val="21"/>
          <w:highlight w:val="none"/>
        </w:rPr>
        <w:t>。</w:t>
      </w:r>
    </w:p>
    <w:p w14:paraId="547B5F67">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1.2.2 </w:t>
      </w:r>
      <w:r>
        <w:rPr>
          <w:rFonts w:hint="eastAsia" w:ascii="仿宋" w:hAnsi="仿宋" w:eastAsia="仿宋" w:cs="仿宋"/>
          <w:b/>
          <w:bCs/>
          <w:color w:val="auto"/>
          <w:szCs w:val="21"/>
          <w:highlight w:val="none"/>
        </w:rPr>
        <w:t>监督管理机构：</w:t>
      </w:r>
      <w:r>
        <w:rPr>
          <w:rFonts w:hint="eastAsia" w:ascii="仿宋" w:hAnsi="仿宋" w:eastAsia="仿宋" w:cs="仿宋"/>
          <w:color w:val="auto"/>
          <w:szCs w:val="21"/>
          <w:highlight w:val="none"/>
          <w:lang w:eastAsia="zh-CN"/>
        </w:rPr>
        <w:t>留坝县财政局</w:t>
      </w:r>
      <w:r>
        <w:rPr>
          <w:rFonts w:hint="eastAsia" w:ascii="仿宋" w:hAnsi="仿宋" w:eastAsia="仿宋" w:cs="仿宋"/>
          <w:color w:val="auto"/>
          <w:szCs w:val="21"/>
          <w:highlight w:val="none"/>
        </w:rPr>
        <w:t>。</w:t>
      </w:r>
    </w:p>
    <w:p w14:paraId="7E72A2D3">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 xml:space="preserve">1.2.3 </w:t>
      </w:r>
      <w:r>
        <w:rPr>
          <w:rFonts w:hint="eastAsia" w:ascii="仿宋" w:hAnsi="仿宋" w:eastAsia="仿宋" w:cs="仿宋"/>
          <w:b/>
          <w:bCs/>
          <w:color w:val="auto"/>
          <w:szCs w:val="21"/>
          <w:highlight w:val="none"/>
        </w:rPr>
        <w:t>采购代理机构：</w:t>
      </w:r>
      <w:r>
        <w:rPr>
          <w:rFonts w:hint="eastAsia" w:ascii="仿宋" w:hAnsi="仿宋" w:eastAsia="仿宋" w:cs="仿宋"/>
          <w:color w:val="auto"/>
          <w:szCs w:val="21"/>
          <w:highlight w:val="none"/>
          <w:lang w:eastAsia="zh-CN"/>
        </w:rPr>
        <w:t>陕西顺捷瑞工程项目管理有限公司</w:t>
      </w:r>
      <w:r>
        <w:rPr>
          <w:rFonts w:hint="eastAsia" w:ascii="仿宋" w:hAnsi="仿宋" w:eastAsia="仿宋" w:cs="仿宋"/>
          <w:color w:val="auto"/>
          <w:szCs w:val="21"/>
          <w:highlight w:val="none"/>
        </w:rPr>
        <w:t>。</w:t>
      </w:r>
    </w:p>
    <w:p w14:paraId="130C4BB6">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1.2.4 </w:t>
      </w:r>
      <w:r>
        <w:rPr>
          <w:rFonts w:hint="eastAsia" w:ascii="仿宋" w:hAnsi="仿宋" w:eastAsia="仿宋" w:cs="仿宋"/>
          <w:b/>
          <w:bCs/>
          <w:color w:val="auto"/>
          <w:szCs w:val="21"/>
          <w:highlight w:val="none"/>
          <w:lang w:eastAsia="zh-CN"/>
        </w:rPr>
        <w:t>供应商</w:t>
      </w:r>
      <w:r>
        <w:rPr>
          <w:rFonts w:hint="eastAsia" w:ascii="仿宋" w:hAnsi="仿宋" w:eastAsia="仿宋" w:cs="仿宋"/>
          <w:color w:val="auto"/>
          <w:szCs w:val="21"/>
          <w:highlight w:val="none"/>
        </w:rPr>
        <w:t>是指接受磋商文件的各项要求，具备相应履约能力、具有《中华人民共和国政府采购法》第22规定的相关条件并向磋商小组提交响应文件的供应商。</w:t>
      </w:r>
    </w:p>
    <w:p w14:paraId="6826A2EC">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1.2.5</w: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lang w:eastAsia="zh-CN"/>
        </w:rPr>
        <w:t>服务</w:t>
      </w:r>
      <w:r>
        <w:rPr>
          <w:rFonts w:hint="eastAsia" w:ascii="仿宋" w:hAnsi="仿宋" w:eastAsia="仿宋" w:cs="仿宋"/>
          <w:color w:val="auto"/>
          <w:szCs w:val="21"/>
          <w:highlight w:val="none"/>
        </w:rPr>
        <w:t>是指本磋商文件中第四章所述</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w:t>
      </w:r>
    </w:p>
    <w:p w14:paraId="53036220">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1.2.6 </w:t>
      </w:r>
      <w:r>
        <w:rPr>
          <w:rFonts w:hint="eastAsia" w:ascii="仿宋" w:hAnsi="仿宋" w:eastAsia="仿宋" w:cs="仿宋"/>
          <w:b/>
          <w:bCs/>
          <w:color w:val="auto"/>
          <w:szCs w:val="21"/>
          <w:highlight w:val="none"/>
          <w:lang w:eastAsia="zh-CN"/>
        </w:rPr>
        <w:t>货物</w:t>
      </w:r>
      <w:r>
        <w:rPr>
          <w:rFonts w:hint="eastAsia" w:ascii="仿宋" w:hAnsi="仿宋" w:eastAsia="仿宋" w:cs="仿宋"/>
          <w:color w:val="auto"/>
          <w:szCs w:val="21"/>
          <w:highlight w:val="none"/>
        </w:rPr>
        <w:t>是指为满足磋商文件要求和</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配套所提供的</w:t>
      </w:r>
      <w:r>
        <w:rPr>
          <w:rFonts w:hint="eastAsia" w:ascii="仿宋" w:hAnsi="仿宋" w:eastAsia="仿宋" w:cs="仿宋"/>
          <w:color w:val="auto"/>
          <w:szCs w:val="21"/>
          <w:highlight w:val="none"/>
          <w:lang w:eastAsia="zh-CN"/>
        </w:rPr>
        <w:t>货物</w:t>
      </w:r>
      <w:r>
        <w:rPr>
          <w:rFonts w:hint="eastAsia" w:ascii="仿宋" w:hAnsi="仿宋" w:eastAsia="仿宋" w:cs="仿宋"/>
          <w:color w:val="auto"/>
          <w:szCs w:val="21"/>
          <w:highlight w:val="none"/>
        </w:rPr>
        <w:t>。</w:t>
      </w:r>
    </w:p>
    <w:p w14:paraId="7A6DE763">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1.2.7 </w:t>
      </w:r>
      <w:r>
        <w:rPr>
          <w:rFonts w:hint="eastAsia" w:ascii="仿宋" w:hAnsi="仿宋" w:eastAsia="仿宋" w:cs="仿宋"/>
          <w:b/>
          <w:bCs/>
          <w:color w:val="auto"/>
          <w:szCs w:val="21"/>
          <w:highlight w:val="none"/>
        </w:rPr>
        <w:t>节能产品</w:t>
      </w:r>
      <w:r>
        <w:rPr>
          <w:rFonts w:hint="eastAsia" w:ascii="仿宋" w:hAnsi="仿宋" w:eastAsia="仿宋" w:cs="仿宋"/>
          <w:color w:val="auto"/>
          <w:szCs w:val="21"/>
          <w:highlight w:val="none"/>
        </w:rPr>
        <w:t>指财政部、发展改革委、生态环境部等部门发布的《节能产品品目清单》中的产品。</w:t>
      </w:r>
    </w:p>
    <w:p w14:paraId="7FBAE0E8">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1.2.8 </w:t>
      </w:r>
      <w:r>
        <w:rPr>
          <w:rFonts w:hint="eastAsia" w:ascii="仿宋" w:hAnsi="仿宋" w:eastAsia="仿宋" w:cs="仿宋"/>
          <w:b/>
          <w:bCs/>
          <w:color w:val="auto"/>
          <w:szCs w:val="21"/>
          <w:highlight w:val="none"/>
        </w:rPr>
        <w:t>环境标志产品</w:t>
      </w:r>
      <w:r>
        <w:rPr>
          <w:rFonts w:hint="eastAsia" w:ascii="仿宋" w:hAnsi="仿宋" w:eastAsia="仿宋" w:cs="仿宋"/>
          <w:color w:val="auto"/>
          <w:szCs w:val="21"/>
          <w:highlight w:val="none"/>
        </w:rPr>
        <w:t>是指财政部、发展改革委、生态环境部等部门发布的《环境标志产品品目清单》中的产品。</w:t>
      </w:r>
    </w:p>
    <w:p w14:paraId="54D77DBB">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1.2.9 </w:t>
      </w:r>
      <w:r>
        <w:rPr>
          <w:rFonts w:hint="eastAsia" w:ascii="仿宋" w:hAnsi="仿宋" w:eastAsia="仿宋" w:cs="仿宋"/>
          <w:b/>
          <w:bCs/>
          <w:color w:val="auto"/>
          <w:kern w:val="0"/>
          <w:szCs w:val="21"/>
          <w:highlight w:val="none"/>
        </w:rPr>
        <w:t>进口产品</w:t>
      </w:r>
      <w:r>
        <w:rPr>
          <w:rFonts w:hint="eastAsia" w:ascii="仿宋" w:hAnsi="仿宋" w:eastAsia="仿宋" w:cs="仿宋"/>
          <w:color w:val="auto"/>
          <w:kern w:val="0"/>
          <w:szCs w:val="21"/>
          <w:highlight w:val="none"/>
        </w:rPr>
        <w:t>是指通过中国海关报关验放进入中国境内且产自关境外的产品，详见《关于政府采购进口产品管理有关问题的通知》(财库[2007]119号)。</w:t>
      </w:r>
    </w:p>
    <w:p w14:paraId="702097FE">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1.2.10</w:t>
      </w:r>
      <w:r>
        <w:rPr>
          <w:rFonts w:hint="eastAsia" w:ascii="仿宋" w:hAnsi="仿宋" w:eastAsia="仿宋" w:cs="仿宋"/>
          <w:b/>
          <w:bCs/>
          <w:color w:val="auto"/>
          <w:szCs w:val="21"/>
          <w:highlight w:val="none"/>
        </w:rPr>
        <w:t>中小企业</w:t>
      </w:r>
      <w:r>
        <w:rPr>
          <w:rFonts w:hint="eastAsia" w:ascii="仿宋" w:hAnsi="仿宋" w:eastAsia="仿宋" w:cs="仿宋"/>
          <w:color w:val="auto"/>
          <w:szCs w:val="21"/>
          <w:highlight w:val="none"/>
        </w:rPr>
        <w:t>是指符合《工业和信息化部、国家统计局、国家发展和改革委员会、财政部关于印发中小企业划型标准规定的通知》（工信部联企业[2011]300号）规定的对中小企业的划分标准的企业。</w:t>
      </w:r>
    </w:p>
    <w:p w14:paraId="54D2F725">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1.2.11 </w:t>
      </w:r>
      <w:r>
        <w:rPr>
          <w:rFonts w:hint="eastAsia" w:ascii="仿宋" w:hAnsi="仿宋" w:eastAsia="仿宋" w:cs="仿宋"/>
          <w:b/>
          <w:bCs/>
          <w:color w:val="auto"/>
          <w:szCs w:val="21"/>
          <w:highlight w:val="none"/>
        </w:rPr>
        <w:t>监狱企业</w:t>
      </w:r>
      <w:r>
        <w:rPr>
          <w:rFonts w:hint="eastAsia" w:ascii="仿宋" w:hAnsi="仿宋" w:eastAsia="仿宋" w:cs="仿宋"/>
          <w:color w:val="auto"/>
          <w:szCs w:val="21"/>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85267B">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1.2.12 </w:t>
      </w:r>
      <w:r>
        <w:rPr>
          <w:rFonts w:hint="eastAsia" w:ascii="仿宋" w:hAnsi="仿宋" w:eastAsia="仿宋" w:cs="仿宋"/>
          <w:b/>
          <w:color w:val="auto"/>
          <w:kern w:val="0"/>
          <w:szCs w:val="21"/>
          <w:highlight w:val="none"/>
        </w:rPr>
        <w:t>残疾人福利性单位</w:t>
      </w:r>
      <w:r>
        <w:rPr>
          <w:rFonts w:hint="eastAsia" w:ascii="仿宋" w:hAnsi="仿宋" w:eastAsia="仿宋" w:cs="仿宋"/>
          <w:color w:val="auto"/>
          <w:kern w:val="0"/>
          <w:szCs w:val="21"/>
          <w:highlight w:val="none"/>
        </w:rPr>
        <w:t>是指符合</w:t>
      </w:r>
      <w:r>
        <w:rPr>
          <w:rFonts w:hint="eastAsia" w:ascii="仿宋" w:hAnsi="仿宋" w:eastAsia="仿宋" w:cs="仿宋"/>
          <w:color w:val="auto"/>
          <w:spacing w:val="6"/>
          <w:szCs w:val="21"/>
          <w:highlight w:val="none"/>
        </w:rPr>
        <w:t>《财政部、民政部、中国残疾人联合会关于促进残疾人就业政府采购政策的通知》（财库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号）规定条件的单位。</w:t>
      </w:r>
    </w:p>
    <w:p w14:paraId="24ED816E">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1.3 合格的供应商</w:t>
      </w:r>
    </w:p>
    <w:p w14:paraId="033EA953">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合格的供应商应具备以下条件：</w:t>
      </w:r>
    </w:p>
    <w:p w14:paraId="20DA3D32">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（1）具备且满足“磋商公告”要求的；</w:t>
      </w:r>
    </w:p>
    <w:p w14:paraId="2D570BE6">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（2）向采购代理机构购买了磋商文件并登记备案；</w:t>
      </w:r>
    </w:p>
    <w:p w14:paraId="0FFC76A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（3）向采购代理机构交纳了磋商保证金；</w:t>
      </w:r>
    </w:p>
    <w:p w14:paraId="373267B1">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（4）遵守国家、陕西省和</w:t>
      </w:r>
      <w:r>
        <w:rPr>
          <w:rFonts w:hint="eastAsia" w:ascii="仿宋" w:hAnsi="仿宋" w:eastAsia="仿宋" w:cs="仿宋"/>
          <w:color w:val="auto"/>
          <w:szCs w:val="21"/>
          <w:highlight w:val="none"/>
          <w:lang w:eastAsia="zh-CN"/>
        </w:rPr>
        <w:t>汉中</w:t>
      </w:r>
      <w:r>
        <w:rPr>
          <w:rFonts w:hint="eastAsia" w:ascii="仿宋" w:hAnsi="仿宋" w:eastAsia="仿宋" w:cs="仿宋"/>
          <w:color w:val="auto"/>
          <w:szCs w:val="21"/>
          <w:highlight w:val="none"/>
        </w:rPr>
        <w:t>市有关的法律法规、规章和规范性文件要求；</w:t>
      </w:r>
    </w:p>
    <w:p w14:paraId="248A7220">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（5）磋商文件和法律、行政法规规定的其他条件。</w:t>
      </w:r>
    </w:p>
    <w:p w14:paraId="6ACAAC5E">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 供应商不得存在下列情形之一：</w:t>
      </w:r>
    </w:p>
    <w:p w14:paraId="2762FF00">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（l）与采购人、采购代理机构存在隶属关系或者其他利害关系，且可能影响磋商公正性；</w:t>
      </w:r>
    </w:p>
    <w:p w14:paraId="3C59F3C1">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（2）与本采购项目其他供应商的法定代表人（或者负责人）为同一人；</w:t>
      </w:r>
    </w:p>
    <w:p w14:paraId="76C2C5EA">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（3）与本采购项目其他供应商存在控股、管理关系；</w:t>
      </w:r>
    </w:p>
    <w:p w14:paraId="03993D01">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（4）为本项目采购代理机构；</w:t>
      </w:r>
    </w:p>
    <w:p w14:paraId="48E6D802">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（5）为本项目代理磋商的为其采购代理机构；</w:t>
      </w:r>
    </w:p>
    <w:p w14:paraId="2F94900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（6）为本项目提供整体设计、规范编制或者项目管理、监理、检测、咨询服务；</w:t>
      </w:r>
    </w:p>
    <w:p w14:paraId="681BB98A">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（7）受到刑事处罚；</w:t>
      </w:r>
    </w:p>
    <w:p w14:paraId="7745556A">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（8）受到财政部门3万元以上数额罚款的行政处罚或其他行政部门较大数额罚款的行政处罚（举行听证会的）；</w:t>
      </w:r>
    </w:p>
    <w:p w14:paraId="4FAF3755">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（9）被责令停产停业、暂扣或者吊销许可证、暂扣或者吊销执照的行政处罚；</w:t>
      </w:r>
    </w:p>
    <w:p w14:paraId="791FEF9C">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（10）被列入失信被执行人名单；</w:t>
      </w:r>
    </w:p>
    <w:p w14:paraId="45352192">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（11）被列入重大税收违法案件当事人名单；</w:t>
      </w:r>
    </w:p>
    <w:p w14:paraId="7F7624B0">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（12）被禁止在一至三年内参加政府采购活动或存在财政部门认定的其他重大违法记录；</w:t>
      </w:r>
    </w:p>
    <w:p w14:paraId="2277EAC7">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（13）在最近三年内有严重违约或者重大质量问题；</w:t>
      </w:r>
    </w:p>
    <w:p w14:paraId="798F218C">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（14）被行政主管部门暂停或取消磋商资格。</w:t>
      </w:r>
    </w:p>
    <w:p w14:paraId="67537B8A">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1.4 合格的</w:t>
      </w:r>
      <w:r>
        <w:rPr>
          <w:rFonts w:hint="eastAsia" w:ascii="仿宋" w:hAnsi="仿宋" w:eastAsia="仿宋" w:cs="仿宋"/>
          <w:b/>
          <w:color w:val="auto"/>
          <w:sz w:val="30"/>
          <w:szCs w:val="30"/>
          <w:highlight w:val="none"/>
          <w:lang w:eastAsia="zh-CN"/>
        </w:rPr>
        <w:t>服务</w:t>
      </w:r>
    </w:p>
    <w:p w14:paraId="2C9CDD89">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供应商为本采购项目所承担的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，必须是符合国家相关标准和规范要求，满足磋商文件规定的质量、</w:t>
      </w:r>
      <w:r>
        <w:rPr>
          <w:rFonts w:hint="eastAsia" w:ascii="仿宋" w:hAnsi="仿宋" w:eastAsia="仿宋" w:cs="仿宋"/>
          <w:color w:val="auto"/>
          <w:szCs w:val="21"/>
          <w:highlight w:val="none"/>
          <w:lang w:eastAsia="zh-CN"/>
        </w:rPr>
        <w:t>服务期</w:t>
      </w:r>
      <w:r>
        <w:rPr>
          <w:rFonts w:hint="eastAsia" w:ascii="仿宋" w:hAnsi="仿宋" w:eastAsia="仿宋" w:cs="仿宋"/>
          <w:color w:val="auto"/>
          <w:szCs w:val="21"/>
          <w:highlight w:val="none"/>
        </w:rPr>
        <w:t>等要求，达到合格标准。</w:t>
      </w:r>
    </w:p>
    <w:p w14:paraId="2DEBFE99">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1.4.2采购人有权拒绝接受任何质量不合格</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，由此产生的费用及相关后果均由供应商自行承担。</w:t>
      </w:r>
    </w:p>
    <w:bookmarkEnd w:id="45"/>
    <w:bookmarkEnd w:id="46"/>
    <w:bookmarkEnd w:id="47"/>
    <w:p w14:paraId="29043FE5">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bookmarkStart w:id="48" w:name="_Toc183582209"/>
      <w:bookmarkStart w:id="49" w:name="_Toc77400779"/>
      <w:bookmarkStart w:id="50" w:name="_Toc217446038"/>
      <w:bookmarkStart w:id="51" w:name="_Toc482201957"/>
      <w:bookmarkStart w:id="52" w:name="_Toc183682346"/>
      <w:bookmarkStart w:id="53" w:name="_Toc89075875"/>
      <w:r>
        <w:rPr>
          <w:rFonts w:hint="eastAsia" w:ascii="仿宋" w:hAnsi="仿宋" w:eastAsia="仿宋" w:cs="仿宋"/>
          <w:b/>
          <w:color w:val="auto"/>
          <w:sz w:val="30"/>
          <w:szCs w:val="30"/>
          <w:highlight w:val="none"/>
        </w:rPr>
        <w:t>1.5 磋商费用</w:t>
      </w:r>
    </w:p>
    <w:p w14:paraId="558CCC6A">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不论磋商结果如何，供应商应自行承担所有与准备和参加磋商相关的全部费用。</w:t>
      </w:r>
    </w:p>
    <w:p w14:paraId="5E3F4277">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1.6语言文字</w:t>
      </w:r>
    </w:p>
    <w:p w14:paraId="4FA8151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 磋商文件与响应文件使用的语言为中文。专用术语使用外文的，应附有中文注释。</w:t>
      </w:r>
    </w:p>
    <w:p w14:paraId="5763408B">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 响应文件中如附有外文资料，必须逐一对应翻译成中文并加盖供应商单位章后附在相关外文资料后面，否则，供应商的响应文件将作为无效响应文件处理。</w:t>
      </w:r>
    </w:p>
    <w:p w14:paraId="70B32BAA">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1.6.3 响应文件中翻译的中文资料与外文资料如果出现差异和矛盾时，以中文为准。但不能故意错误翻译，否则，供应商的响应文件将作为无效响应文件处理。必要时采购人可以要求供应商提供附有公证书的中文翻译文件或者与原版文件签章相一致的中文翻译文件。</w:t>
      </w:r>
    </w:p>
    <w:p w14:paraId="56B3A79A">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1.7 保密</w:t>
      </w:r>
    </w:p>
    <w:p w14:paraId="03A6CA8C">
      <w:pPr>
        <w:pageBreakBefore w:val="0"/>
        <w:kinsoku/>
        <w:wordWrap/>
        <w:overflowPunct/>
        <w:topLinePunct w:val="0"/>
        <w:bidi w:val="0"/>
        <w:spacing w:before="120" w:beforeLines="50" w:after="120" w:afterLines="50"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参与采购活动的当事人应对磋商文件和响应文件中的商业秘密、技术秘密和个人隐私等保密，违者应对由此造成的后果承担法律责任。</w:t>
      </w:r>
    </w:p>
    <w:bookmarkEnd w:id="48"/>
    <w:bookmarkEnd w:id="49"/>
    <w:bookmarkEnd w:id="50"/>
    <w:bookmarkEnd w:id="51"/>
    <w:bookmarkEnd w:id="52"/>
    <w:bookmarkEnd w:id="53"/>
    <w:p w14:paraId="001F3560">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bookmarkStart w:id="54" w:name="_Toc20254"/>
      <w:bookmarkStart w:id="55" w:name="_Toc14248_WPSOffice_Level2"/>
      <w:bookmarkStart w:id="56" w:name="_Toc15751"/>
      <w:bookmarkStart w:id="57" w:name="_Toc14741"/>
      <w:bookmarkStart w:id="58" w:name="_Toc160"/>
      <w:bookmarkStart w:id="59" w:name="_Toc28423"/>
      <w:bookmarkStart w:id="60" w:name="_Toc23610"/>
      <w:bookmarkStart w:id="61" w:name="_Toc217446041"/>
      <w:bookmarkStart w:id="62" w:name="_Toc208848971"/>
      <w:r>
        <w:rPr>
          <w:rFonts w:hint="eastAsia" w:ascii="仿宋" w:hAnsi="仿宋" w:eastAsia="仿宋" w:cs="仿宋"/>
          <w:b/>
          <w:color w:val="auto"/>
          <w:sz w:val="30"/>
          <w:szCs w:val="30"/>
          <w:highlight w:val="none"/>
        </w:rPr>
        <w:t>1.8 计量单位</w:t>
      </w:r>
    </w:p>
    <w:p w14:paraId="595E09DE">
      <w:pPr>
        <w:pageBreakBefore w:val="0"/>
        <w:tabs>
          <w:tab w:val="left" w:pos="7665"/>
        </w:tabs>
        <w:kinsoku/>
        <w:wordWrap/>
        <w:overflowPunct/>
        <w:topLinePunct w:val="0"/>
        <w:bidi w:val="0"/>
        <w:spacing w:line="400" w:lineRule="exact"/>
        <w:ind w:firstLine="405"/>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所有计量单位均采用中华人民共和国法定计量单位。</w:t>
      </w:r>
    </w:p>
    <w:p w14:paraId="1554521C">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1.9 答疑会或现场踏勘</w:t>
      </w:r>
    </w:p>
    <w:p w14:paraId="7CED8138">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1.9.1供应商须知前附表规定组织踏勘现场的，采购人或者采购代理机构按供应商须知前附表规定的时间、地点组织供应商踏勘项目现场，澄清供应商提出的问题。答疑会或进行现场踏勘的时间与地点，采购代理机构将以书面形式通知所有获取了磋商文件的供应商。</w:t>
      </w:r>
    </w:p>
    <w:p w14:paraId="49AE2EE5">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 除采购人或采购代理机构的原因外，供应商自行负责在踏勘现场中所发生的人员伤亡和财产损失。</w:t>
      </w:r>
    </w:p>
    <w:p w14:paraId="257D6CCB">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1.9.3 答疑会或现场踏勘后，采购人或采购代理机构对供应商所提问题的澄清，以书面形式通知所有获取了磋商文件的供应商。该澄清内容为磋商文件的组成部分。</w:t>
      </w:r>
    </w:p>
    <w:p w14:paraId="0BAE0D46">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1.9.4 采购人或采购代理机构在踏勘现场中介绍的工程场地和相关的周边环境情况，供应商在编制响应文件时</w:t>
      </w:r>
      <w:r>
        <w:rPr>
          <w:rFonts w:hint="eastAsia" w:ascii="仿宋" w:hAnsi="仿宋" w:eastAsia="仿宋" w:cs="仿宋"/>
          <w:color w:val="auto"/>
          <w:szCs w:val="21"/>
          <w:highlight w:val="none"/>
          <w:lang w:val="en-US" w:eastAsia="zh-CN"/>
        </w:rPr>
        <w:t>仅作为</w:t>
      </w:r>
      <w:r>
        <w:rPr>
          <w:rFonts w:hint="eastAsia" w:ascii="仿宋" w:hAnsi="仿宋" w:eastAsia="仿宋" w:cs="仿宋"/>
          <w:color w:val="auto"/>
          <w:szCs w:val="21"/>
          <w:highlight w:val="none"/>
        </w:rPr>
        <w:t>参考，采购人或采购代理机构不对供应商据此作出的判断和决策负责。一旦成交，成交供应商不得以任何借口，提出额外补偿，或延长合同期限的要求。</w:t>
      </w:r>
    </w:p>
    <w:p w14:paraId="788E5DD0">
      <w:pPr>
        <w:pageBreakBefore w:val="0"/>
        <w:tabs>
          <w:tab w:val="left" w:pos="7665"/>
        </w:tabs>
        <w:kinsoku/>
        <w:wordWrap/>
        <w:overflowPunct/>
        <w:topLinePunct w:val="0"/>
        <w:bidi w:val="0"/>
        <w:spacing w:before="120" w:beforeLines="50" w:after="120" w:afterLines="50" w:line="400" w:lineRule="exact"/>
        <w:outlineLvl w:val="1"/>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2.磋商文件</w:t>
      </w:r>
      <w:bookmarkEnd w:id="54"/>
      <w:bookmarkEnd w:id="55"/>
      <w:bookmarkEnd w:id="56"/>
      <w:bookmarkEnd w:id="57"/>
      <w:bookmarkEnd w:id="58"/>
      <w:bookmarkEnd w:id="59"/>
      <w:bookmarkEnd w:id="60"/>
    </w:p>
    <w:p w14:paraId="3ED042B6">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2.1 磋商文件的组成</w:t>
      </w:r>
    </w:p>
    <w:p w14:paraId="752897B0">
      <w:pPr>
        <w:pageBreakBefore w:val="0"/>
        <w:tabs>
          <w:tab w:val="left" w:pos="7665"/>
        </w:tabs>
        <w:kinsoku/>
        <w:wordWrap/>
        <w:overflowPunct/>
        <w:topLinePunct w:val="0"/>
        <w:bidi w:val="0"/>
        <w:spacing w:before="120" w:beforeLines="5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本磋商文件包括以下内容：</w:t>
      </w:r>
    </w:p>
    <w:p w14:paraId="7308A630">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（1）竞争性磋商公告；</w:t>
      </w:r>
    </w:p>
    <w:p w14:paraId="60A36FAD">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（2）供应商须知；</w:t>
      </w:r>
    </w:p>
    <w:p w14:paraId="0A5E8BC6">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（3）磋商办法；</w:t>
      </w:r>
    </w:p>
    <w:p w14:paraId="0E90E108">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（4）采购内容及要求；</w:t>
      </w:r>
    </w:p>
    <w:p w14:paraId="3FCDCD5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（5）政府采购合同条款；</w:t>
      </w:r>
    </w:p>
    <w:p w14:paraId="5905C8A2">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（6）响应文件格式要求；</w:t>
      </w:r>
    </w:p>
    <w:p w14:paraId="21B9ACBB">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（7）供应商须知前附表规定的其他材料。</w:t>
      </w:r>
    </w:p>
    <w:p w14:paraId="1C0CC7CD">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根据本章第1.9条款、第2.2条款款对磋商文件所作的澄清、修改，构成磋商文件的组成部分。</w:t>
      </w:r>
    </w:p>
    <w:p w14:paraId="1E1E5D67">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2.2 磋商文件的澄清和修改</w:t>
      </w:r>
    </w:p>
    <w:p w14:paraId="0812D306">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 在提交首次响应文件截止时间前，采购代理机构无论出于何种原因，可以对磋商文件进行澄清或者修改。</w:t>
      </w:r>
    </w:p>
    <w:p w14:paraId="486F17DD">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 采购人或采购代理机构可以对已发出的磋商文件进行必要的澄清或者修改，澄清或修改的内容可能影响响应文件编制的，应当在提交首次响应文件截止时间5日前，以书面形式将澄清或者修改的内容通知所有获取磋商文件的供应商，同时在原信息发布媒体上发布变更公告；供应商在收到上述通知后，应立即以书面形式向采购代理机构确认；不足5日的，将相应顺延提交首次响应文件截止时间。</w:t>
      </w:r>
    </w:p>
    <w:p w14:paraId="3966D229">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 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3日前按磋商文件中的联系方式，以书面形式向采购代理机构提出，采购代理机构应当在2日内，以书面形式予以答复（答复中不包括问题的来源），或认为有必要召开答疑会。超过该时间收到的询问或需要澄清的内容，采购代理机构有权不予答复。</w:t>
      </w:r>
    </w:p>
    <w:p w14:paraId="12BA8733">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 在提交首次响应文件截止时间前，采购代理机构可以视采购具体情况，延长提交首次响应文件截止时间，并将变更时间以书面形式通知所有获取了磋商文件的供应商，同时在原信息发布媒体上发布变更公告。</w:t>
      </w:r>
    </w:p>
    <w:p w14:paraId="4944D2A8">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2.2.5 当磋商文件的澄清、答复、修改或补充通知与磋商文件就同一内容表述不一致时，以最后发出的书面文件内容为准。</w:t>
      </w:r>
    </w:p>
    <w:bookmarkEnd w:id="61"/>
    <w:bookmarkEnd w:id="62"/>
    <w:p w14:paraId="171DD9BD">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bookmarkStart w:id="63" w:name="_Toc89075876"/>
      <w:bookmarkStart w:id="64" w:name="_Toc217446042"/>
      <w:bookmarkStart w:id="65" w:name="_Toc77400780"/>
      <w:bookmarkStart w:id="66" w:name="_Toc183582214"/>
      <w:bookmarkStart w:id="67" w:name="_Toc183682351"/>
      <w:bookmarkStart w:id="68" w:name="_Toc482201958"/>
      <w:r>
        <w:rPr>
          <w:rFonts w:hint="eastAsia" w:ascii="仿宋" w:hAnsi="仿宋" w:eastAsia="仿宋" w:cs="仿宋"/>
          <w:b/>
          <w:color w:val="auto"/>
          <w:sz w:val="30"/>
          <w:szCs w:val="30"/>
          <w:highlight w:val="none"/>
        </w:rPr>
        <w:t>2.3磋商文件的解释权</w:t>
      </w:r>
    </w:p>
    <w:p w14:paraId="3CB1F9DA">
      <w:pPr>
        <w:pStyle w:val="5"/>
        <w:pageBreakBefore w:val="0"/>
        <w:kinsoku/>
        <w:wordWrap/>
        <w:overflowPunct/>
        <w:topLinePunct w:val="0"/>
        <w:bidi w:val="0"/>
        <w:spacing w:line="400" w:lineRule="exact"/>
        <w:ind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磋商文件的</w:t>
      </w:r>
      <w:r>
        <w:rPr>
          <w:rFonts w:hint="eastAsia" w:ascii="仿宋" w:hAnsi="仿宋" w:eastAsia="仿宋" w:cs="仿宋"/>
          <w:color w:val="auto"/>
          <w:szCs w:val="21"/>
          <w:highlight w:val="none"/>
          <w:lang w:val="en-US" w:eastAsia="zh-CN"/>
        </w:rPr>
        <w:t>最终</w:t>
      </w:r>
      <w:r>
        <w:rPr>
          <w:rFonts w:hint="eastAsia" w:ascii="仿宋" w:hAnsi="仿宋" w:eastAsia="仿宋" w:cs="仿宋"/>
          <w:color w:val="auto"/>
          <w:szCs w:val="21"/>
          <w:highlight w:val="none"/>
        </w:rPr>
        <w:t>解释权归</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，如发现磋商文件内容与现行法律法规不相符的情况，以现行法律法规为准。</w:t>
      </w:r>
    </w:p>
    <w:bookmarkEnd w:id="63"/>
    <w:bookmarkEnd w:id="64"/>
    <w:bookmarkEnd w:id="65"/>
    <w:bookmarkEnd w:id="66"/>
    <w:bookmarkEnd w:id="67"/>
    <w:bookmarkEnd w:id="68"/>
    <w:p w14:paraId="06327D9E">
      <w:pPr>
        <w:pStyle w:val="5"/>
        <w:pageBreakBefore w:val="0"/>
        <w:kinsoku/>
        <w:wordWrap/>
        <w:overflowPunct/>
        <w:topLinePunct w:val="0"/>
        <w:bidi w:val="0"/>
        <w:spacing w:before="120" w:beforeLines="50" w:after="120" w:afterLines="50" w:line="400" w:lineRule="exact"/>
        <w:ind w:firstLine="0"/>
        <w:outlineLvl w:val="1"/>
        <w:rPr>
          <w:rFonts w:hint="eastAsia" w:ascii="仿宋" w:hAnsi="仿宋" w:eastAsia="仿宋" w:cs="仿宋"/>
          <w:color w:val="auto"/>
          <w:sz w:val="36"/>
          <w:szCs w:val="36"/>
          <w:highlight w:val="none"/>
        </w:rPr>
      </w:pPr>
      <w:bookmarkStart w:id="69" w:name="_Toc23330"/>
      <w:bookmarkStart w:id="70" w:name="_Toc2059"/>
      <w:bookmarkStart w:id="71" w:name="_Toc31460_WPSOffice_Level2"/>
      <w:bookmarkStart w:id="72" w:name="_Toc4880"/>
      <w:bookmarkStart w:id="73" w:name="_Toc9207"/>
      <w:bookmarkStart w:id="74" w:name="_Toc20565"/>
      <w:bookmarkStart w:id="75" w:name="_Toc13082"/>
      <w:bookmarkStart w:id="76" w:name="_Toc183582215"/>
      <w:bookmarkStart w:id="77" w:name="_Toc183682352"/>
      <w:bookmarkStart w:id="78" w:name="_Toc217446043"/>
      <w:r>
        <w:rPr>
          <w:rFonts w:hint="eastAsia" w:ascii="仿宋" w:hAnsi="仿宋" w:eastAsia="仿宋" w:cs="仿宋"/>
          <w:bCs/>
          <w:color w:val="auto"/>
          <w:sz w:val="36"/>
          <w:szCs w:val="36"/>
          <w:highlight w:val="none"/>
        </w:rPr>
        <w:t>3.供应商</w:t>
      </w:r>
      <w:bookmarkEnd w:id="69"/>
      <w:bookmarkEnd w:id="70"/>
      <w:bookmarkEnd w:id="71"/>
      <w:bookmarkEnd w:id="72"/>
      <w:bookmarkEnd w:id="73"/>
      <w:bookmarkEnd w:id="74"/>
      <w:bookmarkEnd w:id="75"/>
    </w:p>
    <w:p w14:paraId="238C8B1B">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3.1供应商资格要求</w:t>
      </w:r>
    </w:p>
    <w:p w14:paraId="692E68FF">
      <w:pPr>
        <w:spacing w:line="560" w:lineRule="exact"/>
        <w:ind w:right="-99" w:rightChars="-47"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3.1.1.具有独立承担民事责任能力的法人、其他组织或自然人，提供合法有效的统一社会信用代码营业执照（事业单位提供事业单位法人证书，自然人提供身份证明）；</w:t>
      </w:r>
    </w:p>
    <w:p w14:paraId="4D4394CA">
      <w:pPr>
        <w:spacing w:line="560" w:lineRule="exact"/>
        <w:ind w:right="-99" w:rightChars="-47"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3.1.2.法定代表人授权委托书：法定代表人参加磋商的，须出示身份证原件；法定代表人授权他人参加磋商的，须提供法定代表人授权委托书及被授权人身份证原件；</w:t>
      </w:r>
    </w:p>
    <w:p w14:paraId="5DF57C54">
      <w:pPr>
        <w:spacing w:line="560" w:lineRule="exact"/>
        <w:ind w:right="-99" w:rightChars="-47"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3.1.3 .满足《汉中市政府采购供应商资格承诺函》要求。</w:t>
      </w:r>
    </w:p>
    <w:p w14:paraId="0DED1C62">
      <w:pPr>
        <w:spacing w:line="560" w:lineRule="exact"/>
        <w:ind w:right="-99" w:rightChars="-47"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3.1.4.本项目为专门面向中小企业预留份额采购项目（整体预留），中小企业应按照招标文件要求提供相应证明材料。</w:t>
      </w:r>
    </w:p>
    <w:p w14:paraId="3690886E">
      <w:pPr>
        <w:pageBreakBefore w:val="0"/>
        <w:tabs>
          <w:tab w:val="left" w:pos="7665"/>
        </w:tabs>
        <w:kinsoku/>
        <w:wordWrap/>
        <w:overflowPunct/>
        <w:topLinePunct w:val="0"/>
        <w:bidi w:val="0"/>
        <w:spacing w:line="400" w:lineRule="exact"/>
        <w:ind w:firstLine="482" w:firstLineChars="200"/>
        <w:rPr>
          <w:rFonts w:hint="eastAsia" w:ascii="仿宋" w:hAnsi="仿宋" w:eastAsia="仿宋" w:cs="仿宋"/>
          <w:color w:val="auto"/>
          <w:szCs w:val="21"/>
          <w:highlight w:val="none"/>
        </w:rPr>
      </w:pPr>
      <w:r>
        <w:rPr>
          <w:rFonts w:hint="eastAsia" w:ascii="仿宋" w:hAnsi="仿宋" w:eastAsia="仿宋" w:cs="仿宋"/>
          <w:b/>
          <w:bCs/>
          <w:color w:val="auto"/>
          <w:kern w:val="2"/>
          <w:sz w:val="24"/>
          <w:szCs w:val="24"/>
          <w:highlight w:val="none"/>
          <w:lang w:val="en-US" w:eastAsia="zh-CN" w:bidi="ar-SA"/>
        </w:rPr>
        <w:t>注：供应商在开标截止时间之前单独递交上述资格审查文件，缺少任何一项或某项达不到招标文件要求或无法辨识从而不能确认真伪的均按无效文件处理。</w:t>
      </w:r>
    </w:p>
    <w:p w14:paraId="28039A99">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供应商应保证所提供的全部证明材料的真实性，并保证愿意接受</w:t>
      </w:r>
      <w:r>
        <w:rPr>
          <w:rFonts w:hint="eastAsia" w:ascii="仿宋" w:hAnsi="仿宋" w:eastAsia="仿宋" w:cs="仿宋"/>
          <w:color w:val="auto"/>
          <w:szCs w:val="21"/>
          <w:highlight w:val="none"/>
          <w:lang w:eastAsia="zh-CN"/>
        </w:rPr>
        <w:t>及配合</w:t>
      </w:r>
      <w:r>
        <w:rPr>
          <w:rFonts w:hint="eastAsia" w:ascii="仿宋" w:hAnsi="仿宋" w:eastAsia="仿宋" w:cs="仿宋"/>
          <w:color w:val="auto"/>
          <w:szCs w:val="21"/>
          <w:highlight w:val="none"/>
        </w:rPr>
        <w:t>由采购人</w:t>
      </w:r>
      <w:r>
        <w:rPr>
          <w:rFonts w:hint="eastAsia" w:ascii="仿宋" w:hAnsi="仿宋" w:eastAsia="仿宋" w:cs="仿宋"/>
          <w:color w:val="auto"/>
          <w:szCs w:val="21"/>
          <w:highlight w:val="none"/>
          <w:lang w:eastAsia="zh-CN"/>
        </w:rPr>
        <w:t>或采购代理机构</w:t>
      </w:r>
      <w:r>
        <w:rPr>
          <w:rFonts w:hint="eastAsia" w:ascii="仿宋" w:hAnsi="仿宋" w:eastAsia="仿宋" w:cs="仿宋"/>
          <w:color w:val="auto"/>
          <w:szCs w:val="21"/>
          <w:highlight w:val="none"/>
        </w:rPr>
        <w:t>对其所提供材料的真实性的调查和考证。</w:t>
      </w:r>
    </w:p>
    <w:p w14:paraId="74404B26">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3.2授权委托</w:t>
      </w:r>
    </w:p>
    <w:p w14:paraId="3A203847">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3.2.1供应商代表为法定代表人的，应持有法定代表人身份证明。供应商代表不是法定代表人的，应持有法定代表人授权委托书。</w:t>
      </w:r>
    </w:p>
    <w:p w14:paraId="60FF9E3C">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3.2.2供应商应当委托本单位正式员工作为磋商代表，且磋商代表只能接受一个供应商的委托参加磋商。</w:t>
      </w:r>
    </w:p>
    <w:p w14:paraId="318B0209">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color w:val="auto"/>
          <w:kern w:val="0"/>
          <w:sz w:val="30"/>
          <w:szCs w:val="30"/>
          <w:highlight w:val="none"/>
        </w:rPr>
      </w:pPr>
      <w:r>
        <w:rPr>
          <w:rFonts w:hint="eastAsia" w:ascii="仿宋" w:hAnsi="仿宋" w:eastAsia="仿宋" w:cs="仿宋"/>
          <w:b/>
          <w:color w:val="auto"/>
          <w:sz w:val="30"/>
          <w:szCs w:val="30"/>
          <w:highlight w:val="none"/>
        </w:rPr>
        <w:t>3.3联合体磋商（本项目不适用）</w:t>
      </w:r>
    </w:p>
    <w:p w14:paraId="6948E5CE">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3.3.1本项目允许联合体磋商的，适用本条款。</w:t>
      </w:r>
    </w:p>
    <w:p w14:paraId="33962786">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3.3.2 两个以上供应商可以组成一个磋商联合体，以一个供应商的身份进行磋商。以联合体形式参加磋商的，联合体各方均应当符合《中华人民共和国政府采购法》第二十二条规定的资格条件：</w:t>
      </w:r>
    </w:p>
    <w:p w14:paraId="2C46B710">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（1）联合体各方均应当符合本章第3.1.1条规定的供应商基本资格条件；</w:t>
      </w:r>
    </w:p>
    <w:p w14:paraId="5CE3EC6F">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（2）由同一专业的单位组成的联合体，按照资质等级较低的单位确定资质等级。</w:t>
      </w:r>
    </w:p>
    <w:p w14:paraId="14CD36DF">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 联合体各方之间应当签订共同磋商响应协议，明确约定联合体各方承担的合同工作量比例和相应的责任，并将共同磋商响应协议连同响应文件一同提交采购代理机构。联合体各方签订共同磋商响应协议后，不得再以自己名义单独在同一项目中磋商，也不得组成新的联合体参加同一项目磋商。</w:t>
      </w:r>
    </w:p>
    <w:p w14:paraId="3E6E038B">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3.3.4 联合体应当确定其中一个单位为磋商的全权代表，负责参加磋商的一切事务，并承担磋商及履约中应承担的全部责任与义务。</w:t>
      </w:r>
    </w:p>
    <w:p w14:paraId="55ABBC74">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 联合体各方应当共同与采购人签订采购合同，就采购合同约定的事项对采购人承担连带责任。</w:t>
      </w:r>
    </w:p>
    <w:p w14:paraId="69FABFB0">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3.4享受的政府采购政策</w:t>
      </w:r>
    </w:p>
    <w:p w14:paraId="1146F002">
      <w:pPr>
        <w:pageBreakBefore w:val="0"/>
        <w:tabs>
          <w:tab w:val="left" w:pos="7665"/>
        </w:tabs>
        <w:kinsoku/>
        <w:wordWrap/>
        <w:overflowPunct/>
        <w:topLinePunct w:val="0"/>
        <w:bidi w:val="0"/>
        <w:spacing w:line="400" w:lineRule="exact"/>
        <w:ind w:firstLine="42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3.4.1 节能产品、环境标志产品</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不适用</w:t>
      </w:r>
      <w:r>
        <w:rPr>
          <w:rFonts w:hint="eastAsia" w:ascii="仿宋" w:hAnsi="仿宋" w:eastAsia="仿宋" w:cs="仿宋"/>
          <w:b/>
          <w:bCs/>
          <w:color w:val="auto"/>
          <w:szCs w:val="21"/>
          <w:highlight w:val="none"/>
          <w:lang w:eastAsia="zh-CN"/>
        </w:rPr>
        <w:t>）</w:t>
      </w:r>
    </w:p>
    <w:p w14:paraId="03318D8E">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3.4.1.1 本</w:t>
      </w:r>
      <w:r>
        <w:rPr>
          <w:rFonts w:hint="eastAsia" w:ascii="仿宋" w:hAnsi="仿宋" w:eastAsia="仿宋" w:cs="仿宋"/>
          <w:color w:val="auto"/>
          <w:highlight w:val="none"/>
          <w:lang w:eastAsia="zh-CN"/>
        </w:rPr>
        <w:t>服务</w:t>
      </w:r>
      <w:r>
        <w:rPr>
          <w:rFonts w:hint="eastAsia" w:ascii="仿宋" w:hAnsi="仿宋" w:eastAsia="仿宋" w:cs="仿宋"/>
          <w:color w:val="auto"/>
          <w:highlight w:val="none"/>
        </w:rPr>
        <w:t>所需的主要材料与设备，将依据《节能产品、环境标志产品品目清单》和认证证书实施政府优先采购和强制采购。</w:t>
      </w:r>
    </w:p>
    <w:p w14:paraId="2D94FCD4">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3.4.1.2 供应商可以提供所需主要原材料与设备经国家确定的认证机构出具的、处于有效期之内的节能产品、环境标志产品认证证书复印件。采购代理机构通过中国政府采购网（http://www.ccgp.gov.cn/）对获证产品信息进行核对。</w:t>
      </w:r>
    </w:p>
    <w:p w14:paraId="038B0093">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3.4.1.3供应商提供的所需主要材料与设备属于下列情形之一的，属于优先采购的不再享受优先采购政策，或者属于强制采购的按无效响应文件处理：</w:t>
      </w:r>
    </w:p>
    <w:p w14:paraId="2A70E992">
      <w:pPr>
        <w:pStyle w:val="24"/>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（1）不属于《节能产品、环境标志产品品目清单》中的产品；</w:t>
      </w:r>
    </w:p>
    <w:p w14:paraId="195A1A7F">
      <w:pPr>
        <w:pStyle w:val="24"/>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（2）未提供认证证书或经核对认证证书信息有误的。</w:t>
      </w:r>
    </w:p>
    <w:p w14:paraId="6ED226DA">
      <w:pPr>
        <w:pageBreakBefore w:val="0"/>
        <w:kinsoku/>
        <w:wordWrap/>
        <w:overflowPunct/>
        <w:topLinePunct w:val="0"/>
        <w:bidi w:val="0"/>
        <w:adjustRightInd w:val="0"/>
        <w:snapToGrid w:val="0"/>
        <w:spacing w:line="40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3.4.2 中小企业</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不适用</w:t>
      </w:r>
      <w:r>
        <w:rPr>
          <w:rFonts w:hint="eastAsia" w:ascii="仿宋" w:hAnsi="仿宋" w:eastAsia="仿宋" w:cs="仿宋"/>
          <w:b/>
          <w:color w:val="auto"/>
          <w:szCs w:val="21"/>
          <w:highlight w:val="none"/>
          <w:lang w:eastAsia="zh-CN"/>
        </w:rPr>
        <w:t>）</w:t>
      </w:r>
    </w:p>
    <w:p w14:paraId="5FABEDF7">
      <w:pPr>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w:t>
      </w: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2.1 供应商依据《工业和信息化部、国家统计局、国家发展和改革委员会、财政部关于印发中小企业划型标准规定的通知》规定划分标准，属于</w:t>
      </w:r>
      <w:r>
        <w:rPr>
          <w:rFonts w:hint="eastAsia" w:ascii="仿宋" w:hAnsi="仿宋" w:eastAsia="仿宋" w:cs="仿宋"/>
          <w:color w:val="auto"/>
          <w:szCs w:val="21"/>
          <w:highlight w:val="none"/>
          <w:lang w:eastAsia="zh-CN"/>
        </w:rPr>
        <w:t>小微</w:t>
      </w:r>
      <w:r>
        <w:rPr>
          <w:rFonts w:hint="eastAsia" w:ascii="仿宋" w:hAnsi="仿宋" w:eastAsia="仿宋" w:cs="仿宋"/>
          <w:color w:val="auto"/>
          <w:szCs w:val="21"/>
          <w:highlight w:val="none"/>
        </w:rPr>
        <w:t>企业的，可享受</w:t>
      </w:r>
      <w:r>
        <w:rPr>
          <w:rFonts w:hint="eastAsia" w:ascii="仿宋" w:hAnsi="仿宋" w:eastAsia="仿宋" w:cs="仿宋"/>
          <w:bCs/>
          <w:color w:val="auto"/>
          <w:kern w:val="0"/>
          <w:szCs w:val="21"/>
          <w:highlight w:val="none"/>
        </w:rPr>
        <w:t>支持</w:t>
      </w:r>
      <w:r>
        <w:rPr>
          <w:rFonts w:hint="eastAsia" w:ascii="仿宋" w:hAnsi="仿宋" w:eastAsia="仿宋" w:cs="仿宋"/>
          <w:color w:val="auto"/>
          <w:szCs w:val="21"/>
          <w:highlight w:val="none"/>
        </w:rPr>
        <w:t>小型企业发展优惠政策</w:t>
      </w:r>
      <w:r>
        <w:rPr>
          <w:rFonts w:hint="eastAsia" w:ascii="仿宋" w:hAnsi="仿宋" w:eastAsia="仿宋" w:cs="仿宋"/>
          <w:color w:val="auto"/>
          <w:szCs w:val="21"/>
          <w:highlight w:val="none"/>
          <w:lang w:eastAsia="zh-CN"/>
        </w:rPr>
        <w:t>，给予</w:t>
      </w:r>
      <w:r>
        <w:rPr>
          <w:rFonts w:hint="eastAsia" w:ascii="仿宋" w:hAnsi="仿宋" w:eastAsia="仿宋" w:cs="仿宋"/>
          <w:color w:val="auto"/>
          <w:szCs w:val="21"/>
          <w:highlight w:val="none"/>
          <w:lang w:val="en-US" w:eastAsia="zh-CN"/>
        </w:rPr>
        <w:t>10%的价格优惠</w:t>
      </w:r>
      <w:r>
        <w:rPr>
          <w:rFonts w:hint="eastAsia" w:ascii="仿宋" w:hAnsi="仿宋" w:eastAsia="仿宋" w:cs="仿宋"/>
          <w:color w:val="auto"/>
          <w:szCs w:val="21"/>
          <w:highlight w:val="none"/>
        </w:rPr>
        <w:t>。</w:t>
      </w:r>
    </w:p>
    <w:p w14:paraId="0823FC68">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3.4.2.2供应商作为中小企业参加政府采购活动时，应当提供《中小企业声明函》（见磋商文件格式），不提供或提供有瑕疵的，在评审时不享受政府采购优惠政策。</w:t>
      </w:r>
    </w:p>
    <w:p w14:paraId="216AF53F">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3.4.2.3监狱企业参加政府采购活动时，视同中小企业。依照&lt;财政部、司法部关于政府采购支持监狱企业发展有关问题的通知&gt;（财库〔2014〕68号）之规定，应当提供由省级以上监狱管理局、戒毒管理局出具的属于监狱企业的证明文件，不提供或提供有瑕疵的不视为中小企业，在评审时不享受政府采购优惠政策。</w:t>
      </w:r>
    </w:p>
    <w:p w14:paraId="5FB644D5">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 xml:space="preserve">3.4.2.4 </w:t>
      </w:r>
      <w:r>
        <w:rPr>
          <w:rFonts w:hint="eastAsia" w:ascii="仿宋" w:hAnsi="仿宋" w:eastAsia="仿宋" w:cs="仿宋"/>
          <w:color w:val="auto"/>
          <w:kern w:val="0"/>
          <w:highlight w:val="none"/>
        </w:rPr>
        <w:t>残疾人福利性单位</w:t>
      </w:r>
      <w:r>
        <w:rPr>
          <w:rFonts w:hint="eastAsia" w:ascii="仿宋" w:hAnsi="仿宋" w:eastAsia="仿宋" w:cs="仿宋"/>
          <w:color w:val="auto"/>
          <w:highlight w:val="none"/>
        </w:rPr>
        <w:t>参加政府采购活动时，视同小微企业。依据</w:t>
      </w:r>
      <w:r>
        <w:rPr>
          <w:rFonts w:hint="eastAsia" w:ascii="仿宋" w:hAnsi="仿宋" w:eastAsia="仿宋" w:cs="仿宋"/>
          <w:color w:val="auto"/>
          <w:spacing w:val="6"/>
          <w:highlight w:val="none"/>
        </w:rPr>
        <w:t>《财政部、民政部、中国残疾人联合会关于促进残疾人就业政府采购政策的通知》（财库</w:t>
      </w:r>
      <w:r>
        <w:rPr>
          <w:rFonts w:hint="eastAsia" w:ascii="仿宋" w:hAnsi="仿宋" w:eastAsia="仿宋" w:cs="仿宋"/>
          <w:color w:val="auto"/>
          <w:highlight w:val="none"/>
        </w:rPr>
        <w:t>〔2017〕141</w:t>
      </w:r>
      <w:r>
        <w:rPr>
          <w:rFonts w:hint="eastAsia" w:ascii="仿宋" w:hAnsi="仿宋" w:eastAsia="仿宋" w:cs="仿宋"/>
          <w:color w:val="auto"/>
          <w:spacing w:val="6"/>
          <w:highlight w:val="none"/>
        </w:rPr>
        <w:t>号）的规定，</w:t>
      </w:r>
      <w:r>
        <w:rPr>
          <w:rFonts w:hint="eastAsia" w:ascii="仿宋" w:hAnsi="仿宋" w:eastAsia="仿宋" w:cs="仿宋"/>
          <w:color w:val="auto"/>
          <w:kern w:val="0"/>
          <w:highlight w:val="none"/>
        </w:rPr>
        <w:t>应当提供《残疾人福利性单位声明函》</w:t>
      </w:r>
      <w:r>
        <w:rPr>
          <w:rFonts w:hint="eastAsia" w:ascii="仿宋" w:hAnsi="仿宋" w:eastAsia="仿宋" w:cs="仿宋"/>
          <w:color w:val="auto"/>
          <w:highlight w:val="none"/>
        </w:rPr>
        <w:t>（见第六章磋商文件格式）</w:t>
      </w:r>
      <w:r>
        <w:rPr>
          <w:rFonts w:hint="eastAsia" w:ascii="仿宋" w:hAnsi="仿宋" w:eastAsia="仿宋" w:cs="仿宋"/>
          <w:color w:val="auto"/>
          <w:kern w:val="0"/>
          <w:highlight w:val="none"/>
        </w:rPr>
        <w:t>，</w:t>
      </w:r>
      <w:r>
        <w:rPr>
          <w:rFonts w:hint="eastAsia" w:ascii="仿宋" w:hAnsi="仿宋" w:eastAsia="仿宋" w:cs="仿宋"/>
          <w:color w:val="auto"/>
          <w:highlight w:val="none"/>
        </w:rPr>
        <w:t>不提供或提供有瑕疵的，不视为小微企业，在评审时不享受政府采购优惠政策。</w:t>
      </w:r>
    </w:p>
    <w:p w14:paraId="78AD5810">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3.4.2.5 联合体各方均为小型、微型企业的，参加政府采购活动时，视同小型、微型企业。联合体各方均需提供《中小企业声明函》，有一方未提供或提供有瑕疵的，在评审时不享受政府采购优惠（价格给予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%的折扣）政策。</w:t>
      </w:r>
    </w:p>
    <w:p w14:paraId="765BD4C3">
      <w:pPr>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3.4.2.6 中小企业可以同时享受节能产品、环境标志产品优先采购政策。</w:t>
      </w:r>
      <w:r>
        <w:rPr>
          <w:rFonts w:hint="eastAsia" w:ascii="仿宋" w:hAnsi="仿宋" w:eastAsia="仿宋" w:cs="仿宋"/>
          <w:b/>
          <w:color w:val="auto"/>
          <w:szCs w:val="21"/>
          <w:highlight w:val="none"/>
        </w:rPr>
        <w:t>同一项目中部分产品属于优先采购政策的，评审时只对该部分产品实行优先采购。</w:t>
      </w:r>
    </w:p>
    <w:p w14:paraId="3FD2E2BA">
      <w:pPr>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3.4.2.7 政府采购监督检查和投诉处理中对中小企业的认定，由企业所在地的县级以上中小企业主管部门负责。</w:t>
      </w:r>
    </w:p>
    <w:p w14:paraId="68D7F2ED">
      <w:pPr>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3.4.5 进口产品</w:t>
      </w:r>
    </w:p>
    <w:p w14:paraId="39050735">
      <w:pPr>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本项目拒绝进口产品参加磋商响应。本条款适合未经财政部门批准采购进口产品的项目。</w:t>
      </w:r>
    </w:p>
    <w:p w14:paraId="2D5167B7">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bCs/>
          <w:color w:val="auto"/>
          <w:kern w:val="0"/>
          <w:sz w:val="30"/>
          <w:szCs w:val="30"/>
          <w:highlight w:val="none"/>
        </w:rPr>
      </w:pPr>
      <w:r>
        <w:rPr>
          <w:rFonts w:hint="eastAsia" w:ascii="仿宋" w:hAnsi="仿宋" w:eastAsia="仿宋" w:cs="仿宋"/>
          <w:b/>
          <w:bCs/>
          <w:color w:val="auto"/>
          <w:sz w:val="30"/>
          <w:szCs w:val="30"/>
          <w:highlight w:val="none"/>
        </w:rPr>
        <w:t>3.5</w:t>
      </w:r>
      <w:r>
        <w:rPr>
          <w:rFonts w:hint="eastAsia" w:ascii="仿宋" w:hAnsi="仿宋" w:eastAsia="仿宋" w:cs="仿宋"/>
          <w:b/>
          <w:bCs/>
          <w:color w:val="auto"/>
          <w:kern w:val="0"/>
          <w:sz w:val="30"/>
          <w:szCs w:val="30"/>
          <w:highlight w:val="none"/>
        </w:rPr>
        <w:t>转包与分包</w:t>
      </w:r>
    </w:p>
    <w:p w14:paraId="0CED045A">
      <w:pPr>
        <w:pageBreakBefore w:val="0"/>
        <w:kinsoku/>
        <w:wordWrap/>
        <w:overflowPunct/>
        <w:topLinePunct w:val="0"/>
        <w:bidi w:val="0"/>
        <w:spacing w:line="400" w:lineRule="exact"/>
        <w:ind w:firstLine="49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3.5.1 本项目严禁采取转包方式履行合同。本项项目所称转包，是指成交供应商将政府采购合同业务转让给第三人，并退出现有政府采购合同当事人双方权利业务关系，受让人（即第三人）成为政府采购合同的另一方当事人的行为。</w:t>
      </w:r>
    </w:p>
    <w:p w14:paraId="543DD691">
      <w:pPr>
        <w:pageBreakBefore w:val="0"/>
        <w:kinsoku/>
        <w:wordWrap/>
        <w:overflowPunct/>
        <w:topLinePunct w:val="0"/>
        <w:bidi w:val="0"/>
        <w:spacing w:line="400" w:lineRule="exact"/>
        <w:ind w:firstLine="49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成交供应商转包的，视同拒绝履行政府采购合同业务，将依法追究法律责任。</w:t>
      </w:r>
    </w:p>
    <w:p w14:paraId="4F820908">
      <w:pPr>
        <w:pageBreakBefore w:val="0"/>
        <w:kinsoku/>
        <w:wordWrap/>
        <w:overflowPunct/>
        <w:topLinePunct w:val="0"/>
        <w:bidi w:val="0"/>
        <w:spacing w:line="400" w:lineRule="exact"/>
        <w:ind w:firstLine="493"/>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3.5.2 根据供应商须知前附表规定允许分包的，供应商可以将本项目的部分非主体、非关键性工作分包给他人完成，本项目“主体和关键性工作”是指：/  。</w:t>
      </w:r>
    </w:p>
    <w:p w14:paraId="4D551204">
      <w:pPr>
        <w:pageBreakBefore w:val="0"/>
        <w:kinsoku/>
        <w:wordWrap/>
        <w:overflowPunct/>
        <w:topLinePunct w:val="0"/>
        <w:bidi w:val="0"/>
        <w:spacing w:line="400" w:lineRule="exact"/>
        <w:ind w:firstLine="493"/>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接受分包的供应商应当符合供应商须知前附表规定的分包内容、分包金额和具备相应的资格条件，并不得再次分包。</w:t>
      </w:r>
      <w:r>
        <w:rPr>
          <w:rFonts w:hint="eastAsia" w:ascii="仿宋" w:hAnsi="仿宋" w:eastAsia="仿宋" w:cs="仿宋"/>
          <w:color w:val="auto"/>
          <w:szCs w:val="21"/>
          <w:highlight w:val="none"/>
        </w:rPr>
        <w:t>采购合同实行分包履行的，成交供应商就采购项目和分包项目向采购人负责，分包供应商就分包项目承担责任。</w:t>
      </w:r>
    </w:p>
    <w:p w14:paraId="7E922617">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color w:val="auto"/>
          <w:kern w:val="0"/>
          <w:sz w:val="30"/>
          <w:szCs w:val="30"/>
          <w:highlight w:val="none"/>
        </w:rPr>
      </w:pPr>
      <w:bookmarkStart w:id="79" w:name="_Toc482201959"/>
      <w:r>
        <w:rPr>
          <w:rFonts w:hint="eastAsia" w:ascii="仿宋" w:hAnsi="仿宋" w:eastAsia="仿宋" w:cs="仿宋"/>
          <w:b/>
          <w:bCs/>
          <w:color w:val="auto"/>
          <w:kern w:val="0"/>
          <w:sz w:val="30"/>
          <w:szCs w:val="30"/>
          <w:highlight w:val="none"/>
        </w:rPr>
        <w:t>3.6供应商的风险</w:t>
      </w:r>
    </w:p>
    <w:p w14:paraId="2BA91CD6">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供应商应认真阅读和充分理解磋商文件中所有的事项、格式条款和规范要求，任何对</w:t>
      </w:r>
      <w:r>
        <w:rPr>
          <w:rFonts w:hint="eastAsia" w:ascii="仿宋" w:hAnsi="仿宋" w:eastAsia="仿宋" w:cs="仿宋"/>
          <w:bCs/>
          <w:color w:val="auto"/>
          <w:szCs w:val="21"/>
          <w:highlight w:val="none"/>
        </w:rPr>
        <w:t>磋商</w:t>
      </w:r>
      <w:r>
        <w:rPr>
          <w:rFonts w:hint="eastAsia" w:ascii="仿宋" w:hAnsi="仿宋" w:eastAsia="仿宋" w:cs="仿宋"/>
          <w:color w:val="auto"/>
          <w:szCs w:val="21"/>
          <w:highlight w:val="none"/>
        </w:rPr>
        <w:t>文件的忽略或误解不能作为响应文件存在缺陷或瑕疵的理由；供应商</w:t>
      </w:r>
      <w:r>
        <w:rPr>
          <w:rFonts w:hint="eastAsia" w:ascii="仿宋" w:hAnsi="仿宋" w:eastAsia="仿宋" w:cs="仿宋"/>
          <w:color w:val="auto"/>
          <w:kern w:val="0"/>
          <w:szCs w:val="21"/>
          <w:highlight w:val="none"/>
        </w:rPr>
        <w:t>没有按照磋商文件要求提供全部资料，</w:t>
      </w:r>
      <w:r>
        <w:rPr>
          <w:rFonts w:hint="eastAsia" w:ascii="仿宋" w:hAnsi="仿宋" w:eastAsia="仿宋" w:cs="仿宋"/>
          <w:color w:val="auto"/>
          <w:szCs w:val="21"/>
          <w:highlight w:val="none"/>
        </w:rPr>
        <w:t>或对磋商文件未全面做出实质性响应是供应商的风险，</w:t>
      </w:r>
      <w:r>
        <w:rPr>
          <w:rFonts w:hint="eastAsia" w:ascii="仿宋" w:hAnsi="仿宋" w:eastAsia="仿宋" w:cs="仿宋"/>
          <w:color w:val="auto"/>
          <w:kern w:val="0"/>
          <w:szCs w:val="21"/>
          <w:highlight w:val="none"/>
        </w:rPr>
        <w:t>并可能导致其响应文件被拒绝。</w:t>
      </w:r>
    </w:p>
    <w:p w14:paraId="0E7E765A">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3.7供应商的纪律要求</w:t>
      </w:r>
    </w:p>
    <w:p w14:paraId="6BDCC1DA">
      <w:pPr>
        <w:pStyle w:val="5"/>
        <w:pageBreakBefore w:val="0"/>
        <w:kinsoku/>
        <w:wordWrap/>
        <w:overflowPunct/>
        <w:topLinePunct w:val="0"/>
        <w:bidi w:val="0"/>
        <w:spacing w:line="400" w:lineRule="exact"/>
        <w:ind w:firstLineChars="200"/>
        <w:rPr>
          <w:rFonts w:hint="eastAsia" w:ascii="仿宋" w:hAnsi="仿宋" w:eastAsia="仿宋" w:cs="仿宋"/>
          <w:color w:val="auto"/>
          <w:szCs w:val="21"/>
          <w:highlight w:val="none"/>
        </w:rPr>
      </w:pPr>
      <w:bookmarkStart w:id="80" w:name="_Toc25827_WPSOffice_Level2"/>
      <w:bookmarkStart w:id="81" w:name="_Toc23836"/>
      <w:bookmarkStart w:id="82" w:name="_Toc6380"/>
      <w:bookmarkStart w:id="83" w:name="_Toc9447"/>
      <w:bookmarkStart w:id="84" w:name="_Toc7507"/>
      <w:bookmarkStart w:id="85" w:name="_Toc25435"/>
      <w:bookmarkStart w:id="86" w:name="_Toc31408"/>
      <w:r>
        <w:rPr>
          <w:rFonts w:hint="eastAsia" w:ascii="仿宋" w:hAnsi="仿宋" w:eastAsia="仿宋" w:cs="仿宋"/>
          <w:color w:val="auto"/>
          <w:szCs w:val="21"/>
          <w:highlight w:val="none"/>
        </w:rPr>
        <w:t>3.7.1 有下列情形之一的，属于不合格供应商，其磋商或成交资格将被取消：</w:t>
      </w:r>
    </w:p>
    <w:p w14:paraId="6638F82C">
      <w:pPr>
        <w:pageBreakBefore w:val="0"/>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（1）提供虚假材料谋取成交；</w:t>
      </w:r>
    </w:p>
    <w:p w14:paraId="3F3A8820">
      <w:pPr>
        <w:pageBreakBefore w:val="0"/>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（2）采取不正当手段诋毁、排挤其他供应商；</w:t>
      </w:r>
    </w:p>
    <w:p w14:paraId="274FC2E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（3）与采购人、采购代理机构、其他供应商恶意串通；</w:t>
      </w:r>
    </w:p>
    <w:p w14:paraId="2DAF43DC">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（4）向采购人、采购代理机构、磋商小组成员行贿或者提供其他不正当利益；</w:t>
      </w:r>
    </w:p>
    <w:p w14:paraId="4AAAD273">
      <w:pPr>
        <w:pStyle w:val="27"/>
        <w:pageBreakBefore w:val="0"/>
        <w:kinsoku/>
        <w:wordWrap/>
        <w:overflowPunct/>
        <w:topLinePunct w:val="0"/>
        <w:bidi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（5）拒绝有关部门的监督检查或者向监督检查部门提供虚假情况。</w:t>
      </w:r>
    </w:p>
    <w:p w14:paraId="198F9007">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3.7.2有下列情形之一的，视为供应商相互恶意串通磋商响应，其响应文件无效：</w:t>
      </w:r>
    </w:p>
    <w:p w14:paraId="1DB6B4B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（1）不同供应商的响应文件由同一单位或者个人编制；</w:t>
      </w:r>
    </w:p>
    <w:p w14:paraId="03479C05">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（2）不同供应商委托同一单位或者个人办理磋商事宜；</w:t>
      </w:r>
    </w:p>
    <w:p w14:paraId="15249C78">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（3）不同供应商的响应文件载明的项目管理成员为同一人；</w:t>
      </w:r>
    </w:p>
    <w:p w14:paraId="674293F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（4）不同供应商的响应文件异常一致或者磋商报价呈规律性差异；</w:t>
      </w:r>
    </w:p>
    <w:p w14:paraId="50CFE633">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（5）不同供应商的响应文件相互混装；</w:t>
      </w:r>
    </w:p>
    <w:p w14:paraId="1696A01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（6）不同供应商的磋商保证金从同一单位或者个人的账户转出；</w:t>
      </w:r>
    </w:p>
    <w:p w14:paraId="3FD8E44E">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（7）不同供应商的响应文件由同一单位送达。</w:t>
      </w:r>
    </w:p>
    <w:p w14:paraId="52FE52B5">
      <w:pPr>
        <w:pageBreakBefore w:val="0"/>
        <w:tabs>
          <w:tab w:val="left" w:pos="7665"/>
        </w:tabs>
        <w:kinsoku/>
        <w:wordWrap/>
        <w:overflowPunct/>
        <w:topLinePunct w:val="0"/>
        <w:bidi w:val="0"/>
        <w:spacing w:before="120" w:beforeLines="50" w:after="120" w:afterLines="50" w:line="400" w:lineRule="exact"/>
        <w:outlineLvl w:val="1"/>
        <w:rPr>
          <w:rFonts w:hint="eastAsia" w:ascii="仿宋" w:hAnsi="仿宋" w:eastAsia="仿宋" w:cs="仿宋"/>
          <w:color w:val="auto"/>
          <w:kern w:val="0"/>
          <w:sz w:val="36"/>
          <w:szCs w:val="36"/>
          <w:highlight w:val="none"/>
        </w:rPr>
      </w:pPr>
      <w:r>
        <w:rPr>
          <w:rFonts w:hint="eastAsia" w:ascii="仿宋" w:hAnsi="仿宋" w:eastAsia="仿宋" w:cs="仿宋"/>
          <w:bCs/>
          <w:color w:val="auto"/>
          <w:sz w:val="36"/>
          <w:szCs w:val="36"/>
          <w:highlight w:val="none"/>
        </w:rPr>
        <w:t>4.响应文件</w:t>
      </w:r>
      <w:bookmarkEnd w:id="80"/>
      <w:bookmarkEnd w:id="81"/>
      <w:bookmarkEnd w:id="82"/>
      <w:bookmarkEnd w:id="83"/>
      <w:bookmarkEnd w:id="84"/>
      <w:bookmarkEnd w:id="85"/>
      <w:bookmarkEnd w:id="86"/>
    </w:p>
    <w:p w14:paraId="0108BC0F">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4.1 响应文件的编写原则和要求</w:t>
      </w:r>
    </w:p>
    <w:p w14:paraId="4D4DA0C0">
      <w:pPr>
        <w:pageBreakBefore w:val="0"/>
        <w:tabs>
          <w:tab w:val="left" w:pos="720"/>
        </w:tabs>
        <w:kinsoku/>
        <w:wordWrap/>
        <w:overflowPunct/>
        <w:topLinePunct w:val="0"/>
        <w:bidi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4.1.1供应商应仔细阅读磋商文件的所有内容，按照磋商文件规定及要求编写，应当对磋商文件提出的实质性要求做出响应，并提交完整的响应文件。供应商应对采购的</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提供完整详细的技术说明，若供应商对指定的技术要求不能完全响应，应在响应文件中清楚地注明。供应商须知前附表规定允许分包的，</w:t>
      </w:r>
      <w:r>
        <w:rPr>
          <w:rFonts w:hint="eastAsia" w:ascii="仿宋" w:hAnsi="仿宋" w:eastAsia="仿宋" w:cs="仿宋"/>
          <w:b/>
          <w:color w:val="auto"/>
          <w:szCs w:val="21"/>
          <w:highlight w:val="none"/>
        </w:rPr>
        <w:t>供应商拟在成交后将成交项目的非主体、非关键性工作交由他人完成的，应当在响应文件中载明</w:t>
      </w:r>
      <w:r>
        <w:rPr>
          <w:rFonts w:hint="eastAsia" w:ascii="仿宋" w:hAnsi="仿宋" w:eastAsia="仿宋" w:cs="仿宋"/>
          <w:color w:val="auto"/>
          <w:szCs w:val="21"/>
          <w:highlight w:val="none"/>
        </w:rPr>
        <w:t>。供应商对本磋商文件的每一项要求所给予的响应必须是唯一的，否则将视为无效响应文件。</w:t>
      </w:r>
    </w:p>
    <w:p w14:paraId="44A7B1A6">
      <w:pPr>
        <w:pageBreakBefore w:val="0"/>
        <w:tabs>
          <w:tab w:val="left" w:pos="720"/>
        </w:tabs>
        <w:kinsoku/>
        <w:wordWrap/>
        <w:overflowPunct/>
        <w:topLinePunct w:val="0"/>
        <w:bidi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4.1.2 真实性原则</w:t>
      </w:r>
    </w:p>
    <w:p w14:paraId="4CD4A139">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4.1.2.1 供应商应保证所提供的响应文件和所有资料的真实性、准确性和完整性。</w:t>
      </w:r>
    </w:p>
    <w:p w14:paraId="37C35EF3">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4.1.2.2 供应商被认定为在政府采购活动中提供不真实材料的，无论其材料是否重要，采购人均有权拒绝，并取消其磋商或成交资格，供应商需承担相应的法律后果。</w:t>
      </w:r>
    </w:p>
    <w:p w14:paraId="51CF18F5">
      <w:pPr>
        <w:pageBreakBefore w:val="0"/>
        <w:tabs>
          <w:tab w:val="left" w:pos="720"/>
        </w:tabs>
        <w:kinsoku/>
        <w:wordWrap/>
        <w:overflowPunct/>
        <w:topLinePunct w:val="0"/>
        <w:bidi w:val="0"/>
        <w:snapToGrid w:val="0"/>
        <w:spacing w:line="400" w:lineRule="exact"/>
        <w:ind w:firstLine="48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4.1.3 报价使用货币</w:t>
      </w:r>
    </w:p>
    <w:p w14:paraId="68C6BAB8">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本项目的报价均以人民币报价。</w:t>
      </w:r>
    </w:p>
    <w:p w14:paraId="4222488C">
      <w:pPr>
        <w:pageBreakBefore w:val="0"/>
        <w:tabs>
          <w:tab w:val="left" w:pos="720"/>
        </w:tabs>
        <w:kinsoku/>
        <w:wordWrap/>
        <w:overflowPunct/>
        <w:topLinePunct w:val="0"/>
        <w:bidi w:val="0"/>
        <w:snapToGrid w:val="0"/>
        <w:spacing w:line="400" w:lineRule="exact"/>
        <w:ind w:firstLine="424" w:firstLineChars="201"/>
        <w:rPr>
          <w:rFonts w:hint="eastAsia" w:ascii="仿宋" w:hAnsi="仿宋" w:eastAsia="仿宋" w:cs="仿宋"/>
          <w:b/>
          <w:color w:val="auto"/>
          <w:highlight w:val="none"/>
        </w:rPr>
      </w:pPr>
      <w:r>
        <w:rPr>
          <w:rFonts w:hint="eastAsia" w:ascii="仿宋" w:hAnsi="仿宋" w:eastAsia="仿宋" w:cs="仿宋"/>
          <w:b/>
          <w:color w:val="auto"/>
          <w:highlight w:val="none"/>
        </w:rPr>
        <w:t>4.1.4 响应文件形式</w:t>
      </w:r>
    </w:p>
    <w:p w14:paraId="278CD8EC">
      <w:pPr>
        <w:pStyle w:val="24"/>
        <w:pageBreakBefore w:val="0"/>
        <w:kinsoku/>
        <w:wordWrap/>
        <w:overflowPunct/>
        <w:topLinePunct w:val="0"/>
        <w:bidi w:val="0"/>
        <w:adjustRightInd w:val="0"/>
        <w:snapToGrid w:val="0"/>
        <w:spacing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本项目响应文件应采用书面文件形式，电报、传真、电子邮件形式的响应文件不予接受。</w:t>
      </w:r>
    </w:p>
    <w:p w14:paraId="792C04D3">
      <w:pPr>
        <w:pageBreakBefore w:val="0"/>
        <w:tabs>
          <w:tab w:val="left" w:pos="720"/>
        </w:tabs>
        <w:kinsoku/>
        <w:wordWrap/>
        <w:overflowPunct/>
        <w:topLinePunct w:val="0"/>
        <w:bidi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4.1.5 备选方案</w:t>
      </w:r>
    </w:p>
    <w:p w14:paraId="7219E242">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4.1.5.1 除供应商须知前附表规定允许外，供应商不得递交备选响应方案，响应文件的报价只允许有一个报价，不接受具有附加条件的报价，否则，视为无效响应文件。</w:t>
      </w:r>
    </w:p>
    <w:p w14:paraId="12CAD5B6">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4.1.5.2 允许供应商递交备选响应方案的，只有成交供应商所递交的备选响应方案方可予以考虑。磋商小组认为成交供应商的备选响应方案优于其按照磋商文件要求编制的响应方案的，采购人可以接受该备选方案。</w:t>
      </w:r>
    </w:p>
    <w:p w14:paraId="4F7B9D32">
      <w:pPr>
        <w:pageBreakBefore w:val="0"/>
        <w:tabs>
          <w:tab w:val="left" w:pos="720"/>
        </w:tabs>
        <w:kinsoku/>
        <w:wordWrap/>
        <w:overflowPunct/>
        <w:topLinePunct w:val="0"/>
        <w:bidi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4.1.5.3 供应商提供两个或两个以上磋商报价，或者在响应文件中提供一个磋商报价，但同时提供两个或两个以上方案的，视为提供备选方案。</w:t>
      </w:r>
    </w:p>
    <w:bookmarkEnd w:id="79"/>
    <w:p w14:paraId="42EF4A1A">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4.2 响应文件的组成</w:t>
      </w:r>
    </w:p>
    <w:bookmarkEnd w:id="76"/>
    <w:bookmarkEnd w:id="77"/>
    <w:bookmarkEnd w:id="78"/>
    <w:p w14:paraId="63F11EBA">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4.2.1响应文件由下列文件组成：</w:t>
      </w:r>
    </w:p>
    <w:p w14:paraId="16410809">
      <w:pPr>
        <w:pageBreakBefore w:val="0"/>
        <w:tabs>
          <w:tab w:val="left" w:pos="2730"/>
        </w:tabs>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（1）资格审查文件</w:t>
      </w:r>
      <w:r>
        <w:rPr>
          <w:rFonts w:hint="eastAsia" w:ascii="仿宋" w:hAnsi="仿宋" w:eastAsia="仿宋" w:cs="仿宋"/>
          <w:color w:val="auto"/>
          <w:szCs w:val="21"/>
          <w:highlight w:val="none"/>
        </w:rPr>
        <w:tab/>
      </w:r>
    </w:p>
    <w:p w14:paraId="5622FD7C">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（2）商务文件</w:t>
      </w:r>
    </w:p>
    <w:p w14:paraId="25DA26F9">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（3）技术文件</w:t>
      </w:r>
    </w:p>
    <w:p w14:paraId="2484B62A">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4.2.2 </w:t>
      </w:r>
      <w:r>
        <w:rPr>
          <w:rFonts w:hint="eastAsia" w:ascii="仿宋" w:hAnsi="仿宋" w:eastAsia="仿宋" w:cs="仿宋"/>
          <w:b/>
          <w:color w:val="auto"/>
          <w:szCs w:val="21"/>
          <w:highlight w:val="none"/>
        </w:rPr>
        <w:t>资格审查文件</w:t>
      </w:r>
      <w:r>
        <w:rPr>
          <w:rFonts w:hint="eastAsia" w:ascii="仿宋" w:hAnsi="仿宋" w:eastAsia="仿宋" w:cs="仿宋"/>
          <w:color w:val="auto"/>
          <w:szCs w:val="21"/>
          <w:highlight w:val="none"/>
        </w:rPr>
        <w:t>包括本章第3.1.1条款内容。</w:t>
      </w:r>
    </w:p>
    <w:p w14:paraId="6902A77A">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4.2.3 </w:t>
      </w:r>
      <w:r>
        <w:rPr>
          <w:rFonts w:hint="eastAsia" w:ascii="仿宋" w:hAnsi="仿宋" w:eastAsia="仿宋" w:cs="仿宋"/>
          <w:b/>
          <w:color w:val="auto"/>
          <w:szCs w:val="21"/>
          <w:highlight w:val="none"/>
        </w:rPr>
        <w:t>商务文件</w:t>
      </w:r>
      <w:r>
        <w:rPr>
          <w:rFonts w:hint="eastAsia" w:ascii="仿宋" w:hAnsi="仿宋" w:eastAsia="仿宋" w:cs="仿宋"/>
          <w:color w:val="auto"/>
          <w:szCs w:val="21"/>
          <w:highlight w:val="none"/>
        </w:rPr>
        <w:t>主要包括下列内容：</w:t>
      </w:r>
    </w:p>
    <w:p w14:paraId="7FB48648">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（1）竞争性磋商响应函；</w:t>
      </w:r>
    </w:p>
    <w:p w14:paraId="7A28F33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（2）磋商报价一览表；</w:t>
      </w:r>
    </w:p>
    <w:p w14:paraId="090CEC8B">
      <w:pPr>
        <w:pageBreakBefore w:val="0"/>
        <w:kinsoku/>
        <w:wordWrap/>
        <w:overflowPunct/>
        <w:topLinePunct w:val="0"/>
        <w:bidi w:val="0"/>
        <w:spacing w:line="400" w:lineRule="exact"/>
        <w:ind w:firstLine="420" w:firstLineChars="200"/>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（3）报价明细表</w:t>
      </w:r>
    </w:p>
    <w:p w14:paraId="4F78F50C">
      <w:pPr>
        <w:pageBreakBefore w:val="0"/>
        <w:kinsoku/>
        <w:wordWrap/>
        <w:overflowPunct/>
        <w:topLinePunct w:val="0"/>
        <w:bidi w:val="0"/>
        <w:spacing w:line="400" w:lineRule="exact"/>
        <w:ind w:firstLine="420" w:firstLineChars="200"/>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（4）履约承诺书；</w:t>
      </w:r>
    </w:p>
    <w:p w14:paraId="624AFF57">
      <w:pPr>
        <w:pageBreakBefore w:val="0"/>
        <w:kinsoku/>
        <w:wordWrap/>
        <w:overflowPunct/>
        <w:topLinePunct w:val="0"/>
        <w:bidi w:val="0"/>
        <w:spacing w:line="400" w:lineRule="exact"/>
        <w:ind w:firstLine="420" w:firstLineChars="200"/>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）其他证明材料。</w:t>
      </w:r>
    </w:p>
    <w:p w14:paraId="63843EE5">
      <w:pPr>
        <w:pageBreakBefore w:val="0"/>
        <w:kinsoku/>
        <w:wordWrap/>
        <w:overflowPunct/>
        <w:topLinePunct w:val="0"/>
        <w:bidi w:val="0"/>
        <w:spacing w:line="400" w:lineRule="exact"/>
        <w:ind w:left="504" w:leftChars="226" w:hanging="29" w:hangingChars="14"/>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4.2.4 </w:t>
      </w:r>
      <w:r>
        <w:rPr>
          <w:rFonts w:hint="eastAsia" w:ascii="仿宋" w:hAnsi="仿宋" w:eastAsia="仿宋" w:cs="仿宋"/>
          <w:b/>
          <w:color w:val="auto"/>
          <w:szCs w:val="21"/>
          <w:highlight w:val="none"/>
        </w:rPr>
        <w:t>技术文件</w:t>
      </w:r>
      <w:r>
        <w:rPr>
          <w:rFonts w:hint="eastAsia" w:ascii="仿宋" w:hAnsi="仿宋" w:eastAsia="仿宋" w:cs="仿宋"/>
          <w:color w:val="auto"/>
          <w:szCs w:val="21"/>
          <w:highlight w:val="none"/>
        </w:rPr>
        <w:t>主要包括下列内容：</w:t>
      </w:r>
    </w:p>
    <w:p w14:paraId="06853843">
      <w:pPr>
        <w:pageBreakBefore w:val="0"/>
        <w:kinsoku/>
        <w:wordWrap/>
        <w:overflowPunct/>
        <w:topLinePunct w:val="0"/>
        <w:bidi w:val="0"/>
        <w:spacing w:line="400" w:lineRule="exact"/>
        <w:ind w:firstLine="420" w:firstLineChars="200"/>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服务计划</w:t>
      </w:r>
      <w:r>
        <w:rPr>
          <w:rFonts w:hint="eastAsia" w:ascii="仿宋" w:hAnsi="仿宋" w:eastAsia="仿宋" w:cs="仿宋"/>
          <w:color w:val="auto"/>
          <w:szCs w:val="21"/>
          <w:highlight w:val="none"/>
        </w:rPr>
        <w:t>；</w:t>
      </w:r>
    </w:p>
    <w:p w14:paraId="7772D672">
      <w:pPr>
        <w:pageBreakBefore w:val="0"/>
        <w:kinsoku/>
        <w:wordWrap/>
        <w:overflowPunct/>
        <w:topLinePunct w:val="0"/>
        <w:bidi w:val="0"/>
        <w:spacing w:line="400" w:lineRule="exact"/>
        <w:ind w:firstLine="420" w:firstLineChars="200"/>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（2）项目管理机构；</w:t>
      </w:r>
    </w:p>
    <w:p w14:paraId="0C6A4AE0">
      <w:pPr>
        <w:pageBreakBefore w:val="0"/>
        <w:kinsoku/>
        <w:wordWrap/>
        <w:overflowPunct/>
        <w:topLinePunct w:val="0"/>
        <w:bidi w:val="0"/>
        <w:spacing w:line="400" w:lineRule="exact"/>
        <w:ind w:firstLine="420" w:firstLineChars="200"/>
        <w:outlineLvl w:val="2"/>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（3）供应商认为需要提供的文件和资料。</w:t>
      </w:r>
    </w:p>
    <w:p w14:paraId="7955A05B">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4.3磋商报价</w:t>
      </w:r>
    </w:p>
    <w:p w14:paraId="4DE67842">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4.3.1 </w:t>
      </w:r>
      <w:r>
        <w:rPr>
          <w:rFonts w:hint="eastAsia" w:ascii="仿宋" w:hAnsi="仿宋" w:eastAsia="仿宋" w:cs="仿宋"/>
          <w:bCs/>
          <w:color w:val="auto"/>
          <w:szCs w:val="21"/>
          <w:highlight w:val="none"/>
        </w:rPr>
        <w:t>供应商应当</w:t>
      </w:r>
      <w:r>
        <w:rPr>
          <w:rFonts w:hint="eastAsia" w:ascii="仿宋" w:hAnsi="仿宋" w:eastAsia="仿宋" w:cs="仿宋"/>
          <w:color w:val="auto"/>
          <w:szCs w:val="21"/>
          <w:highlight w:val="none"/>
        </w:rPr>
        <w:t>按照磋商文件确定的采购</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范围内全部工作内容进行磋商报价，并充分了解本</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项目的总体情况以及影响磋商报价的其他要素。</w:t>
      </w:r>
    </w:p>
    <w:p w14:paraId="750F9E1B">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 xml:space="preserve">4.3.2 </w:t>
      </w:r>
      <w:r>
        <w:rPr>
          <w:rFonts w:hint="eastAsia" w:ascii="仿宋" w:hAnsi="仿宋" w:eastAsia="仿宋" w:cs="仿宋"/>
          <w:color w:val="auto"/>
          <w:kern w:val="0"/>
          <w:szCs w:val="21"/>
          <w:highlight w:val="none"/>
        </w:rPr>
        <w:t>供应商的磋商报价包括</w:t>
      </w:r>
      <w:r>
        <w:rPr>
          <w:rFonts w:hint="eastAsia" w:ascii="仿宋" w:hAnsi="仿宋" w:eastAsia="仿宋" w:cs="仿宋"/>
          <w:color w:val="auto"/>
          <w:kern w:val="0"/>
          <w:szCs w:val="21"/>
          <w:highlight w:val="none"/>
          <w:lang w:eastAsia="zh-CN"/>
        </w:rPr>
        <w:t>服务</w:t>
      </w:r>
      <w:r>
        <w:rPr>
          <w:rFonts w:hint="eastAsia" w:ascii="仿宋" w:hAnsi="仿宋" w:eastAsia="仿宋" w:cs="仿宋"/>
          <w:color w:val="auto"/>
          <w:kern w:val="0"/>
          <w:szCs w:val="21"/>
          <w:highlight w:val="none"/>
        </w:rPr>
        <w:t>设备费、人工费、管理费、材料与设备费、安装费、维护费、保险费、采购代理费、税金、利润、政策性规费、风险、责任等所有费用。</w:t>
      </w:r>
    </w:p>
    <w:p w14:paraId="60A31E12">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4.3.3 </w:t>
      </w:r>
      <w:r>
        <w:rPr>
          <w:rFonts w:hint="eastAsia" w:ascii="仿宋" w:hAnsi="仿宋" w:eastAsia="仿宋" w:cs="仿宋"/>
          <w:b/>
          <w:color w:val="auto"/>
          <w:szCs w:val="21"/>
          <w:highlight w:val="none"/>
        </w:rPr>
        <w:t>本项目将根据磋商的具体情况来确定磋商轮次，最终一轮磋商报价为最后报价</w:t>
      </w:r>
      <w:r>
        <w:rPr>
          <w:rFonts w:hint="eastAsia" w:ascii="仿宋" w:hAnsi="仿宋" w:eastAsia="仿宋" w:cs="仿宋"/>
          <w:color w:val="auto"/>
          <w:szCs w:val="21"/>
          <w:highlight w:val="none"/>
        </w:rPr>
        <w:t>。</w:t>
      </w:r>
    </w:p>
    <w:p w14:paraId="49C0D45C">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4.3.4</w:t>
      </w:r>
      <w:r>
        <w:rPr>
          <w:rFonts w:hint="eastAsia" w:ascii="仿宋" w:hAnsi="仿宋" w:eastAsia="仿宋" w:cs="仿宋"/>
          <w:b/>
          <w:color w:val="auto"/>
          <w:szCs w:val="21"/>
          <w:highlight w:val="none"/>
        </w:rPr>
        <w:t xml:space="preserve"> 本项目采购预算（最高限价）金额见供应商须知前附表。供应商各轮次报价均不得超过采购预算（最高限价</w:t>
      </w:r>
      <w:r>
        <w:rPr>
          <w:rFonts w:hint="eastAsia" w:ascii="仿宋" w:hAnsi="仿宋" w:eastAsia="仿宋" w:cs="仿宋"/>
          <w:b/>
          <w:color w:val="auto"/>
          <w:szCs w:val="21"/>
          <w:highlight w:val="none"/>
          <w:lang w:eastAsia="zh-CN"/>
        </w:rPr>
        <w:t>或其他要求</w:t>
      </w:r>
      <w:r>
        <w:rPr>
          <w:rFonts w:hint="eastAsia" w:ascii="仿宋" w:hAnsi="仿宋" w:eastAsia="仿宋" w:cs="仿宋"/>
          <w:b/>
          <w:color w:val="auto"/>
          <w:szCs w:val="21"/>
          <w:highlight w:val="none"/>
        </w:rPr>
        <w:t>）金额；否则，按无效响应文件处理。</w:t>
      </w:r>
    </w:p>
    <w:p w14:paraId="3417E3AF">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4.3.5 供应商首次提交的响应文件，</w:t>
      </w:r>
      <w:r>
        <w:rPr>
          <w:rFonts w:hint="eastAsia" w:ascii="仿宋" w:hAnsi="仿宋" w:eastAsia="仿宋" w:cs="仿宋"/>
          <w:color w:val="auto"/>
          <w:kern w:val="0"/>
          <w:szCs w:val="21"/>
          <w:highlight w:val="none"/>
        </w:rPr>
        <w:t>应按</w:t>
      </w:r>
      <w:r>
        <w:rPr>
          <w:rFonts w:hint="eastAsia" w:ascii="仿宋" w:hAnsi="仿宋" w:eastAsia="仿宋" w:cs="仿宋"/>
          <w:color w:val="auto"/>
          <w:szCs w:val="21"/>
          <w:highlight w:val="none"/>
        </w:rPr>
        <w:t>“磋商报价一览表”及“报价明细表”</w:t>
      </w:r>
      <w:r>
        <w:rPr>
          <w:rFonts w:hint="eastAsia" w:ascii="仿宋" w:hAnsi="仿宋" w:eastAsia="仿宋" w:cs="仿宋"/>
          <w:color w:val="auto"/>
          <w:kern w:val="0"/>
          <w:szCs w:val="21"/>
          <w:highlight w:val="none"/>
        </w:rPr>
        <w:t>的内容</w:t>
      </w:r>
      <w:r>
        <w:rPr>
          <w:rFonts w:hint="eastAsia" w:ascii="仿宋" w:hAnsi="仿宋" w:eastAsia="仿宋" w:cs="仿宋"/>
          <w:color w:val="auto"/>
          <w:szCs w:val="21"/>
          <w:highlight w:val="none"/>
        </w:rPr>
        <w:t>和格式要求自主报价。填写的项目编码、项目名称、项目特征、计量单位、</w:t>
      </w:r>
      <w:r>
        <w:rPr>
          <w:rFonts w:hint="eastAsia" w:ascii="仿宋" w:hAnsi="仿宋" w:eastAsia="仿宋" w:cs="仿宋"/>
          <w:color w:val="auto"/>
          <w:szCs w:val="21"/>
          <w:highlight w:val="none"/>
          <w:lang w:eastAsia="zh-CN"/>
        </w:rPr>
        <w:t>服务内容</w:t>
      </w:r>
      <w:r>
        <w:rPr>
          <w:rFonts w:hint="eastAsia" w:ascii="仿宋" w:hAnsi="仿宋" w:eastAsia="仿宋" w:cs="仿宋"/>
          <w:color w:val="auto"/>
          <w:szCs w:val="21"/>
          <w:highlight w:val="none"/>
        </w:rPr>
        <w:t>必须与采购人提供的一致；磋商报价中不得包含磋商文件要求以外的内容，否则，在评审时不予核减。如只有总价而无明细报价，或者只有明细报价而无总报价，将视为无效响应文件。</w:t>
      </w:r>
    </w:p>
    <w:p w14:paraId="210DFD55">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4.3.6 </w:t>
      </w:r>
      <w:r>
        <w:rPr>
          <w:rFonts w:hint="eastAsia" w:ascii="仿宋" w:hAnsi="仿宋" w:eastAsia="仿宋" w:cs="仿宋"/>
          <w:b/>
          <w:color w:val="auto"/>
          <w:kern w:val="0"/>
          <w:szCs w:val="21"/>
          <w:highlight w:val="none"/>
        </w:rPr>
        <w:t>供应商除首次磋商报价外，其余轮次报价不再填报报价明细表，由供应商法定代表人签字或者</w:t>
      </w:r>
      <w:r>
        <w:rPr>
          <w:rFonts w:hint="eastAsia" w:ascii="仿宋" w:hAnsi="仿宋" w:eastAsia="仿宋" w:cs="仿宋"/>
          <w:b/>
          <w:color w:val="auto"/>
          <w:kern w:val="0"/>
          <w:szCs w:val="21"/>
          <w:highlight w:val="none"/>
          <w:lang w:eastAsia="zh-CN"/>
        </w:rPr>
        <w:t>授权代表</w:t>
      </w:r>
      <w:r>
        <w:rPr>
          <w:rFonts w:hint="eastAsia" w:ascii="仿宋" w:hAnsi="仿宋" w:eastAsia="仿宋" w:cs="仿宋"/>
          <w:b/>
          <w:color w:val="auto"/>
          <w:kern w:val="0"/>
          <w:szCs w:val="21"/>
          <w:highlight w:val="none"/>
        </w:rPr>
        <w:t>签字或者加盖单位章确认。</w:t>
      </w:r>
    </w:p>
    <w:p w14:paraId="3F89B3EA">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4.3.7 供应商不得以低于成本的报价参与磋商。当磋商小组认为，某供应商的报价或者部分分部分项报价存在明显不合理的低于成本的报价，有可能影响</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质量和不能诚信履约的，可要求该供应商在规定期限内，提供必要的书面文件予以解释和说明并附带相关证明材料；否则，磋商小组认定该供应商以低于成本价报价，其响应文件作无效响应文件处理。</w:t>
      </w:r>
    </w:p>
    <w:p w14:paraId="25E662A1">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4.4磋商有效期</w:t>
      </w:r>
    </w:p>
    <w:p w14:paraId="7B51F30D">
      <w:pPr>
        <w:pageBreakBefore w:val="0"/>
        <w:tabs>
          <w:tab w:val="left" w:pos="7665"/>
        </w:tabs>
        <w:kinsoku/>
        <w:wordWrap/>
        <w:overflowPunct/>
        <w:topLinePunct w:val="0"/>
        <w:bidi w:val="0"/>
        <w:spacing w:line="400" w:lineRule="exact"/>
        <w:ind w:left="13" w:leftChars="6"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4.4.1磋商有效期见供应商须知前附表。供应商响应的磋商有效期短于此规定期限的，属于非实质性响应，将按无效响应文件处理。</w:t>
      </w:r>
    </w:p>
    <w:p w14:paraId="3140E1CB">
      <w:pPr>
        <w:pageBreakBefore w:val="0"/>
        <w:tabs>
          <w:tab w:val="left" w:pos="7665"/>
        </w:tabs>
        <w:kinsoku/>
        <w:wordWrap/>
        <w:overflowPunct/>
        <w:topLinePunct w:val="0"/>
        <w:bidi w:val="0"/>
        <w:spacing w:line="400" w:lineRule="exact"/>
        <w:ind w:left="13" w:leftChars="6"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14:paraId="50C406A8">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4.4.3 在磋商有效期内，供应商撤销响应文件的，应承担磋商文件和法律规定的责任。</w:t>
      </w:r>
    </w:p>
    <w:p w14:paraId="5F849F97">
      <w:pPr>
        <w:pageBreakBefore w:val="0"/>
        <w:tabs>
          <w:tab w:val="left" w:pos="7665"/>
        </w:tabs>
        <w:kinsoku/>
        <w:wordWrap/>
        <w:overflowPunct/>
        <w:topLinePunct w:val="0"/>
        <w:bidi w:val="0"/>
        <w:spacing w:line="400" w:lineRule="exact"/>
        <w:ind w:left="13" w:leftChars="6"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4.4.4 成交供应商的磋商有效期自动延长至合同终止为止。</w:t>
      </w:r>
    </w:p>
    <w:p w14:paraId="351A7599">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4.5磋商保证金</w:t>
      </w:r>
    </w:p>
    <w:p w14:paraId="5C8066A2">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4.5.1 磋商保证金是为了保护采购人和采购代理机构免遭供应商的不良行为而蒙受损失。采购人和采购代理机构在因供应商的不良行为受到损害时，可根据本磋商文件的规定不予退还其磋商保证金。</w:t>
      </w:r>
    </w:p>
    <w:p w14:paraId="16B595AF">
      <w:pPr>
        <w:pageBreakBefore w:val="0"/>
        <w:kinsoku/>
        <w:wordWrap/>
        <w:overflowPunct/>
        <w:topLinePunct w:val="0"/>
        <w:bidi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4.5.2磋商保证金的提交</w:t>
      </w:r>
    </w:p>
    <w:p w14:paraId="5A5730CE">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4.5.2.1 开启响应文件现场不办理磋商保证金事宜。</w:t>
      </w:r>
    </w:p>
    <w:p w14:paraId="66E8B1B4">
      <w:pPr>
        <w:pageBreakBefore w:val="0"/>
        <w:kinsoku/>
        <w:wordWrap/>
        <w:overflowPunct/>
        <w:topLinePunct w:val="0"/>
        <w:bidi w:val="0"/>
        <w:spacing w:line="400" w:lineRule="exact"/>
        <w:ind w:firstLine="621" w:firstLineChars="296"/>
        <w:rPr>
          <w:rFonts w:hint="eastAsia" w:ascii="仿宋" w:hAnsi="仿宋" w:eastAsia="仿宋" w:cs="仿宋"/>
          <w:color w:val="auto"/>
          <w:szCs w:val="21"/>
          <w:highlight w:val="none"/>
        </w:rPr>
      </w:pPr>
      <w:r>
        <w:rPr>
          <w:rFonts w:hint="eastAsia" w:ascii="仿宋" w:hAnsi="仿宋" w:eastAsia="仿宋" w:cs="仿宋"/>
          <w:color w:val="auto"/>
          <w:szCs w:val="21"/>
          <w:highlight w:val="none"/>
        </w:rPr>
        <w:t>4.5.2.2 供应商应按供应商须知前附表规定的金额、形式和时间提交，作为其响应文件的一部分。联合体磋商的，</w:t>
      </w:r>
      <w:r>
        <w:rPr>
          <w:rFonts w:hint="eastAsia" w:ascii="仿宋" w:hAnsi="仿宋" w:eastAsia="仿宋" w:cs="仿宋"/>
          <w:color w:val="auto"/>
          <w:szCs w:val="21"/>
          <w:highlight w:val="none"/>
          <w:shd w:val="clear" w:color="auto" w:fill="FFFFFF"/>
        </w:rPr>
        <w:t>应当以联合体各方或者联合体中牵头人的名义提交磋商保证金。</w:t>
      </w:r>
      <w:r>
        <w:rPr>
          <w:rFonts w:hint="eastAsia" w:ascii="仿宋" w:hAnsi="仿宋" w:eastAsia="仿宋" w:cs="仿宋"/>
          <w:color w:val="auto"/>
          <w:szCs w:val="21"/>
          <w:highlight w:val="none"/>
        </w:rPr>
        <w:t>以联合体牵头单位提交磋商保证金的，对联合体各方均具有约束力。</w:t>
      </w:r>
    </w:p>
    <w:p w14:paraId="0A032C3C">
      <w:pPr>
        <w:pageBreakBefore w:val="0"/>
        <w:kinsoku/>
        <w:wordWrap/>
        <w:overflowPunct/>
        <w:topLinePunct w:val="0"/>
        <w:bidi w:val="0"/>
        <w:spacing w:line="400" w:lineRule="exact"/>
        <w:ind w:firstLine="621" w:firstLineChars="296"/>
        <w:rPr>
          <w:rFonts w:hint="eastAsia" w:ascii="仿宋" w:hAnsi="仿宋" w:eastAsia="仿宋" w:cs="仿宋"/>
          <w:color w:val="auto"/>
          <w:szCs w:val="21"/>
          <w:highlight w:val="none"/>
        </w:rPr>
      </w:pPr>
      <w:r>
        <w:rPr>
          <w:rFonts w:hint="eastAsia" w:ascii="仿宋" w:hAnsi="仿宋" w:eastAsia="仿宋" w:cs="仿宋"/>
          <w:color w:val="auto"/>
          <w:szCs w:val="21"/>
          <w:highlight w:val="none"/>
        </w:rPr>
        <w:t>4.5.2.3 磋商保证金可以银行转账或者金融机构、担保机构出具的保函等非现金形式提交：</w:t>
      </w:r>
    </w:p>
    <w:p w14:paraId="6218DA90">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（1）以银行转账提交保证金的，可以采取支票、电汇、网银、汇票、本票等方式，应从其基本账户转出。</w:t>
      </w:r>
    </w:p>
    <w:p w14:paraId="40F2665F">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（2）以信用担保函形式提交保证金的，应按磋商文件规定的格式提交，且是陕西省或西安市有关部门认定的具有开具磋商保函资格的单位开具的保函。供应商违约，开具保函单位承担连带责任。</w:t>
      </w:r>
    </w:p>
    <w:p w14:paraId="7980A366">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（3）以汇票形式提交保证金的，应提前将汇票送至财务部门，汇票签发到期日至少为送至财务部门的当日，以便财务部门到银行办理兑现手续。</w:t>
      </w:r>
    </w:p>
    <w:p w14:paraId="244B9005">
      <w:pPr>
        <w:pageBreakBefore w:val="0"/>
        <w:widowControl/>
        <w:kinsoku/>
        <w:wordWrap/>
        <w:overflowPunct/>
        <w:topLinePunct w:val="0"/>
        <w:bidi w:val="0"/>
        <w:spacing w:line="400" w:lineRule="exact"/>
        <w:ind w:firstLine="630" w:firstLineChars="300"/>
        <w:rPr>
          <w:rFonts w:hint="eastAsia" w:ascii="仿宋" w:hAnsi="仿宋" w:eastAsia="仿宋" w:cs="仿宋"/>
          <w:color w:val="auto"/>
          <w:szCs w:val="21"/>
          <w:highlight w:val="none"/>
        </w:rPr>
      </w:pPr>
      <w:bookmarkStart w:id="87" w:name="_Toc183582225"/>
      <w:bookmarkStart w:id="88" w:name="_Toc217446052"/>
      <w:bookmarkStart w:id="89" w:name="_Toc183682362"/>
      <w:r>
        <w:rPr>
          <w:rFonts w:hint="eastAsia" w:ascii="仿宋" w:hAnsi="仿宋" w:eastAsia="仿宋" w:cs="仿宋"/>
          <w:color w:val="auto"/>
          <w:szCs w:val="21"/>
          <w:highlight w:val="none"/>
        </w:rPr>
        <w:t>4.5.2.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 xml:space="preserve"> 供应商未提供相关证明或经查实其提交账户为非基本存款账户的，采购代理机构将按该供应商未提交磋商保证金处理。</w:t>
      </w:r>
    </w:p>
    <w:p w14:paraId="5035222C">
      <w:pPr>
        <w:pageBreakBefore w:val="0"/>
        <w:kinsoku/>
        <w:wordWrap/>
        <w:overflowPunct/>
        <w:topLinePunct w:val="0"/>
        <w:bidi w:val="0"/>
        <w:spacing w:line="400" w:lineRule="exact"/>
        <w:ind w:firstLine="621" w:firstLineChars="296"/>
        <w:rPr>
          <w:rFonts w:hint="eastAsia" w:ascii="仿宋" w:hAnsi="仿宋" w:eastAsia="仿宋" w:cs="仿宋"/>
          <w:color w:val="auto"/>
          <w:szCs w:val="21"/>
          <w:highlight w:val="none"/>
        </w:rPr>
      </w:pPr>
      <w:r>
        <w:rPr>
          <w:rFonts w:hint="eastAsia" w:ascii="仿宋" w:hAnsi="仿宋" w:eastAsia="仿宋" w:cs="仿宋"/>
          <w:color w:val="auto"/>
          <w:szCs w:val="21"/>
          <w:highlight w:val="none"/>
        </w:rPr>
        <w:t>4.5.2.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供应商未按磋商文件要求，在规定的时间前（以银行实际到账时间为准）提交磋商保证金的响应文件将被拒绝。</w:t>
      </w:r>
    </w:p>
    <w:p w14:paraId="002BF8D7">
      <w:pPr>
        <w:pageBreakBefore w:val="0"/>
        <w:kinsoku/>
        <w:wordWrap/>
        <w:overflowPunct/>
        <w:topLinePunct w:val="0"/>
        <w:bidi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4.5.3 磋商保证金的退还</w:t>
      </w:r>
    </w:p>
    <w:p w14:paraId="4C529707">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4.5.3.1未成交供应商的磋商保证金，将在成交通知书发出之日起5个工作日内全额退还；成交供应商的磋商保证金，在采购人与成交供应商签订合同之日起5个工作日内全额退还。</w:t>
      </w:r>
    </w:p>
    <w:p w14:paraId="1E3F7672">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w:t>
      </w:r>
      <w:r>
        <w:rPr>
          <w:rFonts w:hint="eastAsia" w:ascii="仿宋" w:hAnsi="仿宋" w:eastAsia="仿宋" w:cs="仿宋"/>
          <w:color w:val="auto"/>
          <w:szCs w:val="21"/>
          <w:highlight w:val="none"/>
        </w:rPr>
        <w:t>磋商保证金退还时间：星期一至星期五，9:00-16:00</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磋商保证金退还方式：银行转账</w:t>
      </w:r>
    </w:p>
    <w:p w14:paraId="618513D6">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4.5.3.2有下列情形之一的，磋商保证金将不予退还：</w:t>
      </w:r>
    </w:p>
    <w:p w14:paraId="5DEC10AA">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（1）供应商在磋商有效期内撤销响应文件的；</w:t>
      </w:r>
    </w:p>
    <w:p w14:paraId="528301A4">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（2）供应商在响应文件中提供虚假材料的；</w:t>
      </w:r>
    </w:p>
    <w:p w14:paraId="0BDD0D32">
      <w:pPr>
        <w:pageBreakBefore w:val="0"/>
        <w:kinsoku/>
        <w:wordWrap/>
        <w:overflowPunct/>
        <w:topLinePunct w:val="0"/>
        <w:bidi w:val="0"/>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（3）成交供应商，无正当理由未能按磋商文件规定时间内领取《成交通知书》的；</w:t>
      </w:r>
    </w:p>
    <w:p w14:paraId="4901D7B0">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（4）除因不可抗力或磋商文件认可的情形以外，成交供应商不与采购人订立合同的；</w:t>
      </w:r>
    </w:p>
    <w:p w14:paraId="463C4113">
      <w:pPr>
        <w:pageBreakBefore w:val="0"/>
        <w:kinsoku/>
        <w:wordWrap/>
        <w:overflowPunct/>
        <w:topLinePunct w:val="0"/>
        <w:bidi w:val="0"/>
        <w:spacing w:line="400" w:lineRule="exact"/>
        <w:ind w:firstLine="516" w:firstLineChars="246"/>
        <w:rPr>
          <w:rFonts w:hint="eastAsia" w:ascii="仿宋" w:hAnsi="仿宋" w:eastAsia="仿宋" w:cs="仿宋"/>
          <w:color w:val="auto"/>
          <w:szCs w:val="21"/>
          <w:highlight w:val="none"/>
        </w:rPr>
      </w:pPr>
      <w:r>
        <w:rPr>
          <w:rFonts w:hint="eastAsia" w:ascii="仿宋" w:hAnsi="仿宋" w:eastAsia="仿宋" w:cs="仿宋"/>
          <w:color w:val="auto"/>
          <w:szCs w:val="21"/>
          <w:highlight w:val="none"/>
        </w:rPr>
        <w:t>（5）成交供应商在签订合同时向采购人提出附加条件的；</w:t>
      </w:r>
    </w:p>
    <w:p w14:paraId="1EE5CC67">
      <w:pPr>
        <w:pageBreakBefore w:val="0"/>
        <w:kinsoku/>
        <w:wordWrap/>
        <w:overflowPunct/>
        <w:topLinePunct w:val="0"/>
        <w:bidi w:val="0"/>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（6）成交供应商未向采购代理机构支付采购代理服务费的；</w:t>
      </w:r>
    </w:p>
    <w:p w14:paraId="085D2326">
      <w:pPr>
        <w:pageBreakBefore w:val="0"/>
        <w:kinsoku/>
        <w:wordWrap/>
        <w:overflowPunct/>
        <w:topLinePunct w:val="0"/>
        <w:bidi w:val="0"/>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（7）成交供应商未按磋商文件规定向采购人提交履约保证金的；</w:t>
      </w:r>
    </w:p>
    <w:p w14:paraId="4C7D18A8">
      <w:pPr>
        <w:pageBreakBefore w:val="0"/>
        <w:kinsoku/>
        <w:wordWrap/>
        <w:overflowPunct/>
        <w:topLinePunct w:val="0"/>
        <w:bidi w:val="0"/>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（8）供应商与采购人、其他供应商或者采购代理机构恶意串通的；</w:t>
      </w:r>
    </w:p>
    <w:p w14:paraId="69BB8B06">
      <w:pPr>
        <w:pageBreakBefore w:val="0"/>
        <w:kinsoku/>
        <w:wordWrap/>
        <w:overflowPunct/>
        <w:topLinePunct w:val="0"/>
        <w:bidi w:val="0"/>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（9）法律法规规定的其他情况。</w:t>
      </w:r>
    </w:p>
    <w:bookmarkEnd w:id="87"/>
    <w:bookmarkEnd w:id="88"/>
    <w:bookmarkEnd w:id="89"/>
    <w:p w14:paraId="3ED92884">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bCs/>
          <w:color w:val="auto"/>
          <w:sz w:val="30"/>
          <w:szCs w:val="30"/>
          <w:highlight w:val="none"/>
        </w:rPr>
      </w:pPr>
      <w:bookmarkStart w:id="90" w:name="_Toc77400781"/>
      <w:bookmarkStart w:id="91" w:name="_Toc183582226"/>
      <w:bookmarkStart w:id="92" w:name="_Toc183682363"/>
      <w:bookmarkStart w:id="93" w:name="_Toc482201960"/>
      <w:bookmarkStart w:id="94" w:name="_Toc89075877"/>
      <w:bookmarkStart w:id="95" w:name="_Toc217446053"/>
      <w:r>
        <w:rPr>
          <w:rFonts w:hint="eastAsia" w:ascii="仿宋" w:hAnsi="仿宋" w:eastAsia="仿宋" w:cs="仿宋"/>
          <w:b/>
          <w:bCs/>
          <w:color w:val="auto"/>
          <w:sz w:val="30"/>
          <w:szCs w:val="30"/>
          <w:highlight w:val="none"/>
        </w:rPr>
        <w:t>4.6响应文件的制作和签署</w:t>
      </w:r>
    </w:p>
    <w:p w14:paraId="1540867F">
      <w:pPr>
        <w:pageBreakBefore w:val="0"/>
        <w:tabs>
          <w:tab w:val="left" w:pos="7665"/>
        </w:tabs>
        <w:kinsoku/>
        <w:wordWrap/>
        <w:overflowPunct/>
        <w:topLinePunct w:val="0"/>
        <w:bidi w:val="0"/>
        <w:spacing w:line="400" w:lineRule="exact"/>
        <w:ind w:left="13" w:leftChars="6"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4.6.1 响应文件应根据磋商文件的要求制作。供应商应填写全称，同时加盖单位章，签署、盖章和内容应完整，如有遗漏，将被视为无效响应文件。</w:t>
      </w:r>
    </w:p>
    <w:p w14:paraId="1E32F981">
      <w:pPr>
        <w:pageBreakBefore w:val="0"/>
        <w:tabs>
          <w:tab w:val="left" w:pos="7665"/>
        </w:tabs>
        <w:kinsoku/>
        <w:wordWrap/>
        <w:overflowPunct/>
        <w:topLinePunct w:val="0"/>
        <w:bidi w:val="0"/>
        <w:spacing w:line="400" w:lineRule="exact"/>
        <w:ind w:left="13" w:leftChars="6"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4.6.2 响应文件格式。供应商应严格按照第六章提供的“响应文件格式”编写相关内容。除明确允许供应商可以自行编写外，供应商不得以“响应文件格式”规定之外的方式填写相关内容。否则，供应商提供的响应文件将作为无效响应文件处理。</w:t>
      </w:r>
    </w:p>
    <w:p w14:paraId="35F53559">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4.6.3 对于没有格式要求的响应文件由供应商自行编写。</w:t>
      </w:r>
    </w:p>
    <w:p w14:paraId="0B770ABD">
      <w:pPr>
        <w:pageBreakBefore w:val="0"/>
        <w:tabs>
          <w:tab w:val="left" w:pos="1080"/>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4.6.4 供应商应按“供应商须知前附表”规定的份数准备响应文件正本、副本和相应的电子文件。正本和副本封面右上角应清楚地标明“正本”或“副本”字样。当副本和正本有不一致的内容，以正本书面响应文件为准。</w:t>
      </w:r>
    </w:p>
    <w:p w14:paraId="20F11791">
      <w:pPr>
        <w:pageBreakBefore w:val="0"/>
        <w:kinsoku/>
        <w:wordWrap/>
        <w:overflowPunct/>
        <w:topLinePunct w:val="0"/>
        <w:bidi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4.6.5 响应文件的正本和副本均需打印或用不褪色、不变质的墨水书写，并由供应商的法定代表人或其</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在规定签章处签字和盖章。响应文件副本可采用正本的复印件。</w:t>
      </w:r>
    </w:p>
    <w:p w14:paraId="68C73951">
      <w:pPr>
        <w:pageBreakBefore w:val="0"/>
        <w:tabs>
          <w:tab w:val="left" w:pos="1095"/>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4.6.6 响应文件的打印或书写应清楚工整，尽量避免行间插字、涂改或增删。如出现上述情况，改动之处应由供应商的法定代表人或其</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签字或盖单位章。字迹潦草、表达不清或可能导致非唯一理解的响应文件可能视为无效响应文件。</w:t>
      </w:r>
    </w:p>
    <w:p w14:paraId="70B7EF4D">
      <w:pPr>
        <w:pageBreakBefore w:val="0"/>
        <w:tabs>
          <w:tab w:val="left" w:pos="1080"/>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4.6.7 响应文件的正本和副本</w:t>
      </w:r>
      <w:r>
        <w:rPr>
          <w:rFonts w:hint="eastAsia" w:ascii="仿宋" w:hAnsi="仿宋" w:eastAsia="仿宋" w:cs="仿宋"/>
          <w:color w:val="auto"/>
          <w:szCs w:val="21"/>
          <w:highlight w:val="none"/>
          <w:lang w:val="zh-CN"/>
        </w:rPr>
        <w:t>一律采用A4纸幅面，并</w:t>
      </w:r>
      <w:r>
        <w:rPr>
          <w:rFonts w:hint="eastAsia" w:ascii="仿宋" w:hAnsi="仿宋" w:eastAsia="仿宋" w:cs="仿宋"/>
          <w:color w:val="auto"/>
          <w:szCs w:val="21"/>
          <w:highlight w:val="none"/>
        </w:rPr>
        <w:t>分别装订和编制目录。响应文件需分册装订的，具体分册装订要求见</w:t>
      </w:r>
      <w:r>
        <w:rPr>
          <w:rFonts w:hint="eastAsia" w:ascii="仿宋" w:hAnsi="仿宋" w:eastAsia="仿宋" w:cs="仿宋"/>
          <w:color w:val="auto"/>
          <w:szCs w:val="21"/>
          <w:highlight w:val="none"/>
          <w:lang w:val="zh-CN"/>
        </w:rPr>
        <w:t>供应商须知前附表的规定。响应文件</w:t>
      </w:r>
      <w:r>
        <w:rPr>
          <w:rFonts w:hint="eastAsia" w:ascii="仿宋" w:hAnsi="仿宋" w:eastAsia="仿宋" w:cs="仿宋"/>
          <w:color w:val="auto"/>
          <w:szCs w:val="21"/>
          <w:highlight w:val="none"/>
        </w:rPr>
        <w:t>胶装后，页面不可抽取，不得有活动页，无破损、不可拆分。</w:t>
      </w:r>
    </w:p>
    <w:p w14:paraId="118468E1">
      <w:pPr>
        <w:pageBreakBefore w:val="0"/>
        <w:kinsoku/>
        <w:wordWrap/>
        <w:overflowPunct/>
        <w:topLinePunct w:val="0"/>
        <w:bidi w:val="0"/>
        <w:spacing w:line="400" w:lineRule="exact"/>
        <w:ind w:firstLine="420" w:firstLineChars="200"/>
        <w:jc w:val="lef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4.6.8 电子文件制作要求。电子文件与纸质正本响应文件的内容应保持一致，具有同等法律效力。电子文件采用PDF格式。</w:t>
      </w:r>
    </w:p>
    <w:bookmarkEnd w:id="90"/>
    <w:bookmarkEnd w:id="91"/>
    <w:bookmarkEnd w:id="92"/>
    <w:bookmarkEnd w:id="93"/>
    <w:bookmarkEnd w:id="94"/>
    <w:bookmarkEnd w:id="95"/>
    <w:p w14:paraId="7CED9566">
      <w:pPr>
        <w:pageBreakBefore w:val="0"/>
        <w:tabs>
          <w:tab w:val="left" w:pos="1080"/>
        </w:tabs>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bookmarkStart w:id="96" w:name="_Toc13183"/>
      <w:bookmarkStart w:id="97" w:name="_Toc17787"/>
      <w:bookmarkStart w:id="98" w:name="_Toc4052"/>
      <w:bookmarkStart w:id="99" w:name="_Toc1407_WPSOffice_Level2"/>
      <w:bookmarkStart w:id="100" w:name="_Toc911"/>
      <w:bookmarkStart w:id="101" w:name="_Toc12913"/>
      <w:bookmarkStart w:id="102" w:name="_Toc21851"/>
      <w:r>
        <w:rPr>
          <w:rFonts w:hint="eastAsia" w:ascii="仿宋" w:hAnsi="仿宋" w:eastAsia="仿宋" w:cs="仿宋"/>
          <w:color w:val="auto"/>
          <w:sz w:val="36"/>
          <w:szCs w:val="36"/>
          <w:highlight w:val="none"/>
        </w:rPr>
        <w:t>5.响应文件的提交</w:t>
      </w:r>
      <w:bookmarkEnd w:id="96"/>
      <w:bookmarkEnd w:id="97"/>
      <w:bookmarkEnd w:id="98"/>
      <w:bookmarkEnd w:id="99"/>
      <w:bookmarkEnd w:id="100"/>
      <w:bookmarkEnd w:id="101"/>
      <w:bookmarkEnd w:id="102"/>
    </w:p>
    <w:p w14:paraId="436D8864">
      <w:pPr>
        <w:pageBreakBefore w:val="0"/>
        <w:tabs>
          <w:tab w:val="left" w:pos="1080"/>
        </w:tabs>
        <w:kinsoku/>
        <w:wordWrap/>
        <w:overflowPunct/>
        <w:topLinePunct w:val="0"/>
        <w:bidi w:val="0"/>
        <w:spacing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5.1响应文件内容要求</w:t>
      </w:r>
    </w:p>
    <w:p w14:paraId="542150DC">
      <w:pPr>
        <w:pageBreakBefore w:val="0"/>
        <w:tabs>
          <w:tab w:val="left" w:pos="1080"/>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仔细阅读磋商文件中的所有事项、格式、条款和要求，对磋商文件的全部内容及要求作出实质性响应，提交相应资料。若分包，应以包为单位提交，不得在其中选项提交或将其中内容再行分解；否则，响应文件将视为无效响应文件。</w:t>
      </w:r>
    </w:p>
    <w:p w14:paraId="522C8717">
      <w:pPr>
        <w:pageBreakBefore w:val="0"/>
        <w:tabs>
          <w:tab w:val="left" w:pos="1080"/>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5.2响应文件的密封和标记</w:t>
      </w:r>
    </w:p>
    <w:p w14:paraId="30C25898">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5.2.1 </w:t>
      </w:r>
      <w:r>
        <w:rPr>
          <w:rFonts w:hint="eastAsia" w:ascii="仿宋" w:hAnsi="仿宋" w:eastAsia="仿宋" w:cs="仿宋"/>
          <w:color w:val="auto"/>
          <w:kern w:val="0"/>
          <w:szCs w:val="21"/>
          <w:highlight w:val="none"/>
        </w:rPr>
        <w:t>开启响应文件前，供应商应将响应文件所有正本、副本、电子文件全部密封。</w:t>
      </w:r>
    </w:p>
    <w:p w14:paraId="56E1AB05">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5.2.2 </w:t>
      </w:r>
      <w:r>
        <w:rPr>
          <w:rFonts w:hint="eastAsia" w:ascii="仿宋" w:hAnsi="仿宋" w:eastAsia="仿宋" w:cs="仿宋"/>
          <w:color w:val="auto"/>
          <w:szCs w:val="21"/>
          <w:highlight w:val="none"/>
        </w:rPr>
        <w:t>响应文件装订、密封、装袋要求见供应商须知前附表，密封以不泄露供应商商业机密、资格内容、技术及商务内容为标准。</w:t>
      </w:r>
    </w:p>
    <w:p w14:paraId="64D7D557">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5.2.3 响应文件封套上应写明的内容见供应商须知前附表。</w:t>
      </w:r>
    </w:p>
    <w:p w14:paraId="432F2012">
      <w:pPr>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5.2.4 未按要求密封的响应文件，采购代理机构将予以拒收。</w:t>
      </w:r>
    </w:p>
    <w:p w14:paraId="234DFEC5">
      <w:pPr>
        <w:pageBreakBefore w:val="0"/>
        <w:tabs>
          <w:tab w:val="left" w:pos="1080"/>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5.3响应文件的提交</w:t>
      </w:r>
    </w:p>
    <w:p w14:paraId="0C1E5D5D">
      <w:pPr>
        <w:pageBreakBefore w:val="0"/>
        <w:tabs>
          <w:tab w:val="left" w:pos="1095"/>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5.3.1 供应商应在供应商须知前附表规定的提交响应文件截止时间前提交响应文件。</w:t>
      </w:r>
    </w:p>
    <w:p w14:paraId="51F3F029">
      <w:pPr>
        <w:pageBreakBefore w:val="0"/>
        <w:tabs>
          <w:tab w:val="left" w:pos="1095"/>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 供应商提交响应文件地点：见供应商须知前附表。</w:t>
      </w:r>
    </w:p>
    <w:p w14:paraId="4FEFCFA7">
      <w:pPr>
        <w:pageBreakBefore w:val="0"/>
        <w:tabs>
          <w:tab w:val="left" w:pos="1095"/>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5.3.3 除供应商须知前附表另有规定外，供应商提交的响应文件不予退还。</w:t>
      </w:r>
    </w:p>
    <w:p w14:paraId="23656FB3">
      <w:pPr>
        <w:pStyle w:val="5"/>
        <w:pageBreakBefore w:val="0"/>
        <w:kinsoku/>
        <w:wordWrap/>
        <w:overflowPunct/>
        <w:topLinePunct w:val="0"/>
        <w:bidi w:val="0"/>
        <w:spacing w:line="400" w:lineRule="exact"/>
        <w:ind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5.3.4采购代理机构收到响应文件后，应当如实记载响应文件的送达时间、份数、密封情况和提交人等信息。</w:t>
      </w:r>
    </w:p>
    <w:p w14:paraId="412853F5">
      <w:pPr>
        <w:pageBreakBefore w:val="0"/>
        <w:tabs>
          <w:tab w:val="left" w:pos="851"/>
          <w:tab w:val="left" w:pos="1095"/>
        </w:tabs>
        <w:kinsoku/>
        <w:wordWrap/>
        <w:overflowPunct/>
        <w:topLinePunct w:val="0"/>
        <w:bidi w:val="0"/>
        <w:spacing w:line="400" w:lineRule="exact"/>
        <w:ind w:firstLine="403"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5.3.5 逾期送达的响应文件，采购代理机构将予以拒收。</w:t>
      </w:r>
    </w:p>
    <w:p w14:paraId="7676EB03">
      <w:pPr>
        <w:pStyle w:val="5"/>
        <w:pageBreakBefore w:val="0"/>
        <w:kinsoku/>
        <w:wordWrap/>
        <w:overflowPunct/>
        <w:topLinePunct w:val="0"/>
        <w:bidi w:val="0"/>
        <w:spacing w:line="400" w:lineRule="exact"/>
        <w:ind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5.3.6 本次磋商不接受邮寄的响应文件。</w:t>
      </w:r>
    </w:p>
    <w:p w14:paraId="0151777C">
      <w:pPr>
        <w:pageBreakBefore w:val="0"/>
        <w:tabs>
          <w:tab w:val="left" w:pos="1080"/>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5.4响应文件的修改和撤回</w:t>
      </w:r>
    </w:p>
    <w:p w14:paraId="24BE49EB">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5.4.1 在本章第5.3.1项规定的提交响应文件截止时间前，供应商可以补充、修改或者撤回已提交的响应文件，但应以书面形式通知采购代理机构。</w:t>
      </w:r>
    </w:p>
    <w:p w14:paraId="0AE38CFB">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5.4.2 供应商的补充、修改或者撤回通知书，应由其法定代表人或</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签署并盖单位章。补充、修改或者撤回通知书应按本章第5.2.2项规定进行密封，并在密封袋上标注“响应文件补充、修改”或“响应文件撤回通知”字样，“补充、修改文件”作为响应文件的组成部分。补充、修改内容与响应文件不一致的，以补充、修改的内容为准。</w:t>
      </w:r>
    </w:p>
    <w:p w14:paraId="7FCCAAF1">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5.4.3 供应商撤回响应文件的，采购代理机构自收到供应商书面撤回通知之日起5个工作日内退还已收取的磋商保证金。</w:t>
      </w:r>
    </w:p>
    <w:p w14:paraId="0182BC46">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5.4.4 在提交响应文件截止时间之后，供应商不得对其提交的响应文件做任何补充、修改或者撤销响应文件。</w:t>
      </w:r>
    </w:p>
    <w:p w14:paraId="4C83DFAB">
      <w:pPr>
        <w:pStyle w:val="5"/>
        <w:pageBreakBefore w:val="0"/>
        <w:kinsoku/>
        <w:wordWrap/>
        <w:overflowPunct/>
        <w:topLinePunct w:val="0"/>
        <w:bidi w:val="0"/>
        <w:spacing w:before="120" w:beforeLines="50" w:after="120" w:afterLines="50" w:line="400" w:lineRule="exact"/>
        <w:ind w:firstLine="0"/>
        <w:outlineLvl w:val="1"/>
        <w:rPr>
          <w:rFonts w:hint="eastAsia" w:ascii="仿宋" w:hAnsi="仿宋" w:eastAsia="仿宋" w:cs="仿宋"/>
          <w:bCs/>
          <w:color w:val="auto"/>
          <w:sz w:val="36"/>
          <w:szCs w:val="36"/>
          <w:highlight w:val="none"/>
        </w:rPr>
      </w:pPr>
      <w:bookmarkStart w:id="103" w:name="_Toc12136"/>
      <w:bookmarkStart w:id="104" w:name="_Toc23249_WPSOffice_Level2"/>
      <w:bookmarkStart w:id="105" w:name="_Toc17756"/>
      <w:bookmarkStart w:id="106" w:name="_Toc24646"/>
      <w:bookmarkStart w:id="107" w:name="_Toc32263"/>
      <w:bookmarkStart w:id="108" w:name="_Toc10891"/>
      <w:bookmarkStart w:id="109" w:name="_Toc14476"/>
      <w:r>
        <w:rPr>
          <w:rFonts w:hint="eastAsia" w:ascii="仿宋" w:hAnsi="仿宋" w:eastAsia="仿宋" w:cs="仿宋"/>
          <w:bCs/>
          <w:color w:val="auto"/>
          <w:sz w:val="36"/>
          <w:szCs w:val="36"/>
          <w:highlight w:val="none"/>
        </w:rPr>
        <w:t>6.开启响应文件</w:t>
      </w:r>
      <w:bookmarkEnd w:id="103"/>
      <w:bookmarkEnd w:id="104"/>
      <w:bookmarkEnd w:id="105"/>
      <w:bookmarkEnd w:id="106"/>
      <w:bookmarkEnd w:id="107"/>
      <w:bookmarkEnd w:id="108"/>
      <w:bookmarkEnd w:id="109"/>
    </w:p>
    <w:p w14:paraId="29FBEDFC">
      <w:pPr>
        <w:pageBreakBefore w:val="0"/>
        <w:kinsoku/>
        <w:wordWrap/>
        <w:overflowPunct/>
        <w:topLinePunct w:val="0"/>
        <w:bidi w:val="0"/>
        <w:spacing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6.1开启响应文件的时间和地点</w:t>
      </w:r>
    </w:p>
    <w:p w14:paraId="6304596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 采购代理机构在供应商须知前附表中规定的开启响应文件时间和地点开启响应文件，并邀请采购人、所有获取磋商文件的供应商派代表准时参加并签到以证明其出席。</w:t>
      </w:r>
    </w:p>
    <w:p w14:paraId="319CF53B">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6.1.2 采购代理机构将邀请有关监督管理机构对开启响应文件现场进行监督。</w:t>
      </w:r>
    </w:p>
    <w:p w14:paraId="37666B0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6.1.3 提交响应文件的供应商不足3家的，不得开启响应文件。</w:t>
      </w:r>
    </w:p>
    <w:p w14:paraId="26C86F4E">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6.2开启响应文件程序</w:t>
      </w:r>
    </w:p>
    <w:p w14:paraId="058ECB14">
      <w:pPr>
        <w:pStyle w:val="35"/>
        <w:pageBreakBefore w:val="0"/>
        <w:kinsoku/>
        <w:wordWrap/>
        <w:overflowPunct/>
        <w:topLinePunct w:val="0"/>
        <w:bidi w:val="0"/>
        <w:spacing w:line="400" w:lineRule="exact"/>
        <w:ind w:firstLine="420"/>
        <w:rPr>
          <w:rFonts w:hint="eastAsia" w:ascii="仿宋" w:hAnsi="仿宋" w:eastAsia="仿宋" w:cs="仿宋"/>
          <w:color w:val="auto"/>
          <w:sz w:val="21"/>
          <w:szCs w:val="21"/>
          <w:highlight w:val="none"/>
        </w:rPr>
      </w:pPr>
      <w:bookmarkStart w:id="110" w:name="_Toc11229"/>
      <w:bookmarkStart w:id="111" w:name="_Toc31891_WPSOffice_Level2"/>
      <w:bookmarkStart w:id="112" w:name="_Toc13909"/>
      <w:bookmarkStart w:id="113" w:name="_Toc29076"/>
      <w:bookmarkStart w:id="114" w:name="_Toc24033"/>
      <w:bookmarkStart w:id="115" w:name="_Toc16495"/>
      <w:bookmarkStart w:id="116" w:name="_Toc4607"/>
      <w:bookmarkStart w:id="117" w:name="_Toc217446064"/>
      <w:bookmarkStart w:id="118" w:name="_Toc482201962"/>
      <w:bookmarkStart w:id="119" w:name="_Toc183582240"/>
      <w:bookmarkStart w:id="120" w:name="_Toc183682377"/>
      <w:r>
        <w:rPr>
          <w:rFonts w:hint="eastAsia" w:ascii="仿宋" w:hAnsi="仿宋" w:eastAsia="仿宋" w:cs="仿宋"/>
          <w:color w:val="auto"/>
          <w:sz w:val="21"/>
          <w:szCs w:val="21"/>
          <w:highlight w:val="none"/>
        </w:rPr>
        <w:t>6.2.1 根据财政部《政府采购竞争性磋商采购方式管理暂行办法》（财库[2014]214号）第四条和《关于政府采购有关问题的通知》（陕财办采资[2016]53号）文件第六条规定，开启响应文件和每轮磋商结束时均不公开报价。</w:t>
      </w:r>
    </w:p>
    <w:p w14:paraId="21DBE309">
      <w:pPr>
        <w:pStyle w:val="35"/>
        <w:pageBreakBefore w:val="0"/>
        <w:kinsoku/>
        <w:wordWrap/>
        <w:overflowPunct/>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6.2.2开启响应文件由采购代理机构主持。主持人按照磋商文件规定的开启响应文件时间宣布开启响应文件开始，并按下列程序进行（但不限于）：</w:t>
      </w:r>
    </w:p>
    <w:p w14:paraId="2EAE6E2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（1）宣布开启响应文件开始和开启录音录像设备并致辞；</w:t>
      </w:r>
    </w:p>
    <w:p w14:paraId="0003FD82">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（2）宣布开启响应文件纪律和有关注意事项；</w:t>
      </w:r>
    </w:p>
    <w:p w14:paraId="41B96C8C">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（3）公布在提交响应文件截止时间前提交响应文件的供应商名称（根据供应商签到表）；</w:t>
      </w:r>
    </w:p>
    <w:p w14:paraId="2831B37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（4）宣布参加开启响应文件的现场监督人员和主持人、</w:t>
      </w:r>
      <w:r>
        <w:rPr>
          <w:rFonts w:hint="eastAsia" w:ascii="仿宋" w:hAnsi="仿宋" w:eastAsia="仿宋" w:cs="仿宋"/>
          <w:color w:val="auto"/>
          <w:szCs w:val="21"/>
          <w:highlight w:val="none"/>
          <w:lang w:val="en-US" w:eastAsia="zh-CN"/>
        </w:rPr>
        <w:t>开标人</w:t>
      </w:r>
      <w:r>
        <w:rPr>
          <w:rFonts w:hint="eastAsia" w:ascii="仿宋" w:hAnsi="仿宋" w:eastAsia="仿宋" w:cs="仿宋"/>
          <w:color w:val="auto"/>
          <w:szCs w:val="21"/>
          <w:highlight w:val="none"/>
        </w:rPr>
        <w:t>等有关工作人员姓名；</w:t>
      </w:r>
    </w:p>
    <w:p w14:paraId="4AE1AE3A">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（5）检查并宣布响应文件的密封情况； </w:t>
      </w:r>
    </w:p>
    <w:p w14:paraId="05C8BB3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（6）启封响应文件；</w:t>
      </w:r>
    </w:p>
    <w:p w14:paraId="08B4772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（7）启封响应文件结束，供应商退场；</w:t>
      </w:r>
    </w:p>
    <w:p w14:paraId="6A3B14F7">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）开启响应文件结束。</w:t>
      </w:r>
    </w:p>
    <w:p w14:paraId="791E140F">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6.2.3 所有提交了响应文件的供应商在退场后，不要远离会场并保持通讯设备的畅通，以方便后续磋商和在评审过程中磋商小组要求供应商对响应文件的必要澄清。</w:t>
      </w:r>
    </w:p>
    <w:p w14:paraId="38B653C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6.2.4 检查响应文件密封情况是指，由供应商或者其推选的代表检查其自己提交的响应文件的密封情况，经检查无误后，签字确认。</w:t>
      </w:r>
    </w:p>
    <w:p w14:paraId="3B0EEF4B">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6.2.5 供应商或者其推选的代表确认响应文件情况，仅限于确认其自己提交的响应文件的密封情况，不代表对其他供应商的响应文件的密封情况确认。供应商或者其推选的代表检对其他供应商的响应文件密封情况有异议的，可以当场反映开启响应文件主持人或者现场监督人员，要求开启响应文件现场记录人员予以记录，但不得干扰、阻挠开启响应文件工作的正常进行。</w:t>
      </w:r>
    </w:p>
    <w:p w14:paraId="5069D70A">
      <w:pPr>
        <w:pageBreakBefore w:val="0"/>
        <w:kinsoku/>
        <w:wordWrap/>
        <w:overflowPunct/>
        <w:topLinePunct w:val="0"/>
        <w:bidi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6.2.6 供应商认为采购人、采购代理机构相关工作人员有需要回避情形的，应当场提出询问或者回避申请。采购人、采购代理机构对供应商提出的询问或者回避申请应当及时处理，并制作记录。</w:t>
      </w:r>
    </w:p>
    <w:p w14:paraId="395226BE">
      <w:pPr>
        <w:pStyle w:val="5"/>
        <w:pageBreakBefore w:val="0"/>
        <w:kinsoku/>
        <w:wordWrap/>
        <w:overflowPunct/>
        <w:topLinePunct w:val="0"/>
        <w:bidi w:val="0"/>
        <w:spacing w:before="120" w:beforeLines="50" w:after="120" w:afterLines="50" w:line="400" w:lineRule="exact"/>
        <w:ind w:firstLine="0"/>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7.磋商</w:t>
      </w:r>
      <w:bookmarkEnd w:id="110"/>
      <w:bookmarkEnd w:id="111"/>
      <w:bookmarkEnd w:id="112"/>
      <w:bookmarkEnd w:id="113"/>
      <w:bookmarkEnd w:id="114"/>
      <w:bookmarkEnd w:id="115"/>
      <w:bookmarkEnd w:id="116"/>
    </w:p>
    <w:p w14:paraId="18552369">
      <w:pPr>
        <w:pageBreakBefore w:val="0"/>
        <w:kinsoku/>
        <w:wordWrap/>
        <w:overflowPunct/>
        <w:topLinePunct w:val="0"/>
        <w:bidi w:val="0"/>
        <w:spacing w:before="120" w:beforeLines="50" w:after="120" w:afterLines="50" w:line="400" w:lineRule="exact"/>
        <w:ind w:left="120" w:leftChars="50" w:hanging="15" w:hangingChars="5"/>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7.1磋商小组</w:t>
      </w:r>
    </w:p>
    <w:p w14:paraId="19EE958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7.1.1 磋商由采购代理机构依法组建的磋商小组负责。磋商小组由采购人代表和评审专家组成，成员由3人以上单数组成，或者达到公开招标限额标准的项目由5人以上单数组成，或者采购预算金额在1000万元以上、技术复杂的项目或者社会影响较大的项目由7人以上单数组成，其中评审专家不得少于成员总数的三分之二。采购人代表不得以评审专家身份参加本单位或者本部门采购项目的评审。</w:t>
      </w:r>
    </w:p>
    <w:p w14:paraId="366CCEC6">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评审专家应当从省级财政部门设立的政府采购评审专家库内相关专业的专家名单中随机抽取。对技术复杂、专业性强的采购项目，通过随机方式难以确定合适评审专家的，经主管预算单位同意，采购人或采购代理机构可以自行选定相应专业领域的评审专家。技术复杂、专业性强的采购项目，评审专家中应当包括1名法律专家。</w:t>
      </w:r>
    </w:p>
    <w:p w14:paraId="2AB1FC87">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7.1.3 磋商小组成员到位后，推荐一名评审专家担任磋商小组组长，并由磋商小组组长牵头组织本项目磋商工作。采购人代表，不得担任磋商小组组长。</w:t>
      </w:r>
    </w:p>
    <w:p w14:paraId="0D624847">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7.1.4 磋商小组成员有下列情形之一的，应当回避：</w:t>
      </w:r>
    </w:p>
    <w:p w14:paraId="4AE095D5">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（1）采购人或供应商的主要负责人的近亲属；</w:t>
      </w:r>
    </w:p>
    <w:p w14:paraId="77A3C074">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（2）与供应商有经济利益关系，可能影响对响应文件公正评审的；</w:t>
      </w:r>
    </w:p>
    <w:p w14:paraId="54C1D9F2">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（3）曾因在招标、评审以及其他与招标磋商有关活动中从事违法行为而受过行政处罚或刑事处罚的。</w:t>
      </w:r>
    </w:p>
    <w:p w14:paraId="25322F70">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szCs w:val="21"/>
          <w:highlight w:val="none"/>
        </w:rPr>
        <w:t xml:space="preserve">7.1.5 </w:t>
      </w:r>
      <w:r>
        <w:rPr>
          <w:rFonts w:hint="eastAsia" w:ascii="仿宋" w:hAnsi="仿宋" w:eastAsia="仿宋" w:cs="仿宋"/>
          <w:color w:val="auto"/>
          <w:kern w:val="0"/>
          <w:highlight w:val="none"/>
        </w:rPr>
        <w:t>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起响应文件、磋商和评审资料，依法重新组建磋商小组进行磋商。原磋商小组所作出的评审意见无效。</w:t>
      </w:r>
      <w:r>
        <w:rPr>
          <w:rFonts w:hint="eastAsia" w:ascii="仿宋" w:hAnsi="仿宋" w:eastAsia="仿宋" w:cs="仿宋"/>
          <w:color w:val="auto"/>
          <w:kern w:val="0"/>
          <w:highlight w:val="none"/>
          <w:lang w:val="zh-CN"/>
        </w:rPr>
        <w:t>采购代理机构</w:t>
      </w:r>
      <w:r>
        <w:rPr>
          <w:rFonts w:hint="eastAsia" w:ascii="仿宋" w:hAnsi="仿宋" w:eastAsia="仿宋" w:cs="仿宋"/>
          <w:color w:val="auto"/>
          <w:kern w:val="0"/>
          <w:highlight w:val="none"/>
        </w:rPr>
        <w:t>应当将变更、重新组建磋商小组的情况予以记录，并随采购文件一并存档。</w:t>
      </w:r>
    </w:p>
    <w:p w14:paraId="497E3D35">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7.1.6 磋商小组成员名单在成交结果公告前，应当保密。</w:t>
      </w:r>
    </w:p>
    <w:p w14:paraId="377CA178">
      <w:pPr>
        <w:pageBreakBefore w:val="0"/>
        <w:widowControl/>
        <w:kinsoku/>
        <w:wordWrap/>
        <w:overflowPunct/>
        <w:topLinePunct w:val="0"/>
        <w:autoSpaceDE w:val="0"/>
        <w:autoSpaceDN w:val="0"/>
        <w:bidi w:val="0"/>
        <w:spacing w:line="400" w:lineRule="exact"/>
        <w:ind w:right="51"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7.1.7 磋商小组及其成员，在磋商中不得有下列行为：</w:t>
      </w:r>
    </w:p>
    <w:p w14:paraId="46189741">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（1）确定参与磋商至磋商结束前私自接触供应商；</w:t>
      </w:r>
    </w:p>
    <w:p w14:paraId="113AC035">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（2）接受供应商提出的与响应文件不一致的澄清和说明；</w:t>
      </w:r>
    </w:p>
    <w:p w14:paraId="716D1620">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（3）征询采购人的倾向性意见；</w:t>
      </w:r>
    </w:p>
    <w:p w14:paraId="2BD84F9C">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（4）对主观评审因素协商评分；</w:t>
      </w:r>
    </w:p>
    <w:p w14:paraId="4074C80E">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（5）对客观评审因素评分不一致；</w:t>
      </w:r>
    </w:p>
    <w:p w14:paraId="276AE1DC">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（6）在磋商过程中擅离职守，影响磋商程序正常进行的；</w:t>
      </w:r>
    </w:p>
    <w:p w14:paraId="0E794E15">
      <w:pPr>
        <w:pStyle w:val="24"/>
        <w:pageBreakBefore w:val="0"/>
        <w:kinsoku/>
        <w:wordWrap/>
        <w:overflowPunct/>
        <w:topLinePunct w:val="0"/>
        <w:bidi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（7）记录、复制或带走任何评审资料；</w:t>
      </w:r>
    </w:p>
    <w:p w14:paraId="11055DA3">
      <w:pPr>
        <w:pageBreakBefore w:val="0"/>
        <w:widowControl/>
        <w:kinsoku/>
        <w:wordWrap/>
        <w:overflowPunct/>
        <w:topLinePunct w:val="0"/>
        <w:bidi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highlight w:val="none"/>
        </w:rPr>
        <w:t>（</w:t>
      </w:r>
      <w:r>
        <w:rPr>
          <w:rFonts w:hint="eastAsia" w:ascii="仿宋" w:hAnsi="仿宋" w:eastAsia="仿宋" w:cs="仿宋"/>
          <w:color w:val="auto"/>
          <w:szCs w:val="21"/>
          <w:highlight w:val="none"/>
        </w:rPr>
        <w:t>8</w:t>
      </w:r>
      <w:r>
        <w:rPr>
          <w:rFonts w:hint="eastAsia" w:ascii="仿宋" w:hAnsi="仿宋" w:eastAsia="仿宋" w:cs="仿宋"/>
          <w:color w:val="auto"/>
          <w:highlight w:val="none"/>
        </w:rPr>
        <w:t>）</w:t>
      </w:r>
      <w:r>
        <w:rPr>
          <w:rFonts w:hint="eastAsia" w:ascii="仿宋" w:hAnsi="仿宋" w:eastAsia="仿宋" w:cs="仿宋"/>
          <w:color w:val="auto"/>
          <w:kern w:val="0"/>
          <w:szCs w:val="21"/>
          <w:highlight w:val="none"/>
        </w:rPr>
        <w:t>其他不遵守评审纪律的行为。</w:t>
      </w:r>
    </w:p>
    <w:p w14:paraId="3F65DD97">
      <w:pPr>
        <w:pageBreakBefore w:val="0"/>
        <w:widowControl/>
        <w:kinsoku/>
        <w:wordWrap/>
        <w:overflowPunct/>
        <w:topLinePunct w:val="0"/>
        <w:bidi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磋商小组成员有前款第一至四项行为之一的，其评审意见无效，</w:t>
      </w:r>
      <w:r>
        <w:rPr>
          <w:rFonts w:hint="eastAsia" w:ascii="仿宋" w:hAnsi="仿宋" w:eastAsia="仿宋" w:cs="仿宋"/>
          <w:color w:val="auto"/>
          <w:kern w:val="0"/>
          <w:szCs w:val="21"/>
          <w:highlight w:val="none"/>
        </w:rPr>
        <w:t>并不得获取评审劳务报酬和报销异地评审差旅费。</w:t>
      </w:r>
    </w:p>
    <w:p w14:paraId="5FE3C65B">
      <w:pPr>
        <w:pageBreakBefore w:val="0"/>
        <w:kinsoku/>
        <w:wordWrap/>
        <w:overflowPunct/>
        <w:topLinePunct w:val="0"/>
        <w:bidi w:val="0"/>
        <w:spacing w:before="120" w:beforeLines="50" w:after="120" w:afterLines="50" w:line="400" w:lineRule="exact"/>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7.2磋商原则</w:t>
      </w:r>
    </w:p>
    <w:p w14:paraId="25F84F19">
      <w:pPr>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7.2.1“客观、公正、审慎”为本次磋商的基本原则，磋商小组按照这一原则的要求，公正、平等地对待各供应商。同时，在磋商中恪守以下原则：</w:t>
      </w:r>
    </w:p>
    <w:p w14:paraId="389A89B0">
      <w:pPr>
        <w:pageBreakBefore w:val="0"/>
        <w:tabs>
          <w:tab w:val="left" w:pos="0"/>
        </w:tabs>
        <w:kinsoku/>
        <w:wordWrap/>
        <w:overflowPunct/>
        <w:topLinePunct w:val="0"/>
        <w:bidi w:val="0"/>
        <w:adjustRightInd w:val="0"/>
        <w:snapToGrid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（1）统一性原则：磋商小组将按照统一的磋商原则和方法，用统一标准进行评审。</w:t>
      </w:r>
    </w:p>
    <w:p w14:paraId="4FD91F25">
      <w:pPr>
        <w:pageBreakBefore w:val="0"/>
        <w:tabs>
          <w:tab w:val="left" w:pos="0"/>
        </w:tabs>
        <w:kinsoku/>
        <w:wordWrap/>
        <w:overflowPunct/>
        <w:topLinePunct w:val="0"/>
        <w:bidi w:val="0"/>
        <w:adjustRightInd w:val="0"/>
        <w:snapToGrid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（2）独立性原则</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磋商工作在磋商小组内部独立进行，不受外界任何因素的干扰和影响。磋商小组成员对其出具的意见承担个人责任。</w:t>
      </w:r>
      <w:r>
        <w:rPr>
          <w:rFonts w:hint="eastAsia" w:ascii="仿宋" w:hAnsi="仿宋" w:eastAsia="仿宋" w:cs="仿宋"/>
          <w:color w:val="auto"/>
          <w:kern w:val="0"/>
          <w:szCs w:val="21"/>
          <w:highlight w:val="none"/>
        </w:rPr>
        <w:t>供应商试图影响或干预评审的任何行为，将导致其丧失磋商的资格，并承担相应的法律责任。</w:t>
      </w:r>
    </w:p>
    <w:p w14:paraId="498CB9FE">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（3）物有所值原则：通过首轮的磋商报价，激发供应商展开竞争，进一步优化方案，并使报价符合预期目标。</w:t>
      </w:r>
    </w:p>
    <w:p w14:paraId="48972046">
      <w:pPr>
        <w:pageBreakBefore w:val="0"/>
        <w:tabs>
          <w:tab w:val="left" w:pos="0"/>
        </w:tabs>
        <w:kinsoku/>
        <w:wordWrap/>
        <w:overflowPunct/>
        <w:topLinePunct w:val="0"/>
        <w:bidi w:val="0"/>
        <w:adjustRightInd w:val="0"/>
        <w:snapToGrid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（4）客观性原则：磋商小组将严格按照磋商文件要求，对供应商的响应文件进行认真评审；磋商小组对响应文件的评审仅依据响应文件本身，而不依据响应文件以外的任何因素。</w:t>
      </w:r>
    </w:p>
    <w:p w14:paraId="48C19547">
      <w:pPr>
        <w:pageBreakBefore w:val="0"/>
        <w:tabs>
          <w:tab w:val="left" w:pos="0"/>
        </w:tabs>
        <w:kinsoku/>
        <w:wordWrap/>
        <w:overflowPunct/>
        <w:topLinePunct w:val="0"/>
        <w:bidi w:val="0"/>
        <w:adjustRightInd w:val="0"/>
        <w:snapToGrid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（5）保密性原则：采购代理机构应当采取必要的措施，保证评审在严格保密情况下进行。</w:t>
      </w:r>
    </w:p>
    <w:p w14:paraId="68337397">
      <w:pPr>
        <w:pageBreakBefore w:val="0"/>
        <w:tabs>
          <w:tab w:val="left" w:pos="0"/>
        </w:tabs>
        <w:kinsoku/>
        <w:wordWrap/>
        <w:overflowPunct/>
        <w:topLinePunct w:val="0"/>
        <w:bidi w:val="0"/>
        <w:adjustRightInd w:val="0"/>
        <w:snapToGrid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（6）综合性原则</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磋商小组将综合分析、评审供应商的各项指标，而不以单项指标的优劣评定出成交供应商。</w:t>
      </w:r>
    </w:p>
    <w:p w14:paraId="47AED38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7.2.2 磋商小组有权对整个磋商和评审过程中出现的所有问题，可根据《中华人民共和国政府采购法》及实施条例和《政府采购竞争性磋商采购方式管理暂行办法》等相关规定进行处理。</w:t>
      </w:r>
    </w:p>
    <w:p w14:paraId="7C31F297">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7.3磋商</w:t>
      </w:r>
    </w:p>
    <w:p w14:paraId="40585BD3">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bookmarkStart w:id="121" w:name="_Toc14147"/>
      <w:bookmarkStart w:id="122" w:name="_Toc29298"/>
      <w:bookmarkStart w:id="123" w:name="_Toc7318_WPSOffice_Level2"/>
      <w:bookmarkStart w:id="124" w:name="_Toc15700"/>
      <w:bookmarkStart w:id="125" w:name="_Toc9593"/>
      <w:bookmarkStart w:id="126" w:name="_Toc25"/>
      <w:bookmarkStart w:id="127" w:name="_Toc24076"/>
      <w:r>
        <w:rPr>
          <w:rFonts w:hint="eastAsia" w:ascii="仿宋" w:hAnsi="仿宋" w:eastAsia="仿宋" w:cs="仿宋"/>
          <w:color w:val="auto"/>
          <w:szCs w:val="21"/>
          <w:highlight w:val="none"/>
        </w:rPr>
        <w:t>7.3.1 磋商小组根据磋商文件第三章“磋商办法”规定的方法、评审因素、标准和程序，在与单一供应商进行反复磋商的基础上，对其响应文件进行评审。第三章“磋商办法”没有规定的方法、评审因素和标准，不作为评审依据。</w:t>
      </w:r>
    </w:p>
    <w:p w14:paraId="4ECD221C">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 磋商小组负责具体磋商事务，并独立履行下列职责：</w:t>
      </w:r>
    </w:p>
    <w:p w14:paraId="526D5DF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（1）审查、评价响应文件是否符合磋商文件的商务、技术、服务等实质性要求；</w:t>
      </w:r>
    </w:p>
    <w:p w14:paraId="399629C3">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（2）要求供应商对响应文件有关事项作出澄清或者说明；</w:t>
      </w:r>
    </w:p>
    <w:p w14:paraId="30217D63">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（3）与合格的供应商分别就技术和商务事务进行磋商；</w:t>
      </w:r>
    </w:p>
    <w:p w14:paraId="6CC5FB0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（4）对响应文件进行比较和评价；</w:t>
      </w:r>
    </w:p>
    <w:p w14:paraId="2231316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（5）推荐成交候选人名单，或者根据采购人委托直接确定成交供应商；</w:t>
      </w:r>
    </w:p>
    <w:p w14:paraId="176E122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（6）向采购人、采购代理机构或者有关部门报告非法干预磋商工作的行为。</w:t>
      </w:r>
    </w:p>
    <w:p w14:paraId="35C10E18">
      <w:pPr>
        <w:pStyle w:val="39"/>
        <w:pageBreakBefore w:val="0"/>
        <w:kinsoku/>
        <w:wordWrap/>
        <w:overflowPunct/>
        <w:topLinePunct w:val="0"/>
        <w:bidi w:val="0"/>
        <w:snapToGrid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7.3.3磋商小组成员应当履行下列义务：</w:t>
      </w:r>
    </w:p>
    <w:p w14:paraId="045F79ED">
      <w:pPr>
        <w:pStyle w:val="39"/>
        <w:pageBreakBefore w:val="0"/>
        <w:kinsoku/>
        <w:wordWrap/>
        <w:overflowPunct/>
        <w:topLinePunct w:val="0"/>
        <w:bidi w:val="0"/>
        <w:snapToGrid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（1）遵纪守法，客观、公正、廉洁地履行职责；</w:t>
      </w:r>
    </w:p>
    <w:p w14:paraId="145601A6">
      <w:pPr>
        <w:pStyle w:val="39"/>
        <w:pageBreakBefore w:val="0"/>
        <w:kinsoku/>
        <w:wordWrap/>
        <w:overflowPunct/>
        <w:topLinePunct w:val="0"/>
        <w:bidi w:val="0"/>
        <w:snapToGrid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（2）根据采购文件的规定独立进行评审，对个人的评审意见承担法律责任；</w:t>
      </w:r>
    </w:p>
    <w:p w14:paraId="1E9E1931">
      <w:pPr>
        <w:pStyle w:val="39"/>
        <w:pageBreakBefore w:val="0"/>
        <w:kinsoku/>
        <w:wordWrap/>
        <w:overflowPunct/>
        <w:topLinePunct w:val="0"/>
        <w:bidi w:val="0"/>
        <w:snapToGrid w:val="0"/>
        <w:spacing w:before="0" w:beforeAutospacing="0" w:after="0" w:afterAutospacing="0"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（3）参与评审报告的起草；</w:t>
      </w:r>
    </w:p>
    <w:p w14:paraId="2CB51DBB">
      <w:pPr>
        <w:pStyle w:val="39"/>
        <w:pageBreakBefore w:val="0"/>
        <w:kinsoku/>
        <w:wordWrap/>
        <w:overflowPunct/>
        <w:topLinePunct w:val="0"/>
        <w:bidi w:val="0"/>
        <w:snapToGrid w:val="0"/>
        <w:spacing w:before="0" w:beforeAutospacing="0" w:after="0" w:afterAutospacing="0"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（4）配合采购人、采购代理机构答复供应商提出的质疑；</w:t>
      </w:r>
    </w:p>
    <w:p w14:paraId="1EEA1B4B">
      <w:pPr>
        <w:pStyle w:val="39"/>
        <w:pageBreakBefore w:val="0"/>
        <w:kinsoku/>
        <w:wordWrap/>
        <w:overflowPunct/>
        <w:topLinePunct w:val="0"/>
        <w:bidi w:val="0"/>
        <w:snapToGrid w:val="0"/>
        <w:spacing w:before="0" w:beforeAutospacing="0" w:after="0" w:afterAutospacing="0"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（5）配合财政部门的投诉处理和监督检查工作。</w:t>
      </w:r>
    </w:p>
    <w:p w14:paraId="6B75F940">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7.3.4 采购代理机构负责组织磋商工作并履行下列职责：</w:t>
      </w:r>
    </w:p>
    <w:p w14:paraId="0CDC8E90">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（1）核对评审专家身份和采购人代表授权函，对评审专家在政府采购活动中的职责履行情况予以记录，并及时将有关违法违规行为向财政部门报告；</w:t>
      </w:r>
    </w:p>
    <w:p w14:paraId="104DD11B">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（2）宣布磋商纪律；</w:t>
      </w:r>
    </w:p>
    <w:p w14:paraId="63FA2A17">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（3）公布提交了响应文件的供应商名单，告知评审专家应当回避的情形；</w:t>
      </w:r>
    </w:p>
    <w:p w14:paraId="45391EEE">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（4）组织磋商小组成员推选磋商小组组长，采购人代表不得担任组长；</w:t>
      </w:r>
    </w:p>
    <w:p w14:paraId="5BDD90B9">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（5）在磋商期间采取必要的通讯管理措施，保证磋商活动不受外界干扰；</w:t>
      </w:r>
    </w:p>
    <w:p w14:paraId="5320ECA4">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（6）根据磋商小组的要求介绍政府采购相关政策法规、磋商文件；</w:t>
      </w:r>
    </w:p>
    <w:p w14:paraId="0E4B340E">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（7）维护磋商秩序，监督磋商小组依照磋商文件规定的磋商程序、评审方法和标准进行独立评审，对采购人代表、磋商小组成员的倾向性言论或违法违规行为及时制止和纠正；</w:t>
      </w:r>
    </w:p>
    <w:p w14:paraId="1E8F1D9C">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（8）核对评审结果，有《政府采购竞争性磋商采购方式暂行管理办法》第三十二条第一款规定情形的，要求磋商小组复核或书面说明理由，磋商小组拒绝的，应予记录并向采购人本级财政部门报告；</w:t>
      </w:r>
    </w:p>
    <w:p w14:paraId="2135B331">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（9）磋商工作完成后，按照规定向评审专家支付劳务报酬和异地评审差旅费，不得向评审专家以外的其他人员支付评审劳务报酬；</w:t>
      </w:r>
    </w:p>
    <w:p w14:paraId="7F1F6DFB">
      <w:pPr>
        <w:pageBreakBefore w:val="0"/>
        <w:kinsoku/>
        <w:wordWrap/>
        <w:overflowPunct/>
        <w:topLinePunct w:val="0"/>
        <w:autoSpaceDE w:val="0"/>
        <w:autoSpaceDN w:val="0"/>
        <w:bidi w:val="0"/>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（10）处理与磋商有关的其他事项。</w:t>
      </w:r>
    </w:p>
    <w:p w14:paraId="31C9E19B">
      <w:pPr>
        <w:pageBreakBefore w:val="0"/>
        <w:kinsoku/>
        <w:wordWrap/>
        <w:overflowPunct/>
        <w:topLinePunct w:val="0"/>
        <w:autoSpaceDE w:val="0"/>
        <w:autoSpaceDN w:val="0"/>
        <w:bidi w:val="0"/>
        <w:spacing w:line="400" w:lineRule="exact"/>
        <w:ind w:firstLine="630" w:firstLineChars="300"/>
        <w:rPr>
          <w:rFonts w:hint="eastAsia" w:ascii="仿宋" w:hAnsi="仿宋" w:eastAsia="仿宋" w:cs="仿宋"/>
          <w:color w:val="auto"/>
          <w:kern w:val="0"/>
          <w:highlight w:val="none"/>
        </w:rPr>
      </w:pPr>
      <w:r>
        <w:rPr>
          <w:rFonts w:hint="eastAsia" w:ascii="仿宋" w:hAnsi="仿宋" w:eastAsia="仿宋" w:cs="仿宋"/>
          <w:color w:val="auto"/>
          <w:kern w:val="0"/>
          <w:highlight w:val="none"/>
        </w:rPr>
        <w:t>7.3.5 采购人可以在磋商前介绍项目背景和采购需求，介绍内容不得含有歧视性、倾向性意见，不得超出磋商文件所述范围。介绍应当提交书面介绍材料，并随采购文件一并存档。</w:t>
      </w:r>
    </w:p>
    <w:p w14:paraId="651E769A">
      <w:pPr>
        <w:pageBreakBefore w:val="0"/>
        <w:kinsoku/>
        <w:wordWrap/>
        <w:overflowPunct/>
        <w:topLinePunct w:val="0"/>
        <w:bidi w:val="0"/>
        <w:spacing w:line="400" w:lineRule="exact"/>
        <w:ind w:left="120" w:leftChars="5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7.3.6 磋商过程严格保密</w:t>
      </w:r>
    </w:p>
    <w:p w14:paraId="34C63A5B">
      <w:pPr>
        <w:pageBreakBefore w:val="0"/>
        <w:kinsoku/>
        <w:wordWrap/>
        <w:overflowPunct/>
        <w:topLinePunct w:val="0"/>
        <w:autoSpaceDE w:val="0"/>
        <w:autoSpaceDN w:val="0"/>
        <w:bidi w:val="0"/>
        <w:spacing w:line="400" w:lineRule="exact"/>
        <w:ind w:firstLine="630" w:firstLineChars="300"/>
        <w:rPr>
          <w:rFonts w:hint="eastAsia" w:ascii="仿宋" w:hAnsi="仿宋" w:eastAsia="仿宋" w:cs="仿宋"/>
          <w:color w:val="auto"/>
          <w:kern w:val="0"/>
          <w:highlight w:val="none"/>
        </w:rPr>
      </w:pPr>
      <w:r>
        <w:rPr>
          <w:rFonts w:hint="eastAsia" w:ascii="仿宋" w:hAnsi="仿宋" w:eastAsia="仿宋" w:cs="仿宋"/>
          <w:color w:val="auto"/>
          <w:szCs w:val="21"/>
          <w:highlight w:val="none"/>
        </w:rPr>
        <w:t xml:space="preserve">7.3.6.1 </w:t>
      </w:r>
      <w:r>
        <w:rPr>
          <w:rFonts w:hint="eastAsia" w:ascii="仿宋" w:hAnsi="仿宋" w:eastAsia="仿宋" w:cs="仿宋"/>
          <w:color w:val="auto"/>
          <w:kern w:val="0"/>
          <w:highlight w:val="none"/>
        </w:rPr>
        <w:t>采购人、采购代理机构应当采取必要措施，保证磋商在严格保密的情况下进行。除采购人代表、磋商现场组织人员外，采购人的其他工作人员以及与磋商工作无关的人员不得进入磋商现场。</w:t>
      </w:r>
    </w:p>
    <w:p w14:paraId="7690255A">
      <w:pPr>
        <w:pageBreakBefore w:val="0"/>
        <w:kinsoku/>
        <w:wordWrap/>
        <w:overflowPunct/>
        <w:topLinePunct w:val="0"/>
        <w:autoSpaceDE w:val="0"/>
        <w:autoSpaceDN w:val="0"/>
        <w:bidi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kern w:val="0"/>
          <w:highlight w:val="none"/>
        </w:rPr>
        <w:t>7.3.6.2 有关人员对磋商情况以及在磋商过程中获悉的国家秘密、商业秘密负有保密责任。</w:t>
      </w:r>
      <w:r>
        <w:rPr>
          <w:rFonts w:hint="eastAsia" w:ascii="仿宋" w:hAnsi="仿宋" w:eastAsia="仿宋" w:cs="仿宋"/>
          <w:color w:val="auto"/>
          <w:szCs w:val="21"/>
          <w:highlight w:val="none"/>
        </w:rPr>
        <w:t>开启响应文件后，直至授予成交供应商合同为止，凡属于对响应文件的审查、澄清、评价和比较的有关资料以及成交候选人的推荐情况，与磋商有关的其他任何情况均严格保密。</w:t>
      </w:r>
    </w:p>
    <w:p w14:paraId="767DDEB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7.3.7 供应商对磋商小组的磋商过程或合同授予决定施加影响的任何行为都可能导致其响应文件无效。</w:t>
      </w:r>
    </w:p>
    <w:p w14:paraId="14A7DD36">
      <w:pPr>
        <w:pageBreakBefore w:val="0"/>
        <w:tabs>
          <w:tab w:val="left" w:pos="426"/>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7.3.8 磋商完成后，磋商小组应当向采购人提交书面评审报告，并由采购代理机构转送。</w:t>
      </w:r>
    </w:p>
    <w:p w14:paraId="5B3A0098">
      <w:pPr>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8</w:t>
      </w:r>
      <w:bookmarkStart w:id="128" w:name="_Toc217446061"/>
      <w:r>
        <w:rPr>
          <w:rFonts w:hint="eastAsia" w:ascii="仿宋" w:hAnsi="仿宋" w:eastAsia="仿宋" w:cs="仿宋"/>
          <w:color w:val="auto"/>
          <w:sz w:val="36"/>
          <w:szCs w:val="36"/>
          <w:highlight w:val="none"/>
        </w:rPr>
        <w:t>.确定成交供应商</w:t>
      </w:r>
      <w:bookmarkEnd w:id="121"/>
      <w:bookmarkEnd w:id="122"/>
      <w:bookmarkEnd w:id="123"/>
      <w:bookmarkEnd w:id="124"/>
      <w:bookmarkEnd w:id="125"/>
      <w:bookmarkEnd w:id="126"/>
      <w:bookmarkEnd w:id="127"/>
    </w:p>
    <w:p w14:paraId="30D347BE">
      <w:pPr>
        <w:pageBreakBefore w:val="0"/>
        <w:kinsoku/>
        <w:wordWrap/>
        <w:overflowPunct/>
        <w:topLinePunct w:val="0"/>
        <w:bidi w:val="0"/>
        <w:spacing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8.1确定成交供应商原则</w:t>
      </w:r>
      <w:bookmarkEnd w:id="128"/>
    </w:p>
    <w:p w14:paraId="39FDF904">
      <w:pPr>
        <w:pageBreakBefore w:val="0"/>
        <w:kinsoku/>
        <w:wordWrap/>
        <w:overflowPunct/>
        <w:topLinePunct w:val="0"/>
        <w:bidi w:val="0"/>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采购人或其授权的磋商小组按照评审报告中提出的成交候选人中，按照顺序由高到低的原则确定成交供应商。</w:t>
      </w:r>
      <w:bookmarkStart w:id="129" w:name="_Toc217446062"/>
    </w:p>
    <w:p w14:paraId="107C9924">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8.2确定成交供应商程序</w:t>
      </w:r>
      <w:bookmarkEnd w:id="129"/>
    </w:p>
    <w:p w14:paraId="5164E28A">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8.2.1磋商小组将评审情况写出书面报告，推荐3个成交候选人，并按照综合得分高低标明排列顺序。得分相同的，按照最后报价由低到高顺序排列；得分且最后报价相同的按照技术指标优劣顺序排列。</w:t>
      </w:r>
    </w:p>
    <w:p w14:paraId="7727AD8D">
      <w:pPr>
        <w:pageBreakBefore w:val="0"/>
        <w:kinsoku/>
        <w:wordWrap/>
        <w:overflowPunct/>
        <w:topLinePunct w:val="0"/>
        <w:bidi w:val="0"/>
        <w:spacing w:line="4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8.2.2 采购代理机构在评审结束后2个工作日内将评审报告送采购人确认。</w:t>
      </w:r>
    </w:p>
    <w:p w14:paraId="2E3E55BD">
      <w:pPr>
        <w:pageBreakBefore w:val="0"/>
        <w:kinsoku/>
        <w:wordWrap/>
        <w:overflowPunct/>
        <w:topLinePunct w:val="0"/>
        <w:bidi w:val="0"/>
        <w:spacing w:line="4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8.2.3 采购人应当在收到评审报告后5个工作日内，按照评审报告中推荐的成交候选人中，按照顺序由高到低确定成交供应商。同时，将确定成交供应商的结果复函至采购代理机构。</w:t>
      </w:r>
    </w:p>
    <w:p w14:paraId="1DABD1D5">
      <w:pPr>
        <w:pageBreakBefore w:val="0"/>
        <w:kinsoku/>
        <w:wordWrap/>
        <w:overflowPunct/>
        <w:topLinePunct w:val="0"/>
        <w:bidi w:val="0"/>
        <w:spacing w:line="4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shd w:val="clear" w:color="auto" w:fill="FFFFFF"/>
        </w:rPr>
        <w:t>采购人在收到评审报告5个工作日内未按评审报告推荐的成交候人中顺序确定成交供应商，又不能说明合法理由的，视同按照评审报告推荐的顺序确定排名第一的成交候选人为成交供应商。</w:t>
      </w:r>
    </w:p>
    <w:p w14:paraId="0D625350">
      <w:pPr>
        <w:pageBreakBefore w:val="0"/>
        <w:kinsoku/>
        <w:wordWrap/>
        <w:overflowPunct/>
        <w:topLinePunct w:val="0"/>
        <w:bidi w:val="0"/>
        <w:spacing w:line="400" w:lineRule="exact"/>
        <w:ind w:firstLine="367" w:firstLineChars="175"/>
        <w:rPr>
          <w:rFonts w:hint="eastAsia" w:ascii="仿宋" w:hAnsi="仿宋" w:eastAsia="仿宋" w:cs="仿宋"/>
          <w:color w:val="auto"/>
          <w:szCs w:val="21"/>
          <w:highlight w:val="none"/>
        </w:rPr>
      </w:pPr>
      <w:r>
        <w:rPr>
          <w:rFonts w:hint="eastAsia" w:ascii="仿宋" w:hAnsi="仿宋" w:eastAsia="仿宋" w:cs="仿宋"/>
          <w:color w:val="auto"/>
          <w:szCs w:val="21"/>
          <w:highlight w:val="none"/>
        </w:rPr>
        <w:t>8.2.4 采购代理机构应当在收到采购人“确定成交供应商结果”复函之日起2个工作日内，根据采购人确定的成交供应商，在省级以上财政部门指定的媒体上发布成交公告，同时向成交供应商发出《成交通知书》。</w:t>
      </w:r>
    </w:p>
    <w:p w14:paraId="2AA8F5DB">
      <w:pPr>
        <w:pageBreakBefore w:val="0"/>
        <w:widowControl/>
        <w:kinsoku/>
        <w:wordWrap/>
        <w:overflowPunct/>
        <w:topLinePunct w:val="0"/>
        <w:bidi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8.2.5 采购代理机构，应当</w:t>
      </w:r>
      <w:r>
        <w:rPr>
          <w:rFonts w:hint="eastAsia" w:ascii="仿宋" w:hAnsi="仿宋" w:eastAsia="仿宋" w:cs="仿宋"/>
          <w:color w:val="auto"/>
          <w:kern w:val="0"/>
          <w:szCs w:val="21"/>
          <w:highlight w:val="none"/>
        </w:rPr>
        <w:t>对未通过资格审查或者符合性审查的供应商，告知其未通过的原因。</w:t>
      </w:r>
    </w:p>
    <w:p w14:paraId="6A87A3B9">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8.3成交通知书</w:t>
      </w:r>
    </w:p>
    <w:bookmarkEnd w:id="117"/>
    <w:bookmarkEnd w:id="118"/>
    <w:bookmarkEnd w:id="119"/>
    <w:bookmarkEnd w:id="120"/>
    <w:p w14:paraId="4ADEFE09">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bookmarkStart w:id="130" w:name="_Toc14945"/>
      <w:bookmarkStart w:id="131" w:name="_Toc10746"/>
      <w:bookmarkStart w:id="132" w:name="_Toc28118"/>
      <w:bookmarkStart w:id="133" w:name="_Toc2503"/>
      <w:bookmarkStart w:id="134" w:name="_Toc15332"/>
      <w:bookmarkStart w:id="135" w:name="_Toc11621_WPSOffice_Level2"/>
      <w:bookmarkStart w:id="136" w:name="_Toc27044"/>
      <w:bookmarkStart w:id="137" w:name="_Toc482201965"/>
      <w:bookmarkStart w:id="138" w:name="_Toc217446081"/>
      <w:r>
        <w:rPr>
          <w:rFonts w:hint="eastAsia" w:ascii="仿宋" w:hAnsi="仿宋" w:eastAsia="仿宋" w:cs="仿宋"/>
          <w:color w:val="auto"/>
          <w:szCs w:val="21"/>
          <w:highlight w:val="none"/>
        </w:rPr>
        <w:t>8.3</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1 成交通知书为签订政府采购合同的依据之一，是合同的有效组成部分。</w:t>
      </w:r>
    </w:p>
    <w:p w14:paraId="11A3687D">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8.3.2 成交通知书对采购人和成交供应商均具有法律效力。</w:t>
      </w:r>
      <w:r>
        <w:rPr>
          <w:rFonts w:hint="eastAsia" w:ascii="仿宋" w:hAnsi="仿宋" w:eastAsia="仿宋" w:cs="仿宋"/>
          <w:color w:val="auto"/>
          <w:szCs w:val="21"/>
          <w:highlight w:val="none"/>
          <w:shd w:val="clear" w:color="auto" w:fill="FFFFFF"/>
        </w:rPr>
        <w:t>成交通知书发出后，采购人不得违法改变成交结果，成交供应商无正当理由不得放弃成交资格。否则，</w:t>
      </w:r>
      <w:r>
        <w:rPr>
          <w:rFonts w:hint="eastAsia" w:ascii="仿宋" w:hAnsi="仿宋" w:eastAsia="仿宋" w:cs="仿宋"/>
          <w:color w:val="auto"/>
          <w:szCs w:val="21"/>
          <w:highlight w:val="none"/>
        </w:rPr>
        <w:t>应当承担相应的法律责任。</w:t>
      </w:r>
    </w:p>
    <w:p w14:paraId="040C33CB">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8.3.3 成交供应商应当在接到采购代理机构通知之日起2个工作日内领取《成交通知书》。</w:t>
      </w:r>
    </w:p>
    <w:p w14:paraId="4F91CC09">
      <w:pPr>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8.3.4 在《成交通知书》发出后，发现成交供应商有政府采购法律法规规章制度规定的成交无效情形的，采购代理机构应当宣布发出的成交通知书无效，并收回已发出的成交通知书（成交供应商也应当交回），依法重新确定成交供应商或者重新开展采购活动，同时向同级财政部门报告。</w:t>
      </w:r>
    </w:p>
    <w:p w14:paraId="08977E0B">
      <w:pPr>
        <w:pageBreakBefore w:val="0"/>
        <w:tabs>
          <w:tab w:val="left" w:pos="7665"/>
        </w:tabs>
        <w:kinsoku/>
        <w:wordWrap/>
        <w:overflowPunct/>
        <w:topLinePunct w:val="0"/>
        <w:bidi w:val="0"/>
        <w:spacing w:before="240" w:beforeLines="100" w:after="240" w:afterLines="100" w:line="400" w:lineRule="exact"/>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9.合同授予</w:t>
      </w:r>
      <w:bookmarkEnd w:id="130"/>
      <w:bookmarkEnd w:id="131"/>
      <w:bookmarkEnd w:id="132"/>
      <w:bookmarkEnd w:id="133"/>
      <w:bookmarkEnd w:id="134"/>
      <w:bookmarkEnd w:id="135"/>
      <w:bookmarkEnd w:id="136"/>
    </w:p>
    <w:p w14:paraId="7B880AFF">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9.1履约保证金</w:t>
      </w:r>
    </w:p>
    <w:p w14:paraId="58C701A0">
      <w:pPr>
        <w:pageBreakBefore w:val="0"/>
        <w:tabs>
          <w:tab w:val="left" w:pos="7665"/>
        </w:tabs>
        <w:kinsoku/>
        <w:wordWrap/>
        <w:overflowPunct/>
        <w:topLinePunct w:val="0"/>
        <w:bidi w:val="0"/>
        <w:spacing w:line="400" w:lineRule="exact"/>
        <w:ind w:firstLine="482"/>
        <w:rPr>
          <w:rFonts w:hint="eastAsia" w:ascii="仿宋" w:hAnsi="仿宋" w:eastAsia="仿宋" w:cs="仿宋"/>
          <w:color w:val="auto"/>
          <w:szCs w:val="21"/>
          <w:highlight w:val="none"/>
        </w:rPr>
      </w:pPr>
      <w:r>
        <w:rPr>
          <w:rFonts w:hint="eastAsia" w:ascii="仿宋" w:hAnsi="仿宋" w:eastAsia="仿宋" w:cs="仿宋"/>
          <w:color w:val="auto"/>
          <w:szCs w:val="21"/>
          <w:highlight w:val="none"/>
        </w:rPr>
        <w:t>9.1.1 根据供应商须知前附表规定本项目需要提交履约保证金的，适用本条。</w:t>
      </w:r>
    </w:p>
    <w:p w14:paraId="09074769">
      <w:pPr>
        <w:pageBreakBefore w:val="0"/>
        <w:tabs>
          <w:tab w:val="left" w:pos="7665"/>
        </w:tabs>
        <w:kinsoku/>
        <w:wordWrap/>
        <w:overflowPunct/>
        <w:topLinePunct w:val="0"/>
        <w:bidi w:val="0"/>
        <w:spacing w:line="400" w:lineRule="exact"/>
        <w:ind w:firstLine="482"/>
        <w:rPr>
          <w:rFonts w:hint="eastAsia" w:ascii="仿宋" w:hAnsi="仿宋" w:eastAsia="仿宋" w:cs="仿宋"/>
          <w:color w:val="auto"/>
          <w:szCs w:val="21"/>
          <w:highlight w:val="none"/>
        </w:rPr>
      </w:pPr>
      <w:r>
        <w:rPr>
          <w:rFonts w:hint="eastAsia" w:ascii="仿宋" w:hAnsi="仿宋" w:eastAsia="仿宋" w:cs="仿宋"/>
          <w:color w:val="auto"/>
          <w:szCs w:val="21"/>
          <w:highlight w:val="none"/>
        </w:rPr>
        <w:t>9.1.2</w:t>
      </w:r>
      <w:r>
        <w:rPr>
          <w:rFonts w:hint="eastAsia" w:ascii="仿宋" w:hAnsi="仿宋" w:eastAsia="仿宋" w:cs="仿宋"/>
          <w:color w:val="auto"/>
          <w:kern w:val="0"/>
          <w:szCs w:val="21"/>
          <w:highlight w:val="none"/>
        </w:rPr>
        <w:t xml:space="preserve"> </w:t>
      </w:r>
      <w:r>
        <w:rPr>
          <w:rFonts w:hint="eastAsia" w:ascii="仿宋" w:hAnsi="仿宋" w:eastAsia="仿宋" w:cs="仿宋"/>
          <w:color w:val="auto"/>
          <w:szCs w:val="21"/>
          <w:highlight w:val="none"/>
        </w:rPr>
        <w:t>成交供应商在收到采购代理机构的成交通知书后10日内，应当按照</w:t>
      </w:r>
      <w:r>
        <w:rPr>
          <w:rFonts w:hint="eastAsia" w:ascii="仿宋" w:hAnsi="仿宋" w:eastAsia="仿宋" w:cs="仿宋"/>
          <w:b/>
          <w:color w:val="auto"/>
          <w:szCs w:val="21"/>
          <w:highlight w:val="none"/>
        </w:rPr>
        <w:t>供应商须知前附表</w:t>
      </w:r>
      <w:r>
        <w:rPr>
          <w:rFonts w:hint="eastAsia" w:ascii="仿宋" w:hAnsi="仿宋" w:eastAsia="仿宋" w:cs="仿宋"/>
          <w:color w:val="auto"/>
          <w:szCs w:val="21"/>
          <w:highlight w:val="none"/>
        </w:rPr>
        <w:t>规定的形式、金额，向采购人提交履约保证金或履约担保。联合体成交的，履约保证金或履约担保由联合体各方或者联合体中牵头人的名义提交。</w:t>
      </w:r>
    </w:p>
    <w:p w14:paraId="35EB2C0F">
      <w:pPr>
        <w:pageBreakBefore w:val="0"/>
        <w:tabs>
          <w:tab w:val="left" w:pos="7665"/>
        </w:tabs>
        <w:kinsoku/>
        <w:wordWrap/>
        <w:overflowPunct/>
        <w:topLinePunct w:val="0"/>
        <w:bidi w:val="0"/>
        <w:spacing w:line="400" w:lineRule="exact"/>
        <w:ind w:firstLine="482"/>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9.1.3 成交供应商</w:t>
      </w:r>
      <w:r>
        <w:rPr>
          <w:rFonts w:hint="eastAsia" w:ascii="仿宋" w:hAnsi="仿宋" w:eastAsia="仿宋" w:cs="仿宋"/>
          <w:color w:val="auto"/>
          <w:spacing w:val="4"/>
          <w:szCs w:val="21"/>
          <w:highlight w:val="none"/>
        </w:rPr>
        <w:t>不能按照本章第9.1.2项规定</w:t>
      </w:r>
      <w:r>
        <w:rPr>
          <w:rFonts w:hint="eastAsia" w:ascii="仿宋" w:hAnsi="仿宋" w:eastAsia="仿宋" w:cs="仿宋"/>
          <w:color w:val="auto"/>
          <w:szCs w:val="21"/>
          <w:highlight w:val="none"/>
        </w:rPr>
        <w:t>提交履约保证金或履约担保的</w:t>
      </w:r>
      <w:r>
        <w:rPr>
          <w:rFonts w:hint="eastAsia" w:ascii="仿宋" w:hAnsi="仿宋" w:eastAsia="仿宋" w:cs="仿宋"/>
          <w:color w:val="auto"/>
          <w:spacing w:val="4"/>
          <w:szCs w:val="21"/>
          <w:highlight w:val="none"/>
        </w:rPr>
        <w:t>，视为放弃</w:t>
      </w:r>
      <w:r>
        <w:rPr>
          <w:rFonts w:hint="eastAsia" w:ascii="仿宋" w:hAnsi="仿宋" w:eastAsia="仿宋" w:cs="仿宋"/>
          <w:color w:val="auto"/>
          <w:szCs w:val="21"/>
          <w:highlight w:val="none"/>
        </w:rPr>
        <w:t>成交资格</w:t>
      </w:r>
      <w:r>
        <w:rPr>
          <w:rFonts w:hint="eastAsia" w:ascii="仿宋" w:hAnsi="仿宋" w:eastAsia="仿宋" w:cs="仿宋"/>
          <w:color w:val="auto"/>
          <w:spacing w:val="4"/>
          <w:szCs w:val="21"/>
          <w:highlight w:val="none"/>
        </w:rPr>
        <w:t>，</w:t>
      </w:r>
      <w:r>
        <w:rPr>
          <w:rFonts w:hint="eastAsia" w:ascii="仿宋" w:hAnsi="仿宋" w:eastAsia="仿宋" w:cs="仿宋"/>
          <w:color w:val="auto"/>
          <w:spacing w:val="2"/>
          <w:szCs w:val="21"/>
          <w:highlight w:val="none"/>
        </w:rPr>
        <w:t>其磋商保证金不予退还，给采购人造成的损失超过磋商保证金金额的，成交供应商应当对超过部分予以赔偿。</w:t>
      </w:r>
    </w:p>
    <w:p w14:paraId="1F502F10">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9.2签订合同</w:t>
      </w:r>
    </w:p>
    <w:p w14:paraId="768A549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9.2.1 成交供应商应在《成交通知书》发出之日起30日内与采购人签订采购合同。成交供应商无正当理由拒签合同，或者在签订合同时向采购人提出附件条件，采购人有权取消其成交资格，其磋商保证金不予退还，给采购人造成的损失超过磋商保证金金额的，</w:t>
      </w:r>
      <w:r>
        <w:rPr>
          <w:rFonts w:hint="eastAsia" w:ascii="仿宋" w:hAnsi="仿宋" w:eastAsia="仿宋" w:cs="仿宋"/>
          <w:color w:val="auto"/>
          <w:spacing w:val="2"/>
          <w:szCs w:val="21"/>
          <w:highlight w:val="none"/>
        </w:rPr>
        <w:t>成交供应商应当对超过部分予以赔偿。采购人可以</w:t>
      </w:r>
      <w:r>
        <w:rPr>
          <w:rFonts w:hint="eastAsia" w:ascii="仿宋" w:hAnsi="仿宋" w:eastAsia="仿宋" w:cs="仿宋"/>
          <w:color w:val="auto"/>
          <w:szCs w:val="21"/>
          <w:highlight w:val="none"/>
        </w:rPr>
        <w:t>与排在成交供应商之后第一位的成交候选人签订采购合同，或者重新开展采购活动。拒绝签订政府采购合同的成交供应商不得参加对该项目重新开展的采购活动。</w:t>
      </w:r>
    </w:p>
    <w:p w14:paraId="4C2C31A5">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9.2.2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3A8A4AC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9.2.3 成交供应商因不可抗力原因不能履行采购合同或放弃成交资格的，采购人可以与排在成交供应商之后第一位的成交候选人签订采购合同，以此类推。</w:t>
      </w:r>
    </w:p>
    <w:p w14:paraId="37CEE46B">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9.2.4 联合体成交的，联合体各方应当与采购人签订采购合同，就成交项目向采购人承担连带责任。</w:t>
      </w:r>
    </w:p>
    <w:p w14:paraId="2F111668">
      <w:pPr>
        <w:pageBreakBefore w:val="0"/>
        <w:tabs>
          <w:tab w:val="left" w:pos="426"/>
        </w:tabs>
        <w:kinsoku/>
        <w:wordWrap/>
        <w:overflowPunct/>
        <w:topLinePunct w:val="0"/>
        <w:autoSpaceDE w:val="0"/>
        <w:autoSpaceDN w:val="0"/>
        <w:bidi w:val="0"/>
        <w:adjustRightInd w:val="0"/>
        <w:snapToGrid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9.3合同履行</w:t>
      </w:r>
    </w:p>
    <w:p w14:paraId="0D61D38C">
      <w:pPr>
        <w:pageBreakBefore w:val="0"/>
        <w:tabs>
          <w:tab w:val="left" w:pos="426"/>
        </w:tabs>
        <w:kinsoku/>
        <w:wordWrap/>
        <w:overflowPunct/>
        <w:topLinePunct w:val="0"/>
        <w:autoSpaceDE w:val="0"/>
        <w:autoSpaceDN w:val="0"/>
        <w:bidi w:val="0"/>
        <w:adjustRightInd w:val="0"/>
        <w:snapToGrid w:val="0"/>
        <w:spacing w:line="400" w:lineRule="exact"/>
        <w:ind w:firstLine="420" w:firstLineChars="200"/>
        <w:rPr>
          <w:rFonts w:hint="eastAsia" w:ascii="仿宋" w:hAnsi="仿宋" w:eastAsia="仿宋" w:cs="仿宋"/>
          <w:color w:val="auto"/>
          <w:szCs w:val="21"/>
          <w:highlight w:val="none"/>
        </w:rPr>
      </w:pPr>
      <w:bookmarkStart w:id="139" w:name="_Toc24807"/>
      <w:bookmarkStart w:id="140" w:name="_Toc24810"/>
      <w:bookmarkStart w:id="141" w:name="_Toc31825"/>
      <w:bookmarkStart w:id="142" w:name="_Toc6253"/>
      <w:bookmarkStart w:id="143" w:name="_Toc26211_WPSOffice_Level2"/>
      <w:bookmarkStart w:id="144" w:name="_Toc1956"/>
      <w:bookmarkStart w:id="145" w:name="_Toc19504"/>
      <w:r>
        <w:rPr>
          <w:rFonts w:hint="eastAsia" w:ascii="仿宋" w:hAnsi="仿宋" w:eastAsia="仿宋" w:cs="仿宋"/>
          <w:color w:val="auto"/>
          <w:szCs w:val="21"/>
          <w:highlight w:val="none"/>
        </w:rPr>
        <w:t>9.3.1 政府采购合同的履行、违约责任和解决争议的方法等适用《</w:t>
      </w:r>
      <w:r>
        <w:rPr>
          <w:rFonts w:hint="eastAsia" w:ascii="仿宋" w:hAnsi="仿宋" w:eastAsia="仿宋" w:cs="仿宋"/>
          <w:color w:val="auto"/>
          <w:szCs w:val="21"/>
          <w:highlight w:val="none"/>
          <w:lang w:eastAsia="zh-CN"/>
        </w:rPr>
        <w:t>中华人民共和国民法典</w:t>
      </w:r>
      <w:r>
        <w:rPr>
          <w:rFonts w:hint="eastAsia" w:ascii="仿宋" w:hAnsi="仿宋" w:eastAsia="仿宋" w:cs="仿宋"/>
          <w:color w:val="auto"/>
          <w:szCs w:val="21"/>
          <w:highlight w:val="none"/>
        </w:rPr>
        <w:t>》。</w:t>
      </w:r>
    </w:p>
    <w:p w14:paraId="5530ECAF">
      <w:pPr>
        <w:pageBreakBefore w:val="0"/>
        <w:tabs>
          <w:tab w:val="left" w:pos="426"/>
        </w:tabs>
        <w:kinsoku/>
        <w:wordWrap/>
        <w:overflowPunct/>
        <w:topLinePunct w:val="0"/>
        <w:autoSpaceDE w:val="0"/>
        <w:autoSpaceDN w:val="0"/>
        <w:bidi w:val="0"/>
        <w:adjustRightInd w:val="0"/>
        <w:snapToGrid w:val="0"/>
        <w:spacing w:line="400" w:lineRule="exact"/>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9.3.2 </w:t>
      </w:r>
      <w:r>
        <w:rPr>
          <w:rFonts w:hint="eastAsia" w:ascii="仿宋" w:hAnsi="仿宋" w:eastAsia="仿宋" w:cs="仿宋"/>
          <w:color w:val="auto"/>
          <w:szCs w:val="21"/>
          <w:highlight w:val="none"/>
          <w:lang w:eastAsia="zh-TW"/>
        </w:rPr>
        <w:t>政府采购合同订立后，合同各方不得擅自变更</w:t>
      </w:r>
      <w:r>
        <w:rPr>
          <w:rFonts w:hint="eastAsia" w:ascii="仿宋" w:hAnsi="仿宋" w:eastAsia="仿宋" w:cs="仿宋"/>
          <w:color w:val="auto"/>
          <w:szCs w:val="21"/>
          <w:highlight w:val="none"/>
        </w:rPr>
        <w:t>或者</w:t>
      </w:r>
      <w:r>
        <w:rPr>
          <w:rFonts w:hint="eastAsia" w:ascii="仿宋" w:hAnsi="仿宋" w:eastAsia="仿宋" w:cs="仿宋"/>
          <w:color w:val="auto"/>
          <w:szCs w:val="21"/>
          <w:highlight w:val="none"/>
          <w:lang w:eastAsia="zh-TW"/>
        </w:rPr>
        <w:t>中止或者终止合同。政府采购合同需要变更的，采购人应将有关合同变更内容，以书面形式报政府采购监督管理</w:t>
      </w:r>
      <w:r>
        <w:rPr>
          <w:rFonts w:hint="eastAsia" w:ascii="仿宋" w:hAnsi="仿宋" w:eastAsia="仿宋" w:cs="仿宋"/>
          <w:color w:val="auto"/>
          <w:szCs w:val="21"/>
          <w:highlight w:val="none"/>
        </w:rPr>
        <w:t>部门</w:t>
      </w:r>
      <w:r>
        <w:rPr>
          <w:rFonts w:hint="eastAsia" w:ascii="仿宋" w:hAnsi="仿宋" w:eastAsia="仿宋" w:cs="仿宋"/>
          <w:color w:val="auto"/>
          <w:szCs w:val="21"/>
          <w:highlight w:val="none"/>
          <w:lang w:eastAsia="zh-TW"/>
        </w:rPr>
        <w:t>备案；因特殊情况需要中止或终止合同的，采购人应将中止或终止合同的理由以及相应措施，以书面形式报政府采购监督管理</w:t>
      </w:r>
      <w:r>
        <w:rPr>
          <w:rFonts w:hint="eastAsia" w:ascii="仿宋" w:hAnsi="仿宋" w:eastAsia="仿宋" w:cs="仿宋"/>
          <w:color w:val="auto"/>
          <w:szCs w:val="21"/>
          <w:highlight w:val="none"/>
        </w:rPr>
        <w:t>部门</w:t>
      </w:r>
      <w:r>
        <w:rPr>
          <w:rFonts w:hint="eastAsia" w:ascii="仿宋" w:hAnsi="仿宋" w:eastAsia="仿宋" w:cs="仿宋"/>
          <w:color w:val="auto"/>
          <w:szCs w:val="21"/>
          <w:highlight w:val="none"/>
          <w:lang w:eastAsia="zh-TW"/>
        </w:rPr>
        <w:t>备案。</w:t>
      </w:r>
    </w:p>
    <w:p w14:paraId="102292DB">
      <w:pPr>
        <w:pageBreakBefore w:val="0"/>
        <w:tabs>
          <w:tab w:val="left" w:pos="426"/>
        </w:tabs>
        <w:kinsoku/>
        <w:wordWrap/>
        <w:overflowPunct/>
        <w:topLinePunct w:val="0"/>
        <w:autoSpaceDE w:val="0"/>
        <w:autoSpaceDN w:val="0"/>
        <w:bidi w:val="0"/>
        <w:adjustRightInd w:val="0"/>
        <w:snapToGrid w:val="0"/>
        <w:spacing w:line="400" w:lineRule="exact"/>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9.3.3 </w:t>
      </w:r>
      <w:r>
        <w:rPr>
          <w:rFonts w:hint="eastAsia" w:ascii="仿宋" w:hAnsi="仿宋" w:eastAsia="仿宋" w:cs="仿宋"/>
          <w:color w:val="auto"/>
          <w:szCs w:val="21"/>
          <w:highlight w:val="none"/>
          <w:lang w:eastAsia="zh-TW"/>
        </w:rPr>
        <w:t>政府采购合同履行中，采购人需追加与合同标的相同的货物的，在不改变合同其他条款的前提下，可以与</w:t>
      </w:r>
      <w:r>
        <w:rPr>
          <w:rFonts w:hint="eastAsia" w:ascii="仿宋" w:hAnsi="仿宋" w:eastAsia="仿宋" w:cs="仿宋"/>
          <w:color w:val="auto"/>
          <w:szCs w:val="21"/>
          <w:highlight w:val="none"/>
        </w:rPr>
        <w:t>成交供应商</w:t>
      </w:r>
      <w:r>
        <w:rPr>
          <w:rFonts w:hint="eastAsia" w:ascii="仿宋" w:hAnsi="仿宋" w:eastAsia="仿宋" w:cs="仿宋"/>
          <w:color w:val="auto"/>
          <w:szCs w:val="21"/>
          <w:highlight w:val="none"/>
          <w:lang w:eastAsia="zh-TW"/>
        </w:rPr>
        <w:t>签订补充合同，但所补充合同的采购金额不得超过原</w:t>
      </w:r>
      <w:r>
        <w:rPr>
          <w:rFonts w:hint="eastAsia" w:ascii="仿宋" w:hAnsi="仿宋" w:eastAsia="仿宋" w:cs="仿宋"/>
          <w:color w:val="auto"/>
          <w:szCs w:val="21"/>
          <w:highlight w:val="none"/>
        </w:rPr>
        <w:t>合同</w:t>
      </w:r>
      <w:r>
        <w:rPr>
          <w:rFonts w:hint="eastAsia" w:ascii="仿宋" w:hAnsi="仿宋" w:eastAsia="仿宋" w:cs="仿宋"/>
          <w:color w:val="auto"/>
          <w:szCs w:val="21"/>
          <w:highlight w:val="none"/>
          <w:lang w:eastAsia="zh-TW"/>
        </w:rPr>
        <w:t>采购金额的百分之十。签订补充合同的</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eastAsia="zh-TW"/>
        </w:rPr>
        <w:t>按规定备案。</w:t>
      </w:r>
    </w:p>
    <w:p w14:paraId="35EDBF16">
      <w:pPr>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10.终止磋商</w:t>
      </w:r>
      <w:bookmarkEnd w:id="139"/>
      <w:bookmarkEnd w:id="140"/>
      <w:bookmarkEnd w:id="141"/>
      <w:bookmarkEnd w:id="142"/>
      <w:bookmarkEnd w:id="143"/>
      <w:bookmarkEnd w:id="144"/>
      <w:bookmarkEnd w:id="145"/>
    </w:p>
    <w:p w14:paraId="28F11220">
      <w:pPr>
        <w:pageBreakBefore w:val="0"/>
        <w:widowControl/>
        <w:kinsoku/>
        <w:wordWrap/>
        <w:overflowPunct/>
        <w:topLinePunct w:val="0"/>
        <w:bidi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出现下列情形之一的，采购人或者采购代理机构应当终止本次竞争性磋商采购活动，发布终止公告并说明原因，重新开展采购活动：</w:t>
      </w:r>
    </w:p>
    <w:p w14:paraId="2AEA0C61">
      <w:pPr>
        <w:pageBreakBefore w:val="0"/>
        <w:widowControl/>
        <w:kinsoku/>
        <w:wordWrap/>
        <w:overflowPunct/>
        <w:topLinePunct w:val="0"/>
        <w:bidi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（1）因情况变化，不再符合规定的竞争性磋商采购方式适用情形的；</w:t>
      </w:r>
    </w:p>
    <w:p w14:paraId="47442724">
      <w:pPr>
        <w:pageBreakBefore w:val="0"/>
        <w:widowControl/>
        <w:kinsoku/>
        <w:wordWrap/>
        <w:overflowPunct/>
        <w:topLinePunct w:val="0"/>
        <w:bidi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（2）出现影响采购公正的违法、违规行为的；</w:t>
      </w:r>
    </w:p>
    <w:p w14:paraId="4FA4091B">
      <w:pPr>
        <w:pageBreakBefore w:val="0"/>
        <w:widowControl/>
        <w:kinsoku/>
        <w:wordWrap/>
        <w:overflowPunct/>
        <w:topLinePunct w:val="0"/>
        <w:bidi w:val="0"/>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snapToGrid w:val="0"/>
          <w:color w:val="auto"/>
          <w:kern w:val="0"/>
          <w:szCs w:val="21"/>
          <w:highlight w:val="none"/>
        </w:rPr>
        <w:t>（3）除《政府采购竞争性磋商采购方式管理暂行办法》办法第21条第3款规定的情形外，在采购过程中符合要求的供应商或者磋商报价未超过采购预算</w:t>
      </w:r>
      <w:r>
        <w:rPr>
          <w:rFonts w:hint="eastAsia" w:ascii="仿宋" w:hAnsi="仿宋" w:eastAsia="仿宋" w:cs="仿宋"/>
          <w:bCs/>
          <w:color w:val="auto"/>
          <w:szCs w:val="21"/>
          <w:highlight w:val="none"/>
        </w:rPr>
        <w:t>（最高限价）</w:t>
      </w:r>
      <w:r>
        <w:rPr>
          <w:rFonts w:hint="eastAsia" w:ascii="仿宋" w:hAnsi="仿宋" w:eastAsia="仿宋" w:cs="仿宋"/>
          <w:bCs/>
          <w:snapToGrid w:val="0"/>
          <w:color w:val="auto"/>
          <w:kern w:val="0"/>
          <w:szCs w:val="21"/>
          <w:highlight w:val="none"/>
        </w:rPr>
        <w:t>的供</w:t>
      </w:r>
      <w:r>
        <w:rPr>
          <w:rFonts w:hint="eastAsia" w:ascii="仿宋" w:hAnsi="仿宋" w:eastAsia="仿宋" w:cs="仿宋"/>
          <w:snapToGrid w:val="0"/>
          <w:color w:val="auto"/>
          <w:kern w:val="0"/>
          <w:szCs w:val="21"/>
          <w:highlight w:val="none"/>
        </w:rPr>
        <w:t>应商不足3家的。</w:t>
      </w:r>
    </w:p>
    <w:p w14:paraId="1555C07F">
      <w:pPr>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bookmarkStart w:id="146" w:name="_Toc959"/>
      <w:bookmarkStart w:id="147" w:name="_Toc24671"/>
      <w:bookmarkStart w:id="148" w:name="_Toc10593"/>
      <w:bookmarkStart w:id="149" w:name="_Toc5167"/>
      <w:bookmarkStart w:id="150" w:name="_Toc6277"/>
      <w:bookmarkStart w:id="151" w:name="_Toc17887"/>
      <w:bookmarkStart w:id="152" w:name="_Toc32599_WPSOffice_Level2"/>
      <w:r>
        <w:rPr>
          <w:rFonts w:hint="eastAsia" w:ascii="仿宋" w:hAnsi="仿宋" w:eastAsia="仿宋" w:cs="仿宋"/>
          <w:color w:val="auto"/>
          <w:sz w:val="36"/>
          <w:szCs w:val="36"/>
          <w:highlight w:val="none"/>
        </w:rPr>
        <w:t>11.采购代理服务费</w:t>
      </w:r>
      <w:bookmarkEnd w:id="146"/>
      <w:bookmarkEnd w:id="147"/>
      <w:bookmarkEnd w:id="148"/>
      <w:bookmarkEnd w:id="149"/>
      <w:bookmarkEnd w:id="150"/>
      <w:bookmarkEnd w:id="151"/>
      <w:bookmarkEnd w:id="152"/>
    </w:p>
    <w:tbl>
      <w:tblPr>
        <w:tblStyle w:val="44"/>
        <w:tblpPr w:leftFromText="180" w:rightFromText="180" w:vertAnchor="text" w:horzAnchor="margin" w:tblpXSpec="center" w:tblpY="178"/>
        <w:tblW w:w="0" w:type="auto"/>
        <w:jc w:val="center"/>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8495"/>
      </w:tblGrid>
      <w:tr w14:paraId="074F924F">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540" w:hRule="atLeast"/>
          <w:jc w:val="center"/>
        </w:trPr>
        <w:tc>
          <w:tcPr>
            <w:tcW w:w="8495" w:type="dxa"/>
            <w:tcBorders>
              <w:top w:val="triple" w:color="auto" w:sz="4" w:space="0"/>
              <w:left w:val="triple" w:color="auto" w:sz="4" w:space="0"/>
              <w:bottom w:val="dotted" w:color="auto" w:sz="4" w:space="0"/>
              <w:right w:val="triple" w:color="auto" w:sz="4" w:space="0"/>
            </w:tcBorders>
            <w:noWrap w:val="0"/>
            <w:vAlign w:val="center"/>
          </w:tcPr>
          <w:p w14:paraId="48552D6A">
            <w:pPr>
              <w:keepNext w:val="0"/>
              <w:keepLines w:val="0"/>
              <w:pageBreakBefore w:val="0"/>
              <w:suppressLineNumbers w:val="0"/>
              <w:kinsoku/>
              <w:wordWrap/>
              <w:overflowPunct/>
              <w:topLinePunct w:val="0"/>
              <w:bidi w:val="0"/>
              <w:spacing w:before="0" w:beforeAutospacing="0" w:after="0" w:afterAutospacing="0" w:line="240" w:lineRule="auto"/>
              <w:ind w:left="0" w:right="0" w:firstLine="573"/>
              <w:rPr>
                <w:rFonts w:hint="eastAsia" w:ascii="仿宋" w:hAnsi="仿宋" w:eastAsia="仿宋" w:cs="仿宋"/>
                <w:b/>
                <w:sz w:val="28"/>
                <w:szCs w:val="28"/>
              </w:rPr>
            </w:pPr>
            <w:r>
              <w:rPr>
                <w:rFonts w:hint="eastAsia" w:ascii="仿宋" w:hAnsi="仿宋" w:eastAsia="仿宋" w:cs="仿宋"/>
                <w:b/>
                <w:sz w:val="28"/>
                <w:szCs w:val="28"/>
              </w:rPr>
              <w:t>招标服务费</w:t>
            </w:r>
          </w:p>
        </w:tc>
      </w:tr>
      <w:tr w14:paraId="42FA7FA0">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1723" w:hRule="atLeast"/>
          <w:jc w:val="center"/>
        </w:trPr>
        <w:tc>
          <w:tcPr>
            <w:tcW w:w="8495" w:type="dxa"/>
            <w:tcBorders>
              <w:top w:val="dotted" w:color="auto" w:sz="4" w:space="0"/>
              <w:left w:val="triple" w:color="auto" w:sz="4" w:space="0"/>
              <w:bottom w:val="triple" w:color="auto" w:sz="4" w:space="0"/>
              <w:right w:val="triple" w:color="auto" w:sz="4" w:space="0"/>
            </w:tcBorders>
            <w:noWrap w:val="0"/>
            <w:vAlign w:val="center"/>
          </w:tcPr>
          <w:p w14:paraId="6D89C715">
            <w:pPr>
              <w:keepNext w:val="0"/>
              <w:keepLines w:val="0"/>
              <w:pageBreakBefore w:val="0"/>
              <w:suppressLineNumbers w:val="0"/>
              <w:kinsoku/>
              <w:wordWrap/>
              <w:overflowPunct/>
              <w:topLinePunct w:val="0"/>
              <w:bidi w:val="0"/>
              <w:spacing w:before="0" w:beforeAutospacing="0" w:after="0" w:afterAutospacing="0" w:line="360" w:lineRule="auto"/>
              <w:ind w:left="0" w:right="0" w:firstLine="562" w:firstLineChars="200"/>
              <w:rPr>
                <w:rFonts w:hint="eastAsia" w:ascii="仿宋" w:hAnsi="仿宋" w:eastAsia="仿宋" w:cs="仿宋"/>
                <w:b/>
                <w:sz w:val="28"/>
                <w:szCs w:val="28"/>
              </w:rPr>
            </w:pPr>
            <w:r>
              <w:rPr>
                <w:rFonts w:hint="eastAsia" w:ascii="仿宋" w:hAnsi="仿宋" w:eastAsia="仿宋" w:cs="仿宋"/>
                <w:b/>
                <w:sz w:val="28"/>
                <w:szCs w:val="28"/>
              </w:rPr>
              <w:t>账户名称:陕西顺捷瑞工程项目管理有限公司</w:t>
            </w:r>
          </w:p>
          <w:p w14:paraId="797E0F00">
            <w:pPr>
              <w:keepNext w:val="0"/>
              <w:keepLines w:val="0"/>
              <w:pageBreakBefore w:val="0"/>
              <w:suppressLineNumbers w:val="0"/>
              <w:kinsoku/>
              <w:wordWrap/>
              <w:overflowPunct/>
              <w:topLinePunct w:val="0"/>
              <w:bidi w:val="0"/>
              <w:spacing w:before="0" w:beforeAutospacing="0" w:after="0" w:afterAutospacing="0" w:line="360" w:lineRule="auto"/>
              <w:ind w:left="0" w:right="0" w:firstLine="562" w:firstLineChars="200"/>
              <w:rPr>
                <w:rFonts w:hint="eastAsia" w:ascii="仿宋" w:hAnsi="仿宋" w:eastAsia="仿宋" w:cs="仿宋"/>
                <w:b/>
                <w:sz w:val="28"/>
                <w:szCs w:val="28"/>
              </w:rPr>
            </w:pPr>
            <w:r>
              <w:rPr>
                <w:rFonts w:hint="eastAsia" w:ascii="仿宋" w:hAnsi="仿宋" w:eastAsia="仿宋" w:cs="仿宋"/>
                <w:b/>
                <w:sz w:val="28"/>
                <w:szCs w:val="28"/>
              </w:rPr>
              <w:t>账户号码:3700111609200048771</w:t>
            </w:r>
          </w:p>
          <w:p w14:paraId="2DD32FCF">
            <w:pPr>
              <w:keepNext w:val="0"/>
              <w:keepLines w:val="0"/>
              <w:pageBreakBefore w:val="0"/>
              <w:suppressLineNumbers w:val="0"/>
              <w:kinsoku/>
              <w:wordWrap/>
              <w:overflowPunct/>
              <w:topLinePunct w:val="0"/>
              <w:bidi w:val="0"/>
              <w:spacing w:before="0" w:beforeAutospacing="0" w:after="0" w:afterAutospacing="0" w:line="360" w:lineRule="auto"/>
              <w:ind w:left="0" w:right="0" w:firstLine="562" w:firstLineChars="200"/>
              <w:rPr>
                <w:rFonts w:hint="eastAsia" w:ascii="仿宋" w:hAnsi="仿宋" w:eastAsia="仿宋" w:cs="仿宋"/>
                <w:b/>
                <w:sz w:val="28"/>
                <w:szCs w:val="28"/>
              </w:rPr>
            </w:pPr>
            <w:r>
              <w:rPr>
                <w:rFonts w:hint="eastAsia" w:ascii="仿宋" w:hAnsi="仿宋" w:eastAsia="仿宋" w:cs="仿宋"/>
                <w:b/>
                <w:sz w:val="28"/>
                <w:szCs w:val="28"/>
              </w:rPr>
              <w:t>开户银行:中国工商银行股份有限公司西安北大街支行</w:t>
            </w:r>
          </w:p>
        </w:tc>
      </w:tr>
    </w:tbl>
    <w:p w14:paraId="7E458BEF">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11.1 成交供应商</w:t>
      </w:r>
      <w:r>
        <w:rPr>
          <w:rFonts w:hint="eastAsia" w:ascii="仿宋" w:hAnsi="仿宋" w:eastAsia="仿宋" w:cs="仿宋"/>
          <w:color w:val="auto"/>
          <w:szCs w:val="21"/>
          <w:highlight w:val="none"/>
          <w:lang w:eastAsia="zh-CN"/>
        </w:rPr>
        <w:t>支付</w:t>
      </w:r>
      <w:r>
        <w:rPr>
          <w:rFonts w:hint="eastAsia" w:ascii="仿宋" w:hAnsi="仿宋" w:eastAsia="仿宋" w:cs="仿宋"/>
          <w:color w:val="auto"/>
          <w:szCs w:val="21"/>
          <w:highlight w:val="none"/>
        </w:rPr>
        <w:t>采购代理服务费</w:t>
      </w:r>
      <w:r>
        <w:rPr>
          <w:rFonts w:hint="eastAsia" w:ascii="仿宋" w:hAnsi="仿宋" w:eastAsia="仿宋" w:cs="仿宋"/>
          <w:color w:val="auto"/>
          <w:szCs w:val="21"/>
          <w:highlight w:val="none"/>
          <w:lang w:eastAsia="zh-CN"/>
        </w:rPr>
        <w:t>。</w:t>
      </w:r>
    </w:p>
    <w:p w14:paraId="2933A446">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采购代理服务费依据《国家计委关于印发招标代理服务收费管理暂行办法的通知》（计价格【2002】1980号）和国家发改委办公厅颁发的《关于招标代理服务收费有关问题的通知》（发改办价格【2003】857号）文件规定标准收取。具体采购代理服务费收费金额将在成交公告中公布。</w:t>
      </w:r>
    </w:p>
    <w:p w14:paraId="3823033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采购代理服务费，可以采取现金、支票、银行汇票、电汇、网银等方式交纳，但不得用磋商保证金冲抵。</w:t>
      </w:r>
    </w:p>
    <w:p w14:paraId="2842E136">
      <w:pPr>
        <w:pageBreakBefore w:val="0"/>
        <w:kinsoku/>
        <w:wordWrap/>
        <w:overflowPunct/>
        <w:topLinePunct w:val="0"/>
        <w:bidi w:val="0"/>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11.4 成交供应商未按本章11.1条款规定缴纳采购代理服务费的，其磋商保证金将被采购代理机构全额没收。</w:t>
      </w:r>
    </w:p>
    <w:bookmarkEnd w:id="137"/>
    <w:p w14:paraId="78F78F00">
      <w:pPr>
        <w:pageBreakBefore w:val="0"/>
        <w:kinsoku/>
        <w:wordWrap/>
        <w:overflowPunct/>
        <w:topLinePunct w:val="0"/>
        <w:bidi w:val="0"/>
        <w:spacing w:before="240" w:beforeLines="100" w:after="120" w:afterLines="50" w:line="400" w:lineRule="exact"/>
        <w:outlineLvl w:val="1"/>
        <w:rPr>
          <w:rFonts w:hint="eastAsia" w:ascii="仿宋" w:hAnsi="仿宋" w:eastAsia="仿宋" w:cs="仿宋"/>
          <w:color w:val="auto"/>
          <w:sz w:val="36"/>
          <w:szCs w:val="36"/>
          <w:highlight w:val="none"/>
        </w:rPr>
      </w:pPr>
      <w:bookmarkStart w:id="153" w:name="_Toc12558"/>
      <w:bookmarkStart w:id="154" w:name="_Toc25506"/>
      <w:bookmarkStart w:id="155" w:name="_Toc25673"/>
      <w:bookmarkStart w:id="156" w:name="_Toc5346"/>
      <w:bookmarkStart w:id="157" w:name="_Toc5669_WPSOffice_Level2"/>
      <w:bookmarkStart w:id="158" w:name="_Toc19478"/>
      <w:bookmarkStart w:id="159" w:name="_Toc27185"/>
      <w:r>
        <w:rPr>
          <w:rFonts w:hint="eastAsia" w:ascii="仿宋" w:hAnsi="仿宋" w:eastAsia="仿宋" w:cs="仿宋"/>
          <w:color w:val="auto"/>
          <w:sz w:val="36"/>
          <w:szCs w:val="36"/>
          <w:highlight w:val="none"/>
        </w:rPr>
        <w:t>12.质疑与投诉</w:t>
      </w:r>
      <w:bookmarkEnd w:id="153"/>
      <w:bookmarkEnd w:id="154"/>
      <w:bookmarkEnd w:id="155"/>
      <w:bookmarkEnd w:id="156"/>
      <w:bookmarkEnd w:id="157"/>
      <w:bookmarkEnd w:id="158"/>
      <w:bookmarkEnd w:id="159"/>
    </w:p>
    <w:p w14:paraId="55B9DC1C">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12.1质疑</w:t>
      </w:r>
    </w:p>
    <w:p w14:paraId="0724088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12.1.1供应商对本次磋商采购活动有疑问的，应当按照《中华人民共和国政府采购法实施条例》的有关规定办理。</w:t>
      </w:r>
    </w:p>
    <w:p w14:paraId="01FBCDB3">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 供应商对采购文件、采购过程或成交结果使自身的合法权益受到损害，应当在法定期限内，按照质疑函范本格式要求以书面形式向采购代理机构或采购人提出质疑，并附必要的证明材料。</w:t>
      </w:r>
    </w:p>
    <w:p w14:paraId="49287FC8">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12.1.3 质疑函应当包括下列内容：</w:t>
      </w:r>
    </w:p>
    <w:p w14:paraId="55F66413">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（1）供应商的姓名或者名称、地址、邮编、联系人及联系电话；</w:t>
      </w:r>
    </w:p>
    <w:p w14:paraId="1D41DEA2">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（2）质疑项目的名称、编号；</w:t>
      </w:r>
    </w:p>
    <w:p w14:paraId="4CD38501">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（3）具体、明确的质疑事项和与质疑事项相关的请求；</w:t>
      </w:r>
    </w:p>
    <w:p w14:paraId="5D9F089F">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（4）事实依据；</w:t>
      </w:r>
    </w:p>
    <w:p w14:paraId="6C3060B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（5）必要的法律依据；</w:t>
      </w:r>
    </w:p>
    <w:p w14:paraId="4D7CD2C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（6）提出质疑的日期。</w:t>
      </w:r>
    </w:p>
    <w:p w14:paraId="705277CB">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供应商为法人的，应当由法定代表人或者其</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签字或者盖章，并加盖单位章。</w:t>
      </w:r>
    </w:p>
    <w:p w14:paraId="120DF8DF">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12.1.4质疑人可以</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办理质疑事项，代理人办理质疑事项时，除提交质疑函外，还应当提交质疑人的授权委托书及代理人的有效身份证明，授权委托书应当载明委托代理的具体权限期限和相关事项。</w:t>
      </w:r>
    </w:p>
    <w:p w14:paraId="3F4B2AF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12.1.5 质疑函范本格式在中国政府采购网站（http://www.ccgp.gov.cn/）自行下载。</w:t>
      </w:r>
    </w:p>
    <w:p w14:paraId="5263D8C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12.1.6 接收质疑函的联系部门、联系电话和通讯地址同招标公告。</w:t>
      </w:r>
    </w:p>
    <w:p w14:paraId="7F86096E">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12.1.7 有下列情形之一的，属于无效质疑，采购代理机构和采购人不予受理：</w:t>
      </w:r>
    </w:p>
    <w:p w14:paraId="29857618">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（1）质疑人不是参与本次政府采购项目的供应商；</w:t>
      </w:r>
    </w:p>
    <w:p w14:paraId="188D9AB3">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（2）质疑人与质疑事项不存在利害关系的；</w:t>
      </w:r>
    </w:p>
    <w:p w14:paraId="39996108">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（3）未在法定期限内提出质疑的；</w:t>
      </w:r>
    </w:p>
    <w:p w14:paraId="3F164CBA">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（4）质疑未以书面形式提出，以传真、电子邮件、移动通信等形式即时收悉提交的质疑材料；</w:t>
      </w:r>
    </w:p>
    <w:p w14:paraId="3FDF387B">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（5）质疑未按质疑函范本格式提出的；</w:t>
      </w:r>
    </w:p>
    <w:p w14:paraId="51D2EEB2">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（6）质疑书主要内容构成不完整的；</w:t>
      </w:r>
    </w:p>
    <w:p w14:paraId="3F63E409">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（7）质疑书没有合法有效的签字、盖章或授权的；</w:t>
      </w:r>
    </w:p>
    <w:p w14:paraId="03D078E9">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（8）以非法手段取得证据、材料的；</w:t>
      </w:r>
    </w:p>
    <w:p w14:paraId="5AD5AD78">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（9）质疑答复后，同一质疑人就同一事项再次提出质疑的；</w:t>
      </w:r>
    </w:p>
    <w:p w14:paraId="645D4AF2">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（10）不符合法律、法规、规章和政府采购监管机构规定的其他条件的。</w:t>
      </w:r>
    </w:p>
    <w:p w14:paraId="5376DEC7">
      <w:pPr>
        <w:pageBreakBefore w:val="0"/>
        <w:widowControl/>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12.1.8 采购代理机构或采购人将在收到书面质疑后7个工作日内做出答复，并以书面形式通知质疑人和其他有关供应商。</w:t>
      </w:r>
    </w:p>
    <w:p w14:paraId="63CEEE25">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12.2 投诉</w:t>
      </w:r>
    </w:p>
    <w:p w14:paraId="08D8F91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12.2.1 质疑人对采购代理机构或采购人的答复不满意，或者采购人、采购代理机构未在规定时间内作出答复的，可以在答复期满后15个工作日内向</w:t>
      </w:r>
      <w:r>
        <w:rPr>
          <w:rFonts w:hint="eastAsia" w:ascii="仿宋" w:hAnsi="仿宋" w:eastAsia="仿宋" w:cs="仿宋"/>
          <w:b/>
          <w:bCs/>
          <w:color w:val="auto"/>
          <w:szCs w:val="21"/>
          <w:highlight w:val="none"/>
          <w:lang w:val="en-US" w:eastAsia="zh-CN"/>
        </w:rPr>
        <w:t>留坝县财政局</w:t>
      </w:r>
      <w:r>
        <w:rPr>
          <w:rFonts w:hint="eastAsia" w:ascii="仿宋" w:hAnsi="仿宋" w:eastAsia="仿宋" w:cs="仿宋"/>
          <w:color w:val="auto"/>
          <w:szCs w:val="21"/>
          <w:highlight w:val="none"/>
        </w:rPr>
        <w:t>提起投诉</w:t>
      </w:r>
      <w:r>
        <w:rPr>
          <w:rFonts w:hint="eastAsia" w:ascii="仿宋" w:hAnsi="仿宋" w:eastAsia="仿宋" w:cs="仿宋"/>
          <w:color w:val="auto"/>
          <w:szCs w:val="21"/>
          <w:highlight w:val="none"/>
          <w:lang w:eastAsia="zh-CN"/>
        </w:rPr>
        <w:t>。</w:t>
      </w:r>
    </w:p>
    <w:p w14:paraId="55FF171C">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12.2.2 供应商投诉时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应当提交投诉书和必要的证明材料，并按照被投诉采购人、采购代理机构（以下简称被投诉人）和与投诉事项有关的供应商数量提供投诉书的副本。投诉书应当包括下列内容：</w:t>
      </w:r>
    </w:p>
    <w:p w14:paraId="08DE86B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（1）投诉人和被投诉人的姓名或者名称、通讯地址、邮编、联系人及联系电话；</w:t>
      </w:r>
    </w:p>
    <w:p w14:paraId="18B3D53C">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（2）质疑和质疑答复情况说明及相关证明材料；</w:t>
      </w:r>
    </w:p>
    <w:p w14:paraId="6FF9770E">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（3）具体、明确的投诉事项和与投诉事项相关的投诉请求；</w:t>
      </w:r>
    </w:p>
    <w:p w14:paraId="16AA4409">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（4）事实依据；</w:t>
      </w:r>
    </w:p>
    <w:p w14:paraId="5915F67E">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（5）法律依据；</w:t>
      </w:r>
    </w:p>
    <w:p w14:paraId="34D51E84">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（6）提起投诉的日期。</w:t>
      </w:r>
    </w:p>
    <w:p w14:paraId="4252D08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投诉人为自然人的，应当由本人签字；投诉人为法人或者其他组织的，应当由法定代表人、主要负责人，或者其</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签字或者盖章，并加盖单位章。</w:t>
      </w:r>
    </w:p>
    <w:p w14:paraId="77D0E3B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12.2.3 投诉书范本格式在中国政府采购网站（http://www.ccgp.gov.cn/）自行下载。</w:t>
      </w:r>
    </w:p>
    <w:p w14:paraId="755584B5">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12.2.4 投诉人提起投诉应当符合下列条件：</w:t>
      </w:r>
    </w:p>
    <w:p w14:paraId="5E79005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（1）提起投诉前已依法进行质疑；</w:t>
      </w:r>
    </w:p>
    <w:p w14:paraId="4C406BED">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（2）投诉书内容符合财政部94号令的规定；</w:t>
      </w:r>
    </w:p>
    <w:p w14:paraId="6120AA6B">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（3）在投诉有效期限内提起投诉；</w:t>
      </w:r>
    </w:p>
    <w:p w14:paraId="58870CBF">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（4）同一投诉事项未经财政部门投诉处理；</w:t>
      </w:r>
    </w:p>
    <w:p w14:paraId="54355D80">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（5）财政部规定的其他条件。</w:t>
      </w:r>
    </w:p>
    <w:p w14:paraId="1CB8491F">
      <w:pPr>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12.2.5  投诉人投诉的事项不得超出已质疑事项的范围，但基于质疑答复内容提出的投诉事项除外。</w:t>
      </w:r>
    </w:p>
    <w:p w14:paraId="5C588398">
      <w:pPr>
        <w:pageBreakBefore w:val="0"/>
        <w:kinsoku/>
        <w:wordWrap/>
        <w:overflowPunct/>
        <w:topLinePunct w:val="0"/>
        <w:bidi w:val="0"/>
        <w:spacing w:before="240" w:beforeLines="100" w:after="120" w:afterLines="50" w:line="400" w:lineRule="exact"/>
        <w:jc w:val="left"/>
        <w:outlineLvl w:val="1"/>
        <w:rPr>
          <w:rFonts w:hint="eastAsia" w:ascii="仿宋" w:hAnsi="仿宋" w:eastAsia="仿宋" w:cs="仿宋"/>
          <w:b/>
          <w:color w:val="auto"/>
          <w:sz w:val="36"/>
          <w:szCs w:val="36"/>
          <w:highlight w:val="none"/>
        </w:rPr>
      </w:pPr>
      <w:bookmarkStart w:id="160" w:name="_Toc27801"/>
      <w:bookmarkStart w:id="161" w:name="_Toc1987"/>
      <w:bookmarkStart w:id="162" w:name="_Toc25709_WPSOffice_Level2"/>
      <w:bookmarkStart w:id="163" w:name="_Toc1585"/>
      <w:bookmarkStart w:id="164" w:name="_Toc21385"/>
      <w:bookmarkStart w:id="165" w:name="_Toc15388"/>
      <w:bookmarkStart w:id="166" w:name="_Toc31760"/>
      <w:r>
        <w:rPr>
          <w:rFonts w:hint="eastAsia" w:ascii="仿宋" w:hAnsi="仿宋" w:eastAsia="仿宋" w:cs="仿宋"/>
          <w:bCs/>
          <w:color w:val="auto"/>
          <w:sz w:val="36"/>
          <w:szCs w:val="36"/>
          <w:highlight w:val="none"/>
        </w:rPr>
        <w:t>13</w:t>
      </w:r>
      <w:r>
        <w:rPr>
          <w:rFonts w:hint="eastAsia" w:ascii="仿宋" w:hAnsi="仿宋" w:eastAsia="仿宋" w:cs="仿宋"/>
          <w:b/>
          <w:color w:val="auto"/>
          <w:sz w:val="36"/>
          <w:szCs w:val="36"/>
          <w:highlight w:val="none"/>
        </w:rPr>
        <w:t>.</w:t>
      </w:r>
      <w:r>
        <w:rPr>
          <w:rFonts w:hint="eastAsia" w:ascii="仿宋" w:hAnsi="仿宋" w:eastAsia="仿宋" w:cs="仿宋"/>
          <w:bCs/>
          <w:color w:val="auto"/>
          <w:sz w:val="36"/>
          <w:szCs w:val="36"/>
          <w:highlight w:val="none"/>
        </w:rPr>
        <w:t>其他</w:t>
      </w:r>
      <w:bookmarkEnd w:id="160"/>
      <w:bookmarkEnd w:id="161"/>
      <w:bookmarkEnd w:id="162"/>
      <w:bookmarkEnd w:id="163"/>
      <w:bookmarkEnd w:id="164"/>
      <w:bookmarkEnd w:id="165"/>
      <w:bookmarkEnd w:id="166"/>
    </w:p>
    <w:p w14:paraId="66D236A3">
      <w:pPr>
        <w:pageBreakBefore w:val="0"/>
        <w:kinsoku/>
        <w:wordWrap/>
        <w:overflowPunct/>
        <w:topLinePunct w:val="0"/>
        <w:bidi w:val="0"/>
        <w:spacing w:before="120" w:beforeLines="50" w:after="120" w:afterLines="50" w:line="400" w:lineRule="exact"/>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13.1融资担保</w:t>
      </w:r>
    </w:p>
    <w:p w14:paraId="6838C793">
      <w:pPr>
        <w:pageBreakBefore w:val="0"/>
        <w:kinsoku/>
        <w:wordWrap/>
        <w:overflowPunct/>
        <w:topLinePunct w:val="0"/>
        <w:bidi w:val="0"/>
        <w:spacing w:before="120" w:beforeLines="50" w:after="120" w:afterLines="50" w:line="400" w:lineRule="exact"/>
        <w:ind w:firstLine="420" w:firstLineChars="200"/>
        <w:jc w:val="left"/>
        <w:rPr>
          <w:rFonts w:hint="eastAsia" w:ascii="仿宋" w:hAnsi="仿宋" w:eastAsia="仿宋" w:cs="仿宋"/>
          <w:b/>
          <w:color w:val="auto"/>
          <w:sz w:val="30"/>
          <w:szCs w:val="30"/>
          <w:highlight w:val="none"/>
        </w:rPr>
      </w:pPr>
      <w:r>
        <w:rPr>
          <w:rFonts w:hint="eastAsia" w:ascii="仿宋" w:hAnsi="仿宋" w:eastAsia="仿宋" w:cs="仿宋"/>
          <w:color w:val="auto"/>
          <w:szCs w:val="21"/>
          <w:highlight w:val="none"/>
        </w:rPr>
        <w:t>供应商为中小企业的可以自愿选择融资担保形式，为本采购项目进行融资。</w:t>
      </w:r>
    </w:p>
    <w:p w14:paraId="31522407">
      <w:pPr>
        <w:rPr>
          <w:rFonts w:hint="eastAsia" w:ascii="仿宋" w:hAnsi="仿宋" w:eastAsia="仿宋" w:cs="仿宋"/>
          <w:b/>
          <w:color w:val="auto"/>
          <w:sz w:val="44"/>
          <w:szCs w:val="44"/>
          <w:highlight w:val="none"/>
        </w:rPr>
      </w:pPr>
      <w:bookmarkStart w:id="167" w:name="_Toc8833"/>
      <w:bookmarkStart w:id="168" w:name="_Toc14645"/>
      <w:bookmarkStart w:id="169" w:name="_Toc32671"/>
      <w:bookmarkStart w:id="170" w:name="_Toc23151_WPSOffice_Level1"/>
      <w:bookmarkStart w:id="171" w:name="_Toc25651"/>
      <w:bookmarkStart w:id="172" w:name="_Toc25942"/>
      <w:bookmarkStart w:id="173" w:name="_Toc22324"/>
      <w:bookmarkStart w:id="174" w:name="_Toc217446093"/>
      <w:r>
        <w:rPr>
          <w:rFonts w:hint="eastAsia" w:ascii="仿宋" w:hAnsi="仿宋" w:eastAsia="仿宋" w:cs="仿宋"/>
          <w:b/>
          <w:color w:val="auto"/>
          <w:sz w:val="44"/>
          <w:szCs w:val="44"/>
          <w:highlight w:val="none"/>
        </w:rPr>
        <w:br w:type="page"/>
      </w:r>
    </w:p>
    <w:p w14:paraId="038D65C7">
      <w:pPr>
        <w:spacing w:after="120" w:afterLines="50"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44"/>
          <w:szCs w:val="44"/>
          <w:highlight w:val="none"/>
        </w:rPr>
        <w:t>第三章 磋商办法</w:t>
      </w:r>
      <w:bookmarkEnd w:id="167"/>
      <w:bookmarkEnd w:id="168"/>
      <w:bookmarkEnd w:id="169"/>
      <w:bookmarkEnd w:id="170"/>
      <w:bookmarkEnd w:id="171"/>
      <w:bookmarkEnd w:id="172"/>
      <w:bookmarkEnd w:id="173"/>
    </w:p>
    <w:p w14:paraId="3AD4DA58">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bookmarkStart w:id="175" w:name="_Toc3504"/>
      <w:bookmarkStart w:id="176" w:name="_Toc26172"/>
      <w:bookmarkStart w:id="177" w:name="_Toc5060"/>
      <w:bookmarkStart w:id="178" w:name="_Toc20428"/>
      <w:bookmarkStart w:id="179" w:name="_Toc15337"/>
      <w:bookmarkStart w:id="180" w:name="_Toc19207_WPSOffice_Level2"/>
      <w:bookmarkStart w:id="181" w:name="_Toc7495"/>
      <w:bookmarkStart w:id="182" w:name="_Toc482201967"/>
      <w:r>
        <w:rPr>
          <w:rFonts w:hint="eastAsia" w:ascii="仿宋" w:hAnsi="仿宋" w:eastAsia="仿宋" w:cs="仿宋"/>
          <w:color w:val="auto"/>
          <w:szCs w:val="21"/>
          <w:highlight w:val="none"/>
        </w:rPr>
        <w:t>根据《中华人民共和国政府采购法》及其实施条例和财政部《政府采购竞争性磋商采购方式管理暂行办法》（财库【2014】214号）等法律法规的规定，结合采购项目特点，制定本磋商办法。</w:t>
      </w:r>
    </w:p>
    <w:p w14:paraId="15AAB8FB">
      <w:pPr>
        <w:keepNext w:val="0"/>
        <w:keepLines w:val="0"/>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1.磋商程序</w:t>
      </w:r>
      <w:bookmarkEnd w:id="175"/>
      <w:bookmarkEnd w:id="176"/>
      <w:bookmarkEnd w:id="177"/>
      <w:bookmarkEnd w:id="178"/>
      <w:bookmarkEnd w:id="179"/>
      <w:bookmarkEnd w:id="180"/>
      <w:bookmarkEnd w:id="181"/>
    </w:p>
    <w:p w14:paraId="4C22A3B1">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1.1 磋商按下列程序进行：</w:t>
      </w:r>
    </w:p>
    <w:p w14:paraId="6E415D47">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（1）响应文件初步评审；</w:t>
      </w:r>
    </w:p>
    <w:p w14:paraId="69B97740">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（2）响应文件的澄清；</w:t>
      </w:r>
    </w:p>
    <w:p w14:paraId="295DDFE6">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（3）磋商（包括技术磋商、商务磋商、提交最后报价）；</w:t>
      </w:r>
    </w:p>
    <w:p w14:paraId="022FD508">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（4）响应文件详细评审；</w:t>
      </w:r>
    </w:p>
    <w:p w14:paraId="04CD70D1">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（5）复核与核对评审结果；</w:t>
      </w:r>
    </w:p>
    <w:p w14:paraId="7990F3AA">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（6）确定成交候选人名单；</w:t>
      </w:r>
    </w:p>
    <w:p w14:paraId="4DF33137">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（7）编写评审报告。</w:t>
      </w:r>
    </w:p>
    <w:p w14:paraId="16299C49">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1.2 响应文件初步评审</w:t>
      </w:r>
    </w:p>
    <w:p w14:paraId="1AF6A0CF">
      <w:pPr>
        <w:keepNext w:val="0"/>
        <w:keepLines w:val="0"/>
        <w:pageBreakBefore w:val="0"/>
        <w:tabs>
          <w:tab w:val="left" w:pos="0"/>
        </w:tabs>
        <w:kinsoku/>
        <w:wordWrap/>
        <w:overflowPunct/>
        <w:topLinePunct w:val="0"/>
        <w:bidi w:val="0"/>
        <w:adjustRightInd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1.2.1 资格性审查</w:t>
      </w:r>
    </w:p>
    <w:p w14:paraId="7A546221">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1.2.1.1 </w:t>
      </w:r>
      <w:r>
        <w:rPr>
          <w:rFonts w:hint="eastAsia" w:ascii="仿宋" w:hAnsi="仿宋" w:eastAsia="仿宋" w:cs="仿宋"/>
          <w:color w:val="auto"/>
          <w:szCs w:val="21"/>
          <w:highlight w:val="none"/>
          <w:lang w:eastAsia="zh-CN"/>
        </w:rPr>
        <w:t>采购人及采购代理机构</w:t>
      </w:r>
      <w:r>
        <w:rPr>
          <w:rFonts w:hint="eastAsia" w:ascii="仿宋" w:hAnsi="仿宋" w:eastAsia="仿宋" w:cs="仿宋"/>
          <w:color w:val="auto"/>
          <w:szCs w:val="21"/>
          <w:highlight w:val="none"/>
        </w:rPr>
        <w:t>将依据供应商的响应文件之资格审查部分文件，按照本章第1.2.1.4项所述资格要求对供应商进行资格审查，以确定其是否具备相应资格。</w:t>
      </w:r>
      <w:r>
        <w:rPr>
          <w:rFonts w:hint="eastAsia" w:ascii="仿宋" w:hAnsi="仿宋" w:eastAsia="仿宋" w:cs="仿宋"/>
          <w:color w:val="auto"/>
          <w:kern w:val="0"/>
          <w:szCs w:val="21"/>
          <w:highlight w:val="none"/>
        </w:rPr>
        <w:t>如果供应商不具备资格、不满足磋</w:t>
      </w:r>
      <w:r>
        <w:rPr>
          <w:rFonts w:hint="eastAsia" w:ascii="仿宋" w:hAnsi="仿宋" w:eastAsia="仿宋" w:cs="仿宋"/>
          <w:color w:val="auto"/>
          <w:szCs w:val="21"/>
          <w:highlight w:val="none"/>
        </w:rPr>
        <w:t>商文件所规定的资格条件,将被视为未实质性响应磋商文件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按无效响应文件处理。</w:t>
      </w:r>
    </w:p>
    <w:p w14:paraId="479542D4">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 信用信息查询时间截至时点，见供应商须知前附表，其查询结果在供应商限制性资格条件审查时使用。</w:t>
      </w:r>
    </w:p>
    <w:p w14:paraId="36B86613">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1.2.1.4 基本资格条件的审查标准：</w:t>
      </w:r>
    </w:p>
    <w:p w14:paraId="3E47223B">
      <w:pPr>
        <w:keepNext w:val="0"/>
        <w:keepLines w:val="0"/>
        <w:pageBreakBefore w:val="0"/>
        <w:tabs>
          <w:tab w:val="left" w:pos="0"/>
        </w:tabs>
        <w:kinsoku/>
        <w:wordWrap/>
        <w:overflowPunct/>
        <w:topLinePunct w:val="0"/>
        <w:bidi w:val="0"/>
        <w:adjustRightInd w:val="0"/>
        <w:snapToGrid w:val="0"/>
        <w:spacing w:after="120" w:afterLines="50"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eastAsia="zh-CN"/>
        </w:rPr>
        <w:t>采购人及采购代理机构</w:t>
      </w:r>
      <w:r>
        <w:rPr>
          <w:rFonts w:hint="eastAsia" w:ascii="仿宋" w:hAnsi="仿宋" w:eastAsia="仿宋" w:cs="仿宋"/>
          <w:color w:val="auto"/>
          <w:kern w:val="0"/>
          <w:szCs w:val="21"/>
          <w:highlight w:val="none"/>
        </w:rPr>
        <w:t>将按下表所列举的审查标准对供应商的基本资格条件进行</w:t>
      </w:r>
      <w:r>
        <w:rPr>
          <w:rFonts w:hint="eastAsia" w:ascii="仿宋" w:hAnsi="仿宋" w:eastAsia="仿宋" w:cs="仿宋"/>
          <w:bCs/>
          <w:color w:val="auto"/>
          <w:szCs w:val="21"/>
          <w:highlight w:val="none"/>
        </w:rPr>
        <w:t>审查，供应商若</w:t>
      </w:r>
      <w:r>
        <w:rPr>
          <w:rFonts w:hint="eastAsia" w:ascii="仿宋" w:hAnsi="仿宋" w:eastAsia="仿宋" w:cs="仿宋"/>
          <w:color w:val="auto"/>
          <w:kern w:val="0"/>
          <w:szCs w:val="21"/>
          <w:highlight w:val="none"/>
        </w:rPr>
        <w:t>有一项不合格，即判定其基本资格条件审查结果为不合格，将不具备磋商资格，按无效响应文件处理。</w:t>
      </w:r>
    </w:p>
    <w:p w14:paraId="5E6DA7C7">
      <w:pPr>
        <w:keepNext w:val="0"/>
        <w:keepLines w:val="0"/>
        <w:pageBreakBefore w:val="0"/>
        <w:kinsoku/>
        <w:wordWrap/>
        <w:overflowPunct/>
        <w:topLinePunct w:val="0"/>
        <w:bidi w:val="0"/>
        <w:spacing w:line="400" w:lineRule="exact"/>
        <w:rPr>
          <w:rFonts w:hint="eastAsia" w:ascii="仿宋" w:hAnsi="仿宋" w:eastAsia="仿宋" w:cs="仿宋"/>
          <w:color w:val="auto"/>
        </w:rPr>
      </w:pPr>
      <w:r>
        <w:rPr>
          <w:rFonts w:hint="eastAsia" w:ascii="仿宋" w:hAnsi="仿宋" w:eastAsia="仿宋" w:cs="仿宋"/>
          <w:color w:val="auto"/>
          <w:kern w:val="0"/>
          <w:szCs w:val="21"/>
          <w:highlight w:val="none"/>
        </w:rPr>
        <w:br w:type="page"/>
      </w:r>
    </w:p>
    <w:bookmarkEnd w:id="182"/>
    <w:tbl>
      <w:tblPr>
        <w:tblStyle w:val="4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173"/>
        <w:gridCol w:w="1200"/>
        <w:gridCol w:w="1999"/>
      </w:tblGrid>
      <w:tr w14:paraId="13B9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6" w:type="dxa"/>
            <w:noWrap w:val="0"/>
            <w:vAlign w:val="center"/>
          </w:tcPr>
          <w:p w14:paraId="4AEB4CF8">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5173" w:type="dxa"/>
            <w:noWrap w:val="0"/>
            <w:vAlign w:val="center"/>
          </w:tcPr>
          <w:p w14:paraId="797127ED">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审查因素</w:t>
            </w:r>
          </w:p>
        </w:tc>
        <w:tc>
          <w:tcPr>
            <w:tcW w:w="1200" w:type="dxa"/>
            <w:noWrap w:val="0"/>
            <w:vAlign w:val="center"/>
          </w:tcPr>
          <w:p w14:paraId="43E925B2">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审查标准</w:t>
            </w:r>
          </w:p>
        </w:tc>
        <w:tc>
          <w:tcPr>
            <w:tcW w:w="1999" w:type="dxa"/>
            <w:noWrap w:val="0"/>
            <w:vAlign w:val="center"/>
          </w:tcPr>
          <w:p w14:paraId="2F9C57DE">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w:t>
            </w:r>
          </w:p>
        </w:tc>
      </w:tr>
      <w:tr w14:paraId="1F02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66" w:type="dxa"/>
            <w:noWrap w:val="0"/>
            <w:vAlign w:val="center"/>
          </w:tcPr>
          <w:p w14:paraId="2DD2C2D2">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5173" w:type="dxa"/>
            <w:noWrap w:val="0"/>
            <w:vAlign w:val="center"/>
          </w:tcPr>
          <w:p w14:paraId="42D98BF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具有独立承担民事责任能力的法人、其他组织或自然人，提供合法有效的统一社会信用代码营业执照（事业单位提供事业单位法人证书，自然人提供身份证明）；</w:t>
            </w:r>
          </w:p>
        </w:tc>
        <w:tc>
          <w:tcPr>
            <w:tcW w:w="1200" w:type="dxa"/>
            <w:noWrap w:val="0"/>
            <w:vAlign w:val="center"/>
          </w:tcPr>
          <w:p w14:paraId="1655A97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符合要求</w:t>
            </w:r>
          </w:p>
        </w:tc>
        <w:tc>
          <w:tcPr>
            <w:tcW w:w="1999" w:type="dxa"/>
            <w:noWrap w:val="0"/>
            <w:vAlign w:val="center"/>
          </w:tcPr>
          <w:p w14:paraId="178DBAA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审查复印件</w:t>
            </w:r>
            <w:r>
              <w:rPr>
                <w:rFonts w:hint="eastAsia" w:ascii="仿宋" w:hAnsi="仿宋" w:eastAsia="仿宋" w:cs="仿宋"/>
                <w:color w:val="auto"/>
                <w:kern w:val="0"/>
                <w:szCs w:val="21"/>
                <w:highlight w:val="none"/>
                <w:lang w:eastAsia="zh-CN"/>
              </w:rPr>
              <w:t>或原件</w:t>
            </w:r>
          </w:p>
        </w:tc>
      </w:tr>
      <w:tr w14:paraId="63B5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66" w:type="dxa"/>
            <w:noWrap w:val="0"/>
            <w:vAlign w:val="center"/>
          </w:tcPr>
          <w:p w14:paraId="41BF343E">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w:t>
            </w:r>
          </w:p>
        </w:tc>
        <w:tc>
          <w:tcPr>
            <w:tcW w:w="5173" w:type="dxa"/>
            <w:noWrap w:val="0"/>
            <w:vAlign w:val="center"/>
          </w:tcPr>
          <w:p w14:paraId="4A4F458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法定代表人授权委托书：法定代表人参加磋商的，须出示身份证原件；法定代表人授权他人参加磋商的，须提供法定代表人授权委托书及被授权人身份证原件；</w:t>
            </w:r>
          </w:p>
        </w:tc>
        <w:tc>
          <w:tcPr>
            <w:tcW w:w="1200" w:type="dxa"/>
            <w:noWrap w:val="0"/>
            <w:vAlign w:val="center"/>
          </w:tcPr>
          <w:p w14:paraId="3D495B22">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符合要求</w:t>
            </w:r>
          </w:p>
        </w:tc>
        <w:tc>
          <w:tcPr>
            <w:tcW w:w="1999" w:type="dxa"/>
            <w:noWrap w:val="0"/>
            <w:vAlign w:val="center"/>
          </w:tcPr>
          <w:p w14:paraId="7F102D5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审查原件</w:t>
            </w:r>
          </w:p>
        </w:tc>
      </w:tr>
      <w:tr w14:paraId="5C26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66" w:type="dxa"/>
            <w:noWrap w:val="0"/>
            <w:vAlign w:val="center"/>
          </w:tcPr>
          <w:p w14:paraId="2B662526">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5173" w:type="dxa"/>
            <w:noWrap w:val="0"/>
            <w:vAlign w:val="center"/>
          </w:tcPr>
          <w:p w14:paraId="16F6786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满足《汉中市政府采购供应商资格承诺函》要求。</w:t>
            </w:r>
          </w:p>
        </w:tc>
        <w:tc>
          <w:tcPr>
            <w:tcW w:w="1200" w:type="dxa"/>
            <w:noWrap w:val="0"/>
            <w:vAlign w:val="center"/>
          </w:tcPr>
          <w:p w14:paraId="601B1D02">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符合要求</w:t>
            </w:r>
          </w:p>
        </w:tc>
        <w:tc>
          <w:tcPr>
            <w:tcW w:w="1999" w:type="dxa"/>
            <w:noWrap w:val="0"/>
            <w:vAlign w:val="center"/>
          </w:tcPr>
          <w:p w14:paraId="433A921D">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审查复印件或原件</w:t>
            </w:r>
          </w:p>
        </w:tc>
      </w:tr>
      <w:tr w14:paraId="3CBA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6" w:type="dxa"/>
            <w:noWrap w:val="0"/>
            <w:vAlign w:val="center"/>
          </w:tcPr>
          <w:p w14:paraId="22C51375">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5173" w:type="dxa"/>
            <w:noWrap w:val="0"/>
            <w:vAlign w:val="center"/>
          </w:tcPr>
          <w:p w14:paraId="51BD27A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本项目为专门面向中小企业预留份额采购项目（整体预留），中小企业应按照招标文件要求提供相应证明材料。</w:t>
            </w:r>
          </w:p>
        </w:tc>
        <w:tc>
          <w:tcPr>
            <w:tcW w:w="1200" w:type="dxa"/>
            <w:noWrap w:val="0"/>
            <w:vAlign w:val="center"/>
          </w:tcPr>
          <w:p w14:paraId="63C12BE6">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符合要求</w:t>
            </w:r>
          </w:p>
        </w:tc>
        <w:tc>
          <w:tcPr>
            <w:tcW w:w="1999" w:type="dxa"/>
            <w:noWrap w:val="0"/>
            <w:vAlign w:val="center"/>
          </w:tcPr>
          <w:p w14:paraId="00BEEEF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审查复印件</w:t>
            </w:r>
            <w:r>
              <w:rPr>
                <w:rFonts w:hint="eastAsia" w:ascii="仿宋" w:hAnsi="仿宋" w:eastAsia="仿宋" w:cs="仿宋"/>
                <w:color w:val="auto"/>
                <w:kern w:val="0"/>
                <w:szCs w:val="21"/>
                <w:highlight w:val="none"/>
                <w:lang w:eastAsia="zh-CN"/>
              </w:rPr>
              <w:t>或原件</w:t>
            </w:r>
          </w:p>
        </w:tc>
      </w:tr>
      <w:tr w14:paraId="38E4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138" w:type="dxa"/>
            <w:gridSpan w:val="4"/>
            <w:noWrap w:val="0"/>
            <w:vAlign w:val="center"/>
          </w:tcPr>
          <w:p w14:paraId="36A3E42F">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left"/>
              <w:rPr>
                <w:rFonts w:hint="eastAsia" w:ascii="仿宋" w:hAnsi="仿宋" w:eastAsia="仿宋" w:cs="仿宋"/>
                <w:color w:val="auto"/>
                <w:kern w:val="0"/>
                <w:szCs w:val="21"/>
                <w:highlight w:val="none"/>
                <w:lang w:eastAsia="zh-CN"/>
              </w:rPr>
            </w:pPr>
            <w:r>
              <w:rPr>
                <w:rFonts w:hint="eastAsia" w:ascii="仿宋" w:hAnsi="仿宋" w:eastAsia="仿宋" w:cs="仿宋"/>
                <w:b/>
                <w:bCs/>
                <w:color w:val="auto"/>
                <w:kern w:val="0"/>
                <w:szCs w:val="21"/>
                <w:highlight w:val="none"/>
                <w:lang w:eastAsia="zh-CN"/>
              </w:rPr>
              <w:t>上述复印件需加盖供应商公章（鲜章）有效，否则资格审查环节将被认定为无效文件（或证明）</w:t>
            </w:r>
          </w:p>
        </w:tc>
      </w:tr>
    </w:tbl>
    <w:p w14:paraId="240250FD">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1.2.1.5 限制性资格条件审查方法：</w:t>
      </w:r>
    </w:p>
    <w:p w14:paraId="0BC873DC">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代理机构及采购人</w:t>
      </w:r>
      <w:r>
        <w:rPr>
          <w:rFonts w:hint="eastAsia" w:ascii="仿宋" w:hAnsi="仿宋" w:eastAsia="仿宋" w:cs="仿宋"/>
          <w:color w:val="auto"/>
          <w:kern w:val="0"/>
          <w:szCs w:val="21"/>
          <w:highlight w:val="none"/>
        </w:rPr>
        <w:t>将通过信用中国网（http://www.creditchina.gov.cn/）和中国政府采购网（网址：http://www.ccgp.gov.cn/cr/list）对供应商的信用信息进行查询核实。</w:t>
      </w:r>
    </w:p>
    <w:p w14:paraId="0000E3C6">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1.2.1.6 限制性资格条件审查标准：</w:t>
      </w:r>
    </w:p>
    <w:p w14:paraId="7C4D3A24">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供应商存在下列情形之一的，审查不予通过，即判定其限制性资格条件审查结果为不合格，将不具备磋商资格，按无效响应文件处理：</w:t>
      </w:r>
    </w:p>
    <w:p w14:paraId="42D05FA7">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（1）与采购人、采购代理机构存在隶属关系或者其他利害关系，且可能影响磋商公正性；</w:t>
      </w:r>
    </w:p>
    <w:p w14:paraId="522BDF76">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（2）与本采购项目其他供应商的法定代表人（或者负责人）为同一人；</w:t>
      </w:r>
    </w:p>
    <w:p w14:paraId="59923FAD">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（3）与本采购项目其他供应商存在控股、管理关系；</w:t>
      </w:r>
    </w:p>
    <w:p w14:paraId="12A2D90B">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（4）为本项目采购代理机构；</w:t>
      </w:r>
    </w:p>
    <w:p w14:paraId="4F7AF2A7">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（5）为本项目代理磋商的为其采购代理机构；</w:t>
      </w:r>
    </w:p>
    <w:p w14:paraId="33E8350B">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（6）为本项目提供整体设计、规范编制或者项目管理、监理、检测、咨询服务；</w:t>
      </w:r>
    </w:p>
    <w:p w14:paraId="361303D3">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（7）近3年受到刑事处罚；</w:t>
      </w:r>
    </w:p>
    <w:p w14:paraId="1C4279B4">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（8）近3年内受到财政部门3万元以上罚款或其他行政部门较大数额罚款行政处罚（举行听证会的）；</w:t>
      </w:r>
    </w:p>
    <w:p w14:paraId="211FA5F2">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（9）近3年被责令停产停业、暂扣或者吊销许可证、暂扣或者吊销执照的行政处罚；</w:t>
      </w:r>
    </w:p>
    <w:p w14:paraId="06A29964">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（10）被列入严重失信被执行人名单；</w:t>
      </w:r>
    </w:p>
    <w:p w14:paraId="02E86E99">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（11）被列入重大税收违法案件当事人名单；</w:t>
      </w:r>
    </w:p>
    <w:p w14:paraId="4BF6B67E">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（12）被禁止在一至三年内参加政府采购活动或存在财政部门认定的其他重大违法记录；</w:t>
      </w:r>
    </w:p>
    <w:p w14:paraId="67817DFA">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（13）法律法规规定的其他情形。</w:t>
      </w:r>
    </w:p>
    <w:p w14:paraId="1BEB38F7">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1.2.1.7 不合格的供应商，不得进入后续磋商环节。</w:t>
      </w:r>
    </w:p>
    <w:p w14:paraId="63D2056E">
      <w:pPr>
        <w:keepNext w:val="0"/>
        <w:keepLines w:val="0"/>
        <w:pageBreakBefore w:val="0"/>
        <w:tabs>
          <w:tab w:val="left" w:pos="0"/>
        </w:tabs>
        <w:kinsoku/>
        <w:wordWrap/>
        <w:overflowPunct/>
        <w:topLinePunct w:val="0"/>
        <w:bidi w:val="0"/>
        <w:adjustRightInd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1.2.2 符合性审查</w:t>
      </w:r>
    </w:p>
    <w:p w14:paraId="62794055">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1.2.2.1 磋商小组依法对符合资格条件的供应商的响应文件进行符合性审查。磋商小组从响应文件的有效性、完整性和对磋商文件的响应程度进行审查，以确定其是否对磋商文件实质性内容作出响应（采购人可根据具体项目的情况对实质性要求作特别的具体规定）。</w:t>
      </w:r>
    </w:p>
    <w:p w14:paraId="6D42A35B">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1.2.2.2 磋商小组将按下列评审标准对供应商的响应文件进行符合性审查，供应商若有一项不合格，即判定其符合性审查结果为不合格，将不具备磋商资格，按无效响应文件处理。</w:t>
      </w:r>
    </w:p>
    <w:tbl>
      <w:tblPr>
        <w:tblStyle w:val="44"/>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58"/>
        <w:gridCol w:w="3695"/>
        <w:gridCol w:w="4338"/>
      </w:tblGrid>
      <w:tr w14:paraId="7431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84" w:type="dxa"/>
            <w:noWrap w:val="0"/>
            <w:vAlign w:val="center"/>
          </w:tcPr>
          <w:p w14:paraId="681EB67F">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353" w:type="dxa"/>
            <w:gridSpan w:val="2"/>
            <w:noWrap w:val="0"/>
            <w:vAlign w:val="center"/>
          </w:tcPr>
          <w:p w14:paraId="43076DD1">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评审因素</w:t>
            </w:r>
          </w:p>
        </w:tc>
        <w:tc>
          <w:tcPr>
            <w:tcW w:w="4338" w:type="dxa"/>
            <w:noWrap w:val="0"/>
            <w:vAlign w:val="center"/>
          </w:tcPr>
          <w:p w14:paraId="4CD23292">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评审标准</w:t>
            </w:r>
          </w:p>
        </w:tc>
      </w:tr>
      <w:tr w14:paraId="180B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4" w:type="dxa"/>
            <w:vMerge w:val="restart"/>
            <w:noWrap w:val="0"/>
            <w:vAlign w:val="center"/>
          </w:tcPr>
          <w:p w14:paraId="530D4508">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8" w:type="dxa"/>
            <w:vMerge w:val="restart"/>
            <w:noWrap w:val="0"/>
            <w:vAlign w:val="center"/>
          </w:tcPr>
          <w:p w14:paraId="78362FF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p>
          <w:p w14:paraId="4F224CA1">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效</w:t>
            </w:r>
          </w:p>
          <w:p w14:paraId="55D78933">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w:t>
            </w:r>
          </w:p>
          <w:p w14:paraId="4753C677">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18D8F828">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tc>
        <w:tc>
          <w:tcPr>
            <w:tcW w:w="3695" w:type="dxa"/>
            <w:noWrap w:val="0"/>
            <w:vAlign w:val="center"/>
          </w:tcPr>
          <w:p w14:paraId="798144A7">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（1）响应文件的签署盖章</w:t>
            </w:r>
          </w:p>
        </w:tc>
        <w:tc>
          <w:tcPr>
            <w:tcW w:w="4338" w:type="dxa"/>
            <w:noWrap w:val="0"/>
            <w:vAlign w:val="center"/>
          </w:tcPr>
          <w:p w14:paraId="3F59F95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响应文件上法定代表人或其</w:t>
            </w:r>
            <w:r>
              <w:rPr>
                <w:rFonts w:hint="eastAsia" w:ascii="仿宋" w:hAnsi="仿宋" w:eastAsia="仿宋" w:cs="仿宋"/>
                <w:color w:val="auto"/>
                <w:szCs w:val="21"/>
                <w:highlight w:val="none"/>
                <w:lang w:eastAsia="zh-CN"/>
              </w:rPr>
              <w:t>授权代表</w:t>
            </w:r>
            <w:r>
              <w:rPr>
                <w:rFonts w:hint="eastAsia" w:ascii="仿宋" w:hAnsi="仿宋" w:eastAsia="仿宋" w:cs="仿宋"/>
                <w:color w:val="auto"/>
                <w:szCs w:val="21"/>
                <w:highlight w:val="none"/>
              </w:rPr>
              <w:t>的签字齐全并加盖单位章</w:t>
            </w:r>
          </w:p>
        </w:tc>
      </w:tr>
      <w:tr w14:paraId="4766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84" w:type="dxa"/>
            <w:vMerge w:val="continue"/>
            <w:noWrap w:val="0"/>
            <w:vAlign w:val="top"/>
          </w:tcPr>
          <w:p w14:paraId="42C7C0B1">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176D1B14">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2A861F98">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（2）响应文件格式、语言、计量单位、报价货币</w:t>
            </w:r>
          </w:p>
        </w:tc>
        <w:tc>
          <w:tcPr>
            <w:tcW w:w="4338" w:type="dxa"/>
            <w:noWrap w:val="0"/>
            <w:vAlign w:val="center"/>
          </w:tcPr>
          <w:p w14:paraId="55F1239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应符合“响应文件格式”和响应文件要求</w:t>
            </w:r>
          </w:p>
        </w:tc>
      </w:tr>
      <w:tr w14:paraId="2D74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84" w:type="dxa"/>
            <w:vMerge w:val="continue"/>
            <w:noWrap w:val="0"/>
            <w:vAlign w:val="top"/>
          </w:tcPr>
          <w:p w14:paraId="0D616C96">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3B0A31E1">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2B9DF9C8">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（3）报价唯一</w:t>
            </w:r>
          </w:p>
        </w:tc>
        <w:tc>
          <w:tcPr>
            <w:tcW w:w="4338" w:type="dxa"/>
            <w:noWrap w:val="0"/>
            <w:vAlign w:val="center"/>
          </w:tcPr>
          <w:p w14:paraId="4D33352C">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只能有一个有效报价，不得提交选择性报价，且报价不超过采购预算（最高限价）金额</w:t>
            </w:r>
          </w:p>
        </w:tc>
      </w:tr>
      <w:tr w14:paraId="0803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84" w:type="dxa"/>
            <w:vMerge w:val="restart"/>
            <w:noWrap w:val="0"/>
            <w:vAlign w:val="center"/>
          </w:tcPr>
          <w:p w14:paraId="661FFAD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8" w:type="dxa"/>
            <w:vMerge w:val="restart"/>
            <w:noWrap w:val="0"/>
            <w:vAlign w:val="center"/>
          </w:tcPr>
          <w:p w14:paraId="428E81E7">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w:t>
            </w:r>
          </w:p>
          <w:p w14:paraId="5BBC5DE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整</w:t>
            </w:r>
          </w:p>
          <w:p w14:paraId="766F5DCD">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w:t>
            </w:r>
          </w:p>
          <w:p w14:paraId="14D80463">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38406CA1">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tc>
        <w:tc>
          <w:tcPr>
            <w:tcW w:w="3695" w:type="dxa"/>
            <w:noWrap w:val="0"/>
            <w:vAlign w:val="center"/>
          </w:tcPr>
          <w:p w14:paraId="7CCE72F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）响应文件份数</w:t>
            </w:r>
          </w:p>
        </w:tc>
        <w:tc>
          <w:tcPr>
            <w:tcW w:w="4338" w:type="dxa"/>
            <w:noWrap w:val="0"/>
            <w:vAlign w:val="center"/>
          </w:tcPr>
          <w:p w14:paraId="31883E51">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应符合“供应商须知前附表”规定的正本、副本、电子文件数量</w:t>
            </w:r>
          </w:p>
        </w:tc>
      </w:tr>
      <w:tr w14:paraId="2A19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84" w:type="dxa"/>
            <w:vMerge w:val="continue"/>
            <w:noWrap w:val="0"/>
            <w:vAlign w:val="top"/>
          </w:tcPr>
          <w:p w14:paraId="193475AE">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010FB7C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759BD706">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）磋商响应文件内容</w:t>
            </w:r>
          </w:p>
        </w:tc>
        <w:tc>
          <w:tcPr>
            <w:tcW w:w="4338" w:type="dxa"/>
            <w:noWrap w:val="0"/>
            <w:vAlign w:val="center"/>
          </w:tcPr>
          <w:p w14:paraId="0C15D722">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响应文件内容齐全、无遗漏</w:t>
            </w:r>
            <w:r>
              <w:rPr>
                <w:rFonts w:hint="eastAsia" w:ascii="仿宋" w:hAnsi="仿宋" w:eastAsia="仿宋" w:cs="仿宋"/>
                <w:color w:val="auto"/>
                <w:szCs w:val="21"/>
                <w:highlight w:val="none"/>
                <w:lang w:eastAsia="zh-CN"/>
              </w:rPr>
              <w:t>，技术、商务响应完整</w:t>
            </w:r>
          </w:p>
        </w:tc>
      </w:tr>
      <w:tr w14:paraId="7393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84" w:type="dxa"/>
            <w:vMerge w:val="restart"/>
            <w:noWrap w:val="0"/>
            <w:vAlign w:val="center"/>
          </w:tcPr>
          <w:p w14:paraId="3B7BEFFE">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rPr>
              <w:t>3</w:t>
            </w:r>
          </w:p>
        </w:tc>
        <w:tc>
          <w:tcPr>
            <w:tcW w:w="658" w:type="dxa"/>
            <w:vMerge w:val="restart"/>
            <w:noWrap w:val="0"/>
            <w:vAlign w:val="center"/>
          </w:tcPr>
          <w:p w14:paraId="01F4F629">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w:t>
            </w:r>
          </w:p>
          <w:p w14:paraId="189F2675">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w:t>
            </w:r>
          </w:p>
          <w:p w14:paraId="00DF1BA4">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w:t>
            </w:r>
          </w:p>
          <w:p w14:paraId="074C73B5">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5AFCF2B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tc>
        <w:tc>
          <w:tcPr>
            <w:tcW w:w="3695" w:type="dxa"/>
            <w:noWrap w:val="0"/>
            <w:vAlign w:val="center"/>
          </w:tcPr>
          <w:p w14:paraId="520036D5">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服务期</w:t>
            </w:r>
          </w:p>
        </w:tc>
        <w:tc>
          <w:tcPr>
            <w:tcW w:w="4338" w:type="dxa"/>
            <w:noWrap w:val="0"/>
            <w:vAlign w:val="center"/>
          </w:tcPr>
          <w:p w14:paraId="2020E75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应满足磋商文件的要求</w:t>
            </w:r>
          </w:p>
        </w:tc>
      </w:tr>
      <w:tr w14:paraId="6938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84" w:type="dxa"/>
            <w:vMerge w:val="continue"/>
            <w:noWrap w:val="0"/>
            <w:vAlign w:val="top"/>
          </w:tcPr>
          <w:p w14:paraId="16875513">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5699C26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518ECE63">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质量</w:t>
            </w:r>
          </w:p>
        </w:tc>
        <w:tc>
          <w:tcPr>
            <w:tcW w:w="4338" w:type="dxa"/>
            <w:noWrap w:val="0"/>
            <w:vAlign w:val="center"/>
          </w:tcPr>
          <w:p w14:paraId="00A0B7CE">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应符合磋商文件的要求</w:t>
            </w:r>
          </w:p>
        </w:tc>
      </w:tr>
    </w:tbl>
    <w:p w14:paraId="323DAF9F">
      <w:pPr>
        <w:keepNext w:val="0"/>
        <w:keepLines w:val="0"/>
        <w:pageBreakBefore w:val="0"/>
        <w:kinsoku/>
        <w:wordWrap/>
        <w:overflowPunct/>
        <w:topLinePunct w:val="0"/>
        <w:bidi w:val="0"/>
        <w:spacing w:line="400" w:lineRule="exact"/>
        <w:ind w:firstLine="632" w:firstLineChars="3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1.2.2.3 未通过符合性检查的供应商，不得进入后续磋商环节。</w:t>
      </w:r>
    </w:p>
    <w:p w14:paraId="37538C64">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1.3 响应文件的澄清</w:t>
      </w:r>
    </w:p>
    <w:p w14:paraId="0955F634">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2CF673">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1.3.2磋商小组要求供应商澄清、说明或者更正响应文件应当以书面形式作出。供应商的澄清、说明或者更正应当由法定代表人或其授权代表签字或者加盖公章。由</w:t>
      </w:r>
      <w:r>
        <w:rPr>
          <w:rFonts w:hint="eastAsia" w:ascii="仿宋" w:hAnsi="仿宋" w:eastAsia="仿宋" w:cs="仿宋"/>
          <w:snapToGrid w:val="0"/>
          <w:color w:val="auto"/>
          <w:kern w:val="0"/>
          <w:szCs w:val="21"/>
          <w:highlight w:val="none"/>
          <w:lang w:eastAsia="zh-CN"/>
        </w:rPr>
        <w:t>授权代表</w:t>
      </w:r>
      <w:r>
        <w:rPr>
          <w:rFonts w:hint="eastAsia" w:ascii="仿宋" w:hAnsi="仿宋" w:eastAsia="仿宋" w:cs="仿宋"/>
          <w:snapToGrid w:val="0"/>
          <w:color w:val="auto"/>
          <w:kern w:val="0"/>
          <w:szCs w:val="21"/>
          <w:highlight w:val="none"/>
        </w:rPr>
        <w:t>签字的，应当附法定代表人授权书。</w:t>
      </w:r>
    </w:p>
    <w:p w14:paraId="0E647E7C">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1.3.3 供应商拒不按照要求对响应文件进行澄清、说明或者更正的，磋商小组可以拒绝其响应文件。磋商小组不接受供应商主动提出的澄清、说明或者更正。</w:t>
      </w:r>
    </w:p>
    <w:p w14:paraId="0D5D6590">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1.3.4 有效的书面澄清、说明或者更正材料，是响应文件的补充材料，并构成响应文件的组成部分。</w:t>
      </w:r>
    </w:p>
    <w:p w14:paraId="42D9B25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1.3.5 磋商小组对供应商提交的澄清、说明或者更正有疑问的，可以要求供应商进一步澄清、说明或者更正，直至满足磋商小组的要求。</w:t>
      </w:r>
    </w:p>
    <w:p w14:paraId="0F3C3408">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1.4 磋商</w:t>
      </w:r>
    </w:p>
    <w:p w14:paraId="69511582">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bCs/>
          <w:snapToGrid w:val="0"/>
          <w:color w:val="auto"/>
          <w:kern w:val="0"/>
          <w:szCs w:val="21"/>
          <w:highlight w:val="none"/>
        </w:rPr>
      </w:pPr>
      <w:r>
        <w:rPr>
          <w:rFonts w:hint="eastAsia" w:ascii="仿宋" w:hAnsi="仿宋" w:eastAsia="仿宋" w:cs="仿宋"/>
          <w:b/>
          <w:bCs/>
          <w:snapToGrid w:val="0"/>
          <w:color w:val="auto"/>
          <w:kern w:val="0"/>
          <w:szCs w:val="21"/>
          <w:highlight w:val="none"/>
        </w:rPr>
        <w:t>1.4.1磋商方式：</w:t>
      </w:r>
    </w:p>
    <w:p w14:paraId="11C31119">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1.4.1.1 对资格性审查和符合性审查合格的供应商，进入本次磋商环节。</w:t>
      </w:r>
    </w:p>
    <w:p w14:paraId="1A3979BC">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1.4.1.2 在磋商期间，供应商应派代表参加磋商，代表人数不超过2人。</w:t>
      </w:r>
    </w:p>
    <w:p w14:paraId="1DFB638D">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1.4.1.3 磋商小组将通过随机方式确定供应商进行磋商的顺序，所有成员集中与单一供应商按照顺序分别进行磋商，并给予所有参加磋商的供应商平等的磋商机会。磋商的任何一方不得透露与磋商有关的其他供应商的技术资料、价格和其他信息。</w:t>
      </w:r>
    </w:p>
    <w:p w14:paraId="7C46DB10">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1.4.1.4 技术磋商。在磋商过程中，磋商小组可以根据磋商文件和磋商情况实质性变动采购需求中的技术、服务要求以及合同草案条款，但不得变动磋商文件中的其他内容。实质性变动的内容，须经采购人代表确认。</w:t>
      </w:r>
    </w:p>
    <w:p w14:paraId="3754BA43">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对磋商文件作出的实质性变动是磋商文件的有效组成部分，磋商小组应当及时以书面形式同时通知所有参加磋商的供应商。</w:t>
      </w:r>
    </w:p>
    <w:p w14:paraId="33CC1C4F">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供应商应当按照磋商文件的变动情况和磋商小组的要求重新提交响应文件，并由其法定代表人或</w:t>
      </w:r>
      <w:r>
        <w:rPr>
          <w:rFonts w:hint="eastAsia" w:ascii="仿宋" w:hAnsi="仿宋" w:eastAsia="仿宋" w:cs="仿宋"/>
          <w:color w:val="auto"/>
          <w:kern w:val="0"/>
          <w:szCs w:val="21"/>
          <w:highlight w:val="none"/>
          <w:lang w:eastAsia="zh-CN"/>
        </w:rPr>
        <w:t>授权代表</w:t>
      </w:r>
      <w:r>
        <w:rPr>
          <w:rFonts w:hint="eastAsia" w:ascii="仿宋" w:hAnsi="仿宋" w:eastAsia="仿宋" w:cs="仿宋"/>
          <w:color w:val="auto"/>
          <w:kern w:val="0"/>
          <w:szCs w:val="21"/>
          <w:highlight w:val="none"/>
        </w:rPr>
        <w:t>签字或者加盖公章。由</w:t>
      </w:r>
      <w:r>
        <w:rPr>
          <w:rFonts w:hint="eastAsia" w:ascii="仿宋" w:hAnsi="仿宋" w:eastAsia="仿宋" w:cs="仿宋"/>
          <w:color w:val="auto"/>
          <w:kern w:val="0"/>
          <w:szCs w:val="21"/>
          <w:highlight w:val="none"/>
          <w:lang w:eastAsia="zh-CN"/>
        </w:rPr>
        <w:t>授权代表</w:t>
      </w:r>
      <w:r>
        <w:rPr>
          <w:rFonts w:hint="eastAsia" w:ascii="仿宋" w:hAnsi="仿宋" w:eastAsia="仿宋" w:cs="仿宋"/>
          <w:color w:val="auto"/>
          <w:kern w:val="0"/>
          <w:szCs w:val="21"/>
          <w:highlight w:val="none"/>
        </w:rPr>
        <w:t>签字的，应当附法定代表人授权书。</w:t>
      </w:r>
    </w:p>
    <w:p w14:paraId="45F9525F">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磋商小组应当根据规定对供应商重新提交的响应文件进行符合性审查。供应商重新提交的响应文件未通过符合性审查的，不得进入商务磋商，也不得要求提交最后报价。</w:t>
      </w:r>
    </w:p>
    <w:p w14:paraId="69BBE7CD">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1.4.1.5 商务磋商。在技术磋商结束后，进行商务磋商。</w:t>
      </w:r>
      <w:r>
        <w:rPr>
          <w:rFonts w:hint="eastAsia" w:ascii="仿宋" w:hAnsi="仿宋" w:eastAsia="仿宋" w:cs="仿宋"/>
          <w:b/>
          <w:color w:val="auto"/>
          <w:szCs w:val="21"/>
          <w:highlight w:val="none"/>
        </w:rPr>
        <w:t>磋商文件能够详细列明采购标的的技术要求的，</w:t>
      </w:r>
      <w:r>
        <w:rPr>
          <w:rFonts w:hint="eastAsia" w:ascii="仿宋" w:hAnsi="仿宋" w:eastAsia="仿宋" w:cs="仿宋"/>
          <w:color w:val="auto"/>
          <w:szCs w:val="21"/>
          <w:highlight w:val="none"/>
        </w:rPr>
        <w:t>磋商小组应当要求所有实质性响应的供应商在规定时间内提交最后报价，</w:t>
      </w:r>
      <w:r>
        <w:rPr>
          <w:rFonts w:hint="eastAsia" w:ascii="仿宋" w:hAnsi="仿宋" w:eastAsia="仿宋" w:cs="仿宋"/>
          <w:b/>
          <w:color w:val="auto"/>
          <w:szCs w:val="21"/>
          <w:highlight w:val="none"/>
        </w:rPr>
        <w:t>提交最后报价的供应商不得少于3家</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磋商文件不能详细列明采购标的的技术要求</w:t>
      </w:r>
      <w:r>
        <w:rPr>
          <w:rFonts w:hint="eastAsia" w:ascii="仿宋" w:hAnsi="仿宋" w:eastAsia="仿宋" w:cs="仿宋"/>
          <w:color w:val="auto"/>
          <w:szCs w:val="21"/>
          <w:highlight w:val="none"/>
        </w:rPr>
        <w:t>，需经磋商由供应商提供最终解决方案的，</w:t>
      </w:r>
      <w:r>
        <w:rPr>
          <w:rFonts w:hint="eastAsia" w:ascii="仿宋" w:hAnsi="仿宋" w:eastAsia="仿宋" w:cs="仿宋"/>
          <w:b/>
          <w:color w:val="auto"/>
          <w:szCs w:val="21"/>
          <w:highlight w:val="none"/>
        </w:rPr>
        <w:t>磋商小组应当按照少数服从多数的原则投票推荐3家以上供应商的解决方案，</w:t>
      </w:r>
      <w:r>
        <w:rPr>
          <w:rFonts w:hint="eastAsia" w:ascii="仿宋" w:hAnsi="仿宋" w:eastAsia="仿宋" w:cs="仿宋"/>
          <w:color w:val="auto"/>
          <w:szCs w:val="21"/>
          <w:highlight w:val="none"/>
        </w:rPr>
        <w:t>并要求其在规定时间内提交最后报价。</w:t>
      </w:r>
    </w:p>
    <w:p w14:paraId="63A97E96">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1.4.1.6 已提交响应文件的供应商，在提交最后报价之前，可以根据磋商情况退出磋商，采购代理机构应当退还其磋商保证金。</w:t>
      </w:r>
    </w:p>
    <w:p w14:paraId="79778F8E">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bCs/>
          <w:snapToGrid w:val="0"/>
          <w:color w:val="auto"/>
          <w:kern w:val="0"/>
          <w:szCs w:val="21"/>
          <w:highlight w:val="none"/>
        </w:rPr>
      </w:pPr>
      <w:r>
        <w:rPr>
          <w:rFonts w:hint="eastAsia" w:ascii="仿宋" w:hAnsi="仿宋" w:eastAsia="仿宋" w:cs="仿宋"/>
          <w:b/>
          <w:bCs/>
          <w:snapToGrid w:val="0"/>
          <w:color w:val="auto"/>
          <w:kern w:val="0"/>
          <w:szCs w:val="21"/>
          <w:highlight w:val="none"/>
        </w:rPr>
        <w:t>1.4.2磋商步骤：</w:t>
      </w:r>
    </w:p>
    <w:p w14:paraId="48B35B77">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1.4.2.1 第一轮磋商。磋商小组对进入第一轮磋商的供应商再次进行评审、质疑和澄清。在此阶段，磋商小组依据参加磋商的供应商递交的响应文件进行技术和商务磋商。</w:t>
      </w:r>
    </w:p>
    <w:p w14:paraId="658AB556">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小组可以根据实际需要提出方案和技术参数要求，与单一供应商分别进行磋商，并给予所有参加磋商的供应商平等的磋商机会。要求参加磋商的供应商重新承诺技术参数和第二次磋商报价，以满足采购人的最大需求。</w:t>
      </w:r>
    </w:p>
    <w:p w14:paraId="1A0BF9B3">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1.4.2.2 第二轮磋商。对第一轮磋商结果不满意，磋商小组可以再次要求参加磋商的供应商进行第二轮磋商，磋商内容及要求与第一轮磋商相同。</w:t>
      </w:r>
    </w:p>
    <w:p w14:paraId="5680C78A">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1.4.2.3 每轮磋商结束后，磋商小组对磋商情况进行讨论，综合考虑供应商提供的技术参数和性价比，有权对技术参数最差供应商或性价比最低点供应商进行淘汰，并将淘汰理由写入评审报告。</w:t>
      </w:r>
    </w:p>
    <w:p w14:paraId="6974102C">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1.4.2.4 磋商小组应在最后一轮磋商前告知所有符合磋商要求的供应商是否是最后一次磋商。</w:t>
      </w:r>
    </w:p>
    <w:p w14:paraId="5A6E8FFA">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1.4.2.5 最后一轮磋商结束后，磋商小组将对进入最后一轮的供应商的响应文件进行详细评审。</w:t>
      </w:r>
    </w:p>
    <w:p w14:paraId="5EEA596C">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1.5 最后报价</w:t>
      </w:r>
    </w:p>
    <w:p w14:paraId="4F697F6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1.5.1 供应商应当以书面形式提交最后报价（最后报价将作为综合评分法中价格分的计算依据），并由其法定代表人或者</w:t>
      </w:r>
      <w:r>
        <w:rPr>
          <w:rFonts w:hint="eastAsia" w:ascii="仿宋" w:hAnsi="仿宋" w:eastAsia="仿宋" w:cs="仿宋"/>
          <w:snapToGrid w:val="0"/>
          <w:color w:val="auto"/>
          <w:kern w:val="0"/>
          <w:szCs w:val="21"/>
          <w:highlight w:val="none"/>
          <w:lang w:eastAsia="zh-CN"/>
        </w:rPr>
        <w:t>授权代表</w:t>
      </w:r>
      <w:r>
        <w:rPr>
          <w:rFonts w:hint="eastAsia" w:ascii="仿宋" w:hAnsi="仿宋" w:eastAsia="仿宋" w:cs="仿宋"/>
          <w:snapToGrid w:val="0"/>
          <w:color w:val="auto"/>
          <w:kern w:val="0"/>
          <w:szCs w:val="21"/>
          <w:highlight w:val="none"/>
        </w:rPr>
        <w:t>签字或者加盖单位章。由</w:t>
      </w:r>
      <w:r>
        <w:rPr>
          <w:rFonts w:hint="eastAsia" w:ascii="仿宋" w:hAnsi="仿宋" w:eastAsia="仿宋" w:cs="仿宋"/>
          <w:snapToGrid w:val="0"/>
          <w:color w:val="auto"/>
          <w:kern w:val="0"/>
          <w:szCs w:val="21"/>
          <w:highlight w:val="none"/>
          <w:lang w:eastAsia="zh-CN"/>
        </w:rPr>
        <w:t>授权代表</w:t>
      </w:r>
      <w:r>
        <w:rPr>
          <w:rFonts w:hint="eastAsia" w:ascii="仿宋" w:hAnsi="仿宋" w:eastAsia="仿宋" w:cs="仿宋"/>
          <w:snapToGrid w:val="0"/>
          <w:color w:val="auto"/>
          <w:kern w:val="0"/>
          <w:szCs w:val="21"/>
          <w:highlight w:val="none"/>
        </w:rPr>
        <w:t>签字的，应当附法定代表人授权书。</w:t>
      </w:r>
    </w:p>
    <w:p w14:paraId="6AE83B11">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1.5.2 最后报价是供应商响应文件的有效组成部分。</w:t>
      </w:r>
    </w:p>
    <w:p w14:paraId="489552B1">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1.5.3 最后报价仅向采购人及监督人员宣布，并由监督人员确认。</w:t>
      </w:r>
    </w:p>
    <w:p w14:paraId="7031CD59">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1.6 响应文件详细评审</w:t>
      </w:r>
    </w:p>
    <w:p w14:paraId="04D97012">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经磋商确定最终采购需求和提交最后报价的供应商后，由磋商小组采用</w:t>
      </w:r>
      <w:r>
        <w:rPr>
          <w:rFonts w:hint="eastAsia" w:ascii="仿宋" w:hAnsi="仿宋" w:eastAsia="仿宋" w:cs="仿宋"/>
          <w:b/>
          <w:color w:val="auto"/>
          <w:szCs w:val="21"/>
          <w:highlight w:val="none"/>
        </w:rPr>
        <w:t>综合评分法</w:t>
      </w:r>
      <w:r>
        <w:rPr>
          <w:rFonts w:hint="eastAsia" w:ascii="仿宋" w:hAnsi="仿宋" w:eastAsia="仿宋" w:cs="仿宋"/>
          <w:color w:val="auto"/>
          <w:szCs w:val="21"/>
          <w:highlight w:val="none"/>
        </w:rPr>
        <w:t>对提交最后报价的供应商的响应文件和最后报价进行综合评分。</w:t>
      </w:r>
    </w:p>
    <w:p w14:paraId="492CD92C">
      <w:pPr>
        <w:keepNext w:val="0"/>
        <w:keepLines w:val="0"/>
        <w:pageBreakBefore w:val="0"/>
        <w:kinsoku/>
        <w:wordWrap/>
        <w:overflowPunct/>
        <w:topLinePunct w:val="0"/>
        <w:bidi w:val="0"/>
        <w:spacing w:before="120" w:before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1.7 复核与核对评审结果</w:t>
      </w:r>
    </w:p>
    <w:p w14:paraId="1751AC74">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1.7.1 评分汇总结束后，磋商小组应当进行复核，特别要对拟推荐成交候选人的、最后报价最低的、响应文件被认定无效的进行重点复核。</w:t>
      </w:r>
    </w:p>
    <w:p w14:paraId="539C3801">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1.7.2 评审结果汇总完成后，评审报告签署前，采购代理机构应当核对评审结果，除下列情形外，任何人不得修改评审结果：</w:t>
      </w:r>
    </w:p>
    <w:p w14:paraId="5893B1E2">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（1）资格性认定错误的；</w:t>
      </w:r>
    </w:p>
    <w:p w14:paraId="086B81C9">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（2）分值汇总计算错误的；</w:t>
      </w:r>
    </w:p>
    <w:p w14:paraId="244AB0A2">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（3）分项评分超出评分标准范围的；</w:t>
      </w:r>
    </w:p>
    <w:p w14:paraId="1E830E17">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（4）磋商小组对客观评审因素评分不一致的；</w:t>
      </w:r>
    </w:p>
    <w:p w14:paraId="157D4E8F">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（5）经磋商小组一致认定评分畸高、畸低的。</w:t>
      </w:r>
    </w:p>
    <w:p w14:paraId="6EC98217">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经复核发现存在以上情形之一的，磋商小组应当当场修改评审结果，并在评审报告中记载。</w:t>
      </w:r>
    </w:p>
    <w:p w14:paraId="50668DE4">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1.8 确定成交候选人名单</w:t>
      </w:r>
    </w:p>
    <w:p w14:paraId="77F30F0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确定成交候选人程序祥见第二章第8.1、8.2条款。</w:t>
      </w:r>
    </w:p>
    <w:p w14:paraId="731918DB">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1.9 编写评审报告</w:t>
      </w:r>
    </w:p>
    <w:p w14:paraId="0B88570C">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1.9.1 磋商小组在确定成交候选人名单后，应当编写评审报告并向采购人出具。评审报告应当包括以下主要内容：</w:t>
      </w:r>
    </w:p>
    <w:p w14:paraId="23C7F9F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（1）邀请供应商参加采购活动的具体方式和相关情况；</w:t>
      </w:r>
    </w:p>
    <w:p w14:paraId="7A4DD851">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（2）响应文件开启日期和地点；</w:t>
      </w:r>
    </w:p>
    <w:p w14:paraId="31F82AA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（3）获取磋商文件的供应商名单和磋商小组成员名单；</w:t>
      </w:r>
    </w:p>
    <w:p w14:paraId="0CCD366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（4）评审情况记录和说明，包括对供应商的资格审查情况、供应商响应文件评审情况、磋商情况（含磋商文件实质性变动情况）、报价情况等；</w:t>
      </w:r>
    </w:p>
    <w:p w14:paraId="54AED679">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（5）提出的成交候选人的排序名单及理由。</w:t>
      </w:r>
    </w:p>
    <w:p w14:paraId="643E472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（6）其他需要说明的情况，包括评审过程中供应商根据磋商小组要求进行的澄清、说明或者更正，磋商小组成员的更换等，报价最高的供应商为第一中标候选人的，对其报价合理性予以特别书面。</w:t>
      </w:r>
    </w:p>
    <w:p w14:paraId="60AD0190">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1.9.2 评审报告应当由磋商小组全体人员签字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1D2ED22">
      <w:pPr>
        <w:keepNext w:val="0"/>
        <w:keepLines w:val="0"/>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bookmarkStart w:id="183" w:name="_Toc17540"/>
      <w:bookmarkStart w:id="184" w:name="_Toc15146"/>
      <w:bookmarkStart w:id="185" w:name="_Toc25048_WPSOffice_Level2"/>
      <w:bookmarkStart w:id="186" w:name="_Toc29656"/>
      <w:bookmarkStart w:id="187" w:name="_Toc16740"/>
      <w:bookmarkStart w:id="188" w:name="_Toc15857"/>
      <w:bookmarkStart w:id="189" w:name="_Toc32261"/>
      <w:r>
        <w:rPr>
          <w:rFonts w:hint="eastAsia" w:ascii="仿宋" w:hAnsi="仿宋" w:eastAsia="仿宋" w:cs="仿宋"/>
          <w:color w:val="auto"/>
          <w:sz w:val="36"/>
          <w:szCs w:val="36"/>
          <w:highlight w:val="none"/>
        </w:rPr>
        <w:t>2.评审方法</w:t>
      </w:r>
      <w:bookmarkEnd w:id="183"/>
      <w:bookmarkEnd w:id="184"/>
      <w:bookmarkEnd w:id="185"/>
      <w:bookmarkEnd w:id="186"/>
      <w:bookmarkEnd w:id="187"/>
      <w:bookmarkEnd w:id="188"/>
      <w:bookmarkEnd w:id="189"/>
    </w:p>
    <w:p w14:paraId="2DCA4F8E">
      <w:pPr>
        <w:pStyle w:val="5"/>
        <w:keepNext w:val="0"/>
        <w:keepLines w:val="0"/>
        <w:pageBreakBefore w:val="0"/>
        <w:kinsoku/>
        <w:wordWrap/>
        <w:overflowPunct/>
        <w:topLinePunct w:val="0"/>
        <w:bidi w:val="0"/>
        <w:spacing w:before="120" w:beforeLines="50" w:after="120" w:afterLines="50" w:line="400" w:lineRule="exact"/>
        <w:ind w:firstLine="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2.1 综合评分法</w:t>
      </w:r>
    </w:p>
    <w:p w14:paraId="16465283">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2.1.1 本采购项目评审方法采用综合评分法，是指响应文件满足磋商文件全部实质性要求且按评审因素的量化指标评审得分最高的供应商为成交候选供应商的评审方法。</w:t>
      </w:r>
    </w:p>
    <w:p w14:paraId="1C24BEC4">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2.1.2 综合评分法评审标准中的分值设置应当与评审因素的量化指标相对应。磋商文件中没有规定的评审标准不得作为评审依据。</w:t>
      </w:r>
    </w:p>
    <w:p w14:paraId="08115D5D">
      <w:pPr>
        <w:keepNext w:val="0"/>
        <w:keepLines w:val="0"/>
        <w:pageBreakBefore w:val="0"/>
        <w:widowControl/>
        <w:kinsoku/>
        <w:wordWrap/>
        <w:overflowPunct/>
        <w:topLinePunct w:val="0"/>
        <w:autoSpaceDE w:val="0"/>
        <w:autoSpaceDN w:val="0"/>
        <w:bidi w:val="0"/>
        <w:spacing w:before="120" w:beforeLines="50" w:after="120" w:afterLines="50" w:line="400" w:lineRule="exact"/>
        <w:ind w:right="51"/>
        <w:textAlignment w:val="bottom"/>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2.2 分值构成及评分标准</w:t>
      </w:r>
    </w:p>
    <w:tbl>
      <w:tblPr>
        <w:tblStyle w:val="4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437"/>
        <w:gridCol w:w="6066"/>
        <w:gridCol w:w="661"/>
      </w:tblGrid>
      <w:tr w14:paraId="2456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98" w:type="dxa"/>
            <w:gridSpan w:val="2"/>
            <w:noWrap w:val="0"/>
            <w:vAlign w:val="center"/>
          </w:tcPr>
          <w:p w14:paraId="55509B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6066" w:type="dxa"/>
            <w:noWrap w:val="0"/>
            <w:vAlign w:val="center"/>
          </w:tcPr>
          <w:p w14:paraId="0D53793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661" w:type="dxa"/>
            <w:noWrap w:val="0"/>
            <w:vAlign w:val="center"/>
          </w:tcPr>
          <w:p w14:paraId="6AE7AE9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权值</w:t>
            </w:r>
            <w:r>
              <w:rPr>
                <w:rFonts w:hint="eastAsia" w:ascii="仿宋" w:hAnsi="仿宋" w:eastAsia="仿宋" w:cs="仿宋"/>
                <w:color w:val="auto"/>
                <w:sz w:val="24"/>
                <w:szCs w:val="24"/>
                <w:highlight w:val="none"/>
              </w:rPr>
              <w:t>%</w:t>
            </w:r>
          </w:p>
        </w:tc>
      </w:tr>
      <w:tr w14:paraId="328E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8" w:type="dxa"/>
            <w:gridSpan w:val="2"/>
            <w:noWrap w:val="0"/>
            <w:vAlign w:val="center"/>
          </w:tcPr>
          <w:p w14:paraId="45270E55">
            <w:pPr>
              <w:keepNext w:val="0"/>
              <w:keepLines w:val="0"/>
              <w:pageBreakBefore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30分</w:t>
            </w:r>
            <w:r>
              <w:rPr>
                <w:rFonts w:hint="eastAsia" w:ascii="仿宋" w:hAnsi="仿宋" w:eastAsia="仿宋" w:cs="仿宋"/>
                <w:color w:val="auto"/>
                <w:kern w:val="0"/>
                <w:sz w:val="24"/>
                <w:szCs w:val="24"/>
                <w:highlight w:val="none"/>
                <w:lang w:eastAsia="zh-CN"/>
              </w:rPr>
              <w:t>）</w:t>
            </w:r>
          </w:p>
        </w:tc>
        <w:tc>
          <w:tcPr>
            <w:tcW w:w="6066" w:type="dxa"/>
            <w:noWrap w:val="0"/>
            <w:vAlign w:val="center"/>
          </w:tcPr>
          <w:p w14:paraId="406A7F9C">
            <w:pPr>
              <w:pStyle w:val="5"/>
              <w:keepNext w:val="0"/>
              <w:keepLines w:val="0"/>
              <w:suppressLineNumbers w:val="0"/>
              <w:spacing w:before="0" w:beforeAutospacing="0" w:after="0" w:afterAutospacing="0" w:line="360" w:lineRule="auto"/>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价格分统一采用低价优先法计算，即满足招标文件要求且投标价格最低的投标报价为投标基准价，其价格分为满分。其他供应商的价格分统一按照下列公式计算： </w:t>
            </w:r>
          </w:p>
          <w:p w14:paraId="212F1539">
            <w:pPr>
              <w:pStyle w:val="5"/>
              <w:keepNext w:val="0"/>
              <w:keepLines w:val="0"/>
              <w:suppressLineNumbers w:val="0"/>
              <w:spacing w:before="0" w:beforeAutospacing="0" w:after="0" w:afterAutospacing="0" w:line="360" w:lineRule="auto"/>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 投标报价得分=(投标基准价／投标报价)×价格权值</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 xml:space="preserve">0%×100               </w:t>
            </w:r>
          </w:p>
          <w:p w14:paraId="1514D11F">
            <w:pPr>
              <w:pStyle w:val="5"/>
              <w:keepNext w:val="0"/>
              <w:keepLines w:val="0"/>
              <w:suppressLineNumbers w:val="0"/>
              <w:spacing w:before="0" w:beforeAutospacing="0" w:after="0" w:afterAutospacing="0" w:line="360" w:lineRule="auto"/>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计算分数时四舍五入取小数点后两位</w:t>
            </w:r>
          </w:p>
        </w:tc>
        <w:tc>
          <w:tcPr>
            <w:tcW w:w="661" w:type="dxa"/>
            <w:noWrap w:val="0"/>
            <w:vAlign w:val="center"/>
          </w:tcPr>
          <w:p w14:paraId="19CD31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r>
      <w:tr w14:paraId="6362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61" w:type="dxa"/>
            <w:vMerge w:val="restart"/>
            <w:noWrap w:val="0"/>
            <w:vAlign w:val="center"/>
          </w:tcPr>
          <w:p w14:paraId="7DBF02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eastAsia="zh-CN"/>
              </w:rPr>
              <w:t>商务评审（</w:t>
            </w:r>
            <w:r>
              <w:rPr>
                <w:rFonts w:hint="eastAsia" w:ascii="仿宋" w:hAnsi="仿宋" w:eastAsia="仿宋" w:cs="仿宋"/>
                <w:bCs/>
                <w:color w:val="auto"/>
                <w:sz w:val="24"/>
                <w:szCs w:val="24"/>
                <w:highlight w:val="none"/>
                <w:lang w:val="en-US" w:eastAsia="zh-CN"/>
              </w:rPr>
              <w:t>15分</w:t>
            </w:r>
            <w:r>
              <w:rPr>
                <w:rFonts w:hint="eastAsia" w:ascii="仿宋" w:hAnsi="仿宋" w:eastAsia="仿宋" w:cs="仿宋"/>
                <w:bCs/>
                <w:color w:val="auto"/>
                <w:sz w:val="24"/>
                <w:szCs w:val="24"/>
                <w:highlight w:val="none"/>
                <w:lang w:eastAsia="zh-CN"/>
              </w:rPr>
              <w:t>）</w:t>
            </w:r>
          </w:p>
        </w:tc>
        <w:tc>
          <w:tcPr>
            <w:tcW w:w="1437" w:type="dxa"/>
            <w:noWrap w:val="0"/>
            <w:vAlign w:val="center"/>
          </w:tcPr>
          <w:p w14:paraId="74F5CF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业绩</w:t>
            </w:r>
          </w:p>
        </w:tc>
        <w:tc>
          <w:tcPr>
            <w:tcW w:w="6066" w:type="dxa"/>
            <w:noWrap w:val="0"/>
            <w:vAlign w:val="center"/>
          </w:tcPr>
          <w:p w14:paraId="0E0FA2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供应商具有</w:t>
            </w:r>
            <w:r>
              <w:rPr>
                <w:rFonts w:hint="eastAsia" w:ascii="仿宋" w:hAnsi="仿宋" w:eastAsia="仿宋" w:cs="仿宋"/>
                <w:color w:val="auto"/>
                <w:sz w:val="24"/>
                <w:szCs w:val="24"/>
                <w:highlight w:val="none"/>
                <w:lang w:val="en-US" w:eastAsia="zh-CN"/>
              </w:rPr>
              <w:t>2022年1月至今</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类似</w:t>
            </w:r>
            <w:r>
              <w:rPr>
                <w:rFonts w:hint="eastAsia" w:ascii="仿宋" w:hAnsi="仿宋" w:eastAsia="仿宋" w:cs="仿宋"/>
                <w:color w:val="auto"/>
                <w:sz w:val="24"/>
                <w:szCs w:val="24"/>
                <w:highlight w:val="none"/>
              </w:rPr>
              <w:t>项目业绩</w:t>
            </w:r>
            <w:r>
              <w:rPr>
                <w:rFonts w:hint="eastAsia" w:ascii="仿宋" w:hAnsi="仿宋" w:eastAsia="仿宋" w:cs="仿宋"/>
                <w:color w:val="auto"/>
                <w:sz w:val="24"/>
                <w:szCs w:val="24"/>
                <w:highlight w:val="none"/>
                <w:lang w:val="zh-CN"/>
              </w:rPr>
              <w:t>证明文件</w:t>
            </w:r>
            <w:r>
              <w:rPr>
                <w:rFonts w:hint="eastAsia" w:ascii="仿宋" w:hAnsi="仿宋" w:eastAsia="仿宋" w:cs="仿宋"/>
                <w:color w:val="auto"/>
                <w:sz w:val="24"/>
                <w:szCs w:val="24"/>
                <w:highlight w:val="none"/>
              </w:rPr>
              <w:t>（以合同签订时间为准），</w:t>
            </w:r>
            <w:r>
              <w:rPr>
                <w:rFonts w:hint="eastAsia" w:ascii="仿宋" w:hAnsi="仿宋" w:eastAsia="仿宋" w:cs="仿宋"/>
                <w:color w:val="auto"/>
                <w:sz w:val="24"/>
                <w:szCs w:val="24"/>
                <w:highlight w:val="none"/>
                <w:lang w:eastAsia="zh-CN"/>
              </w:rPr>
              <w:t>提供合同复印件加盖公章，</w:t>
            </w:r>
            <w:r>
              <w:rPr>
                <w:rFonts w:hint="eastAsia" w:ascii="仿宋" w:hAnsi="仿宋" w:eastAsia="仿宋" w:cs="仿宋"/>
                <w:sz w:val="24"/>
                <w:szCs w:val="24"/>
                <w:highlight w:val="none"/>
              </w:rPr>
              <w:t>每提供</w:t>
            </w:r>
            <w:r>
              <w:rPr>
                <w:rFonts w:hint="eastAsia" w:ascii="仿宋" w:hAnsi="仿宋" w:eastAsia="仿宋" w:cs="仿宋"/>
                <w:sz w:val="24"/>
                <w:szCs w:val="24"/>
                <w:highlight w:val="none"/>
                <w:lang w:eastAsia="zh-CN"/>
              </w:rPr>
              <w:t>一份</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61" w:type="dxa"/>
            <w:noWrap w:val="0"/>
            <w:vAlign w:val="center"/>
          </w:tcPr>
          <w:p w14:paraId="53D99C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37AB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61" w:type="dxa"/>
            <w:vMerge w:val="continue"/>
            <w:noWrap w:val="0"/>
            <w:vAlign w:val="center"/>
          </w:tcPr>
          <w:p w14:paraId="449255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p>
        </w:tc>
        <w:tc>
          <w:tcPr>
            <w:tcW w:w="1437" w:type="dxa"/>
            <w:noWrap w:val="0"/>
            <w:vAlign w:val="center"/>
          </w:tcPr>
          <w:p w14:paraId="7646B72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zh-CN" w:eastAsia="zh-CN"/>
              </w:rPr>
              <w:t>人员配备</w:t>
            </w:r>
          </w:p>
        </w:tc>
        <w:tc>
          <w:tcPr>
            <w:tcW w:w="6066" w:type="dxa"/>
            <w:noWrap w:val="0"/>
            <w:vAlign w:val="center"/>
          </w:tcPr>
          <w:p w14:paraId="6B8B5F4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针对本项目提供具体可行的核心</w:t>
            </w:r>
            <w:r>
              <w:rPr>
                <w:rFonts w:hint="eastAsia" w:ascii="仿宋" w:hAnsi="仿宋" w:eastAsia="仿宋" w:cs="仿宋"/>
                <w:color w:val="auto"/>
                <w:sz w:val="24"/>
                <w:szCs w:val="24"/>
                <w:highlight w:val="none"/>
                <w:lang w:val="zh-CN" w:eastAsia="zh-CN"/>
              </w:rPr>
              <w:t>人员配置方案。</w:t>
            </w:r>
            <w:r>
              <w:rPr>
                <w:rFonts w:hint="eastAsia" w:ascii="仿宋" w:hAnsi="仿宋" w:eastAsia="仿宋" w:cs="仿宋"/>
                <w:color w:val="auto"/>
                <w:sz w:val="24"/>
                <w:szCs w:val="24"/>
                <w:highlight w:val="none"/>
                <w:lang w:eastAsia="zh-CN"/>
              </w:rPr>
              <w:t>人员配置方案</w:t>
            </w:r>
            <w:r>
              <w:rPr>
                <w:rFonts w:hint="eastAsia" w:ascii="仿宋" w:hAnsi="仿宋" w:eastAsia="仿宋" w:cs="仿宋"/>
                <w:color w:val="auto"/>
                <w:sz w:val="24"/>
                <w:szCs w:val="24"/>
                <w:highlight w:val="none"/>
                <w:lang w:val="en-US" w:eastAsia="zh-CN"/>
              </w:rPr>
              <w:t>全面，项目负责人及团队核心人员中具有与本项目服务相关专业，经验丰富，且具有参加过类似项目的经历。满足上述要求的核心人员8人及以上，得10分。3人-7人得5分。3人以下不得分</w:t>
            </w:r>
          </w:p>
        </w:tc>
        <w:tc>
          <w:tcPr>
            <w:tcW w:w="661" w:type="dxa"/>
            <w:noWrap w:val="0"/>
            <w:vAlign w:val="center"/>
          </w:tcPr>
          <w:p w14:paraId="28AC95E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10</w:t>
            </w:r>
          </w:p>
        </w:tc>
      </w:tr>
      <w:tr w14:paraId="6950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61" w:type="dxa"/>
            <w:vMerge w:val="restart"/>
            <w:noWrap w:val="0"/>
            <w:vAlign w:val="center"/>
          </w:tcPr>
          <w:p w14:paraId="0B8F663D">
            <w:pPr>
              <w:keepNext w:val="0"/>
              <w:keepLines w:val="0"/>
              <w:pageBreakBefore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技术评审</w:t>
            </w:r>
          </w:p>
          <w:p w14:paraId="1BCBE8B4">
            <w:pPr>
              <w:keepNext w:val="0"/>
              <w:keepLines w:val="0"/>
              <w:pageBreakBefore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en-US" w:eastAsia="zh-CN"/>
              </w:rPr>
              <w:t>55分</w:t>
            </w:r>
            <w:r>
              <w:rPr>
                <w:rFonts w:hint="eastAsia" w:ascii="仿宋" w:hAnsi="仿宋" w:eastAsia="仿宋" w:cs="仿宋"/>
                <w:color w:val="auto"/>
                <w:kern w:val="0"/>
                <w:sz w:val="24"/>
                <w:szCs w:val="24"/>
                <w:highlight w:val="none"/>
                <w:lang w:val="zh-CN" w:eastAsia="zh-CN"/>
              </w:rPr>
              <w:t>）</w:t>
            </w:r>
          </w:p>
        </w:tc>
        <w:tc>
          <w:tcPr>
            <w:tcW w:w="1437" w:type="dxa"/>
            <w:noWrap w:val="0"/>
            <w:vAlign w:val="center"/>
          </w:tcPr>
          <w:p w14:paraId="6F69BD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snapToGrid w:val="0"/>
                <w:color w:val="auto"/>
                <w:kern w:val="0"/>
                <w:sz w:val="24"/>
                <w:szCs w:val="24"/>
                <w:highlight w:val="none"/>
                <w:lang w:val="zh-CN" w:eastAsia="zh-CN"/>
              </w:rPr>
              <w:t>项目综合认识</w:t>
            </w:r>
          </w:p>
        </w:tc>
        <w:tc>
          <w:tcPr>
            <w:tcW w:w="6066" w:type="dxa"/>
            <w:noWrap w:val="0"/>
            <w:vAlign w:val="center"/>
          </w:tcPr>
          <w:p w14:paraId="1C4F5851">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根据供应商对项目情况分析，对现状内容和问题把握准确程度，是否能完全满足项目要求等内容评审，</w:t>
            </w:r>
            <w:r>
              <w:rPr>
                <w:rFonts w:hint="eastAsia" w:ascii="仿宋" w:hAnsi="仿宋" w:eastAsia="仿宋" w:cs="仿宋"/>
                <w:snapToGrid w:val="0"/>
                <w:color w:val="auto"/>
                <w:kern w:val="0"/>
                <w:sz w:val="24"/>
                <w:szCs w:val="24"/>
                <w:highlight w:val="none"/>
                <w:lang w:eastAsia="zh-CN"/>
              </w:rPr>
              <w:t>按其响应程度</w:t>
            </w:r>
            <w:r>
              <w:rPr>
                <w:rFonts w:hint="eastAsia" w:ascii="仿宋" w:hAnsi="仿宋" w:eastAsia="仿宋" w:cs="仿宋"/>
                <w:snapToGrid w:val="0"/>
                <w:color w:val="auto"/>
                <w:kern w:val="0"/>
                <w:sz w:val="24"/>
                <w:szCs w:val="24"/>
                <w:highlight w:val="none"/>
                <w:lang w:val="en-US" w:eastAsia="zh-CN"/>
              </w:rPr>
              <w:t>赋分[0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15]分；</w:t>
            </w:r>
          </w:p>
          <w:p w14:paraId="0B1CB822">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解读</w:t>
            </w:r>
            <w:r>
              <w:rPr>
                <w:rFonts w:hint="eastAsia" w:ascii="仿宋" w:hAnsi="仿宋" w:eastAsia="仿宋" w:cs="仿宋"/>
                <w:snapToGrid w:val="0"/>
                <w:color w:val="auto"/>
                <w:kern w:val="0"/>
                <w:sz w:val="24"/>
                <w:szCs w:val="24"/>
                <w:highlight w:val="none"/>
                <w:lang w:val="en-US" w:eastAsia="zh-CN"/>
              </w:rPr>
              <w:t>情况认识</w:t>
            </w:r>
            <w:r>
              <w:rPr>
                <w:rFonts w:hint="eastAsia" w:ascii="仿宋" w:hAnsi="仿宋" w:eastAsia="仿宋" w:cs="仿宋"/>
                <w:snapToGrid w:val="0"/>
                <w:color w:val="auto"/>
                <w:kern w:val="0"/>
                <w:sz w:val="24"/>
                <w:szCs w:val="24"/>
                <w:highlight w:val="none"/>
                <w:lang w:eastAsia="zh-CN"/>
              </w:rPr>
              <w:t>全面，针对性</w:t>
            </w:r>
            <w:r>
              <w:rPr>
                <w:rFonts w:hint="eastAsia" w:ascii="仿宋" w:hAnsi="仿宋" w:eastAsia="仿宋" w:cs="仿宋"/>
                <w:snapToGrid w:val="0"/>
                <w:color w:val="auto"/>
                <w:kern w:val="0"/>
                <w:sz w:val="24"/>
                <w:szCs w:val="24"/>
                <w:highlight w:val="none"/>
                <w:lang w:val="en-US" w:eastAsia="zh-CN"/>
              </w:rPr>
              <w:t>强得（8</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15）</w:t>
            </w:r>
            <w:r>
              <w:rPr>
                <w:rFonts w:hint="eastAsia" w:ascii="仿宋" w:hAnsi="仿宋" w:eastAsia="仿宋" w:cs="仿宋"/>
                <w:snapToGrid w:val="0"/>
                <w:color w:val="auto"/>
                <w:kern w:val="0"/>
                <w:sz w:val="24"/>
                <w:szCs w:val="24"/>
                <w:highlight w:val="none"/>
                <w:lang w:eastAsia="zh-CN"/>
              </w:rPr>
              <w:t>分；</w:t>
            </w:r>
          </w:p>
          <w:p w14:paraId="333B3638">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解读</w:t>
            </w:r>
            <w:r>
              <w:rPr>
                <w:rFonts w:hint="eastAsia" w:ascii="仿宋" w:hAnsi="仿宋" w:eastAsia="仿宋" w:cs="仿宋"/>
                <w:snapToGrid w:val="0"/>
                <w:color w:val="auto"/>
                <w:kern w:val="0"/>
                <w:sz w:val="24"/>
                <w:szCs w:val="24"/>
                <w:highlight w:val="none"/>
                <w:lang w:val="en-US" w:eastAsia="zh-CN"/>
              </w:rPr>
              <w:t>情况认识不</w:t>
            </w:r>
            <w:r>
              <w:rPr>
                <w:rFonts w:hint="eastAsia" w:ascii="仿宋" w:hAnsi="仿宋" w:eastAsia="仿宋" w:cs="仿宋"/>
                <w:snapToGrid w:val="0"/>
                <w:color w:val="auto"/>
                <w:kern w:val="0"/>
                <w:sz w:val="24"/>
                <w:szCs w:val="24"/>
                <w:highlight w:val="none"/>
                <w:lang w:eastAsia="zh-CN"/>
              </w:rPr>
              <w:t>全面，针对性</w:t>
            </w:r>
            <w:r>
              <w:rPr>
                <w:rFonts w:hint="eastAsia" w:ascii="仿宋" w:hAnsi="仿宋" w:eastAsia="仿宋" w:cs="仿宋"/>
                <w:snapToGrid w:val="0"/>
                <w:color w:val="auto"/>
                <w:kern w:val="0"/>
                <w:sz w:val="24"/>
                <w:szCs w:val="24"/>
                <w:highlight w:val="none"/>
                <w:lang w:val="en-US" w:eastAsia="zh-CN"/>
              </w:rPr>
              <w:t>一般得（0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eastAsia="zh-CN"/>
              </w:rPr>
              <w:t>分；</w:t>
            </w:r>
          </w:p>
        </w:tc>
        <w:tc>
          <w:tcPr>
            <w:tcW w:w="661" w:type="dxa"/>
            <w:noWrap w:val="0"/>
            <w:vAlign w:val="center"/>
          </w:tcPr>
          <w:p w14:paraId="7F9DB9A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r>
      <w:tr w14:paraId="3F31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261" w:type="dxa"/>
            <w:vMerge w:val="continue"/>
            <w:noWrap w:val="0"/>
            <w:vAlign w:val="center"/>
          </w:tcPr>
          <w:p w14:paraId="343013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pPr>
          </w:p>
        </w:tc>
        <w:tc>
          <w:tcPr>
            <w:tcW w:w="1437" w:type="dxa"/>
            <w:noWrap w:val="0"/>
            <w:vAlign w:val="center"/>
          </w:tcPr>
          <w:p w14:paraId="4D2814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zh-CN" w:eastAsia="zh-CN"/>
              </w:rPr>
              <w:t>质量保障</w:t>
            </w:r>
          </w:p>
        </w:tc>
        <w:tc>
          <w:tcPr>
            <w:tcW w:w="6066" w:type="dxa"/>
            <w:noWrap w:val="0"/>
            <w:vAlign w:val="center"/>
          </w:tcPr>
          <w:p w14:paraId="04647D02">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质量管理组织方面，针对本项目设置的质量保证管理组织措施，结构科学、严谨、完整，符合相关规范及地方法规要求,按其响应程度</w:t>
            </w:r>
            <w:r>
              <w:rPr>
                <w:rFonts w:hint="eastAsia" w:ascii="仿宋" w:hAnsi="仿宋" w:eastAsia="仿宋" w:cs="仿宋"/>
                <w:snapToGrid w:val="0"/>
                <w:color w:val="auto"/>
                <w:kern w:val="0"/>
                <w:sz w:val="24"/>
                <w:szCs w:val="24"/>
                <w:highlight w:val="none"/>
                <w:lang w:val="en-US" w:eastAsia="zh-CN"/>
              </w:rPr>
              <w:t>赋分[0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15]分；</w:t>
            </w:r>
          </w:p>
          <w:p w14:paraId="6EB61737">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zh-CN" w:eastAsia="zh-CN"/>
              </w:rPr>
              <w:t>质量保障</w:t>
            </w:r>
            <w:r>
              <w:rPr>
                <w:rFonts w:hint="eastAsia" w:ascii="仿宋" w:hAnsi="仿宋" w:eastAsia="仿宋" w:cs="仿宋"/>
                <w:snapToGrid w:val="0"/>
                <w:color w:val="auto"/>
                <w:kern w:val="0"/>
                <w:sz w:val="24"/>
                <w:szCs w:val="24"/>
                <w:highlight w:val="none"/>
                <w:lang w:val="en-US" w:eastAsia="zh-CN"/>
              </w:rPr>
              <w:t>可行</w:t>
            </w:r>
            <w:r>
              <w:rPr>
                <w:rFonts w:hint="eastAsia" w:ascii="仿宋" w:hAnsi="仿宋" w:eastAsia="仿宋" w:cs="仿宋"/>
                <w:snapToGrid w:val="0"/>
                <w:color w:val="auto"/>
                <w:kern w:val="0"/>
                <w:sz w:val="24"/>
                <w:szCs w:val="24"/>
                <w:highlight w:val="none"/>
                <w:lang w:eastAsia="zh-CN"/>
              </w:rPr>
              <w:t>，针对性</w:t>
            </w:r>
            <w:r>
              <w:rPr>
                <w:rFonts w:hint="eastAsia" w:ascii="仿宋" w:hAnsi="仿宋" w:eastAsia="仿宋" w:cs="仿宋"/>
                <w:snapToGrid w:val="0"/>
                <w:color w:val="auto"/>
                <w:kern w:val="0"/>
                <w:sz w:val="24"/>
                <w:szCs w:val="24"/>
                <w:highlight w:val="none"/>
                <w:lang w:val="en-US" w:eastAsia="zh-CN"/>
              </w:rPr>
              <w:t>强得（8</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15）</w:t>
            </w:r>
            <w:r>
              <w:rPr>
                <w:rFonts w:hint="eastAsia" w:ascii="仿宋" w:hAnsi="仿宋" w:eastAsia="仿宋" w:cs="仿宋"/>
                <w:snapToGrid w:val="0"/>
                <w:color w:val="auto"/>
                <w:kern w:val="0"/>
                <w:sz w:val="24"/>
                <w:szCs w:val="24"/>
                <w:highlight w:val="none"/>
                <w:lang w:eastAsia="zh-CN"/>
              </w:rPr>
              <w:t>分；</w:t>
            </w:r>
          </w:p>
          <w:p w14:paraId="5033A353">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zh-CN" w:eastAsia="zh-CN"/>
              </w:rPr>
              <w:t>质量保障</w:t>
            </w:r>
            <w:r>
              <w:rPr>
                <w:rFonts w:hint="eastAsia" w:ascii="仿宋" w:hAnsi="仿宋" w:eastAsia="仿宋" w:cs="仿宋"/>
                <w:snapToGrid w:val="0"/>
                <w:color w:val="auto"/>
                <w:kern w:val="0"/>
                <w:sz w:val="24"/>
                <w:szCs w:val="24"/>
                <w:highlight w:val="none"/>
                <w:lang w:val="en-US" w:eastAsia="zh-CN"/>
              </w:rPr>
              <w:t>较为可行</w:t>
            </w:r>
            <w:r>
              <w:rPr>
                <w:rFonts w:hint="eastAsia" w:ascii="仿宋" w:hAnsi="仿宋" w:eastAsia="仿宋" w:cs="仿宋"/>
                <w:snapToGrid w:val="0"/>
                <w:color w:val="auto"/>
                <w:kern w:val="0"/>
                <w:sz w:val="24"/>
                <w:szCs w:val="24"/>
                <w:highlight w:val="none"/>
                <w:lang w:eastAsia="zh-CN"/>
              </w:rPr>
              <w:t>，针对性</w:t>
            </w:r>
            <w:r>
              <w:rPr>
                <w:rFonts w:hint="eastAsia" w:ascii="仿宋" w:hAnsi="仿宋" w:eastAsia="仿宋" w:cs="仿宋"/>
                <w:snapToGrid w:val="0"/>
                <w:color w:val="auto"/>
                <w:kern w:val="0"/>
                <w:sz w:val="24"/>
                <w:szCs w:val="24"/>
                <w:highlight w:val="none"/>
                <w:lang w:val="en-US" w:eastAsia="zh-CN"/>
              </w:rPr>
              <w:t>一般得（0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eastAsia="zh-CN"/>
              </w:rPr>
              <w:t>分；</w:t>
            </w:r>
          </w:p>
        </w:tc>
        <w:tc>
          <w:tcPr>
            <w:tcW w:w="661" w:type="dxa"/>
            <w:noWrap w:val="0"/>
            <w:vAlign w:val="center"/>
          </w:tcPr>
          <w:p w14:paraId="65BEA0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color w:val="auto"/>
                <w:sz w:val="24"/>
                <w:szCs w:val="24"/>
                <w:highlight w:val="none"/>
                <w:lang w:val="en-US" w:eastAsia="zh-CN"/>
              </w:rPr>
              <w:t>15</w:t>
            </w:r>
          </w:p>
        </w:tc>
      </w:tr>
      <w:tr w14:paraId="2622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61" w:type="dxa"/>
            <w:vMerge w:val="continue"/>
            <w:noWrap w:val="0"/>
            <w:vAlign w:val="center"/>
          </w:tcPr>
          <w:p w14:paraId="2DE51329">
            <w:pPr>
              <w:keepNext w:val="0"/>
              <w:keepLines w:val="0"/>
              <w:pageBreakBefore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eastAsia="zh-CN"/>
              </w:rPr>
            </w:pPr>
          </w:p>
        </w:tc>
        <w:tc>
          <w:tcPr>
            <w:tcW w:w="1437" w:type="dxa"/>
            <w:noWrap w:val="0"/>
            <w:vAlign w:val="center"/>
          </w:tcPr>
          <w:p w14:paraId="218563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保密措施和保密承诺</w:t>
            </w:r>
          </w:p>
        </w:tc>
        <w:tc>
          <w:tcPr>
            <w:tcW w:w="6066" w:type="dxa"/>
            <w:noWrap w:val="0"/>
            <w:vAlign w:val="center"/>
          </w:tcPr>
          <w:p w14:paraId="227B4F7F">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具有严格的项目保密措施和保密承诺，按其响应程度</w:t>
            </w:r>
            <w:r>
              <w:rPr>
                <w:rFonts w:hint="eastAsia" w:ascii="仿宋" w:hAnsi="仿宋" w:eastAsia="仿宋" w:cs="仿宋"/>
                <w:snapToGrid w:val="0"/>
                <w:color w:val="auto"/>
                <w:kern w:val="0"/>
                <w:sz w:val="24"/>
                <w:szCs w:val="24"/>
                <w:highlight w:val="none"/>
                <w:lang w:val="en-US" w:eastAsia="zh-CN"/>
              </w:rPr>
              <w:t>赋分[</w:t>
            </w:r>
            <w:r>
              <w:rPr>
                <w:rFonts w:hint="eastAsia" w:ascii="仿宋" w:hAnsi="仿宋" w:eastAsia="仿宋" w:cs="仿宋"/>
                <w:snapToGrid w:val="0"/>
                <w:color w:val="auto"/>
                <w:kern w:val="0"/>
                <w:sz w:val="24"/>
                <w:szCs w:val="24"/>
                <w:highlight w:val="none"/>
                <w:lang w:eastAsia="zh-CN"/>
              </w:rPr>
              <w:t>0-</w:t>
            </w:r>
            <w:r>
              <w:rPr>
                <w:rFonts w:hint="eastAsia" w:ascii="仿宋" w:hAnsi="仿宋" w:eastAsia="仿宋" w:cs="仿宋"/>
                <w:snapToGrid w:val="0"/>
                <w:color w:val="auto"/>
                <w:kern w:val="0"/>
                <w:sz w:val="24"/>
                <w:szCs w:val="24"/>
                <w:highlight w:val="none"/>
                <w:lang w:val="en-US" w:eastAsia="zh-CN"/>
              </w:rPr>
              <w:t>15]</w:t>
            </w:r>
            <w:r>
              <w:rPr>
                <w:rFonts w:hint="eastAsia" w:ascii="仿宋" w:hAnsi="仿宋" w:eastAsia="仿宋" w:cs="仿宋"/>
                <w:snapToGrid w:val="0"/>
                <w:color w:val="auto"/>
                <w:kern w:val="0"/>
                <w:sz w:val="24"/>
                <w:szCs w:val="24"/>
                <w:highlight w:val="none"/>
                <w:lang w:eastAsia="zh-CN"/>
              </w:rPr>
              <w:t>分</w:t>
            </w:r>
          </w:p>
          <w:p w14:paraId="10464F8F">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保密措施和保密承诺</w:t>
            </w:r>
            <w:r>
              <w:rPr>
                <w:rFonts w:hint="eastAsia" w:ascii="仿宋" w:hAnsi="仿宋" w:eastAsia="仿宋" w:cs="仿宋"/>
                <w:snapToGrid w:val="0"/>
                <w:color w:val="auto"/>
                <w:kern w:val="0"/>
                <w:sz w:val="24"/>
                <w:szCs w:val="24"/>
                <w:highlight w:val="none"/>
                <w:lang w:val="en-US" w:eastAsia="zh-CN"/>
              </w:rPr>
              <w:t>可行</w:t>
            </w:r>
            <w:r>
              <w:rPr>
                <w:rFonts w:hint="eastAsia" w:ascii="仿宋" w:hAnsi="仿宋" w:eastAsia="仿宋" w:cs="仿宋"/>
                <w:snapToGrid w:val="0"/>
                <w:color w:val="auto"/>
                <w:kern w:val="0"/>
                <w:sz w:val="24"/>
                <w:szCs w:val="24"/>
                <w:highlight w:val="none"/>
                <w:lang w:eastAsia="zh-CN"/>
              </w:rPr>
              <w:t>，针对性</w:t>
            </w:r>
            <w:r>
              <w:rPr>
                <w:rFonts w:hint="eastAsia" w:ascii="仿宋" w:hAnsi="仿宋" w:eastAsia="仿宋" w:cs="仿宋"/>
                <w:snapToGrid w:val="0"/>
                <w:color w:val="auto"/>
                <w:kern w:val="0"/>
                <w:sz w:val="24"/>
                <w:szCs w:val="24"/>
                <w:highlight w:val="none"/>
                <w:lang w:val="en-US" w:eastAsia="zh-CN"/>
              </w:rPr>
              <w:t>强得（8</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15）</w:t>
            </w:r>
            <w:r>
              <w:rPr>
                <w:rFonts w:hint="eastAsia" w:ascii="仿宋" w:hAnsi="仿宋" w:eastAsia="仿宋" w:cs="仿宋"/>
                <w:snapToGrid w:val="0"/>
                <w:color w:val="auto"/>
                <w:kern w:val="0"/>
                <w:sz w:val="24"/>
                <w:szCs w:val="24"/>
                <w:highlight w:val="none"/>
                <w:lang w:eastAsia="zh-CN"/>
              </w:rPr>
              <w:t>分；</w:t>
            </w:r>
          </w:p>
          <w:p w14:paraId="44DB361B">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保密措施和保密承诺较为可行</w:t>
            </w:r>
            <w:r>
              <w:rPr>
                <w:rFonts w:hint="eastAsia" w:ascii="仿宋" w:hAnsi="仿宋" w:eastAsia="仿宋" w:cs="仿宋"/>
                <w:snapToGrid w:val="0"/>
                <w:color w:val="auto"/>
                <w:kern w:val="0"/>
                <w:sz w:val="24"/>
                <w:szCs w:val="24"/>
                <w:highlight w:val="none"/>
                <w:lang w:eastAsia="zh-CN"/>
              </w:rPr>
              <w:t>，针对性</w:t>
            </w:r>
            <w:r>
              <w:rPr>
                <w:rFonts w:hint="eastAsia" w:ascii="仿宋" w:hAnsi="仿宋" w:eastAsia="仿宋" w:cs="仿宋"/>
                <w:snapToGrid w:val="0"/>
                <w:color w:val="auto"/>
                <w:kern w:val="0"/>
                <w:sz w:val="24"/>
                <w:szCs w:val="24"/>
                <w:highlight w:val="none"/>
                <w:lang w:val="en-US" w:eastAsia="zh-CN"/>
              </w:rPr>
              <w:t>一般得（0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eastAsia="zh-CN"/>
              </w:rPr>
              <w:t>分；</w:t>
            </w:r>
          </w:p>
        </w:tc>
        <w:tc>
          <w:tcPr>
            <w:tcW w:w="661" w:type="dxa"/>
            <w:noWrap w:val="0"/>
            <w:vAlign w:val="center"/>
          </w:tcPr>
          <w:p w14:paraId="1E225C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r>
      <w:tr w14:paraId="0D33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61" w:type="dxa"/>
            <w:vMerge w:val="continue"/>
            <w:noWrap w:val="0"/>
            <w:vAlign w:val="center"/>
          </w:tcPr>
          <w:p w14:paraId="052C38B0">
            <w:pPr>
              <w:keepNext w:val="0"/>
              <w:keepLines w:val="0"/>
              <w:pageBreakBefore w:val="0"/>
              <w:suppressLineNumbers w:val="0"/>
              <w:tabs>
                <w:tab w:val="left" w:pos="420"/>
                <w:tab w:val="center" w:pos="4153"/>
                <w:tab w:val="right" w:pos="8306"/>
              </w:tabs>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eastAsia="zh-CN"/>
              </w:rPr>
            </w:pPr>
          </w:p>
        </w:tc>
        <w:tc>
          <w:tcPr>
            <w:tcW w:w="1437" w:type="dxa"/>
            <w:noWrap w:val="0"/>
            <w:vAlign w:val="center"/>
          </w:tcPr>
          <w:p w14:paraId="79D192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sz w:val="24"/>
                <w:szCs w:val="32"/>
                <w:lang w:val="en-US" w:eastAsia="zh-CN"/>
              </w:rPr>
              <w:t>后期服务</w:t>
            </w:r>
          </w:p>
        </w:tc>
        <w:tc>
          <w:tcPr>
            <w:tcW w:w="6066" w:type="dxa"/>
            <w:noWrap w:val="0"/>
            <w:vAlign w:val="center"/>
          </w:tcPr>
          <w:p w14:paraId="67A98B37">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根据供应商提供的针对本项目特点的后期服务进行综合评分</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snapToGrid w:val="0"/>
                <w:color w:val="auto"/>
                <w:kern w:val="0"/>
                <w:sz w:val="24"/>
                <w:szCs w:val="24"/>
                <w:highlight w:val="none"/>
                <w:lang w:eastAsia="zh-CN"/>
              </w:rPr>
              <w:t>0-</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eastAsia="zh-CN"/>
              </w:rPr>
              <w:t>分</w:t>
            </w:r>
            <w:r>
              <w:rPr>
                <w:rFonts w:hint="eastAsia" w:ascii="仿宋" w:hAnsi="仿宋" w:eastAsia="仿宋" w:cs="仿宋"/>
                <w:sz w:val="24"/>
                <w:szCs w:val="32"/>
                <w:lang w:val="en-US" w:eastAsia="zh-CN"/>
              </w:rPr>
              <w:t>。</w:t>
            </w:r>
          </w:p>
          <w:p w14:paraId="4B12647C">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方案完善、科学合理，针对性强、服务承诺明确，计（7-10）分；</w:t>
            </w:r>
          </w:p>
          <w:p w14:paraId="19052833">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方案较完整、合理可行、特点和承诺不明确，计（3-7）分；</w:t>
            </w:r>
          </w:p>
          <w:p w14:paraId="49E98584">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32"/>
                <w:lang w:val="en-US" w:eastAsia="zh-CN"/>
              </w:rPr>
              <w:t>方案不合理，计（0-3）分。</w:t>
            </w:r>
          </w:p>
        </w:tc>
        <w:tc>
          <w:tcPr>
            <w:tcW w:w="661" w:type="dxa"/>
            <w:noWrap w:val="0"/>
            <w:vAlign w:val="center"/>
          </w:tcPr>
          <w:p w14:paraId="495175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bl>
    <w:p w14:paraId="0BD0668C">
      <w:pPr>
        <w:pStyle w:val="39"/>
        <w:keepNext w:val="0"/>
        <w:keepLines w:val="0"/>
        <w:pageBreakBefore w:val="0"/>
        <w:shd w:val="clear" w:color="auto" w:fill="FFFFFF"/>
        <w:kinsoku/>
        <w:wordWrap/>
        <w:overflowPunct/>
        <w:topLinePunct w:val="0"/>
        <w:bidi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p>
    <w:p w14:paraId="6032C17E">
      <w:pPr>
        <w:pStyle w:val="39"/>
        <w:keepNext w:val="0"/>
        <w:keepLines w:val="0"/>
        <w:pageBreakBefore w:val="0"/>
        <w:shd w:val="clear" w:color="auto" w:fill="FFFFFF"/>
        <w:kinsoku/>
        <w:wordWrap/>
        <w:overflowPunct/>
        <w:topLinePunct w:val="0"/>
        <w:bidi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 xml:space="preserve"> 评审过程中，不得去掉报价中的最高报价和最低报价。</w:t>
      </w:r>
    </w:p>
    <w:p w14:paraId="3A7ADC77">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非实质性偏离是指响应文件在实质上响应磋商文件的要求，但在个别地方存在一些不规则、不一致、不完整的内容，并且澄清、说明或者更正这些内容不会改变响应文件的实质性内容。以下情况属于非实质性偏离：</w:t>
      </w:r>
    </w:p>
    <w:p w14:paraId="71C1CC46">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（1）文字表述的内容含义不明确；</w:t>
      </w:r>
    </w:p>
    <w:p w14:paraId="6959EE72">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（2）同类问题表述不一致；</w:t>
      </w:r>
    </w:p>
    <w:p w14:paraId="7A3D4425">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（3）有明显文字和计算错误；</w:t>
      </w:r>
    </w:p>
    <w:p w14:paraId="3BF4EF79">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（4）提供的技术信息和数据资料不完整；</w:t>
      </w:r>
    </w:p>
    <w:p w14:paraId="70109049">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（5）响应文件未按磋商文件要求进行编制目录、页码；</w:t>
      </w:r>
    </w:p>
    <w:p w14:paraId="6AF566DC">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（6）磋商小组认定的其他非实质性偏离。</w:t>
      </w:r>
    </w:p>
    <w:p w14:paraId="270BEC3D">
      <w:pPr>
        <w:keepNext w:val="0"/>
        <w:keepLines w:val="0"/>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有上述（1）至（4）情形之一的，磋商小组应当书面要求供应商在规定的时间内予以澄清、说明或更正。供应商拒不或在规定的时间内没有进行澄清、说明或更正或者澄清、说明、更正的内容也不能说明问题的，视为响应文件制作不规范，按每一项非实质性偏离进行扣分处理，直至该项分值扣完为止。</w:t>
      </w:r>
    </w:p>
    <w:p w14:paraId="567119B5">
      <w:pPr>
        <w:pStyle w:val="19"/>
        <w:keepNext w:val="0"/>
        <w:keepLines w:val="0"/>
        <w:pageBreakBefore w:val="0"/>
        <w:tabs>
          <w:tab w:val="left" w:pos="600"/>
        </w:tabs>
        <w:kinsoku/>
        <w:wordWrap/>
        <w:overflowPunct/>
        <w:topLinePunct w:val="0"/>
        <w:bidi w:val="0"/>
        <w:spacing w:line="400" w:lineRule="exact"/>
        <w:ind w:firstLine="420" w:firstLineChars="200"/>
        <w:rPr>
          <w:rFonts w:hint="eastAsia" w:ascii="仿宋" w:hAnsi="仿宋" w:eastAsia="仿宋" w:cs="仿宋"/>
          <w:b/>
          <w:color w:val="auto"/>
          <w:sz w:val="30"/>
          <w:szCs w:val="30"/>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 在响应文件初审过程中，如果出现磋商小组成员意见不一致的情况，按照少数服从多数的原则确定。</w:t>
      </w:r>
    </w:p>
    <w:p w14:paraId="22FE37D6">
      <w:pPr>
        <w:keepNext w:val="0"/>
        <w:keepLines w:val="0"/>
        <w:pageBreakBefore w:val="0"/>
        <w:widowControl/>
        <w:kinsoku/>
        <w:wordWrap/>
        <w:overflowPunct/>
        <w:topLinePunct w:val="0"/>
        <w:autoSpaceDE w:val="0"/>
        <w:autoSpaceDN w:val="0"/>
        <w:bidi w:val="0"/>
        <w:spacing w:before="120" w:beforeLines="50" w:after="120" w:afterLines="50" w:line="400" w:lineRule="exact"/>
        <w:ind w:right="51"/>
        <w:textAlignment w:val="bottom"/>
        <w:rPr>
          <w:rFonts w:hint="eastAsia" w:ascii="仿宋" w:hAnsi="仿宋" w:eastAsia="仿宋" w:cs="仿宋"/>
          <w:b/>
          <w:color w:val="auto"/>
          <w:sz w:val="30"/>
          <w:szCs w:val="30"/>
          <w:highlight w:val="none"/>
        </w:rPr>
      </w:pPr>
      <w:bookmarkStart w:id="190" w:name="_Toc482201971"/>
      <w:r>
        <w:rPr>
          <w:rFonts w:hint="eastAsia" w:ascii="仿宋" w:hAnsi="仿宋" w:eastAsia="仿宋" w:cs="仿宋"/>
          <w:b/>
          <w:color w:val="auto"/>
          <w:sz w:val="30"/>
          <w:szCs w:val="30"/>
          <w:highlight w:val="none"/>
        </w:rPr>
        <w:t>2.3 无效响应文件的认定</w:t>
      </w:r>
    </w:p>
    <w:p w14:paraId="78A26AB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在评审过程中，出现下列情形之一的，响应文件无效：</w:t>
      </w:r>
    </w:p>
    <w:p w14:paraId="261E0989">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（1）不具备磋商文件中规定的资格条件和要求的；</w:t>
      </w:r>
    </w:p>
    <w:p w14:paraId="2360DE1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（2）响应文件未按照磋商文件规定的格式要求编制的；</w:t>
      </w:r>
    </w:p>
    <w:p w14:paraId="075D0F49">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（3）响应文件未按照磋商文件规定和要求签署、盖章的；</w:t>
      </w:r>
    </w:p>
    <w:p w14:paraId="7D905292">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（4）磋商报价超过了磋商文件中规定的预算（最高限价）金额的；</w:t>
      </w:r>
    </w:p>
    <w:p w14:paraId="22EA3412">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（5）进口货物（产品）未办理正常进口手续的（如有）；</w:t>
      </w:r>
    </w:p>
    <w:p w14:paraId="7073C8CB">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（6）响应文件未完全响应磋商文件内容出现漏项、缺项的；</w:t>
      </w:r>
    </w:p>
    <w:p w14:paraId="6207AC6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（7）响应文件的关键内容字迹模糊和无法辨认的；</w:t>
      </w:r>
    </w:p>
    <w:p w14:paraId="66347999">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（8）</w:t>
      </w:r>
      <w:r>
        <w:rPr>
          <w:rFonts w:hint="eastAsia" w:ascii="仿宋" w:hAnsi="仿宋" w:eastAsia="仿宋" w:cs="仿宋"/>
          <w:snapToGrid w:val="0"/>
          <w:color w:val="auto"/>
          <w:kern w:val="0"/>
          <w:szCs w:val="21"/>
          <w:highlight w:val="none"/>
          <w:lang w:eastAsia="zh-CN"/>
        </w:rPr>
        <w:t>服务</w:t>
      </w:r>
      <w:r>
        <w:rPr>
          <w:rFonts w:hint="eastAsia" w:ascii="仿宋" w:hAnsi="仿宋" w:eastAsia="仿宋" w:cs="仿宋"/>
          <w:snapToGrid w:val="0"/>
          <w:color w:val="auto"/>
          <w:kern w:val="0"/>
          <w:szCs w:val="21"/>
          <w:highlight w:val="none"/>
        </w:rPr>
        <w:t>期、质保期、质量、保修承诺等商务条款不能满足磋商文件要求的；</w:t>
      </w:r>
    </w:p>
    <w:p w14:paraId="24B176C4">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（9）提供的主要材料与设备不符合强制执行的国家标准的；</w:t>
      </w:r>
    </w:p>
    <w:p w14:paraId="578CB0CA">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（10）提供的主要材料与设备不是国家强制节能产品品目清单中的产品（如有）；</w:t>
      </w:r>
    </w:p>
    <w:p w14:paraId="01304E67">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（11）响应文件中附有采购人不能接受的附加条件的；</w:t>
      </w:r>
    </w:p>
    <w:p w14:paraId="1733E077">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（12）响应文件不符合磋商文件和法律法规规定的其他情形的。</w:t>
      </w:r>
    </w:p>
    <w:p w14:paraId="1D716202">
      <w:pPr>
        <w:keepNext w:val="0"/>
        <w:keepLines w:val="0"/>
        <w:pageBreakBefore w:val="0"/>
        <w:widowControl/>
        <w:kinsoku/>
        <w:wordWrap/>
        <w:overflowPunct/>
        <w:topLinePunct w:val="0"/>
        <w:autoSpaceDE w:val="0"/>
        <w:autoSpaceDN w:val="0"/>
        <w:bidi w:val="0"/>
        <w:spacing w:before="120" w:beforeLines="50" w:after="120" w:afterLines="50" w:line="400" w:lineRule="exact"/>
        <w:ind w:right="51"/>
        <w:textAlignment w:val="bottom"/>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2.4 特殊情况的处理</w:t>
      </w:r>
    </w:p>
    <w:p w14:paraId="17284E3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2.4.1 响应文件中如果出现前后不一致的，按照下列规定修正：</w:t>
      </w:r>
    </w:p>
    <w:p w14:paraId="6A01C2A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（1）响应文件中的大写金额与小写金额不一致的，以大写金额为准；</w:t>
      </w:r>
    </w:p>
    <w:p w14:paraId="3E3F055C">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（2）响应文件中的总报价与按单价计算的汇总报价不一致的，以单价计算的汇总报价为准；</w:t>
      </w:r>
    </w:p>
    <w:p w14:paraId="6DFACD77">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（3）响应文件中的报价有明显小数点错误的，以总报价为准，并修改报价；</w:t>
      </w:r>
    </w:p>
    <w:p w14:paraId="1780868A">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（4）响应文件中有关分项表内容与“磋商报价一览表”不一致的，以“磋商报价一览表”为准；</w:t>
      </w:r>
    </w:p>
    <w:p w14:paraId="70A488CB">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（5）响应文件中图表与文字表述不一致的，以文字表述为准；</w:t>
      </w:r>
    </w:p>
    <w:p w14:paraId="5ADF1BE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（6）响应文件正本与副本不一致的，以正本为准；</w:t>
      </w:r>
    </w:p>
    <w:p w14:paraId="7031502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（7）对不同文字文本响应文件的解释发生异议的，以中文文本为准。</w:t>
      </w:r>
    </w:p>
    <w:p w14:paraId="70209F6F">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按上述修正错误的方法</w:t>
      </w:r>
      <w:r>
        <w:rPr>
          <w:rFonts w:hint="eastAsia" w:ascii="仿宋" w:hAnsi="仿宋" w:eastAsia="仿宋" w:cs="仿宋"/>
          <w:b/>
          <w:bCs/>
          <w:snapToGrid w:val="0"/>
          <w:color w:val="auto"/>
          <w:kern w:val="0"/>
          <w:szCs w:val="21"/>
          <w:highlight w:val="none"/>
        </w:rPr>
        <w:t>调整</w:t>
      </w:r>
      <w:r>
        <w:rPr>
          <w:rFonts w:hint="eastAsia" w:ascii="仿宋" w:hAnsi="仿宋" w:eastAsia="仿宋" w:cs="仿宋"/>
          <w:b/>
          <w:color w:val="auto"/>
          <w:szCs w:val="21"/>
          <w:highlight w:val="none"/>
        </w:rPr>
        <w:t>的报价应对供应商具有约束力。如果供应商不接受修正后的价格，其响应文件将被拒绝。</w:t>
      </w:r>
    </w:p>
    <w:p w14:paraId="2F7D307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2.4.2 响应文件中，若某项有不合理报价（或零报价、漏报价）的，经磋商小组评审后，此项得分为零，不参与磋商报价分值的计算。</w:t>
      </w:r>
    </w:p>
    <w:p w14:paraId="5437FF9D">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2.4.3 磋商小组成员打分超过得分界限或未按本办法赋分时，该成员的打分，按废票处理。</w:t>
      </w:r>
    </w:p>
    <w:p w14:paraId="5BBE24F7">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2.4.4 评审过程中，各种数字的计算结果，均保留两位小数，第三位“四舍五入”，但计算百分数时应精确到千分位，万分位“四舍五入”。</w:t>
      </w:r>
    </w:p>
    <w:p w14:paraId="3B29DC9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2.4.5 评审过程中，若出现本磋商办法以外的特殊情况时，将暂停评审，待磋商小组商榷后，再进行评审。</w:t>
      </w:r>
    </w:p>
    <w:p w14:paraId="1F68C4A2">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bCs/>
          <w:snapToGrid w:val="0"/>
          <w:color w:val="auto"/>
          <w:kern w:val="0"/>
          <w:szCs w:val="21"/>
          <w:highlight w:val="none"/>
        </w:rPr>
      </w:pPr>
      <w:r>
        <w:rPr>
          <w:rFonts w:hint="eastAsia" w:ascii="仿宋" w:hAnsi="仿宋" w:eastAsia="仿宋" w:cs="仿宋"/>
          <w:b/>
          <w:bCs/>
          <w:snapToGrid w:val="0"/>
          <w:color w:val="auto"/>
          <w:kern w:val="0"/>
          <w:szCs w:val="21"/>
          <w:highlight w:val="none"/>
        </w:rPr>
        <w:t>2.4.6 评审过程中，若出现合格供应商不足3家时，采购人将依法重新组织采购活动。</w:t>
      </w:r>
    </w:p>
    <w:p w14:paraId="5BF1CF6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2.4.7评审报告签署后，采购人或者采购代理机构发现存在本章第1.7.2条款情形之一的，应当组织原磋商小组进行重新评审，重新评审改变成交结果的，书面报告本级财政部门。</w:t>
      </w:r>
    </w:p>
    <w:p w14:paraId="7A024221">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2.4.8 采购人、采购代理机构发现磋商小组未按照磋商文件规定的评审标准进行评审的，应当重新开展采购活动，并同时书面报告本级财政部门。</w:t>
      </w:r>
    </w:p>
    <w:p w14:paraId="4AF5A48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2.4.10评审争议处理原则</w:t>
      </w:r>
    </w:p>
    <w:p w14:paraId="4FA249C0">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磋商小组在评审过程中，对响应文件资格性、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14:paraId="32FD365A">
      <w:pPr>
        <w:pStyle w:val="3"/>
        <w:numPr>
          <w:ilvl w:val="0"/>
          <w:numId w:val="6"/>
        </w:numPr>
        <w:spacing w:before="0" w:after="0" w:line="360" w:lineRule="auto"/>
        <w:jc w:val="center"/>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val="0"/>
          <w:color w:val="auto"/>
          <w:sz w:val="36"/>
          <w:szCs w:val="36"/>
          <w:highlight w:val="none"/>
        </w:rPr>
        <w:br w:type="page"/>
      </w:r>
      <w:bookmarkStart w:id="191" w:name="_Toc15072"/>
      <w:bookmarkStart w:id="192" w:name="_Toc588_WPSOffice_Level1"/>
      <w:bookmarkStart w:id="193" w:name="_Toc1461"/>
      <w:bookmarkStart w:id="194" w:name="_Toc6296"/>
      <w:bookmarkStart w:id="195" w:name="_Toc6562"/>
      <w:bookmarkStart w:id="196" w:name="_Toc4171"/>
      <w:bookmarkStart w:id="197" w:name="_Toc23458"/>
      <w:r>
        <w:rPr>
          <w:rFonts w:hint="eastAsia" w:ascii="仿宋" w:hAnsi="仿宋" w:eastAsia="仿宋" w:cs="仿宋"/>
          <w:b/>
          <w:bCs/>
          <w:color w:val="auto"/>
          <w:sz w:val="44"/>
          <w:szCs w:val="44"/>
          <w:highlight w:val="none"/>
        </w:rPr>
        <w:t>采购内容及要求</w:t>
      </w:r>
      <w:bookmarkEnd w:id="174"/>
      <w:bookmarkEnd w:id="190"/>
      <w:bookmarkEnd w:id="191"/>
      <w:bookmarkEnd w:id="192"/>
      <w:bookmarkEnd w:id="193"/>
      <w:bookmarkEnd w:id="194"/>
      <w:bookmarkEnd w:id="195"/>
      <w:bookmarkEnd w:id="196"/>
      <w:bookmarkEnd w:id="197"/>
      <w:bookmarkStart w:id="198" w:name="_Toc482201972"/>
    </w:p>
    <w:p w14:paraId="7D0F9EA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p>
    <w:p w14:paraId="27BB157A">
      <w:pPr>
        <w:pStyle w:val="39"/>
        <w:spacing w:before="0" w:beforeAutospacing="0" w:after="0" w:afterAutospacing="0" w:line="360" w:lineRule="auto"/>
        <w:jc w:val="center"/>
        <w:rPr>
          <w:rFonts w:hint="eastAsia" w:ascii="仿宋" w:hAnsi="仿宋" w:eastAsia="仿宋" w:cs="仿宋"/>
          <w:sz w:val="28"/>
          <w:szCs w:val="28"/>
        </w:rPr>
      </w:pPr>
      <w:r>
        <w:rPr>
          <w:rFonts w:hint="eastAsia" w:ascii="仿宋" w:hAnsi="仿宋" w:eastAsia="仿宋" w:cs="仿宋"/>
          <w:b/>
          <w:bCs/>
          <w:snapToGrid w:val="0"/>
          <w:color w:val="auto"/>
          <w:kern w:val="0"/>
          <w:sz w:val="32"/>
          <w:szCs w:val="32"/>
          <w:highlight w:val="none"/>
          <w:lang w:val="en-US" w:eastAsia="zh-CN"/>
        </w:rPr>
        <w:t>磋商文件采购内容及技术要求</w:t>
      </w:r>
    </w:p>
    <w:p w14:paraId="04AA9858">
      <w:pPr>
        <w:pStyle w:val="39"/>
        <w:spacing w:before="0" w:beforeAutospacing="0" w:after="0" w:afterAutospacing="0" w:line="360" w:lineRule="auto"/>
        <w:ind w:firstLine="562" w:firstLineChars="200"/>
        <w:jc w:val="left"/>
        <w:rPr>
          <w:rStyle w:val="48"/>
          <w:rFonts w:hint="eastAsia" w:ascii="仿宋" w:hAnsi="仿宋" w:eastAsia="仿宋" w:cs="仿宋"/>
          <w:sz w:val="28"/>
          <w:szCs w:val="28"/>
        </w:rPr>
      </w:pPr>
    </w:p>
    <w:p w14:paraId="6989C4FA">
      <w:pPr>
        <w:pStyle w:val="39"/>
        <w:spacing w:before="0" w:beforeAutospacing="0" w:after="0" w:afterAutospacing="0" w:line="360" w:lineRule="auto"/>
        <w:jc w:val="left"/>
        <w:rPr>
          <w:rFonts w:hint="eastAsia" w:ascii="仿宋" w:hAnsi="仿宋" w:eastAsia="仿宋" w:cs="仿宋"/>
          <w:sz w:val="28"/>
          <w:szCs w:val="28"/>
          <w:lang w:eastAsia="zh-CN"/>
        </w:rPr>
      </w:pPr>
      <w:r>
        <w:rPr>
          <w:rStyle w:val="48"/>
          <w:rFonts w:hint="eastAsia" w:ascii="仿宋" w:hAnsi="仿宋" w:eastAsia="仿宋" w:cs="仿宋"/>
          <w:sz w:val="28"/>
          <w:szCs w:val="28"/>
        </w:rPr>
        <w:t>一、</w:t>
      </w:r>
      <w:r>
        <w:rPr>
          <w:rStyle w:val="48"/>
          <w:rFonts w:hint="eastAsia" w:ascii="仿宋" w:hAnsi="仿宋" w:eastAsia="仿宋" w:cs="仿宋"/>
          <w:sz w:val="28"/>
          <w:szCs w:val="28"/>
          <w:lang w:eastAsia="zh-CN"/>
        </w:rPr>
        <w:t>基本要求</w:t>
      </w:r>
    </w:p>
    <w:p w14:paraId="4F75AAF4">
      <w:pPr>
        <w:pStyle w:val="39"/>
        <w:spacing w:before="0" w:beforeAutospacing="0" w:after="0" w:afterAutospacing="0"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1、名称：《</w:t>
      </w:r>
      <w:r>
        <w:rPr>
          <w:rFonts w:hint="eastAsia" w:ascii="仿宋" w:hAnsi="仿宋" w:eastAsia="仿宋" w:cs="仿宋"/>
          <w:sz w:val="28"/>
          <w:szCs w:val="28"/>
          <w:u w:val="single"/>
        </w:rPr>
        <w:t> 药香谷 </w:t>
      </w:r>
      <w:r>
        <w:rPr>
          <w:rFonts w:hint="eastAsia" w:ascii="仿宋" w:hAnsi="仿宋" w:eastAsia="仿宋" w:cs="仿宋"/>
          <w:sz w:val="28"/>
          <w:szCs w:val="28"/>
        </w:rPr>
        <w:t xml:space="preserve">》（暂定名） </w:t>
      </w:r>
    </w:p>
    <w:p w14:paraId="432E5E89">
      <w:pPr>
        <w:pStyle w:val="39"/>
        <w:spacing w:before="0" w:beforeAutospacing="0" w:after="0" w:afterAutospacing="0"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、制作进度：计划于2025年6月前国内公映。</w:t>
      </w:r>
    </w:p>
    <w:p w14:paraId="625AB3DB">
      <w:pPr>
        <w:pStyle w:val="39"/>
        <w:spacing w:before="0" w:beforeAutospacing="0" w:after="0" w:afterAutospacing="0" w:line="360" w:lineRule="auto"/>
        <w:ind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3</w:t>
      </w:r>
      <w:r>
        <w:rPr>
          <w:rFonts w:hint="eastAsia" w:ascii="仿宋" w:hAnsi="仿宋" w:eastAsia="仿宋" w:cs="仿宋"/>
          <w:kern w:val="2"/>
          <w:sz w:val="28"/>
          <w:szCs w:val="28"/>
        </w:rPr>
        <w:t>、版本：本剧为中文普通话，加中文简体字幕。</w:t>
      </w:r>
    </w:p>
    <w:p w14:paraId="2078BD86">
      <w:pPr>
        <w:pStyle w:val="39"/>
        <w:spacing w:before="0" w:beforeAutospacing="0" w:after="0" w:afterAutospacing="0" w:line="360" w:lineRule="auto"/>
        <w:ind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4</w:t>
      </w:r>
      <w:r>
        <w:rPr>
          <w:rFonts w:hint="eastAsia" w:ascii="仿宋" w:hAnsi="仿宋" w:eastAsia="仿宋" w:cs="仿宋"/>
          <w:kern w:val="2"/>
          <w:sz w:val="28"/>
          <w:szCs w:val="28"/>
        </w:rPr>
        <w:t>、发行范围：包括但不限于院线、央视六套、网络平台（优酷、腾讯、爱奇艺）。</w:t>
      </w:r>
    </w:p>
    <w:p w14:paraId="1DB6C6D4">
      <w:pPr>
        <w:pStyle w:val="39"/>
        <w:spacing w:before="0" w:beforeAutospacing="0" w:after="0" w:afterAutospacing="0" w:line="360" w:lineRule="auto"/>
        <w:ind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、时长：</w:t>
      </w:r>
      <w:r>
        <w:rPr>
          <w:rFonts w:hint="eastAsia" w:ascii="仿宋" w:hAnsi="仿宋" w:eastAsia="仿宋" w:cs="仿宋"/>
          <w:kern w:val="2"/>
          <w:sz w:val="28"/>
          <w:szCs w:val="28"/>
          <w:lang w:eastAsia="zh-CN"/>
        </w:rPr>
        <w:t>不少于</w:t>
      </w:r>
      <w:r>
        <w:rPr>
          <w:rFonts w:hint="eastAsia" w:ascii="仿宋" w:hAnsi="仿宋" w:eastAsia="仿宋" w:cs="仿宋"/>
          <w:kern w:val="2"/>
          <w:sz w:val="28"/>
          <w:szCs w:val="28"/>
        </w:rPr>
        <w:t>90分钟（以成片为准）。</w:t>
      </w:r>
    </w:p>
    <w:p w14:paraId="25EC079E">
      <w:pPr>
        <w:pStyle w:val="39"/>
        <w:spacing w:before="0" w:beforeAutospacing="0" w:after="0" w:afterAutospacing="0" w:line="360" w:lineRule="auto"/>
        <w:jc w:val="left"/>
        <w:rPr>
          <w:rFonts w:hint="eastAsia" w:ascii="仿宋" w:hAnsi="仿宋" w:eastAsia="仿宋" w:cs="仿宋"/>
          <w:sz w:val="28"/>
          <w:szCs w:val="28"/>
        </w:rPr>
      </w:pPr>
      <w:r>
        <w:rPr>
          <w:rStyle w:val="48"/>
          <w:rFonts w:hint="eastAsia" w:ascii="仿宋" w:hAnsi="仿宋" w:eastAsia="仿宋" w:cs="仿宋"/>
          <w:sz w:val="28"/>
          <w:szCs w:val="28"/>
        </w:rPr>
        <w:t>二、资助内容</w:t>
      </w:r>
    </w:p>
    <w:p w14:paraId="72182E97">
      <w:pPr>
        <w:pStyle w:val="39"/>
        <w:spacing w:before="0" w:beforeAutospacing="0" w:after="0" w:afterAutospacing="0"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1、拍摄场地：</w:t>
      </w:r>
    </w:p>
    <w:p w14:paraId="042CE44A">
      <w:pPr>
        <w:pStyle w:val="39"/>
        <w:spacing w:before="0" w:beforeAutospacing="0" w:after="0" w:afterAutospacing="0"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（1）本剧将以</w:t>
      </w:r>
      <w:r>
        <w:rPr>
          <w:rFonts w:hint="eastAsia" w:ascii="仿宋" w:hAnsi="仿宋" w:eastAsia="仿宋" w:cs="仿宋"/>
          <w:sz w:val="28"/>
          <w:szCs w:val="28"/>
          <w:u w:val="single"/>
        </w:rPr>
        <w:t>陕西省汉中市留坝县</w:t>
      </w:r>
      <w:r>
        <w:rPr>
          <w:rFonts w:hint="eastAsia" w:ascii="仿宋" w:hAnsi="仿宋" w:eastAsia="仿宋" w:cs="仿宋"/>
          <w:sz w:val="28"/>
          <w:szCs w:val="28"/>
        </w:rPr>
        <w:t>为主要拍摄地（以下简称“拍摄地”）。</w:t>
      </w:r>
    </w:p>
    <w:p w14:paraId="6B8FC220">
      <w:pPr>
        <w:pStyle w:val="39"/>
        <w:spacing w:before="0" w:beforeAutospacing="0" w:after="0" w:afterAutospacing="0"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（2）甲方承诺，为本剧在拍摄地免费提</w:t>
      </w:r>
      <w:r>
        <w:rPr>
          <w:rFonts w:hint="eastAsia" w:ascii="仿宋" w:hAnsi="仿宋" w:eastAsia="仿宋" w:cs="仿宋"/>
          <w:kern w:val="2"/>
          <w:sz w:val="28"/>
          <w:szCs w:val="28"/>
        </w:rPr>
        <w:t>供拍摄场地,满足</w:t>
      </w:r>
      <w:r>
        <w:rPr>
          <w:rFonts w:hint="eastAsia" w:ascii="仿宋" w:hAnsi="仿宋" w:eastAsia="仿宋" w:cs="仿宋"/>
          <w:kern w:val="2"/>
          <w:sz w:val="28"/>
          <w:szCs w:val="28"/>
          <w:lang w:eastAsia="zh-CN"/>
        </w:rPr>
        <w:t>成交供应商（</w:t>
      </w:r>
      <w:r>
        <w:rPr>
          <w:rFonts w:hint="eastAsia" w:ascii="仿宋" w:hAnsi="仿宋" w:eastAsia="仿宋" w:cs="仿宋"/>
          <w:kern w:val="2"/>
          <w:sz w:val="28"/>
          <w:szCs w:val="28"/>
        </w:rPr>
        <w:t>乙方</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拍摄需求，具体场景双方另行协商。</w:t>
      </w:r>
    </w:p>
    <w:p w14:paraId="1A5505B3">
      <w:pPr>
        <w:pStyle w:val="39"/>
        <w:spacing w:before="0" w:beforeAutospacing="0" w:after="0" w:afterAutospacing="0"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（3）在本剧拍摄期间，甲方负责</w:t>
      </w:r>
      <w:r>
        <w:rPr>
          <w:rFonts w:hint="eastAsia" w:ascii="仿宋" w:hAnsi="仿宋" w:eastAsia="仿宋" w:cs="仿宋"/>
          <w:sz w:val="28"/>
          <w:szCs w:val="28"/>
          <w:lang w:val="en-US" w:eastAsia="zh-CN"/>
        </w:rPr>
        <w:t>帮助</w:t>
      </w:r>
      <w:r>
        <w:rPr>
          <w:rFonts w:hint="eastAsia" w:ascii="仿宋" w:hAnsi="仿宋" w:eastAsia="仿宋" w:cs="仿宋"/>
          <w:sz w:val="28"/>
          <w:szCs w:val="28"/>
        </w:rPr>
        <w:t>协调拍摄地周边单位、村民、用电等外围关系，并安排专人跟随拍摄沟通。</w:t>
      </w:r>
    </w:p>
    <w:p w14:paraId="07F2D6A2">
      <w:pPr>
        <w:pStyle w:val="39"/>
        <w:spacing w:before="0" w:beforeAutospacing="0" w:after="0" w:afterAutospacing="0" w:line="360" w:lineRule="auto"/>
        <w:ind w:firstLine="560" w:firstLineChars="200"/>
        <w:jc w:val="left"/>
        <w:rPr>
          <w:rFonts w:hint="eastAsia" w:ascii="仿宋" w:hAnsi="仿宋" w:eastAsia="仿宋" w:cs="仿宋"/>
          <w:kern w:val="2"/>
          <w:sz w:val="28"/>
          <w:szCs w:val="28"/>
        </w:rPr>
      </w:pPr>
      <w:r>
        <w:rPr>
          <w:rFonts w:hint="eastAsia" w:ascii="仿宋" w:hAnsi="仿宋" w:eastAsia="仿宋" w:cs="仿宋"/>
          <w:sz w:val="28"/>
          <w:szCs w:val="28"/>
        </w:rPr>
        <w:t>2、</w:t>
      </w:r>
      <w:r>
        <w:rPr>
          <w:rFonts w:hint="eastAsia" w:ascii="仿宋" w:hAnsi="仿宋" w:eastAsia="仿宋" w:cs="仿宋"/>
          <w:kern w:val="2"/>
          <w:sz w:val="28"/>
          <w:szCs w:val="28"/>
          <w:lang w:eastAsia="zh-CN"/>
        </w:rPr>
        <w:t>双方权益</w:t>
      </w:r>
      <w:r>
        <w:rPr>
          <w:rFonts w:hint="eastAsia" w:ascii="仿宋" w:hAnsi="仿宋" w:eastAsia="仿宋" w:cs="仿宋"/>
          <w:kern w:val="2"/>
          <w:sz w:val="28"/>
          <w:szCs w:val="28"/>
        </w:rPr>
        <w:t>：</w:t>
      </w:r>
    </w:p>
    <w:p w14:paraId="719F461E">
      <w:pPr>
        <w:pStyle w:val="39"/>
        <w:spacing w:before="0" w:beforeAutospacing="0" w:after="0" w:afterAutospacing="0" w:line="360" w:lineRule="auto"/>
        <w:ind w:firstLine="280" w:firstLineChars="100"/>
        <w:jc w:val="left"/>
        <w:rPr>
          <w:rFonts w:hint="eastAsia" w:ascii="仿宋" w:hAnsi="仿宋" w:eastAsia="仿宋" w:cs="仿宋"/>
          <w:sz w:val="28"/>
          <w:szCs w:val="28"/>
        </w:rPr>
      </w:pPr>
      <w:r>
        <w:rPr>
          <w:rFonts w:hint="eastAsia" w:ascii="仿宋" w:hAnsi="仿宋" w:eastAsia="仿宋" w:cs="仿宋"/>
          <w:kern w:val="2"/>
          <w:sz w:val="28"/>
          <w:szCs w:val="28"/>
        </w:rPr>
        <w:t>（1）</w:t>
      </w:r>
      <w:r>
        <w:rPr>
          <w:rFonts w:hint="eastAsia" w:ascii="仿宋" w:hAnsi="仿宋" w:eastAsia="仿宋" w:cs="仿宋"/>
          <w:kern w:val="2"/>
          <w:sz w:val="28"/>
          <w:szCs w:val="28"/>
          <w:lang w:eastAsia="zh-CN"/>
        </w:rPr>
        <w:t>成交金额</w:t>
      </w:r>
      <w:r>
        <w:rPr>
          <w:rFonts w:hint="eastAsia" w:ascii="仿宋" w:hAnsi="仿宋" w:eastAsia="仿宋" w:cs="仿宋"/>
          <w:kern w:val="2"/>
          <w:sz w:val="28"/>
          <w:szCs w:val="28"/>
        </w:rPr>
        <w:t>用</w:t>
      </w:r>
      <w:r>
        <w:rPr>
          <w:rFonts w:hint="eastAsia" w:ascii="仿宋" w:hAnsi="仿宋" w:eastAsia="仿宋" w:cs="仿宋"/>
          <w:sz w:val="28"/>
          <w:szCs w:val="28"/>
        </w:rPr>
        <w:t>于宣传留坝人文、旅游、乡村振兴等方面，由乙方专项用于本剧拍摄制作。</w:t>
      </w:r>
    </w:p>
    <w:p w14:paraId="685EE279">
      <w:pPr>
        <w:pStyle w:val="39"/>
        <w:spacing w:before="0" w:beforeAutospacing="0" w:after="0" w:afterAutospacing="0" w:line="360" w:lineRule="auto"/>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甲方在影片开机后十五日内向乙方支付协议总金额的50%，影片在院线上映后向乙方支付协议总金额的50%。</w:t>
      </w:r>
    </w:p>
    <w:p w14:paraId="1EFB3FB7">
      <w:pPr>
        <w:pStyle w:val="39"/>
        <w:spacing w:before="0" w:beforeAutospacing="0" w:after="0" w:afterAutospacing="0"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）乙方如争取当地企业广告赞助、社会支持等，甲方给予相应</w:t>
      </w:r>
      <w:r>
        <w:rPr>
          <w:rFonts w:hint="eastAsia" w:ascii="仿宋" w:hAnsi="仿宋" w:eastAsia="仿宋" w:cs="仿宋"/>
          <w:sz w:val="28"/>
          <w:szCs w:val="28"/>
          <w:lang w:val="en-US" w:eastAsia="zh-CN"/>
        </w:rPr>
        <w:t>协助</w:t>
      </w:r>
      <w:r>
        <w:rPr>
          <w:rFonts w:hint="eastAsia" w:ascii="仿宋" w:hAnsi="仿宋" w:eastAsia="仿宋" w:cs="仿宋"/>
          <w:sz w:val="28"/>
          <w:szCs w:val="28"/>
        </w:rPr>
        <w:t>和支持。</w:t>
      </w:r>
    </w:p>
    <w:p w14:paraId="4E1C1295">
      <w:pPr>
        <w:pStyle w:val="39"/>
        <w:spacing w:before="0" w:beforeAutospacing="0" w:after="0" w:afterAutospacing="0"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3、乙方承诺:如本剧未能于2025年下半年上映，乙方需将甲方已支付的支持资金无条件全额退还。</w:t>
      </w:r>
    </w:p>
    <w:p w14:paraId="79D90BB7">
      <w:pPr>
        <w:pStyle w:val="39"/>
        <w:spacing w:before="0" w:beforeAutospacing="0" w:after="0" w:afterAutospacing="0" w:line="360" w:lineRule="auto"/>
        <w:jc w:val="left"/>
        <w:rPr>
          <w:rFonts w:hint="eastAsia" w:ascii="仿宋" w:hAnsi="仿宋" w:eastAsia="仿宋" w:cs="仿宋"/>
          <w:sz w:val="28"/>
          <w:szCs w:val="28"/>
        </w:rPr>
      </w:pPr>
      <w:r>
        <w:rPr>
          <w:rStyle w:val="48"/>
          <w:rFonts w:hint="eastAsia" w:ascii="仿宋" w:hAnsi="仿宋" w:eastAsia="仿宋" w:cs="仿宋"/>
          <w:sz w:val="28"/>
          <w:szCs w:val="28"/>
        </w:rPr>
        <w:t>三、合作权益</w:t>
      </w:r>
    </w:p>
    <w:p w14:paraId="1D464B87">
      <w:pPr>
        <w:pStyle w:val="39"/>
        <w:spacing w:before="0" w:beforeAutospacing="0" w:after="0" w:afterAutospacing="0"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1、剧中权益：</w:t>
      </w:r>
    </w:p>
    <w:p w14:paraId="206B0D80">
      <w:pPr>
        <w:pStyle w:val="39"/>
        <w:spacing w:before="0" w:beforeAutospacing="0" w:after="0" w:afterAutospacing="0"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lang w:eastAsia="zh-CN"/>
        </w:rPr>
        <w:t>需</w:t>
      </w:r>
      <w:r>
        <w:rPr>
          <w:rFonts w:hint="eastAsia" w:ascii="仿宋" w:hAnsi="仿宋" w:eastAsia="仿宋" w:cs="仿宋"/>
          <w:sz w:val="28"/>
          <w:szCs w:val="28"/>
        </w:rPr>
        <w:t>在</w:t>
      </w:r>
      <w:r>
        <w:rPr>
          <w:rFonts w:hint="eastAsia" w:ascii="仿宋" w:hAnsi="仿宋" w:eastAsia="仿宋" w:cs="仿宋"/>
          <w:sz w:val="28"/>
          <w:szCs w:val="28"/>
          <w:u w:val="single"/>
        </w:rPr>
        <w:t>陕西省汉中市留坝县</w:t>
      </w:r>
      <w:r>
        <w:rPr>
          <w:rFonts w:hint="eastAsia" w:ascii="仿宋" w:hAnsi="仿宋" w:eastAsia="仿宋" w:cs="仿宋"/>
          <w:kern w:val="2"/>
          <w:sz w:val="28"/>
          <w:szCs w:val="28"/>
        </w:rPr>
        <w:t>取景的时长约占成片整体时长的60%—80%（具体以成片为准），</w:t>
      </w:r>
      <w:r>
        <w:rPr>
          <w:rFonts w:hint="eastAsia" w:ascii="仿宋" w:hAnsi="仿宋" w:eastAsia="仿宋" w:cs="仿宋"/>
          <w:sz w:val="28"/>
          <w:szCs w:val="28"/>
        </w:rPr>
        <w:t>以达到对</w:t>
      </w:r>
      <w:r>
        <w:rPr>
          <w:rFonts w:hint="eastAsia" w:ascii="仿宋" w:hAnsi="仿宋" w:eastAsia="仿宋" w:cs="仿宋"/>
          <w:sz w:val="28"/>
          <w:szCs w:val="28"/>
          <w:u w:val="single"/>
        </w:rPr>
        <w:t>陕西省汉中市留坝县</w:t>
      </w:r>
      <w:r>
        <w:rPr>
          <w:rFonts w:hint="eastAsia" w:ascii="仿宋" w:hAnsi="仿宋" w:eastAsia="仿宋" w:cs="仿宋"/>
          <w:sz w:val="28"/>
          <w:szCs w:val="28"/>
        </w:rPr>
        <w:t>人文历史、文旅发展、乡村振兴的积极正面宣传推广。</w:t>
      </w:r>
    </w:p>
    <w:p w14:paraId="04220F20">
      <w:pPr>
        <w:pStyle w:val="39"/>
        <w:spacing w:before="0" w:beforeAutospacing="0" w:after="0" w:afterAutospacing="0"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（1）在本剧中给予甲方相应署名权，包括：将</w:t>
      </w:r>
      <w:r>
        <w:rPr>
          <w:rFonts w:hint="eastAsia" w:ascii="仿宋" w:hAnsi="仿宋" w:eastAsia="仿宋" w:cs="仿宋"/>
          <w:sz w:val="28"/>
          <w:szCs w:val="28"/>
          <w:u w:val="single"/>
        </w:rPr>
        <w:t>陕西省汉中市留坝县委</w:t>
      </w:r>
      <w:r>
        <w:rPr>
          <w:rFonts w:hint="eastAsia" w:ascii="仿宋" w:hAnsi="仿宋" w:eastAsia="仿宋" w:cs="仿宋"/>
          <w:sz w:val="28"/>
          <w:szCs w:val="28"/>
        </w:rPr>
        <w:t>作为本剧联合摄制，将</w:t>
      </w:r>
      <w:r>
        <w:rPr>
          <w:rFonts w:hint="eastAsia" w:ascii="仿宋" w:hAnsi="仿宋" w:eastAsia="仿宋" w:cs="仿宋"/>
          <w:sz w:val="28"/>
          <w:szCs w:val="28"/>
          <w:u w:val="single"/>
        </w:rPr>
        <w:t>陕西省汉中市留坝县委宣传部</w:t>
      </w:r>
      <w:r>
        <w:rPr>
          <w:rFonts w:hint="eastAsia" w:ascii="仿宋" w:hAnsi="仿宋" w:eastAsia="仿宋" w:cs="仿宋"/>
          <w:sz w:val="28"/>
          <w:szCs w:val="28"/>
        </w:rPr>
        <w:t>作为本剧联合摄制，将</w:t>
      </w:r>
      <w:r>
        <w:rPr>
          <w:rFonts w:hint="eastAsia" w:ascii="仿宋" w:hAnsi="仿宋" w:eastAsia="仿宋" w:cs="仿宋"/>
          <w:sz w:val="28"/>
          <w:szCs w:val="28"/>
          <w:u w:val="single"/>
        </w:rPr>
        <w:t>陕西省汉中市留坝县</w:t>
      </w:r>
      <w:r>
        <w:rPr>
          <w:rFonts w:hint="eastAsia" w:ascii="仿宋" w:hAnsi="仿宋" w:eastAsia="仿宋" w:cs="仿宋"/>
          <w:sz w:val="28"/>
          <w:szCs w:val="28"/>
          <w:u w:val="single"/>
          <w:lang w:val="en-US" w:eastAsia="zh-CN"/>
        </w:rPr>
        <w:t>文化和旅游局</w:t>
      </w:r>
      <w:r>
        <w:rPr>
          <w:rFonts w:hint="eastAsia" w:ascii="仿宋" w:hAnsi="仿宋" w:eastAsia="仿宋" w:cs="仿宋"/>
          <w:sz w:val="28"/>
          <w:szCs w:val="28"/>
        </w:rPr>
        <w:t>作为本剧联合摄制。</w:t>
      </w:r>
    </w:p>
    <w:p w14:paraId="6ADB33ED">
      <w:pPr>
        <w:pStyle w:val="39"/>
        <w:spacing w:before="0" w:beforeAutospacing="0" w:after="0" w:afterAutospacing="0"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（2）通过艺术手段将当地文化、习俗、传统等地方特色，人文地理信息有机地融合到情节当中。</w:t>
      </w:r>
    </w:p>
    <w:p w14:paraId="38DD7137">
      <w:pPr>
        <w:pStyle w:val="39"/>
        <w:spacing w:before="0" w:beforeAutospacing="0" w:after="0" w:afterAutospacing="0"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2、其他权益：</w:t>
      </w:r>
    </w:p>
    <w:p w14:paraId="7AB1FBEB">
      <w:pPr>
        <w:pStyle w:val="39"/>
        <w:spacing w:before="0" w:beforeAutospacing="0" w:after="0" w:afterAutospacing="0"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（1）剧组在拍摄期间及播出期间的宣传工作将倾力配合</w:t>
      </w:r>
      <w:r>
        <w:rPr>
          <w:rFonts w:hint="eastAsia" w:ascii="仿宋" w:hAnsi="仿宋" w:eastAsia="仿宋" w:cs="仿宋"/>
          <w:sz w:val="28"/>
          <w:szCs w:val="28"/>
          <w:u w:val="single"/>
        </w:rPr>
        <w:t>陕西省汉中市留坝县</w:t>
      </w:r>
      <w:r>
        <w:rPr>
          <w:rFonts w:hint="eastAsia" w:ascii="仿宋" w:hAnsi="仿宋" w:eastAsia="仿宋" w:cs="仿宋"/>
          <w:sz w:val="28"/>
          <w:szCs w:val="28"/>
        </w:rPr>
        <w:t>的对外宣传工作。</w:t>
      </w:r>
    </w:p>
    <w:p w14:paraId="6F76BDC8">
      <w:pPr>
        <w:pStyle w:val="39"/>
        <w:spacing w:before="0" w:beforeAutospacing="0" w:after="0" w:afterAutospacing="0"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（2）所有为本剧拍摄工作提供过帮助的当地各级党政部门、企事业单位均在完成片片尾致以全称鸣谢。</w:t>
      </w:r>
    </w:p>
    <w:p w14:paraId="45F367D0">
      <w:pPr>
        <w:pStyle w:val="39"/>
        <w:spacing w:before="0" w:beforeAutospacing="0" w:after="0" w:afterAutospacing="0"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（3）甲方有权将本剧列为地方重大文化题材作品。</w:t>
      </w:r>
    </w:p>
    <w:p w14:paraId="3988D19C">
      <w:pPr>
        <w:pStyle w:val="39"/>
        <w:spacing w:before="0" w:beforeAutospacing="0" w:after="0" w:afterAutospacing="0" w:line="360" w:lineRule="auto"/>
        <w:ind w:firstLine="280" w:firstLineChars="100"/>
        <w:jc w:val="left"/>
        <w:rPr>
          <w:rFonts w:hint="eastAsia" w:ascii="仿宋" w:hAnsi="仿宋" w:eastAsia="仿宋" w:cs="仿宋"/>
          <w:sz w:val="28"/>
          <w:szCs w:val="28"/>
        </w:rPr>
      </w:pPr>
      <w:r>
        <w:rPr>
          <w:rFonts w:hint="eastAsia" w:ascii="仿宋" w:hAnsi="仿宋" w:eastAsia="仿宋" w:cs="仿宋"/>
          <w:sz w:val="28"/>
          <w:szCs w:val="28"/>
        </w:rPr>
        <w:t>（4）因本剧为联合版权，故甲方在电影公开上映后有权使用本剧的素材用于县域旅游及公益宣传，不用于商业活动。</w:t>
      </w:r>
    </w:p>
    <w:p w14:paraId="6D39385C">
      <w:pPr>
        <w:pStyle w:val="39"/>
        <w:spacing w:before="0" w:beforeAutospacing="0" w:after="0" w:afterAutospacing="0" w:line="360" w:lineRule="auto"/>
        <w:ind w:firstLine="562" w:firstLineChars="200"/>
        <w:jc w:val="left"/>
        <w:rPr>
          <w:rFonts w:hint="eastAsia" w:ascii="仿宋" w:hAnsi="仿宋" w:eastAsia="仿宋" w:cs="仿宋"/>
          <w:sz w:val="28"/>
          <w:szCs w:val="28"/>
        </w:rPr>
      </w:pPr>
      <w:r>
        <w:rPr>
          <w:rStyle w:val="48"/>
          <w:rFonts w:hint="eastAsia" w:ascii="仿宋" w:hAnsi="仿宋" w:eastAsia="仿宋" w:cs="仿宋"/>
          <w:sz w:val="28"/>
          <w:szCs w:val="28"/>
        </w:rPr>
        <w:t>四、保密</w:t>
      </w:r>
    </w:p>
    <w:p w14:paraId="5784EFD9">
      <w:pPr>
        <w:pStyle w:val="39"/>
        <w:spacing w:before="0" w:beforeAutospacing="0" w:after="0" w:afterAutospacing="0"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1、甲乙双方在合作过程中，就本剧剧本等拍摄资料、拍摄进度、演职人员及其变动均应予以保密。</w:t>
      </w:r>
    </w:p>
    <w:p w14:paraId="79071064">
      <w:pPr>
        <w:pStyle w:val="39"/>
        <w:spacing w:before="0" w:beforeAutospacing="0" w:after="0" w:afterAutospacing="0"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2、在本剧公开或公映前，本剧剧本、影片、词曲、拍摄情况（含演职人员及其变化、拍摄资料和拍摄进度等）等均属商业秘密，</w:t>
      </w:r>
      <w:r>
        <w:rPr>
          <w:rFonts w:hint="eastAsia" w:ascii="仿宋" w:hAnsi="仿宋" w:eastAsia="仿宋" w:cs="仿宋"/>
          <w:sz w:val="28"/>
          <w:szCs w:val="28"/>
          <w:lang w:eastAsia="zh-CN"/>
        </w:rPr>
        <w:t>双方均不得</w:t>
      </w:r>
      <w:r>
        <w:rPr>
          <w:rFonts w:hint="eastAsia" w:ascii="仿宋" w:hAnsi="仿宋" w:eastAsia="仿宋" w:cs="仿宋"/>
          <w:sz w:val="28"/>
          <w:szCs w:val="28"/>
        </w:rPr>
        <w:t>泄露、披露。</w:t>
      </w:r>
    </w:p>
    <w:p w14:paraId="07FAA3BC">
      <w:pPr>
        <w:keepNext w:val="0"/>
        <w:keepLines w:val="0"/>
        <w:pageBreakBefore w:val="0"/>
        <w:kinsoku/>
        <w:wordWrap/>
        <w:overflowPunct/>
        <w:topLinePunct w:val="0"/>
        <w:bidi w:val="0"/>
        <w:adjustRightInd w:val="0"/>
        <w:snapToGrid w:val="0"/>
        <w:spacing w:line="400" w:lineRule="exact"/>
        <w:ind w:left="211" w:hanging="321" w:hangingChars="100"/>
        <w:jc w:val="center"/>
        <w:rPr>
          <w:rFonts w:hint="eastAsia" w:ascii="仿宋" w:hAnsi="仿宋" w:eastAsia="仿宋" w:cs="仿宋"/>
          <w:b/>
          <w:bCs/>
          <w:snapToGrid w:val="0"/>
          <w:color w:val="auto"/>
          <w:kern w:val="0"/>
          <w:sz w:val="32"/>
          <w:szCs w:val="32"/>
          <w:highlight w:val="none"/>
          <w:lang w:val="en-US" w:eastAsia="zh-CN"/>
        </w:rPr>
      </w:pPr>
    </w:p>
    <w:p w14:paraId="2FA85FF3">
      <w:pPr>
        <w:rPr>
          <w:rFonts w:hint="eastAsia" w:ascii="仿宋" w:hAnsi="仿宋" w:eastAsia="仿宋" w:cs="仿宋"/>
          <w:b/>
          <w:bCs/>
          <w:snapToGrid w:val="0"/>
          <w:color w:val="auto"/>
          <w:kern w:val="0"/>
          <w:sz w:val="32"/>
          <w:szCs w:val="32"/>
          <w:highlight w:val="none"/>
          <w:lang w:val="en-US" w:eastAsia="zh-CN"/>
        </w:rPr>
      </w:pPr>
      <w:r>
        <w:rPr>
          <w:rFonts w:hint="eastAsia" w:ascii="仿宋" w:hAnsi="仿宋" w:eastAsia="仿宋" w:cs="仿宋"/>
          <w:b/>
          <w:bCs/>
          <w:snapToGrid w:val="0"/>
          <w:color w:val="auto"/>
          <w:kern w:val="0"/>
          <w:sz w:val="32"/>
          <w:szCs w:val="32"/>
          <w:highlight w:val="none"/>
          <w:lang w:val="en-US" w:eastAsia="zh-CN"/>
        </w:rPr>
        <w:br w:type="page"/>
      </w:r>
    </w:p>
    <w:p w14:paraId="6BDCE111">
      <w:pPr>
        <w:keepNext w:val="0"/>
        <w:keepLines w:val="0"/>
        <w:pageBreakBefore w:val="0"/>
        <w:kinsoku/>
        <w:wordWrap/>
        <w:overflowPunct/>
        <w:topLinePunct w:val="0"/>
        <w:bidi w:val="0"/>
        <w:adjustRightInd w:val="0"/>
        <w:snapToGrid w:val="0"/>
        <w:spacing w:line="400" w:lineRule="exact"/>
        <w:ind w:left="211" w:hanging="321" w:hangingChars="100"/>
        <w:jc w:val="center"/>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b/>
          <w:bCs/>
          <w:snapToGrid w:val="0"/>
          <w:color w:val="auto"/>
          <w:kern w:val="0"/>
          <w:sz w:val="32"/>
          <w:szCs w:val="32"/>
          <w:highlight w:val="none"/>
          <w:lang w:val="en-US" w:eastAsia="zh-CN"/>
        </w:rPr>
        <w:t>磋商文件商务要求</w:t>
      </w:r>
    </w:p>
    <w:p w14:paraId="10E9973A">
      <w:pPr>
        <w:keepNext w:val="0"/>
        <w:keepLines w:val="0"/>
        <w:pageBreakBefore w:val="0"/>
        <w:kinsoku/>
        <w:wordWrap/>
        <w:overflowPunct/>
        <w:topLinePunct w:val="0"/>
        <w:bidi w:val="0"/>
        <w:adjustRightInd w:val="0"/>
        <w:snapToGrid w:val="0"/>
        <w:spacing w:line="400" w:lineRule="exact"/>
        <w:ind w:left="211" w:hanging="241" w:hangingChars="1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b/>
          <w:bCs/>
          <w:snapToGrid w:val="0"/>
          <w:color w:val="auto"/>
          <w:kern w:val="0"/>
          <w:sz w:val="24"/>
          <w:szCs w:val="24"/>
          <w:highlight w:val="none"/>
          <w:lang w:eastAsia="zh-CN"/>
        </w:rPr>
        <w:t>一、</w:t>
      </w:r>
      <w:r>
        <w:rPr>
          <w:rFonts w:hint="eastAsia" w:ascii="仿宋" w:hAnsi="仿宋" w:eastAsia="仿宋" w:cs="仿宋"/>
          <w:b/>
          <w:bCs/>
          <w:snapToGrid w:val="0"/>
          <w:color w:val="auto"/>
          <w:kern w:val="0"/>
          <w:sz w:val="24"/>
          <w:szCs w:val="24"/>
          <w:highlight w:val="none"/>
          <w:lang w:val="en-US" w:eastAsia="zh-CN"/>
        </w:rPr>
        <w:t>服务期</w:t>
      </w:r>
      <w:r>
        <w:rPr>
          <w:rFonts w:hint="eastAsia" w:ascii="仿宋" w:hAnsi="仿宋" w:eastAsia="仿宋" w:cs="仿宋"/>
          <w:b/>
          <w:bCs/>
          <w:snapToGrid w:val="0"/>
          <w:color w:val="auto"/>
          <w:kern w:val="0"/>
          <w:sz w:val="24"/>
          <w:szCs w:val="24"/>
          <w:highlight w:val="none"/>
          <w:lang w:eastAsia="zh-CN"/>
        </w:rPr>
        <w:t>及服务地点</w:t>
      </w:r>
    </w:p>
    <w:p w14:paraId="210907DC">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服务地点：采购人指定地点。</w:t>
      </w:r>
    </w:p>
    <w:p w14:paraId="74E38E11">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服务期</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2025年6月前国内公映。</w:t>
      </w:r>
    </w:p>
    <w:p w14:paraId="66309282">
      <w:pPr>
        <w:keepNext w:val="0"/>
        <w:keepLines w:val="0"/>
        <w:pageBreakBefore w:val="0"/>
        <w:kinsoku/>
        <w:wordWrap/>
        <w:overflowPunct/>
        <w:topLinePunct w:val="0"/>
        <w:bidi w:val="0"/>
        <w:adjustRightInd w:val="0"/>
        <w:snapToGrid w:val="0"/>
        <w:spacing w:line="400" w:lineRule="exact"/>
        <w:ind w:firstLine="241" w:firstLineChars="100"/>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b/>
          <w:bCs/>
          <w:snapToGrid w:val="0"/>
          <w:color w:val="auto"/>
          <w:kern w:val="0"/>
          <w:sz w:val="24"/>
          <w:szCs w:val="24"/>
          <w:highlight w:val="none"/>
        </w:rPr>
        <w:t>二、结算</w:t>
      </w:r>
    </w:p>
    <w:p w14:paraId="2AE92658">
      <w:pPr>
        <w:keepNext w:val="0"/>
        <w:keepLines w:val="0"/>
        <w:pageBreakBefore w:val="0"/>
        <w:kinsoku/>
        <w:wordWrap/>
        <w:overflowPunct/>
        <w:topLinePunct w:val="0"/>
        <w:bidi w:val="0"/>
        <w:adjustRightInd w:val="0"/>
        <w:snapToGrid w:val="0"/>
        <w:spacing w:line="400" w:lineRule="exact"/>
        <w:ind w:firstLine="240" w:firstLineChars="1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1、结算依据:</w:t>
      </w:r>
      <w:r>
        <w:rPr>
          <w:rFonts w:hint="eastAsia" w:ascii="仿宋" w:hAnsi="仿宋" w:eastAsia="仿宋" w:cs="仿宋"/>
          <w:snapToGrid w:val="0"/>
          <w:color w:val="auto"/>
          <w:kern w:val="0"/>
          <w:sz w:val="24"/>
          <w:szCs w:val="24"/>
          <w:highlight w:val="none"/>
          <w:lang w:eastAsia="zh-CN"/>
        </w:rPr>
        <w:t>磋商文件</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磋商响应文件</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服务</w:t>
      </w:r>
      <w:r>
        <w:rPr>
          <w:rFonts w:hint="eastAsia" w:ascii="仿宋" w:hAnsi="仿宋" w:eastAsia="仿宋" w:cs="仿宋"/>
          <w:snapToGrid w:val="0"/>
          <w:color w:val="auto"/>
          <w:kern w:val="0"/>
          <w:sz w:val="24"/>
          <w:szCs w:val="24"/>
          <w:highlight w:val="none"/>
        </w:rPr>
        <w:t>合同、</w:t>
      </w:r>
      <w:r>
        <w:rPr>
          <w:rFonts w:hint="eastAsia" w:ascii="仿宋" w:hAnsi="仿宋" w:eastAsia="仿宋" w:cs="仿宋"/>
          <w:snapToGrid w:val="0"/>
          <w:color w:val="auto"/>
          <w:kern w:val="0"/>
          <w:sz w:val="24"/>
          <w:szCs w:val="24"/>
          <w:highlight w:val="none"/>
          <w:lang w:eastAsia="zh-CN"/>
        </w:rPr>
        <w:t>中标供应商</w:t>
      </w:r>
      <w:r>
        <w:rPr>
          <w:rFonts w:hint="eastAsia" w:ascii="仿宋" w:hAnsi="仿宋" w:eastAsia="仿宋" w:cs="仿宋"/>
          <w:snapToGrid w:val="0"/>
          <w:color w:val="auto"/>
          <w:kern w:val="0"/>
          <w:sz w:val="24"/>
          <w:szCs w:val="24"/>
          <w:highlight w:val="none"/>
        </w:rPr>
        <w:t>销售发票、甲方出具的验收报告</w:t>
      </w:r>
    </w:p>
    <w:p w14:paraId="723F6DAF">
      <w:pPr>
        <w:keepNext w:val="0"/>
        <w:keepLines w:val="0"/>
        <w:pageBreakBefore w:val="0"/>
        <w:kinsoku/>
        <w:wordWrap/>
        <w:overflowPunct/>
        <w:topLinePunct w:val="0"/>
        <w:bidi w:val="0"/>
        <w:adjustRightInd w:val="0"/>
        <w:snapToGrid w:val="0"/>
        <w:spacing w:line="400" w:lineRule="exact"/>
        <w:ind w:firstLine="240" w:firstLineChars="1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2、付款方式</w:t>
      </w:r>
      <w:r>
        <w:rPr>
          <w:rFonts w:hint="eastAsia" w:ascii="仿宋" w:hAnsi="仿宋" w:eastAsia="仿宋" w:cs="仿宋"/>
          <w:snapToGrid w:val="0"/>
          <w:color w:val="auto"/>
          <w:kern w:val="0"/>
          <w:sz w:val="24"/>
          <w:szCs w:val="24"/>
          <w:highlight w:val="none"/>
          <w:lang w:eastAsia="zh-CN"/>
        </w:rPr>
        <w:t>：双方合同中约定。</w:t>
      </w:r>
    </w:p>
    <w:p w14:paraId="6326045A">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3、计费标准：按照实际合同金额进行计算。</w:t>
      </w:r>
    </w:p>
    <w:p w14:paraId="0DD99A23">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b/>
          <w:bCs/>
          <w:snapToGrid w:val="0"/>
          <w:color w:val="auto"/>
          <w:kern w:val="0"/>
          <w:sz w:val="24"/>
          <w:szCs w:val="24"/>
          <w:highlight w:val="none"/>
        </w:rPr>
        <w:t>三、质量保证</w:t>
      </w:r>
    </w:p>
    <w:p w14:paraId="519E5119">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从项目</w:t>
      </w:r>
      <w:r>
        <w:rPr>
          <w:rFonts w:hint="eastAsia" w:ascii="仿宋" w:hAnsi="仿宋" w:eastAsia="仿宋" w:cs="仿宋"/>
          <w:snapToGrid w:val="0"/>
          <w:color w:val="auto"/>
          <w:kern w:val="0"/>
          <w:sz w:val="24"/>
          <w:szCs w:val="24"/>
          <w:highlight w:val="none"/>
          <w:lang w:eastAsia="zh-CN"/>
        </w:rPr>
        <w:t>实施之日起，至项目完成</w:t>
      </w:r>
      <w:r>
        <w:rPr>
          <w:rFonts w:hint="eastAsia" w:ascii="仿宋" w:hAnsi="仿宋" w:eastAsia="仿宋" w:cs="仿宋"/>
          <w:snapToGrid w:val="0"/>
          <w:color w:val="auto"/>
          <w:kern w:val="0"/>
          <w:sz w:val="24"/>
          <w:szCs w:val="24"/>
          <w:highlight w:val="none"/>
        </w:rPr>
        <w:t>验收合格之日，</w:t>
      </w:r>
      <w:r>
        <w:rPr>
          <w:rFonts w:hint="eastAsia" w:ascii="仿宋" w:hAnsi="仿宋" w:eastAsia="仿宋" w:cs="仿宋"/>
          <w:snapToGrid w:val="0"/>
          <w:color w:val="auto"/>
          <w:kern w:val="0"/>
          <w:sz w:val="24"/>
          <w:szCs w:val="24"/>
          <w:highlight w:val="none"/>
          <w:lang w:eastAsia="zh-CN"/>
        </w:rPr>
        <w:t>所有质量问题均由成交供应商承担。</w:t>
      </w:r>
    </w:p>
    <w:p w14:paraId="181F6106">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eastAsia="zh-CN"/>
        </w:rPr>
        <w:t>、乙方所提供的项目成果必须经采购人审核验收，符合采购人要求，满足磋商文件要求。</w:t>
      </w:r>
    </w:p>
    <w:p w14:paraId="30543AA6">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、项目的质量必须符合国家标准和有关规范，确保项目达到最佳使用要求。</w:t>
      </w:r>
    </w:p>
    <w:p w14:paraId="037BD260">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b/>
          <w:bCs/>
          <w:snapToGrid w:val="0"/>
          <w:color w:val="auto"/>
          <w:kern w:val="0"/>
          <w:sz w:val="24"/>
          <w:szCs w:val="24"/>
          <w:highlight w:val="none"/>
        </w:rPr>
        <w:t>四、验收标准</w:t>
      </w:r>
    </w:p>
    <w:p w14:paraId="077BCD85">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1、验收时间</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乙方提出验收中请后，甲方应及时</w:t>
      </w:r>
      <w:r>
        <w:rPr>
          <w:rFonts w:hint="eastAsia" w:ascii="仿宋" w:hAnsi="仿宋" w:eastAsia="仿宋" w:cs="仿宋"/>
          <w:snapToGrid w:val="0"/>
          <w:color w:val="auto"/>
          <w:kern w:val="0"/>
          <w:sz w:val="24"/>
          <w:szCs w:val="24"/>
          <w:highlight w:val="none"/>
          <w:lang w:eastAsia="zh-CN"/>
        </w:rPr>
        <w:t>组织</w:t>
      </w:r>
      <w:r>
        <w:rPr>
          <w:rFonts w:hint="eastAsia" w:ascii="仿宋" w:hAnsi="仿宋" w:eastAsia="仿宋" w:cs="仿宋"/>
          <w:snapToGrid w:val="0"/>
          <w:color w:val="auto"/>
          <w:kern w:val="0"/>
          <w:sz w:val="24"/>
          <w:szCs w:val="24"/>
          <w:highlight w:val="none"/>
        </w:rPr>
        <w:t>验收，甲方验牧合格后应当出具验收报告</w:t>
      </w:r>
    </w:p>
    <w:p w14:paraId="3400865A">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2、验收标准</w:t>
      </w:r>
    </w:p>
    <w:p w14:paraId="1997A0F6">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lang w:eastAsia="zh-CN"/>
        </w:rPr>
        <w:t>服务</w:t>
      </w:r>
      <w:r>
        <w:rPr>
          <w:rFonts w:hint="eastAsia" w:ascii="仿宋" w:hAnsi="仿宋" w:eastAsia="仿宋" w:cs="仿宋"/>
          <w:snapToGrid w:val="0"/>
          <w:color w:val="auto"/>
          <w:kern w:val="0"/>
          <w:sz w:val="24"/>
          <w:szCs w:val="24"/>
          <w:highlight w:val="none"/>
        </w:rPr>
        <w:t>应</w:t>
      </w:r>
      <w:r>
        <w:rPr>
          <w:rFonts w:hint="eastAsia" w:ascii="仿宋" w:hAnsi="仿宋" w:eastAsia="仿宋" w:cs="仿宋"/>
          <w:snapToGrid w:val="0"/>
          <w:color w:val="auto"/>
          <w:kern w:val="0"/>
          <w:sz w:val="24"/>
          <w:szCs w:val="24"/>
          <w:highlight w:val="none"/>
          <w:lang w:eastAsia="zh-CN"/>
        </w:rPr>
        <w:t>满足国家及行业相关标准，以及磋商文件要求及磋商响应文件承诺和相关服务合同、技术协议等要求；</w:t>
      </w:r>
    </w:p>
    <w:p w14:paraId="49293E8A">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（2）</w:t>
      </w:r>
      <w:r>
        <w:rPr>
          <w:rFonts w:hint="eastAsia" w:ascii="仿宋" w:hAnsi="仿宋" w:eastAsia="仿宋" w:cs="仿宋"/>
          <w:snapToGrid w:val="0"/>
          <w:color w:val="auto"/>
          <w:kern w:val="0"/>
          <w:sz w:val="24"/>
          <w:szCs w:val="24"/>
          <w:highlight w:val="none"/>
        </w:rPr>
        <w:t>质量符合国家法律法规规定的合格标准、</w:t>
      </w:r>
      <w:r>
        <w:rPr>
          <w:rFonts w:hint="eastAsia" w:ascii="仿宋" w:hAnsi="仿宋" w:eastAsia="仿宋" w:cs="仿宋"/>
          <w:snapToGrid w:val="0"/>
          <w:color w:val="auto"/>
          <w:kern w:val="0"/>
          <w:sz w:val="24"/>
          <w:szCs w:val="24"/>
          <w:highlight w:val="none"/>
          <w:lang w:eastAsia="zh-CN"/>
        </w:rPr>
        <w:t>磋商文件</w:t>
      </w:r>
      <w:r>
        <w:rPr>
          <w:rFonts w:hint="eastAsia" w:ascii="仿宋" w:hAnsi="仿宋" w:eastAsia="仿宋" w:cs="仿宋"/>
          <w:snapToGrid w:val="0"/>
          <w:color w:val="auto"/>
          <w:kern w:val="0"/>
          <w:sz w:val="24"/>
          <w:szCs w:val="24"/>
          <w:highlight w:val="none"/>
        </w:rPr>
        <w:t>的要求。</w:t>
      </w:r>
    </w:p>
    <w:p w14:paraId="53555EA1">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b/>
          <w:bCs/>
          <w:snapToGrid w:val="0"/>
          <w:color w:val="auto"/>
          <w:kern w:val="0"/>
          <w:sz w:val="24"/>
          <w:szCs w:val="24"/>
          <w:highlight w:val="none"/>
        </w:rPr>
        <w:t>五、合同实施</w:t>
      </w:r>
    </w:p>
    <w:p w14:paraId="589D4C25">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eastAsia="zh-CN"/>
        </w:rPr>
        <w:t>成交供应商</w:t>
      </w:r>
      <w:r>
        <w:rPr>
          <w:rFonts w:hint="eastAsia" w:ascii="仿宋" w:hAnsi="仿宋" w:eastAsia="仿宋" w:cs="仿宋"/>
          <w:snapToGrid w:val="0"/>
          <w:color w:val="auto"/>
          <w:kern w:val="0"/>
          <w:sz w:val="24"/>
          <w:szCs w:val="24"/>
          <w:highlight w:val="none"/>
        </w:rPr>
        <w:t>应在合同签订后7个日历日内安排人员(项目组成人员简历表所列)与使用单位就项目方案实施等工作进行安排、部署</w:t>
      </w:r>
      <w:r>
        <w:rPr>
          <w:rFonts w:hint="eastAsia" w:ascii="仿宋" w:hAnsi="仿宋" w:eastAsia="仿宋" w:cs="仿宋"/>
          <w:snapToGrid w:val="0"/>
          <w:color w:val="auto"/>
          <w:kern w:val="0"/>
          <w:sz w:val="24"/>
          <w:szCs w:val="24"/>
          <w:highlight w:val="none"/>
          <w:lang w:eastAsia="zh-CN"/>
        </w:rPr>
        <w:t>。</w:t>
      </w:r>
    </w:p>
    <w:p w14:paraId="1849FE9D">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2、若未能在服务期内完成合同规定的义务，由此对采购人</w:t>
      </w:r>
      <w:r>
        <w:rPr>
          <w:rFonts w:hint="eastAsia" w:ascii="仿宋" w:hAnsi="仿宋" w:eastAsia="仿宋" w:cs="仿宋"/>
          <w:snapToGrid w:val="0"/>
          <w:color w:val="auto"/>
          <w:kern w:val="0"/>
          <w:sz w:val="24"/>
          <w:szCs w:val="24"/>
          <w:highlight w:val="none"/>
          <w:lang w:eastAsia="zh-CN"/>
        </w:rPr>
        <w:t>造</w:t>
      </w:r>
      <w:r>
        <w:rPr>
          <w:rFonts w:hint="eastAsia" w:ascii="仿宋" w:hAnsi="仿宋" w:eastAsia="仿宋" w:cs="仿宋"/>
          <w:snapToGrid w:val="0"/>
          <w:color w:val="auto"/>
          <w:kern w:val="0"/>
          <w:sz w:val="24"/>
          <w:szCs w:val="24"/>
          <w:highlight w:val="none"/>
        </w:rPr>
        <w:t>成的延误和</w:t>
      </w:r>
      <w:r>
        <w:rPr>
          <w:rFonts w:hint="eastAsia" w:ascii="仿宋" w:hAnsi="仿宋" w:eastAsia="仿宋" w:cs="仿宋"/>
          <w:snapToGrid w:val="0"/>
          <w:color w:val="auto"/>
          <w:kern w:val="0"/>
          <w:sz w:val="24"/>
          <w:szCs w:val="24"/>
          <w:highlight w:val="none"/>
          <w:lang w:eastAsia="zh-CN"/>
        </w:rPr>
        <w:t>一</w:t>
      </w:r>
      <w:r>
        <w:rPr>
          <w:rFonts w:hint="eastAsia" w:ascii="仿宋" w:hAnsi="仿宋" w:eastAsia="仿宋" w:cs="仿宋"/>
          <w:snapToGrid w:val="0"/>
          <w:color w:val="auto"/>
          <w:kern w:val="0"/>
          <w:sz w:val="24"/>
          <w:szCs w:val="24"/>
          <w:highlight w:val="none"/>
        </w:rPr>
        <w:t>切损失，由中标人承担和赔偿</w:t>
      </w:r>
      <w:r>
        <w:rPr>
          <w:rFonts w:hint="eastAsia" w:ascii="仿宋" w:hAnsi="仿宋" w:eastAsia="仿宋" w:cs="仿宋"/>
          <w:snapToGrid w:val="0"/>
          <w:color w:val="auto"/>
          <w:kern w:val="0"/>
          <w:sz w:val="24"/>
          <w:szCs w:val="24"/>
          <w:highlight w:val="none"/>
          <w:lang w:eastAsia="zh-CN"/>
        </w:rPr>
        <w:t>。</w:t>
      </w:r>
    </w:p>
    <w:p w14:paraId="35E484F7">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b/>
          <w:bCs/>
          <w:snapToGrid w:val="0"/>
          <w:color w:val="auto"/>
          <w:kern w:val="0"/>
          <w:sz w:val="24"/>
          <w:szCs w:val="24"/>
          <w:highlight w:val="none"/>
        </w:rPr>
        <w:t>六、违</w:t>
      </w:r>
      <w:r>
        <w:rPr>
          <w:rFonts w:hint="eastAsia" w:ascii="仿宋" w:hAnsi="仿宋" w:eastAsia="仿宋" w:cs="仿宋"/>
          <w:b/>
          <w:bCs/>
          <w:snapToGrid w:val="0"/>
          <w:color w:val="auto"/>
          <w:kern w:val="0"/>
          <w:sz w:val="24"/>
          <w:szCs w:val="24"/>
          <w:highlight w:val="none"/>
          <w:lang w:eastAsia="zh-CN"/>
        </w:rPr>
        <w:t>约</w:t>
      </w:r>
      <w:r>
        <w:rPr>
          <w:rFonts w:hint="eastAsia" w:ascii="仿宋" w:hAnsi="仿宋" w:eastAsia="仿宋" w:cs="仿宋"/>
          <w:b/>
          <w:bCs/>
          <w:snapToGrid w:val="0"/>
          <w:color w:val="auto"/>
          <w:kern w:val="0"/>
          <w:sz w:val="24"/>
          <w:szCs w:val="24"/>
          <w:highlight w:val="none"/>
        </w:rPr>
        <w:t>责任</w:t>
      </w:r>
    </w:p>
    <w:p w14:paraId="45E9EB58">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1、按《中华人民共和国</w:t>
      </w:r>
      <w:r>
        <w:rPr>
          <w:rFonts w:hint="eastAsia" w:ascii="仿宋" w:hAnsi="仿宋" w:eastAsia="仿宋" w:cs="仿宋"/>
          <w:snapToGrid w:val="0"/>
          <w:color w:val="auto"/>
          <w:kern w:val="0"/>
          <w:sz w:val="24"/>
          <w:szCs w:val="24"/>
          <w:highlight w:val="none"/>
          <w:lang w:eastAsia="zh-CN"/>
        </w:rPr>
        <w:t>民法典</w:t>
      </w:r>
      <w:r>
        <w:rPr>
          <w:rFonts w:hint="eastAsia" w:ascii="仿宋" w:hAnsi="仿宋" w:eastAsia="仿宋" w:cs="仿宋"/>
          <w:snapToGrid w:val="0"/>
          <w:color w:val="auto"/>
          <w:kern w:val="0"/>
          <w:sz w:val="24"/>
          <w:szCs w:val="24"/>
          <w:highlight w:val="none"/>
        </w:rPr>
        <w:t>》中的相关条款执</w:t>
      </w:r>
      <w:r>
        <w:rPr>
          <w:rFonts w:hint="eastAsia" w:ascii="仿宋" w:hAnsi="仿宋" w:eastAsia="仿宋" w:cs="仿宋"/>
          <w:snapToGrid w:val="0"/>
          <w:color w:val="auto"/>
          <w:kern w:val="0"/>
          <w:sz w:val="24"/>
          <w:szCs w:val="24"/>
          <w:highlight w:val="none"/>
          <w:lang w:eastAsia="zh-CN"/>
        </w:rPr>
        <w:t>行。</w:t>
      </w:r>
    </w:p>
    <w:p w14:paraId="04BF3D0D">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2、未</w:t>
      </w:r>
      <w:r>
        <w:rPr>
          <w:rFonts w:hint="eastAsia" w:ascii="仿宋" w:hAnsi="仿宋" w:eastAsia="仿宋" w:cs="仿宋"/>
          <w:snapToGrid w:val="0"/>
          <w:color w:val="auto"/>
          <w:kern w:val="0"/>
          <w:sz w:val="24"/>
          <w:szCs w:val="24"/>
          <w:highlight w:val="none"/>
          <w:lang w:eastAsia="zh-CN"/>
        </w:rPr>
        <w:t>按</w:t>
      </w:r>
      <w:r>
        <w:rPr>
          <w:rFonts w:hint="eastAsia" w:ascii="仿宋" w:hAnsi="仿宋" w:eastAsia="仿宋" w:cs="仿宋"/>
          <w:snapToGrid w:val="0"/>
          <w:color w:val="auto"/>
          <w:kern w:val="0"/>
          <w:sz w:val="24"/>
          <w:szCs w:val="24"/>
          <w:highlight w:val="none"/>
        </w:rPr>
        <w:t>合同要求提供服务或服务质量不能满足服务要求和标准，采购人有权终止合同，并对供方违约行为进行追究，同时按《政府采购法》的有关规定进行处罚。</w:t>
      </w:r>
    </w:p>
    <w:p w14:paraId="5005DE87">
      <w:pPr>
        <w:keepNext w:val="0"/>
        <w:keepLines w:val="0"/>
        <w:pageBreakBefore w:val="0"/>
        <w:kinsoku/>
        <w:wordWrap/>
        <w:overflowPunct/>
        <w:topLinePunct w:val="0"/>
        <w:bidi w:val="0"/>
        <w:adjustRightInd w:val="0"/>
        <w:snapToGrid w:val="0"/>
        <w:spacing w:line="400" w:lineRule="exact"/>
        <w:ind w:firstLine="482" w:firstLineChars="200"/>
        <w:rPr>
          <w:rFonts w:hint="eastAsia" w:ascii="仿宋" w:hAnsi="仿宋" w:eastAsia="仿宋" w:cs="仿宋"/>
          <w:snapToGrid w:val="0"/>
          <w:color w:val="auto"/>
          <w:kern w:val="0"/>
          <w:szCs w:val="21"/>
          <w:highlight w:val="none"/>
          <w:lang w:eastAsia="zh-CN"/>
        </w:rPr>
      </w:pPr>
      <w:r>
        <w:rPr>
          <w:rFonts w:hint="eastAsia" w:ascii="仿宋" w:hAnsi="仿宋" w:eastAsia="仿宋" w:cs="仿宋"/>
          <w:b/>
          <w:bCs/>
          <w:snapToGrid w:val="0"/>
          <w:color w:val="auto"/>
          <w:kern w:val="0"/>
          <w:sz w:val="24"/>
          <w:szCs w:val="24"/>
          <w:highlight w:val="none"/>
        </w:rPr>
        <w:t>注:商务要求为实质性要求，不得负偏离</w:t>
      </w:r>
      <w:r>
        <w:rPr>
          <w:rFonts w:hint="eastAsia" w:ascii="仿宋" w:hAnsi="仿宋" w:eastAsia="仿宋" w:cs="仿宋"/>
          <w:b/>
          <w:bCs/>
          <w:snapToGrid w:val="0"/>
          <w:color w:val="auto"/>
          <w:kern w:val="0"/>
          <w:sz w:val="24"/>
          <w:szCs w:val="24"/>
          <w:highlight w:val="none"/>
          <w:lang w:eastAsia="zh-CN"/>
        </w:rPr>
        <w:t>。</w:t>
      </w:r>
    </w:p>
    <w:bookmarkEnd w:id="198"/>
    <w:p w14:paraId="268A70DD">
      <w:pPr>
        <w:rPr>
          <w:rFonts w:hint="eastAsia" w:ascii="仿宋" w:hAnsi="仿宋" w:eastAsia="仿宋" w:cs="仿宋"/>
          <w:b/>
          <w:color w:val="auto"/>
          <w:sz w:val="44"/>
          <w:szCs w:val="44"/>
          <w:highlight w:val="none"/>
        </w:rPr>
      </w:pPr>
      <w:bookmarkStart w:id="199" w:name="_Toc26777_WPSOffice_Level1"/>
      <w:bookmarkStart w:id="200" w:name="_Toc30381"/>
      <w:bookmarkStart w:id="201" w:name="_Toc29359"/>
      <w:bookmarkStart w:id="202" w:name="_Toc21546"/>
      <w:bookmarkStart w:id="203" w:name="_Toc30170"/>
      <w:bookmarkStart w:id="204" w:name="_Toc16313"/>
      <w:bookmarkStart w:id="205" w:name="_Toc16381"/>
      <w:r>
        <w:rPr>
          <w:rFonts w:hint="eastAsia" w:ascii="仿宋" w:hAnsi="仿宋" w:eastAsia="仿宋" w:cs="仿宋"/>
          <w:b/>
          <w:color w:val="auto"/>
          <w:sz w:val="44"/>
          <w:szCs w:val="44"/>
          <w:highlight w:val="none"/>
        </w:rPr>
        <w:br w:type="page"/>
      </w:r>
    </w:p>
    <w:p w14:paraId="2704E77B">
      <w:pPr>
        <w:widowControl/>
        <w:spacing w:after="240" w:afterLines="100" w:line="400" w:lineRule="atLeas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w:t>
      </w:r>
      <w:r>
        <w:rPr>
          <w:rFonts w:hint="eastAsia" w:ascii="仿宋" w:hAnsi="仿宋" w:eastAsia="仿宋" w:cs="仿宋"/>
          <w:b/>
          <w:color w:val="auto"/>
          <w:sz w:val="44"/>
          <w:szCs w:val="44"/>
          <w:highlight w:val="none"/>
          <w:lang w:eastAsia="zh-CN"/>
        </w:rPr>
        <w:t>五</w:t>
      </w:r>
      <w:r>
        <w:rPr>
          <w:rFonts w:hint="eastAsia" w:ascii="仿宋" w:hAnsi="仿宋" w:eastAsia="仿宋" w:cs="仿宋"/>
          <w:b/>
          <w:color w:val="auto"/>
          <w:sz w:val="44"/>
          <w:szCs w:val="44"/>
          <w:highlight w:val="none"/>
        </w:rPr>
        <w:t>章  政府采购合同格式</w:t>
      </w:r>
      <w:bookmarkEnd w:id="199"/>
      <w:bookmarkEnd w:id="200"/>
      <w:bookmarkEnd w:id="201"/>
      <w:bookmarkEnd w:id="202"/>
      <w:bookmarkEnd w:id="203"/>
      <w:bookmarkEnd w:id="204"/>
      <w:bookmarkEnd w:id="205"/>
    </w:p>
    <w:p w14:paraId="726B6AAE">
      <w:pPr>
        <w:adjustRightInd w:val="0"/>
        <w:snapToGrid w:val="0"/>
        <w:spacing w:line="400" w:lineRule="exact"/>
        <w:jc w:val="center"/>
        <w:rPr>
          <w:rFonts w:hint="eastAsia" w:ascii="仿宋" w:hAnsi="仿宋" w:eastAsia="仿宋" w:cs="仿宋"/>
          <w:b/>
          <w:bCs/>
          <w:snapToGrid w:val="0"/>
          <w:color w:val="auto"/>
          <w:kern w:val="0"/>
          <w:szCs w:val="21"/>
          <w:lang w:eastAsia="zh-CN"/>
        </w:rPr>
      </w:pPr>
      <w:bookmarkStart w:id="206" w:name="_Toc267261701"/>
      <w:bookmarkStart w:id="207" w:name="_Toc1314_WPSOffice_Level2"/>
      <w:r>
        <w:rPr>
          <w:rFonts w:hint="eastAsia" w:ascii="仿宋" w:hAnsi="仿宋" w:eastAsia="仿宋" w:cs="仿宋"/>
          <w:b/>
          <w:bCs/>
          <w:snapToGrid w:val="0"/>
          <w:color w:val="auto"/>
          <w:kern w:val="0"/>
          <w:szCs w:val="21"/>
          <w:lang w:eastAsia="zh-CN"/>
        </w:rPr>
        <w:t>（仅供参考，甲乙双方可协商修订或另拟合同）</w:t>
      </w:r>
    </w:p>
    <w:p w14:paraId="37A76A51">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一、合同格式</w:t>
      </w:r>
    </w:p>
    <w:p w14:paraId="62E3FF23">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中国共产党留坝县委宣传部电影《药香谷》联合摄制服务项目(项目编号：SJR2025-ZC0103)，在</w:t>
      </w:r>
      <w:r>
        <w:rPr>
          <w:rFonts w:hint="eastAsia" w:ascii="仿宋" w:hAnsi="仿宋" w:eastAsia="仿宋" w:cs="仿宋"/>
          <w:snapToGrid w:val="0"/>
          <w:color w:val="auto"/>
          <w:kern w:val="0"/>
          <w:szCs w:val="21"/>
          <w:lang w:val="en-US" w:eastAsia="zh-CN"/>
        </w:rPr>
        <w:t>留坝县财政局</w:t>
      </w:r>
      <w:r>
        <w:rPr>
          <w:rFonts w:hint="eastAsia" w:ascii="仿宋" w:hAnsi="仿宋" w:eastAsia="仿宋" w:cs="仿宋"/>
          <w:snapToGrid w:val="0"/>
          <w:color w:val="auto"/>
          <w:kern w:val="0"/>
          <w:szCs w:val="21"/>
          <w:lang w:eastAsia="zh-CN"/>
        </w:rPr>
        <w:t>的监督管理下，由陕西顺捷瑞工程项目管理有限公司组织竞争性磋商。中国共产党留坝县委宣传部(以下简称“甲方”)确定 (中标单位名称) （以下简称“乙方”）为成交单位。</w:t>
      </w:r>
    </w:p>
    <w:p w14:paraId="4C7F65A4">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依据《中华人民共和国民法典》和《中华人民共和国政府采购法》《中华人民共和国政府采购法实施条例》，甲方通过竞争性磋商采购（服务名称） ，并接受了乙方以价格(中标金额大写)(以下简称“合同价”)提供的产品及服务。</w:t>
      </w:r>
    </w:p>
    <w:p w14:paraId="7B9EACDD">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本合同在此声明如下：</w:t>
      </w:r>
    </w:p>
    <w:p w14:paraId="69D0599A">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1.本合同中的词语和术语的含义与合同条款中定义的相同。</w:t>
      </w:r>
    </w:p>
    <w:p w14:paraId="7252B8FC">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2.下述文件是本合同的一部分，并与本合同一起阅读和解释：</w:t>
      </w:r>
    </w:p>
    <w:p w14:paraId="54352979">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（1）合同条款</w:t>
      </w:r>
    </w:p>
    <w:p w14:paraId="07DD0229">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（2）合同条款附件</w:t>
      </w:r>
    </w:p>
    <w:p w14:paraId="0C6D4C55">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附件1—实施方案</w:t>
      </w:r>
    </w:p>
    <w:p w14:paraId="51947825">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附件2—服务承诺</w:t>
      </w:r>
    </w:p>
    <w:p w14:paraId="40EF56EA">
      <w:pPr>
        <w:adjustRightInd w:val="0"/>
        <w:snapToGrid w:val="0"/>
        <w:spacing w:line="400" w:lineRule="exact"/>
        <w:ind w:firstLine="420" w:firstLineChars="2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附件3—售后服务</w:t>
      </w:r>
    </w:p>
    <w:p w14:paraId="218D8B47">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（3）中标通知书</w:t>
      </w:r>
    </w:p>
    <w:p w14:paraId="432129D4">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（4）招标文件</w:t>
      </w:r>
    </w:p>
    <w:p w14:paraId="7897828F">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（5）投标文件</w:t>
      </w:r>
    </w:p>
    <w:p w14:paraId="5054E5FC">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3.考虑到甲方将按照本合同向乙方支付款项，乙方在此保证全部按照合同的规定向甲方提供服务，并修补缺陷。</w:t>
      </w:r>
    </w:p>
    <w:p w14:paraId="45DC3CF7">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4.考虑到乙方提供的货物和服务并修补缺陷，甲方在此保证按照合同规定的时间和方式向乙方支付合同价或其他按合同规定应支付的金额。</w:t>
      </w:r>
    </w:p>
    <w:p w14:paraId="1F1DDD96">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5.质量保证金</w:t>
      </w:r>
    </w:p>
    <w:p w14:paraId="10C53405">
      <w:pPr>
        <w:adjustRightInd w:val="0"/>
        <w:snapToGrid w:val="0"/>
        <w:spacing w:line="400" w:lineRule="exact"/>
        <w:ind w:firstLine="210" w:firstLineChars="100"/>
        <w:rPr>
          <w:rFonts w:hint="eastAsia" w:ascii="仿宋" w:hAnsi="仿宋" w:eastAsia="仿宋" w:cs="仿宋"/>
          <w:snapToGrid w:val="0"/>
          <w:color w:val="auto"/>
          <w:kern w:val="0"/>
          <w:szCs w:val="21"/>
          <w:lang w:val="en-US" w:eastAsia="zh-CN"/>
        </w:rPr>
      </w:pPr>
      <w:r>
        <w:rPr>
          <w:rFonts w:hint="eastAsia" w:ascii="仿宋" w:hAnsi="仿宋" w:eastAsia="仿宋" w:cs="仿宋"/>
          <w:snapToGrid w:val="0"/>
          <w:color w:val="auto"/>
          <w:kern w:val="0"/>
          <w:szCs w:val="21"/>
          <w:lang w:val="en-US" w:eastAsia="zh-CN"/>
        </w:rPr>
        <w:t xml:space="preserve">/                </w:t>
      </w:r>
    </w:p>
    <w:p w14:paraId="7997600C">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6.付款方式：</w:t>
      </w:r>
    </w:p>
    <w:p w14:paraId="294E9722">
      <w:pPr>
        <w:adjustRightInd w:val="0"/>
        <w:snapToGrid w:val="0"/>
        <w:spacing w:line="400" w:lineRule="exact"/>
        <w:ind w:firstLine="210" w:firstLineChars="100"/>
        <w:rPr>
          <w:rFonts w:hint="eastAsia" w:ascii="仿宋" w:hAnsi="仿宋" w:eastAsia="仿宋" w:cs="仿宋"/>
          <w:snapToGrid w:val="0"/>
          <w:color w:val="auto"/>
          <w:kern w:val="0"/>
          <w:szCs w:val="21"/>
          <w:lang w:val="en-US" w:eastAsia="zh-CN"/>
        </w:rPr>
      </w:pPr>
      <w:r>
        <w:rPr>
          <w:rFonts w:hint="eastAsia" w:ascii="仿宋" w:hAnsi="仿宋" w:eastAsia="仿宋" w:cs="仿宋"/>
          <w:snapToGrid w:val="0"/>
          <w:color w:val="auto"/>
          <w:kern w:val="0"/>
          <w:szCs w:val="21"/>
          <w:lang w:val="en-US" w:eastAsia="zh-CN"/>
        </w:rPr>
        <w:t xml:space="preserve"> /  </w:t>
      </w:r>
    </w:p>
    <w:p w14:paraId="07F32FE8">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7.服务期：</w:t>
      </w:r>
    </w:p>
    <w:p w14:paraId="67FD64CE">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 服务地点：                       </w:t>
      </w:r>
    </w:p>
    <w:p w14:paraId="437F7A86">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8.合同一式  份，其中，甲方  份，乙方  份，政府采购代理机构壹份。</w:t>
      </w:r>
    </w:p>
    <w:p w14:paraId="7FB9A109">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9.合同生效及其他</w:t>
      </w:r>
    </w:p>
    <w:p w14:paraId="23354576">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本合同由甲乙双方及鉴证方共同签字盖章，自最后一方签字盖章之日起生效。</w:t>
      </w:r>
    </w:p>
    <w:tbl>
      <w:tblPr>
        <w:tblStyle w:val="44"/>
        <w:tblpPr w:leftFromText="180" w:rightFromText="180" w:vertAnchor="text" w:horzAnchor="margin" w:tblpXSpec="center" w:tblpY="58"/>
        <w:tblOverlap w:val="never"/>
        <w:tblW w:w="0" w:type="auto"/>
        <w:jc w:val="center"/>
        <w:tblLayout w:type="fixed"/>
        <w:tblCellMar>
          <w:top w:w="0" w:type="dxa"/>
          <w:left w:w="108" w:type="dxa"/>
          <w:bottom w:w="0" w:type="dxa"/>
          <w:right w:w="108" w:type="dxa"/>
        </w:tblCellMar>
      </w:tblPr>
      <w:tblGrid>
        <w:gridCol w:w="4943"/>
        <w:gridCol w:w="4397"/>
      </w:tblGrid>
      <w:tr w14:paraId="3F7BBFE1">
        <w:tblPrEx>
          <w:tblCellMar>
            <w:top w:w="0" w:type="dxa"/>
            <w:left w:w="108" w:type="dxa"/>
            <w:bottom w:w="0" w:type="dxa"/>
            <w:right w:w="108" w:type="dxa"/>
          </w:tblCellMar>
        </w:tblPrEx>
        <w:trPr>
          <w:trHeight w:val="4169" w:hRule="atLeast"/>
          <w:jc w:val="center"/>
        </w:trPr>
        <w:tc>
          <w:tcPr>
            <w:tcW w:w="4943" w:type="dxa"/>
            <w:noWrap w:val="0"/>
            <w:tcMar>
              <w:top w:w="113" w:type="dxa"/>
              <w:left w:w="113" w:type="dxa"/>
              <w:bottom w:w="113" w:type="dxa"/>
              <w:right w:w="113" w:type="dxa"/>
            </w:tcMar>
            <w:vAlign w:val="top"/>
          </w:tcPr>
          <w:p w14:paraId="152FCC48">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甲方名称： </w:t>
            </w:r>
          </w:p>
          <w:p w14:paraId="68CF0ECE">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地    址： </w:t>
            </w:r>
          </w:p>
          <w:p w14:paraId="03AA9C50">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邮    编：</w:t>
            </w:r>
          </w:p>
          <w:p w14:paraId="4FA6379C">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电    话：</w:t>
            </w:r>
          </w:p>
          <w:p w14:paraId="42132E6D">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传    真：</w:t>
            </w:r>
          </w:p>
          <w:p w14:paraId="7EF7873D">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p>
          <w:p w14:paraId="3B2D1F7B">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p>
          <w:p w14:paraId="220DC288">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代表签字：</w:t>
            </w:r>
          </w:p>
          <w:p w14:paraId="5DEA6184">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盖章：                年  月  日     </w:t>
            </w:r>
          </w:p>
        </w:tc>
        <w:tc>
          <w:tcPr>
            <w:tcW w:w="4397" w:type="dxa"/>
            <w:noWrap w:val="0"/>
            <w:tcMar>
              <w:top w:w="113" w:type="dxa"/>
              <w:left w:w="113" w:type="dxa"/>
              <w:bottom w:w="113" w:type="dxa"/>
              <w:right w:w="113" w:type="dxa"/>
            </w:tcMar>
            <w:vAlign w:val="top"/>
          </w:tcPr>
          <w:p w14:paraId="40B7E232">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乙方名称：</w:t>
            </w:r>
          </w:p>
          <w:p w14:paraId="4BD0A30F">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地    址： </w:t>
            </w:r>
          </w:p>
          <w:p w14:paraId="232BDF22">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邮    编： </w:t>
            </w:r>
          </w:p>
          <w:p w14:paraId="2A311477">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电    话： </w:t>
            </w:r>
          </w:p>
          <w:p w14:paraId="43E63B2F">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传    真：  </w:t>
            </w:r>
          </w:p>
          <w:p w14:paraId="5952F143">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开户银行：</w:t>
            </w:r>
          </w:p>
          <w:p w14:paraId="30CA4473">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帐    号：</w:t>
            </w:r>
          </w:p>
          <w:p w14:paraId="58D93785">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代表签字</w:t>
            </w:r>
          </w:p>
          <w:p w14:paraId="0FA9CE91">
            <w:pPr>
              <w:keepNext w:val="0"/>
              <w:keepLines w:val="0"/>
              <w:suppressLineNumbers w:val="0"/>
              <w:adjustRightInd w:val="0"/>
              <w:snapToGrid w:val="0"/>
              <w:spacing w:before="0" w:beforeAutospacing="0" w:after="0" w:afterAutospacing="0" w:line="400" w:lineRule="exact"/>
              <w:ind w:left="0" w:right="0"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盖章：             年  月  日</w:t>
            </w:r>
          </w:p>
        </w:tc>
      </w:tr>
    </w:tbl>
    <w:p w14:paraId="7CBDE608">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p>
    <w:p w14:paraId="1E45A222">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p>
    <w:p w14:paraId="7E350DE1">
      <w:pPr>
        <w:adjustRightInd w:val="0"/>
        <w:snapToGrid w:val="0"/>
        <w:spacing w:line="400" w:lineRule="exact"/>
        <w:rPr>
          <w:rFonts w:hint="eastAsia" w:ascii="仿宋" w:hAnsi="仿宋" w:eastAsia="仿宋" w:cs="仿宋"/>
          <w:snapToGrid w:val="0"/>
          <w:color w:val="auto"/>
          <w:kern w:val="0"/>
          <w:szCs w:val="21"/>
          <w:lang w:eastAsia="zh-CN"/>
        </w:rPr>
      </w:pPr>
    </w:p>
    <w:p w14:paraId="6B91E2C7">
      <w:pPr>
        <w:pStyle w:val="58"/>
        <w:rPr>
          <w:rFonts w:hint="eastAsia" w:ascii="仿宋" w:hAnsi="仿宋" w:eastAsia="仿宋" w:cs="仿宋"/>
          <w:snapToGrid w:val="0"/>
          <w:color w:val="auto"/>
          <w:kern w:val="0"/>
          <w:szCs w:val="21"/>
          <w:lang w:eastAsia="zh-CN"/>
        </w:rPr>
      </w:pPr>
    </w:p>
    <w:p w14:paraId="6F43523F">
      <w:pPr>
        <w:pStyle w:val="58"/>
        <w:rPr>
          <w:rFonts w:hint="eastAsia" w:ascii="仿宋" w:hAnsi="仿宋" w:eastAsia="仿宋" w:cs="仿宋"/>
          <w:snapToGrid w:val="0"/>
          <w:color w:val="auto"/>
          <w:kern w:val="0"/>
          <w:szCs w:val="21"/>
          <w:lang w:eastAsia="zh-CN"/>
        </w:rPr>
      </w:pPr>
    </w:p>
    <w:p w14:paraId="66AF592E">
      <w:pPr>
        <w:pStyle w:val="58"/>
        <w:rPr>
          <w:rFonts w:hint="eastAsia" w:ascii="仿宋" w:hAnsi="仿宋" w:eastAsia="仿宋" w:cs="仿宋"/>
          <w:snapToGrid w:val="0"/>
          <w:color w:val="auto"/>
          <w:kern w:val="0"/>
          <w:szCs w:val="21"/>
          <w:lang w:eastAsia="zh-CN"/>
        </w:rPr>
      </w:pPr>
    </w:p>
    <w:p w14:paraId="6076D9EB">
      <w:pPr>
        <w:pStyle w:val="58"/>
        <w:rPr>
          <w:rFonts w:hint="eastAsia" w:ascii="仿宋" w:hAnsi="仿宋" w:eastAsia="仿宋" w:cs="仿宋"/>
          <w:snapToGrid w:val="0"/>
          <w:color w:val="auto"/>
          <w:kern w:val="0"/>
          <w:szCs w:val="21"/>
          <w:lang w:eastAsia="zh-CN"/>
        </w:rPr>
      </w:pPr>
    </w:p>
    <w:p w14:paraId="5BD2EC35">
      <w:pPr>
        <w:pStyle w:val="58"/>
        <w:rPr>
          <w:rFonts w:hint="eastAsia" w:ascii="仿宋" w:hAnsi="仿宋" w:eastAsia="仿宋" w:cs="仿宋"/>
          <w:snapToGrid w:val="0"/>
          <w:color w:val="auto"/>
          <w:kern w:val="0"/>
          <w:szCs w:val="21"/>
          <w:lang w:eastAsia="zh-CN"/>
        </w:rPr>
      </w:pPr>
    </w:p>
    <w:p w14:paraId="10081B9C">
      <w:pPr>
        <w:pStyle w:val="58"/>
        <w:rPr>
          <w:rFonts w:hint="eastAsia" w:ascii="仿宋" w:hAnsi="仿宋" w:eastAsia="仿宋" w:cs="仿宋"/>
          <w:snapToGrid w:val="0"/>
          <w:color w:val="auto"/>
          <w:kern w:val="0"/>
          <w:szCs w:val="21"/>
          <w:lang w:eastAsia="zh-CN"/>
        </w:rPr>
      </w:pPr>
    </w:p>
    <w:p w14:paraId="28F15163">
      <w:pPr>
        <w:pStyle w:val="58"/>
        <w:rPr>
          <w:rFonts w:hint="eastAsia" w:ascii="仿宋" w:hAnsi="仿宋" w:eastAsia="仿宋" w:cs="仿宋"/>
          <w:snapToGrid w:val="0"/>
          <w:color w:val="auto"/>
          <w:kern w:val="0"/>
          <w:szCs w:val="21"/>
          <w:lang w:eastAsia="zh-CN"/>
        </w:rPr>
      </w:pPr>
    </w:p>
    <w:p w14:paraId="4DB40B23">
      <w:pPr>
        <w:pStyle w:val="58"/>
        <w:rPr>
          <w:rFonts w:hint="eastAsia" w:ascii="仿宋" w:hAnsi="仿宋" w:eastAsia="仿宋" w:cs="仿宋"/>
          <w:snapToGrid w:val="0"/>
          <w:color w:val="auto"/>
          <w:kern w:val="0"/>
          <w:szCs w:val="21"/>
          <w:lang w:eastAsia="zh-CN"/>
        </w:rPr>
      </w:pPr>
    </w:p>
    <w:p w14:paraId="327DF9E4">
      <w:pPr>
        <w:pStyle w:val="58"/>
        <w:rPr>
          <w:rFonts w:hint="eastAsia" w:ascii="仿宋" w:hAnsi="仿宋" w:eastAsia="仿宋" w:cs="仿宋"/>
          <w:snapToGrid w:val="0"/>
          <w:color w:val="auto"/>
          <w:kern w:val="0"/>
          <w:szCs w:val="21"/>
          <w:lang w:eastAsia="zh-CN"/>
        </w:rPr>
      </w:pPr>
    </w:p>
    <w:p w14:paraId="002639F4">
      <w:pPr>
        <w:pStyle w:val="58"/>
        <w:rPr>
          <w:rFonts w:hint="eastAsia" w:ascii="仿宋" w:hAnsi="仿宋" w:eastAsia="仿宋" w:cs="仿宋"/>
          <w:snapToGrid w:val="0"/>
          <w:color w:val="auto"/>
          <w:kern w:val="0"/>
          <w:szCs w:val="21"/>
          <w:lang w:eastAsia="zh-CN"/>
        </w:rPr>
      </w:pPr>
    </w:p>
    <w:p w14:paraId="7F4F4DBB">
      <w:pPr>
        <w:pStyle w:val="58"/>
        <w:rPr>
          <w:rFonts w:hint="eastAsia" w:ascii="仿宋" w:hAnsi="仿宋" w:eastAsia="仿宋" w:cs="仿宋"/>
          <w:snapToGrid w:val="0"/>
          <w:color w:val="auto"/>
          <w:kern w:val="0"/>
          <w:szCs w:val="21"/>
          <w:lang w:eastAsia="zh-CN"/>
        </w:rPr>
      </w:pPr>
    </w:p>
    <w:p w14:paraId="0B8448C0">
      <w:pPr>
        <w:pStyle w:val="58"/>
        <w:rPr>
          <w:rFonts w:hint="eastAsia" w:ascii="仿宋" w:hAnsi="仿宋" w:eastAsia="仿宋" w:cs="仿宋"/>
          <w:snapToGrid w:val="0"/>
          <w:color w:val="auto"/>
          <w:kern w:val="0"/>
          <w:szCs w:val="21"/>
          <w:lang w:eastAsia="zh-CN"/>
        </w:rPr>
      </w:pPr>
    </w:p>
    <w:p w14:paraId="5E6442C5">
      <w:pPr>
        <w:pStyle w:val="58"/>
        <w:rPr>
          <w:rFonts w:hint="eastAsia" w:ascii="仿宋" w:hAnsi="仿宋" w:eastAsia="仿宋" w:cs="仿宋"/>
          <w:snapToGrid w:val="0"/>
          <w:color w:val="auto"/>
          <w:kern w:val="0"/>
          <w:szCs w:val="21"/>
          <w:lang w:eastAsia="zh-CN"/>
        </w:rPr>
      </w:pPr>
    </w:p>
    <w:p w14:paraId="3FCFAD28">
      <w:pPr>
        <w:pStyle w:val="58"/>
        <w:rPr>
          <w:rFonts w:hint="eastAsia" w:ascii="仿宋" w:hAnsi="仿宋" w:eastAsia="仿宋" w:cs="仿宋"/>
          <w:snapToGrid w:val="0"/>
          <w:color w:val="auto"/>
          <w:kern w:val="0"/>
          <w:szCs w:val="21"/>
          <w:lang w:eastAsia="zh-CN"/>
        </w:rPr>
      </w:pPr>
    </w:p>
    <w:p w14:paraId="20E6FFC1">
      <w:pPr>
        <w:pStyle w:val="58"/>
        <w:rPr>
          <w:rFonts w:hint="eastAsia" w:ascii="仿宋" w:hAnsi="仿宋" w:eastAsia="仿宋" w:cs="仿宋"/>
          <w:snapToGrid w:val="0"/>
          <w:color w:val="auto"/>
          <w:kern w:val="0"/>
          <w:szCs w:val="21"/>
          <w:lang w:eastAsia="zh-CN"/>
        </w:rPr>
      </w:pPr>
    </w:p>
    <w:p w14:paraId="332A3A1F">
      <w:pPr>
        <w:pStyle w:val="58"/>
        <w:rPr>
          <w:rFonts w:hint="eastAsia" w:ascii="仿宋" w:hAnsi="仿宋" w:eastAsia="仿宋" w:cs="仿宋"/>
          <w:snapToGrid w:val="0"/>
          <w:color w:val="auto"/>
          <w:kern w:val="0"/>
          <w:szCs w:val="21"/>
          <w:lang w:eastAsia="zh-CN"/>
        </w:rPr>
      </w:pPr>
    </w:p>
    <w:p w14:paraId="2560658B">
      <w:pPr>
        <w:pStyle w:val="58"/>
        <w:rPr>
          <w:rFonts w:hint="eastAsia" w:ascii="仿宋" w:hAnsi="仿宋" w:eastAsia="仿宋" w:cs="仿宋"/>
          <w:snapToGrid w:val="0"/>
          <w:color w:val="auto"/>
          <w:kern w:val="0"/>
          <w:szCs w:val="21"/>
          <w:lang w:eastAsia="zh-CN"/>
        </w:rPr>
      </w:pPr>
    </w:p>
    <w:p w14:paraId="6C3515BF">
      <w:pPr>
        <w:pStyle w:val="58"/>
        <w:rPr>
          <w:rFonts w:hint="eastAsia" w:ascii="仿宋" w:hAnsi="仿宋" w:eastAsia="仿宋" w:cs="仿宋"/>
          <w:snapToGrid w:val="0"/>
          <w:color w:val="auto"/>
          <w:kern w:val="0"/>
          <w:szCs w:val="21"/>
          <w:lang w:eastAsia="zh-CN"/>
        </w:rPr>
      </w:pPr>
    </w:p>
    <w:p w14:paraId="04F2ADE0">
      <w:pPr>
        <w:pStyle w:val="58"/>
        <w:rPr>
          <w:rFonts w:hint="eastAsia" w:ascii="仿宋" w:hAnsi="仿宋" w:eastAsia="仿宋" w:cs="仿宋"/>
          <w:snapToGrid w:val="0"/>
          <w:color w:val="auto"/>
          <w:kern w:val="0"/>
          <w:szCs w:val="21"/>
          <w:lang w:eastAsia="zh-CN"/>
        </w:rPr>
      </w:pPr>
    </w:p>
    <w:p w14:paraId="20A52381">
      <w:pPr>
        <w:pStyle w:val="58"/>
        <w:rPr>
          <w:rFonts w:hint="eastAsia" w:ascii="仿宋" w:hAnsi="仿宋" w:eastAsia="仿宋" w:cs="仿宋"/>
          <w:snapToGrid w:val="0"/>
          <w:color w:val="auto"/>
          <w:kern w:val="0"/>
          <w:szCs w:val="21"/>
          <w:lang w:eastAsia="zh-CN"/>
        </w:rPr>
      </w:pPr>
    </w:p>
    <w:p w14:paraId="55C5AF42">
      <w:pPr>
        <w:pStyle w:val="58"/>
        <w:rPr>
          <w:rFonts w:hint="eastAsia" w:ascii="仿宋" w:hAnsi="仿宋" w:eastAsia="仿宋" w:cs="仿宋"/>
          <w:snapToGrid w:val="0"/>
          <w:color w:val="auto"/>
          <w:kern w:val="0"/>
          <w:szCs w:val="21"/>
          <w:lang w:eastAsia="zh-CN"/>
        </w:rPr>
      </w:pPr>
    </w:p>
    <w:p w14:paraId="11FF018F">
      <w:pPr>
        <w:pStyle w:val="58"/>
        <w:rPr>
          <w:rFonts w:hint="eastAsia" w:ascii="仿宋" w:hAnsi="仿宋" w:eastAsia="仿宋" w:cs="仿宋"/>
          <w:snapToGrid w:val="0"/>
          <w:color w:val="auto"/>
          <w:kern w:val="0"/>
          <w:szCs w:val="21"/>
          <w:lang w:eastAsia="zh-CN"/>
        </w:rPr>
      </w:pPr>
    </w:p>
    <w:p w14:paraId="7DCBE36A">
      <w:pPr>
        <w:pStyle w:val="58"/>
        <w:rPr>
          <w:rFonts w:hint="eastAsia" w:ascii="仿宋" w:hAnsi="仿宋" w:eastAsia="仿宋" w:cs="仿宋"/>
          <w:snapToGrid w:val="0"/>
          <w:color w:val="auto"/>
          <w:kern w:val="0"/>
          <w:szCs w:val="21"/>
          <w:lang w:eastAsia="zh-CN"/>
        </w:rPr>
      </w:pPr>
    </w:p>
    <w:p w14:paraId="5974D4B6">
      <w:pPr>
        <w:pStyle w:val="58"/>
        <w:rPr>
          <w:rFonts w:hint="eastAsia" w:ascii="仿宋" w:hAnsi="仿宋" w:eastAsia="仿宋" w:cs="仿宋"/>
          <w:snapToGrid w:val="0"/>
          <w:color w:val="auto"/>
          <w:kern w:val="0"/>
          <w:szCs w:val="21"/>
          <w:lang w:eastAsia="zh-CN"/>
        </w:rPr>
      </w:pPr>
    </w:p>
    <w:p w14:paraId="4A5CB6D9">
      <w:pPr>
        <w:pStyle w:val="58"/>
        <w:rPr>
          <w:rFonts w:hint="eastAsia" w:ascii="仿宋" w:hAnsi="仿宋" w:eastAsia="仿宋" w:cs="仿宋"/>
          <w:snapToGrid w:val="0"/>
          <w:color w:val="auto"/>
          <w:kern w:val="0"/>
          <w:szCs w:val="21"/>
          <w:lang w:eastAsia="zh-CN"/>
        </w:rPr>
      </w:pPr>
    </w:p>
    <w:p w14:paraId="155C9D91">
      <w:pPr>
        <w:pStyle w:val="58"/>
        <w:rPr>
          <w:rFonts w:hint="eastAsia" w:ascii="仿宋" w:hAnsi="仿宋" w:eastAsia="仿宋" w:cs="仿宋"/>
          <w:snapToGrid w:val="0"/>
          <w:color w:val="auto"/>
          <w:kern w:val="0"/>
          <w:szCs w:val="21"/>
          <w:lang w:eastAsia="zh-CN"/>
        </w:rPr>
      </w:pPr>
    </w:p>
    <w:p w14:paraId="4DB832FA">
      <w:pPr>
        <w:pStyle w:val="58"/>
        <w:rPr>
          <w:rFonts w:hint="eastAsia" w:ascii="仿宋" w:hAnsi="仿宋" w:eastAsia="仿宋" w:cs="仿宋"/>
          <w:snapToGrid w:val="0"/>
          <w:color w:val="auto"/>
          <w:kern w:val="0"/>
          <w:szCs w:val="21"/>
          <w:lang w:eastAsia="zh-CN"/>
        </w:rPr>
      </w:pPr>
    </w:p>
    <w:p w14:paraId="03FBBD61">
      <w:pPr>
        <w:pStyle w:val="58"/>
        <w:rPr>
          <w:rFonts w:hint="eastAsia" w:ascii="仿宋" w:hAnsi="仿宋" w:eastAsia="仿宋" w:cs="仿宋"/>
          <w:snapToGrid w:val="0"/>
          <w:color w:val="auto"/>
          <w:kern w:val="0"/>
          <w:szCs w:val="21"/>
          <w:lang w:eastAsia="zh-CN"/>
        </w:rPr>
      </w:pPr>
    </w:p>
    <w:p w14:paraId="2613506D">
      <w:pPr>
        <w:pStyle w:val="58"/>
        <w:rPr>
          <w:rFonts w:hint="eastAsia" w:ascii="仿宋" w:hAnsi="仿宋" w:eastAsia="仿宋" w:cs="仿宋"/>
          <w:snapToGrid w:val="0"/>
          <w:color w:val="auto"/>
          <w:kern w:val="0"/>
          <w:szCs w:val="21"/>
          <w:lang w:eastAsia="zh-CN"/>
        </w:rPr>
      </w:pPr>
    </w:p>
    <w:p w14:paraId="56DE8BBE">
      <w:pPr>
        <w:pStyle w:val="58"/>
        <w:rPr>
          <w:rFonts w:hint="eastAsia" w:ascii="仿宋" w:hAnsi="仿宋" w:eastAsia="仿宋" w:cs="仿宋"/>
          <w:snapToGrid w:val="0"/>
          <w:color w:val="auto"/>
          <w:kern w:val="0"/>
          <w:szCs w:val="21"/>
          <w:lang w:eastAsia="zh-CN"/>
        </w:rPr>
      </w:pPr>
    </w:p>
    <w:p w14:paraId="3D05546E">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二、合同条款</w:t>
      </w:r>
    </w:p>
    <w:p w14:paraId="12E6F57D">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第一条 本着平等互惠、互相支持、共同发展的原则，就甲方针对本项目的事宜， 经甲乙双方友好协商，共同签署本合同，以资共同遵守。 </w:t>
      </w:r>
    </w:p>
    <w:p w14:paraId="45E7B3C0">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第二条 服务定义：根据甲方需要，乙方为甲方提供该项目的服务等业务。 </w:t>
      </w:r>
    </w:p>
    <w:p w14:paraId="55B97A7E">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14:paraId="2439A9D5">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第四条 甲方的权利</w:t>
      </w:r>
    </w:p>
    <w:p w14:paraId="7FFD34C9">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1.甲方有权享有乙方按照上述约定提供的服务。</w:t>
      </w:r>
    </w:p>
    <w:p w14:paraId="5558B875">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3FA2EE75">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14:paraId="6F92081B">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4.本合同约定的服务费用外，乙方不得向甲方及其甲方人员收取其他任何费用，如甲方发现乙方有此类行为，甲方有权要求乙方清退所收费用，退还利息并支付违约金；</w:t>
      </w:r>
    </w:p>
    <w:p w14:paraId="7AF169C8">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5.乙方制作成果的所有权、使用权和著作权归属的约定：归甲方所有。乙方不得以任何借口留存，否则承担由此产生的一切法律和经济责任。未经甲方允许，任何单位和个人不得转让和使用本项目的制作成果。</w:t>
      </w:r>
    </w:p>
    <w:p w14:paraId="64687721">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第五条 甲方的义务</w:t>
      </w:r>
    </w:p>
    <w:p w14:paraId="4882EA3F">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1.服务实施过程中，甲方应为乙方提供必要的工作便利与指导，配合乙方履行职责。 </w:t>
      </w:r>
    </w:p>
    <w:p w14:paraId="47D0B9E0">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2.甲方不得将本合同的内容向甲乙双方以外的、与签订和履行本合同无关的任何第三方透露，不得泄露乙方的商业秘密（包括本合同及其附件和合同签订前的各项方案） 。</w:t>
      </w:r>
    </w:p>
    <w:p w14:paraId="24CEED27">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shd w:val="clear" w:color="auto" w:fill="auto"/>
          <w:lang w:eastAsia="zh-CN"/>
        </w:rPr>
        <w:t>第六条 任何一方违反或擅自变更本合同的约定，</w:t>
      </w:r>
      <w:r>
        <w:rPr>
          <w:rFonts w:hint="eastAsia" w:ascii="仿宋" w:hAnsi="仿宋" w:eastAsia="仿宋" w:cs="仿宋"/>
          <w:snapToGrid w:val="0"/>
          <w:color w:val="auto"/>
          <w:kern w:val="0"/>
          <w:szCs w:val="21"/>
          <w:lang w:eastAsia="zh-CN"/>
        </w:rPr>
        <w:t>应当承担由此给对方造成的经济损失和相关责任。</w:t>
      </w:r>
    </w:p>
    <w:p w14:paraId="63A467EE">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第七条甲方违约责任</w:t>
      </w:r>
    </w:p>
    <w:p w14:paraId="63123718">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1.于甲方的原因或因不可抗力的自然因素影响，则服务周期顺延。</w:t>
      </w:r>
    </w:p>
    <w:p w14:paraId="18DFB49B">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2.于乙方提供的服务等资料以及属于乙方的制作成果，甲方有义务保密，不得向第三方提供或用于本合同以外的项目，否则乙方有权要求甲方按本合同项目款总额的</w:t>
      </w:r>
      <w:r>
        <w:rPr>
          <w:rFonts w:hint="eastAsia" w:ascii="仿宋" w:hAnsi="仿宋" w:eastAsia="仿宋" w:cs="仿宋"/>
          <w:snapToGrid w:val="0"/>
          <w:color w:val="auto"/>
          <w:kern w:val="0"/>
          <w:szCs w:val="21"/>
          <w:lang w:val="en-US" w:eastAsia="zh-CN"/>
        </w:rPr>
        <w:t xml:space="preserve">   </w:t>
      </w:r>
      <w:r>
        <w:rPr>
          <w:rFonts w:hint="eastAsia" w:ascii="仿宋" w:hAnsi="仿宋" w:eastAsia="仿宋" w:cs="仿宋"/>
          <w:snapToGrid w:val="0"/>
          <w:color w:val="auto"/>
          <w:kern w:val="0"/>
          <w:szCs w:val="21"/>
          <w:lang w:eastAsia="zh-CN"/>
        </w:rPr>
        <w:t xml:space="preserve">%赔偿损失。 </w:t>
      </w:r>
    </w:p>
    <w:p w14:paraId="23933F9B">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第八条乙方违约责任</w:t>
      </w:r>
    </w:p>
    <w:p w14:paraId="0F1E39CB">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1.同签订后，如乙方擅自中途停止或解除合同，乙方应向甲方双倍返还定金。没有约定定金的，乙方向甲方赔偿制作服务价款的。</w:t>
      </w:r>
    </w:p>
    <w:p w14:paraId="64E4D9D7">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2.甲方提供了必要的工作、生活条件，并且保证了项目款按时到位，乙方未能按合同规定的日期提交制作成果时，应向甲方赔偿拖期损失费，每天的拖期损失费按合同约定的项目总造价款的。</w:t>
      </w:r>
    </w:p>
    <w:p w14:paraId="067087B2">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3.天气、交通、政府行为、甲方提供的资料不准确等客观原因造成的制作周期拖期，乙方不承担赔偿责任。 </w:t>
      </w:r>
    </w:p>
    <w:p w14:paraId="41D9E2D1">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4.作服务实施过程中，乙方未按投标书约定配备技术人员或乙方派驻技术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07CFEE02">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5.乙方有责任按甲方要求分期提交项目阶段性成果。如乙方未能按规定的制作周期交付成果，每延误一天，应付逾期违约金人民币（但由于受天气等不可抗力的自然因素影响，则工期顺延），逾期</w:t>
      </w:r>
      <w:r>
        <w:rPr>
          <w:rFonts w:hint="eastAsia" w:ascii="仿宋" w:hAnsi="仿宋" w:eastAsia="仿宋" w:cs="仿宋"/>
          <w:snapToGrid w:val="0"/>
          <w:color w:val="auto"/>
          <w:kern w:val="0"/>
          <w:szCs w:val="21"/>
          <w:lang w:val="en-US" w:eastAsia="zh-CN"/>
        </w:rPr>
        <w:t xml:space="preserve">    </w:t>
      </w:r>
      <w:r>
        <w:rPr>
          <w:rFonts w:hint="eastAsia" w:ascii="仿宋" w:hAnsi="仿宋" w:eastAsia="仿宋" w:cs="仿宋"/>
          <w:snapToGrid w:val="0"/>
          <w:color w:val="auto"/>
          <w:kern w:val="0"/>
          <w:szCs w:val="21"/>
          <w:lang w:eastAsia="zh-CN"/>
        </w:rPr>
        <w:t>天以上的，甲方除有权终止履行合同外，乙方应承担因延期造成的损失。同时，甲方有权根据乙方所承担服务的质量和进度是否符合要求而对服务的内容进行调整。</w:t>
      </w:r>
    </w:p>
    <w:p w14:paraId="5F91ACFD">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6.乙方提供的制作服务成果质量不合格的，乙方应负责无偿予以采取补救措施，以达到质量要求。因制作服务成果最终不符合合同要求（而又非甲方提供的资料原因所致）造成后果时，乙方应对因此造成的直接损失负赔偿责任，并承担相应的法律责任。返工周期为          ，并向甲方提供制作成果。由于返工造成逾期交付成果的，按延误服务周期偿付逾期违约金。若返工后还无法通过验收，甲方有权单方解除合同，并追回所付项目款。 </w:t>
      </w:r>
    </w:p>
    <w:p w14:paraId="3BA95476">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7.合同期内和合同终止后，乙方应负责所有成果、资料的保密，非经甲方书面认可，不得向任何人以任何方式提供任何资料。严格按甲方要求程序传递各种资料，否则甲方有权单方解除合同，并追回所付项目款。乙方提交成果后十日内，退回全部原始资料。否则，甲方有权要求乙方按本合同项目款总额的20%赔偿损失，并追究其法律责任。</w:t>
      </w:r>
    </w:p>
    <w:p w14:paraId="10D36E50">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8.乙方不得将本项目的任何部分转包或分包给其他任何单位和个人。若擅自转包或分包本合同标的，甲方有权解除合同，并可要求乙方偿付预算费用</w:t>
      </w:r>
      <w:r>
        <w:rPr>
          <w:rFonts w:hint="eastAsia" w:ascii="仿宋" w:hAnsi="仿宋" w:eastAsia="仿宋" w:cs="仿宋"/>
          <w:snapToGrid w:val="0"/>
          <w:color w:val="auto"/>
          <w:kern w:val="0"/>
          <w:szCs w:val="21"/>
          <w:lang w:val="en-US" w:eastAsia="zh-CN"/>
        </w:rPr>
        <w:t xml:space="preserve">  </w:t>
      </w:r>
      <w:r>
        <w:rPr>
          <w:rFonts w:hint="eastAsia" w:ascii="仿宋" w:hAnsi="仿宋" w:eastAsia="仿宋" w:cs="仿宋"/>
          <w:snapToGrid w:val="0"/>
          <w:color w:val="auto"/>
          <w:kern w:val="0"/>
          <w:szCs w:val="21"/>
          <w:lang w:eastAsia="zh-CN"/>
        </w:rPr>
        <w:t xml:space="preserve">%的违约金，同时追究其法律责任。 </w:t>
      </w:r>
    </w:p>
    <w:p w14:paraId="362BB727">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第九条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7D3BC3C8">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第十条 因执行本合同发生的一切争议，双方应首先友好协商解决。经协商不能解决，应向甲方所在地人民法院提起诉讼。在诉讼期间，除必须在诉讼过程中进行解决的问题外，合同其余部分应继续履行。 </w:t>
      </w:r>
    </w:p>
    <w:p w14:paraId="0434887C">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第十一条 甲、乙双方有一方有正当理由要求变更本合同，须提前一个月以书面形式通知对方并协商解决，双方应签署变更合同。 </w:t>
      </w:r>
    </w:p>
    <w:p w14:paraId="3F4BAAB4">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 xml:space="preserve">第十二条 本合同期满双方不再续约或者因一方违约导致本合同无法履行，则本合同终止。但合同的终止不得损害第三方的利益，双方应为此做出合理安排。 </w:t>
      </w:r>
    </w:p>
    <w:p w14:paraId="5D0B4996">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第十三条 未经对方同意，甲乙任何一方不得将本合同部分或全部权利和义务转让给第三方。</w:t>
      </w:r>
    </w:p>
    <w:p w14:paraId="31FDAB6F">
      <w:pPr>
        <w:adjustRightInd w:val="0"/>
        <w:snapToGrid w:val="0"/>
        <w:spacing w:line="400" w:lineRule="exact"/>
        <w:ind w:firstLine="210" w:firstLineChars="100"/>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lang w:eastAsia="zh-CN"/>
        </w:rPr>
        <w:t>第十四条 本合同中涉及的所有“通知”、“同意”、“确认” 等事项均应以书面形式做出，并作为依据。</w:t>
      </w:r>
    </w:p>
    <w:p w14:paraId="748D6020">
      <w:pPr>
        <w:adjustRightInd w:val="0"/>
        <w:snapToGrid w:val="0"/>
        <w:spacing w:line="400" w:lineRule="exact"/>
        <w:ind w:firstLine="210" w:firstLineChars="100"/>
        <w:rPr>
          <w:rFonts w:hint="eastAsia" w:ascii="仿宋" w:hAnsi="仿宋" w:eastAsia="仿宋" w:cs="仿宋"/>
          <w:snapToGrid w:val="0"/>
          <w:kern w:val="0"/>
          <w:szCs w:val="21"/>
        </w:rPr>
      </w:pPr>
      <w:r>
        <w:rPr>
          <w:rFonts w:hint="eastAsia" w:ascii="仿宋" w:hAnsi="仿宋" w:eastAsia="仿宋" w:cs="仿宋"/>
          <w:snapToGrid w:val="0"/>
          <w:color w:val="auto"/>
          <w:kern w:val="0"/>
          <w:szCs w:val="21"/>
          <w:lang w:eastAsia="zh-CN"/>
        </w:rPr>
        <w:t>第十五条 本合同有关附件及补充合同是本合同不可分割的组成部分，与本合同具有同等法律效力；本合同未尽事宜，双方另行协商并签署补充合同，作为本合同的附件，具</w:t>
      </w:r>
      <w:r>
        <w:rPr>
          <w:rFonts w:hint="eastAsia" w:ascii="仿宋" w:hAnsi="仿宋" w:eastAsia="仿宋" w:cs="仿宋"/>
          <w:snapToGrid w:val="0"/>
          <w:kern w:val="0"/>
          <w:szCs w:val="21"/>
          <w:lang w:eastAsia="zh-CN"/>
        </w:rPr>
        <w:t>有同等法律效力。</w:t>
      </w:r>
    </w:p>
    <w:p w14:paraId="224EF98A">
      <w:pPr>
        <w:adjustRightInd w:val="0"/>
        <w:snapToGrid w:val="0"/>
        <w:spacing w:line="400" w:lineRule="exact"/>
        <w:ind w:firstLine="210" w:firstLineChars="100"/>
        <w:rPr>
          <w:rFonts w:hint="eastAsia" w:ascii="仿宋" w:hAnsi="仿宋" w:eastAsia="仿宋" w:cs="仿宋"/>
          <w:snapToGrid w:val="0"/>
          <w:kern w:val="0"/>
          <w:szCs w:val="21"/>
        </w:rPr>
      </w:pPr>
    </w:p>
    <w:p w14:paraId="3105E338">
      <w:pPr>
        <w:rPr>
          <w:rFonts w:hint="eastAsia" w:ascii="仿宋" w:hAnsi="仿宋" w:eastAsia="仿宋" w:cs="仿宋"/>
          <w:snapToGrid w:val="0"/>
          <w:kern w:val="0"/>
          <w:szCs w:val="21"/>
        </w:rPr>
      </w:pPr>
      <w:r>
        <w:rPr>
          <w:rFonts w:hint="eastAsia" w:ascii="仿宋" w:hAnsi="仿宋" w:eastAsia="仿宋" w:cs="仿宋"/>
          <w:snapToGrid w:val="0"/>
          <w:kern w:val="0"/>
          <w:szCs w:val="21"/>
        </w:rPr>
        <w:br w:type="page"/>
      </w:r>
    </w:p>
    <w:bookmarkEnd w:id="138"/>
    <w:bookmarkEnd w:id="206"/>
    <w:bookmarkEnd w:id="207"/>
    <w:p w14:paraId="6159B928">
      <w:pPr>
        <w:numPr>
          <w:ilvl w:val="0"/>
          <w:numId w:val="7"/>
        </w:numPr>
        <w:spacing w:before="120" w:beforeLines="50" w:line="520" w:lineRule="exact"/>
        <w:jc w:val="center"/>
        <w:outlineLvl w:val="0"/>
        <w:rPr>
          <w:rFonts w:hint="eastAsia" w:ascii="仿宋" w:hAnsi="仿宋" w:eastAsia="仿宋" w:cs="仿宋"/>
          <w:b/>
          <w:color w:val="auto"/>
          <w:sz w:val="44"/>
          <w:szCs w:val="44"/>
          <w:highlight w:val="none"/>
        </w:rPr>
      </w:pPr>
      <w:bookmarkStart w:id="208" w:name="_Toc7119"/>
      <w:bookmarkStart w:id="209" w:name="_Toc27682"/>
      <w:bookmarkStart w:id="210" w:name="_Toc6445"/>
      <w:bookmarkStart w:id="211" w:name="_Toc7848"/>
      <w:bookmarkStart w:id="212" w:name="_Toc17116"/>
      <w:bookmarkStart w:id="213" w:name="_Toc7256_WPSOffice_Level1"/>
      <w:bookmarkStart w:id="214" w:name="_Toc17372"/>
      <w:r>
        <w:rPr>
          <w:rFonts w:hint="eastAsia" w:ascii="仿宋" w:hAnsi="仿宋" w:eastAsia="仿宋" w:cs="仿宋"/>
          <w:b/>
          <w:color w:val="auto"/>
          <w:sz w:val="44"/>
          <w:szCs w:val="44"/>
          <w:highlight w:val="none"/>
        </w:rPr>
        <w:t>响应文件格式</w:t>
      </w:r>
      <w:bookmarkEnd w:id="208"/>
      <w:bookmarkEnd w:id="209"/>
      <w:bookmarkEnd w:id="210"/>
      <w:bookmarkEnd w:id="211"/>
      <w:bookmarkEnd w:id="212"/>
      <w:bookmarkEnd w:id="213"/>
      <w:bookmarkEnd w:id="214"/>
    </w:p>
    <w:p w14:paraId="2EC30471">
      <w:pPr>
        <w:spacing w:before="120" w:beforeLines="50" w:line="520" w:lineRule="exact"/>
        <w:rPr>
          <w:rFonts w:hint="eastAsia" w:ascii="仿宋" w:hAnsi="仿宋" w:eastAsia="仿宋" w:cs="仿宋"/>
          <w:b/>
          <w:color w:val="auto"/>
          <w:sz w:val="44"/>
          <w:szCs w:val="44"/>
          <w:highlight w:val="none"/>
        </w:rPr>
      </w:pPr>
    </w:p>
    <w:p w14:paraId="53629047">
      <w:pPr>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响应文件格式是供应商的部分响应文件格式，供应商应按照这些格式编制响应文件。编制响应文件前，请详细阅读磋商文件，理解文件中的每一项要求，做出逐一实质性响应，认为有必要，可做补充说明。</w:t>
      </w:r>
    </w:p>
    <w:p w14:paraId="2A22ECAC">
      <w:pPr>
        <w:spacing w:line="400" w:lineRule="exact"/>
        <w:jc w:val="center"/>
        <w:rPr>
          <w:rFonts w:hint="eastAsia" w:ascii="仿宋" w:hAnsi="仿宋" w:eastAsia="仿宋" w:cs="仿宋"/>
          <w:b/>
          <w:color w:val="auto"/>
          <w:sz w:val="28"/>
          <w:szCs w:val="28"/>
          <w:highlight w:val="none"/>
        </w:rPr>
      </w:pPr>
    </w:p>
    <w:p w14:paraId="46E6B8D6">
      <w:pPr>
        <w:spacing w:line="400" w:lineRule="exact"/>
        <w:ind w:firstLine="570"/>
        <w:rPr>
          <w:rFonts w:hint="eastAsia" w:ascii="仿宋" w:hAnsi="仿宋" w:eastAsia="仿宋" w:cs="仿宋"/>
          <w:color w:val="auto"/>
          <w:sz w:val="28"/>
          <w:szCs w:val="28"/>
          <w:highlight w:val="none"/>
        </w:rPr>
      </w:pPr>
    </w:p>
    <w:p w14:paraId="778DBC4E">
      <w:pPr>
        <w:spacing w:line="400" w:lineRule="exact"/>
        <w:ind w:firstLine="570"/>
        <w:rPr>
          <w:rFonts w:hint="eastAsia" w:ascii="仿宋" w:hAnsi="仿宋" w:eastAsia="仿宋" w:cs="仿宋"/>
          <w:color w:val="auto"/>
          <w:sz w:val="28"/>
          <w:szCs w:val="28"/>
          <w:highlight w:val="none"/>
        </w:rPr>
      </w:pPr>
    </w:p>
    <w:p w14:paraId="0783446B">
      <w:pPr>
        <w:spacing w:line="400" w:lineRule="exact"/>
        <w:ind w:firstLine="570"/>
        <w:rPr>
          <w:rFonts w:hint="eastAsia" w:ascii="仿宋" w:hAnsi="仿宋" w:eastAsia="仿宋" w:cs="仿宋"/>
          <w:color w:val="auto"/>
          <w:sz w:val="28"/>
          <w:szCs w:val="28"/>
          <w:highlight w:val="none"/>
        </w:rPr>
      </w:pPr>
    </w:p>
    <w:p w14:paraId="1A0E75EA">
      <w:pPr>
        <w:spacing w:line="400" w:lineRule="exact"/>
        <w:ind w:firstLine="570"/>
        <w:rPr>
          <w:rFonts w:hint="eastAsia" w:ascii="仿宋" w:hAnsi="仿宋" w:eastAsia="仿宋" w:cs="仿宋"/>
          <w:color w:val="auto"/>
          <w:sz w:val="28"/>
          <w:szCs w:val="28"/>
          <w:highlight w:val="none"/>
        </w:rPr>
      </w:pPr>
    </w:p>
    <w:p w14:paraId="076F194E">
      <w:pPr>
        <w:spacing w:line="400" w:lineRule="exact"/>
        <w:ind w:firstLine="570"/>
        <w:rPr>
          <w:rFonts w:hint="eastAsia" w:ascii="仿宋" w:hAnsi="仿宋" w:eastAsia="仿宋" w:cs="仿宋"/>
          <w:color w:val="auto"/>
          <w:sz w:val="28"/>
          <w:szCs w:val="28"/>
          <w:highlight w:val="none"/>
        </w:rPr>
      </w:pPr>
    </w:p>
    <w:p w14:paraId="1BCA6ECA">
      <w:pPr>
        <w:spacing w:line="400" w:lineRule="exact"/>
        <w:ind w:firstLine="570"/>
        <w:rPr>
          <w:rFonts w:hint="eastAsia" w:ascii="仿宋" w:hAnsi="仿宋" w:eastAsia="仿宋" w:cs="仿宋"/>
          <w:color w:val="auto"/>
          <w:sz w:val="28"/>
          <w:szCs w:val="28"/>
          <w:highlight w:val="none"/>
        </w:rPr>
      </w:pPr>
    </w:p>
    <w:p w14:paraId="087E70D8">
      <w:pPr>
        <w:spacing w:line="400" w:lineRule="exact"/>
        <w:ind w:firstLine="570"/>
        <w:rPr>
          <w:rFonts w:hint="eastAsia" w:ascii="仿宋" w:hAnsi="仿宋" w:eastAsia="仿宋" w:cs="仿宋"/>
          <w:color w:val="auto"/>
          <w:sz w:val="28"/>
          <w:szCs w:val="28"/>
          <w:highlight w:val="none"/>
        </w:rPr>
      </w:pPr>
    </w:p>
    <w:p w14:paraId="39873CD7">
      <w:pPr>
        <w:spacing w:line="400" w:lineRule="exact"/>
        <w:ind w:firstLine="570"/>
        <w:rPr>
          <w:rFonts w:hint="eastAsia" w:ascii="仿宋" w:hAnsi="仿宋" w:eastAsia="仿宋" w:cs="仿宋"/>
          <w:color w:val="auto"/>
          <w:sz w:val="28"/>
          <w:szCs w:val="28"/>
          <w:highlight w:val="none"/>
        </w:rPr>
      </w:pPr>
    </w:p>
    <w:p w14:paraId="52AA5B46">
      <w:pPr>
        <w:spacing w:line="400" w:lineRule="exact"/>
        <w:ind w:firstLine="570"/>
        <w:rPr>
          <w:rFonts w:hint="eastAsia" w:ascii="仿宋" w:hAnsi="仿宋" w:eastAsia="仿宋" w:cs="仿宋"/>
          <w:color w:val="auto"/>
          <w:sz w:val="28"/>
          <w:szCs w:val="28"/>
          <w:highlight w:val="none"/>
        </w:rPr>
      </w:pPr>
    </w:p>
    <w:p w14:paraId="28F1083A">
      <w:pPr>
        <w:spacing w:line="400" w:lineRule="exact"/>
        <w:ind w:firstLine="570"/>
        <w:rPr>
          <w:rFonts w:hint="eastAsia" w:ascii="仿宋" w:hAnsi="仿宋" w:eastAsia="仿宋" w:cs="仿宋"/>
          <w:color w:val="auto"/>
          <w:sz w:val="28"/>
          <w:szCs w:val="28"/>
          <w:highlight w:val="none"/>
        </w:rPr>
      </w:pPr>
    </w:p>
    <w:p w14:paraId="6329DFEA">
      <w:pPr>
        <w:spacing w:line="400" w:lineRule="exact"/>
        <w:ind w:firstLine="570"/>
        <w:rPr>
          <w:rFonts w:hint="eastAsia" w:ascii="仿宋" w:hAnsi="仿宋" w:eastAsia="仿宋" w:cs="仿宋"/>
          <w:color w:val="auto"/>
          <w:sz w:val="28"/>
          <w:szCs w:val="28"/>
          <w:highlight w:val="none"/>
        </w:rPr>
      </w:pPr>
    </w:p>
    <w:p w14:paraId="07B1E5C3">
      <w:pPr>
        <w:spacing w:line="400" w:lineRule="exact"/>
        <w:ind w:firstLine="570"/>
        <w:rPr>
          <w:rFonts w:hint="eastAsia" w:ascii="仿宋" w:hAnsi="仿宋" w:eastAsia="仿宋" w:cs="仿宋"/>
          <w:color w:val="auto"/>
          <w:sz w:val="28"/>
          <w:szCs w:val="28"/>
          <w:highlight w:val="none"/>
        </w:rPr>
      </w:pPr>
    </w:p>
    <w:p w14:paraId="6E151808">
      <w:pPr>
        <w:spacing w:line="400" w:lineRule="exact"/>
        <w:ind w:firstLine="570"/>
        <w:rPr>
          <w:rFonts w:hint="eastAsia" w:ascii="仿宋" w:hAnsi="仿宋" w:eastAsia="仿宋" w:cs="仿宋"/>
          <w:color w:val="auto"/>
          <w:sz w:val="28"/>
          <w:szCs w:val="28"/>
          <w:highlight w:val="none"/>
        </w:rPr>
      </w:pPr>
    </w:p>
    <w:p w14:paraId="7D42E80E">
      <w:pPr>
        <w:spacing w:line="400" w:lineRule="exact"/>
        <w:ind w:firstLine="570"/>
        <w:rPr>
          <w:rFonts w:hint="eastAsia" w:ascii="仿宋" w:hAnsi="仿宋" w:eastAsia="仿宋" w:cs="仿宋"/>
          <w:color w:val="auto"/>
          <w:sz w:val="28"/>
          <w:szCs w:val="28"/>
          <w:highlight w:val="none"/>
        </w:rPr>
      </w:pPr>
    </w:p>
    <w:p w14:paraId="48992AFA">
      <w:pPr>
        <w:spacing w:line="400" w:lineRule="exact"/>
        <w:ind w:firstLine="570"/>
        <w:rPr>
          <w:rFonts w:hint="eastAsia" w:ascii="仿宋" w:hAnsi="仿宋" w:eastAsia="仿宋" w:cs="仿宋"/>
          <w:color w:val="auto"/>
          <w:sz w:val="28"/>
          <w:szCs w:val="28"/>
          <w:highlight w:val="none"/>
        </w:rPr>
      </w:pPr>
    </w:p>
    <w:p w14:paraId="6F5E75E2">
      <w:pPr>
        <w:spacing w:line="400" w:lineRule="exact"/>
        <w:ind w:firstLine="570"/>
        <w:rPr>
          <w:rFonts w:hint="eastAsia" w:ascii="仿宋" w:hAnsi="仿宋" w:eastAsia="仿宋" w:cs="仿宋"/>
          <w:color w:val="auto"/>
          <w:sz w:val="28"/>
          <w:szCs w:val="28"/>
          <w:highlight w:val="none"/>
        </w:rPr>
      </w:pPr>
    </w:p>
    <w:p w14:paraId="42EA209E">
      <w:pPr>
        <w:spacing w:line="400" w:lineRule="exact"/>
        <w:ind w:firstLine="570"/>
        <w:rPr>
          <w:rFonts w:hint="eastAsia" w:ascii="仿宋" w:hAnsi="仿宋" w:eastAsia="仿宋" w:cs="仿宋"/>
          <w:color w:val="auto"/>
          <w:sz w:val="28"/>
          <w:szCs w:val="28"/>
          <w:highlight w:val="none"/>
        </w:rPr>
      </w:pPr>
    </w:p>
    <w:p w14:paraId="13E06DF7">
      <w:pPr>
        <w:spacing w:line="400" w:lineRule="exact"/>
        <w:ind w:firstLine="570"/>
        <w:rPr>
          <w:rFonts w:hint="eastAsia" w:ascii="仿宋" w:hAnsi="仿宋" w:eastAsia="仿宋" w:cs="仿宋"/>
          <w:color w:val="auto"/>
          <w:sz w:val="28"/>
          <w:szCs w:val="28"/>
          <w:highlight w:val="none"/>
        </w:rPr>
      </w:pPr>
    </w:p>
    <w:p w14:paraId="505879F0">
      <w:pPr>
        <w:spacing w:line="400" w:lineRule="exact"/>
        <w:ind w:firstLine="570"/>
        <w:rPr>
          <w:rFonts w:hint="eastAsia" w:ascii="仿宋" w:hAnsi="仿宋" w:eastAsia="仿宋" w:cs="仿宋"/>
          <w:color w:val="auto"/>
          <w:sz w:val="28"/>
          <w:szCs w:val="28"/>
          <w:highlight w:val="none"/>
        </w:rPr>
      </w:pPr>
    </w:p>
    <w:p w14:paraId="2C689B48">
      <w:pPr>
        <w:spacing w:line="400" w:lineRule="exact"/>
        <w:ind w:firstLine="570"/>
        <w:rPr>
          <w:rFonts w:hint="eastAsia" w:ascii="仿宋" w:hAnsi="仿宋" w:eastAsia="仿宋" w:cs="仿宋"/>
          <w:color w:val="auto"/>
          <w:sz w:val="28"/>
          <w:szCs w:val="28"/>
          <w:highlight w:val="none"/>
        </w:rPr>
      </w:pPr>
    </w:p>
    <w:p w14:paraId="707B43DB">
      <w:pPr>
        <w:spacing w:line="400" w:lineRule="exact"/>
        <w:ind w:firstLine="570"/>
        <w:rPr>
          <w:rFonts w:hint="eastAsia" w:ascii="仿宋" w:hAnsi="仿宋" w:eastAsia="仿宋" w:cs="仿宋"/>
          <w:color w:val="auto"/>
          <w:sz w:val="28"/>
          <w:szCs w:val="28"/>
          <w:highlight w:val="none"/>
        </w:rPr>
      </w:pPr>
    </w:p>
    <w:p w14:paraId="6CB59E40">
      <w:pPr>
        <w:spacing w:line="400" w:lineRule="exact"/>
        <w:ind w:firstLine="570"/>
        <w:rPr>
          <w:rFonts w:hint="eastAsia" w:ascii="仿宋" w:hAnsi="仿宋" w:eastAsia="仿宋" w:cs="仿宋"/>
          <w:color w:val="auto"/>
          <w:sz w:val="28"/>
          <w:szCs w:val="28"/>
          <w:highlight w:val="none"/>
        </w:rPr>
      </w:pPr>
    </w:p>
    <w:p w14:paraId="5D36D5E5">
      <w:pPr>
        <w:spacing w:line="400" w:lineRule="exact"/>
        <w:ind w:firstLine="570"/>
        <w:rPr>
          <w:rFonts w:hint="eastAsia" w:ascii="仿宋" w:hAnsi="仿宋" w:eastAsia="仿宋" w:cs="仿宋"/>
          <w:color w:val="auto"/>
          <w:sz w:val="28"/>
          <w:szCs w:val="28"/>
          <w:highlight w:val="none"/>
        </w:rPr>
      </w:pPr>
    </w:p>
    <w:p w14:paraId="0D86CAC6">
      <w:pPr>
        <w:adjustRightInd w:val="0"/>
        <w:snapToGrid w:val="0"/>
        <w:spacing w:line="360" w:lineRule="auto"/>
        <w:ind w:firstLine="482" w:firstLineChars="200"/>
        <w:rPr>
          <w:rFonts w:hint="eastAsia" w:ascii="仿宋" w:hAnsi="仿宋" w:eastAsia="仿宋" w:cs="仿宋"/>
          <w:b/>
          <w:color w:val="auto"/>
          <w:sz w:val="24"/>
          <w:highlight w:val="none"/>
        </w:rPr>
      </w:pPr>
    </w:p>
    <w:p w14:paraId="19253543">
      <w:pPr>
        <w:spacing w:line="400" w:lineRule="exact"/>
        <w:ind w:firstLine="570"/>
        <w:rPr>
          <w:rFonts w:hint="eastAsia" w:ascii="仿宋" w:hAnsi="仿宋" w:eastAsia="仿宋" w:cs="仿宋"/>
          <w:color w:val="auto"/>
          <w:sz w:val="44"/>
          <w:szCs w:val="28"/>
          <w:highlight w:val="none"/>
        </w:rPr>
      </w:pPr>
    </w:p>
    <w:p w14:paraId="05C7920E">
      <w:pPr>
        <w:pStyle w:val="18"/>
        <w:rPr>
          <w:rFonts w:hint="eastAsia" w:ascii="仿宋" w:hAnsi="仿宋" w:eastAsia="仿宋" w:cs="仿宋"/>
        </w:rPr>
      </w:pPr>
    </w:p>
    <w:p w14:paraId="7E2FABED">
      <w:pPr>
        <w:jc w:val="right"/>
        <w:rPr>
          <w:rFonts w:hint="eastAsia" w:ascii="仿宋" w:hAnsi="仿宋" w:eastAsia="仿宋" w:cs="仿宋"/>
          <w:color w:val="auto"/>
          <w:sz w:val="32"/>
          <w:szCs w:val="28"/>
          <w:highlight w:val="none"/>
        </w:rPr>
      </w:pPr>
      <w:bookmarkStart w:id="215" w:name="_Toc217446082"/>
    </w:p>
    <w:p w14:paraId="31BF185A">
      <w:pPr>
        <w:jc w:val="right"/>
        <w:rPr>
          <w:rFonts w:hint="eastAsia" w:ascii="仿宋" w:hAnsi="仿宋" w:eastAsia="仿宋" w:cs="仿宋"/>
          <w:color w:val="auto"/>
          <w:sz w:val="32"/>
          <w:szCs w:val="28"/>
          <w:highlight w:val="none"/>
        </w:rPr>
      </w:pPr>
    </w:p>
    <w:p w14:paraId="58E1E5EE">
      <w:pPr>
        <w:jc w:val="right"/>
        <w:rPr>
          <w:rFonts w:hint="eastAsia" w:ascii="仿宋" w:hAnsi="仿宋" w:eastAsia="仿宋" w:cs="仿宋"/>
          <w:b/>
          <w:bCs/>
          <w:color w:val="auto"/>
          <w:sz w:val="28"/>
          <w:szCs w:val="28"/>
          <w:highlight w:val="none"/>
        </w:rPr>
      </w:pPr>
      <w:bookmarkStart w:id="216" w:name="_Toc17834_WPSOffice_Level2"/>
    </w:p>
    <w:bookmarkEnd w:id="215"/>
    <w:bookmarkEnd w:id="216"/>
    <w:p w14:paraId="10F96E8B">
      <w:pPr>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正本/副本</w:t>
      </w:r>
    </w:p>
    <w:p w14:paraId="17C59CBB">
      <w:pPr>
        <w:spacing w:line="360" w:lineRule="auto"/>
        <w:rPr>
          <w:rFonts w:hint="eastAsia" w:ascii="仿宋" w:hAnsi="仿宋" w:eastAsia="仿宋" w:cs="仿宋"/>
          <w:b/>
          <w:bCs/>
          <w:color w:val="auto"/>
          <w:sz w:val="28"/>
          <w:szCs w:val="28"/>
          <w:highlight w:val="none"/>
        </w:rPr>
      </w:pPr>
      <w:bookmarkStart w:id="217" w:name="_Toc28516_WPSOffice_Level2"/>
      <w:r>
        <w:rPr>
          <w:rFonts w:hint="eastAsia" w:ascii="仿宋" w:hAnsi="仿宋" w:eastAsia="仿宋" w:cs="仿宋"/>
          <w:b/>
          <w:bCs/>
          <w:color w:val="auto"/>
          <w:sz w:val="28"/>
          <w:szCs w:val="28"/>
          <w:highlight w:val="none"/>
        </w:rPr>
        <w:t>政府采购项目</w:t>
      </w:r>
      <w:bookmarkEnd w:id="217"/>
    </w:p>
    <w:p w14:paraId="61A7AC4E">
      <w:pPr>
        <w:spacing w:line="360" w:lineRule="auto"/>
        <w:rPr>
          <w:rFonts w:hint="eastAsia" w:ascii="仿宋" w:hAnsi="仿宋" w:eastAsia="仿宋" w:cs="仿宋"/>
          <w:color w:val="auto"/>
          <w:sz w:val="28"/>
          <w:szCs w:val="28"/>
          <w:highlight w:val="none"/>
          <w:lang w:val="en-US" w:eastAsia="zh-CN"/>
        </w:rPr>
      </w:pPr>
      <w:bookmarkStart w:id="218" w:name="_Toc26011_WPSOffice_Level2"/>
      <w:r>
        <w:rPr>
          <w:rFonts w:hint="eastAsia" w:ascii="仿宋" w:hAnsi="仿宋" w:eastAsia="仿宋" w:cs="仿宋"/>
          <w:b/>
          <w:bCs/>
          <w:color w:val="auto"/>
          <w:sz w:val="28"/>
          <w:szCs w:val="28"/>
          <w:highlight w:val="none"/>
        </w:rPr>
        <w:t>采购项目编号：</w:t>
      </w:r>
      <w:bookmarkEnd w:id="218"/>
      <w:r>
        <w:rPr>
          <w:rFonts w:hint="eastAsia" w:ascii="仿宋" w:hAnsi="仿宋" w:eastAsia="仿宋" w:cs="仿宋"/>
          <w:color w:val="auto"/>
          <w:sz w:val="28"/>
          <w:szCs w:val="28"/>
          <w:highlight w:val="none"/>
          <w:lang w:eastAsia="zh-CN"/>
        </w:rPr>
        <w:t>SJR2025-ZC0103</w:t>
      </w:r>
    </w:p>
    <w:p w14:paraId="70B532F8">
      <w:pPr>
        <w:spacing w:line="360" w:lineRule="auto"/>
        <w:rPr>
          <w:rFonts w:hint="eastAsia" w:ascii="仿宋" w:hAnsi="仿宋" w:eastAsia="仿宋" w:cs="仿宋"/>
          <w:color w:val="auto"/>
          <w:sz w:val="22"/>
          <w:szCs w:val="22"/>
          <w:highlight w:val="none"/>
        </w:rPr>
      </w:pPr>
    </w:p>
    <w:p w14:paraId="5AB02068">
      <w:pPr>
        <w:pStyle w:val="6"/>
        <w:rPr>
          <w:rFonts w:hint="eastAsia" w:ascii="仿宋" w:hAnsi="仿宋" w:eastAsia="仿宋" w:cs="仿宋"/>
        </w:rPr>
      </w:pPr>
    </w:p>
    <w:p w14:paraId="0F321232">
      <w:pPr>
        <w:jc w:val="center"/>
        <w:rPr>
          <w:rFonts w:hint="eastAsia" w:ascii="仿宋" w:hAnsi="仿宋" w:eastAsia="仿宋" w:cs="仿宋"/>
          <w:b/>
          <w:color w:val="auto"/>
          <w:sz w:val="52"/>
          <w:szCs w:val="52"/>
          <w:highlight w:val="none"/>
        </w:rPr>
      </w:pPr>
    </w:p>
    <w:p w14:paraId="62439294">
      <w:pPr>
        <w:jc w:val="center"/>
        <w:rPr>
          <w:rFonts w:hint="eastAsia" w:ascii="仿宋" w:hAnsi="仿宋" w:eastAsia="仿宋" w:cs="仿宋"/>
          <w:color w:val="auto"/>
          <w:sz w:val="18"/>
          <w:szCs w:val="21"/>
          <w:highlight w:val="none"/>
          <w:lang w:eastAsia="zh-CN"/>
        </w:rPr>
      </w:pPr>
      <w:r>
        <w:rPr>
          <w:rFonts w:hint="eastAsia" w:ascii="仿宋" w:hAnsi="仿宋" w:eastAsia="仿宋" w:cs="仿宋"/>
          <w:b/>
          <w:bCs/>
          <w:color w:val="auto"/>
          <w:sz w:val="56"/>
          <w:szCs w:val="56"/>
          <w:highlight w:val="none"/>
          <w:lang w:val="en-US" w:eastAsia="zh-CN"/>
        </w:rPr>
        <w:t>中国共产党留坝县委宣传部电影《药香谷》联合摄制服务项目</w:t>
      </w:r>
    </w:p>
    <w:p w14:paraId="50CE0EAB">
      <w:pPr>
        <w:rPr>
          <w:rFonts w:hint="eastAsia" w:ascii="仿宋" w:hAnsi="仿宋" w:eastAsia="仿宋" w:cs="仿宋"/>
          <w:color w:val="auto"/>
          <w:highlight w:val="none"/>
        </w:rPr>
      </w:pPr>
    </w:p>
    <w:p w14:paraId="2083B6ED">
      <w:pPr>
        <w:rPr>
          <w:rFonts w:hint="eastAsia" w:ascii="仿宋" w:hAnsi="仿宋" w:eastAsia="仿宋" w:cs="仿宋"/>
          <w:color w:val="auto"/>
          <w:highlight w:val="none"/>
        </w:rPr>
      </w:pPr>
    </w:p>
    <w:p w14:paraId="2D0ADBAF">
      <w:pPr>
        <w:rPr>
          <w:rFonts w:hint="eastAsia" w:ascii="仿宋" w:hAnsi="仿宋" w:eastAsia="仿宋" w:cs="仿宋"/>
          <w:color w:val="auto"/>
          <w:highlight w:val="none"/>
        </w:rPr>
      </w:pPr>
    </w:p>
    <w:p w14:paraId="47B85D02">
      <w:pPr>
        <w:rPr>
          <w:rFonts w:hint="eastAsia" w:ascii="仿宋" w:hAnsi="仿宋" w:eastAsia="仿宋" w:cs="仿宋"/>
          <w:color w:val="auto"/>
          <w:highlight w:val="none"/>
        </w:rPr>
      </w:pPr>
    </w:p>
    <w:p w14:paraId="7374E053">
      <w:pPr>
        <w:pStyle w:val="2"/>
        <w:spacing w:line="900" w:lineRule="exact"/>
        <w:jc w:val="center"/>
        <w:rPr>
          <w:rFonts w:hint="eastAsia" w:ascii="仿宋" w:hAnsi="仿宋" w:eastAsia="仿宋" w:cs="仿宋"/>
          <w:b w:val="0"/>
          <w:color w:val="auto"/>
          <w:sz w:val="84"/>
          <w:szCs w:val="84"/>
          <w:highlight w:val="none"/>
        </w:rPr>
      </w:pPr>
      <w:bookmarkStart w:id="219" w:name="_Toc7094"/>
      <w:bookmarkStart w:id="220" w:name="_Toc24850"/>
      <w:bookmarkStart w:id="221" w:name="_Toc29613"/>
      <w:bookmarkStart w:id="222" w:name="_Toc30744"/>
      <w:bookmarkStart w:id="223" w:name="_Toc10700"/>
      <w:bookmarkStart w:id="224" w:name="_Toc21268"/>
      <w:bookmarkStart w:id="225" w:name="_Toc22663"/>
      <w:r>
        <w:rPr>
          <w:rFonts w:hint="eastAsia" w:ascii="仿宋" w:hAnsi="仿宋" w:eastAsia="仿宋" w:cs="仿宋"/>
          <w:b w:val="0"/>
          <w:color w:val="auto"/>
          <w:sz w:val="84"/>
          <w:szCs w:val="84"/>
          <w:highlight w:val="none"/>
        </w:rPr>
        <w:t>竞争性磋商响应文件</w:t>
      </w:r>
      <w:bookmarkEnd w:id="219"/>
      <w:bookmarkEnd w:id="220"/>
      <w:bookmarkEnd w:id="221"/>
      <w:bookmarkEnd w:id="222"/>
      <w:bookmarkEnd w:id="223"/>
      <w:bookmarkEnd w:id="224"/>
      <w:bookmarkEnd w:id="225"/>
    </w:p>
    <w:p w14:paraId="0D10D9BE">
      <w:pPr>
        <w:pStyle w:val="5"/>
        <w:rPr>
          <w:rFonts w:hint="eastAsia" w:ascii="仿宋" w:hAnsi="仿宋" w:eastAsia="仿宋" w:cs="仿宋"/>
          <w:color w:val="auto"/>
          <w:sz w:val="28"/>
          <w:szCs w:val="28"/>
          <w:highlight w:val="none"/>
        </w:rPr>
      </w:pPr>
    </w:p>
    <w:p w14:paraId="33A27EDD">
      <w:pPr>
        <w:pStyle w:val="5"/>
        <w:rPr>
          <w:rFonts w:hint="eastAsia" w:ascii="仿宋" w:hAnsi="仿宋" w:eastAsia="仿宋" w:cs="仿宋"/>
          <w:color w:val="auto"/>
          <w:sz w:val="28"/>
          <w:szCs w:val="28"/>
          <w:highlight w:val="none"/>
        </w:rPr>
      </w:pPr>
    </w:p>
    <w:p w14:paraId="542FEA93">
      <w:pPr>
        <w:pStyle w:val="5"/>
        <w:rPr>
          <w:rFonts w:hint="eastAsia" w:ascii="仿宋" w:hAnsi="仿宋" w:eastAsia="仿宋" w:cs="仿宋"/>
          <w:color w:val="auto"/>
          <w:sz w:val="28"/>
          <w:szCs w:val="28"/>
          <w:highlight w:val="none"/>
        </w:rPr>
      </w:pPr>
    </w:p>
    <w:p w14:paraId="1335C275">
      <w:pPr>
        <w:pStyle w:val="5"/>
        <w:rPr>
          <w:rFonts w:hint="eastAsia" w:ascii="仿宋" w:hAnsi="仿宋" w:eastAsia="仿宋" w:cs="仿宋"/>
          <w:color w:val="auto"/>
          <w:sz w:val="28"/>
          <w:szCs w:val="28"/>
          <w:highlight w:val="none"/>
        </w:rPr>
      </w:pPr>
    </w:p>
    <w:p w14:paraId="21221003">
      <w:pPr>
        <w:pStyle w:val="5"/>
        <w:rPr>
          <w:rFonts w:hint="eastAsia" w:ascii="仿宋" w:hAnsi="仿宋" w:eastAsia="仿宋" w:cs="仿宋"/>
          <w:color w:val="auto"/>
          <w:sz w:val="28"/>
          <w:szCs w:val="28"/>
          <w:highlight w:val="none"/>
        </w:rPr>
      </w:pPr>
    </w:p>
    <w:p w14:paraId="117F49E2">
      <w:pPr>
        <w:pStyle w:val="5"/>
        <w:rPr>
          <w:rFonts w:hint="eastAsia" w:ascii="仿宋" w:hAnsi="仿宋" w:eastAsia="仿宋" w:cs="仿宋"/>
          <w:color w:val="auto"/>
          <w:sz w:val="28"/>
          <w:szCs w:val="28"/>
          <w:highlight w:val="none"/>
        </w:rPr>
      </w:pPr>
    </w:p>
    <w:p w14:paraId="633D5AF2">
      <w:pPr>
        <w:pStyle w:val="5"/>
        <w:rPr>
          <w:rFonts w:hint="eastAsia" w:ascii="仿宋" w:hAnsi="仿宋" w:eastAsia="仿宋" w:cs="仿宋"/>
          <w:color w:val="auto"/>
          <w:sz w:val="28"/>
          <w:szCs w:val="28"/>
          <w:highlight w:val="none"/>
        </w:rPr>
      </w:pPr>
    </w:p>
    <w:p w14:paraId="7570115A">
      <w:pPr>
        <w:pStyle w:val="5"/>
        <w:rPr>
          <w:rFonts w:hint="eastAsia" w:ascii="仿宋" w:hAnsi="仿宋" w:eastAsia="仿宋" w:cs="仿宋"/>
          <w:color w:val="auto"/>
          <w:sz w:val="28"/>
          <w:szCs w:val="28"/>
          <w:highlight w:val="none"/>
        </w:rPr>
      </w:pPr>
    </w:p>
    <w:p w14:paraId="688389C6">
      <w:pPr>
        <w:pStyle w:val="5"/>
        <w:rPr>
          <w:rFonts w:hint="eastAsia" w:ascii="仿宋" w:hAnsi="仿宋" w:eastAsia="仿宋" w:cs="仿宋"/>
          <w:color w:val="auto"/>
          <w:sz w:val="28"/>
          <w:szCs w:val="28"/>
          <w:highlight w:val="none"/>
        </w:rPr>
      </w:pPr>
    </w:p>
    <w:p w14:paraId="09FAEEF3">
      <w:pPr>
        <w:pStyle w:val="5"/>
        <w:ind w:left="0" w:leftChars="0" w:firstLine="0" w:firstLineChars="0"/>
        <w:rPr>
          <w:rFonts w:hint="eastAsia" w:ascii="仿宋" w:hAnsi="仿宋" w:eastAsia="仿宋" w:cs="仿宋"/>
          <w:color w:val="auto"/>
          <w:sz w:val="28"/>
          <w:szCs w:val="28"/>
          <w:highlight w:val="none"/>
        </w:rPr>
      </w:pPr>
    </w:p>
    <w:p w14:paraId="7DA26338">
      <w:pPr>
        <w:pStyle w:val="5"/>
        <w:rPr>
          <w:rFonts w:hint="eastAsia" w:ascii="仿宋" w:hAnsi="仿宋" w:eastAsia="仿宋" w:cs="仿宋"/>
          <w:color w:val="auto"/>
          <w:sz w:val="28"/>
          <w:szCs w:val="28"/>
          <w:highlight w:val="none"/>
        </w:rPr>
      </w:pPr>
    </w:p>
    <w:p w14:paraId="51F20732">
      <w:pPr>
        <w:pStyle w:val="5"/>
        <w:spacing w:before="120" w:beforeLines="50"/>
        <w:ind w:firstLine="1630" w:firstLineChars="580"/>
        <w:rPr>
          <w:rFonts w:hint="eastAsia" w:ascii="仿宋" w:hAnsi="仿宋" w:eastAsia="仿宋" w:cs="仿宋"/>
          <w:color w:val="auto"/>
          <w:sz w:val="28"/>
          <w:szCs w:val="28"/>
          <w:highlight w:val="none"/>
        </w:rPr>
      </w:pPr>
      <w:bookmarkStart w:id="226" w:name="_Toc15222_WPSOffice_Level2"/>
      <w:r>
        <w:rPr>
          <w:rFonts w:hint="eastAsia" w:ascii="仿宋" w:hAnsi="仿宋" w:eastAsia="仿宋" w:cs="仿宋"/>
          <w:b/>
          <w:color w:val="auto"/>
          <w:sz w:val="28"/>
          <w:szCs w:val="28"/>
          <w:highlight w:val="none"/>
        </w:rPr>
        <w:t xml:space="preserve">供应商：                         </w:t>
      </w:r>
      <w:r>
        <w:rPr>
          <w:rFonts w:hint="eastAsia" w:ascii="仿宋" w:hAnsi="仿宋" w:eastAsia="仿宋" w:cs="仿宋"/>
          <w:color w:val="auto"/>
          <w:sz w:val="28"/>
          <w:szCs w:val="28"/>
          <w:highlight w:val="none"/>
        </w:rPr>
        <w:t>（盖单位章）</w:t>
      </w:r>
      <w:bookmarkEnd w:id="226"/>
    </w:p>
    <w:p w14:paraId="3519D696">
      <w:pPr>
        <w:pStyle w:val="5"/>
        <w:spacing w:before="120" w:beforeLines="50"/>
        <w:ind w:firstLine="1630" w:firstLineChars="580"/>
        <w:rPr>
          <w:rFonts w:hint="eastAsia" w:ascii="仿宋" w:hAnsi="仿宋" w:eastAsia="仿宋" w:cs="仿宋"/>
          <w:color w:val="auto"/>
          <w:sz w:val="28"/>
          <w:szCs w:val="28"/>
          <w:highlight w:val="none"/>
        </w:rPr>
      </w:pPr>
      <w:bookmarkStart w:id="227" w:name="_Toc6225_WPSOffice_Level2"/>
      <w:r>
        <w:rPr>
          <w:rFonts w:hint="eastAsia" w:ascii="仿宋" w:hAnsi="仿宋" w:eastAsia="仿宋" w:cs="仿宋"/>
          <w:b/>
          <w:color w:val="auto"/>
          <w:sz w:val="28"/>
          <w:szCs w:val="28"/>
          <w:highlight w:val="none"/>
        </w:rPr>
        <w:t>法定代表人或</w:t>
      </w:r>
      <w:r>
        <w:rPr>
          <w:rFonts w:hint="eastAsia" w:ascii="仿宋" w:hAnsi="仿宋" w:eastAsia="仿宋" w:cs="仿宋"/>
          <w:b/>
          <w:color w:val="auto"/>
          <w:sz w:val="28"/>
          <w:szCs w:val="28"/>
          <w:highlight w:val="none"/>
          <w:lang w:eastAsia="zh-CN"/>
        </w:rPr>
        <w:t>授权代表</w:t>
      </w:r>
      <w:r>
        <w:rPr>
          <w:rFonts w:hint="eastAsia" w:ascii="仿宋" w:hAnsi="仿宋" w:eastAsia="仿宋" w:cs="仿宋"/>
          <w:b/>
          <w:color w:val="auto"/>
          <w:sz w:val="28"/>
          <w:szCs w:val="28"/>
          <w:highlight w:val="none"/>
        </w:rPr>
        <w:t xml:space="preserve">：         </w:t>
      </w:r>
      <w:r>
        <w:rPr>
          <w:rFonts w:hint="eastAsia" w:ascii="仿宋" w:hAnsi="仿宋" w:eastAsia="仿宋" w:cs="仿宋"/>
          <w:color w:val="auto"/>
          <w:sz w:val="28"/>
          <w:szCs w:val="28"/>
          <w:highlight w:val="none"/>
        </w:rPr>
        <w:t>（签字）</w:t>
      </w:r>
      <w:bookmarkEnd w:id="227"/>
    </w:p>
    <w:p w14:paraId="482D560B">
      <w:pPr>
        <w:pStyle w:val="5"/>
        <w:spacing w:before="120" w:beforeLines="50"/>
        <w:ind w:firstLine="1630" w:firstLineChars="580"/>
        <w:rPr>
          <w:rFonts w:hint="eastAsia" w:ascii="仿宋" w:hAnsi="仿宋" w:eastAsia="仿宋" w:cs="仿宋"/>
          <w:b/>
          <w:color w:val="auto"/>
          <w:sz w:val="28"/>
          <w:szCs w:val="28"/>
          <w:highlight w:val="none"/>
        </w:rPr>
      </w:pPr>
      <w:bookmarkStart w:id="228" w:name="_Toc3756_WPSOffice_Level2"/>
      <w:r>
        <w:rPr>
          <w:rFonts w:hint="eastAsia" w:ascii="仿宋" w:hAnsi="仿宋" w:eastAsia="仿宋" w:cs="仿宋"/>
          <w:b/>
          <w:color w:val="auto"/>
          <w:sz w:val="28"/>
          <w:szCs w:val="28"/>
          <w:highlight w:val="none"/>
        </w:rPr>
        <w:t xml:space="preserve">时  间：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年  月  日</w:t>
      </w:r>
      <w:bookmarkEnd w:id="228"/>
    </w:p>
    <w:p w14:paraId="694E0DEA">
      <w:pPr>
        <w:bidi w:val="0"/>
        <w:jc w:val="center"/>
        <w:rPr>
          <w:rFonts w:hint="eastAsia" w:ascii="仿宋" w:hAnsi="仿宋" w:eastAsia="仿宋" w:cs="仿宋"/>
          <w:b/>
          <w:bCs/>
          <w:sz w:val="72"/>
          <w:szCs w:val="72"/>
        </w:rPr>
      </w:pPr>
      <w:bookmarkStart w:id="229" w:name="_Toc6933_WPSOffice_Level2"/>
      <w:r>
        <w:rPr>
          <w:rFonts w:hint="eastAsia" w:ascii="仿宋" w:hAnsi="仿宋" w:eastAsia="仿宋" w:cs="仿宋"/>
          <w:b/>
          <w:bCs/>
          <w:sz w:val="32"/>
          <w:szCs w:val="40"/>
        </w:rPr>
        <w:t>评分索引表</w:t>
      </w:r>
    </w:p>
    <w:tbl>
      <w:tblPr>
        <w:tblStyle w:val="44"/>
        <w:tblpPr w:leftFromText="180" w:rightFromText="180" w:vertAnchor="text" w:horzAnchor="page" w:tblpX="1215" w:tblpY="396"/>
        <w:tblOverlap w:val="never"/>
        <w:tblW w:w="100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1"/>
        <w:gridCol w:w="7276"/>
        <w:gridCol w:w="1432"/>
      </w:tblGrid>
      <w:tr w14:paraId="477EE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351" w:type="dxa"/>
            <w:tcBorders>
              <w:tl2br w:val="nil"/>
              <w:tr2bl w:val="nil"/>
            </w:tcBorders>
            <w:vAlign w:val="center"/>
          </w:tcPr>
          <w:p w14:paraId="22A0D29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评审项目</w:t>
            </w:r>
          </w:p>
        </w:tc>
        <w:tc>
          <w:tcPr>
            <w:tcW w:w="7276" w:type="dxa"/>
            <w:tcBorders>
              <w:tl2br w:val="nil"/>
              <w:tr2bl w:val="nil"/>
            </w:tcBorders>
            <w:vAlign w:val="center"/>
          </w:tcPr>
          <w:p w14:paraId="35622BE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评分标准</w:t>
            </w:r>
          </w:p>
        </w:tc>
        <w:tc>
          <w:tcPr>
            <w:tcW w:w="1432" w:type="dxa"/>
            <w:tcBorders>
              <w:tl2br w:val="nil"/>
              <w:tr2bl w:val="nil"/>
            </w:tcBorders>
            <w:vAlign w:val="center"/>
          </w:tcPr>
          <w:p w14:paraId="50191BA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对应页码</w:t>
            </w:r>
          </w:p>
        </w:tc>
      </w:tr>
      <w:tr w14:paraId="75527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51" w:type="dxa"/>
            <w:tcBorders>
              <w:tl2br w:val="nil"/>
              <w:tr2bl w:val="nil"/>
            </w:tcBorders>
            <w:vAlign w:val="center"/>
          </w:tcPr>
          <w:p w14:paraId="6A23DE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bCs/>
                <w:color w:val="auto"/>
                <w:sz w:val="24"/>
                <w:szCs w:val="24"/>
                <w:highlight w:val="none"/>
              </w:rPr>
              <w:t>业绩</w:t>
            </w:r>
          </w:p>
        </w:tc>
        <w:tc>
          <w:tcPr>
            <w:tcW w:w="7276" w:type="dxa"/>
            <w:tcBorders>
              <w:tl2br w:val="nil"/>
              <w:tr2bl w:val="nil"/>
            </w:tcBorders>
            <w:vAlign w:val="center"/>
          </w:tcPr>
          <w:p w14:paraId="603CA7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rPr>
              <w:t>供应商具有</w:t>
            </w:r>
            <w:r>
              <w:rPr>
                <w:rFonts w:hint="eastAsia" w:ascii="仿宋" w:hAnsi="仿宋" w:eastAsia="仿宋" w:cs="仿宋"/>
                <w:color w:val="auto"/>
                <w:sz w:val="24"/>
                <w:szCs w:val="24"/>
                <w:highlight w:val="none"/>
                <w:lang w:val="en-US" w:eastAsia="zh-CN"/>
              </w:rPr>
              <w:t>2022年1月至今</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类似</w:t>
            </w:r>
            <w:r>
              <w:rPr>
                <w:rFonts w:hint="eastAsia" w:ascii="仿宋" w:hAnsi="仿宋" w:eastAsia="仿宋" w:cs="仿宋"/>
                <w:color w:val="auto"/>
                <w:sz w:val="24"/>
                <w:szCs w:val="24"/>
                <w:highlight w:val="none"/>
              </w:rPr>
              <w:t>项目业绩</w:t>
            </w:r>
            <w:r>
              <w:rPr>
                <w:rFonts w:hint="eastAsia" w:ascii="仿宋" w:hAnsi="仿宋" w:eastAsia="仿宋" w:cs="仿宋"/>
                <w:color w:val="auto"/>
                <w:sz w:val="24"/>
                <w:szCs w:val="24"/>
                <w:highlight w:val="none"/>
                <w:lang w:val="zh-CN"/>
              </w:rPr>
              <w:t>证明文件</w:t>
            </w:r>
            <w:r>
              <w:rPr>
                <w:rFonts w:hint="eastAsia" w:ascii="仿宋" w:hAnsi="仿宋" w:eastAsia="仿宋" w:cs="仿宋"/>
                <w:color w:val="auto"/>
                <w:sz w:val="24"/>
                <w:szCs w:val="24"/>
                <w:highlight w:val="none"/>
              </w:rPr>
              <w:t>（以合同签订时间为准），</w:t>
            </w:r>
            <w:r>
              <w:rPr>
                <w:rFonts w:hint="eastAsia" w:ascii="仿宋" w:hAnsi="仿宋" w:eastAsia="仿宋" w:cs="仿宋"/>
                <w:color w:val="auto"/>
                <w:sz w:val="24"/>
                <w:szCs w:val="24"/>
                <w:highlight w:val="none"/>
                <w:lang w:eastAsia="zh-CN"/>
              </w:rPr>
              <w:t>提供合同复印件加盖公章，</w:t>
            </w:r>
            <w:r>
              <w:rPr>
                <w:rFonts w:hint="eastAsia" w:ascii="仿宋" w:hAnsi="仿宋" w:eastAsia="仿宋" w:cs="仿宋"/>
                <w:sz w:val="24"/>
                <w:szCs w:val="24"/>
                <w:highlight w:val="none"/>
              </w:rPr>
              <w:t>每提供</w:t>
            </w:r>
            <w:r>
              <w:rPr>
                <w:rFonts w:hint="eastAsia" w:ascii="仿宋" w:hAnsi="仿宋" w:eastAsia="仿宋" w:cs="仿宋"/>
                <w:sz w:val="24"/>
                <w:szCs w:val="24"/>
                <w:highlight w:val="none"/>
                <w:lang w:eastAsia="zh-CN"/>
              </w:rPr>
              <w:t>一份</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432" w:type="dxa"/>
            <w:tcBorders>
              <w:tl2br w:val="nil"/>
              <w:tr2bl w:val="nil"/>
            </w:tcBorders>
            <w:vAlign w:val="center"/>
          </w:tcPr>
          <w:p w14:paraId="168B78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XX页-XX页</w:t>
            </w:r>
          </w:p>
          <w:p w14:paraId="181A82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（共X份）</w:t>
            </w:r>
          </w:p>
        </w:tc>
      </w:tr>
      <w:tr w14:paraId="72E5C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51" w:type="dxa"/>
            <w:tcBorders>
              <w:tl2br w:val="nil"/>
              <w:tr2bl w:val="nil"/>
            </w:tcBorders>
            <w:vAlign w:val="center"/>
          </w:tcPr>
          <w:p w14:paraId="3533B8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zh-CN" w:eastAsia="zh-CN"/>
              </w:rPr>
              <w:t>人员配备</w:t>
            </w:r>
          </w:p>
        </w:tc>
        <w:tc>
          <w:tcPr>
            <w:tcW w:w="7276" w:type="dxa"/>
            <w:tcBorders>
              <w:tl2br w:val="nil"/>
              <w:tr2bl w:val="nil"/>
            </w:tcBorders>
            <w:vAlign w:val="center"/>
          </w:tcPr>
          <w:p w14:paraId="44FBB53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针对本项目提供具体可行的核心</w:t>
            </w:r>
            <w:r>
              <w:rPr>
                <w:rFonts w:hint="eastAsia" w:ascii="仿宋" w:hAnsi="仿宋" w:eastAsia="仿宋" w:cs="仿宋"/>
                <w:color w:val="auto"/>
                <w:sz w:val="24"/>
                <w:szCs w:val="24"/>
                <w:highlight w:val="none"/>
                <w:lang w:val="zh-CN" w:eastAsia="zh-CN"/>
              </w:rPr>
              <w:t>人员配置方案。</w:t>
            </w:r>
            <w:r>
              <w:rPr>
                <w:rFonts w:hint="eastAsia" w:ascii="仿宋" w:hAnsi="仿宋" w:eastAsia="仿宋" w:cs="仿宋"/>
                <w:color w:val="auto"/>
                <w:sz w:val="24"/>
                <w:szCs w:val="24"/>
                <w:highlight w:val="none"/>
                <w:lang w:eastAsia="zh-CN"/>
              </w:rPr>
              <w:t>人员配置方案</w:t>
            </w:r>
            <w:r>
              <w:rPr>
                <w:rFonts w:hint="eastAsia" w:ascii="仿宋" w:hAnsi="仿宋" w:eastAsia="仿宋" w:cs="仿宋"/>
                <w:color w:val="auto"/>
                <w:sz w:val="24"/>
                <w:szCs w:val="24"/>
                <w:highlight w:val="none"/>
                <w:lang w:val="en-US" w:eastAsia="zh-CN"/>
              </w:rPr>
              <w:t>全面，项目负责人及团队核心人员中具有与本项目服务相关专业，经验丰富，且具有参加过类似项目的经历。满足上述要求的核心人员8人及以上，得10分。3人-7人得5分。3人以下不得分</w:t>
            </w:r>
            <w:bookmarkStart w:id="260" w:name="_GoBack"/>
            <w:bookmarkEnd w:id="260"/>
          </w:p>
        </w:tc>
        <w:tc>
          <w:tcPr>
            <w:tcW w:w="1432" w:type="dxa"/>
            <w:tcBorders>
              <w:tl2br w:val="nil"/>
              <w:tr2bl w:val="nil"/>
            </w:tcBorders>
            <w:vAlign w:val="center"/>
          </w:tcPr>
          <w:p w14:paraId="1048CA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XX页-XX页</w:t>
            </w:r>
          </w:p>
        </w:tc>
      </w:tr>
      <w:tr w14:paraId="4FB2F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51" w:type="dxa"/>
            <w:tcBorders>
              <w:tl2br w:val="nil"/>
              <w:tr2bl w:val="nil"/>
            </w:tcBorders>
            <w:vAlign w:val="center"/>
          </w:tcPr>
          <w:p w14:paraId="4E786CE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lang w:val="zh-CN" w:eastAsia="zh-CN"/>
              </w:rPr>
              <w:t>项目综合认识</w:t>
            </w:r>
          </w:p>
        </w:tc>
        <w:tc>
          <w:tcPr>
            <w:tcW w:w="7276" w:type="dxa"/>
            <w:tcBorders>
              <w:tl2br w:val="nil"/>
              <w:tr2bl w:val="nil"/>
            </w:tcBorders>
            <w:vAlign w:val="center"/>
          </w:tcPr>
          <w:p w14:paraId="1AFD3189">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根据供应商对项目情况分析，对现状内容和问题把握准确程度，是否能完全满足项目要求等内容评审，</w:t>
            </w:r>
            <w:r>
              <w:rPr>
                <w:rFonts w:hint="eastAsia" w:ascii="仿宋" w:hAnsi="仿宋" w:eastAsia="仿宋" w:cs="仿宋"/>
                <w:snapToGrid w:val="0"/>
                <w:color w:val="auto"/>
                <w:kern w:val="0"/>
                <w:sz w:val="24"/>
                <w:szCs w:val="24"/>
                <w:highlight w:val="none"/>
                <w:lang w:eastAsia="zh-CN"/>
              </w:rPr>
              <w:t>按其响应程度</w:t>
            </w:r>
            <w:r>
              <w:rPr>
                <w:rFonts w:hint="eastAsia" w:ascii="仿宋" w:hAnsi="仿宋" w:eastAsia="仿宋" w:cs="仿宋"/>
                <w:snapToGrid w:val="0"/>
                <w:color w:val="auto"/>
                <w:kern w:val="0"/>
                <w:sz w:val="24"/>
                <w:szCs w:val="24"/>
                <w:highlight w:val="none"/>
                <w:lang w:val="en-US" w:eastAsia="zh-CN"/>
              </w:rPr>
              <w:t>赋分[0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15]分；</w:t>
            </w:r>
          </w:p>
          <w:p w14:paraId="1E3A47A9">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解读</w:t>
            </w:r>
            <w:r>
              <w:rPr>
                <w:rFonts w:hint="eastAsia" w:ascii="仿宋" w:hAnsi="仿宋" w:eastAsia="仿宋" w:cs="仿宋"/>
                <w:snapToGrid w:val="0"/>
                <w:color w:val="auto"/>
                <w:kern w:val="0"/>
                <w:sz w:val="24"/>
                <w:szCs w:val="24"/>
                <w:highlight w:val="none"/>
                <w:lang w:val="en-US" w:eastAsia="zh-CN"/>
              </w:rPr>
              <w:t>情况认识</w:t>
            </w:r>
            <w:r>
              <w:rPr>
                <w:rFonts w:hint="eastAsia" w:ascii="仿宋" w:hAnsi="仿宋" w:eastAsia="仿宋" w:cs="仿宋"/>
                <w:snapToGrid w:val="0"/>
                <w:color w:val="auto"/>
                <w:kern w:val="0"/>
                <w:sz w:val="24"/>
                <w:szCs w:val="24"/>
                <w:highlight w:val="none"/>
                <w:lang w:eastAsia="zh-CN"/>
              </w:rPr>
              <w:t>全面，针对性</w:t>
            </w:r>
            <w:r>
              <w:rPr>
                <w:rFonts w:hint="eastAsia" w:ascii="仿宋" w:hAnsi="仿宋" w:eastAsia="仿宋" w:cs="仿宋"/>
                <w:snapToGrid w:val="0"/>
                <w:color w:val="auto"/>
                <w:kern w:val="0"/>
                <w:sz w:val="24"/>
                <w:szCs w:val="24"/>
                <w:highlight w:val="none"/>
                <w:lang w:val="en-US" w:eastAsia="zh-CN"/>
              </w:rPr>
              <w:t>强得（8</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15）</w:t>
            </w:r>
            <w:r>
              <w:rPr>
                <w:rFonts w:hint="eastAsia" w:ascii="仿宋" w:hAnsi="仿宋" w:eastAsia="仿宋" w:cs="仿宋"/>
                <w:snapToGrid w:val="0"/>
                <w:color w:val="auto"/>
                <w:kern w:val="0"/>
                <w:sz w:val="24"/>
                <w:szCs w:val="24"/>
                <w:highlight w:val="none"/>
                <w:lang w:eastAsia="zh-CN"/>
              </w:rPr>
              <w:t>分；</w:t>
            </w:r>
          </w:p>
          <w:p w14:paraId="157DD97E">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eastAsia="zh-CN"/>
              </w:rPr>
              <w:t>解读</w:t>
            </w:r>
            <w:r>
              <w:rPr>
                <w:rFonts w:hint="eastAsia" w:ascii="仿宋" w:hAnsi="仿宋" w:eastAsia="仿宋" w:cs="仿宋"/>
                <w:snapToGrid w:val="0"/>
                <w:color w:val="auto"/>
                <w:kern w:val="0"/>
                <w:sz w:val="24"/>
                <w:szCs w:val="24"/>
                <w:highlight w:val="none"/>
                <w:lang w:val="en-US" w:eastAsia="zh-CN"/>
              </w:rPr>
              <w:t>情况认识不</w:t>
            </w:r>
            <w:r>
              <w:rPr>
                <w:rFonts w:hint="eastAsia" w:ascii="仿宋" w:hAnsi="仿宋" w:eastAsia="仿宋" w:cs="仿宋"/>
                <w:snapToGrid w:val="0"/>
                <w:color w:val="auto"/>
                <w:kern w:val="0"/>
                <w:sz w:val="24"/>
                <w:szCs w:val="24"/>
                <w:highlight w:val="none"/>
                <w:lang w:eastAsia="zh-CN"/>
              </w:rPr>
              <w:t>全面，针对性</w:t>
            </w:r>
            <w:r>
              <w:rPr>
                <w:rFonts w:hint="eastAsia" w:ascii="仿宋" w:hAnsi="仿宋" w:eastAsia="仿宋" w:cs="仿宋"/>
                <w:snapToGrid w:val="0"/>
                <w:color w:val="auto"/>
                <w:kern w:val="0"/>
                <w:sz w:val="24"/>
                <w:szCs w:val="24"/>
                <w:highlight w:val="none"/>
                <w:lang w:val="en-US" w:eastAsia="zh-CN"/>
              </w:rPr>
              <w:t>一般得（0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eastAsia="zh-CN"/>
              </w:rPr>
              <w:t>分；</w:t>
            </w:r>
          </w:p>
        </w:tc>
        <w:tc>
          <w:tcPr>
            <w:tcW w:w="1432" w:type="dxa"/>
            <w:tcBorders>
              <w:tl2br w:val="nil"/>
              <w:tr2bl w:val="nil"/>
            </w:tcBorders>
            <w:vAlign w:val="center"/>
          </w:tcPr>
          <w:p w14:paraId="5AAE95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XX页-XX页</w:t>
            </w:r>
          </w:p>
        </w:tc>
      </w:tr>
      <w:tr w14:paraId="5B24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51" w:type="dxa"/>
            <w:tcBorders>
              <w:tl2br w:val="nil"/>
              <w:tr2bl w:val="nil"/>
            </w:tcBorders>
            <w:vAlign w:val="center"/>
          </w:tcPr>
          <w:p w14:paraId="787391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lang w:val="zh-CN" w:eastAsia="zh-CN"/>
              </w:rPr>
              <w:t>质量保障</w:t>
            </w:r>
          </w:p>
        </w:tc>
        <w:tc>
          <w:tcPr>
            <w:tcW w:w="7276" w:type="dxa"/>
            <w:tcBorders>
              <w:tl2br w:val="nil"/>
              <w:tr2bl w:val="nil"/>
            </w:tcBorders>
            <w:vAlign w:val="center"/>
          </w:tcPr>
          <w:p w14:paraId="1FA1C317">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质量管理组织方面，针对本项目设置的质量保证管理组织措施，结构科学、严谨、完整，符合相关规范及地方法规要求,按其响应程度</w:t>
            </w:r>
            <w:r>
              <w:rPr>
                <w:rFonts w:hint="eastAsia" w:ascii="仿宋" w:hAnsi="仿宋" w:eastAsia="仿宋" w:cs="仿宋"/>
                <w:snapToGrid w:val="0"/>
                <w:color w:val="auto"/>
                <w:kern w:val="0"/>
                <w:sz w:val="24"/>
                <w:szCs w:val="24"/>
                <w:highlight w:val="none"/>
                <w:lang w:val="en-US" w:eastAsia="zh-CN"/>
              </w:rPr>
              <w:t>赋分[0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15]分；</w:t>
            </w:r>
          </w:p>
          <w:p w14:paraId="266E6CD2">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zh-CN" w:eastAsia="zh-CN"/>
              </w:rPr>
              <w:t>质量保障</w:t>
            </w:r>
            <w:r>
              <w:rPr>
                <w:rFonts w:hint="eastAsia" w:ascii="仿宋" w:hAnsi="仿宋" w:eastAsia="仿宋" w:cs="仿宋"/>
                <w:snapToGrid w:val="0"/>
                <w:color w:val="auto"/>
                <w:kern w:val="0"/>
                <w:sz w:val="24"/>
                <w:szCs w:val="24"/>
                <w:highlight w:val="none"/>
                <w:lang w:val="en-US" w:eastAsia="zh-CN"/>
              </w:rPr>
              <w:t>可行</w:t>
            </w:r>
            <w:r>
              <w:rPr>
                <w:rFonts w:hint="eastAsia" w:ascii="仿宋" w:hAnsi="仿宋" w:eastAsia="仿宋" w:cs="仿宋"/>
                <w:snapToGrid w:val="0"/>
                <w:color w:val="auto"/>
                <w:kern w:val="0"/>
                <w:sz w:val="24"/>
                <w:szCs w:val="24"/>
                <w:highlight w:val="none"/>
                <w:lang w:eastAsia="zh-CN"/>
              </w:rPr>
              <w:t>，针对性</w:t>
            </w:r>
            <w:r>
              <w:rPr>
                <w:rFonts w:hint="eastAsia" w:ascii="仿宋" w:hAnsi="仿宋" w:eastAsia="仿宋" w:cs="仿宋"/>
                <w:snapToGrid w:val="0"/>
                <w:color w:val="auto"/>
                <w:kern w:val="0"/>
                <w:sz w:val="24"/>
                <w:szCs w:val="24"/>
                <w:highlight w:val="none"/>
                <w:lang w:val="en-US" w:eastAsia="zh-CN"/>
              </w:rPr>
              <w:t>强得（8</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15）</w:t>
            </w:r>
            <w:r>
              <w:rPr>
                <w:rFonts w:hint="eastAsia" w:ascii="仿宋" w:hAnsi="仿宋" w:eastAsia="仿宋" w:cs="仿宋"/>
                <w:snapToGrid w:val="0"/>
                <w:color w:val="auto"/>
                <w:kern w:val="0"/>
                <w:sz w:val="24"/>
                <w:szCs w:val="24"/>
                <w:highlight w:val="none"/>
                <w:lang w:eastAsia="zh-CN"/>
              </w:rPr>
              <w:t>分；</w:t>
            </w:r>
          </w:p>
          <w:p w14:paraId="2F923E19">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zh-CN" w:eastAsia="zh-CN"/>
              </w:rPr>
              <w:t>质量保障</w:t>
            </w:r>
            <w:r>
              <w:rPr>
                <w:rFonts w:hint="eastAsia" w:ascii="仿宋" w:hAnsi="仿宋" w:eastAsia="仿宋" w:cs="仿宋"/>
                <w:snapToGrid w:val="0"/>
                <w:color w:val="auto"/>
                <w:kern w:val="0"/>
                <w:sz w:val="24"/>
                <w:szCs w:val="24"/>
                <w:highlight w:val="none"/>
                <w:lang w:val="en-US" w:eastAsia="zh-CN"/>
              </w:rPr>
              <w:t>较为可行</w:t>
            </w:r>
            <w:r>
              <w:rPr>
                <w:rFonts w:hint="eastAsia" w:ascii="仿宋" w:hAnsi="仿宋" w:eastAsia="仿宋" w:cs="仿宋"/>
                <w:snapToGrid w:val="0"/>
                <w:color w:val="auto"/>
                <w:kern w:val="0"/>
                <w:sz w:val="24"/>
                <w:szCs w:val="24"/>
                <w:highlight w:val="none"/>
                <w:lang w:eastAsia="zh-CN"/>
              </w:rPr>
              <w:t>，针对性</w:t>
            </w:r>
            <w:r>
              <w:rPr>
                <w:rFonts w:hint="eastAsia" w:ascii="仿宋" w:hAnsi="仿宋" w:eastAsia="仿宋" w:cs="仿宋"/>
                <w:snapToGrid w:val="0"/>
                <w:color w:val="auto"/>
                <w:kern w:val="0"/>
                <w:sz w:val="24"/>
                <w:szCs w:val="24"/>
                <w:highlight w:val="none"/>
                <w:lang w:val="en-US" w:eastAsia="zh-CN"/>
              </w:rPr>
              <w:t>一般得（0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eastAsia="zh-CN"/>
              </w:rPr>
              <w:t>分；</w:t>
            </w:r>
          </w:p>
        </w:tc>
        <w:tc>
          <w:tcPr>
            <w:tcW w:w="1432" w:type="dxa"/>
            <w:tcBorders>
              <w:tl2br w:val="nil"/>
              <w:tr2bl w:val="nil"/>
            </w:tcBorders>
            <w:vAlign w:val="center"/>
          </w:tcPr>
          <w:p w14:paraId="4C2204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XX页-XX页</w:t>
            </w:r>
          </w:p>
        </w:tc>
      </w:tr>
      <w:tr w14:paraId="51C1A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51" w:type="dxa"/>
            <w:tcBorders>
              <w:tl2br w:val="nil"/>
              <w:tr2bl w:val="nil"/>
            </w:tcBorders>
            <w:vAlign w:val="center"/>
          </w:tcPr>
          <w:p w14:paraId="0322BD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lang w:val="en-US" w:eastAsia="zh-CN"/>
              </w:rPr>
              <w:t>保密措施和保密承诺</w:t>
            </w:r>
          </w:p>
        </w:tc>
        <w:tc>
          <w:tcPr>
            <w:tcW w:w="7276" w:type="dxa"/>
            <w:tcBorders>
              <w:tl2br w:val="nil"/>
              <w:tr2bl w:val="nil"/>
            </w:tcBorders>
            <w:vAlign w:val="center"/>
          </w:tcPr>
          <w:p w14:paraId="4E87119F">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具有严格的项目保密措施和保密承诺，按其响应程度</w:t>
            </w:r>
            <w:r>
              <w:rPr>
                <w:rFonts w:hint="eastAsia" w:ascii="仿宋" w:hAnsi="仿宋" w:eastAsia="仿宋" w:cs="仿宋"/>
                <w:snapToGrid w:val="0"/>
                <w:color w:val="auto"/>
                <w:kern w:val="0"/>
                <w:sz w:val="24"/>
                <w:szCs w:val="24"/>
                <w:highlight w:val="none"/>
                <w:lang w:val="en-US" w:eastAsia="zh-CN"/>
              </w:rPr>
              <w:t>赋分[</w:t>
            </w:r>
            <w:r>
              <w:rPr>
                <w:rFonts w:hint="eastAsia" w:ascii="仿宋" w:hAnsi="仿宋" w:eastAsia="仿宋" w:cs="仿宋"/>
                <w:snapToGrid w:val="0"/>
                <w:color w:val="auto"/>
                <w:kern w:val="0"/>
                <w:sz w:val="24"/>
                <w:szCs w:val="24"/>
                <w:highlight w:val="none"/>
                <w:lang w:eastAsia="zh-CN"/>
              </w:rPr>
              <w:t>0-</w:t>
            </w:r>
            <w:r>
              <w:rPr>
                <w:rFonts w:hint="eastAsia" w:ascii="仿宋" w:hAnsi="仿宋" w:eastAsia="仿宋" w:cs="仿宋"/>
                <w:snapToGrid w:val="0"/>
                <w:color w:val="auto"/>
                <w:kern w:val="0"/>
                <w:sz w:val="24"/>
                <w:szCs w:val="24"/>
                <w:highlight w:val="none"/>
                <w:lang w:val="en-US" w:eastAsia="zh-CN"/>
              </w:rPr>
              <w:t>15]</w:t>
            </w:r>
            <w:r>
              <w:rPr>
                <w:rFonts w:hint="eastAsia" w:ascii="仿宋" w:hAnsi="仿宋" w:eastAsia="仿宋" w:cs="仿宋"/>
                <w:snapToGrid w:val="0"/>
                <w:color w:val="auto"/>
                <w:kern w:val="0"/>
                <w:sz w:val="24"/>
                <w:szCs w:val="24"/>
                <w:highlight w:val="none"/>
                <w:lang w:eastAsia="zh-CN"/>
              </w:rPr>
              <w:t>分</w:t>
            </w:r>
          </w:p>
          <w:p w14:paraId="7D5B5453">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保密措施和保密承诺</w:t>
            </w:r>
            <w:r>
              <w:rPr>
                <w:rFonts w:hint="eastAsia" w:ascii="仿宋" w:hAnsi="仿宋" w:eastAsia="仿宋" w:cs="仿宋"/>
                <w:snapToGrid w:val="0"/>
                <w:color w:val="auto"/>
                <w:kern w:val="0"/>
                <w:sz w:val="24"/>
                <w:szCs w:val="24"/>
                <w:highlight w:val="none"/>
                <w:lang w:val="en-US" w:eastAsia="zh-CN"/>
              </w:rPr>
              <w:t>可行</w:t>
            </w:r>
            <w:r>
              <w:rPr>
                <w:rFonts w:hint="eastAsia" w:ascii="仿宋" w:hAnsi="仿宋" w:eastAsia="仿宋" w:cs="仿宋"/>
                <w:snapToGrid w:val="0"/>
                <w:color w:val="auto"/>
                <w:kern w:val="0"/>
                <w:sz w:val="24"/>
                <w:szCs w:val="24"/>
                <w:highlight w:val="none"/>
                <w:lang w:eastAsia="zh-CN"/>
              </w:rPr>
              <w:t>，针对性</w:t>
            </w:r>
            <w:r>
              <w:rPr>
                <w:rFonts w:hint="eastAsia" w:ascii="仿宋" w:hAnsi="仿宋" w:eastAsia="仿宋" w:cs="仿宋"/>
                <w:snapToGrid w:val="0"/>
                <w:color w:val="auto"/>
                <w:kern w:val="0"/>
                <w:sz w:val="24"/>
                <w:szCs w:val="24"/>
                <w:highlight w:val="none"/>
                <w:lang w:val="en-US" w:eastAsia="zh-CN"/>
              </w:rPr>
              <w:t>强得（8</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15）</w:t>
            </w:r>
            <w:r>
              <w:rPr>
                <w:rFonts w:hint="eastAsia" w:ascii="仿宋" w:hAnsi="仿宋" w:eastAsia="仿宋" w:cs="仿宋"/>
                <w:snapToGrid w:val="0"/>
                <w:color w:val="auto"/>
                <w:kern w:val="0"/>
                <w:sz w:val="24"/>
                <w:szCs w:val="24"/>
                <w:highlight w:val="none"/>
                <w:lang w:eastAsia="zh-CN"/>
              </w:rPr>
              <w:t>分；</w:t>
            </w:r>
          </w:p>
          <w:p w14:paraId="3C848384">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保密措施和保密承诺较为可行</w:t>
            </w:r>
            <w:r>
              <w:rPr>
                <w:rFonts w:hint="eastAsia" w:ascii="仿宋" w:hAnsi="仿宋" w:eastAsia="仿宋" w:cs="仿宋"/>
                <w:snapToGrid w:val="0"/>
                <w:color w:val="auto"/>
                <w:kern w:val="0"/>
                <w:sz w:val="24"/>
                <w:szCs w:val="24"/>
                <w:highlight w:val="none"/>
                <w:lang w:eastAsia="zh-CN"/>
              </w:rPr>
              <w:t>，针对性</w:t>
            </w:r>
            <w:r>
              <w:rPr>
                <w:rFonts w:hint="eastAsia" w:ascii="仿宋" w:hAnsi="仿宋" w:eastAsia="仿宋" w:cs="仿宋"/>
                <w:snapToGrid w:val="0"/>
                <w:color w:val="auto"/>
                <w:kern w:val="0"/>
                <w:sz w:val="24"/>
                <w:szCs w:val="24"/>
                <w:highlight w:val="none"/>
                <w:lang w:val="en-US" w:eastAsia="zh-CN"/>
              </w:rPr>
              <w:t>一般得（0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eastAsia="zh-CN"/>
              </w:rPr>
              <w:t>分；</w:t>
            </w:r>
          </w:p>
        </w:tc>
        <w:tc>
          <w:tcPr>
            <w:tcW w:w="1432" w:type="dxa"/>
            <w:tcBorders>
              <w:tl2br w:val="nil"/>
              <w:tr2bl w:val="nil"/>
            </w:tcBorders>
            <w:vAlign w:val="center"/>
          </w:tcPr>
          <w:p w14:paraId="417BA6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XX页-XX页</w:t>
            </w:r>
          </w:p>
        </w:tc>
      </w:tr>
      <w:tr w14:paraId="64E6C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51" w:type="dxa"/>
            <w:tcBorders>
              <w:tl2br w:val="nil"/>
              <w:tr2bl w:val="nil"/>
            </w:tcBorders>
            <w:vAlign w:val="center"/>
          </w:tcPr>
          <w:p w14:paraId="0AB0DC3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sz w:val="24"/>
                <w:szCs w:val="32"/>
                <w:lang w:val="en-US" w:eastAsia="zh-CN"/>
              </w:rPr>
              <w:t>后期服务</w:t>
            </w:r>
          </w:p>
        </w:tc>
        <w:tc>
          <w:tcPr>
            <w:tcW w:w="7276" w:type="dxa"/>
            <w:tcBorders>
              <w:tl2br w:val="nil"/>
              <w:tr2bl w:val="nil"/>
            </w:tcBorders>
            <w:vAlign w:val="center"/>
          </w:tcPr>
          <w:p w14:paraId="245CC6F7">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根据供应商提供的针对本项目特点的后期服务进行综合评分</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snapToGrid w:val="0"/>
                <w:color w:val="auto"/>
                <w:kern w:val="0"/>
                <w:sz w:val="24"/>
                <w:szCs w:val="24"/>
                <w:highlight w:val="none"/>
                <w:lang w:eastAsia="zh-CN"/>
              </w:rPr>
              <w:t>0-</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eastAsia="zh-CN"/>
              </w:rPr>
              <w:t>分</w:t>
            </w:r>
            <w:r>
              <w:rPr>
                <w:rFonts w:hint="eastAsia" w:ascii="仿宋" w:hAnsi="仿宋" w:eastAsia="仿宋" w:cs="仿宋"/>
                <w:sz w:val="24"/>
                <w:szCs w:val="32"/>
                <w:lang w:val="en-US" w:eastAsia="zh-CN"/>
              </w:rPr>
              <w:t>。</w:t>
            </w:r>
          </w:p>
          <w:p w14:paraId="4A0DD320">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方案完善、科学合理，针对性强、服务承诺明确，计（7-10）分；</w:t>
            </w:r>
          </w:p>
          <w:p w14:paraId="5847C7EE">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方案较完整、合理可行、特点和承诺不明确，计（3-7）分；</w:t>
            </w:r>
          </w:p>
          <w:p w14:paraId="4363BF07">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32"/>
                <w:lang w:val="en-US" w:eastAsia="zh-CN"/>
              </w:rPr>
              <w:t>方案不合理，计（0-3）分。</w:t>
            </w:r>
          </w:p>
        </w:tc>
        <w:tc>
          <w:tcPr>
            <w:tcW w:w="1432" w:type="dxa"/>
            <w:tcBorders>
              <w:tl2br w:val="nil"/>
              <w:tr2bl w:val="nil"/>
            </w:tcBorders>
            <w:vAlign w:val="center"/>
          </w:tcPr>
          <w:p w14:paraId="763CF0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XX页-XX页</w:t>
            </w:r>
          </w:p>
        </w:tc>
      </w:tr>
    </w:tbl>
    <w:p w14:paraId="4B541AC2">
      <w:pPr>
        <w:pStyle w:val="5"/>
        <w:spacing w:before="120" w:beforeLines="50" w:after="120" w:afterLines="50"/>
        <w:ind w:firstLine="0"/>
        <w:jc w:val="both"/>
        <w:rPr>
          <w:rFonts w:hint="eastAsia" w:ascii="仿宋" w:hAnsi="仿宋" w:eastAsia="仿宋" w:cs="仿宋"/>
          <w:b/>
          <w:sz w:val="21"/>
          <w:szCs w:val="21"/>
        </w:rPr>
      </w:pPr>
    </w:p>
    <w:p w14:paraId="4D3C8FD6">
      <w:pPr>
        <w:rPr>
          <w:rFonts w:hint="eastAsia" w:ascii="仿宋" w:hAnsi="仿宋" w:eastAsia="仿宋" w:cs="仿宋"/>
          <w:b/>
          <w:sz w:val="28"/>
          <w:szCs w:val="28"/>
        </w:rPr>
      </w:pPr>
      <w:r>
        <w:rPr>
          <w:rFonts w:hint="eastAsia" w:ascii="仿宋" w:hAnsi="仿宋" w:eastAsia="仿宋" w:cs="仿宋"/>
          <w:b/>
          <w:sz w:val="28"/>
          <w:szCs w:val="28"/>
        </w:rPr>
        <w:br w:type="page"/>
      </w:r>
    </w:p>
    <w:bookmarkEnd w:id="229"/>
    <w:p w14:paraId="5AA14E78">
      <w:pPr>
        <w:jc w:val="center"/>
        <w:rPr>
          <w:rFonts w:hint="eastAsia" w:ascii="仿宋" w:hAnsi="仿宋" w:eastAsia="仿宋" w:cs="仿宋"/>
          <w:b/>
          <w:sz w:val="44"/>
          <w:szCs w:val="44"/>
        </w:rPr>
      </w:pPr>
    </w:p>
    <w:p w14:paraId="62442FBC">
      <w:pPr>
        <w:jc w:val="center"/>
        <w:rPr>
          <w:rFonts w:hint="eastAsia" w:ascii="仿宋" w:hAnsi="仿宋" w:eastAsia="仿宋" w:cs="仿宋"/>
          <w:b/>
          <w:sz w:val="44"/>
          <w:szCs w:val="44"/>
        </w:rPr>
      </w:pPr>
      <w:r>
        <w:rPr>
          <w:rFonts w:hint="eastAsia" w:ascii="仿宋" w:hAnsi="仿宋" w:eastAsia="仿宋" w:cs="仿宋"/>
          <w:b/>
          <w:sz w:val="44"/>
          <w:szCs w:val="44"/>
        </w:rPr>
        <w:t>目    录</w:t>
      </w:r>
    </w:p>
    <w:p w14:paraId="1E1CFF41">
      <w:pPr>
        <w:spacing w:line="480" w:lineRule="auto"/>
        <w:ind w:left="2100"/>
        <w:jc w:val="left"/>
        <w:rPr>
          <w:rFonts w:hint="eastAsia" w:ascii="仿宋" w:hAnsi="仿宋" w:eastAsia="仿宋" w:cs="仿宋"/>
          <w:sz w:val="28"/>
          <w:szCs w:val="28"/>
        </w:rPr>
      </w:pPr>
    </w:p>
    <w:p w14:paraId="38A335B6">
      <w:pPr>
        <w:adjustRightInd w:val="0"/>
        <w:snapToGrid w:val="0"/>
        <w:spacing w:line="360" w:lineRule="auto"/>
        <w:jc w:val="center"/>
        <w:rPr>
          <w:rFonts w:hint="eastAsia" w:ascii="仿宋" w:hAnsi="仿宋" w:eastAsia="仿宋" w:cs="仿宋"/>
          <w:sz w:val="32"/>
          <w:szCs w:val="32"/>
          <w:lang w:eastAsia="zh-CN"/>
        </w:rPr>
      </w:pPr>
    </w:p>
    <w:p w14:paraId="7F303165">
      <w:pPr>
        <w:adjustRightInd w:val="0"/>
        <w:snapToGrid w:val="0"/>
        <w:spacing w:line="360" w:lineRule="auto"/>
        <w:jc w:val="center"/>
        <w:rPr>
          <w:rFonts w:hint="eastAsia" w:ascii="仿宋" w:hAnsi="仿宋" w:eastAsia="仿宋" w:cs="仿宋"/>
          <w:sz w:val="32"/>
          <w:szCs w:val="32"/>
          <w:lang w:eastAsia="zh-CN"/>
        </w:rPr>
      </w:pPr>
    </w:p>
    <w:p w14:paraId="63D535B8">
      <w:pPr>
        <w:adjustRightInd w:val="0"/>
        <w:snapToGrid w:val="0"/>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sz w:val="32"/>
          <w:szCs w:val="32"/>
          <w:lang w:eastAsia="zh-CN"/>
        </w:rPr>
        <w:t>自行编制</w:t>
      </w:r>
    </w:p>
    <w:p w14:paraId="75054053">
      <w:pPr>
        <w:pStyle w:val="2"/>
        <w:spacing w:line="240" w:lineRule="auto"/>
        <w:rPr>
          <w:rFonts w:hint="eastAsia" w:ascii="仿宋" w:hAnsi="仿宋" w:eastAsia="仿宋" w:cs="仿宋"/>
          <w:sz w:val="22"/>
          <w:szCs w:val="22"/>
        </w:rPr>
      </w:pPr>
      <w:bookmarkStart w:id="230" w:name="_Toc11331_WPSOffice_Level1"/>
      <w:r>
        <w:rPr>
          <w:rFonts w:hint="eastAsia" w:ascii="仿宋" w:hAnsi="仿宋" w:eastAsia="仿宋" w:cs="仿宋"/>
          <w:b/>
          <w:color w:val="auto"/>
          <w:sz w:val="36"/>
          <w:szCs w:val="36"/>
          <w:highlight w:val="none"/>
        </w:rPr>
        <w:br w:type="page"/>
      </w:r>
      <w:bookmarkEnd w:id="230"/>
      <w:r>
        <w:rPr>
          <w:rFonts w:hint="eastAsia" w:ascii="仿宋" w:hAnsi="仿宋" w:eastAsia="仿宋" w:cs="仿宋"/>
          <w:sz w:val="22"/>
          <w:szCs w:val="22"/>
        </w:rPr>
        <w:t>1、磋商函（格式）</w:t>
      </w:r>
    </w:p>
    <w:p w14:paraId="416C8115">
      <w:pPr>
        <w:ind w:right="-99" w:rightChars="-47"/>
        <w:jc w:val="center"/>
        <w:rPr>
          <w:rFonts w:hint="eastAsia" w:ascii="仿宋" w:hAnsi="仿宋" w:eastAsia="仿宋" w:cs="仿宋"/>
          <w:b/>
          <w:bCs/>
          <w:sz w:val="28"/>
          <w:szCs w:val="28"/>
        </w:rPr>
      </w:pPr>
      <w:r>
        <w:rPr>
          <w:rFonts w:hint="eastAsia" w:ascii="仿宋" w:hAnsi="仿宋" w:eastAsia="仿宋" w:cs="仿宋"/>
          <w:b/>
          <w:bCs/>
          <w:sz w:val="28"/>
          <w:szCs w:val="28"/>
        </w:rPr>
        <w:t>磋 商 函</w:t>
      </w:r>
    </w:p>
    <w:p w14:paraId="2BF6DE45">
      <w:pPr>
        <w:spacing w:line="540" w:lineRule="exact"/>
        <w:ind w:right="-99" w:rightChars="-47"/>
        <w:rPr>
          <w:rFonts w:hint="eastAsia" w:ascii="仿宋" w:hAnsi="仿宋" w:eastAsia="仿宋" w:cs="仿宋"/>
          <w:b/>
          <w:sz w:val="22"/>
          <w:szCs w:val="22"/>
          <w:lang w:eastAsia="zh-CN"/>
        </w:rPr>
      </w:pPr>
      <w:r>
        <w:rPr>
          <w:rFonts w:hint="eastAsia" w:ascii="仿宋" w:hAnsi="仿宋" w:eastAsia="仿宋" w:cs="仿宋"/>
          <w:b/>
          <w:sz w:val="22"/>
          <w:szCs w:val="22"/>
        </w:rPr>
        <w:t>致：</w:t>
      </w:r>
      <w:r>
        <w:rPr>
          <w:rFonts w:hint="eastAsia" w:ascii="仿宋" w:hAnsi="仿宋" w:eastAsia="仿宋" w:cs="仿宋"/>
          <w:b/>
          <w:sz w:val="22"/>
          <w:szCs w:val="22"/>
          <w:lang w:eastAsia="zh-CN"/>
        </w:rPr>
        <w:t>陕西顺捷瑞工程项目管理有限公司</w:t>
      </w:r>
    </w:p>
    <w:p w14:paraId="30014DB7">
      <w:pPr>
        <w:spacing w:line="540" w:lineRule="exact"/>
        <w:ind w:right="-99" w:rightChars="-47" w:firstLine="431" w:firstLineChars="196"/>
        <w:rPr>
          <w:rFonts w:hint="eastAsia" w:ascii="仿宋" w:hAnsi="仿宋" w:eastAsia="仿宋" w:cs="仿宋"/>
          <w:sz w:val="22"/>
          <w:szCs w:val="22"/>
        </w:rPr>
      </w:pPr>
      <w:r>
        <w:rPr>
          <w:rFonts w:hint="eastAsia" w:ascii="仿宋" w:hAnsi="仿宋" w:eastAsia="仿宋" w:cs="仿宋"/>
          <w:sz w:val="22"/>
          <w:szCs w:val="22"/>
        </w:rPr>
        <w:t>根据贵单位</w:t>
      </w:r>
      <w:r>
        <w:rPr>
          <w:rFonts w:hint="eastAsia" w:ascii="仿宋" w:hAnsi="仿宋" w:eastAsia="仿宋" w:cs="仿宋"/>
          <w:sz w:val="22"/>
          <w:szCs w:val="22"/>
          <w:u w:val="single"/>
        </w:rPr>
        <w:t xml:space="preserve">         （采</w:t>
      </w:r>
      <w:r>
        <w:rPr>
          <w:rFonts w:hint="eastAsia" w:ascii="仿宋" w:hAnsi="仿宋" w:eastAsia="仿宋" w:cs="仿宋"/>
          <w:sz w:val="22"/>
          <w:szCs w:val="22"/>
          <w:u w:val="single"/>
          <w:lang w:eastAsia="zh-CN"/>
        </w:rPr>
        <w:t>购</w:t>
      </w:r>
      <w:r>
        <w:rPr>
          <w:rFonts w:hint="eastAsia" w:ascii="仿宋" w:hAnsi="仿宋" w:eastAsia="仿宋" w:cs="仿宋"/>
          <w:sz w:val="22"/>
          <w:szCs w:val="22"/>
          <w:u w:val="single"/>
        </w:rPr>
        <w:t xml:space="preserve">项目名称）    </w:t>
      </w:r>
      <w:r>
        <w:rPr>
          <w:rFonts w:hint="eastAsia" w:ascii="仿宋" w:hAnsi="仿宋" w:eastAsia="仿宋" w:cs="仿宋"/>
          <w:sz w:val="22"/>
          <w:szCs w:val="22"/>
        </w:rPr>
        <w:t>项目</w:t>
      </w:r>
      <w:r>
        <w:rPr>
          <w:rFonts w:hint="eastAsia" w:ascii="仿宋" w:hAnsi="仿宋" w:eastAsia="仿宋" w:cs="仿宋"/>
          <w:sz w:val="22"/>
          <w:szCs w:val="22"/>
          <w:u w:val="single"/>
        </w:rPr>
        <w:t>（项目编号）</w:t>
      </w:r>
      <w:r>
        <w:rPr>
          <w:rFonts w:hint="eastAsia" w:ascii="仿宋" w:hAnsi="仿宋" w:eastAsia="仿宋" w:cs="仿宋"/>
          <w:sz w:val="22"/>
          <w:szCs w:val="22"/>
        </w:rPr>
        <w:t>的磋商公告，我方代表</w:t>
      </w:r>
      <w:r>
        <w:rPr>
          <w:rFonts w:hint="eastAsia" w:ascii="仿宋" w:hAnsi="仿宋" w:eastAsia="仿宋" w:cs="仿宋"/>
          <w:sz w:val="22"/>
          <w:szCs w:val="22"/>
          <w:u w:val="single"/>
        </w:rPr>
        <w:t xml:space="preserve">   （姓名、职务）   </w:t>
      </w:r>
      <w:r>
        <w:rPr>
          <w:rFonts w:hint="eastAsia" w:ascii="仿宋" w:hAnsi="仿宋" w:eastAsia="仿宋" w:cs="仿宋"/>
          <w:sz w:val="22"/>
          <w:szCs w:val="22"/>
        </w:rPr>
        <w:t>经正式授权并代表</w:t>
      </w:r>
      <w:r>
        <w:rPr>
          <w:rFonts w:hint="eastAsia" w:ascii="仿宋" w:hAnsi="仿宋" w:eastAsia="仿宋" w:cs="仿宋"/>
          <w:sz w:val="22"/>
          <w:szCs w:val="22"/>
          <w:u w:val="single"/>
        </w:rPr>
        <w:t xml:space="preserve">     （供应商名称）     </w:t>
      </w:r>
      <w:r>
        <w:rPr>
          <w:rFonts w:hint="eastAsia" w:ascii="仿宋" w:hAnsi="仿宋" w:eastAsia="仿宋" w:cs="仿宋"/>
          <w:sz w:val="22"/>
          <w:szCs w:val="22"/>
        </w:rPr>
        <w:t>就该项目进行竞争性磋商。</w:t>
      </w:r>
    </w:p>
    <w:p w14:paraId="3258FD9C">
      <w:pPr>
        <w:spacing w:line="540" w:lineRule="exact"/>
        <w:ind w:right="-99" w:rightChars="-47" w:firstLine="442" w:firstLineChars="200"/>
        <w:rPr>
          <w:rFonts w:hint="eastAsia" w:ascii="仿宋" w:hAnsi="仿宋" w:eastAsia="仿宋" w:cs="仿宋"/>
          <w:b/>
          <w:sz w:val="22"/>
          <w:szCs w:val="22"/>
        </w:rPr>
      </w:pPr>
      <w:r>
        <w:rPr>
          <w:rFonts w:hint="eastAsia" w:ascii="仿宋" w:hAnsi="仿宋" w:eastAsia="仿宋" w:cs="仿宋"/>
          <w:b/>
          <w:sz w:val="22"/>
          <w:szCs w:val="22"/>
        </w:rPr>
        <w:t>在此，我方郑重声明以下诸点，并负法律责任：</w:t>
      </w:r>
    </w:p>
    <w:p w14:paraId="5CBDD8B2">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1、我方提交的磋商响应文件一式</w:t>
      </w:r>
      <w:r>
        <w:rPr>
          <w:rFonts w:hint="eastAsia" w:ascii="仿宋" w:hAnsi="仿宋" w:eastAsia="仿宋" w:cs="仿宋"/>
          <w:sz w:val="22"/>
          <w:szCs w:val="22"/>
          <w:lang w:eastAsia="zh-CN"/>
        </w:rPr>
        <w:t>四</w:t>
      </w:r>
      <w:r>
        <w:rPr>
          <w:rFonts w:hint="eastAsia" w:ascii="仿宋" w:hAnsi="仿宋" w:eastAsia="仿宋" w:cs="仿宋"/>
          <w:sz w:val="22"/>
          <w:szCs w:val="22"/>
        </w:rPr>
        <w:t>份，正本一份，副本</w:t>
      </w:r>
      <w:r>
        <w:rPr>
          <w:rFonts w:hint="eastAsia" w:ascii="仿宋" w:hAnsi="仿宋" w:eastAsia="仿宋" w:cs="仿宋"/>
          <w:sz w:val="22"/>
          <w:szCs w:val="22"/>
          <w:lang w:eastAsia="zh-CN"/>
        </w:rPr>
        <w:t>二</w:t>
      </w:r>
      <w:r>
        <w:rPr>
          <w:rFonts w:hint="eastAsia" w:ascii="仿宋" w:hAnsi="仿宋" w:eastAsia="仿宋" w:cs="仿宋"/>
          <w:sz w:val="22"/>
          <w:szCs w:val="22"/>
        </w:rPr>
        <w:t>份，电子文件（U盘）一份。</w:t>
      </w:r>
    </w:p>
    <w:p w14:paraId="191946F1">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2、我方所附磋商报价表中应提交和交付的服务磋商</w:t>
      </w:r>
      <w:r>
        <w:rPr>
          <w:rFonts w:hint="eastAsia" w:ascii="仿宋" w:hAnsi="仿宋" w:eastAsia="仿宋" w:cs="仿宋"/>
          <w:sz w:val="22"/>
          <w:szCs w:val="22"/>
          <w:lang w:eastAsia="zh-CN"/>
        </w:rPr>
        <w:t>报价</w:t>
      </w:r>
      <w:r>
        <w:rPr>
          <w:rFonts w:hint="eastAsia" w:ascii="仿宋" w:hAnsi="仿宋" w:eastAsia="仿宋" w:cs="仿宋"/>
          <w:sz w:val="22"/>
          <w:szCs w:val="22"/>
        </w:rPr>
        <w:t>为</w:t>
      </w:r>
      <w:r>
        <w:rPr>
          <w:rFonts w:hint="eastAsia" w:ascii="仿宋" w:hAnsi="仿宋" w:eastAsia="仿宋" w:cs="仿宋"/>
          <w:sz w:val="22"/>
          <w:szCs w:val="22"/>
          <w:lang w:eastAsia="zh-CN"/>
        </w:rPr>
        <w:t>人民币</w:t>
      </w:r>
      <w:r>
        <w:rPr>
          <w:rFonts w:hint="eastAsia" w:ascii="仿宋" w:hAnsi="仿宋" w:eastAsia="仿宋" w:cs="仿宋"/>
          <w:sz w:val="22"/>
          <w:szCs w:val="22"/>
        </w:rPr>
        <w:t>：</w:t>
      </w:r>
      <w:r>
        <w:rPr>
          <w:rFonts w:hint="eastAsia" w:ascii="仿宋" w:hAnsi="仿宋" w:eastAsia="仿宋" w:cs="仿宋"/>
          <w:sz w:val="22"/>
          <w:szCs w:val="22"/>
          <w:u w:val="single"/>
        </w:rPr>
        <w:t>（同时用汉字大写和数字表示的磋商</w:t>
      </w:r>
      <w:r>
        <w:rPr>
          <w:rFonts w:hint="eastAsia" w:ascii="仿宋" w:hAnsi="仿宋" w:eastAsia="仿宋" w:cs="仿宋"/>
          <w:sz w:val="22"/>
          <w:szCs w:val="22"/>
          <w:u w:val="single"/>
          <w:lang w:eastAsia="zh-CN"/>
        </w:rPr>
        <w:t>报价</w:t>
      </w:r>
      <w:r>
        <w:rPr>
          <w:rFonts w:hint="eastAsia" w:ascii="仿宋" w:hAnsi="仿宋" w:eastAsia="仿宋" w:cs="仿宋"/>
          <w:sz w:val="22"/>
          <w:szCs w:val="22"/>
          <w:u w:val="single"/>
        </w:rPr>
        <w:t>）</w:t>
      </w:r>
      <w:r>
        <w:rPr>
          <w:rFonts w:hint="eastAsia" w:ascii="仿宋" w:hAnsi="仿宋" w:eastAsia="仿宋" w:cs="仿宋"/>
          <w:sz w:val="22"/>
          <w:szCs w:val="22"/>
        </w:rPr>
        <w:t>。该报价不受市场因素的影响。</w:t>
      </w:r>
    </w:p>
    <w:p w14:paraId="5E6AB04A">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3、我方已详细审查全部磋商文件，完全理解并同意放弃对这方面有不明及误解质疑、投诉的权力。</w:t>
      </w:r>
    </w:p>
    <w:p w14:paraId="26FB56D1">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4、我方完全理解并同意磋商文件中有关没收磋商保证金的条款。</w:t>
      </w:r>
    </w:p>
    <w:p w14:paraId="58180AA5">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5、我方同意按照要求提供磋商有关的一切数据或资料。</w:t>
      </w:r>
    </w:p>
    <w:p w14:paraId="4FEA46B1">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6、我方将按磋商文件的规定履行合同责任和义务。</w:t>
      </w:r>
    </w:p>
    <w:p w14:paraId="61E337B9">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7、我方完全理解最低报价不是成交的唯一条件，尊重评标委员会的评审结果，并同意放弃对这方面有不明及误解质疑的</w:t>
      </w:r>
      <w:r>
        <w:rPr>
          <w:rFonts w:hint="eastAsia" w:ascii="仿宋" w:hAnsi="仿宋" w:eastAsia="仿宋" w:cs="仿宋"/>
          <w:sz w:val="22"/>
          <w:szCs w:val="22"/>
          <w:lang w:eastAsia="zh-CN"/>
        </w:rPr>
        <w:t>权利</w:t>
      </w:r>
      <w:r>
        <w:rPr>
          <w:rFonts w:hint="eastAsia" w:ascii="仿宋" w:hAnsi="仿宋" w:eastAsia="仿宋" w:cs="仿宋"/>
          <w:sz w:val="22"/>
          <w:szCs w:val="22"/>
        </w:rPr>
        <w:t xml:space="preserve">。 </w:t>
      </w:r>
    </w:p>
    <w:p w14:paraId="0703D839">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8、我方同意按磋商文件规定，遵守贵方有关磋商的各项规定。</w:t>
      </w:r>
    </w:p>
    <w:p w14:paraId="13ABCED5">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9、磋商有效期为自磋商之日起</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个日历日。</w:t>
      </w:r>
    </w:p>
    <w:p w14:paraId="3D7F5EB1">
      <w:pPr>
        <w:spacing w:line="540" w:lineRule="exact"/>
        <w:ind w:right="-99" w:rightChars="-47"/>
        <w:rPr>
          <w:rFonts w:hint="eastAsia" w:ascii="仿宋" w:hAnsi="仿宋" w:eastAsia="仿宋" w:cs="仿宋"/>
          <w:sz w:val="22"/>
          <w:szCs w:val="22"/>
        </w:rPr>
      </w:pPr>
      <w:r>
        <w:rPr>
          <w:rFonts w:hint="eastAsia" w:ascii="仿宋" w:hAnsi="仿宋" w:eastAsia="仿宋" w:cs="仿宋"/>
          <w:sz w:val="22"/>
          <w:szCs w:val="22"/>
        </w:rPr>
        <w:t xml:space="preserve">    10、所有关于本项目的函电，请按下列地址联系：</w:t>
      </w:r>
    </w:p>
    <w:p w14:paraId="64AE3D8B">
      <w:pPr>
        <w:spacing w:line="600" w:lineRule="exact"/>
        <w:ind w:right="-99" w:rightChars="-47"/>
        <w:rPr>
          <w:rFonts w:hint="eastAsia" w:ascii="仿宋" w:hAnsi="仿宋" w:eastAsia="仿宋" w:cs="仿宋"/>
          <w:sz w:val="22"/>
          <w:szCs w:val="22"/>
          <w:u w:val="single"/>
        </w:rPr>
      </w:pPr>
      <w:r>
        <w:rPr>
          <w:rFonts w:hint="eastAsia" w:ascii="仿宋" w:hAnsi="仿宋" w:eastAsia="仿宋" w:cs="仿宋"/>
          <w:sz w:val="22"/>
          <w:szCs w:val="22"/>
        </w:rPr>
        <w:t xml:space="preserve">    供应商名称（公章）：</w:t>
      </w:r>
      <w:r>
        <w:rPr>
          <w:rFonts w:hint="eastAsia" w:ascii="仿宋" w:hAnsi="仿宋" w:eastAsia="仿宋" w:cs="仿宋"/>
          <w:sz w:val="22"/>
          <w:szCs w:val="22"/>
          <w:u w:val="single"/>
        </w:rPr>
        <w:t xml:space="preserve">                                </w:t>
      </w:r>
    </w:p>
    <w:p w14:paraId="5945E2B5">
      <w:pPr>
        <w:spacing w:line="600" w:lineRule="exact"/>
        <w:ind w:right="-99" w:rightChars="-47" w:firstLine="440" w:firstLineChars="200"/>
        <w:rPr>
          <w:rFonts w:hint="eastAsia" w:ascii="仿宋" w:hAnsi="仿宋" w:eastAsia="仿宋" w:cs="仿宋"/>
          <w:sz w:val="22"/>
          <w:szCs w:val="22"/>
          <w:u w:val="single"/>
        </w:rPr>
      </w:pPr>
      <w:r>
        <w:rPr>
          <w:rFonts w:hint="eastAsia" w:ascii="仿宋" w:hAnsi="仿宋" w:eastAsia="仿宋" w:cs="仿宋"/>
          <w:sz w:val="22"/>
          <w:szCs w:val="22"/>
        </w:rPr>
        <w:t>详 细 地 址：</w:t>
      </w:r>
      <w:r>
        <w:rPr>
          <w:rFonts w:hint="eastAsia" w:ascii="仿宋" w:hAnsi="仿宋" w:eastAsia="仿宋" w:cs="仿宋"/>
          <w:sz w:val="22"/>
          <w:szCs w:val="22"/>
          <w:u w:val="single"/>
        </w:rPr>
        <w:t xml:space="preserve">                                      </w:t>
      </w:r>
    </w:p>
    <w:p w14:paraId="1E499285">
      <w:pPr>
        <w:tabs>
          <w:tab w:val="left" w:pos="360"/>
        </w:tabs>
        <w:spacing w:line="600" w:lineRule="exact"/>
        <w:ind w:right="-99" w:rightChars="-47" w:firstLine="440" w:firstLineChars="200"/>
        <w:rPr>
          <w:rFonts w:hint="eastAsia" w:ascii="仿宋" w:hAnsi="仿宋" w:eastAsia="仿宋" w:cs="仿宋"/>
          <w:sz w:val="22"/>
          <w:szCs w:val="22"/>
          <w:u w:val="single"/>
        </w:rPr>
      </w:pPr>
      <w:r>
        <w:rPr>
          <w:rFonts w:hint="eastAsia" w:ascii="仿宋" w:hAnsi="仿宋" w:eastAsia="仿宋" w:cs="仿宋"/>
          <w:sz w:val="22"/>
          <w:szCs w:val="22"/>
        </w:rPr>
        <w:t>邮 政 编 码：</w:t>
      </w:r>
      <w:r>
        <w:rPr>
          <w:rFonts w:hint="eastAsia" w:ascii="仿宋" w:hAnsi="仿宋" w:eastAsia="仿宋" w:cs="仿宋"/>
          <w:sz w:val="22"/>
          <w:szCs w:val="22"/>
          <w:u w:val="single"/>
        </w:rPr>
        <w:t xml:space="preserve">                   </w:t>
      </w:r>
    </w:p>
    <w:p w14:paraId="482559DB">
      <w:pPr>
        <w:autoSpaceDE w:val="0"/>
        <w:autoSpaceDN w:val="0"/>
        <w:adjustRightInd w:val="0"/>
        <w:spacing w:line="600" w:lineRule="exact"/>
        <w:ind w:right="-99" w:rightChars="-47" w:firstLine="440" w:firstLineChars="200"/>
        <w:rPr>
          <w:rFonts w:hint="eastAsia" w:ascii="仿宋" w:hAnsi="仿宋" w:eastAsia="仿宋" w:cs="仿宋"/>
          <w:sz w:val="22"/>
          <w:szCs w:val="22"/>
          <w:u w:val="single"/>
          <w:lang w:val="zh-CN"/>
        </w:rPr>
      </w:pPr>
      <w:r>
        <w:rPr>
          <w:rFonts w:hint="eastAsia" w:ascii="仿宋" w:hAnsi="仿宋" w:eastAsia="仿宋" w:cs="仿宋"/>
          <w:sz w:val="22"/>
          <w:szCs w:val="22"/>
          <w:lang w:val="zh-CN"/>
        </w:rPr>
        <w:t>电       话：</w:t>
      </w:r>
      <w:r>
        <w:rPr>
          <w:rFonts w:hint="eastAsia" w:ascii="仿宋" w:hAnsi="仿宋" w:eastAsia="仿宋" w:cs="仿宋"/>
          <w:sz w:val="22"/>
          <w:szCs w:val="22"/>
          <w:u w:val="single"/>
          <w:lang w:val="zh-CN"/>
        </w:rPr>
        <w:t xml:space="preserve">                   </w:t>
      </w:r>
    </w:p>
    <w:p w14:paraId="62DA34AA">
      <w:pPr>
        <w:autoSpaceDE w:val="0"/>
        <w:autoSpaceDN w:val="0"/>
        <w:adjustRightInd w:val="0"/>
        <w:spacing w:line="600" w:lineRule="exact"/>
        <w:ind w:right="-99" w:rightChars="-47" w:firstLine="440" w:firstLineChars="200"/>
        <w:rPr>
          <w:rFonts w:hint="eastAsia" w:ascii="仿宋" w:hAnsi="仿宋" w:eastAsia="仿宋" w:cs="仿宋"/>
          <w:sz w:val="22"/>
          <w:szCs w:val="22"/>
          <w:lang w:val="zh-CN"/>
        </w:rPr>
      </w:pPr>
      <w:r>
        <w:rPr>
          <w:rFonts w:hint="eastAsia" w:ascii="仿宋" w:hAnsi="仿宋" w:eastAsia="仿宋" w:cs="仿宋"/>
          <w:sz w:val="22"/>
          <w:szCs w:val="22"/>
          <w:lang w:val="zh-CN"/>
        </w:rPr>
        <w:t>传       真：</w:t>
      </w:r>
      <w:r>
        <w:rPr>
          <w:rFonts w:hint="eastAsia" w:ascii="仿宋" w:hAnsi="仿宋" w:eastAsia="仿宋" w:cs="仿宋"/>
          <w:sz w:val="22"/>
          <w:szCs w:val="22"/>
          <w:u w:val="single"/>
          <w:lang w:val="zh-CN"/>
        </w:rPr>
        <w:t xml:space="preserve">                   </w:t>
      </w:r>
    </w:p>
    <w:p w14:paraId="225897DE">
      <w:pPr>
        <w:tabs>
          <w:tab w:val="left" w:pos="360"/>
        </w:tabs>
        <w:spacing w:line="60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电 子 邮 件：</w:t>
      </w:r>
      <w:r>
        <w:rPr>
          <w:rFonts w:hint="eastAsia" w:ascii="仿宋" w:hAnsi="仿宋" w:eastAsia="仿宋" w:cs="仿宋"/>
          <w:sz w:val="22"/>
          <w:szCs w:val="22"/>
          <w:u w:val="single"/>
        </w:rPr>
        <w:t xml:space="preserve">                   </w:t>
      </w:r>
    </w:p>
    <w:p w14:paraId="36A8AA30">
      <w:pPr>
        <w:autoSpaceDE w:val="0"/>
        <w:autoSpaceDN w:val="0"/>
        <w:adjustRightInd w:val="0"/>
        <w:spacing w:line="600" w:lineRule="exact"/>
        <w:ind w:right="-99" w:rightChars="-47" w:firstLine="440" w:firstLineChars="200"/>
        <w:rPr>
          <w:rFonts w:hint="eastAsia" w:ascii="仿宋" w:hAnsi="仿宋" w:eastAsia="仿宋" w:cs="仿宋"/>
          <w:sz w:val="22"/>
          <w:szCs w:val="22"/>
          <w:u w:val="single"/>
          <w:lang w:val="zh-CN"/>
        </w:rPr>
      </w:pPr>
      <w:r>
        <w:rPr>
          <w:rFonts w:hint="eastAsia" w:ascii="仿宋" w:hAnsi="仿宋" w:eastAsia="仿宋" w:cs="仿宋"/>
          <w:sz w:val="22"/>
          <w:szCs w:val="22"/>
          <w:lang w:val="zh-CN"/>
        </w:rPr>
        <w:t>开 户 银 行：</w:t>
      </w:r>
      <w:r>
        <w:rPr>
          <w:rFonts w:hint="eastAsia" w:ascii="仿宋" w:hAnsi="仿宋" w:eastAsia="仿宋" w:cs="仿宋"/>
          <w:sz w:val="22"/>
          <w:szCs w:val="22"/>
          <w:u w:val="single"/>
          <w:lang w:val="zh-CN"/>
        </w:rPr>
        <w:t xml:space="preserve">                   </w:t>
      </w:r>
    </w:p>
    <w:p w14:paraId="2FCE6A7B">
      <w:pPr>
        <w:autoSpaceDE w:val="0"/>
        <w:autoSpaceDN w:val="0"/>
        <w:adjustRightInd w:val="0"/>
        <w:spacing w:line="600" w:lineRule="exact"/>
        <w:ind w:right="-99" w:rightChars="-47" w:firstLine="440" w:firstLineChars="200"/>
        <w:rPr>
          <w:rFonts w:hint="eastAsia" w:ascii="仿宋" w:hAnsi="仿宋" w:eastAsia="仿宋" w:cs="仿宋"/>
          <w:sz w:val="22"/>
          <w:szCs w:val="22"/>
          <w:lang w:val="zh-CN"/>
        </w:rPr>
      </w:pPr>
      <w:r>
        <w:rPr>
          <w:rFonts w:hint="eastAsia" w:ascii="仿宋" w:hAnsi="仿宋" w:eastAsia="仿宋" w:cs="仿宋"/>
          <w:sz w:val="22"/>
          <w:szCs w:val="22"/>
          <w:lang w:val="zh-CN"/>
        </w:rPr>
        <w:t>帐       号：</w:t>
      </w:r>
      <w:r>
        <w:rPr>
          <w:rFonts w:hint="eastAsia" w:ascii="仿宋" w:hAnsi="仿宋" w:eastAsia="仿宋" w:cs="仿宋"/>
          <w:sz w:val="22"/>
          <w:szCs w:val="22"/>
          <w:u w:val="single"/>
          <w:lang w:val="zh-CN"/>
        </w:rPr>
        <w:t xml:space="preserve">                   </w:t>
      </w:r>
    </w:p>
    <w:p w14:paraId="5D04D1DD">
      <w:pPr>
        <w:autoSpaceDE w:val="0"/>
        <w:autoSpaceDN w:val="0"/>
        <w:adjustRightInd w:val="0"/>
        <w:spacing w:line="480" w:lineRule="exact"/>
        <w:ind w:right="-99" w:rightChars="-47" w:hanging="600"/>
        <w:rPr>
          <w:rFonts w:hint="eastAsia" w:ascii="仿宋" w:hAnsi="仿宋" w:eastAsia="仿宋" w:cs="仿宋"/>
          <w:sz w:val="22"/>
          <w:szCs w:val="22"/>
          <w:lang w:val="zh-CN"/>
        </w:rPr>
      </w:pPr>
      <w:r>
        <w:rPr>
          <w:rFonts w:hint="eastAsia" w:ascii="仿宋" w:hAnsi="仿宋" w:eastAsia="仿宋" w:cs="仿宋"/>
          <w:sz w:val="22"/>
          <w:szCs w:val="22"/>
          <w:lang w:val="zh-CN"/>
        </w:rPr>
        <w:t xml:space="preserve">             </w:t>
      </w:r>
    </w:p>
    <w:p w14:paraId="0BAC7A07">
      <w:pPr>
        <w:autoSpaceDE w:val="0"/>
        <w:autoSpaceDN w:val="0"/>
        <w:adjustRightInd w:val="0"/>
        <w:spacing w:line="480" w:lineRule="exact"/>
        <w:ind w:right="-99" w:rightChars="-47" w:hanging="600"/>
        <w:rPr>
          <w:rFonts w:hint="eastAsia" w:ascii="仿宋" w:hAnsi="仿宋" w:eastAsia="仿宋" w:cs="仿宋"/>
          <w:sz w:val="22"/>
          <w:szCs w:val="22"/>
          <w:lang w:val="zh-CN"/>
        </w:rPr>
      </w:pPr>
    </w:p>
    <w:p w14:paraId="683F662F">
      <w:pPr>
        <w:autoSpaceDE w:val="0"/>
        <w:autoSpaceDN w:val="0"/>
        <w:adjustRightInd w:val="0"/>
        <w:spacing w:line="480" w:lineRule="exact"/>
        <w:ind w:right="-99" w:rightChars="-47" w:hanging="600"/>
        <w:rPr>
          <w:rFonts w:hint="eastAsia" w:ascii="仿宋" w:hAnsi="仿宋" w:eastAsia="仿宋" w:cs="仿宋"/>
          <w:sz w:val="22"/>
          <w:szCs w:val="22"/>
          <w:lang w:val="zh-CN"/>
        </w:rPr>
      </w:pPr>
    </w:p>
    <w:p w14:paraId="6B287CDA">
      <w:pPr>
        <w:autoSpaceDE w:val="0"/>
        <w:autoSpaceDN w:val="0"/>
        <w:adjustRightInd w:val="0"/>
        <w:spacing w:line="480" w:lineRule="exact"/>
        <w:ind w:right="-99" w:rightChars="-47" w:hanging="600"/>
        <w:rPr>
          <w:rFonts w:hint="eastAsia" w:ascii="仿宋" w:hAnsi="仿宋" w:eastAsia="仿宋" w:cs="仿宋"/>
          <w:sz w:val="22"/>
          <w:szCs w:val="22"/>
          <w:lang w:val="zh-CN"/>
        </w:rPr>
      </w:pPr>
    </w:p>
    <w:p w14:paraId="7F2EA6E6">
      <w:pPr>
        <w:autoSpaceDE w:val="0"/>
        <w:autoSpaceDN w:val="0"/>
        <w:adjustRightInd w:val="0"/>
        <w:spacing w:line="480" w:lineRule="exact"/>
        <w:ind w:right="-99" w:rightChars="-47" w:hanging="600"/>
        <w:rPr>
          <w:rFonts w:hint="eastAsia" w:ascii="仿宋" w:hAnsi="仿宋" w:eastAsia="仿宋" w:cs="仿宋"/>
          <w:sz w:val="22"/>
          <w:szCs w:val="22"/>
          <w:lang w:val="zh-CN"/>
        </w:rPr>
      </w:pPr>
    </w:p>
    <w:p w14:paraId="1CB2A0D0">
      <w:pPr>
        <w:autoSpaceDE w:val="0"/>
        <w:autoSpaceDN w:val="0"/>
        <w:adjustRightInd w:val="0"/>
        <w:spacing w:line="480" w:lineRule="exact"/>
        <w:ind w:right="-99" w:rightChars="-47"/>
        <w:rPr>
          <w:rFonts w:hint="eastAsia" w:ascii="仿宋" w:hAnsi="仿宋" w:eastAsia="仿宋" w:cs="仿宋"/>
          <w:sz w:val="22"/>
          <w:szCs w:val="22"/>
          <w:lang w:val="zh-CN"/>
        </w:rPr>
      </w:pPr>
    </w:p>
    <w:p w14:paraId="36CA60FA">
      <w:pPr>
        <w:tabs>
          <w:tab w:val="left" w:pos="7492"/>
        </w:tabs>
        <w:autoSpaceDE w:val="0"/>
        <w:autoSpaceDN w:val="0"/>
        <w:adjustRightInd w:val="0"/>
        <w:spacing w:line="480" w:lineRule="exact"/>
        <w:ind w:right="-99" w:rightChars="-47"/>
        <w:rPr>
          <w:rFonts w:hint="eastAsia" w:ascii="仿宋" w:hAnsi="仿宋" w:eastAsia="仿宋" w:cs="仿宋"/>
          <w:sz w:val="22"/>
          <w:szCs w:val="22"/>
          <w:lang w:val="zh-CN"/>
        </w:rPr>
      </w:pPr>
      <w:r>
        <w:rPr>
          <w:rFonts w:hint="eastAsia" w:ascii="仿宋" w:hAnsi="仿宋" w:eastAsia="仿宋" w:cs="仿宋"/>
          <w:sz w:val="22"/>
          <w:szCs w:val="22"/>
          <w:lang w:val="zh-CN"/>
        </w:rPr>
        <w:tab/>
      </w:r>
    </w:p>
    <w:p w14:paraId="2CE724C3">
      <w:pPr>
        <w:autoSpaceDE w:val="0"/>
        <w:autoSpaceDN w:val="0"/>
        <w:adjustRightInd w:val="0"/>
        <w:spacing w:line="480" w:lineRule="exact"/>
        <w:ind w:right="-99" w:rightChars="-47" w:firstLine="3080" w:firstLineChars="1400"/>
        <w:rPr>
          <w:rFonts w:hint="eastAsia" w:ascii="仿宋" w:hAnsi="仿宋" w:eastAsia="仿宋" w:cs="仿宋"/>
          <w:sz w:val="22"/>
          <w:szCs w:val="22"/>
        </w:rPr>
      </w:pPr>
      <w:r>
        <w:rPr>
          <w:rFonts w:hint="eastAsia" w:ascii="仿宋" w:hAnsi="仿宋" w:eastAsia="仿宋" w:cs="仿宋"/>
          <w:sz w:val="22"/>
          <w:szCs w:val="22"/>
          <w:lang w:val="zh-CN" w:eastAsia="zh-CN"/>
        </w:rPr>
        <w:t>法定代表人或授权代表</w:t>
      </w:r>
      <w:r>
        <w:rPr>
          <w:rFonts w:hint="eastAsia" w:ascii="仿宋" w:hAnsi="仿宋" w:eastAsia="仿宋" w:cs="仿宋"/>
          <w:sz w:val="22"/>
          <w:szCs w:val="22"/>
          <w:lang w:val="zh-CN"/>
        </w:rPr>
        <w:t>签名：</w:t>
      </w:r>
      <w:r>
        <w:rPr>
          <w:rFonts w:hint="eastAsia" w:ascii="仿宋" w:hAnsi="仿宋" w:eastAsia="仿宋" w:cs="仿宋"/>
          <w:sz w:val="22"/>
          <w:szCs w:val="22"/>
          <w:u w:val="single"/>
        </w:rPr>
        <w:t xml:space="preserve">               </w:t>
      </w:r>
    </w:p>
    <w:p w14:paraId="32A1DD6F">
      <w:pPr>
        <w:autoSpaceDE w:val="0"/>
        <w:autoSpaceDN w:val="0"/>
        <w:adjustRightInd w:val="0"/>
        <w:spacing w:line="480" w:lineRule="exact"/>
        <w:ind w:right="-99" w:rightChars="-47" w:firstLine="4290" w:firstLineChars="1950"/>
        <w:rPr>
          <w:rFonts w:hint="eastAsia" w:ascii="仿宋" w:hAnsi="仿宋" w:eastAsia="仿宋" w:cs="仿宋"/>
          <w:sz w:val="22"/>
          <w:szCs w:val="22"/>
          <w:u w:val="single"/>
          <w:lang w:val="zh-CN"/>
        </w:rPr>
      </w:pPr>
      <w:r>
        <w:rPr>
          <w:rFonts w:hint="eastAsia" w:ascii="仿宋" w:hAnsi="仿宋" w:eastAsia="仿宋" w:cs="仿宋"/>
          <w:sz w:val="22"/>
          <w:szCs w:val="22"/>
          <w:lang w:val="zh-CN"/>
        </w:rPr>
        <w:t>联系电话/手机：</w:t>
      </w:r>
      <w:r>
        <w:rPr>
          <w:rFonts w:hint="eastAsia" w:ascii="仿宋" w:hAnsi="仿宋" w:eastAsia="仿宋" w:cs="仿宋"/>
          <w:sz w:val="22"/>
          <w:szCs w:val="22"/>
          <w:u w:val="single"/>
          <w:lang w:val="zh-CN"/>
        </w:rPr>
        <w:t xml:space="preserve">               </w:t>
      </w:r>
      <w:r>
        <w:rPr>
          <w:rFonts w:hint="eastAsia" w:ascii="仿宋" w:hAnsi="仿宋" w:eastAsia="仿宋" w:cs="仿宋"/>
          <w:sz w:val="22"/>
          <w:szCs w:val="22"/>
        </w:rPr>
        <w:t xml:space="preserve">  </w:t>
      </w:r>
    </w:p>
    <w:p w14:paraId="174C8765">
      <w:pPr>
        <w:spacing w:line="480" w:lineRule="exact"/>
        <w:ind w:right="-99" w:rightChars="-47"/>
        <w:jc w:val="center"/>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0F3A2259">
      <w:pPr>
        <w:spacing w:line="480" w:lineRule="exact"/>
        <w:ind w:right="-99" w:rightChars="-47"/>
        <w:jc w:val="center"/>
        <w:rPr>
          <w:rFonts w:hint="eastAsia" w:ascii="仿宋" w:hAnsi="仿宋" w:eastAsia="仿宋" w:cs="仿宋"/>
          <w:sz w:val="22"/>
          <w:szCs w:val="22"/>
        </w:rPr>
        <w:sectPr>
          <w:pgSz w:w="11907" w:h="16840"/>
          <w:pgMar w:top="1440" w:right="1803" w:bottom="1440" w:left="1803" w:header="907" w:footer="654" w:gutter="0"/>
          <w:pgNumType w:fmt="decimal"/>
          <w:cols w:space="720" w:num="1"/>
          <w:docGrid w:linePitch="312" w:charSpace="0"/>
        </w:sectPr>
      </w:pPr>
    </w:p>
    <w:p w14:paraId="16951BF4">
      <w:pPr>
        <w:pStyle w:val="2"/>
        <w:spacing w:line="240" w:lineRule="auto"/>
        <w:rPr>
          <w:rFonts w:hint="eastAsia" w:ascii="仿宋" w:hAnsi="仿宋" w:eastAsia="仿宋" w:cs="仿宋"/>
          <w:sz w:val="24"/>
        </w:rPr>
      </w:pPr>
      <w:bookmarkStart w:id="231" w:name="_Toc193126882"/>
      <w:bookmarkStart w:id="232" w:name="_Toc194663919"/>
      <w:bookmarkStart w:id="233" w:name="_Toc188808834"/>
      <w:bookmarkStart w:id="234" w:name="_Toc193187098"/>
      <w:r>
        <w:rPr>
          <w:rFonts w:hint="eastAsia" w:ascii="仿宋" w:hAnsi="仿宋" w:eastAsia="仿宋" w:cs="仿宋"/>
          <w:sz w:val="28"/>
          <w:szCs w:val="28"/>
        </w:rPr>
        <w:t>2-1、磋商报价一览表（格式）</w:t>
      </w:r>
      <w:bookmarkEnd w:id="231"/>
      <w:bookmarkEnd w:id="232"/>
      <w:bookmarkEnd w:id="233"/>
      <w:bookmarkEnd w:id="234"/>
      <w:r>
        <w:rPr>
          <w:rFonts w:hint="eastAsia" w:ascii="仿宋" w:hAnsi="仿宋" w:eastAsia="仿宋" w:cs="仿宋"/>
          <w:sz w:val="28"/>
          <w:szCs w:val="28"/>
        </w:rPr>
        <w:t xml:space="preserve">                                                               </w:t>
      </w:r>
    </w:p>
    <w:p w14:paraId="4D22A33F">
      <w:pPr>
        <w:spacing w:line="480" w:lineRule="exact"/>
        <w:ind w:left="210" w:leftChars="100" w:right="-99" w:rightChars="-47"/>
        <w:jc w:val="center"/>
        <w:rPr>
          <w:rFonts w:hint="eastAsia" w:ascii="仿宋" w:hAnsi="仿宋" w:eastAsia="仿宋" w:cs="仿宋"/>
          <w:b/>
          <w:bCs/>
          <w:sz w:val="36"/>
          <w:szCs w:val="21"/>
        </w:rPr>
      </w:pPr>
      <w:r>
        <w:rPr>
          <w:rFonts w:hint="eastAsia" w:ascii="仿宋" w:hAnsi="仿宋" w:eastAsia="仿宋" w:cs="仿宋"/>
          <w:b/>
          <w:bCs/>
          <w:sz w:val="36"/>
          <w:szCs w:val="36"/>
        </w:rPr>
        <w:t>磋商报价一览表</w:t>
      </w:r>
    </w:p>
    <w:p w14:paraId="32203BFA">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 xml:space="preserve">                                                                      </w:t>
      </w:r>
    </w:p>
    <w:tbl>
      <w:tblPr>
        <w:tblStyle w:val="44"/>
        <w:tblW w:w="146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48"/>
        <w:gridCol w:w="4399"/>
        <w:gridCol w:w="4460"/>
        <w:gridCol w:w="2792"/>
      </w:tblGrid>
      <w:tr w14:paraId="36FCDD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3048" w:type="dxa"/>
            <w:vAlign w:val="center"/>
          </w:tcPr>
          <w:p w14:paraId="03BC9029">
            <w:pPr>
              <w:keepNext w:val="0"/>
              <w:keepLines w:val="0"/>
              <w:suppressLineNumbers w:val="0"/>
              <w:spacing w:before="0" w:beforeAutospacing="0" w:after="0" w:afterAutospacing="0" w:line="540" w:lineRule="exact"/>
              <w:ind w:left="0" w:right="-99" w:rightChars="-47"/>
              <w:jc w:val="center"/>
              <w:rPr>
                <w:rFonts w:hint="eastAsia" w:ascii="仿宋" w:hAnsi="仿宋" w:eastAsia="仿宋" w:cs="仿宋"/>
                <w:b/>
                <w:bCs/>
                <w:sz w:val="22"/>
                <w:szCs w:val="22"/>
              </w:rPr>
            </w:pPr>
            <w:r>
              <w:rPr>
                <w:rFonts w:hint="eastAsia" w:ascii="仿宋" w:hAnsi="仿宋" w:eastAsia="仿宋" w:cs="仿宋"/>
                <w:b/>
                <w:bCs/>
                <w:sz w:val="22"/>
                <w:szCs w:val="22"/>
              </w:rPr>
              <w:t>项目编号</w:t>
            </w:r>
          </w:p>
        </w:tc>
        <w:tc>
          <w:tcPr>
            <w:tcW w:w="4399" w:type="dxa"/>
            <w:vAlign w:val="center"/>
          </w:tcPr>
          <w:p w14:paraId="5AD85644">
            <w:pPr>
              <w:keepNext w:val="0"/>
              <w:keepLines w:val="0"/>
              <w:suppressLineNumbers w:val="0"/>
              <w:spacing w:before="0" w:beforeAutospacing="0" w:after="0" w:afterAutospacing="0" w:line="540" w:lineRule="exact"/>
              <w:ind w:left="0" w:leftChars="0" w:right="-99" w:rightChars="-47"/>
              <w:jc w:val="center"/>
              <w:rPr>
                <w:rFonts w:hint="eastAsia" w:ascii="仿宋" w:hAnsi="仿宋" w:eastAsia="仿宋" w:cs="仿宋"/>
                <w:b/>
                <w:bCs/>
                <w:sz w:val="22"/>
                <w:szCs w:val="22"/>
              </w:rPr>
            </w:pPr>
            <w:r>
              <w:rPr>
                <w:rFonts w:hint="eastAsia" w:ascii="仿宋" w:hAnsi="仿宋" w:eastAsia="仿宋" w:cs="仿宋"/>
                <w:b/>
                <w:bCs/>
                <w:sz w:val="22"/>
                <w:szCs w:val="22"/>
              </w:rPr>
              <w:t>磋商报价</w:t>
            </w:r>
          </w:p>
        </w:tc>
        <w:tc>
          <w:tcPr>
            <w:tcW w:w="4460" w:type="dxa"/>
            <w:vAlign w:val="center"/>
          </w:tcPr>
          <w:p w14:paraId="2E566616">
            <w:pPr>
              <w:keepNext w:val="0"/>
              <w:keepLines w:val="0"/>
              <w:suppressLineNumbers w:val="0"/>
              <w:spacing w:before="0" w:beforeAutospacing="0" w:after="0" w:afterAutospacing="0" w:line="540" w:lineRule="exact"/>
              <w:ind w:left="0" w:right="-99" w:rightChars="-47"/>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服务期</w:t>
            </w:r>
          </w:p>
        </w:tc>
        <w:tc>
          <w:tcPr>
            <w:tcW w:w="2792" w:type="dxa"/>
            <w:vAlign w:val="center"/>
          </w:tcPr>
          <w:p w14:paraId="2CC66563">
            <w:pPr>
              <w:keepNext w:val="0"/>
              <w:keepLines w:val="0"/>
              <w:suppressLineNumbers w:val="0"/>
              <w:spacing w:before="0" w:beforeAutospacing="0" w:after="0" w:afterAutospacing="0" w:line="540" w:lineRule="exact"/>
              <w:ind w:left="0" w:right="-99" w:rightChars="-47"/>
              <w:jc w:val="center"/>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质量</w:t>
            </w:r>
          </w:p>
        </w:tc>
      </w:tr>
      <w:tr w14:paraId="094E16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3048" w:type="dxa"/>
            <w:vMerge w:val="restart"/>
            <w:vAlign w:val="center"/>
          </w:tcPr>
          <w:p w14:paraId="74E9E4F4">
            <w:pPr>
              <w:keepNext w:val="0"/>
              <w:keepLines w:val="0"/>
              <w:suppressLineNumbers w:val="0"/>
              <w:spacing w:before="0" w:beforeAutospacing="0" w:after="0" w:afterAutospacing="0" w:line="540" w:lineRule="exact"/>
              <w:ind w:left="0" w:right="-99" w:rightChars="-47"/>
              <w:jc w:val="center"/>
              <w:rPr>
                <w:rFonts w:hint="eastAsia" w:ascii="仿宋" w:hAnsi="仿宋" w:eastAsia="仿宋" w:cs="仿宋"/>
                <w:sz w:val="22"/>
                <w:szCs w:val="22"/>
                <w:lang w:eastAsia="zh-CN"/>
              </w:rPr>
            </w:pPr>
            <w:r>
              <w:rPr>
                <w:rFonts w:hint="eastAsia" w:ascii="仿宋" w:hAnsi="仿宋" w:eastAsia="仿宋" w:cs="仿宋"/>
                <w:b/>
                <w:bCs/>
                <w:sz w:val="22"/>
                <w:szCs w:val="22"/>
                <w:lang w:eastAsia="zh-CN"/>
              </w:rPr>
              <w:t>SJR2025-ZC0103</w:t>
            </w:r>
          </w:p>
        </w:tc>
        <w:tc>
          <w:tcPr>
            <w:tcW w:w="4399" w:type="dxa"/>
            <w:vAlign w:val="center"/>
          </w:tcPr>
          <w:p w14:paraId="5C20E9AD">
            <w:pPr>
              <w:keepNext w:val="0"/>
              <w:keepLines w:val="0"/>
              <w:suppressLineNumbers w:val="0"/>
              <w:spacing w:before="0" w:beforeAutospacing="0" w:after="0" w:afterAutospacing="0" w:line="540" w:lineRule="exact"/>
              <w:ind w:left="0" w:leftChars="0" w:right="-99" w:rightChars="-47" w:firstLine="440" w:firstLineChars="200"/>
              <w:jc w:val="center"/>
              <w:rPr>
                <w:rFonts w:hint="eastAsia" w:ascii="仿宋" w:hAnsi="仿宋" w:eastAsia="仿宋" w:cs="仿宋"/>
                <w:sz w:val="22"/>
                <w:szCs w:val="22"/>
                <w:lang w:val="en-US" w:eastAsia="zh-CN"/>
              </w:rPr>
            </w:pPr>
          </w:p>
        </w:tc>
        <w:tc>
          <w:tcPr>
            <w:tcW w:w="4460" w:type="dxa"/>
          </w:tcPr>
          <w:p w14:paraId="5B69F0DB">
            <w:pPr>
              <w:keepNext w:val="0"/>
              <w:keepLines w:val="0"/>
              <w:suppressLineNumbers w:val="0"/>
              <w:spacing w:before="0" w:beforeAutospacing="0" w:after="0" w:afterAutospacing="0" w:line="540" w:lineRule="exact"/>
              <w:ind w:left="0" w:right="-99" w:rightChars="-47" w:firstLine="440" w:firstLineChars="200"/>
              <w:jc w:val="center"/>
              <w:rPr>
                <w:rFonts w:hint="eastAsia" w:ascii="仿宋" w:hAnsi="仿宋" w:eastAsia="仿宋" w:cs="仿宋"/>
                <w:sz w:val="22"/>
                <w:szCs w:val="22"/>
              </w:rPr>
            </w:pPr>
          </w:p>
        </w:tc>
        <w:tc>
          <w:tcPr>
            <w:tcW w:w="2792" w:type="dxa"/>
            <w:vAlign w:val="center"/>
          </w:tcPr>
          <w:p w14:paraId="777FF477">
            <w:pPr>
              <w:keepNext w:val="0"/>
              <w:keepLines w:val="0"/>
              <w:suppressLineNumbers w:val="0"/>
              <w:spacing w:before="0" w:beforeAutospacing="0" w:after="0" w:afterAutospacing="0" w:line="540" w:lineRule="exact"/>
              <w:ind w:left="0" w:right="-99" w:rightChars="-47"/>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合格</w:t>
            </w:r>
          </w:p>
        </w:tc>
      </w:tr>
      <w:tr w14:paraId="104BF1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48" w:type="dxa"/>
            <w:vMerge w:val="continue"/>
            <w:tcMar>
              <w:top w:w="57" w:type="dxa"/>
              <w:left w:w="28" w:type="dxa"/>
              <w:bottom w:w="57" w:type="dxa"/>
              <w:right w:w="28" w:type="dxa"/>
            </w:tcMar>
            <w:vAlign w:val="center"/>
          </w:tcPr>
          <w:p w14:paraId="4EBFF3B2">
            <w:pPr>
              <w:keepNext w:val="0"/>
              <w:keepLines w:val="0"/>
              <w:suppressLineNumbers w:val="0"/>
              <w:spacing w:before="0" w:beforeAutospacing="0" w:after="0" w:afterAutospacing="0" w:line="540" w:lineRule="exact"/>
              <w:ind w:left="0" w:right="-99" w:rightChars="-47" w:firstLine="440" w:firstLineChars="200"/>
              <w:jc w:val="center"/>
              <w:rPr>
                <w:rFonts w:hint="eastAsia" w:ascii="仿宋" w:hAnsi="仿宋" w:eastAsia="仿宋" w:cs="仿宋"/>
                <w:sz w:val="22"/>
                <w:szCs w:val="22"/>
              </w:rPr>
            </w:pPr>
          </w:p>
        </w:tc>
        <w:tc>
          <w:tcPr>
            <w:tcW w:w="11651" w:type="dxa"/>
            <w:gridSpan w:val="3"/>
          </w:tcPr>
          <w:p w14:paraId="0421C5C2">
            <w:pPr>
              <w:keepNext w:val="0"/>
              <w:keepLines w:val="0"/>
              <w:suppressLineNumbers w:val="0"/>
              <w:spacing w:before="0" w:beforeAutospacing="0" w:after="0" w:afterAutospacing="0" w:line="540" w:lineRule="exact"/>
              <w:ind w:left="0" w:right="-99" w:rightChars="-47"/>
              <w:jc w:val="left"/>
              <w:rPr>
                <w:rFonts w:hint="eastAsia" w:ascii="仿宋" w:hAnsi="仿宋" w:eastAsia="仿宋" w:cs="仿宋"/>
                <w:sz w:val="22"/>
                <w:szCs w:val="22"/>
              </w:rPr>
            </w:pPr>
            <w:r>
              <w:rPr>
                <w:rFonts w:hint="eastAsia" w:ascii="仿宋" w:hAnsi="仿宋" w:eastAsia="仿宋" w:cs="仿宋"/>
                <w:sz w:val="22"/>
                <w:szCs w:val="22"/>
              </w:rPr>
              <w:t>（大写）</w:t>
            </w:r>
          </w:p>
        </w:tc>
      </w:tr>
    </w:tbl>
    <w:p w14:paraId="7F63F66D">
      <w:pPr>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 xml:space="preserve"> 注：1、本表价格应按磋商总价填写，同时应保证磋商响应文件的正、副本中仍有此表且一致</w:t>
      </w:r>
      <w:r>
        <w:rPr>
          <w:rFonts w:hint="eastAsia" w:ascii="仿宋" w:hAnsi="仿宋" w:eastAsia="仿宋" w:cs="仿宋"/>
          <w:sz w:val="22"/>
          <w:szCs w:val="22"/>
          <w:lang w:eastAsia="zh-CN"/>
        </w:rPr>
        <w:t>；</w:t>
      </w:r>
      <w:r>
        <w:rPr>
          <w:rFonts w:hint="eastAsia" w:ascii="仿宋" w:hAnsi="仿宋" w:eastAsia="仿宋" w:cs="仿宋"/>
          <w:sz w:val="22"/>
          <w:szCs w:val="22"/>
        </w:rPr>
        <w:t>2、此表中任何信息与响应文件其他处不一致时以此表为准</w:t>
      </w:r>
      <w:r>
        <w:rPr>
          <w:rFonts w:hint="eastAsia" w:ascii="仿宋" w:hAnsi="仿宋" w:eastAsia="仿宋" w:cs="仿宋"/>
          <w:sz w:val="22"/>
          <w:szCs w:val="22"/>
          <w:lang w:eastAsia="zh-CN"/>
        </w:rPr>
        <w:t>；</w:t>
      </w:r>
      <w:r>
        <w:rPr>
          <w:rFonts w:hint="eastAsia" w:ascii="仿宋" w:hAnsi="仿宋" w:eastAsia="仿宋" w:cs="仿宋"/>
          <w:sz w:val="22"/>
          <w:szCs w:val="22"/>
        </w:rPr>
        <w:t>3、报价精确到小数点后两位</w:t>
      </w:r>
      <w:r>
        <w:rPr>
          <w:rFonts w:hint="eastAsia" w:ascii="仿宋" w:hAnsi="仿宋" w:eastAsia="仿宋" w:cs="仿宋"/>
          <w:sz w:val="22"/>
          <w:szCs w:val="22"/>
          <w:lang w:eastAsia="zh-CN"/>
        </w:rPr>
        <w:t>；</w:t>
      </w:r>
    </w:p>
    <w:p w14:paraId="4B6C6412">
      <w:pPr>
        <w:spacing w:line="540" w:lineRule="exact"/>
        <w:ind w:right="-99" w:rightChars="-47" w:firstLine="440" w:firstLineChars="200"/>
        <w:rPr>
          <w:rFonts w:hint="eastAsia" w:ascii="仿宋" w:hAnsi="仿宋" w:eastAsia="仿宋" w:cs="仿宋"/>
          <w:sz w:val="22"/>
          <w:szCs w:val="22"/>
        </w:rPr>
      </w:pPr>
    </w:p>
    <w:p w14:paraId="210BA887">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                       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1F5ABAF8">
      <w:pPr>
        <w:spacing w:line="540" w:lineRule="exact"/>
        <w:ind w:right="-99" w:rightChars="-47" w:firstLine="480" w:firstLineChars="200"/>
        <w:jc w:val="right"/>
        <w:rPr>
          <w:rFonts w:hint="eastAsia" w:ascii="仿宋" w:hAnsi="仿宋" w:eastAsia="仿宋" w:cs="仿宋"/>
          <w:sz w:val="22"/>
          <w:szCs w:val="22"/>
          <w:u w:val="single"/>
        </w:rPr>
      </w:pPr>
      <w:r>
        <w:rPr>
          <w:rFonts w:hint="eastAsia" w:ascii="仿宋" w:hAnsi="仿宋" w:eastAsia="仿宋" w:cs="仿宋"/>
          <w:color w:val="auto"/>
          <w:kern w:val="2"/>
          <w:sz w:val="24"/>
          <w:szCs w:val="24"/>
          <w:highlight w:val="none"/>
          <w:lang w:val="en-US" w:eastAsia="zh-CN" w:bidi="ar-SA"/>
        </w:rPr>
        <w:t>日期：　　年　月　日</w:t>
      </w:r>
    </w:p>
    <w:p w14:paraId="4478309A">
      <w:pPr>
        <w:rPr>
          <w:rFonts w:hint="eastAsia" w:ascii="仿宋" w:hAnsi="仿宋" w:eastAsia="仿宋" w:cs="仿宋"/>
          <w:sz w:val="22"/>
          <w:szCs w:val="22"/>
          <w:u w:val="single"/>
        </w:rPr>
      </w:pPr>
      <w:r>
        <w:rPr>
          <w:rFonts w:hint="eastAsia" w:ascii="仿宋" w:hAnsi="仿宋" w:eastAsia="仿宋" w:cs="仿宋"/>
          <w:sz w:val="22"/>
          <w:szCs w:val="22"/>
          <w:u w:val="single"/>
        </w:rPr>
        <w:br w:type="page"/>
      </w:r>
    </w:p>
    <w:p w14:paraId="6C4D2F92">
      <w:pPr>
        <w:rPr>
          <w:rFonts w:hint="eastAsia" w:ascii="仿宋" w:hAnsi="仿宋" w:eastAsia="仿宋" w:cs="仿宋"/>
        </w:rPr>
        <w:sectPr>
          <w:headerReference r:id="rId6" w:type="default"/>
          <w:footerReference r:id="rId7" w:type="default"/>
          <w:pgSz w:w="16840" w:h="11907" w:orient="landscape"/>
          <w:pgMar w:top="1803" w:right="1440" w:bottom="1803" w:left="1440" w:header="851" w:footer="1021" w:gutter="0"/>
          <w:pgNumType w:fmt="decimal"/>
          <w:cols w:space="720" w:num="1"/>
          <w:docGrid w:linePitch="312" w:charSpace="0"/>
        </w:sectPr>
      </w:pPr>
    </w:p>
    <w:p w14:paraId="0ED2901C">
      <w:pPr>
        <w:pStyle w:val="2"/>
        <w:spacing w:line="500" w:lineRule="exact"/>
        <w:rPr>
          <w:rFonts w:hint="eastAsia" w:ascii="仿宋" w:hAnsi="仿宋" w:eastAsia="仿宋" w:cs="仿宋"/>
          <w:b w:val="0"/>
          <w:bCs w:val="0"/>
          <w:sz w:val="36"/>
          <w:szCs w:val="36"/>
        </w:rPr>
      </w:pPr>
      <w:r>
        <w:rPr>
          <w:rFonts w:hint="eastAsia" w:ascii="仿宋" w:hAnsi="仿宋" w:eastAsia="仿宋" w:cs="仿宋"/>
          <w:sz w:val="28"/>
          <w:szCs w:val="28"/>
        </w:rPr>
        <w:t>2-2、投标分项报价表（格式）</w:t>
      </w:r>
    </w:p>
    <w:p w14:paraId="44C32878">
      <w:pPr>
        <w:spacing w:line="500" w:lineRule="exact"/>
        <w:jc w:val="center"/>
        <w:rPr>
          <w:rFonts w:hint="eastAsia" w:ascii="仿宋" w:hAnsi="仿宋" w:eastAsia="仿宋" w:cs="仿宋"/>
          <w:sz w:val="22"/>
          <w:szCs w:val="22"/>
        </w:rPr>
      </w:pPr>
      <w:r>
        <w:rPr>
          <w:rFonts w:hint="eastAsia" w:ascii="仿宋" w:hAnsi="仿宋" w:eastAsia="仿宋" w:cs="仿宋"/>
          <w:b/>
          <w:bCs/>
          <w:sz w:val="36"/>
          <w:szCs w:val="36"/>
        </w:rPr>
        <w:t>投标分项报价表</w:t>
      </w:r>
    </w:p>
    <w:p w14:paraId="43453918">
      <w:pPr>
        <w:spacing w:line="300" w:lineRule="exact"/>
        <w:rPr>
          <w:rFonts w:hint="eastAsia" w:ascii="仿宋" w:hAnsi="仿宋" w:eastAsia="仿宋" w:cs="仿宋"/>
          <w:b/>
          <w:bCs/>
          <w:sz w:val="28"/>
          <w:szCs w:val="28"/>
          <w:u w:val="none"/>
          <w:lang w:eastAsia="zh-CN"/>
        </w:rPr>
      </w:pPr>
    </w:p>
    <w:tbl>
      <w:tblPr>
        <w:tblStyle w:val="44"/>
        <w:tblW w:w="1435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759"/>
        <w:gridCol w:w="2033"/>
        <w:gridCol w:w="1843"/>
        <w:gridCol w:w="2420"/>
        <w:gridCol w:w="2217"/>
        <w:gridCol w:w="1928"/>
      </w:tblGrid>
      <w:tr w14:paraId="26542F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55" w:type="dxa"/>
            <w:vAlign w:val="center"/>
          </w:tcPr>
          <w:p w14:paraId="2080F52E">
            <w:pPr>
              <w:keepNext w:val="0"/>
              <w:keepLines w:val="0"/>
              <w:suppressLineNumbers w:val="0"/>
              <w:spacing w:before="0" w:beforeAutospacing="0" w:after="0" w:afterAutospacing="0" w:line="300" w:lineRule="exact"/>
              <w:ind w:left="0" w:right="0"/>
              <w:rPr>
                <w:rFonts w:hint="eastAsia" w:ascii="仿宋" w:hAnsi="仿宋" w:eastAsia="仿宋" w:cs="仿宋"/>
                <w:b/>
                <w:sz w:val="28"/>
                <w:szCs w:val="28"/>
              </w:rPr>
            </w:pPr>
            <w:r>
              <w:rPr>
                <w:rFonts w:hint="eastAsia" w:ascii="仿宋" w:hAnsi="仿宋" w:eastAsia="仿宋" w:cs="仿宋"/>
                <w:b/>
                <w:sz w:val="28"/>
                <w:szCs w:val="28"/>
              </w:rPr>
              <w:t>序号</w:t>
            </w:r>
          </w:p>
        </w:tc>
        <w:tc>
          <w:tcPr>
            <w:tcW w:w="2759" w:type="dxa"/>
            <w:vAlign w:val="center"/>
          </w:tcPr>
          <w:p w14:paraId="4BEE2C9A">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服务名称</w:t>
            </w:r>
          </w:p>
        </w:tc>
        <w:tc>
          <w:tcPr>
            <w:tcW w:w="2033" w:type="dxa"/>
            <w:vAlign w:val="center"/>
          </w:tcPr>
          <w:p w14:paraId="77ACD428">
            <w:pPr>
              <w:keepNext w:val="0"/>
              <w:keepLines w:val="0"/>
              <w:suppressLineNumbers w:val="0"/>
              <w:spacing w:before="0" w:beforeAutospacing="0" w:after="0" w:afterAutospacing="0" w:line="48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服务内容</w:t>
            </w:r>
          </w:p>
        </w:tc>
        <w:tc>
          <w:tcPr>
            <w:tcW w:w="1843" w:type="dxa"/>
            <w:vAlign w:val="center"/>
          </w:tcPr>
          <w:p w14:paraId="51009C11">
            <w:pPr>
              <w:keepNext w:val="0"/>
              <w:keepLines w:val="0"/>
              <w:suppressLineNumbers w:val="0"/>
              <w:spacing w:before="0" w:beforeAutospacing="0" w:after="0" w:afterAutospacing="0" w:line="300" w:lineRule="exact"/>
              <w:ind w:left="13" w:leftChars="6" w:right="0"/>
              <w:jc w:val="center"/>
              <w:rPr>
                <w:rFonts w:hint="eastAsia" w:ascii="仿宋" w:hAnsi="仿宋" w:eastAsia="仿宋" w:cs="仿宋"/>
                <w:b/>
                <w:sz w:val="28"/>
                <w:szCs w:val="28"/>
              </w:rPr>
            </w:pPr>
            <w:r>
              <w:rPr>
                <w:rFonts w:hint="eastAsia" w:ascii="仿宋" w:hAnsi="仿宋" w:eastAsia="仿宋" w:cs="仿宋"/>
                <w:b/>
                <w:sz w:val="28"/>
                <w:szCs w:val="28"/>
              </w:rPr>
              <w:t>单位/数量</w:t>
            </w:r>
          </w:p>
        </w:tc>
        <w:tc>
          <w:tcPr>
            <w:tcW w:w="2420" w:type="dxa"/>
            <w:tcMar>
              <w:top w:w="28" w:type="dxa"/>
              <w:left w:w="57" w:type="dxa"/>
              <w:bottom w:w="28" w:type="dxa"/>
              <w:right w:w="57" w:type="dxa"/>
            </w:tcMar>
            <w:vAlign w:val="center"/>
          </w:tcPr>
          <w:p w14:paraId="11F67E2D">
            <w:pPr>
              <w:keepNext w:val="0"/>
              <w:keepLines w:val="0"/>
              <w:suppressLineNumbers w:val="0"/>
              <w:spacing w:before="0" w:beforeAutospacing="0" w:after="0" w:afterAutospacing="0" w:line="30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单价</w:t>
            </w:r>
          </w:p>
          <w:p w14:paraId="520CBB15">
            <w:pPr>
              <w:keepNext w:val="0"/>
              <w:keepLines w:val="0"/>
              <w:suppressLineNumbers w:val="0"/>
              <w:spacing w:before="0" w:beforeAutospacing="0" w:after="0" w:afterAutospacing="0" w:line="300" w:lineRule="exact"/>
              <w:ind w:left="46" w:leftChars="22" w:right="0"/>
              <w:jc w:val="center"/>
              <w:rPr>
                <w:rFonts w:hint="eastAsia" w:ascii="仿宋" w:hAnsi="仿宋" w:eastAsia="仿宋" w:cs="仿宋"/>
                <w:b/>
                <w:sz w:val="28"/>
                <w:szCs w:val="28"/>
              </w:rPr>
            </w:pPr>
            <w:r>
              <w:rPr>
                <w:rFonts w:hint="eastAsia" w:ascii="仿宋" w:hAnsi="仿宋" w:eastAsia="仿宋" w:cs="仿宋"/>
                <w:b/>
                <w:sz w:val="28"/>
                <w:szCs w:val="28"/>
              </w:rPr>
              <w:t>（人民币元）</w:t>
            </w:r>
          </w:p>
        </w:tc>
        <w:tc>
          <w:tcPr>
            <w:tcW w:w="2217" w:type="dxa"/>
            <w:tcMar>
              <w:top w:w="28" w:type="dxa"/>
              <w:left w:w="57" w:type="dxa"/>
              <w:bottom w:w="28" w:type="dxa"/>
              <w:right w:w="57" w:type="dxa"/>
            </w:tcMar>
            <w:vAlign w:val="center"/>
          </w:tcPr>
          <w:p w14:paraId="70F371CD">
            <w:pPr>
              <w:keepNext w:val="0"/>
              <w:keepLines w:val="0"/>
              <w:suppressLineNumbers w:val="0"/>
              <w:spacing w:before="0" w:beforeAutospacing="0" w:after="0" w:afterAutospacing="0" w:line="30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总价</w:t>
            </w:r>
          </w:p>
          <w:p w14:paraId="4BB72677">
            <w:pPr>
              <w:keepNext w:val="0"/>
              <w:keepLines w:val="0"/>
              <w:suppressLineNumbers w:val="0"/>
              <w:spacing w:before="0" w:beforeAutospacing="0" w:after="0" w:afterAutospacing="0" w:line="300" w:lineRule="exact"/>
              <w:ind w:left="0" w:right="0"/>
              <w:rPr>
                <w:rFonts w:hint="eastAsia" w:ascii="仿宋" w:hAnsi="仿宋" w:eastAsia="仿宋" w:cs="仿宋"/>
                <w:b/>
                <w:sz w:val="28"/>
                <w:szCs w:val="28"/>
              </w:rPr>
            </w:pPr>
            <w:r>
              <w:rPr>
                <w:rFonts w:hint="eastAsia" w:ascii="仿宋" w:hAnsi="仿宋" w:eastAsia="仿宋" w:cs="仿宋"/>
                <w:b/>
                <w:sz w:val="28"/>
                <w:szCs w:val="28"/>
              </w:rPr>
              <w:t>（人民币元）</w:t>
            </w:r>
          </w:p>
        </w:tc>
        <w:tc>
          <w:tcPr>
            <w:tcW w:w="1928" w:type="dxa"/>
            <w:tcMar>
              <w:top w:w="28" w:type="dxa"/>
              <w:left w:w="57" w:type="dxa"/>
              <w:bottom w:w="28" w:type="dxa"/>
              <w:right w:w="57" w:type="dxa"/>
            </w:tcMar>
            <w:vAlign w:val="center"/>
          </w:tcPr>
          <w:p w14:paraId="5992907F">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b/>
                <w:sz w:val="28"/>
                <w:szCs w:val="28"/>
              </w:rPr>
            </w:pPr>
            <w:r>
              <w:rPr>
                <w:rFonts w:hint="eastAsia" w:ascii="仿宋" w:hAnsi="仿宋" w:eastAsia="仿宋" w:cs="仿宋"/>
                <w:b/>
                <w:sz w:val="28"/>
                <w:szCs w:val="28"/>
              </w:rPr>
              <w:t>备注</w:t>
            </w:r>
          </w:p>
        </w:tc>
      </w:tr>
      <w:tr w14:paraId="3B32B1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55" w:type="dxa"/>
            <w:tcBorders>
              <w:bottom w:val="single" w:color="auto" w:sz="4" w:space="0"/>
            </w:tcBorders>
            <w:tcMar>
              <w:left w:w="57" w:type="dxa"/>
              <w:right w:w="57" w:type="dxa"/>
            </w:tcMar>
            <w:vAlign w:val="center"/>
          </w:tcPr>
          <w:p w14:paraId="2B138B11">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759" w:type="dxa"/>
            <w:tcBorders>
              <w:bottom w:val="single" w:color="auto" w:sz="4" w:space="0"/>
            </w:tcBorders>
            <w:tcMar>
              <w:left w:w="57" w:type="dxa"/>
              <w:right w:w="57" w:type="dxa"/>
            </w:tcMar>
            <w:vAlign w:val="center"/>
          </w:tcPr>
          <w:p w14:paraId="17078B1C">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c>
          <w:tcPr>
            <w:tcW w:w="2033" w:type="dxa"/>
            <w:tcBorders>
              <w:bottom w:val="single" w:color="auto" w:sz="4" w:space="0"/>
            </w:tcBorders>
            <w:tcMar>
              <w:left w:w="57" w:type="dxa"/>
              <w:right w:w="57" w:type="dxa"/>
            </w:tcMar>
            <w:vAlign w:val="center"/>
          </w:tcPr>
          <w:p w14:paraId="4A901686">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843" w:type="dxa"/>
            <w:tcBorders>
              <w:bottom w:val="single" w:color="auto" w:sz="4" w:space="0"/>
            </w:tcBorders>
            <w:tcMar>
              <w:left w:w="57" w:type="dxa"/>
              <w:right w:w="57" w:type="dxa"/>
            </w:tcMar>
            <w:vAlign w:val="center"/>
          </w:tcPr>
          <w:p w14:paraId="51FFC3E4">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420" w:type="dxa"/>
            <w:tcBorders>
              <w:bottom w:val="single" w:color="auto" w:sz="4" w:space="0"/>
            </w:tcBorders>
            <w:tcMar>
              <w:left w:w="57" w:type="dxa"/>
              <w:right w:w="57" w:type="dxa"/>
            </w:tcMar>
          </w:tcPr>
          <w:p w14:paraId="19161FB9">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217" w:type="dxa"/>
            <w:tcBorders>
              <w:bottom w:val="single" w:color="auto" w:sz="4" w:space="0"/>
            </w:tcBorders>
            <w:tcMar>
              <w:left w:w="57" w:type="dxa"/>
              <w:right w:w="57" w:type="dxa"/>
            </w:tcMar>
            <w:vAlign w:val="center"/>
          </w:tcPr>
          <w:p w14:paraId="68D644A1">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928" w:type="dxa"/>
            <w:tcBorders>
              <w:bottom w:val="single" w:color="auto" w:sz="4" w:space="0"/>
            </w:tcBorders>
            <w:tcMar>
              <w:left w:w="57" w:type="dxa"/>
              <w:right w:w="57" w:type="dxa"/>
            </w:tcMar>
            <w:vAlign w:val="center"/>
          </w:tcPr>
          <w:p w14:paraId="2F271337">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r>
      <w:tr w14:paraId="672C07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55" w:type="dxa"/>
            <w:tcBorders>
              <w:bottom w:val="single" w:color="auto" w:sz="4" w:space="0"/>
            </w:tcBorders>
            <w:tcMar>
              <w:left w:w="57" w:type="dxa"/>
              <w:right w:w="57" w:type="dxa"/>
            </w:tcMar>
            <w:vAlign w:val="center"/>
          </w:tcPr>
          <w:p w14:paraId="4D9119B1">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759" w:type="dxa"/>
            <w:tcBorders>
              <w:bottom w:val="single" w:color="auto" w:sz="4" w:space="0"/>
            </w:tcBorders>
            <w:tcMar>
              <w:left w:w="57" w:type="dxa"/>
              <w:right w:w="57" w:type="dxa"/>
            </w:tcMar>
            <w:vAlign w:val="center"/>
          </w:tcPr>
          <w:p w14:paraId="707F2A88">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c>
          <w:tcPr>
            <w:tcW w:w="2033" w:type="dxa"/>
            <w:tcBorders>
              <w:bottom w:val="single" w:color="auto" w:sz="4" w:space="0"/>
            </w:tcBorders>
            <w:tcMar>
              <w:left w:w="57" w:type="dxa"/>
              <w:right w:w="57" w:type="dxa"/>
            </w:tcMar>
            <w:vAlign w:val="center"/>
          </w:tcPr>
          <w:p w14:paraId="4A831E7D">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843" w:type="dxa"/>
            <w:tcBorders>
              <w:bottom w:val="single" w:color="auto" w:sz="4" w:space="0"/>
            </w:tcBorders>
            <w:tcMar>
              <w:left w:w="57" w:type="dxa"/>
              <w:right w:w="57" w:type="dxa"/>
            </w:tcMar>
            <w:vAlign w:val="center"/>
          </w:tcPr>
          <w:p w14:paraId="21AADEAA">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420" w:type="dxa"/>
            <w:tcBorders>
              <w:bottom w:val="single" w:color="auto" w:sz="4" w:space="0"/>
            </w:tcBorders>
            <w:tcMar>
              <w:left w:w="57" w:type="dxa"/>
              <w:right w:w="57" w:type="dxa"/>
            </w:tcMar>
          </w:tcPr>
          <w:p w14:paraId="4B7BC370">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217" w:type="dxa"/>
            <w:tcBorders>
              <w:bottom w:val="single" w:color="auto" w:sz="4" w:space="0"/>
            </w:tcBorders>
            <w:tcMar>
              <w:left w:w="57" w:type="dxa"/>
              <w:right w:w="57" w:type="dxa"/>
            </w:tcMar>
            <w:vAlign w:val="center"/>
          </w:tcPr>
          <w:p w14:paraId="73500E84">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928" w:type="dxa"/>
            <w:tcBorders>
              <w:bottom w:val="single" w:color="auto" w:sz="4" w:space="0"/>
            </w:tcBorders>
            <w:tcMar>
              <w:left w:w="57" w:type="dxa"/>
              <w:right w:w="57" w:type="dxa"/>
            </w:tcMar>
            <w:vAlign w:val="center"/>
          </w:tcPr>
          <w:p w14:paraId="6D0CADD9">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r>
      <w:tr w14:paraId="5966F4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55" w:type="dxa"/>
            <w:tcBorders>
              <w:bottom w:val="single" w:color="auto" w:sz="4" w:space="0"/>
            </w:tcBorders>
            <w:tcMar>
              <w:left w:w="57" w:type="dxa"/>
              <w:right w:w="57" w:type="dxa"/>
            </w:tcMar>
            <w:vAlign w:val="center"/>
          </w:tcPr>
          <w:p w14:paraId="373B9AE7">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759" w:type="dxa"/>
            <w:tcBorders>
              <w:bottom w:val="single" w:color="auto" w:sz="4" w:space="0"/>
            </w:tcBorders>
            <w:tcMar>
              <w:left w:w="57" w:type="dxa"/>
              <w:right w:w="57" w:type="dxa"/>
            </w:tcMar>
            <w:vAlign w:val="center"/>
          </w:tcPr>
          <w:p w14:paraId="65797808">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c>
          <w:tcPr>
            <w:tcW w:w="2033" w:type="dxa"/>
            <w:tcBorders>
              <w:bottom w:val="single" w:color="auto" w:sz="4" w:space="0"/>
            </w:tcBorders>
            <w:tcMar>
              <w:left w:w="57" w:type="dxa"/>
              <w:right w:w="57" w:type="dxa"/>
            </w:tcMar>
            <w:vAlign w:val="center"/>
          </w:tcPr>
          <w:p w14:paraId="6D5677C6">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843" w:type="dxa"/>
            <w:tcBorders>
              <w:bottom w:val="single" w:color="auto" w:sz="4" w:space="0"/>
            </w:tcBorders>
            <w:tcMar>
              <w:left w:w="57" w:type="dxa"/>
              <w:right w:w="57" w:type="dxa"/>
            </w:tcMar>
            <w:vAlign w:val="center"/>
          </w:tcPr>
          <w:p w14:paraId="4574F4E5">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420" w:type="dxa"/>
            <w:tcBorders>
              <w:bottom w:val="single" w:color="auto" w:sz="4" w:space="0"/>
            </w:tcBorders>
            <w:tcMar>
              <w:left w:w="57" w:type="dxa"/>
              <w:right w:w="57" w:type="dxa"/>
            </w:tcMar>
          </w:tcPr>
          <w:p w14:paraId="77E25C32">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217" w:type="dxa"/>
            <w:tcBorders>
              <w:bottom w:val="single" w:color="auto" w:sz="4" w:space="0"/>
            </w:tcBorders>
            <w:tcMar>
              <w:left w:w="57" w:type="dxa"/>
              <w:right w:w="57" w:type="dxa"/>
            </w:tcMar>
            <w:vAlign w:val="center"/>
          </w:tcPr>
          <w:p w14:paraId="3A16EDCC">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928" w:type="dxa"/>
            <w:tcBorders>
              <w:bottom w:val="single" w:color="auto" w:sz="4" w:space="0"/>
            </w:tcBorders>
            <w:tcMar>
              <w:left w:w="57" w:type="dxa"/>
              <w:right w:w="57" w:type="dxa"/>
            </w:tcMar>
            <w:vAlign w:val="center"/>
          </w:tcPr>
          <w:p w14:paraId="7BE48778">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r>
      <w:tr w14:paraId="15FA19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55" w:type="dxa"/>
            <w:tcMar>
              <w:left w:w="57" w:type="dxa"/>
              <w:right w:w="57" w:type="dxa"/>
            </w:tcMar>
            <w:vAlign w:val="center"/>
          </w:tcPr>
          <w:p w14:paraId="08F96608">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759" w:type="dxa"/>
            <w:tcMar>
              <w:left w:w="57" w:type="dxa"/>
              <w:right w:w="57" w:type="dxa"/>
            </w:tcMar>
            <w:vAlign w:val="center"/>
          </w:tcPr>
          <w:p w14:paraId="37929C46">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033" w:type="dxa"/>
            <w:tcMar>
              <w:left w:w="57" w:type="dxa"/>
              <w:right w:w="57" w:type="dxa"/>
            </w:tcMar>
            <w:vAlign w:val="center"/>
          </w:tcPr>
          <w:p w14:paraId="647E43C6">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843" w:type="dxa"/>
            <w:tcMar>
              <w:left w:w="57" w:type="dxa"/>
              <w:right w:w="57" w:type="dxa"/>
            </w:tcMar>
            <w:vAlign w:val="center"/>
          </w:tcPr>
          <w:p w14:paraId="16108A73">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420" w:type="dxa"/>
            <w:tcMar>
              <w:left w:w="57" w:type="dxa"/>
              <w:right w:w="57" w:type="dxa"/>
            </w:tcMar>
          </w:tcPr>
          <w:p w14:paraId="00F29663">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217" w:type="dxa"/>
            <w:tcMar>
              <w:left w:w="57" w:type="dxa"/>
              <w:right w:w="57" w:type="dxa"/>
            </w:tcMar>
            <w:vAlign w:val="center"/>
          </w:tcPr>
          <w:p w14:paraId="02A3529D">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928" w:type="dxa"/>
            <w:tcMar>
              <w:left w:w="57" w:type="dxa"/>
              <w:right w:w="57" w:type="dxa"/>
            </w:tcMar>
            <w:vAlign w:val="center"/>
          </w:tcPr>
          <w:p w14:paraId="14901A44">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r>
      <w:tr w14:paraId="5CAF1C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55" w:type="dxa"/>
            <w:tcMar>
              <w:left w:w="57" w:type="dxa"/>
              <w:right w:w="57" w:type="dxa"/>
            </w:tcMar>
            <w:vAlign w:val="center"/>
          </w:tcPr>
          <w:p w14:paraId="3B64BC10">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759" w:type="dxa"/>
            <w:tcMar>
              <w:left w:w="57" w:type="dxa"/>
              <w:right w:w="57" w:type="dxa"/>
            </w:tcMar>
            <w:vAlign w:val="center"/>
          </w:tcPr>
          <w:p w14:paraId="66160DDD">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033" w:type="dxa"/>
            <w:tcMar>
              <w:left w:w="57" w:type="dxa"/>
              <w:right w:w="57" w:type="dxa"/>
            </w:tcMar>
            <w:vAlign w:val="center"/>
          </w:tcPr>
          <w:p w14:paraId="7D7676B0">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843" w:type="dxa"/>
            <w:tcMar>
              <w:left w:w="57" w:type="dxa"/>
              <w:right w:w="57" w:type="dxa"/>
            </w:tcMar>
            <w:vAlign w:val="center"/>
          </w:tcPr>
          <w:p w14:paraId="619AB602">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420" w:type="dxa"/>
            <w:tcMar>
              <w:left w:w="57" w:type="dxa"/>
              <w:right w:w="57" w:type="dxa"/>
            </w:tcMar>
          </w:tcPr>
          <w:p w14:paraId="0256A4D1">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2217" w:type="dxa"/>
            <w:tcMar>
              <w:left w:w="57" w:type="dxa"/>
              <w:right w:w="57" w:type="dxa"/>
            </w:tcMar>
            <w:vAlign w:val="center"/>
          </w:tcPr>
          <w:p w14:paraId="287D8F4F">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1928" w:type="dxa"/>
            <w:tcMar>
              <w:left w:w="57" w:type="dxa"/>
              <w:right w:w="57" w:type="dxa"/>
            </w:tcMar>
            <w:vAlign w:val="center"/>
          </w:tcPr>
          <w:p w14:paraId="78D94422">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p>
        </w:tc>
      </w:tr>
      <w:tr w14:paraId="240AD1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14" w:type="dxa"/>
            <w:gridSpan w:val="2"/>
            <w:tcMar>
              <w:left w:w="57" w:type="dxa"/>
              <w:right w:w="57" w:type="dxa"/>
            </w:tcMar>
            <w:vAlign w:val="center"/>
          </w:tcPr>
          <w:p w14:paraId="174C2F29">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r>
              <w:rPr>
                <w:rFonts w:hint="eastAsia" w:ascii="仿宋" w:hAnsi="仿宋" w:eastAsia="仿宋" w:cs="仿宋"/>
                <w:sz w:val="28"/>
                <w:szCs w:val="28"/>
              </w:rPr>
              <w:t>总 计（人民币元）</w:t>
            </w:r>
          </w:p>
        </w:tc>
        <w:tc>
          <w:tcPr>
            <w:tcW w:w="3876" w:type="dxa"/>
            <w:gridSpan w:val="2"/>
            <w:tcMar>
              <w:left w:w="57" w:type="dxa"/>
              <w:right w:w="57" w:type="dxa"/>
            </w:tcMar>
            <w:vAlign w:val="center"/>
          </w:tcPr>
          <w:p w14:paraId="75A22E86">
            <w:pPr>
              <w:keepNext w:val="0"/>
              <w:keepLines w:val="0"/>
              <w:suppressLineNumbers w:val="0"/>
              <w:spacing w:before="0" w:beforeAutospacing="0" w:after="0" w:afterAutospacing="0" w:line="300" w:lineRule="exact"/>
              <w:ind w:left="210" w:leftChars="100" w:right="0"/>
              <w:jc w:val="center"/>
              <w:rPr>
                <w:rFonts w:hint="eastAsia" w:ascii="仿宋" w:hAnsi="仿宋" w:eastAsia="仿宋" w:cs="仿宋"/>
                <w:sz w:val="28"/>
                <w:szCs w:val="28"/>
              </w:rPr>
            </w:pPr>
          </w:p>
        </w:tc>
        <w:tc>
          <w:tcPr>
            <w:tcW w:w="6565" w:type="dxa"/>
            <w:gridSpan w:val="3"/>
            <w:tcMar>
              <w:left w:w="57" w:type="dxa"/>
              <w:right w:w="57" w:type="dxa"/>
            </w:tcMar>
            <w:vAlign w:val="center"/>
          </w:tcPr>
          <w:p w14:paraId="7E7E86D3">
            <w:pPr>
              <w:keepNext w:val="0"/>
              <w:keepLines w:val="0"/>
              <w:suppressLineNumbers w:val="0"/>
              <w:spacing w:before="0" w:beforeAutospacing="0" w:after="0" w:afterAutospacing="0" w:line="300" w:lineRule="exact"/>
              <w:ind w:left="210" w:leftChars="100" w:right="0"/>
              <w:rPr>
                <w:rFonts w:hint="eastAsia" w:ascii="仿宋" w:hAnsi="仿宋" w:eastAsia="仿宋" w:cs="仿宋"/>
                <w:sz w:val="28"/>
                <w:szCs w:val="28"/>
              </w:rPr>
            </w:pPr>
            <w:r>
              <w:rPr>
                <w:rFonts w:hint="eastAsia" w:ascii="仿宋" w:hAnsi="仿宋" w:eastAsia="仿宋" w:cs="仿宋"/>
                <w:sz w:val="28"/>
                <w:szCs w:val="28"/>
              </w:rPr>
              <w:t>¥：</w:t>
            </w:r>
          </w:p>
        </w:tc>
      </w:tr>
    </w:tbl>
    <w:p w14:paraId="64935E15">
      <w:pPr>
        <w:spacing w:line="300" w:lineRule="exact"/>
        <w:rPr>
          <w:rFonts w:hint="eastAsia" w:ascii="仿宋" w:hAnsi="仿宋" w:eastAsia="仿宋" w:cs="仿宋"/>
          <w:szCs w:val="21"/>
        </w:rPr>
      </w:pPr>
    </w:p>
    <w:p w14:paraId="55103CF7">
      <w:pPr>
        <w:spacing w:line="300" w:lineRule="exact"/>
        <w:rPr>
          <w:rFonts w:hint="eastAsia" w:ascii="仿宋" w:hAnsi="仿宋" w:eastAsia="仿宋" w:cs="仿宋"/>
          <w:iCs/>
        </w:rPr>
      </w:pPr>
      <w:r>
        <w:rPr>
          <w:rFonts w:hint="eastAsia" w:ascii="仿宋" w:hAnsi="仿宋" w:eastAsia="仿宋" w:cs="仿宋"/>
          <w:szCs w:val="21"/>
        </w:rPr>
        <w:t>注：1.</w:t>
      </w:r>
      <w:r>
        <w:rPr>
          <w:rFonts w:hint="eastAsia" w:ascii="仿宋" w:hAnsi="仿宋" w:eastAsia="仿宋" w:cs="仿宋"/>
          <w:iCs/>
        </w:rPr>
        <w:t>注:本表应按“</w:t>
      </w:r>
      <w:r>
        <w:rPr>
          <w:rFonts w:hint="eastAsia" w:ascii="仿宋" w:hAnsi="仿宋" w:eastAsia="仿宋" w:cs="仿宋"/>
          <w:iCs/>
          <w:lang w:eastAsia="zh-CN"/>
        </w:rPr>
        <w:t>供应商</w:t>
      </w:r>
      <w:r>
        <w:rPr>
          <w:rFonts w:hint="eastAsia" w:ascii="仿宋" w:hAnsi="仿宋" w:eastAsia="仿宋" w:cs="仿宋"/>
          <w:iCs/>
        </w:rPr>
        <w:t>须知”规定的要求填写。</w:t>
      </w:r>
    </w:p>
    <w:p w14:paraId="69BF61E1">
      <w:pPr>
        <w:spacing w:line="300" w:lineRule="exact"/>
        <w:ind w:firstLine="420" w:firstLineChars="200"/>
        <w:rPr>
          <w:rFonts w:hint="eastAsia" w:ascii="仿宋" w:hAnsi="仿宋" w:eastAsia="仿宋" w:cs="仿宋"/>
          <w:szCs w:val="21"/>
          <w:u w:val="single"/>
        </w:rPr>
      </w:pPr>
      <w:r>
        <w:rPr>
          <w:rFonts w:hint="eastAsia" w:ascii="仿宋" w:hAnsi="仿宋" w:eastAsia="仿宋" w:cs="仿宋"/>
          <w:szCs w:val="21"/>
        </w:rPr>
        <w:t>2.如果按单价计算的结果与总价不一致，以单价为准修正总价。</w:t>
      </w:r>
    </w:p>
    <w:p w14:paraId="45AB0676">
      <w:pPr>
        <w:spacing w:line="300" w:lineRule="exact"/>
        <w:ind w:firstLine="420" w:firstLineChars="200"/>
        <w:rPr>
          <w:rFonts w:hint="eastAsia" w:ascii="仿宋" w:hAnsi="仿宋" w:eastAsia="仿宋" w:cs="仿宋"/>
          <w:szCs w:val="21"/>
        </w:rPr>
      </w:pPr>
      <w:r>
        <w:rPr>
          <w:rFonts w:hint="eastAsia" w:ascii="仿宋" w:hAnsi="仿宋" w:eastAsia="仿宋" w:cs="仿宋"/>
          <w:szCs w:val="21"/>
        </w:rPr>
        <w:t>3.如果不提供详细分项报价将视为没有实质性响应招标文件。</w:t>
      </w:r>
    </w:p>
    <w:p w14:paraId="372257A8">
      <w:pPr>
        <w:spacing w:line="300" w:lineRule="exact"/>
        <w:ind w:firstLine="420" w:firstLineChars="200"/>
        <w:rPr>
          <w:rFonts w:hint="eastAsia" w:ascii="仿宋" w:hAnsi="仿宋" w:eastAsia="仿宋" w:cs="仿宋"/>
        </w:rPr>
      </w:pPr>
      <w:r>
        <w:rPr>
          <w:rFonts w:hint="eastAsia" w:ascii="仿宋" w:hAnsi="仿宋" w:eastAsia="仿宋" w:cs="仿宋"/>
          <w:szCs w:val="21"/>
        </w:rPr>
        <w:t>4.</w:t>
      </w:r>
      <w:r>
        <w:rPr>
          <w:rFonts w:hint="eastAsia" w:ascii="仿宋" w:hAnsi="仿宋" w:eastAsia="仿宋" w:cs="仿宋"/>
        </w:rPr>
        <w:t>报价精确到小数点后两位。</w:t>
      </w:r>
    </w:p>
    <w:p w14:paraId="07979D63">
      <w:pPr>
        <w:spacing w:line="300" w:lineRule="exact"/>
        <w:ind w:firstLine="420" w:firstLineChars="200"/>
        <w:rPr>
          <w:rFonts w:hint="eastAsia" w:ascii="仿宋" w:hAnsi="仿宋" w:eastAsia="仿宋" w:cs="仿宋"/>
        </w:rPr>
      </w:pPr>
      <w:r>
        <w:rPr>
          <w:rFonts w:hint="eastAsia" w:ascii="仿宋" w:hAnsi="仿宋" w:eastAsia="仿宋" w:cs="仿宋"/>
        </w:rPr>
        <w:t>5根据实际情况对具体附属服务项目进行说明。</w:t>
      </w:r>
    </w:p>
    <w:p w14:paraId="424F976C">
      <w:pPr>
        <w:spacing w:line="300" w:lineRule="exact"/>
        <w:ind w:left="210" w:leftChars="100"/>
        <w:rPr>
          <w:rFonts w:hint="eastAsia" w:ascii="仿宋" w:hAnsi="仿宋" w:eastAsia="仿宋" w:cs="仿宋"/>
          <w:lang w:eastAsia="zh-CN"/>
        </w:rPr>
      </w:pPr>
    </w:p>
    <w:p w14:paraId="3FDF471F">
      <w:pPr>
        <w:widowControl/>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                       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3789956B">
      <w:pPr>
        <w:spacing w:line="360" w:lineRule="auto"/>
        <w:ind w:left="210" w:leftChars="100"/>
        <w:jc w:val="right"/>
        <w:rPr>
          <w:rFonts w:hint="eastAsia" w:ascii="仿宋" w:hAnsi="仿宋" w:eastAsia="仿宋" w:cs="仿宋"/>
          <w:u w:val="single"/>
        </w:rPr>
        <w:sectPr>
          <w:headerReference r:id="rId8" w:type="first"/>
          <w:footerReference r:id="rId10" w:type="first"/>
          <w:footerReference r:id="rId9" w:type="default"/>
          <w:pgSz w:w="16840" w:h="11907" w:orient="landscape"/>
          <w:pgMar w:top="1247" w:right="862" w:bottom="1542" w:left="1440" w:header="811" w:footer="1020" w:gutter="0"/>
          <w:pgNumType w:fmt="decimal"/>
          <w:cols w:space="720" w:num="1"/>
          <w:titlePg/>
          <w:docGrid w:linePitch="312" w:charSpace="0"/>
        </w:sectPr>
      </w:pPr>
      <w:r>
        <w:rPr>
          <w:rFonts w:hint="eastAsia" w:ascii="仿宋" w:hAnsi="仿宋" w:eastAsia="仿宋" w:cs="仿宋"/>
          <w:color w:val="auto"/>
          <w:kern w:val="2"/>
          <w:sz w:val="24"/>
          <w:szCs w:val="24"/>
          <w:highlight w:val="none"/>
          <w:lang w:val="en-US" w:eastAsia="zh-CN" w:bidi="ar-SA"/>
        </w:rPr>
        <w:t>日期：　　年　月　日</w:t>
      </w:r>
      <w:bookmarkStart w:id="235" w:name="_Toc193126886"/>
      <w:bookmarkStart w:id="236" w:name="_Toc194663923"/>
      <w:bookmarkStart w:id="237" w:name="_Toc188808837"/>
      <w:bookmarkStart w:id="238" w:name="_Toc193187102"/>
    </w:p>
    <w:bookmarkEnd w:id="235"/>
    <w:bookmarkEnd w:id="236"/>
    <w:bookmarkEnd w:id="237"/>
    <w:bookmarkEnd w:id="238"/>
    <w:p w14:paraId="2D492A2D">
      <w:pPr>
        <w:pStyle w:val="2"/>
        <w:spacing w:line="500" w:lineRule="exact"/>
        <w:rPr>
          <w:rFonts w:hint="eastAsia" w:ascii="仿宋" w:hAnsi="仿宋" w:eastAsia="仿宋" w:cs="仿宋"/>
          <w:sz w:val="28"/>
          <w:szCs w:val="28"/>
        </w:rPr>
      </w:pPr>
      <w:bookmarkStart w:id="239" w:name="_Toc30651"/>
      <w:bookmarkStart w:id="240" w:name="_Toc416530634"/>
      <w:bookmarkStart w:id="241" w:name="_Toc416678756"/>
      <w:r>
        <w:rPr>
          <w:rFonts w:hint="eastAsia" w:ascii="仿宋" w:hAnsi="仿宋" w:eastAsia="仿宋" w:cs="仿宋"/>
          <w:sz w:val="28"/>
          <w:szCs w:val="28"/>
        </w:rPr>
        <w:t>3-1.技术偏离表（格式）</w:t>
      </w:r>
      <w:bookmarkEnd w:id="239"/>
      <w:bookmarkEnd w:id="240"/>
      <w:bookmarkEnd w:id="241"/>
    </w:p>
    <w:p w14:paraId="47D2F7DE">
      <w:pPr>
        <w:spacing w:line="500" w:lineRule="exact"/>
        <w:ind w:left="210" w:leftChars="100"/>
        <w:jc w:val="center"/>
        <w:rPr>
          <w:rFonts w:hint="eastAsia" w:ascii="仿宋" w:hAnsi="仿宋" w:eastAsia="仿宋" w:cs="仿宋"/>
          <w:sz w:val="36"/>
          <w:szCs w:val="36"/>
        </w:rPr>
      </w:pPr>
      <w:r>
        <w:rPr>
          <w:rFonts w:hint="eastAsia" w:ascii="仿宋" w:hAnsi="仿宋" w:eastAsia="仿宋" w:cs="仿宋"/>
          <w:b/>
          <w:bCs/>
          <w:sz w:val="36"/>
          <w:szCs w:val="36"/>
        </w:rPr>
        <w:t>技术偏离表</w:t>
      </w:r>
    </w:p>
    <w:tbl>
      <w:tblPr>
        <w:tblStyle w:val="44"/>
        <w:tblpPr w:leftFromText="180" w:rightFromText="180" w:vertAnchor="text" w:horzAnchor="margin" w:tblpXSpec="center" w:tblpY="504"/>
        <w:tblOverlap w:val="never"/>
        <w:tblW w:w="96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26"/>
        <w:gridCol w:w="3327"/>
        <w:gridCol w:w="1689"/>
        <w:gridCol w:w="1788"/>
      </w:tblGrid>
      <w:tr w14:paraId="7765A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44E18E90">
            <w:pPr>
              <w:keepNext w:val="0"/>
              <w:keepLines w:val="0"/>
              <w:suppressLineNumbers w:val="0"/>
              <w:spacing w:before="0" w:beforeAutospacing="0" w:after="0" w:afterAutospacing="0" w:line="360" w:lineRule="exact"/>
              <w:ind w:left="40" w:leftChars="19" w:right="0"/>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126" w:type="dxa"/>
            <w:tcMar>
              <w:top w:w="57" w:type="dxa"/>
              <w:left w:w="28" w:type="dxa"/>
              <w:bottom w:w="57" w:type="dxa"/>
              <w:right w:w="28" w:type="dxa"/>
            </w:tcMar>
            <w:vAlign w:val="center"/>
          </w:tcPr>
          <w:p w14:paraId="01A340FA">
            <w:pPr>
              <w:keepNext w:val="0"/>
              <w:keepLines w:val="0"/>
              <w:suppressLineNumbers w:val="0"/>
              <w:spacing w:before="0" w:beforeAutospacing="0" w:after="0" w:afterAutospacing="0" w:line="360" w:lineRule="exact"/>
              <w:ind w:left="210" w:leftChars="100" w:right="0"/>
              <w:jc w:val="center"/>
              <w:rPr>
                <w:rFonts w:hint="eastAsia" w:ascii="仿宋" w:hAnsi="仿宋" w:eastAsia="仿宋" w:cs="仿宋"/>
                <w:b/>
                <w:sz w:val="28"/>
                <w:szCs w:val="28"/>
              </w:rPr>
            </w:pPr>
            <w:r>
              <w:rPr>
                <w:rFonts w:hint="eastAsia" w:ascii="仿宋" w:hAnsi="仿宋" w:eastAsia="仿宋" w:cs="仿宋"/>
                <w:b/>
                <w:sz w:val="28"/>
                <w:szCs w:val="28"/>
                <w:lang w:eastAsia="zh-CN"/>
              </w:rPr>
              <w:t>磋商</w:t>
            </w:r>
            <w:r>
              <w:rPr>
                <w:rFonts w:hint="eastAsia" w:ascii="仿宋" w:hAnsi="仿宋" w:eastAsia="仿宋" w:cs="仿宋"/>
                <w:b/>
                <w:sz w:val="28"/>
                <w:szCs w:val="28"/>
              </w:rPr>
              <w:t>文件</w:t>
            </w:r>
          </w:p>
          <w:p w14:paraId="7AEF0DF5">
            <w:pPr>
              <w:keepNext w:val="0"/>
              <w:keepLines w:val="0"/>
              <w:suppressLineNumbers w:val="0"/>
              <w:spacing w:before="0" w:beforeAutospacing="0" w:after="0" w:afterAutospacing="0" w:line="360" w:lineRule="exact"/>
              <w:ind w:left="210" w:leftChars="100" w:right="0"/>
              <w:jc w:val="center"/>
              <w:rPr>
                <w:rFonts w:hint="eastAsia" w:ascii="仿宋" w:hAnsi="仿宋" w:eastAsia="仿宋" w:cs="仿宋"/>
                <w:b/>
                <w:sz w:val="28"/>
                <w:szCs w:val="28"/>
              </w:rPr>
            </w:pPr>
            <w:r>
              <w:rPr>
                <w:rFonts w:hint="eastAsia" w:ascii="仿宋" w:hAnsi="仿宋" w:eastAsia="仿宋" w:cs="仿宋"/>
                <w:b/>
                <w:sz w:val="28"/>
                <w:szCs w:val="28"/>
              </w:rPr>
              <w:t>采购内容</w:t>
            </w:r>
          </w:p>
        </w:tc>
        <w:tc>
          <w:tcPr>
            <w:tcW w:w="3327" w:type="dxa"/>
            <w:tcMar>
              <w:top w:w="57" w:type="dxa"/>
              <w:left w:w="28" w:type="dxa"/>
              <w:bottom w:w="57" w:type="dxa"/>
              <w:right w:w="28" w:type="dxa"/>
            </w:tcMar>
            <w:vAlign w:val="center"/>
          </w:tcPr>
          <w:p w14:paraId="40E01C6A">
            <w:pPr>
              <w:keepNext w:val="0"/>
              <w:keepLines w:val="0"/>
              <w:suppressLineNumbers w:val="0"/>
              <w:spacing w:before="0" w:beforeAutospacing="0" w:after="0" w:afterAutospacing="0" w:line="360" w:lineRule="exact"/>
              <w:ind w:left="0" w:right="0"/>
              <w:jc w:val="center"/>
              <w:rPr>
                <w:rFonts w:hint="eastAsia" w:ascii="仿宋" w:hAnsi="仿宋" w:eastAsia="仿宋" w:cs="仿宋"/>
                <w:b/>
                <w:sz w:val="28"/>
                <w:szCs w:val="28"/>
              </w:rPr>
            </w:pPr>
            <w:r>
              <w:rPr>
                <w:rFonts w:hint="eastAsia" w:ascii="仿宋" w:hAnsi="仿宋" w:eastAsia="仿宋" w:cs="仿宋"/>
                <w:b/>
                <w:sz w:val="28"/>
                <w:szCs w:val="28"/>
                <w:lang w:eastAsia="zh-CN"/>
              </w:rPr>
              <w:t>磋商响应</w:t>
            </w:r>
            <w:r>
              <w:rPr>
                <w:rFonts w:hint="eastAsia" w:ascii="仿宋" w:hAnsi="仿宋" w:eastAsia="仿宋" w:cs="仿宋"/>
                <w:b/>
                <w:sz w:val="28"/>
                <w:szCs w:val="28"/>
              </w:rPr>
              <w:t>文件</w:t>
            </w:r>
          </w:p>
          <w:p w14:paraId="6E1FD610">
            <w:pPr>
              <w:keepNext w:val="0"/>
              <w:keepLines w:val="0"/>
              <w:suppressLineNumbers w:val="0"/>
              <w:spacing w:before="0" w:beforeAutospacing="0" w:after="0" w:afterAutospacing="0" w:line="36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响应情况</w:t>
            </w:r>
          </w:p>
        </w:tc>
        <w:tc>
          <w:tcPr>
            <w:tcW w:w="1689" w:type="dxa"/>
            <w:tcMar>
              <w:top w:w="57" w:type="dxa"/>
              <w:left w:w="28" w:type="dxa"/>
              <w:bottom w:w="57" w:type="dxa"/>
              <w:right w:w="28" w:type="dxa"/>
            </w:tcMar>
            <w:vAlign w:val="center"/>
          </w:tcPr>
          <w:p w14:paraId="236695C9">
            <w:pPr>
              <w:keepNext w:val="0"/>
              <w:keepLines w:val="0"/>
              <w:suppressLineNumbers w:val="0"/>
              <w:spacing w:before="0" w:beforeAutospacing="0" w:after="0" w:afterAutospacing="0" w:line="36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偏离情况</w:t>
            </w:r>
          </w:p>
        </w:tc>
        <w:tc>
          <w:tcPr>
            <w:tcW w:w="1788" w:type="dxa"/>
            <w:tcMar>
              <w:top w:w="57" w:type="dxa"/>
              <w:left w:w="28" w:type="dxa"/>
              <w:bottom w:w="57" w:type="dxa"/>
              <w:right w:w="28" w:type="dxa"/>
            </w:tcMar>
            <w:vAlign w:val="center"/>
          </w:tcPr>
          <w:p w14:paraId="192C09BC">
            <w:pPr>
              <w:keepNext w:val="0"/>
              <w:keepLines w:val="0"/>
              <w:suppressLineNumbers w:val="0"/>
              <w:spacing w:before="0" w:beforeAutospacing="0" w:after="0" w:afterAutospacing="0" w:line="36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说 明</w:t>
            </w:r>
          </w:p>
        </w:tc>
      </w:tr>
      <w:tr w14:paraId="79703E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37" w:type="dxa"/>
            <w:tcBorders>
              <w:bottom w:val="single" w:color="auto" w:sz="4" w:space="0"/>
            </w:tcBorders>
            <w:tcMar>
              <w:top w:w="57" w:type="dxa"/>
              <w:left w:w="28" w:type="dxa"/>
              <w:bottom w:w="57" w:type="dxa"/>
              <w:right w:w="28" w:type="dxa"/>
            </w:tcMar>
            <w:vAlign w:val="center"/>
          </w:tcPr>
          <w:p w14:paraId="51114F52">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Borders>
              <w:bottom w:val="single" w:color="auto" w:sz="4" w:space="0"/>
            </w:tcBorders>
            <w:tcMar>
              <w:top w:w="57" w:type="dxa"/>
              <w:left w:w="28" w:type="dxa"/>
              <w:bottom w:w="57" w:type="dxa"/>
              <w:right w:w="28" w:type="dxa"/>
            </w:tcMar>
            <w:vAlign w:val="center"/>
          </w:tcPr>
          <w:p w14:paraId="75BA7366">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Borders>
              <w:bottom w:val="single" w:color="auto" w:sz="4" w:space="0"/>
            </w:tcBorders>
            <w:tcMar>
              <w:top w:w="57" w:type="dxa"/>
              <w:left w:w="28" w:type="dxa"/>
              <w:bottom w:w="57" w:type="dxa"/>
              <w:right w:w="28" w:type="dxa"/>
            </w:tcMar>
            <w:vAlign w:val="center"/>
          </w:tcPr>
          <w:p w14:paraId="32D31A9E">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Borders>
              <w:bottom w:val="single" w:color="auto" w:sz="4" w:space="0"/>
            </w:tcBorders>
            <w:tcMar>
              <w:top w:w="57" w:type="dxa"/>
              <w:left w:w="28" w:type="dxa"/>
              <w:bottom w:w="57" w:type="dxa"/>
              <w:right w:w="28" w:type="dxa"/>
            </w:tcMar>
            <w:vAlign w:val="center"/>
          </w:tcPr>
          <w:p w14:paraId="053F4721">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Borders>
              <w:bottom w:val="single" w:color="auto" w:sz="4" w:space="0"/>
            </w:tcBorders>
            <w:tcMar>
              <w:top w:w="57" w:type="dxa"/>
              <w:left w:w="28" w:type="dxa"/>
              <w:bottom w:w="57" w:type="dxa"/>
              <w:right w:w="28" w:type="dxa"/>
            </w:tcMar>
            <w:vAlign w:val="center"/>
          </w:tcPr>
          <w:p w14:paraId="3E1329D5">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60890C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297A80A7">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363E507F">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0222AED2">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7D20B16B">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77CF5D7E">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15740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4CE6B33E">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62BEF12A">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2400C614">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1DA6D34B">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2E8826C7">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25978A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287D8A3E">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267C755A">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5ABFCE6A">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7CEE9F5A">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0F9A0154">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5681AA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46F4C742">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0271C9C4">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4E420671">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45A5B0A8">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26317748">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1555E5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235AAB51">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497D3486">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04F6F38D">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606CAF6A">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0DEE19E4">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2A8F7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40F61647">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374719F4">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13D9725B">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3ED909B0">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58BFC952">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265483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37" w:type="dxa"/>
            <w:tcBorders>
              <w:bottom w:val="single" w:color="auto" w:sz="4" w:space="0"/>
            </w:tcBorders>
            <w:tcMar>
              <w:top w:w="57" w:type="dxa"/>
              <w:left w:w="28" w:type="dxa"/>
              <w:bottom w:w="57" w:type="dxa"/>
              <w:right w:w="28" w:type="dxa"/>
            </w:tcMar>
            <w:vAlign w:val="center"/>
          </w:tcPr>
          <w:p w14:paraId="5B8501EB">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Borders>
              <w:bottom w:val="single" w:color="auto" w:sz="4" w:space="0"/>
            </w:tcBorders>
            <w:tcMar>
              <w:top w:w="57" w:type="dxa"/>
              <w:left w:w="28" w:type="dxa"/>
              <w:bottom w:w="57" w:type="dxa"/>
              <w:right w:w="28" w:type="dxa"/>
            </w:tcMar>
            <w:vAlign w:val="center"/>
          </w:tcPr>
          <w:p w14:paraId="4106BE9D">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Borders>
              <w:bottom w:val="single" w:color="auto" w:sz="4" w:space="0"/>
            </w:tcBorders>
            <w:tcMar>
              <w:top w:w="57" w:type="dxa"/>
              <w:left w:w="28" w:type="dxa"/>
              <w:bottom w:w="57" w:type="dxa"/>
              <w:right w:w="28" w:type="dxa"/>
            </w:tcMar>
            <w:vAlign w:val="center"/>
          </w:tcPr>
          <w:p w14:paraId="10BEF5FB">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Borders>
              <w:bottom w:val="single" w:color="auto" w:sz="4" w:space="0"/>
            </w:tcBorders>
            <w:tcMar>
              <w:top w:w="57" w:type="dxa"/>
              <w:left w:w="28" w:type="dxa"/>
              <w:bottom w:w="57" w:type="dxa"/>
              <w:right w:w="28" w:type="dxa"/>
            </w:tcMar>
            <w:vAlign w:val="center"/>
          </w:tcPr>
          <w:p w14:paraId="7B40828B">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Borders>
              <w:bottom w:val="single" w:color="auto" w:sz="4" w:space="0"/>
            </w:tcBorders>
            <w:tcMar>
              <w:top w:w="57" w:type="dxa"/>
              <w:left w:w="28" w:type="dxa"/>
              <w:bottom w:w="57" w:type="dxa"/>
              <w:right w:w="28" w:type="dxa"/>
            </w:tcMar>
            <w:vAlign w:val="center"/>
          </w:tcPr>
          <w:p w14:paraId="39274CF1">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r w14:paraId="55D048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294A59CF">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2126" w:type="dxa"/>
            <w:tcMar>
              <w:top w:w="57" w:type="dxa"/>
              <w:left w:w="28" w:type="dxa"/>
              <w:bottom w:w="57" w:type="dxa"/>
              <w:right w:w="28" w:type="dxa"/>
            </w:tcMar>
            <w:vAlign w:val="center"/>
          </w:tcPr>
          <w:p w14:paraId="7C68FDEF">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3327" w:type="dxa"/>
            <w:tcMar>
              <w:top w:w="57" w:type="dxa"/>
              <w:left w:w="28" w:type="dxa"/>
              <w:bottom w:w="57" w:type="dxa"/>
              <w:right w:w="28" w:type="dxa"/>
            </w:tcMar>
            <w:vAlign w:val="center"/>
          </w:tcPr>
          <w:p w14:paraId="6D4E75B2">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c>
          <w:tcPr>
            <w:tcW w:w="1689" w:type="dxa"/>
            <w:tcMar>
              <w:top w:w="57" w:type="dxa"/>
              <w:left w:w="28" w:type="dxa"/>
              <w:bottom w:w="57" w:type="dxa"/>
              <w:right w:w="28" w:type="dxa"/>
            </w:tcMar>
            <w:vAlign w:val="center"/>
          </w:tcPr>
          <w:p w14:paraId="1D23A426">
            <w:pPr>
              <w:keepNext w:val="0"/>
              <w:keepLines w:val="0"/>
              <w:suppressLineNumbers w:val="0"/>
              <w:spacing w:before="0" w:beforeAutospacing="0" w:after="0" w:afterAutospacing="0" w:line="480" w:lineRule="exact"/>
              <w:ind w:left="0" w:right="0"/>
              <w:rPr>
                <w:rFonts w:hint="eastAsia" w:ascii="仿宋" w:hAnsi="仿宋" w:eastAsia="仿宋" w:cs="仿宋"/>
                <w:sz w:val="28"/>
                <w:szCs w:val="28"/>
              </w:rPr>
            </w:pPr>
          </w:p>
        </w:tc>
        <w:tc>
          <w:tcPr>
            <w:tcW w:w="1788" w:type="dxa"/>
            <w:tcMar>
              <w:top w:w="57" w:type="dxa"/>
              <w:left w:w="28" w:type="dxa"/>
              <w:bottom w:w="57" w:type="dxa"/>
              <w:right w:w="28" w:type="dxa"/>
            </w:tcMar>
            <w:vAlign w:val="center"/>
          </w:tcPr>
          <w:p w14:paraId="4AA6B127">
            <w:pPr>
              <w:keepNext w:val="0"/>
              <w:keepLines w:val="0"/>
              <w:suppressLineNumbers w:val="0"/>
              <w:spacing w:before="0" w:beforeAutospacing="0" w:after="0" w:afterAutospacing="0" w:line="480" w:lineRule="exact"/>
              <w:ind w:left="210" w:leftChars="100" w:right="0"/>
              <w:rPr>
                <w:rFonts w:hint="eastAsia" w:ascii="仿宋" w:hAnsi="仿宋" w:eastAsia="仿宋" w:cs="仿宋"/>
                <w:sz w:val="28"/>
                <w:szCs w:val="28"/>
              </w:rPr>
            </w:pPr>
          </w:p>
        </w:tc>
      </w:tr>
    </w:tbl>
    <w:p w14:paraId="71154E48">
      <w:pPr>
        <w:spacing w:line="480" w:lineRule="exact"/>
        <w:rPr>
          <w:rFonts w:hint="eastAsia" w:ascii="仿宋" w:hAnsi="仿宋" w:eastAsia="仿宋" w:cs="仿宋"/>
        </w:rPr>
      </w:pPr>
    </w:p>
    <w:p w14:paraId="2FCA2E9D">
      <w:pPr>
        <w:spacing w:line="480" w:lineRule="exact"/>
        <w:rPr>
          <w:rFonts w:hint="eastAsia" w:ascii="仿宋" w:hAnsi="仿宋" w:eastAsia="仿宋" w:cs="仿宋"/>
        </w:rPr>
      </w:pPr>
    </w:p>
    <w:p w14:paraId="0C1CAE54">
      <w:pPr>
        <w:spacing w:line="480" w:lineRule="exact"/>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eastAsia="zh-CN"/>
        </w:rPr>
        <w:t>1</w:t>
      </w:r>
      <w:r>
        <w:rPr>
          <w:rFonts w:hint="eastAsia" w:ascii="仿宋" w:hAnsi="仿宋" w:eastAsia="仿宋" w:cs="仿宋"/>
        </w:rPr>
        <w:t>.</w:t>
      </w:r>
      <w:r>
        <w:rPr>
          <w:rFonts w:hint="eastAsia" w:ascii="仿宋" w:hAnsi="仿宋" w:eastAsia="仿宋" w:cs="仿宋"/>
          <w:lang w:eastAsia="zh-CN"/>
        </w:rPr>
        <w:t>供应商</w:t>
      </w:r>
      <w:r>
        <w:rPr>
          <w:rFonts w:hint="eastAsia" w:ascii="仿宋" w:hAnsi="仿宋" w:eastAsia="仿宋" w:cs="仿宋"/>
        </w:rPr>
        <w:t>需对</w:t>
      </w:r>
      <w:r>
        <w:rPr>
          <w:rFonts w:hint="eastAsia" w:ascii="仿宋" w:hAnsi="仿宋" w:eastAsia="仿宋" w:cs="仿宋"/>
          <w:lang w:eastAsia="zh-CN"/>
        </w:rPr>
        <w:t>第四章、</w:t>
      </w:r>
      <w:r>
        <w:rPr>
          <w:rFonts w:hint="eastAsia" w:ascii="仿宋" w:hAnsi="仿宋" w:eastAsia="仿宋" w:cs="仿宋"/>
        </w:rPr>
        <w:t>采购内容</w:t>
      </w:r>
      <w:r>
        <w:rPr>
          <w:rFonts w:hint="eastAsia" w:ascii="仿宋" w:hAnsi="仿宋" w:eastAsia="仿宋" w:cs="仿宋"/>
          <w:lang w:eastAsia="zh-CN"/>
        </w:rPr>
        <w:t>及要求</w:t>
      </w:r>
      <w:r>
        <w:rPr>
          <w:rFonts w:hint="eastAsia" w:ascii="仿宋" w:hAnsi="仿宋" w:eastAsia="仿宋" w:cs="仿宋"/>
        </w:rPr>
        <w:t>做出响应，</w:t>
      </w:r>
      <w:r>
        <w:rPr>
          <w:rFonts w:hint="eastAsia" w:ascii="仿宋" w:hAnsi="仿宋" w:eastAsia="仿宋" w:cs="仿宋"/>
          <w:lang w:eastAsia="zh-CN"/>
        </w:rPr>
        <w:t>此表只列明正偏离及负偏离项，未列明项视为无偏离</w:t>
      </w:r>
      <w:r>
        <w:rPr>
          <w:rFonts w:hint="eastAsia" w:ascii="仿宋" w:hAnsi="仿宋" w:eastAsia="仿宋" w:cs="仿宋"/>
        </w:rPr>
        <w:t>。</w:t>
      </w:r>
    </w:p>
    <w:p w14:paraId="1CD63CD9">
      <w:pPr>
        <w:spacing w:line="480" w:lineRule="exact"/>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.正偏离需在说明一栏做出详细说明。</w:t>
      </w:r>
    </w:p>
    <w:p w14:paraId="4E329731">
      <w:pPr>
        <w:spacing w:line="480" w:lineRule="exact"/>
        <w:ind w:firstLine="420" w:firstLineChars="200"/>
        <w:rPr>
          <w:rFonts w:hint="eastAsia" w:ascii="仿宋" w:hAnsi="仿宋" w:eastAsia="仿宋" w:cs="仿宋"/>
          <w:lang w:val="en-US" w:eastAsia="zh-CN"/>
        </w:rPr>
      </w:pPr>
      <w:r>
        <w:rPr>
          <w:rFonts w:hint="eastAsia" w:ascii="仿宋" w:hAnsi="仿宋" w:eastAsia="仿宋" w:cs="仿宋"/>
          <w:lang w:val="en-US" w:eastAsia="zh-CN"/>
        </w:rPr>
        <w:t>3.如供应商全部响应磋商文件</w:t>
      </w:r>
      <w:r>
        <w:rPr>
          <w:rFonts w:hint="eastAsia" w:ascii="仿宋" w:hAnsi="仿宋" w:eastAsia="仿宋" w:cs="仿宋"/>
        </w:rPr>
        <w:t>采购内容</w:t>
      </w:r>
      <w:r>
        <w:rPr>
          <w:rFonts w:hint="eastAsia" w:ascii="仿宋" w:hAnsi="仿宋" w:eastAsia="仿宋" w:cs="仿宋"/>
          <w:lang w:eastAsia="zh-CN"/>
        </w:rPr>
        <w:t>及要求</w:t>
      </w:r>
      <w:r>
        <w:rPr>
          <w:rFonts w:hint="eastAsia" w:ascii="仿宋" w:hAnsi="仿宋" w:eastAsia="仿宋" w:cs="仿宋"/>
          <w:lang w:val="en-US" w:eastAsia="zh-CN"/>
        </w:rPr>
        <w:t>，在“磋商文件采购内容”及“磋商响应文件文件响应情况”栏中填写“全部”字样，在“偏离情况”栏填入“无偏离”字样。</w:t>
      </w:r>
    </w:p>
    <w:p w14:paraId="05E74D66">
      <w:pPr>
        <w:wordWrap w:val="0"/>
        <w:spacing w:line="480" w:lineRule="exact"/>
        <w:ind w:right="-99" w:rightChars="-47"/>
        <w:jc w:val="right"/>
        <w:outlineLvl w:val="1"/>
        <w:rPr>
          <w:rFonts w:hint="eastAsia" w:ascii="仿宋" w:hAnsi="仿宋" w:eastAsia="仿宋" w:cs="仿宋"/>
          <w:lang w:eastAsia="zh-CN"/>
        </w:rPr>
      </w:pPr>
    </w:p>
    <w:p w14:paraId="601A6788">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w:t>
      </w:r>
    </w:p>
    <w:p w14:paraId="14C52338">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4DDA7C2B">
      <w:pPr>
        <w:wordWrap w:val="0"/>
        <w:spacing w:line="480" w:lineRule="exact"/>
        <w:ind w:right="-99" w:rightChars="-47"/>
        <w:jc w:val="right"/>
        <w:outlineLvl w:val="1"/>
        <w:rPr>
          <w:rFonts w:hint="eastAsia" w:ascii="仿宋" w:hAnsi="仿宋" w:eastAsia="仿宋" w:cs="仿宋"/>
          <w:b/>
          <w:bCs/>
          <w:sz w:val="28"/>
          <w:szCs w:val="28"/>
        </w:rPr>
      </w:pPr>
      <w:r>
        <w:rPr>
          <w:rFonts w:hint="eastAsia" w:ascii="仿宋" w:hAnsi="仿宋" w:eastAsia="仿宋" w:cs="仿宋"/>
          <w:color w:val="auto"/>
          <w:kern w:val="2"/>
          <w:sz w:val="24"/>
          <w:szCs w:val="24"/>
          <w:highlight w:val="none"/>
          <w:lang w:val="en-US" w:eastAsia="zh-CN" w:bidi="ar-SA"/>
        </w:rPr>
        <w:t>日期：　　年　月　日</w:t>
      </w:r>
    </w:p>
    <w:p w14:paraId="11C8E23E">
      <w:pPr>
        <w:rPr>
          <w:rFonts w:hint="eastAsia" w:ascii="仿宋" w:hAnsi="仿宋" w:eastAsia="仿宋" w:cs="仿宋"/>
          <w:b/>
          <w:bCs/>
          <w:sz w:val="28"/>
          <w:szCs w:val="28"/>
        </w:rPr>
      </w:pPr>
      <w:r>
        <w:rPr>
          <w:rFonts w:hint="eastAsia" w:ascii="仿宋" w:hAnsi="仿宋" w:eastAsia="仿宋" w:cs="仿宋"/>
          <w:b/>
          <w:bCs/>
          <w:sz w:val="28"/>
          <w:szCs w:val="28"/>
        </w:rPr>
        <w:br w:type="page"/>
      </w:r>
    </w:p>
    <w:p w14:paraId="55F609C2">
      <w:pPr>
        <w:spacing w:line="480" w:lineRule="exact"/>
        <w:ind w:right="-99" w:rightChars="-47"/>
        <w:outlineLvl w:val="1"/>
        <w:rPr>
          <w:rFonts w:hint="eastAsia" w:ascii="仿宋" w:hAnsi="仿宋" w:eastAsia="仿宋" w:cs="仿宋"/>
          <w:b/>
          <w:bCs/>
          <w:sz w:val="28"/>
          <w:szCs w:val="28"/>
        </w:rPr>
      </w:pPr>
      <w:r>
        <w:rPr>
          <w:rFonts w:hint="eastAsia" w:ascii="仿宋" w:hAnsi="仿宋" w:eastAsia="仿宋" w:cs="仿宋"/>
          <w:b/>
          <w:bCs/>
          <w:sz w:val="28"/>
          <w:szCs w:val="28"/>
        </w:rPr>
        <w:t>3-2、商务偏离表（格式）</w:t>
      </w:r>
    </w:p>
    <w:p w14:paraId="6CA886C7">
      <w:pPr>
        <w:spacing w:line="480" w:lineRule="exact"/>
        <w:ind w:right="-99" w:rightChars="-47"/>
        <w:jc w:val="center"/>
        <w:rPr>
          <w:rFonts w:hint="eastAsia" w:ascii="仿宋" w:hAnsi="仿宋" w:eastAsia="仿宋" w:cs="仿宋"/>
          <w:b/>
          <w:bCs/>
          <w:sz w:val="36"/>
          <w:szCs w:val="21"/>
        </w:rPr>
      </w:pPr>
      <w:bookmarkStart w:id="242" w:name="_Toc48791235"/>
      <w:bookmarkStart w:id="243" w:name="_Toc47418255"/>
      <w:bookmarkStart w:id="244" w:name="_Toc47261885"/>
      <w:bookmarkStart w:id="245" w:name="_Toc47262069"/>
      <w:bookmarkStart w:id="246" w:name="_Toc48995851"/>
      <w:bookmarkStart w:id="247" w:name="_Toc193126888"/>
      <w:bookmarkStart w:id="248" w:name="_Toc193187104"/>
      <w:bookmarkStart w:id="249" w:name="_Toc47261690"/>
      <w:bookmarkStart w:id="250" w:name="_Toc49019236"/>
      <w:bookmarkStart w:id="251" w:name="_Toc47418731"/>
      <w:bookmarkStart w:id="252" w:name="_Toc49019497"/>
      <w:bookmarkStart w:id="253" w:name="_Toc194663925"/>
      <w:bookmarkStart w:id="254" w:name="_Toc188808839"/>
      <w:bookmarkStart w:id="255" w:name="_Toc47418938"/>
      <w:r>
        <w:rPr>
          <w:rFonts w:hint="eastAsia" w:ascii="仿宋" w:hAnsi="仿宋" w:eastAsia="仿宋" w:cs="仿宋"/>
          <w:b/>
          <w:bCs/>
          <w:sz w:val="36"/>
          <w:szCs w:val="21"/>
        </w:rPr>
        <w:t>商务偏离表</w:t>
      </w:r>
    </w:p>
    <w:p w14:paraId="62085535">
      <w:pPr>
        <w:spacing w:line="480" w:lineRule="exact"/>
        <w:ind w:right="-99" w:rightChars="-47"/>
        <w:rPr>
          <w:rFonts w:hint="eastAsia" w:ascii="仿宋" w:hAnsi="仿宋" w:eastAsia="仿宋" w:cs="仿宋"/>
          <w:sz w:val="21"/>
          <w:szCs w:val="21"/>
        </w:rPr>
      </w:pPr>
    </w:p>
    <w:tbl>
      <w:tblPr>
        <w:tblStyle w:val="44"/>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14:paraId="4983F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DDF1206">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rPr>
              <w:t xml:space="preserve"> 序号</w:t>
            </w:r>
          </w:p>
        </w:tc>
        <w:tc>
          <w:tcPr>
            <w:tcW w:w="2678" w:type="dxa"/>
            <w:tcMar>
              <w:top w:w="57" w:type="dxa"/>
              <w:left w:w="28" w:type="dxa"/>
              <w:bottom w:w="57" w:type="dxa"/>
              <w:right w:w="28" w:type="dxa"/>
            </w:tcMar>
            <w:vAlign w:val="center"/>
          </w:tcPr>
          <w:p w14:paraId="1B337DEE">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lang w:eastAsia="zh-CN"/>
              </w:rPr>
              <w:t>磋商</w:t>
            </w:r>
            <w:r>
              <w:rPr>
                <w:rFonts w:hint="eastAsia" w:ascii="仿宋" w:hAnsi="仿宋" w:eastAsia="仿宋" w:cs="仿宋"/>
                <w:b/>
                <w:sz w:val="28"/>
                <w:szCs w:val="28"/>
              </w:rPr>
              <w:t>文件</w:t>
            </w:r>
          </w:p>
          <w:p w14:paraId="33DDCB9E">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rPr>
              <w:t>商务要求</w:t>
            </w:r>
          </w:p>
        </w:tc>
        <w:tc>
          <w:tcPr>
            <w:tcW w:w="2700" w:type="dxa"/>
            <w:tcMar>
              <w:top w:w="57" w:type="dxa"/>
              <w:left w:w="28" w:type="dxa"/>
              <w:bottom w:w="57" w:type="dxa"/>
              <w:right w:w="28" w:type="dxa"/>
            </w:tcMar>
            <w:vAlign w:val="center"/>
          </w:tcPr>
          <w:p w14:paraId="17629675">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lang w:eastAsia="zh-CN"/>
              </w:rPr>
              <w:t>磋商响应</w:t>
            </w:r>
            <w:r>
              <w:rPr>
                <w:rFonts w:hint="eastAsia" w:ascii="仿宋" w:hAnsi="仿宋" w:eastAsia="仿宋" w:cs="仿宋"/>
                <w:b/>
                <w:sz w:val="28"/>
                <w:szCs w:val="28"/>
              </w:rPr>
              <w:t>文件</w:t>
            </w:r>
          </w:p>
          <w:p w14:paraId="15C7B4FB">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rPr>
              <w:t>商务响应</w:t>
            </w:r>
          </w:p>
        </w:tc>
        <w:tc>
          <w:tcPr>
            <w:tcW w:w="1650" w:type="dxa"/>
            <w:tcMar>
              <w:top w:w="57" w:type="dxa"/>
              <w:left w:w="28" w:type="dxa"/>
              <w:bottom w:w="57" w:type="dxa"/>
              <w:right w:w="28" w:type="dxa"/>
            </w:tcMar>
            <w:vAlign w:val="center"/>
          </w:tcPr>
          <w:p w14:paraId="7153FC1D">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rPr>
              <w:t>偏离情况</w:t>
            </w:r>
          </w:p>
        </w:tc>
        <w:tc>
          <w:tcPr>
            <w:tcW w:w="1438" w:type="dxa"/>
            <w:vAlign w:val="center"/>
          </w:tcPr>
          <w:p w14:paraId="49A8F28B">
            <w:pPr>
              <w:keepNext w:val="0"/>
              <w:keepLines w:val="0"/>
              <w:suppressLineNumbers w:val="0"/>
              <w:spacing w:before="0" w:beforeAutospacing="0" w:after="0" w:afterAutospacing="0" w:line="480" w:lineRule="exact"/>
              <w:ind w:left="0" w:right="-99" w:rightChars="-47"/>
              <w:jc w:val="center"/>
              <w:rPr>
                <w:rFonts w:hint="eastAsia" w:ascii="仿宋" w:hAnsi="仿宋" w:eastAsia="仿宋" w:cs="仿宋"/>
                <w:b/>
                <w:sz w:val="28"/>
                <w:szCs w:val="28"/>
              </w:rPr>
            </w:pPr>
            <w:r>
              <w:rPr>
                <w:rFonts w:hint="eastAsia" w:ascii="仿宋" w:hAnsi="仿宋" w:eastAsia="仿宋" w:cs="仿宋"/>
                <w:b/>
                <w:sz w:val="28"/>
                <w:szCs w:val="28"/>
              </w:rPr>
              <w:t>说明</w:t>
            </w:r>
          </w:p>
        </w:tc>
      </w:tr>
      <w:tr w14:paraId="5AD28C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3402D1D1">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Borders>
              <w:bottom w:val="single" w:color="auto" w:sz="4" w:space="0"/>
            </w:tcBorders>
            <w:tcMar>
              <w:top w:w="57" w:type="dxa"/>
              <w:left w:w="28" w:type="dxa"/>
              <w:bottom w:w="57" w:type="dxa"/>
              <w:right w:w="28" w:type="dxa"/>
            </w:tcMar>
            <w:vAlign w:val="center"/>
          </w:tcPr>
          <w:p w14:paraId="03512CA1">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Borders>
              <w:bottom w:val="single" w:color="auto" w:sz="4" w:space="0"/>
            </w:tcBorders>
            <w:tcMar>
              <w:top w:w="57" w:type="dxa"/>
              <w:left w:w="28" w:type="dxa"/>
              <w:bottom w:w="57" w:type="dxa"/>
              <w:right w:w="28" w:type="dxa"/>
            </w:tcMar>
            <w:vAlign w:val="center"/>
          </w:tcPr>
          <w:p w14:paraId="20068F69">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Borders>
              <w:bottom w:val="single" w:color="auto" w:sz="4" w:space="0"/>
            </w:tcBorders>
            <w:tcMar>
              <w:top w:w="57" w:type="dxa"/>
              <w:left w:w="28" w:type="dxa"/>
              <w:bottom w:w="57" w:type="dxa"/>
              <w:right w:w="28" w:type="dxa"/>
            </w:tcMar>
            <w:vAlign w:val="center"/>
          </w:tcPr>
          <w:p w14:paraId="75BDB9A8">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tcBorders>
              <w:bottom w:val="single" w:color="auto" w:sz="4" w:space="0"/>
            </w:tcBorders>
            <w:vAlign w:val="center"/>
          </w:tcPr>
          <w:p w14:paraId="7543E8A6">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24C6FC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9200D41">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Borders>
              <w:bottom w:val="single" w:color="auto" w:sz="4" w:space="0"/>
            </w:tcBorders>
            <w:tcMar>
              <w:top w:w="57" w:type="dxa"/>
              <w:left w:w="28" w:type="dxa"/>
              <w:bottom w:w="57" w:type="dxa"/>
              <w:right w:w="28" w:type="dxa"/>
            </w:tcMar>
            <w:vAlign w:val="center"/>
          </w:tcPr>
          <w:p w14:paraId="06112950">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Borders>
              <w:bottom w:val="single" w:color="auto" w:sz="4" w:space="0"/>
            </w:tcBorders>
            <w:tcMar>
              <w:top w:w="57" w:type="dxa"/>
              <w:left w:w="28" w:type="dxa"/>
              <w:bottom w:w="57" w:type="dxa"/>
              <w:right w:w="28" w:type="dxa"/>
            </w:tcMar>
            <w:vAlign w:val="center"/>
          </w:tcPr>
          <w:p w14:paraId="067A984E">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Borders>
              <w:bottom w:val="single" w:color="auto" w:sz="4" w:space="0"/>
            </w:tcBorders>
            <w:tcMar>
              <w:top w:w="57" w:type="dxa"/>
              <w:left w:w="28" w:type="dxa"/>
              <w:bottom w:w="57" w:type="dxa"/>
              <w:right w:w="28" w:type="dxa"/>
            </w:tcMar>
            <w:vAlign w:val="center"/>
          </w:tcPr>
          <w:p w14:paraId="2814FF93">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tcBorders>
              <w:bottom w:val="single" w:color="auto" w:sz="4" w:space="0"/>
            </w:tcBorders>
            <w:vAlign w:val="center"/>
          </w:tcPr>
          <w:p w14:paraId="5C46DF4C">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6FBE61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E719AA9">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21206DED">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01E776FF">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70259E9F">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49837D97">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6D0969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49C6B57">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1204A0B5">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016865A2">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1E21750A">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5215BB6E">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7E9B05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734FDF2">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29EF5AFA">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63072599">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6A48E770">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36FDACE4">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3DC77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FFE6FD0">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6743321B">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6A38C537">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5C7410DC">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5EB61F6A">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060FB4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0168674">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4E4228C5">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5D1F7DCA">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10A17457">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48B381FA">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0AAE8B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8FDC053">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29697CBA">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7FE545D1">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4D4BD069">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2121528D">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7B2523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1A376D">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2784DA41">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44E61976">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429431BE">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42F2361B">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r w14:paraId="464E81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216323">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678" w:type="dxa"/>
            <w:tcMar>
              <w:top w:w="57" w:type="dxa"/>
              <w:left w:w="28" w:type="dxa"/>
              <w:bottom w:w="57" w:type="dxa"/>
              <w:right w:w="28" w:type="dxa"/>
            </w:tcMar>
            <w:vAlign w:val="center"/>
          </w:tcPr>
          <w:p w14:paraId="18EACF0C">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2700" w:type="dxa"/>
            <w:tcMar>
              <w:top w:w="57" w:type="dxa"/>
              <w:left w:w="28" w:type="dxa"/>
              <w:bottom w:w="57" w:type="dxa"/>
              <w:right w:w="28" w:type="dxa"/>
            </w:tcMar>
            <w:vAlign w:val="center"/>
          </w:tcPr>
          <w:p w14:paraId="4496FDBC">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650" w:type="dxa"/>
            <w:tcMar>
              <w:top w:w="57" w:type="dxa"/>
              <w:left w:w="28" w:type="dxa"/>
              <w:bottom w:w="57" w:type="dxa"/>
              <w:right w:w="28" w:type="dxa"/>
            </w:tcMar>
            <w:vAlign w:val="center"/>
          </w:tcPr>
          <w:p w14:paraId="1A128FC8">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c>
          <w:tcPr>
            <w:tcW w:w="1438" w:type="dxa"/>
            <w:vAlign w:val="center"/>
          </w:tcPr>
          <w:p w14:paraId="3ACD99F3">
            <w:pPr>
              <w:keepNext w:val="0"/>
              <w:keepLines w:val="0"/>
              <w:suppressLineNumbers w:val="0"/>
              <w:spacing w:before="0" w:beforeAutospacing="0" w:after="0" w:afterAutospacing="0" w:line="480" w:lineRule="exact"/>
              <w:ind w:left="0" w:right="-99" w:rightChars="-47"/>
              <w:rPr>
                <w:rFonts w:hint="eastAsia" w:ascii="仿宋" w:hAnsi="仿宋" w:eastAsia="仿宋" w:cs="仿宋"/>
                <w:sz w:val="28"/>
                <w:szCs w:val="28"/>
              </w:rPr>
            </w:pPr>
          </w:p>
        </w:tc>
      </w:tr>
    </w:tbl>
    <w:p w14:paraId="37BA8FBF">
      <w:pPr>
        <w:spacing w:line="480" w:lineRule="exact"/>
        <w:ind w:right="-99" w:rightChars="-47"/>
        <w:rPr>
          <w:rFonts w:hint="eastAsia" w:ascii="仿宋" w:hAnsi="仿宋" w:eastAsia="仿宋" w:cs="仿宋"/>
          <w:sz w:val="22"/>
          <w:szCs w:val="22"/>
        </w:rPr>
      </w:pPr>
      <w:r>
        <w:rPr>
          <w:rFonts w:hint="eastAsia" w:ascii="仿宋" w:hAnsi="仿宋" w:eastAsia="仿宋" w:cs="仿宋"/>
          <w:sz w:val="22"/>
          <w:szCs w:val="22"/>
        </w:rPr>
        <w:t>声明：</w:t>
      </w:r>
    </w:p>
    <w:p w14:paraId="756B58FB">
      <w:pPr>
        <w:spacing w:line="48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1、供应商如有商务偏离，在表中逐项列明。除本商务偏离表中所列的偏离项目外，其它所有商务响应均完全响应</w:t>
      </w:r>
      <w:r>
        <w:rPr>
          <w:rFonts w:hint="eastAsia" w:ascii="仿宋" w:hAnsi="仿宋" w:eastAsia="仿宋" w:cs="仿宋"/>
          <w:sz w:val="22"/>
          <w:szCs w:val="22"/>
          <w:lang w:eastAsia="zh-CN"/>
        </w:rPr>
        <w:t>磋商</w:t>
      </w:r>
      <w:r>
        <w:rPr>
          <w:rFonts w:hint="eastAsia" w:ascii="仿宋" w:hAnsi="仿宋" w:eastAsia="仿宋" w:cs="仿宋"/>
          <w:sz w:val="22"/>
          <w:szCs w:val="22"/>
        </w:rPr>
        <w:t>文件中的要求。</w:t>
      </w:r>
    </w:p>
    <w:p w14:paraId="2D7E0DBF">
      <w:pPr>
        <w:spacing w:line="48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2、如供应商全部响应</w:t>
      </w:r>
      <w:r>
        <w:rPr>
          <w:rFonts w:hint="eastAsia" w:ascii="仿宋" w:hAnsi="仿宋" w:eastAsia="仿宋" w:cs="仿宋"/>
          <w:sz w:val="22"/>
          <w:szCs w:val="22"/>
          <w:lang w:eastAsia="zh-CN"/>
        </w:rPr>
        <w:t>磋商</w:t>
      </w:r>
      <w:r>
        <w:rPr>
          <w:rFonts w:hint="eastAsia" w:ascii="仿宋" w:hAnsi="仿宋" w:eastAsia="仿宋" w:cs="仿宋"/>
          <w:sz w:val="22"/>
          <w:szCs w:val="22"/>
        </w:rPr>
        <w:t>文件商务要求，在“</w:t>
      </w:r>
      <w:r>
        <w:rPr>
          <w:rFonts w:hint="eastAsia" w:ascii="仿宋" w:hAnsi="仿宋" w:eastAsia="仿宋" w:cs="仿宋"/>
          <w:sz w:val="22"/>
          <w:szCs w:val="22"/>
          <w:lang w:eastAsia="zh-CN"/>
        </w:rPr>
        <w:t>磋商</w:t>
      </w:r>
      <w:r>
        <w:rPr>
          <w:rFonts w:hint="eastAsia" w:ascii="仿宋" w:hAnsi="仿宋" w:eastAsia="仿宋" w:cs="仿宋"/>
          <w:sz w:val="22"/>
          <w:szCs w:val="22"/>
        </w:rPr>
        <w:t>文件商务要求”及“</w:t>
      </w:r>
      <w:r>
        <w:rPr>
          <w:rFonts w:hint="eastAsia" w:ascii="仿宋" w:hAnsi="仿宋" w:eastAsia="仿宋" w:cs="仿宋"/>
          <w:sz w:val="22"/>
          <w:szCs w:val="22"/>
          <w:lang w:eastAsia="zh-CN"/>
        </w:rPr>
        <w:t>磋商响应文件</w:t>
      </w:r>
      <w:r>
        <w:rPr>
          <w:rFonts w:hint="eastAsia" w:ascii="仿宋" w:hAnsi="仿宋" w:eastAsia="仿宋" w:cs="仿宋"/>
          <w:sz w:val="22"/>
          <w:szCs w:val="22"/>
        </w:rPr>
        <w:t>文件商务要求”栏中填写“全部”字样，在“偏离情况”栏填入“无偏离”字样。</w:t>
      </w:r>
    </w:p>
    <w:p w14:paraId="31F9DD11">
      <w:pPr>
        <w:spacing w:line="480" w:lineRule="exact"/>
        <w:ind w:right="-99" w:rightChars="-47" w:firstLine="440" w:firstLineChars="200"/>
        <w:rPr>
          <w:rFonts w:hint="eastAsia" w:ascii="仿宋" w:hAnsi="仿宋" w:eastAsia="仿宋" w:cs="仿宋"/>
          <w:sz w:val="22"/>
          <w:szCs w:val="22"/>
        </w:rPr>
      </w:pPr>
    </w:p>
    <w:p w14:paraId="2202DB8E">
      <w:pPr>
        <w:spacing w:line="480" w:lineRule="exact"/>
        <w:ind w:right="-99" w:rightChars="-47" w:firstLine="440" w:firstLineChars="200"/>
        <w:rPr>
          <w:rFonts w:hint="eastAsia" w:ascii="仿宋" w:hAnsi="仿宋" w:eastAsia="仿宋" w:cs="仿宋"/>
          <w:sz w:val="22"/>
          <w:szCs w:val="22"/>
        </w:rPr>
      </w:pPr>
    </w:p>
    <w:p w14:paraId="12841A8F">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w:t>
      </w:r>
    </w:p>
    <w:p w14:paraId="332711C8">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756F9532">
      <w:pPr>
        <w:spacing w:line="480" w:lineRule="exact"/>
        <w:ind w:right="-99" w:rightChars="-47"/>
        <w:jc w:val="right"/>
        <w:rPr>
          <w:rFonts w:hint="eastAsia" w:ascii="仿宋" w:hAnsi="仿宋" w:eastAsia="仿宋" w:cs="仿宋"/>
          <w:sz w:val="22"/>
          <w:szCs w:val="22"/>
          <w:u w:val="single"/>
        </w:rPr>
      </w:pPr>
      <w:r>
        <w:rPr>
          <w:rFonts w:hint="eastAsia" w:ascii="仿宋" w:hAnsi="仿宋" w:eastAsia="仿宋" w:cs="仿宋"/>
          <w:color w:val="auto"/>
          <w:kern w:val="2"/>
          <w:sz w:val="24"/>
          <w:szCs w:val="24"/>
          <w:highlight w:val="none"/>
          <w:lang w:val="en-US" w:eastAsia="zh-CN" w:bidi="ar-SA"/>
        </w:rPr>
        <w:t>日期：　　年　月　日</w:t>
      </w:r>
    </w:p>
    <w:p w14:paraId="5C173DFC">
      <w:pPr>
        <w:rPr>
          <w:rFonts w:hint="eastAsia" w:ascii="仿宋" w:hAnsi="仿宋" w:eastAsia="仿宋" w:cs="仿宋"/>
        </w:rPr>
      </w:pPr>
    </w:p>
    <w:p w14:paraId="1AD8CF37">
      <w:pPr>
        <w:rPr>
          <w:rFonts w:hint="eastAsia" w:ascii="仿宋" w:hAnsi="仿宋" w:eastAsia="仿宋" w:cs="仿宋"/>
        </w:rPr>
      </w:pPr>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14:paraId="3207EE00">
      <w:pPr>
        <w:pStyle w:val="2"/>
        <w:numPr>
          <w:ilvl w:val="0"/>
          <w:numId w:val="0"/>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资格证明文件</w:t>
      </w:r>
      <w:bookmarkStart w:id="256" w:name="_Toc193187110"/>
      <w:bookmarkStart w:id="257" w:name="_Toc193126904"/>
      <w:bookmarkStart w:id="258" w:name="_Toc188808854"/>
      <w:bookmarkStart w:id="259" w:name="_Toc194663941"/>
    </w:p>
    <w:p w14:paraId="4139606A">
      <w:pPr>
        <w:rPr>
          <w:rFonts w:hint="eastAsia" w:ascii="仿宋" w:hAnsi="仿宋" w:eastAsia="仿宋" w:cs="仿宋"/>
          <w:b/>
          <w:kern w:val="2"/>
          <w:sz w:val="24"/>
          <w:szCs w:val="24"/>
          <w:lang w:val="en-US" w:eastAsia="zh-CN" w:bidi="ar-SA"/>
        </w:rPr>
      </w:pPr>
    </w:p>
    <w:p w14:paraId="06EE4DF1">
      <w:pPr>
        <w:rPr>
          <w:rFonts w:hint="eastAsia" w:ascii="仿宋" w:hAnsi="仿宋" w:eastAsia="仿宋" w:cs="仿宋"/>
          <w:b/>
          <w:kern w:val="2"/>
          <w:sz w:val="24"/>
          <w:szCs w:val="24"/>
          <w:lang w:val="en-US" w:eastAsia="zh-CN" w:bidi="ar-SA"/>
        </w:rPr>
      </w:pPr>
    </w:p>
    <w:p w14:paraId="79995790">
      <w:pPr>
        <w:rPr>
          <w:rFonts w:hint="eastAsia" w:ascii="仿宋" w:hAnsi="仿宋" w:eastAsia="仿宋" w:cs="仿宋"/>
          <w:b/>
          <w:kern w:val="2"/>
          <w:sz w:val="24"/>
          <w:szCs w:val="24"/>
          <w:lang w:val="en-US" w:eastAsia="zh-CN" w:bidi="ar-SA"/>
        </w:rPr>
      </w:pPr>
    </w:p>
    <w:p w14:paraId="188218E2">
      <w:pPr>
        <w:rPr>
          <w:rFonts w:hint="eastAsia" w:ascii="仿宋" w:hAnsi="仿宋" w:eastAsia="仿宋" w:cs="仿宋"/>
          <w:b/>
          <w:kern w:val="2"/>
          <w:sz w:val="24"/>
          <w:szCs w:val="24"/>
          <w:lang w:val="en-US" w:eastAsia="zh-CN" w:bidi="ar-SA"/>
        </w:rPr>
      </w:pPr>
    </w:p>
    <w:p w14:paraId="055F6526">
      <w:pPr>
        <w:rPr>
          <w:rFonts w:hint="eastAsia" w:ascii="仿宋" w:hAnsi="仿宋" w:eastAsia="仿宋" w:cs="仿宋"/>
          <w:b/>
          <w:kern w:val="2"/>
          <w:sz w:val="24"/>
          <w:szCs w:val="24"/>
          <w:lang w:val="en-US" w:eastAsia="zh-CN" w:bidi="ar-SA"/>
        </w:rPr>
      </w:pPr>
    </w:p>
    <w:p w14:paraId="602CE89A">
      <w:pPr>
        <w:rPr>
          <w:rFonts w:hint="eastAsia" w:ascii="仿宋" w:hAnsi="仿宋" w:eastAsia="仿宋" w:cs="仿宋"/>
          <w:b/>
          <w:kern w:val="2"/>
          <w:sz w:val="24"/>
          <w:szCs w:val="24"/>
          <w:lang w:val="en-US" w:eastAsia="zh-CN" w:bidi="ar-SA"/>
        </w:rPr>
      </w:pPr>
    </w:p>
    <w:p w14:paraId="568B4BC8">
      <w:pPr>
        <w:spacing w:line="360" w:lineRule="auto"/>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4-1、具有独立承担民事责任能力的法人、其他组织或自然人，提供合法有效的统一社会信用代码营业执照（事业单位提供事业单位法人证书，自然人提供身份证明）</w:t>
      </w:r>
    </w:p>
    <w:p w14:paraId="2AC7EE62">
      <w:pPr>
        <w:pStyle w:val="18"/>
        <w:rPr>
          <w:rFonts w:hint="eastAsia" w:ascii="仿宋" w:hAnsi="仿宋" w:eastAsia="仿宋" w:cs="仿宋"/>
        </w:rPr>
      </w:pPr>
    </w:p>
    <w:p w14:paraId="2A119BD5">
      <w:pPr>
        <w:rPr>
          <w:rFonts w:hint="eastAsia" w:ascii="仿宋" w:hAnsi="仿宋" w:eastAsia="仿宋" w:cs="仿宋"/>
        </w:rPr>
      </w:pPr>
    </w:p>
    <w:p w14:paraId="4ECB8C96">
      <w:pPr>
        <w:pStyle w:val="18"/>
        <w:rPr>
          <w:rFonts w:hint="eastAsia" w:ascii="仿宋" w:hAnsi="仿宋" w:eastAsia="仿宋" w:cs="仿宋"/>
        </w:rPr>
      </w:pPr>
    </w:p>
    <w:p w14:paraId="4CD020C2">
      <w:pPr>
        <w:rPr>
          <w:rFonts w:hint="eastAsia" w:ascii="仿宋" w:hAnsi="仿宋" w:eastAsia="仿宋" w:cs="仿宋"/>
        </w:rPr>
      </w:pPr>
    </w:p>
    <w:p w14:paraId="63A9FA18">
      <w:pPr>
        <w:rPr>
          <w:rFonts w:hint="eastAsia" w:ascii="仿宋" w:hAnsi="仿宋" w:eastAsia="仿宋" w:cs="仿宋"/>
        </w:rPr>
      </w:pPr>
      <w:r>
        <w:rPr>
          <w:rFonts w:hint="eastAsia" w:ascii="仿宋" w:hAnsi="仿宋" w:eastAsia="仿宋" w:cs="仿宋"/>
        </w:rPr>
        <w:br w:type="page"/>
      </w:r>
    </w:p>
    <w:p w14:paraId="7C6650B0">
      <w:pPr>
        <w:pStyle w:val="4"/>
        <w:spacing w:line="240" w:lineRule="auto"/>
        <w:jc w:val="center"/>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2-1</w:t>
      </w:r>
      <w:r>
        <w:rPr>
          <w:rFonts w:hint="eastAsia" w:ascii="仿宋" w:hAnsi="仿宋" w:eastAsia="仿宋" w:cs="仿宋"/>
        </w:rPr>
        <w:t>、法定代表人证明书</w:t>
      </w:r>
    </w:p>
    <w:tbl>
      <w:tblPr>
        <w:tblStyle w:val="4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60"/>
        <w:gridCol w:w="2330"/>
        <w:gridCol w:w="1234"/>
        <w:gridCol w:w="1896"/>
      </w:tblGrid>
      <w:tr w14:paraId="7D44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tcPr>
          <w:p w14:paraId="7FFA840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lang w:eastAsia="zh-CN"/>
              </w:rPr>
            </w:pPr>
            <w:r>
              <w:rPr>
                <w:rFonts w:hint="eastAsia" w:ascii="仿宋" w:hAnsi="仿宋" w:eastAsia="仿宋" w:cs="仿宋"/>
                <w:bCs/>
                <w:caps/>
                <w:sz w:val="22"/>
                <w:szCs w:val="22"/>
              </w:rPr>
              <w:t>致：</w:t>
            </w:r>
            <w:r>
              <w:rPr>
                <w:rFonts w:hint="eastAsia" w:ascii="仿宋" w:hAnsi="仿宋" w:eastAsia="仿宋" w:cs="仿宋"/>
                <w:bCs/>
                <w:caps/>
                <w:sz w:val="22"/>
                <w:szCs w:val="22"/>
                <w:lang w:eastAsia="zh-CN"/>
              </w:rPr>
              <w:t>陕西顺捷瑞工程项目管理有限公司</w:t>
            </w:r>
          </w:p>
        </w:tc>
      </w:tr>
      <w:tr w14:paraId="6CB5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Pr>
          <w:p w14:paraId="6C07DBD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p>
          <w:p w14:paraId="3C828F3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p>
          <w:p w14:paraId="25032B7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企</w:t>
            </w:r>
          </w:p>
          <w:p w14:paraId="1E8B793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业</w:t>
            </w:r>
          </w:p>
          <w:p w14:paraId="29E0A9E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法</w:t>
            </w:r>
          </w:p>
          <w:p w14:paraId="3BA8D67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人</w:t>
            </w:r>
          </w:p>
        </w:tc>
        <w:tc>
          <w:tcPr>
            <w:tcW w:w="2460" w:type="dxa"/>
          </w:tcPr>
          <w:p w14:paraId="010F221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 xml:space="preserve">企 业 名 称 </w:t>
            </w:r>
          </w:p>
        </w:tc>
        <w:tc>
          <w:tcPr>
            <w:tcW w:w="5460" w:type="dxa"/>
            <w:gridSpan w:val="3"/>
          </w:tcPr>
          <w:p w14:paraId="30F2A8D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34E1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384B306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7DBA00D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lang w:eastAsia="zh-CN"/>
              </w:rPr>
            </w:pPr>
            <w:r>
              <w:rPr>
                <w:rFonts w:hint="eastAsia" w:ascii="仿宋" w:hAnsi="仿宋" w:eastAsia="仿宋" w:cs="仿宋"/>
                <w:bCs/>
                <w:caps/>
                <w:sz w:val="22"/>
                <w:szCs w:val="22"/>
              </w:rPr>
              <w:t xml:space="preserve">法 定 </w:t>
            </w:r>
            <w:r>
              <w:rPr>
                <w:rFonts w:hint="eastAsia" w:ascii="仿宋" w:hAnsi="仿宋" w:eastAsia="仿宋" w:cs="仿宋"/>
                <w:bCs/>
                <w:caps/>
                <w:sz w:val="22"/>
                <w:szCs w:val="22"/>
                <w:lang w:eastAsia="zh-CN"/>
              </w:rPr>
              <w:t>住</w:t>
            </w:r>
            <w:r>
              <w:rPr>
                <w:rFonts w:hint="eastAsia" w:ascii="仿宋" w:hAnsi="仿宋" w:eastAsia="仿宋" w:cs="仿宋"/>
                <w:bCs/>
                <w:caps/>
                <w:sz w:val="22"/>
                <w:szCs w:val="22"/>
                <w:lang w:val="en-US" w:eastAsia="zh-CN"/>
              </w:rPr>
              <w:t xml:space="preserve"> </w:t>
            </w:r>
            <w:r>
              <w:rPr>
                <w:rFonts w:hint="eastAsia" w:ascii="仿宋" w:hAnsi="仿宋" w:eastAsia="仿宋" w:cs="仿宋"/>
                <w:bCs/>
                <w:caps/>
                <w:sz w:val="22"/>
                <w:szCs w:val="22"/>
                <w:lang w:eastAsia="zh-CN"/>
              </w:rPr>
              <w:t>所</w:t>
            </w:r>
          </w:p>
        </w:tc>
        <w:tc>
          <w:tcPr>
            <w:tcW w:w="5460" w:type="dxa"/>
            <w:gridSpan w:val="3"/>
          </w:tcPr>
          <w:p w14:paraId="72B3E76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3502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748F0D1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3BC79B4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邮 政 编 码</w:t>
            </w:r>
          </w:p>
        </w:tc>
        <w:tc>
          <w:tcPr>
            <w:tcW w:w="5460" w:type="dxa"/>
            <w:gridSpan w:val="3"/>
          </w:tcPr>
          <w:p w14:paraId="728C9FB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5EE6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5BF5984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47F9D83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网       址</w:t>
            </w:r>
          </w:p>
        </w:tc>
        <w:tc>
          <w:tcPr>
            <w:tcW w:w="5460" w:type="dxa"/>
            <w:gridSpan w:val="3"/>
          </w:tcPr>
          <w:p w14:paraId="4AF2708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2CB1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23A7A91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4B1A63E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工商登记机关</w:t>
            </w:r>
          </w:p>
        </w:tc>
        <w:tc>
          <w:tcPr>
            <w:tcW w:w="5460" w:type="dxa"/>
            <w:gridSpan w:val="3"/>
          </w:tcPr>
          <w:p w14:paraId="199B44F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0" w:firstLineChars="1000"/>
              <w:jc w:val="left"/>
              <w:rPr>
                <w:rFonts w:hint="eastAsia" w:ascii="仿宋" w:hAnsi="仿宋" w:eastAsia="仿宋" w:cs="仿宋"/>
                <w:bCs/>
                <w:caps/>
                <w:sz w:val="22"/>
                <w:szCs w:val="22"/>
              </w:rPr>
            </w:pPr>
          </w:p>
        </w:tc>
      </w:tr>
      <w:tr w14:paraId="4997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80" w:type="dxa"/>
            <w:vMerge w:val="continue"/>
          </w:tcPr>
          <w:p w14:paraId="48B57AE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vAlign w:val="center"/>
          </w:tcPr>
          <w:p w14:paraId="1989190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r>
              <w:rPr>
                <w:rFonts w:hint="eastAsia" w:ascii="仿宋" w:hAnsi="仿宋" w:eastAsia="仿宋" w:cs="仿宋"/>
                <w:bCs/>
                <w:caps/>
                <w:sz w:val="22"/>
                <w:szCs w:val="22"/>
              </w:rPr>
              <w:t>税务登记机关</w:t>
            </w:r>
          </w:p>
        </w:tc>
        <w:tc>
          <w:tcPr>
            <w:tcW w:w="5460" w:type="dxa"/>
            <w:gridSpan w:val="3"/>
          </w:tcPr>
          <w:p w14:paraId="6CEF24F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2767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80" w:type="dxa"/>
            <w:vMerge w:val="continue"/>
          </w:tcPr>
          <w:p w14:paraId="49263FF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4790" w:type="dxa"/>
            <w:gridSpan w:val="2"/>
          </w:tcPr>
          <w:p w14:paraId="68D015D5">
            <w:pPr>
              <w:keepNext w:val="0"/>
              <w:keepLines w:val="0"/>
              <w:suppressLineNumbers w:val="0"/>
              <w:tabs>
                <w:tab w:val="right" w:leader="dot" w:pos="9022"/>
              </w:tabs>
              <w:autoSpaceDE w:val="0"/>
              <w:autoSpaceDN w:val="0"/>
              <w:adjustRightInd w:val="0"/>
              <w:spacing w:before="0" w:beforeAutospacing="0" w:after="0" w:afterAutospacing="0" w:line="240" w:lineRule="auto"/>
              <w:ind w:left="0" w:right="-99" w:rightChars="-47"/>
              <w:jc w:val="center"/>
              <w:rPr>
                <w:rFonts w:hint="eastAsia" w:ascii="仿宋" w:hAnsi="仿宋" w:eastAsia="仿宋" w:cs="仿宋"/>
                <w:bCs/>
                <w:caps/>
                <w:sz w:val="22"/>
                <w:szCs w:val="22"/>
              </w:rPr>
            </w:pPr>
            <w:r>
              <w:rPr>
                <w:rFonts w:hint="eastAsia" w:ascii="仿宋" w:hAnsi="仿宋" w:eastAsia="仿宋" w:cs="仿宋"/>
                <w:bCs/>
                <w:caps/>
                <w:sz w:val="22"/>
                <w:szCs w:val="22"/>
              </w:rPr>
              <w:t>机构代码证号</w:t>
            </w:r>
          </w:p>
          <w:p w14:paraId="786A2D4C">
            <w:pPr>
              <w:keepNext w:val="0"/>
              <w:keepLines w:val="0"/>
              <w:suppressLineNumbers w:val="0"/>
              <w:tabs>
                <w:tab w:val="right" w:leader="dot" w:pos="9022"/>
              </w:tabs>
              <w:autoSpaceDE w:val="0"/>
              <w:autoSpaceDN w:val="0"/>
              <w:adjustRightInd w:val="0"/>
              <w:spacing w:before="0" w:beforeAutospacing="0" w:after="0" w:afterAutospacing="0" w:line="240" w:lineRule="auto"/>
              <w:ind w:left="0" w:right="-99" w:rightChars="-47"/>
              <w:jc w:val="center"/>
              <w:rPr>
                <w:rFonts w:hint="eastAsia" w:ascii="仿宋" w:hAnsi="仿宋" w:eastAsia="仿宋" w:cs="仿宋"/>
                <w:bCs/>
                <w:caps/>
                <w:sz w:val="22"/>
                <w:szCs w:val="22"/>
              </w:rPr>
            </w:pPr>
            <w:r>
              <w:rPr>
                <w:rFonts w:hint="eastAsia" w:ascii="仿宋" w:hAnsi="仿宋" w:eastAsia="仿宋" w:cs="仿宋"/>
                <w:bCs/>
                <w:caps/>
                <w:sz w:val="22"/>
                <w:szCs w:val="22"/>
              </w:rPr>
              <w:t>（或统一社会信用代码证号）</w:t>
            </w:r>
          </w:p>
        </w:tc>
        <w:tc>
          <w:tcPr>
            <w:tcW w:w="3130" w:type="dxa"/>
            <w:gridSpan w:val="2"/>
          </w:tcPr>
          <w:p w14:paraId="476F2A9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22BD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14:paraId="6B2F094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r>
              <w:rPr>
                <w:rFonts w:hint="eastAsia" w:ascii="仿宋" w:hAnsi="仿宋" w:eastAsia="仿宋" w:cs="仿宋"/>
                <w:bCs/>
                <w:caps/>
                <w:sz w:val="22"/>
                <w:szCs w:val="22"/>
              </w:rPr>
              <w:t>法 定</w:t>
            </w:r>
          </w:p>
          <w:p w14:paraId="156826D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r>
              <w:rPr>
                <w:rFonts w:hint="eastAsia" w:ascii="仿宋" w:hAnsi="仿宋" w:eastAsia="仿宋" w:cs="仿宋"/>
                <w:bCs/>
                <w:caps/>
                <w:sz w:val="22"/>
                <w:szCs w:val="22"/>
              </w:rPr>
              <w:t>代 表</w:t>
            </w:r>
          </w:p>
          <w:p w14:paraId="2B44E7F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rPr>
                <w:rFonts w:hint="eastAsia" w:ascii="仿宋" w:hAnsi="仿宋" w:eastAsia="仿宋" w:cs="仿宋"/>
                <w:bCs/>
                <w:caps/>
                <w:sz w:val="22"/>
                <w:szCs w:val="22"/>
              </w:rPr>
            </w:pPr>
            <w:r>
              <w:rPr>
                <w:rFonts w:hint="eastAsia" w:ascii="仿宋" w:hAnsi="仿宋" w:eastAsia="仿宋" w:cs="仿宋"/>
                <w:bCs/>
                <w:caps/>
                <w:sz w:val="22"/>
                <w:szCs w:val="22"/>
              </w:rPr>
              <w:t>人</w:t>
            </w:r>
          </w:p>
        </w:tc>
        <w:tc>
          <w:tcPr>
            <w:tcW w:w="2460" w:type="dxa"/>
          </w:tcPr>
          <w:p w14:paraId="128FBD4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姓    名</w:t>
            </w:r>
          </w:p>
        </w:tc>
        <w:tc>
          <w:tcPr>
            <w:tcW w:w="2330" w:type="dxa"/>
          </w:tcPr>
          <w:p w14:paraId="655034B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234" w:type="dxa"/>
          </w:tcPr>
          <w:p w14:paraId="442FF6E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性    别</w:t>
            </w:r>
          </w:p>
        </w:tc>
        <w:tc>
          <w:tcPr>
            <w:tcW w:w="1896" w:type="dxa"/>
          </w:tcPr>
          <w:p w14:paraId="03929A6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74B5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0AF8211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57076B7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职    务</w:t>
            </w:r>
          </w:p>
        </w:tc>
        <w:tc>
          <w:tcPr>
            <w:tcW w:w="2330" w:type="dxa"/>
          </w:tcPr>
          <w:p w14:paraId="6800190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234" w:type="dxa"/>
          </w:tcPr>
          <w:p w14:paraId="736A008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联系电话</w:t>
            </w:r>
          </w:p>
        </w:tc>
        <w:tc>
          <w:tcPr>
            <w:tcW w:w="1896" w:type="dxa"/>
          </w:tcPr>
          <w:p w14:paraId="1A4BFFB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1EDA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tcPr>
          <w:p w14:paraId="2DF2F6E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2460" w:type="dxa"/>
          </w:tcPr>
          <w:p w14:paraId="7E05346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sz w:val="22"/>
                <w:szCs w:val="22"/>
              </w:rPr>
            </w:pPr>
            <w:r>
              <w:rPr>
                <w:rFonts w:hint="eastAsia" w:ascii="仿宋" w:hAnsi="仿宋" w:eastAsia="仿宋" w:cs="仿宋"/>
                <w:bCs/>
                <w:caps/>
                <w:sz w:val="22"/>
                <w:szCs w:val="22"/>
              </w:rPr>
              <w:t>传    真</w:t>
            </w:r>
          </w:p>
        </w:tc>
        <w:tc>
          <w:tcPr>
            <w:tcW w:w="5460" w:type="dxa"/>
            <w:gridSpan w:val="3"/>
          </w:tcPr>
          <w:p w14:paraId="353B163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44CB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080" w:type="dxa"/>
            <w:vMerge w:val="restart"/>
          </w:tcPr>
          <w:p w14:paraId="15416C4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1D82A1C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3BF8B4B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0FE85D6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法定代表人（负责人）身份证</w:t>
            </w:r>
          </w:p>
        </w:tc>
        <w:tc>
          <w:tcPr>
            <w:tcW w:w="4790" w:type="dxa"/>
            <w:gridSpan w:val="2"/>
            <w:vMerge w:val="restart"/>
            <w:vAlign w:val="center"/>
          </w:tcPr>
          <w:p w14:paraId="4BC0FDF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p>
          <w:p w14:paraId="3EFCA09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lang w:eastAsia="zh-CN"/>
              </w:rPr>
            </w:pPr>
            <w:r>
              <w:rPr>
                <w:rFonts w:hint="eastAsia" w:ascii="仿宋" w:hAnsi="仿宋" w:eastAsia="仿宋" w:cs="仿宋"/>
                <w:bCs/>
                <w:caps/>
                <w:sz w:val="22"/>
                <w:szCs w:val="22"/>
                <w:lang w:eastAsia="zh-CN"/>
              </w:rPr>
              <w:t>（打印或粘贴）</w:t>
            </w:r>
          </w:p>
          <w:p w14:paraId="59409B6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p w14:paraId="51A8B96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p w14:paraId="201DBA5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tc>
        <w:tc>
          <w:tcPr>
            <w:tcW w:w="3130" w:type="dxa"/>
            <w:gridSpan w:val="2"/>
          </w:tcPr>
          <w:p w14:paraId="0C3A01A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（法定代表人签字）</w:t>
            </w:r>
          </w:p>
        </w:tc>
      </w:tr>
      <w:tr w14:paraId="2E48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080" w:type="dxa"/>
            <w:vMerge w:val="continue"/>
          </w:tcPr>
          <w:p w14:paraId="4904BE5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4790" w:type="dxa"/>
            <w:gridSpan w:val="2"/>
            <w:vMerge w:val="continue"/>
          </w:tcPr>
          <w:p w14:paraId="0BD3D23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tc>
        <w:tc>
          <w:tcPr>
            <w:tcW w:w="3130" w:type="dxa"/>
            <w:gridSpan w:val="2"/>
          </w:tcPr>
          <w:p w14:paraId="4AE38C1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78218B0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4089443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p w14:paraId="5B36BC4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110" w:firstLineChars="50"/>
              <w:jc w:val="left"/>
              <w:rPr>
                <w:rFonts w:hint="eastAsia" w:ascii="仿宋" w:hAnsi="仿宋" w:eastAsia="仿宋" w:cs="仿宋"/>
                <w:bCs/>
                <w:caps/>
                <w:sz w:val="22"/>
                <w:szCs w:val="22"/>
              </w:rPr>
            </w:pPr>
            <w:r>
              <w:rPr>
                <w:rFonts w:hint="eastAsia" w:ascii="仿宋" w:hAnsi="仿宋" w:eastAsia="仿宋" w:cs="仿宋"/>
                <w:bCs/>
                <w:caps/>
                <w:sz w:val="22"/>
                <w:szCs w:val="22"/>
              </w:rPr>
              <w:t>（</w:t>
            </w:r>
            <w:r>
              <w:rPr>
                <w:rFonts w:hint="eastAsia" w:ascii="仿宋" w:hAnsi="仿宋" w:eastAsia="仿宋" w:cs="仿宋"/>
                <w:color w:val="auto"/>
                <w:sz w:val="24"/>
                <w:szCs w:val="24"/>
                <w:highlight w:val="none"/>
              </w:rPr>
              <w:t>盖单位章</w:t>
            </w:r>
            <w:r>
              <w:rPr>
                <w:rFonts w:hint="eastAsia" w:ascii="仿宋" w:hAnsi="仿宋" w:eastAsia="仿宋" w:cs="仿宋"/>
                <w:bCs/>
                <w:caps/>
                <w:sz w:val="22"/>
                <w:szCs w:val="22"/>
              </w:rPr>
              <w:t>）</w:t>
            </w:r>
          </w:p>
          <w:p w14:paraId="499843F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 xml:space="preserve">   </w:t>
            </w:r>
          </w:p>
          <w:p w14:paraId="3586765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1320" w:firstLineChars="600"/>
              <w:jc w:val="left"/>
              <w:rPr>
                <w:rFonts w:hint="eastAsia" w:ascii="仿宋" w:hAnsi="仿宋" w:eastAsia="仿宋" w:cs="仿宋"/>
                <w:bCs/>
                <w:caps/>
                <w:sz w:val="22"/>
                <w:szCs w:val="22"/>
              </w:rPr>
            </w:pPr>
            <w:r>
              <w:rPr>
                <w:rFonts w:hint="eastAsia" w:ascii="仿宋" w:hAnsi="仿宋" w:eastAsia="仿宋" w:cs="仿宋"/>
                <w:bCs/>
                <w:caps/>
                <w:sz w:val="22"/>
                <w:szCs w:val="22"/>
              </w:rPr>
              <w:t>年  月  日</w:t>
            </w:r>
          </w:p>
        </w:tc>
      </w:tr>
    </w:tbl>
    <w:p w14:paraId="0704D5C7">
      <w:pPr>
        <w:spacing w:line="480" w:lineRule="exact"/>
        <w:ind w:right="-99" w:rightChars="-47"/>
        <w:outlineLvl w:val="1"/>
        <w:rPr>
          <w:rFonts w:hint="eastAsia" w:ascii="仿宋" w:hAnsi="仿宋" w:eastAsia="仿宋" w:cs="仿宋"/>
          <w:b/>
          <w:bCs/>
          <w:sz w:val="28"/>
          <w:szCs w:val="28"/>
        </w:rPr>
        <w:sectPr>
          <w:headerReference r:id="rId11" w:type="default"/>
          <w:footerReference r:id="rId12" w:type="default"/>
          <w:pgSz w:w="11907" w:h="16840"/>
          <w:pgMar w:top="1440" w:right="1803" w:bottom="1440" w:left="1803" w:header="851" w:footer="992" w:gutter="0"/>
          <w:pgNumType w:fmt="decimal"/>
          <w:cols w:space="720" w:num="1"/>
          <w:docGrid w:linePitch="312" w:charSpace="0"/>
        </w:sectPr>
      </w:pPr>
    </w:p>
    <w:p w14:paraId="4C8925B6">
      <w:pPr>
        <w:pStyle w:val="4"/>
        <w:spacing w:line="240" w:lineRule="auto"/>
        <w:jc w:val="center"/>
        <w:rPr>
          <w:rFonts w:hint="eastAsia" w:ascii="仿宋" w:hAnsi="仿宋" w:eastAsia="仿宋" w:cs="仿宋"/>
          <w:sz w:val="28"/>
          <w:szCs w:val="28"/>
        </w:rPr>
      </w:pPr>
      <w:r>
        <w:rPr>
          <w:rFonts w:hint="eastAsia" w:ascii="仿宋" w:hAnsi="仿宋" w:eastAsia="仿宋" w:cs="仿宋"/>
          <w:sz w:val="28"/>
          <w:szCs w:val="28"/>
        </w:rPr>
        <w:t>4-2</w:t>
      </w: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、法定代表人授权书</w:t>
      </w:r>
    </w:p>
    <w:tbl>
      <w:tblPr>
        <w:tblStyle w:val="4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40"/>
        <w:gridCol w:w="2709"/>
        <w:gridCol w:w="651"/>
        <w:gridCol w:w="1440"/>
        <w:gridCol w:w="2400"/>
      </w:tblGrid>
      <w:tr w14:paraId="0881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8" w:type="dxa"/>
            <w:gridSpan w:val="6"/>
          </w:tcPr>
          <w:p w14:paraId="4FB1126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lang w:eastAsia="zh-CN"/>
              </w:rPr>
            </w:pPr>
            <w:r>
              <w:rPr>
                <w:rFonts w:hint="eastAsia" w:ascii="仿宋" w:hAnsi="仿宋" w:eastAsia="仿宋" w:cs="仿宋"/>
                <w:bCs/>
                <w:caps/>
                <w:sz w:val="22"/>
                <w:szCs w:val="22"/>
              </w:rPr>
              <w:t>致：</w:t>
            </w:r>
            <w:r>
              <w:rPr>
                <w:rFonts w:hint="eastAsia" w:ascii="仿宋" w:hAnsi="仿宋" w:eastAsia="仿宋" w:cs="仿宋"/>
                <w:bCs/>
                <w:caps/>
                <w:sz w:val="22"/>
                <w:szCs w:val="22"/>
                <w:lang w:eastAsia="zh-CN"/>
              </w:rPr>
              <w:t>陕西顺捷瑞工程项目管理有限公司</w:t>
            </w:r>
          </w:p>
        </w:tc>
      </w:tr>
      <w:tr w14:paraId="2669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28" w:type="dxa"/>
            <w:vMerge w:val="restart"/>
            <w:vAlign w:val="center"/>
          </w:tcPr>
          <w:p w14:paraId="23C702D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lang w:eastAsia="zh-CN"/>
              </w:rPr>
            </w:pPr>
            <w:r>
              <w:rPr>
                <w:rFonts w:hint="eastAsia" w:ascii="仿宋" w:hAnsi="仿宋" w:eastAsia="仿宋" w:cs="仿宋"/>
                <w:bCs/>
                <w:caps/>
                <w:sz w:val="22"/>
                <w:szCs w:val="22"/>
                <w:lang w:eastAsia="zh-CN"/>
              </w:rPr>
              <w:t>授权代表</w:t>
            </w:r>
          </w:p>
        </w:tc>
        <w:tc>
          <w:tcPr>
            <w:tcW w:w="1440" w:type="dxa"/>
          </w:tcPr>
          <w:p w14:paraId="13DEB13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姓    名</w:t>
            </w:r>
          </w:p>
        </w:tc>
        <w:tc>
          <w:tcPr>
            <w:tcW w:w="3360" w:type="dxa"/>
            <w:gridSpan w:val="2"/>
          </w:tcPr>
          <w:p w14:paraId="25C4B18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3AC530E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性    别</w:t>
            </w:r>
          </w:p>
        </w:tc>
        <w:tc>
          <w:tcPr>
            <w:tcW w:w="2400" w:type="dxa"/>
          </w:tcPr>
          <w:p w14:paraId="3828BF8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22B9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28" w:type="dxa"/>
            <w:vMerge w:val="continue"/>
          </w:tcPr>
          <w:p w14:paraId="497F050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04ABB7C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职    务</w:t>
            </w:r>
          </w:p>
        </w:tc>
        <w:tc>
          <w:tcPr>
            <w:tcW w:w="3360" w:type="dxa"/>
            <w:gridSpan w:val="2"/>
          </w:tcPr>
          <w:p w14:paraId="013EC5B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4C93187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手机号码</w:t>
            </w:r>
          </w:p>
        </w:tc>
        <w:tc>
          <w:tcPr>
            <w:tcW w:w="2400" w:type="dxa"/>
          </w:tcPr>
          <w:p w14:paraId="4A58761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511E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14D2E7F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05216DA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联系电话</w:t>
            </w:r>
          </w:p>
        </w:tc>
        <w:tc>
          <w:tcPr>
            <w:tcW w:w="3360" w:type="dxa"/>
            <w:gridSpan w:val="2"/>
          </w:tcPr>
          <w:p w14:paraId="402043F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3ABF79E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图文传真</w:t>
            </w:r>
          </w:p>
        </w:tc>
        <w:tc>
          <w:tcPr>
            <w:tcW w:w="2400" w:type="dxa"/>
          </w:tcPr>
          <w:p w14:paraId="6D4E8E8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230A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72D30CC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1964ABC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通讯地址</w:t>
            </w:r>
          </w:p>
        </w:tc>
        <w:tc>
          <w:tcPr>
            <w:tcW w:w="7200" w:type="dxa"/>
            <w:gridSpan w:val="4"/>
          </w:tcPr>
          <w:p w14:paraId="7F1D875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4285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59E8E6A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3AEF02B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网    址</w:t>
            </w:r>
          </w:p>
        </w:tc>
        <w:tc>
          <w:tcPr>
            <w:tcW w:w="7200" w:type="dxa"/>
            <w:gridSpan w:val="4"/>
          </w:tcPr>
          <w:p w14:paraId="4C35146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4A56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restart"/>
          </w:tcPr>
          <w:p w14:paraId="3D3975B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被</w:t>
            </w:r>
          </w:p>
          <w:p w14:paraId="7DFF2A4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授</w:t>
            </w:r>
          </w:p>
          <w:p w14:paraId="7F9CAD6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权</w:t>
            </w:r>
          </w:p>
          <w:p w14:paraId="5CC8657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项</w:t>
            </w:r>
          </w:p>
          <w:p w14:paraId="034EC00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目</w:t>
            </w:r>
          </w:p>
          <w:p w14:paraId="169CC55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与</w:t>
            </w:r>
          </w:p>
          <w:p w14:paraId="27DF9C6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内</w:t>
            </w:r>
          </w:p>
          <w:p w14:paraId="47BE996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容</w:t>
            </w:r>
          </w:p>
        </w:tc>
        <w:tc>
          <w:tcPr>
            <w:tcW w:w="1440" w:type="dxa"/>
          </w:tcPr>
          <w:p w14:paraId="30C64A7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项目名称</w:t>
            </w:r>
          </w:p>
        </w:tc>
        <w:tc>
          <w:tcPr>
            <w:tcW w:w="7200" w:type="dxa"/>
            <w:gridSpan w:val="4"/>
          </w:tcPr>
          <w:p w14:paraId="6FC5D58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r>
      <w:tr w14:paraId="1890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3B65416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6205982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文件编号</w:t>
            </w:r>
          </w:p>
        </w:tc>
        <w:tc>
          <w:tcPr>
            <w:tcW w:w="7200" w:type="dxa"/>
            <w:gridSpan w:val="4"/>
          </w:tcPr>
          <w:p w14:paraId="3BFDAF1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SJR2025-ZC0103</w:t>
            </w:r>
          </w:p>
        </w:tc>
      </w:tr>
      <w:tr w14:paraId="62AE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739A498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vAlign w:val="center"/>
          </w:tcPr>
          <w:p w14:paraId="1FB7F7A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r>
              <w:rPr>
                <w:rFonts w:hint="eastAsia" w:ascii="仿宋" w:hAnsi="仿宋" w:eastAsia="仿宋" w:cs="仿宋"/>
                <w:bCs/>
                <w:caps/>
                <w:sz w:val="22"/>
                <w:szCs w:val="22"/>
              </w:rPr>
              <w:t>授权范围</w:t>
            </w:r>
          </w:p>
        </w:tc>
        <w:tc>
          <w:tcPr>
            <w:tcW w:w="7200" w:type="dxa"/>
            <w:gridSpan w:val="4"/>
          </w:tcPr>
          <w:p w14:paraId="1B06896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全权办理本次采购项目的磋商、现场澄清、联系、洽谈、签约、执行等具体事务，签署全部有关文件、文书、协议及合同。</w:t>
            </w:r>
          </w:p>
        </w:tc>
      </w:tr>
      <w:tr w14:paraId="53C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8" w:type="dxa"/>
            <w:vMerge w:val="continue"/>
          </w:tcPr>
          <w:p w14:paraId="3F4523E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tcPr>
          <w:p w14:paraId="201F65B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法律责任</w:t>
            </w:r>
          </w:p>
        </w:tc>
        <w:tc>
          <w:tcPr>
            <w:tcW w:w="7200" w:type="dxa"/>
            <w:gridSpan w:val="4"/>
          </w:tcPr>
          <w:p w14:paraId="78BC446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本公司对</w:t>
            </w:r>
            <w:r>
              <w:rPr>
                <w:rFonts w:hint="eastAsia" w:ascii="仿宋" w:hAnsi="仿宋" w:eastAsia="仿宋" w:cs="仿宋"/>
                <w:bCs/>
                <w:caps/>
                <w:sz w:val="22"/>
                <w:szCs w:val="22"/>
                <w:lang w:eastAsia="zh-CN"/>
              </w:rPr>
              <w:t>授权代表</w:t>
            </w:r>
            <w:r>
              <w:rPr>
                <w:rFonts w:hint="eastAsia" w:ascii="仿宋" w:hAnsi="仿宋" w:eastAsia="仿宋" w:cs="仿宋"/>
                <w:bCs/>
                <w:caps/>
                <w:sz w:val="22"/>
                <w:szCs w:val="22"/>
              </w:rPr>
              <w:t>在本项目中的签名承担全部法律责任。</w:t>
            </w:r>
          </w:p>
        </w:tc>
      </w:tr>
      <w:tr w14:paraId="5E44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7496742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p>
        </w:tc>
        <w:tc>
          <w:tcPr>
            <w:tcW w:w="1440" w:type="dxa"/>
            <w:vAlign w:val="center"/>
          </w:tcPr>
          <w:p w14:paraId="65B8A29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r>
              <w:rPr>
                <w:rFonts w:hint="eastAsia" w:ascii="仿宋" w:hAnsi="仿宋" w:eastAsia="仿宋" w:cs="仿宋"/>
                <w:bCs/>
                <w:caps/>
                <w:sz w:val="22"/>
                <w:szCs w:val="22"/>
              </w:rPr>
              <w:t>授权期限</w:t>
            </w:r>
          </w:p>
        </w:tc>
        <w:tc>
          <w:tcPr>
            <w:tcW w:w="7200" w:type="dxa"/>
            <w:gridSpan w:val="4"/>
            <w:vAlign w:val="center"/>
          </w:tcPr>
          <w:p w14:paraId="4993145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lang w:eastAsia="zh-CN"/>
              </w:rPr>
            </w:pPr>
            <w:r>
              <w:rPr>
                <w:rFonts w:hint="eastAsia" w:ascii="仿宋" w:hAnsi="仿宋" w:eastAsia="仿宋" w:cs="仿宋"/>
                <w:bCs/>
                <w:caps/>
                <w:sz w:val="22"/>
                <w:szCs w:val="22"/>
              </w:rPr>
              <w:t>本授权书自磋商大会之日计算有效期为</w:t>
            </w:r>
            <w:r>
              <w:rPr>
                <w:rFonts w:hint="eastAsia" w:ascii="仿宋" w:hAnsi="仿宋" w:eastAsia="仿宋" w:cs="仿宋"/>
                <w:bCs/>
                <w:caps/>
                <w:sz w:val="22"/>
                <w:szCs w:val="22"/>
                <w:u w:val="single"/>
              </w:rPr>
              <w:t xml:space="preserve"> </w:t>
            </w:r>
            <w:r>
              <w:rPr>
                <w:rFonts w:hint="eastAsia" w:ascii="仿宋" w:hAnsi="仿宋" w:eastAsia="仿宋" w:cs="仿宋"/>
                <w:bCs/>
                <w:caps/>
                <w:sz w:val="22"/>
                <w:szCs w:val="22"/>
                <w:u w:val="single"/>
                <w:lang w:val="en-US" w:eastAsia="zh-CN"/>
              </w:rPr>
              <w:t xml:space="preserve">    </w:t>
            </w:r>
            <w:r>
              <w:rPr>
                <w:rFonts w:hint="eastAsia" w:ascii="仿宋" w:hAnsi="仿宋" w:eastAsia="仿宋" w:cs="仿宋"/>
                <w:bCs/>
                <w:caps/>
                <w:sz w:val="22"/>
                <w:szCs w:val="22"/>
                <w:u w:val="single"/>
              </w:rPr>
              <w:t xml:space="preserve"> </w:t>
            </w:r>
            <w:r>
              <w:rPr>
                <w:rFonts w:hint="eastAsia" w:ascii="仿宋" w:hAnsi="仿宋" w:eastAsia="仿宋" w:cs="仿宋"/>
                <w:bCs/>
                <w:caps/>
                <w:sz w:val="22"/>
                <w:szCs w:val="22"/>
              </w:rPr>
              <w:t>天</w:t>
            </w:r>
            <w:r>
              <w:rPr>
                <w:rFonts w:hint="eastAsia" w:ascii="仿宋" w:hAnsi="仿宋" w:eastAsia="仿宋" w:cs="仿宋"/>
                <w:bCs/>
                <w:caps/>
                <w:sz w:val="22"/>
                <w:szCs w:val="22"/>
                <w:lang w:eastAsia="zh-CN"/>
              </w:rPr>
              <w:t>（需满足磋商有效期要求）</w:t>
            </w:r>
          </w:p>
        </w:tc>
      </w:tr>
      <w:tr w14:paraId="1D92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77" w:type="dxa"/>
            <w:gridSpan w:val="3"/>
          </w:tcPr>
          <w:p w14:paraId="72675FD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560"/>
              <w:jc w:val="left"/>
              <w:rPr>
                <w:rFonts w:hint="eastAsia" w:ascii="仿宋" w:hAnsi="仿宋" w:eastAsia="仿宋" w:cs="仿宋"/>
                <w:bCs/>
                <w:caps/>
                <w:sz w:val="22"/>
                <w:szCs w:val="22"/>
              </w:rPr>
            </w:pPr>
            <w:r>
              <w:rPr>
                <w:rFonts w:hint="eastAsia" w:ascii="仿宋" w:hAnsi="仿宋" w:eastAsia="仿宋" w:cs="仿宋"/>
                <w:bCs/>
                <w:caps/>
                <w:sz w:val="22"/>
                <w:szCs w:val="22"/>
                <w:lang w:eastAsia="zh-CN"/>
              </w:rPr>
              <w:t>授权代表</w:t>
            </w:r>
            <w:r>
              <w:rPr>
                <w:rFonts w:hint="eastAsia" w:ascii="仿宋" w:hAnsi="仿宋" w:eastAsia="仿宋" w:cs="仿宋"/>
                <w:bCs/>
                <w:caps/>
                <w:sz w:val="22"/>
                <w:szCs w:val="22"/>
              </w:rPr>
              <w:t>身份证</w:t>
            </w:r>
          </w:p>
        </w:tc>
        <w:tc>
          <w:tcPr>
            <w:tcW w:w="4491" w:type="dxa"/>
            <w:gridSpan w:val="3"/>
          </w:tcPr>
          <w:p w14:paraId="1D0F444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440" w:firstLineChars="200"/>
              <w:jc w:val="left"/>
              <w:rPr>
                <w:rFonts w:hint="eastAsia" w:ascii="仿宋" w:hAnsi="仿宋" w:eastAsia="仿宋" w:cs="仿宋"/>
                <w:bCs/>
                <w:caps/>
                <w:sz w:val="22"/>
                <w:szCs w:val="22"/>
              </w:rPr>
            </w:pPr>
            <w:r>
              <w:rPr>
                <w:rFonts w:hint="eastAsia" w:ascii="仿宋" w:hAnsi="仿宋" w:eastAsia="仿宋" w:cs="仿宋"/>
                <w:bCs/>
                <w:caps/>
                <w:sz w:val="22"/>
                <w:szCs w:val="22"/>
              </w:rPr>
              <w:t>法定代表人签署栏</w:t>
            </w:r>
          </w:p>
        </w:tc>
      </w:tr>
      <w:tr w14:paraId="2A42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4677" w:type="dxa"/>
            <w:gridSpan w:val="3"/>
            <w:vMerge w:val="restart"/>
            <w:vAlign w:val="center"/>
          </w:tcPr>
          <w:p w14:paraId="3FB8B3E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sz w:val="22"/>
                <w:szCs w:val="22"/>
              </w:rPr>
            </w:pPr>
          </w:p>
          <w:p w14:paraId="2C16480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p w14:paraId="6AFD5DB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lang w:eastAsia="zh-CN"/>
              </w:rPr>
            </w:pPr>
            <w:r>
              <w:rPr>
                <w:rFonts w:hint="eastAsia" w:ascii="仿宋" w:hAnsi="仿宋" w:eastAsia="仿宋" w:cs="仿宋"/>
                <w:bCs/>
                <w:caps/>
                <w:sz w:val="22"/>
                <w:szCs w:val="22"/>
                <w:lang w:eastAsia="zh-CN"/>
              </w:rPr>
              <w:t>（打印或粘贴）</w:t>
            </w:r>
          </w:p>
          <w:p w14:paraId="5DB6CC8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p w14:paraId="58CC743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p w14:paraId="11CDC77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tc>
        <w:tc>
          <w:tcPr>
            <w:tcW w:w="4491" w:type="dxa"/>
            <w:gridSpan w:val="3"/>
          </w:tcPr>
          <w:p w14:paraId="2C795A2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440" w:firstLineChars="200"/>
              <w:jc w:val="left"/>
              <w:rPr>
                <w:rFonts w:hint="eastAsia" w:ascii="仿宋" w:hAnsi="仿宋" w:eastAsia="仿宋" w:cs="仿宋"/>
                <w:bCs/>
                <w:caps/>
                <w:sz w:val="22"/>
                <w:szCs w:val="22"/>
              </w:rPr>
            </w:pPr>
          </w:p>
          <w:p w14:paraId="1BC8216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440" w:firstLineChars="200"/>
              <w:jc w:val="left"/>
              <w:rPr>
                <w:rFonts w:hint="eastAsia" w:ascii="仿宋" w:hAnsi="仿宋" w:eastAsia="仿宋" w:cs="仿宋"/>
                <w:bCs/>
                <w:caps/>
                <w:sz w:val="22"/>
                <w:szCs w:val="22"/>
              </w:rPr>
            </w:pPr>
            <w:r>
              <w:rPr>
                <w:rFonts w:hint="eastAsia" w:ascii="仿宋" w:hAnsi="仿宋" w:eastAsia="仿宋" w:cs="仿宋"/>
                <w:bCs/>
                <w:caps/>
                <w:sz w:val="22"/>
                <w:szCs w:val="22"/>
              </w:rPr>
              <w:t>（法定代表人签字）</w:t>
            </w:r>
          </w:p>
        </w:tc>
      </w:tr>
      <w:tr w14:paraId="075B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4677" w:type="dxa"/>
            <w:gridSpan w:val="3"/>
            <w:vMerge w:val="continue"/>
          </w:tcPr>
          <w:p w14:paraId="2363C9C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sz w:val="22"/>
                <w:szCs w:val="22"/>
              </w:rPr>
            </w:pPr>
          </w:p>
        </w:tc>
        <w:tc>
          <w:tcPr>
            <w:tcW w:w="4491" w:type="dxa"/>
            <w:gridSpan w:val="3"/>
          </w:tcPr>
          <w:p w14:paraId="1E6368A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w:t>
            </w:r>
            <w:r>
              <w:rPr>
                <w:rFonts w:hint="eastAsia" w:ascii="仿宋" w:hAnsi="仿宋" w:eastAsia="仿宋" w:cs="仿宋"/>
                <w:color w:val="auto"/>
                <w:sz w:val="24"/>
                <w:szCs w:val="24"/>
                <w:highlight w:val="none"/>
              </w:rPr>
              <w:t>盖单位章</w:t>
            </w:r>
            <w:r>
              <w:rPr>
                <w:rFonts w:hint="eastAsia" w:ascii="仿宋" w:hAnsi="仿宋" w:eastAsia="仿宋" w:cs="仿宋"/>
                <w:bCs/>
                <w:caps/>
                <w:sz w:val="22"/>
                <w:szCs w:val="22"/>
              </w:rPr>
              <w:t>）</w:t>
            </w:r>
          </w:p>
          <w:p w14:paraId="5FD5CEA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sz w:val="22"/>
                <w:szCs w:val="22"/>
              </w:rPr>
            </w:pPr>
            <w:r>
              <w:rPr>
                <w:rFonts w:hint="eastAsia" w:ascii="仿宋" w:hAnsi="仿宋" w:eastAsia="仿宋" w:cs="仿宋"/>
                <w:bCs/>
                <w:caps/>
                <w:sz w:val="22"/>
                <w:szCs w:val="22"/>
              </w:rPr>
              <w:t xml:space="preserve">                  </w:t>
            </w:r>
          </w:p>
          <w:p w14:paraId="1608D08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1870" w:firstLineChars="850"/>
              <w:jc w:val="left"/>
              <w:rPr>
                <w:rFonts w:hint="eastAsia" w:ascii="仿宋" w:hAnsi="仿宋" w:eastAsia="仿宋" w:cs="仿宋"/>
                <w:bCs/>
                <w:caps/>
                <w:sz w:val="22"/>
                <w:szCs w:val="22"/>
              </w:rPr>
            </w:pPr>
          </w:p>
          <w:p w14:paraId="23F1C78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090" w:firstLineChars="950"/>
              <w:jc w:val="left"/>
              <w:rPr>
                <w:rFonts w:hint="eastAsia" w:ascii="仿宋" w:hAnsi="仿宋" w:eastAsia="仿宋" w:cs="仿宋"/>
                <w:bCs/>
                <w:caps/>
                <w:sz w:val="22"/>
                <w:szCs w:val="22"/>
              </w:rPr>
            </w:pPr>
            <w:r>
              <w:rPr>
                <w:rFonts w:hint="eastAsia" w:ascii="仿宋" w:hAnsi="仿宋" w:eastAsia="仿宋" w:cs="仿宋"/>
                <w:bCs/>
                <w:caps/>
                <w:sz w:val="22"/>
                <w:szCs w:val="22"/>
              </w:rPr>
              <w:t xml:space="preserve"> 年  月  日</w:t>
            </w:r>
          </w:p>
        </w:tc>
      </w:tr>
    </w:tbl>
    <w:p w14:paraId="707B719B">
      <w:pPr>
        <w:pStyle w:val="18"/>
        <w:rPr>
          <w:rFonts w:hint="eastAsia" w:ascii="仿宋" w:hAnsi="仿宋" w:eastAsia="仿宋" w:cs="仿宋"/>
          <w:b/>
          <w:bCs/>
          <w:lang w:eastAsia="zh-CN"/>
        </w:rPr>
      </w:pPr>
      <w:r>
        <w:rPr>
          <w:rFonts w:hint="eastAsia" w:ascii="仿宋" w:hAnsi="仿宋" w:eastAsia="仿宋" w:cs="仿宋"/>
          <w:b/>
          <w:bCs/>
          <w:lang w:eastAsia="zh-CN"/>
        </w:rPr>
        <w:t>法定代表人直接参与投标，无授权代表的，可删除此表</w:t>
      </w:r>
    </w:p>
    <w:p w14:paraId="2DB2611A">
      <w:pPr>
        <w:rPr>
          <w:rFonts w:hint="eastAsia" w:ascii="仿宋" w:hAnsi="仿宋" w:eastAsia="仿宋" w:cs="仿宋"/>
        </w:rPr>
      </w:pPr>
    </w:p>
    <w:p w14:paraId="6EB0BA60">
      <w:pPr>
        <w:pStyle w:val="18"/>
        <w:rPr>
          <w:rFonts w:hint="eastAsia" w:ascii="仿宋" w:hAnsi="仿宋" w:eastAsia="仿宋" w:cs="仿宋"/>
        </w:rPr>
      </w:pPr>
    </w:p>
    <w:p w14:paraId="42339640">
      <w:pPr>
        <w:spacing w:line="360" w:lineRule="auto"/>
        <w:jc w:val="center"/>
        <w:rPr>
          <w:rFonts w:hint="eastAsia" w:ascii="仿宋" w:hAnsi="仿宋" w:eastAsia="仿宋" w:cs="仿宋"/>
          <w:b/>
          <w:bCs/>
          <w:sz w:val="28"/>
          <w:szCs w:val="36"/>
        </w:rPr>
      </w:pPr>
      <w:r>
        <w:rPr>
          <w:rFonts w:hint="eastAsia" w:ascii="仿宋" w:hAnsi="仿宋" w:eastAsia="仿宋" w:cs="仿宋"/>
          <w:b/>
          <w:kern w:val="2"/>
          <w:sz w:val="32"/>
          <w:szCs w:val="20"/>
          <w:lang w:val="en-US" w:eastAsia="zh-CN" w:bidi="ar-SA"/>
        </w:rPr>
        <w:t>4-3、汉中市政府采购供应商资格承诺函</w:t>
      </w:r>
    </w:p>
    <w:p w14:paraId="73C1E140">
      <w:pPr>
        <w:spacing w:line="360" w:lineRule="auto"/>
        <w:jc w:val="left"/>
        <w:rPr>
          <w:rFonts w:hint="eastAsia" w:ascii="仿宋" w:hAnsi="仿宋" w:eastAsia="仿宋" w:cs="仿宋"/>
          <w:b/>
          <w:bCs/>
          <w:sz w:val="28"/>
          <w:szCs w:val="36"/>
        </w:rPr>
      </w:pPr>
    </w:p>
    <w:p w14:paraId="1367F8F4">
      <w:pPr>
        <w:spacing w:line="360" w:lineRule="auto"/>
        <w:jc w:val="left"/>
        <w:rPr>
          <w:rFonts w:hint="eastAsia" w:ascii="仿宋" w:hAnsi="仿宋" w:eastAsia="仿宋" w:cs="仿宋"/>
          <w:b/>
          <w:bCs/>
          <w:sz w:val="28"/>
          <w:szCs w:val="36"/>
        </w:rPr>
      </w:pPr>
      <w:r>
        <w:rPr>
          <w:rFonts w:hint="eastAsia" w:ascii="仿宋" w:hAnsi="仿宋" w:eastAsia="仿宋" w:cs="仿宋"/>
          <w:b/>
          <w:bCs/>
          <w:sz w:val="28"/>
          <w:szCs w:val="36"/>
        </w:rPr>
        <w:t>致:(采购人、采购代理机构名称)</w:t>
      </w:r>
    </w:p>
    <w:p w14:paraId="3D90CBE0">
      <w:pPr>
        <w:spacing w:line="360" w:lineRule="auto"/>
        <w:ind w:firstLine="562" w:firstLineChars="200"/>
        <w:jc w:val="left"/>
        <w:rPr>
          <w:rFonts w:hint="eastAsia" w:ascii="仿宋" w:hAnsi="仿宋" w:eastAsia="仿宋" w:cs="仿宋"/>
          <w:sz w:val="28"/>
          <w:szCs w:val="36"/>
        </w:rPr>
      </w:pPr>
      <w:r>
        <w:rPr>
          <w:rFonts w:hint="eastAsia" w:ascii="仿宋" w:hAnsi="仿宋" w:eastAsia="仿宋" w:cs="仿宋"/>
          <w:b/>
          <w:bCs/>
          <w:sz w:val="28"/>
          <w:szCs w:val="36"/>
        </w:rPr>
        <w:t>(投标人名称)郑重承诺:</w:t>
      </w:r>
    </w:p>
    <w:p w14:paraId="6BB65BBB">
      <w:pPr>
        <w:spacing w:line="360" w:lineRule="auto"/>
        <w:ind w:firstLine="560" w:firstLineChars="200"/>
        <w:jc w:val="left"/>
        <w:rPr>
          <w:rFonts w:hint="eastAsia" w:ascii="仿宋" w:hAnsi="仿宋" w:eastAsia="仿宋" w:cs="仿宋"/>
          <w:sz w:val="28"/>
          <w:szCs w:val="36"/>
        </w:rPr>
      </w:pPr>
      <w:r>
        <w:rPr>
          <w:rFonts w:hint="eastAsia" w:ascii="仿宋" w:hAnsi="仿宋" w:eastAsia="仿宋" w:cs="仿宋"/>
          <w:sz w:val="28"/>
          <w:szCs w:val="36"/>
        </w:rPr>
        <w:t>1.我方具有良好的商业信誉和健全的财务会计制度,具有履行合同所必需的设备和专业技术能力，具有依法缴纳税收和社会保障金的良好记录，参加本项目采购活动前三年内无重大违法活动记录。</w:t>
      </w:r>
    </w:p>
    <w:p w14:paraId="0FC5517B">
      <w:pPr>
        <w:spacing w:line="360" w:lineRule="auto"/>
        <w:ind w:firstLine="560" w:firstLineChars="200"/>
        <w:jc w:val="left"/>
        <w:rPr>
          <w:rFonts w:hint="eastAsia" w:ascii="仿宋" w:hAnsi="仿宋" w:eastAsia="仿宋" w:cs="仿宋"/>
          <w:sz w:val="28"/>
          <w:szCs w:val="36"/>
        </w:rPr>
      </w:pPr>
      <w:r>
        <w:rPr>
          <w:rFonts w:hint="eastAsia" w:ascii="仿宋" w:hAnsi="仿宋" w:eastAsia="仿宋" w:cs="仿宋"/>
          <w:sz w:val="28"/>
          <w:szCs w:val="36"/>
        </w:rPr>
        <w:t>2.我方未列入在信用中国网站“失信被执行人”、“重大税收违法案件当事人名单”中(www.creditchina.gov.cn)，也未列入中国政府采购网“政府采购严重违法失信行为记录名单”中(www.ccgp.gov.cn)。</w:t>
      </w:r>
    </w:p>
    <w:p w14:paraId="061C965E">
      <w:pPr>
        <w:spacing w:line="360" w:lineRule="auto"/>
        <w:ind w:firstLine="560" w:firstLineChars="200"/>
        <w:jc w:val="left"/>
        <w:rPr>
          <w:rFonts w:hint="eastAsia" w:ascii="仿宋" w:hAnsi="仿宋" w:eastAsia="仿宋" w:cs="仿宋"/>
          <w:sz w:val="28"/>
          <w:szCs w:val="36"/>
        </w:rPr>
      </w:pPr>
      <w:r>
        <w:rPr>
          <w:rFonts w:hint="eastAsia" w:ascii="仿宋" w:hAnsi="仿宋" w:eastAsia="仿宋" w:cs="仿宋"/>
          <w:sz w:val="28"/>
          <w:szCs w:val="36"/>
        </w:rPr>
        <w:t>3.我方在采购项目评审(评标)环节结束后，随时接受采购人、采购代理机构的检查验证，配合提供相关证明材料，证明符合《中华人民共和国政府采购法》规定的投标人基本资格条件。</w:t>
      </w:r>
    </w:p>
    <w:p w14:paraId="34BC2ADC">
      <w:pPr>
        <w:spacing w:line="360" w:lineRule="auto"/>
        <w:ind w:firstLine="562" w:firstLineChars="200"/>
        <w:jc w:val="left"/>
        <w:rPr>
          <w:rFonts w:hint="eastAsia" w:ascii="仿宋" w:hAnsi="仿宋" w:eastAsia="仿宋" w:cs="仿宋"/>
          <w:sz w:val="28"/>
          <w:szCs w:val="36"/>
        </w:rPr>
      </w:pPr>
      <w:r>
        <w:rPr>
          <w:rFonts w:hint="eastAsia" w:ascii="仿宋" w:hAnsi="仿宋" w:eastAsia="仿宋" w:cs="仿宋"/>
          <w:b/>
          <w:bCs/>
          <w:sz w:val="28"/>
          <w:szCs w:val="36"/>
        </w:rPr>
        <w:t>我方对以上承诺负全部法律责任。</w:t>
      </w:r>
    </w:p>
    <w:p w14:paraId="7C9A1A02">
      <w:pPr>
        <w:spacing w:line="360" w:lineRule="auto"/>
        <w:ind w:firstLine="560" w:firstLineChars="200"/>
        <w:jc w:val="left"/>
        <w:rPr>
          <w:rFonts w:hint="eastAsia" w:ascii="仿宋" w:hAnsi="仿宋" w:eastAsia="仿宋" w:cs="仿宋"/>
          <w:sz w:val="28"/>
          <w:szCs w:val="36"/>
        </w:rPr>
      </w:pPr>
    </w:p>
    <w:p w14:paraId="475D9943">
      <w:pPr>
        <w:spacing w:line="360" w:lineRule="auto"/>
        <w:ind w:firstLine="560" w:firstLineChars="200"/>
        <w:jc w:val="left"/>
        <w:rPr>
          <w:rFonts w:hint="eastAsia" w:ascii="仿宋" w:hAnsi="仿宋" w:eastAsia="仿宋" w:cs="仿宋"/>
          <w:sz w:val="28"/>
          <w:szCs w:val="36"/>
        </w:rPr>
      </w:pPr>
      <w:r>
        <w:rPr>
          <w:rFonts w:hint="eastAsia" w:ascii="仿宋" w:hAnsi="仿宋" w:eastAsia="仿宋" w:cs="仿宋"/>
          <w:sz w:val="28"/>
          <w:szCs w:val="36"/>
        </w:rPr>
        <w:t>特此承诺。</w:t>
      </w:r>
    </w:p>
    <w:p w14:paraId="40539F66">
      <w:pPr>
        <w:spacing w:line="360" w:lineRule="auto"/>
        <w:ind w:firstLine="560" w:firstLineChars="200"/>
        <w:jc w:val="right"/>
        <w:rPr>
          <w:rFonts w:hint="eastAsia" w:ascii="仿宋" w:hAnsi="仿宋" w:eastAsia="仿宋" w:cs="仿宋"/>
          <w:sz w:val="28"/>
          <w:szCs w:val="36"/>
          <w:lang w:eastAsia="zh-CN"/>
        </w:rPr>
      </w:pPr>
    </w:p>
    <w:p w14:paraId="46C6CEEC">
      <w:pPr>
        <w:spacing w:line="360" w:lineRule="auto"/>
        <w:ind w:firstLine="560" w:firstLineChars="200"/>
        <w:jc w:val="right"/>
        <w:rPr>
          <w:rFonts w:hint="eastAsia" w:ascii="仿宋" w:hAnsi="仿宋" w:eastAsia="仿宋" w:cs="仿宋"/>
          <w:sz w:val="28"/>
          <w:szCs w:val="36"/>
        </w:rPr>
      </w:pPr>
      <w:r>
        <w:rPr>
          <w:rFonts w:hint="eastAsia" w:ascii="仿宋" w:hAnsi="仿宋" w:eastAsia="仿宋" w:cs="仿宋"/>
          <w:sz w:val="28"/>
          <w:szCs w:val="36"/>
          <w:lang w:eastAsia="zh-CN"/>
        </w:rPr>
        <w:t>投标人：</w:t>
      </w:r>
      <w:r>
        <w:rPr>
          <w:rFonts w:hint="eastAsia" w:ascii="仿宋" w:hAnsi="仿宋" w:eastAsia="仿宋" w:cs="仿宋"/>
          <w:sz w:val="28"/>
          <w:szCs w:val="36"/>
        </w:rPr>
        <w:t>(投标人公章)</w:t>
      </w:r>
    </w:p>
    <w:p w14:paraId="0FDC23F3">
      <w:pPr>
        <w:pStyle w:val="42"/>
        <w:spacing w:line="360" w:lineRule="auto"/>
        <w:jc w:val="right"/>
        <w:rPr>
          <w:rFonts w:hint="eastAsia" w:ascii="仿宋" w:hAnsi="仿宋" w:eastAsia="仿宋" w:cs="仿宋"/>
          <w:b/>
          <w:kern w:val="2"/>
          <w:sz w:val="28"/>
          <w:szCs w:val="18"/>
          <w:lang w:val="en-US" w:eastAsia="zh-CN" w:bidi="ar-SA"/>
        </w:rPr>
      </w:pPr>
      <w:r>
        <w:rPr>
          <w:rFonts w:hint="eastAsia" w:ascii="仿宋" w:hAnsi="仿宋" w:eastAsia="仿宋" w:cs="仿宋"/>
          <w:sz w:val="28"/>
          <w:szCs w:val="36"/>
        </w:rPr>
        <w:t>日期:</w:t>
      </w:r>
      <w:r>
        <w:rPr>
          <w:rFonts w:hint="eastAsia" w:ascii="仿宋" w:hAnsi="仿宋" w:eastAsia="仿宋" w:cs="仿宋"/>
          <w:sz w:val="28"/>
          <w:szCs w:val="36"/>
          <w:lang w:val="en-US" w:eastAsia="zh-CN"/>
        </w:rPr>
        <w:t xml:space="preserve">    </w:t>
      </w:r>
      <w:r>
        <w:rPr>
          <w:rFonts w:hint="eastAsia" w:ascii="仿宋" w:hAnsi="仿宋" w:eastAsia="仿宋" w:cs="仿宋"/>
          <w:sz w:val="28"/>
          <w:szCs w:val="36"/>
        </w:rPr>
        <w:t>年</w:t>
      </w:r>
      <w:r>
        <w:rPr>
          <w:rFonts w:hint="eastAsia" w:ascii="仿宋" w:hAnsi="仿宋" w:eastAsia="仿宋" w:cs="仿宋"/>
          <w:sz w:val="28"/>
          <w:szCs w:val="36"/>
          <w:lang w:val="en-US" w:eastAsia="zh-CN"/>
        </w:rPr>
        <w:t xml:space="preserve">   </w:t>
      </w:r>
      <w:r>
        <w:rPr>
          <w:rFonts w:hint="eastAsia" w:ascii="仿宋" w:hAnsi="仿宋" w:eastAsia="仿宋" w:cs="仿宋"/>
          <w:sz w:val="28"/>
          <w:szCs w:val="36"/>
        </w:rPr>
        <w:t>月</w:t>
      </w:r>
      <w:r>
        <w:rPr>
          <w:rFonts w:hint="eastAsia" w:ascii="仿宋" w:hAnsi="仿宋" w:eastAsia="仿宋" w:cs="仿宋"/>
          <w:sz w:val="28"/>
          <w:szCs w:val="36"/>
          <w:lang w:val="en-US" w:eastAsia="zh-CN"/>
        </w:rPr>
        <w:t xml:space="preserve">   </w:t>
      </w:r>
      <w:r>
        <w:rPr>
          <w:rFonts w:hint="eastAsia" w:ascii="仿宋" w:hAnsi="仿宋" w:eastAsia="仿宋" w:cs="仿宋"/>
          <w:sz w:val="28"/>
          <w:szCs w:val="36"/>
        </w:rPr>
        <w:t>日</w:t>
      </w:r>
    </w:p>
    <w:p w14:paraId="0ACE3F2C">
      <w:pPr>
        <w:pStyle w:val="42"/>
        <w:jc w:val="center"/>
        <w:rPr>
          <w:rFonts w:hint="eastAsia" w:ascii="仿宋" w:hAnsi="仿宋" w:eastAsia="仿宋" w:cs="仿宋"/>
          <w:b/>
          <w:kern w:val="2"/>
          <w:sz w:val="28"/>
          <w:szCs w:val="18"/>
          <w:lang w:val="en-US" w:eastAsia="zh-CN" w:bidi="ar-SA"/>
        </w:rPr>
      </w:pPr>
    </w:p>
    <w:p w14:paraId="6E47BA2F">
      <w:pPr>
        <w:pStyle w:val="42"/>
        <w:jc w:val="center"/>
        <w:rPr>
          <w:rFonts w:hint="eastAsia" w:ascii="仿宋" w:hAnsi="仿宋" w:eastAsia="仿宋" w:cs="仿宋"/>
          <w:b/>
          <w:kern w:val="2"/>
          <w:sz w:val="28"/>
          <w:szCs w:val="18"/>
          <w:lang w:val="en-US" w:eastAsia="zh-CN" w:bidi="ar-SA"/>
        </w:rPr>
      </w:pPr>
    </w:p>
    <w:p w14:paraId="01FAC21B">
      <w:pPr>
        <w:pStyle w:val="42"/>
        <w:jc w:val="center"/>
        <w:rPr>
          <w:rFonts w:hint="eastAsia" w:ascii="仿宋" w:hAnsi="仿宋" w:eastAsia="仿宋" w:cs="仿宋"/>
          <w:b/>
          <w:kern w:val="2"/>
          <w:sz w:val="28"/>
          <w:szCs w:val="18"/>
          <w:lang w:val="en-US" w:eastAsia="zh-CN" w:bidi="ar-SA"/>
        </w:rPr>
      </w:pPr>
    </w:p>
    <w:p w14:paraId="119BD6D8">
      <w:pPr>
        <w:pStyle w:val="42"/>
        <w:jc w:val="center"/>
        <w:rPr>
          <w:rFonts w:hint="eastAsia" w:ascii="仿宋" w:hAnsi="仿宋" w:eastAsia="仿宋" w:cs="仿宋"/>
          <w:b/>
          <w:kern w:val="2"/>
          <w:sz w:val="28"/>
          <w:szCs w:val="18"/>
          <w:lang w:val="en-US" w:eastAsia="zh-CN" w:bidi="ar-SA"/>
        </w:rPr>
      </w:pPr>
    </w:p>
    <w:p w14:paraId="3E864ED3">
      <w:pPr>
        <w:pStyle w:val="42"/>
        <w:jc w:val="center"/>
        <w:rPr>
          <w:rFonts w:hint="eastAsia" w:ascii="仿宋" w:hAnsi="仿宋" w:eastAsia="仿宋" w:cs="仿宋"/>
          <w:b/>
          <w:kern w:val="2"/>
          <w:sz w:val="28"/>
          <w:szCs w:val="18"/>
          <w:lang w:val="en-US" w:eastAsia="zh-CN" w:bidi="ar-SA"/>
        </w:rPr>
      </w:pPr>
    </w:p>
    <w:p w14:paraId="19110245">
      <w:pPr>
        <w:pStyle w:val="42"/>
        <w:jc w:val="center"/>
        <w:rPr>
          <w:rFonts w:hint="eastAsia" w:ascii="仿宋" w:hAnsi="仿宋" w:eastAsia="仿宋" w:cs="仿宋"/>
          <w:b/>
          <w:kern w:val="2"/>
          <w:sz w:val="28"/>
          <w:szCs w:val="18"/>
          <w:lang w:val="en-US" w:eastAsia="zh-CN" w:bidi="ar-SA"/>
        </w:rPr>
      </w:pPr>
    </w:p>
    <w:p w14:paraId="499AD27D">
      <w:pPr>
        <w:pStyle w:val="42"/>
        <w:jc w:val="center"/>
        <w:rPr>
          <w:rFonts w:hint="eastAsia" w:ascii="仿宋" w:hAnsi="仿宋" w:eastAsia="仿宋" w:cs="仿宋"/>
          <w:b/>
          <w:kern w:val="2"/>
          <w:sz w:val="28"/>
          <w:szCs w:val="18"/>
          <w:lang w:val="en-US" w:eastAsia="zh-CN" w:bidi="ar-SA"/>
        </w:rPr>
      </w:pPr>
    </w:p>
    <w:p w14:paraId="5A9D24F8">
      <w:pPr>
        <w:pStyle w:val="42"/>
        <w:ind w:left="0" w:leftChars="0" w:firstLine="0" w:firstLineChars="0"/>
        <w:jc w:val="both"/>
        <w:rPr>
          <w:rFonts w:hint="eastAsia" w:ascii="仿宋" w:hAnsi="仿宋" w:eastAsia="仿宋" w:cs="仿宋"/>
          <w:b/>
          <w:kern w:val="2"/>
          <w:sz w:val="28"/>
          <w:szCs w:val="18"/>
          <w:lang w:val="en-US" w:eastAsia="zh-CN" w:bidi="ar-SA"/>
        </w:rPr>
      </w:pPr>
    </w:p>
    <w:p w14:paraId="56EA45BA">
      <w:pPr>
        <w:bidi w:val="0"/>
        <w:jc w:val="both"/>
        <w:rPr>
          <w:rFonts w:hint="eastAsia" w:ascii="仿宋" w:hAnsi="仿宋" w:eastAsia="仿宋" w:cs="仿宋"/>
          <w:b/>
          <w:kern w:val="2"/>
          <w:sz w:val="28"/>
          <w:szCs w:val="18"/>
          <w:lang w:val="en-US" w:eastAsia="zh-CN" w:bidi="ar-SA"/>
        </w:rPr>
      </w:pPr>
      <w:r>
        <w:rPr>
          <w:rFonts w:hint="eastAsia" w:ascii="仿宋" w:hAnsi="仿宋" w:eastAsia="仿宋" w:cs="仿宋"/>
          <w:b/>
          <w:kern w:val="2"/>
          <w:sz w:val="28"/>
          <w:szCs w:val="18"/>
          <w:lang w:val="en-US" w:eastAsia="zh-CN" w:bidi="ar-SA"/>
        </w:rPr>
        <w:t>4-4、本项目为专门面向中小企业预留份额采购项目（整体预留），中小企业应按照招标文件要求提供相应证明材料。</w:t>
      </w:r>
    </w:p>
    <w:p w14:paraId="5B32B519">
      <w:pPr>
        <w:bidi w:val="0"/>
        <w:jc w:val="center"/>
        <w:rPr>
          <w:rFonts w:hint="eastAsia" w:ascii="仿宋" w:hAnsi="仿宋" w:eastAsia="仿宋" w:cs="仿宋"/>
          <w:b/>
          <w:bCs/>
          <w:kern w:val="2"/>
          <w:sz w:val="36"/>
          <w:szCs w:val="36"/>
          <w:lang w:val="en-US" w:eastAsia="zh-CN" w:bidi="ar-SA"/>
        </w:rPr>
      </w:pPr>
    </w:p>
    <w:p w14:paraId="74D2ACA1">
      <w:pPr>
        <w:bidi w:val="0"/>
        <w:jc w:val="center"/>
        <w:rPr>
          <w:rFonts w:hint="eastAsia" w:ascii="仿宋" w:hAnsi="仿宋" w:eastAsia="仿宋" w:cs="仿宋"/>
          <w:lang w:val="en-US" w:eastAsia="zh-CN"/>
        </w:rPr>
      </w:pPr>
      <w:r>
        <w:rPr>
          <w:rFonts w:hint="eastAsia" w:ascii="仿宋" w:hAnsi="仿宋" w:eastAsia="仿宋" w:cs="仿宋"/>
          <w:b/>
          <w:bCs/>
          <w:kern w:val="2"/>
          <w:sz w:val="36"/>
          <w:szCs w:val="36"/>
          <w:lang w:val="en-US" w:eastAsia="zh-CN" w:bidi="ar-SA"/>
        </w:rPr>
        <w:t>中小企业声明函（服务）</w:t>
      </w:r>
    </w:p>
    <w:p w14:paraId="4ADFB1D2">
      <w:pPr>
        <w:rPr>
          <w:rFonts w:hint="eastAsia" w:ascii="仿宋" w:hAnsi="仿宋" w:eastAsia="仿宋" w:cs="仿宋"/>
          <w:b w:val="0"/>
          <w:kern w:val="2"/>
          <w:sz w:val="22"/>
          <w:szCs w:val="22"/>
          <w:lang w:val="en-US" w:eastAsia="zh-CN" w:bidi="ar-SA"/>
        </w:rPr>
      </w:pPr>
    </w:p>
    <w:p w14:paraId="4DB0F696">
      <w:pPr>
        <w:spacing w:line="588" w:lineRule="exact"/>
        <w:ind w:firstLine="440" w:firstLineChars="20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本公司（联合体）郑重声明，根据《政府采购促进中小企业发展管理办法》（财库﹝2020﹞46 号）的规定，本公司（联合体）参加</w:t>
      </w:r>
      <w:r>
        <w:rPr>
          <w:rFonts w:hint="eastAsia" w:ascii="仿宋" w:hAnsi="仿宋" w:eastAsia="仿宋" w:cs="仿宋"/>
          <w:b w:val="0"/>
          <w:kern w:val="2"/>
          <w:sz w:val="22"/>
          <w:szCs w:val="22"/>
          <w:u w:val="single"/>
          <w:lang w:val="en-US" w:eastAsia="zh-CN" w:bidi="ar-SA"/>
        </w:rPr>
        <w:t>（单位名称）</w:t>
      </w:r>
      <w:r>
        <w:rPr>
          <w:rFonts w:hint="eastAsia" w:ascii="仿宋" w:hAnsi="仿宋" w:eastAsia="仿宋" w:cs="仿宋"/>
          <w:b w:val="0"/>
          <w:kern w:val="2"/>
          <w:sz w:val="22"/>
          <w:szCs w:val="22"/>
          <w:lang w:val="en-US" w:eastAsia="zh-CN" w:bidi="ar-SA"/>
        </w:rPr>
        <w:t>的</w:t>
      </w:r>
      <w:r>
        <w:rPr>
          <w:rFonts w:hint="eastAsia" w:ascii="仿宋" w:hAnsi="仿宋" w:eastAsia="仿宋" w:cs="仿宋"/>
          <w:b w:val="0"/>
          <w:kern w:val="2"/>
          <w:sz w:val="22"/>
          <w:szCs w:val="22"/>
          <w:u w:val="single"/>
          <w:lang w:val="en-US" w:eastAsia="zh-CN" w:bidi="ar-SA"/>
        </w:rPr>
        <w:t>（项目名称）</w:t>
      </w:r>
      <w:r>
        <w:rPr>
          <w:rFonts w:hint="eastAsia" w:ascii="仿宋" w:hAnsi="仿宋" w:eastAsia="仿宋" w:cs="仿宋"/>
          <w:b w:val="0"/>
          <w:kern w:val="2"/>
          <w:sz w:val="22"/>
          <w:szCs w:val="22"/>
          <w:lang w:val="en-US" w:eastAsia="zh-CN" w:bidi="ar-SA"/>
        </w:rPr>
        <w:t>采购活动，服务全部由符合政策要求的中小企业承接。相关企业（含联合体中的中小企业、签订分包意向协议的中小企业）的具体情况如下：</w:t>
      </w:r>
    </w:p>
    <w:p w14:paraId="7F4BA790">
      <w:pPr>
        <w:spacing w:line="588" w:lineRule="exact"/>
        <w:ind w:firstLine="440" w:firstLineChars="20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1、</w:t>
      </w:r>
      <w:r>
        <w:rPr>
          <w:rFonts w:hint="eastAsia" w:ascii="仿宋" w:hAnsi="仿宋" w:eastAsia="仿宋" w:cs="仿宋"/>
          <w:b w:val="0"/>
          <w:kern w:val="2"/>
          <w:sz w:val="22"/>
          <w:szCs w:val="22"/>
          <w:u w:val="single"/>
          <w:lang w:val="en-US" w:eastAsia="zh-CN" w:bidi="ar-SA"/>
        </w:rPr>
        <w:t>（中国共产党留坝县委宣传部电影《药香谷》联合摄制服务项目）</w:t>
      </w:r>
      <w:r>
        <w:rPr>
          <w:rFonts w:hint="eastAsia" w:ascii="仿宋" w:hAnsi="仿宋" w:eastAsia="仿宋" w:cs="仿宋"/>
          <w:b w:val="0"/>
          <w:kern w:val="2"/>
          <w:sz w:val="22"/>
          <w:szCs w:val="22"/>
          <w:lang w:val="en-US" w:eastAsia="zh-CN" w:bidi="ar-SA"/>
        </w:rPr>
        <w:t>，属于</w:t>
      </w:r>
      <w:r>
        <w:rPr>
          <w:rFonts w:hint="eastAsia" w:ascii="仿宋" w:hAnsi="仿宋" w:eastAsia="仿宋" w:cs="仿宋"/>
          <w:b w:val="0"/>
          <w:kern w:val="2"/>
          <w:sz w:val="22"/>
          <w:szCs w:val="22"/>
          <w:u w:val="single"/>
          <w:lang w:val="en-US" w:eastAsia="zh-CN" w:bidi="ar-SA"/>
        </w:rPr>
        <w:t>（其他未列明行业）</w:t>
      </w:r>
      <w:r>
        <w:rPr>
          <w:rFonts w:hint="eastAsia" w:ascii="仿宋" w:hAnsi="仿宋" w:eastAsia="仿宋" w:cs="仿宋"/>
          <w:b w:val="0"/>
          <w:kern w:val="2"/>
          <w:sz w:val="22"/>
          <w:szCs w:val="22"/>
          <w:lang w:val="en-US" w:eastAsia="zh-CN" w:bidi="ar-SA"/>
        </w:rPr>
        <w:t>；</w:t>
      </w:r>
    </w:p>
    <w:p w14:paraId="75BAB117">
      <w:pPr>
        <w:spacing w:line="588" w:lineRule="exact"/>
        <w:ind w:firstLine="440" w:firstLineChars="20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承建（承接）企业为</w:t>
      </w:r>
      <w:r>
        <w:rPr>
          <w:rFonts w:hint="eastAsia" w:ascii="仿宋" w:hAnsi="仿宋" w:eastAsia="仿宋" w:cs="仿宋"/>
          <w:b w:val="0"/>
          <w:kern w:val="2"/>
          <w:sz w:val="22"/>
          <w:szCs w:val="22"/>
          <w:u w:val="single"/>
          <w:lang w:val="en-US" w:eastAsia="zh-CN" w:bidi="ar-SA"/>
        </w:rPr>
        <w:t>（企业名称）</w:t>
      </w:r>
      <w:r>
        <w:rPr>
          <w:rFonts w:hint="eastAsia" w:ascii="仿宋" w:hAnsi="仿宋" w:eastAsia="仿宋" w:cs="仿宋"/>
          <w:b w:val="0"/>
          <w:kern w:val="2"/>
          <w:sz w:val="22"/>
          <w:szCs w:val="22"/>
          <w:lang w:val="en-US" w:eastAsia="zh-CN" w:bidi="ar-SA"/>
        </w:rPr>
        <w:t>，从业人员</w:t>
      </w:r>
      <w:r>
        <w:rPr>
          <w:rFonts w:hint="eastAsia" w:ascii="仿宋" w:hAnsi="仿宋" w:eastAsia="仿宋" w:cs="仿宋"/>
          <w:b w:val="0"/>
          <w:kern w:val="2"/>
          <w:sz w:val="22"/>
          <w:szCs w:val="22"/>
          <w:u w:val="single"/>
          <w:lang w:val="en-US" w:eastAsia="zh-CN" w:bidi="ar-SA"/>
        </w:rPr>
        <w:t xml:space="preserve">      </w:t>
      </w:r>
      <w:r>
        <w:rPr>
          <w:rFonts w:hint="eastAsia" w:ascii="仿宋" w:hAnsi="仿宋" w:eastAsia="仿宋" w:cs="仿宋"/>
          <w:b w:val="0"/>
          <w:kern w:val="2"/>
          <w:sz w:val="22"/>
          <w:szCs w:val="22"/>
          <w:u w:val="single"/>
          <w:lang w:val="en-US" w:eastAsia="zh-CN" w:bidi="ar-SA"/>
        </w:rPr>
        <w:tab/>
      </w:r>
      <w:r>
        <w:rPr>
          <w:rFonts w:hint="eastAsia" w:ascii="仿宋" w:hAnsi="仿宋" w:eastAsia="仿宋" w:cs="仿宋"/>
          <w:b w:val="0"/>
          <w:kern w:val="2"/>
          <w:sz w:val="22"/>
          <w:szCs w:val="22"/>
          <w:lang w:val="en-US" w:eastAsia="zh-CN" w:bidi="ar-SA"/>
        </w:rPr>
        <w:t>人，营业收入为</w:t>
      </w:r>
      <w:r>
        <w:rPr>
          <w:rFonts w:hint="eastAsia" w:ascii="仿宋" w:hAnsi="仿宋" w:eastAsia="仿宋" w:cs="仿宋"/>
          <w:b w:val="0"/>
          <w:kern w:val="2"/>
          <w:sz w:val="22"/>
          <w:szCs w:val="22"/>
          <w:u w:val="single"/>
          <w:lang w:val="en-US" w:eastAsia="zh-CN" w:bidi="ar-SA"/>
        </w:rPr>
        <w:t xml:space="preserve"> </w:t>
      </w:r>
      <w:r>
        <w:rPr>
          <w:rFonts w:hint="eastAsia" w:ascii="仿宋" w:hAnsi="仿宋" w:eastAsia="仿宋" w:cs="仿宋"/>
          <w:b w:val="0"/>
          <w:kern w:val="2"/>
          <w:sz w:val="22"/>
          <w:szCs w:val="22"/>
          <w:u w:val="single"/>
          <w:lang w:val="en-US" w:eastAsia="zh-CN" w:bidi="ar-SA"/>
        </w:rPr>
        <w:tab/>
      </w:r>
      <w:r>
        <w:rPr>
          <w:rFonts w:hint="eastAsia" w:ascii="仿宋" w:hAnsi="仿宋" w:eastAsia="仿宋" w:cs="仿宋"/>
          <w:b w:val="0"/>
          <w:kern w:val="2"/>
          <w:sz w:val="22"/>
          <w:szCs w:val="22"/>
          <w:u w:val="single"/>
          <w:lang w:val="en-US" w:eastAsia="zh-CN" w:bidi="ar-SA"/>
        </w:rPr>
        <w:t xml:space="preserve">   </w:t>
      </w:r>
      <w:r>
        <w:rPr>
          <w:rFonts w:hint="eastAsia" w:ascii="仿宋" w:hAnsi="仿宋" w:eastAsia="仿宋" w:cs="仿宋"/>
          <w:b w:val="0"/>
          <w:kern w:val="2"/>
          <w:sz w:val="22"/>
          <w:szCs w:val="22"/>
          <w:lang w:val="en-US" w:eastAsia="zh-CN" w:bidi="ar-SA"/>
        </w:rPr>
        <w:t>万元，资产总额为</w:t>
      </w:r>
      <w:r>
        <w:rPr>
          <w:rFonts w:hint="eastAsia" w:ascii="仿宋" w:hAnsi="仿宋" w:eastAsia="仿宋" w:cs="仿宋"/>
          <w:b w:val="0"/>
          <w:kern w:val="2"/>
          <w:sz w:val="22"/>
          <w:szCs w:val="22"/>
          <w:u w:val="single"/>
          <w:lang w:val="en-US" w:eastAsia="zh-CN" w:bidi="ar-SA"/>
        </w:rPr>
        <w:t xml:space="preserve"> </w:t>
      </w:r>
      <w:r>
        <w:rPr>
          <w:rFonts w:hint="eastAsia" w:ascii="仿宋" w:hAnsi="仿宋" w:eastAsia="仿宋" w:cs="仿宋"/>
          <w:b w:val="0"/>
          <w:kern w:val="2"/>
          <w:sz w:val="22"/>
          <w:szCs w:val="22"/>
          <w:u w:val="single"/>
          <w:lang w:val="en-US" w:eastAsia="zh-CN" w:bidi="ar-SA"/>
        </w:rPr>
        <w:tab/>
      </w:r>
      <w:r>
        <w:rPr>
          <w:rFonts w:hint="eastAsia" w:ascii="仿宋" w:hAnsi="仿宋" w:eastAsia="仿宋" w:cs="仿宋"/>
          <w:b w:val="0"/>
          <w:kern w:val="2"/>
          <w:sz w:val="22"/>
          <w:szCs w:val="22"/>
          <w:u w:val="single"/>
          <w:lang w:val="en-US" w:eastAsia="zh-CN" w:bidi="ar-SA"/>
        </w:rPr>
        <w:t xml:space="preserve">    </w:t>
      </w:r>
      <w:r>
        <w:rPr>
          <w:rFonts w:hint="eastAsia" w:ascii="仿宋" w:hAnsi="仿宋" w:eastAsia="仿宋" w:cs="仿宋"/>
          <w:b w:val="0"/>
          <w:kern w:val="2"/>
          <w:sz w:val="22"/>
          <w:szCs w:val="22"/>
          <w:lang w:val="en-US" w:eastAsia="zh-CN" w:bidi="ar-SA"/>
        </w:rPr>
        <w:t>万元，属于</w:t>
      </w:r>
      <w:r>
        <w:rPr>
          <w:rFonts w:hint="eastAsia" w:ascii="仿宋" w:hAnsi="仿宋" w:eastAsia="仿宋" w:cs="仿宋"/>
          <w:b w:val="0"/>
          <w:kern w:val="2"/>
          <w:sz w:val="22"/>
          <w:szCs w:val="22"/>
          <w:u w:val="single"/>
          <w:lang w:val="en-US" w:eastAsia="zh-CN" w:bidi="ar-SA"/>
        </w:rPr>
        <w:t>（中型企业、小型企业、微型企业）</w:t>
      </w:r>
      <w:r>
        <w:rPr>
          <w:rFonts w:hint="eastAsia" w:ascii="仿宋" w:hAnsi="仿宋" w:eastAsia="仿宋" w:cs="仿宋"/>
          <w:b w:val="0"/>
          <w:kern w:val="2"/>
          <w:sz w:val="22"/>
          <w:szCs w:val="22"/>
          <w:lang w:val="en-US" w:eastAsia="zh-CN" w:bidi="ar-SA"/>
        </w:rPr>
        <w:t>；</w:t>
      </w:r>
    </w:p>
    <w:p w14:paraId="5EFDF461">
      <w:pPr>
        <w:spacing w:line="588" w:lineRule="exact"/>
        <w:ind w:firstLine="440" w:firstLineChars="20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以上企业，不属于大企业的分支机构，不存在控股股东为大企业的情形，也不存在与大企业的负责人为同一人的情形。</w:t>
      </w:r>
    </w:p>
    <w:p w14:paraId="69826498">
      <w:pPr>
        <w:spacing w:line="588" w:lineRule="exact"/>
        <w:ind w:firstLine="440" w:firstLineChars="20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本企业对上述声明内容的真实性负责。如有虚假，将依法承担相应责任。</w:t>
      </w:r>
    </w:p>
    <w:p w14:paraId="28B2109A">
      <w:pPr>
        <w:spacing w:line="588" w:lineRule="exact"/>
        <w:ind w:firstLine="440" w:firstLineChars="200"/>
        <w:jc w:val="center"/>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 xml:space="preserve">   企业名称（盖章）：</w:t>
      </w:r>
    </w:p>
    <w:p w14:paraId="5C2031EC">
      <w:pPr>
        <w:spacing w:line="588" w:lineRule="exact"/>
        <w:ind w:firstLine="440" w:firstLineChars="200"/>
        <w:rPr>
          <w:rFonts w:hint="eastAsia" w:ascii="仿宋" w:hAnsi="仿宋" w:eastAsia="仿宋" w:cs="仿宋"/>
          <w:spacing w:val="6"/>
          <w:sz w:val="30"/>
          <w:szCs w:val="30"/>
        </w:rPr>
      </w:pPr>
      <w:r>
        <w:rPr>
          <w:rFonts w:hint="eastAsia" w:ascii="仿宋" w:hAnsi="仿宋" w:eastAsia="仿宋" w:cs="仿宋"/>
          <w:b w:val="0"/>
          <w:kern w:val="2"/>
          <w:sz w:val="22"/>
          <w:szCs w:val="22"/>
          <w:lang w:val="en-US" w:eastAsia="zh-CN" w:bidi="ar-SA"/>
        </w:rPr>
        <w:t xml:space="preserve">                            日期：</w:t>
      </w:r>
    </w:p>
    <w:p w14:paraId="6541450D">
      <w:pPr>
        <w:pStyle w:val="5"/>
        <w:spacing w:line="360" w:lineRule="auto"/>
        <w:ind w:firstLine="570"/>
        <w:rPr>
          <w:rFonts w:hint="eastAsia" w:ascii="仿宋" w:hAnsi="仿宋" w:eastAsia="仿宋" w:cs="仿宋"/>
          <w:b w:val="0"/>
          <w:kern w:val="2"/>
          <w:sz w:val="22"/>
          <w:szCs w:val="22"/>
          <w:lang w:val="en-US" w:eastAsia="zh-CN" w:bidi="ar-SA"/>
        </w:rPr>
      </w:pPr>
    </w:p>
    <w:p w14:paraId="0B8C2AFD">
      <w:pPr>
        <w:pStyle w:val="5"/>
        <w:spacing w:line="360" w:lineRule="auto"/>
        <w:ind w:firstLine="57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注：1、中小企业在参与本项目采购活动时，需按上述给定格式提供声明函。未提供或未按要求填报的，不享受中小企业扶持政策。</w:t>
      </w:r>
    </w:p>
    <w:p w14:paraId="371800B7">
      <w:pPr>
        <w:pStyle w:val="5"/>
        <w:spacing w:line="360" w:lineRule="auto"/>
        <w:ind w:firstLine="57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2、接受联合体或者分包时，组成联合体或者接受分包的小微企业与联合体内其他企业、分包企业之间存在直接控股、管理关系的，不享受价格扣除优惠政策。</w:t>
      </w:r>
    </w:p>
    <w:p w14:paraId="491FBEA4">
      <w:pPr>
        <w:pStyle w:val="5"/>
        <w:spacing w:line="360" w:lineRule="auto"/>
        <w:ind w:firstLine="57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3、声明函中“从业人员”、“营业收入”、“资产总额”填报上一年度数据，无上一年度数据的新成立企业可不填报。</w:t>
      </w:r>
    </w:p>
    <w:p w14:paraId="1C3E99B2">
      <w:pPr>
        <w:adjustRightInd w:val="0"/>
        <w:snapToGrid w:val="0"/>
        <w:spacing w:line="360" w:lineRule="exact"/>
        <w:ind w:firstLine="550" w:firstLineChars="250"/>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4、依据工业和信息化部、国家统计局、国家发展和改革委员会、财政部《关于印发中小企业划型标准规定的通知》（工信部联企业〔2011〕300号），本项目〈采购标的〉对应的中小企业划分标准所属行业为：其他未列明行业。</w:t>
      </w:r>
    </w:p>
    <w:p w14:paraId="68B98AEC">
      <w:pPr>
        <w:adjustRightInd w:val="0"/>
        <w:snapToGrid w:val="0"/>
        <w:spacing w:line="360" w:lineRule="exact"/>
        <w:ind w:firstLine="525" w:firstLineChars="250"/>
        <w:rPr>
          <w:rFonts w:hint="eastAsia" w:ascii="仿宋" w:hAnsi="仿宋" w:eastAsia="仿宋" w:cs="仿宋"/>
          <w:bCs/>
          <w:color w:val="auto"/>
          <w:szCs w:val="21"/>
          <w:highlight w:val="none"/>
        </w:rPr>
      </w:pPr>
    </w:p>
    <w:p w14:paraId="6E5553B1">
      <w:pPr>
        <w:tabs>
          <w:tab w:val="left" w:pos="6818"/>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p>
    <w:p w14:paraId="50948FCB">
      <w:pPr>
        <w:spacing w:line="588" w:lineRule="exact"/>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7129DA23">
      <w:pPr>
        <w:spacing w:line="588" w:lineRule="exact"/>
        <w:rPr>
          <w:rFonts w:hint="eastAsia" w:ascii="仿宋" w:hAnsi="仿宋" w:eastAsia="仿宋" w:cs="仿宋"/>
          <w:b/>
          <w:color w:val="auto"/>
          <w:spacing w:val="6"/>
          <w:sz w:val="30"/>
          <w:szCs w:val="30"/>
          <w:highlight w:val="none"/>
        </w:rPr>
      </w:pPr>
    </w:p>
    <w:p w14:paraId="57359E16">
      <w:pPr>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 141</w:t>
      </w:r>
      <w:r>
        <w:rPr>
          <w:rFonts w:hint="eastAsia" w:ascii="仿宋" w:hAnsi="仿宋" w:eastAsia="仿宋" w:cs="仿宋"/>
          <w:color w:val="auto"/>
          <w:spacing w:val="6"/>
          <w:szCs w:val="21"/>
          <w:highlight w:val="none"/>
        </w:rPr>
        <w:t>号）的规定，本单位为符合条件的残疾人福利性单位，且本单位参加</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60D6C911">
      <w:pPr>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23FA2659">
      <w:pPr>
        <w:spacing w:line="360" w:lineRule="auto"/>
        <w:ind w:firstLine="444" w:firstLineChars="200"/>
        <w:rPr>
          <w:rFonts w:hint="eastAsia" w:ascii="仿宋" w:hAnsi="仿宋" w:eastAsia="仿宋" w:cs="仿宋"/>
          <w:color w:val="auto"/>
          <w:spacing w:val="6"/>
          <w:szCs w:val="21"/>
          <w:highlight w:val="none"/>
        </w:rPr>
      </w:pPr>
    </w:p>
    <w:p w14:paraId="6BFAC2C0">
      <w:pPr>
        <w:spacing w:line="360" w:lineRule="auto"/>
        <w:ind w:firstLine="444" w:firstLineChars="200"/>
        <w:rPr>
          <w:rFonts w:hint="eastAsia" w:ascii="仿宋" w:hAnsi="仿宋" w:eastAsia="仿宋" w:cs="仿宋"/>
          <w:color w:val="auto"/>
          <w:spacing w:val="6"/>
          <w:szCs w:val="21"/>
          <w:highlight w:val="none"/>
        </w:rPr>
      </w:pPr>
    </w:p>
    <w:p w14:paraId="080D5662">
      <w:pPr>
        <w:tabs>
          <w:tab w:val="left" w:pos="4860"/>
        </w:tabs>
        <w:spacing w:line="360" w:lineRule="auto"/>
        <w:ind w:right="1560" w:firstLine="444" w:firstLineChars="200"/>
        <w:jc w:val="cente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                    单位名称：</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（盖单位章）</w:t>
      </w:r>
    </w:p>
    <w:p w14:paraId="365FF401">
      <w:pPr>
        <w:tabs>
          <w:tab w:val="left" w:pos="4860"/>
        </w:tabs>
        <w:spacing w:line="360" w:lineRule="auto"/>
        <w:ind w:right="1560" w:firstLine="444" w:firstLineChars="200"/>
        <w:jc w:val="cente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 </w:t>
      </w:r>
    </w:p>
    <w:p w14:paraId="193C92D5">
      <w:pPr>
        <w:tabs>
          <w:tab w:val="left" w:pos="4860"/>
        </w:tabs>
        <w:spacing w:line="360" w:lineRule="auto"/>
        <w:ind w:right="1560" w:firstLine="444" w:firstLineChars="200"/>
        <w:jc w:val="center"/>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 xml:space="preserve">                   日     期：    年   月  日</w:t>
      </w:r>
    </w:p>
    <w:p w14:paraId="52C65216">
      <w:pPr>
        <w:adjustRightInd w:val="0"/>
        <w:snapToGrid w:val="0"/>
        <w:spacing w:line="360" w:lineRule="auto"/>
        <w:rPr>
          <w:rFonts w:hint="eastAsia" w:ascii="仿宋" w:hAnsi="仿宋" w:eastAsia="仿宋" w:cs="仿宋"/>
          <w:b/>
          <w:color w:val="auto"/>
          <w:sz w:val="24"/>
          <w:highlight w:val="none"/>
        </w:rPr>
      </w:pPr>
    </w:p>
    <w:p w14:paraId="702B1887">
      <w:pPr>
        <w:adjustRightInd w:val="0"/>
        <w:snapToGrid w:val="0"/>
        <w:spacing w:before="50" w:line="360" w:lineRule="auto"/>
        <w:jc w:val="center"/>
        <w:rPr>
          <w:rFonts w:hint="eastAsia" w:ascii="仿宋" w:hAnsi="仿宋" w:eastAsia="仿宋" w:cs="仿宋"/>
          <w:b/>
          <w:color w:val="auto"/>
          <w:sz w:val="36"/>
          <w:szCs w:val="36"/>
          <w:highlight w:val="none"/>
        </w:rPr>
      </w:pPr>
    </w:p>
    <w:p w14:paraId="54B7D372">
      <w:pPr>
        <w:adjustRightInd w:val="0"/>
        <w:snapToGrid w:val="0"/>
        <w:spacing w:before="50" w:line="360" w:lineRule="auto"/>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（非</w:t>
      </w:r>
      <w:r>
        <w:rPr>
          <w:rFonts w:hint="eastAsia" w:ascii="仿宋" w:hAnsi="仿宋" w:eastAsia="仿宋" w:cs="仿宋"/>
          <w:b/>
          <w:color w:val="auto"/>
          <w:spacing w:val="6"/>
          <w:sz w:val="24"/>
          <w:szCs w:val="24"/>
          <w:highlight w:val="none"/>
        </w:rPr>
        <w:t>残疾人福利性单位</w:t>
      </w:r>
      <w:r>
        <w:rPr>
          <w:rFonts w:hint="eastAsia" w:ascii="仿宋" w:hAnsi="仿宋" w:eastAsia="仿宋" w:cs="仿宋"/>
          <w:b/>
          <w:color w:val="auto"/>
          <w:spacing w:val="6"/>
          <w:sz w:val="24"/>
          <w:szCs w:val="24"/>
          <w:highlight w:val="none"/>
          <w:lang w:eastAsia="zh-CN"/>
        </w:rPr>
        <w:t>可删除此项</w:t>
      </w:r>
      <w:r>
        <w:rPr>
          <w:rFonts w:hint="eastAsia" w:ascii="仿宋" w:hAnsi="仿宋" w:eastAsia="仿宋" w:cs="仿宋"/>
          <w:b/>
          <w:color w:val="auto"/>
          <w:sz w:val="24"/>
          <w:szCs w:val="24"/>
          <w:highlight w:val="none"/>
          <w:lang w:eastAsia="zh-CN"/>
        </w:rPr>
        <w:t>）</w:t>
      </w:r>
    </w:p>
    <w:p w14:paraId="190663BC">
      <w:pPr>
        <w:adjustRightInd w:val="0"/>
        <w:snapToGrid w:val="0"/>
        <w:spacing w:before="50" w:line="360" w:lineRule="auto"/>
        <w:jc w:val="center"/>
        <w:rPr>
          <w:rFonts w:hint="eastAsia" w:ascii="仿宋" w:hAnsi="仿宋" w:eastAsia="仿宋" w:cs="仿宋"/>
          <w:b/>
          <w:color w:val="auto"/>
          <w:sz w:val="36"/>
          <w:szCs w:val="36"/>
          <w:highlight w:val="none"/>
        </w:rPr>
      </w:pPr>
    </w:p>
    <w:p w14:paraId="515CDFAA">
      <w:pPr>
        <w:adjustRightInd w:val="0"/>
        <w:snapToGrid w:val="0"/>
        <w:spacing w:before="50" w:line="360" w:lineRule="auto"/>
        <w:jc w:val="center"/>
        <w:rPr>
          <w:rFonts w:hint="eastAsia" w:ascii="仿宋" w:hAnsi="仿宋" w:eastAsia="仿宋" w:cs="仿宋"/>
          <w:b/>
          <w:color w:val="auto"/>
          <w:sz w:val="36"/>
          <w:szCs w:val="36"/>
          <w:highlight w:val="none"/>
        </w:rPr>
      </w:pPr>
    </w:p>
    <w:p w14:paraId="79961B69">
      <w:pPr>
        <w:adjustRightInd w:val="0"/>
        <w:snapToGrid w:val="0"/>
        <w:spacing w:before="50" w:line="360" w:lineRule="auto"/>
        <w:rPr>
          <w:rFonts w:hint="eastAsia" w:ascii="仿宋" w:hAnsi="仿宋" w:eastAsia="仿宋" w:cs="仿宋"/>
          <w:b/>
          <w:color w:val="auto"/>
          <w:sz w:val="36"/>
          <w:szCs w:val="36"/>
          <w:highlight w:val="none"/>
        </w:rPr>
      </w:pPr>
    </w:p>
    <w:p w14:paraId="25A672F7">
      <w:pPr>
        <w:adjustRightInd w:val="0"/>
        <w:snapToGrid w:val="0"/>
        <w:spacing w:line="36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注：供应商应仔细阅读《财政部 民政部 中国残疾人联合会关于促进残疾人就业政府采购政策的通知》，并如实填写本表，符合条件的供应商未按上述要求提供、填写的，评审时不予以考虑。</w:t>
      </w:r>
      <w:r>
        <w:rPr>
          <w:rFonts w:hint="eastAsia" w:ascii="仿宋" w:hAnsi="仿宋" w:eastAsia="仿宋" w:cs="仿宋"/>
          <w:b/>
          <w:bCs/>
          <w:color w:val="auto"/>
          <w:szCs w:val="21"/>
          <w:highlight w:val="none"/>
        </w:rPr>
        <w:t>不符合条件的供应商无需填写。如果出现虚假应标，由此产生的后果由供应商自行负责。</w:t>
      </w:r>
    </w:p>
    <w:p w14:paraId="795B67A0">
      <w:pPr>
        <w:adjustRightInd w:val="0"/>
        <w:snapToGrid w:val="0"/>
        <w:spacing w:line="360" w:lineRule="exact"/>
        <w:ind w:firstLine="525" w:firstLineChars="250"/>
        <w:rPr>
          <w:rFonts w:hint="eastAsia" w:ascii="仿宋" w:hAnsi="仿宋" w:eastAsia="仿宋" w:cs="仿宋"/>
          <w:color w:val="auto"/>
          <w:szCs w:val="21"/>
          <w:highlight w:val="none"/>
        </w:rPr>
      </w:pPr>
    </w:p>
    <w:p w14:paraId="04FFA2D6">
      <w:pPr>
        <w:spacing w:before="240" w:beforeLines="100" w:line="360" w:lineRule="auto"/>
        <w:ind w:firstLine="409" w:firstLineChars="195"/>
        <w:rPr>
          <w:rFonts w:hint="eastAsia" w:ascii="仿宋" w:hAnsi="仿宋" w:eastAsia="仿宋" w:cs="仿宋"/>
          <w:bCs/>
          <w:iCs/>
          <w:color w:val="auto"/>
          <w:highlight w:val="none"/>
        </w:rPr>
      </w:pPr>
    </w:p>
    <w:p w14:paraId="0160FD03">
      <w:pPr>
        <w:spacing w:before="240" w:beforeLines="100" w:line="360" w:lineRule="auto"/>
        <w:ind w:firstLine="409" w:firstLineChars="195"/>
        <w:rPr>
          <w:rFonts w:hint="eastAsia" w:ascii="仿宋" w:hAnsi="仿宋" w:eastAsia="仿宋" w:cs="仿宋"/>
          <w:bCs/>
          <w:iCs/>
          <w:color w:val="auto"/>
          <w:highlight w:val="none"/>
        </w:rPr>
      </w:pPr>
    </w:p>
    <w:p w14:paraId="2E4A4414">
      <w:pPr>
        <w:adjustRightInd w:val="0"/>
        <w:snapToGrid w:val="0"/>
        <w:spacing w:before="50" w:line="360" w:lineRule="auto"/>
        <w:jc w:val="center"/>
        <w:rPr>
          <w:rFonts w:hint="eastAsia" w:ascii="仿宋" w:hAnsi="仿宋" w:eastAsia="仿宋" w:cs="仿宋"/>
          <w:b/>
          <w:color w:val="auto"/>
          <w:sz w:val="36"/>
          <w:szCs w:val="36"/>
          <w:highlight w:val="none"/>
        </w:rPr>
      </w:pPr>
    </w:p>
    <w:p w14:paraId="43868167">
      <w:pPr>
        <w:adjustRightInd w:val="0"/>
        <w:snapToGrid w:val="0"/>
        <w:spacing w:before="50" w:line="360" w:lineRule="auto"/>
        <w:jc w:val="center"/>
        <w:rPr>
          <w:rFonts w:hint="eastAsia" w:ascii="仿宋" w:hAnsi="仿宋" w:eastAsia="仿宋" w:cs="仿宋"/>
          <w:b/>
          <w:color w:val="auto"/>
          <w:sz w:val="36"/>
          <w:szCs w:val="36"/>
          <w:highlight w:val="none"/>
        </w:rPr>
      </w:pPr>
    </w:p>
    <w:p w14:paraId="031A7D54">
      <w:pPr>
        <w:adjustRightInd w:val="0"/>
        <w:snapToGrid w:val="0"/>
        <w:spacing w:before="50"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监狱企业证明文件</w:t>
      </w:r>
    </w:p>
    <w:p w14:paraId="08BAD4BE">
      <w:pPr>
        <w:adjustRightInd w:val="0"/>
        <w:snapToGrid w:val="0"/>
        <w:spacing w:before="50" w:line="360" w:lineRule="auto"/>
        <w:jc w:val="center"/>
        <w:rPr>
          <w:rFonts w:hint="eastAsia" w:ascii="仿宋" w:hAnsi="仿宋" w:eastAsia="仿宋" w:cs="仿宋"/>
          <w:b/>
          <w:color w:val="auto"/>
          <w:sz w:val="36"/>
          <w:szCs w:val="36"/>
          <w:highlight w:val="none"/>
        </w:rPr>
      </w:pPr>
    </w:p>
    <w:p w14:paraId="56BD9152">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601AA62D">
      <w:pPr>
        <w:adjustRightInd w:val="0"/>
        <w:snapToGrid w:val="0"/>
        <w:spacing w:line="360" w:lineRule="auto"/>
        <w:ind w:firstLine="525"/>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1.无格式要求，由出具监狱企业证明的单位自行拟定；</w:t>
      </w:r>
    </w:p>
    <w:p w14:paraId="31841810">
      <w:pPr>
        <w:adjustRightInd w:val="0"/>
        <w:snapToGrid w:val="0"/>
        <w:spacing w:line="360" w:lineRule="auto"/>
        <w:ind w:firstLine="525"/>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2.供应商未提供的，评审时不视为中小企业。</w:t>
      </w:r>
    </w:p>
    <w:p w14:paraId="754E9E4C">
      <w:pPr>
        <w:adjustRightInd w:val="0"/>
        <w:snapToGrid w:val="0"/>
        <w:spacing w:line="360" w:lineRule="auto"/>
        <w:ind w:firstLine="525"/>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
          <w:bCs/>
          <w:color w:val="auto"/>
          <w:szCs w:val="21"/>
          <w:highlight w:val="none"/>
        </w:rPr>
        <w:t>不符合条件的供应商无需填写。如果出现虚假应标，由此产生的后果由供应商自行负责。</w:t>
      </w:r>
    </w:p>
    <w:p w14:paraId="29F1F7FE">
      <w:pPr>
        <w:adjustRightInd w:val="0"/>
        <w:snapToGrid w:val="0"/>
        <w:spacing w:before="50" w:line="360" w:lineRule="auto"/>
        <w:jc w:val="left"/>
        <w:rPr>
          <w:rFonts w:hint="eastAsia" w:ascii="仿宋" w:hAnsi="仿宋" w:eastAsia="仿宋" w:cs="仿宋"/>
          <w:color w:val="auto"/>
          <w:sz w:val="28"/>
          <w:szCs w:val="28"/>
          <w:highlight w:val="none"/>
        </w:rPr>
      </w:pPr>
    </w:p>
    <w:p w14:paraId="6F2A8699">
      <w:pPr>
        <w:adjustRightInd w:val="0"/>
        <w:snapToGrid w:val="0"/>
        <w:spacing w:before="50" w:line="360" w:lineRule="auto"/>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（非</w:t>
      </w:r>
      <w:r>
        <w:rPr>
          <w:rFonts w:hint="eastAsia" w:ascii="仿宋" w:hAnsi="仿宋" w:eastAsia="仿宋" w:cs="仿宋"/>
          <w:b/>
          <w:color w:val="auto"/>
          <w:spacing w:val="6"/>
          <w:sz w:val="24"/>
          <w:szCs w:val="24"/>
          <w:highlight w:val="none"/>
          <w:lang w:eastAsia="zh-CN"/>
        </w:rPr>
        <w:t>监狱企业可删除此项</w:t>
      </w:r>
      <w:r>
        <w:rPr>
          <w:rFonts w:hint="eastAsia" w:ascii="仿宋" w:hAnsi="仿宋" w:eastAsia="仿宋" w:cs="仿宋"/>
          <w:b/>
          <w:color w:val="auto"/>
          <w:sz w:val="24"/>
          <w:szCs w:val="24"/>
          <w:highlight w:val="none"/>
          <w:lang w:eastAsia="zh-CN"/>
        </w:rPr>
        <w:t>）</w:t>
      </w:r>
    </w:p>
    <w:p w14:paraId="750B903F">
      <w:pPr>
        <w:adjustRightInd w:val="0"/>
        <w:snapToGrid w:val="0"/>
        <w:spacing w:before="50" w:line="36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br w:type="page"/>
      </w:r>
    </w:p>
    <w:p w14:paraId="250E7917">
      <w:pPr>
        <w:jc w:val="both"/>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4-5、其他承诺。</w:t>
      </w:r>
    </w:p>
    <w:p w14:paraId="2E4BA649">
      <w:pPr>
        <w:jc w:val="center"/>
        <w:rPr>
          <w:rFonts w:hint="eastAsia" w:ascii="仿宋" w:hAnsi="仿宋" w:eastAsia="仿宋" w:cs="仿宋"/>
          <w:b/>
          <w:bCs/>
          <w:kern w:val="0"/>
          <w:sz w:val="28"/>
          <w:szCs w:val="28"/>
          <w:lang w:val="zh-CN" w:eastAsia="zh-CN"/>
        </w:rPr>
      </w:pPr>
    </w:p>
    <w:p w14:paraId="286D44D4">
      <w:pPr>
        <w:jc w:val="center"/>
        <w:rPr>
          <w:rFonts w:hint="eastAsia" w:ascii="仿宋" w:hAnsi="仿宋" w:eastAsia="仿宋" w:cs="仿宋"/>
          <w:b/>
          <w:bCs/>
          <w:sz w:val="22"/>
          <w:szCs w:val="22"/>
          <w:lang w:val="zh-CN" w:eastAsia="zh-CN"/>
        </w:rPr>
      </w:pPr>
      <w:r>
        <w:rPr>
          <w:rFonts w:hint="eastAsia" w:ascii="仿宋" w:hAnsi="仿宋" w:eastAsia="仿宋" w:cs="仿宋"/>
          <w:b/>
          <w:bCs/>
          <w:kern w:val="0"/>
          <w:sz w:val="28"/>
          <w:szCs w:val="28"/>
          <w:lang w:val="zh-CN" w:eastAsia="zh-CN"/>
        </w:rPr>
        <w:t>供应商企业关系关联承诺书</w:t>
      </w:r>
    </w:p>
    <w:p w14:paraId="49E8A06E">
      <w:pPr>
        <w:pageBreakBefore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仿宋" w:hAnsi="仿宋" w:eastAsia="仿宋" w:cs="仿宋"/>
          <w:color w:val="auto"/>
          <w:sz w:val="22"/>
          <w:szCs w:val="22"/>
        </w:rPr>
      </w:pPr>
    </w:p>
    <w:p w14:paraId="1566EF2D">
      <w:pPr>
        <w:pageBreakBefore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我公司在本项目投标中，不存在与其它供应商负责人为同一人，有控股、管理等关联关系</w:t>
      </w:r>
      <w:r>
        <w:rPr>
          <w:rFonts w:hint="eastAsia" w:ascii="仿宋" w:hAnsi="仿宋" w:eastAsia="仿宋" w:cs="仿宋"/>
          <w:color w:val="auto"/>
          <w:sz w:val="22"/>
          <w:szCs w:val="22"/>
          <w:lang w:eastAsia="zh-CN"/>
        </w:rPr>
        <w:t>：</w:t>
      </w:r>
    </w:p>
    <w:p w14:paraId="5584C8DB">
      <w:pPr>
        <w:pageBreakBefore w:val="0"/>
        <w:kinsoku/>
        <w:wordWrap/>
        <w:overflowPunct/>
        <w:topLinePunct w:val="0"/>
        <w:bidi w:val="0"/>
        <w:snapToGrid w:val="0"/>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1、管理关系说明：</w:t>
      </w:r>
    </w:p>
    <w:p w14:paraId="07358F5D">
      <w:pPr>
        <w:pageBreakBefore w:val="0"/>
        <w:kinsoku/>
        <w:wordWrap/>
        <w:overflowPunct/>
        <w:topLinePunct w:val="0"/>
        <w:bidi w:val="0"/>
        <w:snapToGri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我单位管理的具有独立法人的下属单位有：</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w:t>
      </w:r>
    </w:p>
    <w:p w14:paraId="5BE99F51">
      <w:pPr>
        <w:pageBreakBefore w:val="0"/>
        <w:kinsoku/>
        <w:wordWrap/>
        <w:overflowPunct/>
        <w:topLinePunct w:val="0"/>
        <w:bidi w:val="0"/>
        <w:snapToGri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我单位的上级管理单位有</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w:t>
      </w:r>
    </w:p>
    <w:p w14:paraId="3ECF4CA6">
      <w:pPr>
        <w:pageBreakBefore w:val="0"/>
        <w:kinsoku/>
        <w:wordWrap/>
        <w:overflowPunct/>
        <w:topLinePunct w:val="0"/>
        <w:bidi w:val="0"/>
        <w:snapToGrid w:val="0"/>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2、股权关系说明：</w:t>
      </w:r>
    </w:p>
    <w:p w14:paraId="2728EB24">
      <w:pPr>
        <w:pageBreakBefore w:val="0"/>
        <w:kinsoku/>
        <w:wordWrap/>
        <w:overflowPunct/>
        <w:topLinePunct w:val="0"/>
        <w:bidi w:val="0"/>
        <w:snapToGri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我单位控股的单位有</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w:t>
      </w:r>
    </w:p>
    <w:p w14:paraId="3B338F97">
      <w:pPr>
        <w:pageBreakBefore w:val="0"/>
        <w:kinsoku/>
        <w:wordWrap/>
        <w:overflowPunct/>
        <w:topLinePunct w:val="0"/>
        <w:bidi w:val="0"/>
        <w:snapToGri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我单位被</w:t>
      </w:r>
      <w:r>
        <w:rPr>
          <w:rFonts w:hint="eastAsia" w:ascii="仿宋" w:hAnsi="仿宋" w:eastAsia="仿宋" w:cs="仿宋"/>
          <w:i/>
          <w:color w:val="auto"/>
          <w:sz w:val="22"/>
          <w:szCs w:val="22"/>
          <w:u w:val="single"/>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单位控股。</w:t>
      </w:r>
    </w:p>
    <w:p w14:paraId="4B6A1B10">
      <w:pPr>
        <w:pageBreakBefore w:val="0"/>
        <w:kinsoku/>
        <w:wordWrap/>
        <w:overflowPunct/>
        <w:topLinePunct w:val="0"/>
        <w:autoSpaceDE w:val="0"/>
        <w:autoSpaceDN w:val="0"/>
        <w:bidi w:val="0"/>
        <w:adjustRightInd w:val="0"/>
        <w:snapToGrid w:val="0"/>
        <w:spacing w:line="360"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3、单位负责人：</w:t>
      </w:r>
      <w:r>
        <w:rPr>
          <w:rFonts w:hint="eastAsia" w:ascii="仿宋" w:hAnsi="仿宋" w:eastAsia="仿宋" w:cs="仿宋"/>
          <w:i/>
          <w:color w:val="auto"/>
          <w:sz w:val="22"/>
          <w:szCs w:val="22"/>
          <w:u w:val="single"/>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none"/>
          <w:lang w:eastAsia="zh-CN"/>
        </w:rPr>
        <w:t>（</w:t>
      </w:r>
      <w:r>
        <w:rPr>
          <w:rFonts w:hint="eastAsia" w:ascii="仿宋" w:hAnsi="仿宋" w:eastAsia="仿宋" w:cs="仿宋"/>
          <w:color w:val="auto"/>
          <w:sz w:val="22"/>
          <w:szCs w:val="22"/>
          <w:lang w:val="en-US" w:eastAsia="zh-CN"/>
        </w:rPr>
        <w:t>姓名）</w:t>
      </w:r>
    </w:p>
    <w:p w14:paraId="5894E112">
      <w:pPr>
        <w:pageBreakBefore w:val="0"/>
        <w:kinsoku/>
        <w:wordWrap/>
        <w:overflowPunct/>
        <w:topLinePunct w:val="0"/>
        <w:autoSpaceDE w:val="0"/>
        <w:autoSpaceDN w:val="0"/>
        <w:bidi w:val="0"/>
        <w:adjustRightInd w:val="0"/>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lang w:val="en-US" w:eastAsia="zh-CN"/>
        </w:rPr>
        <w:t>4</w:t>
      </w:r>
      <w:r>
        <w:rPr>
          <w:rFonts w:hint="eastAsia" w:ascii="仿宋" w:hAnsi="仿宋" w:eastAsia="仿宋" w:cs="仿宋"/>
          <w:bCs/>
          <w:color w:val="auto"/>
          <w:sz w:val="22"/>
          <w:szCs w:val="22"/>
        </w:rPr>
        <w:t xml:space="preserve">、 </w:t>
      </w:r>
      <w:r>
        <w:rPr>
          <w:rFonts w:hint="eastAsia" w:ascii="仿宋" w:hAnsi="仿宋" w:eastAsia="仿宋" w:cs="仿宋"/>
          <w:i/>
          <w:color w:val="auto"/>
          <w:sz w:val="22"/>
          <w:szCs w:val="22"/>
          <w:u w:val="single"/>
        </w:rPr>
        <w:t xml:space="preserve">             </w:t>
      </w:r>
      <w:r>
        <w:rPr>
          <w:rFonts w:hint="eastAsia" w:ascii="仿宋" w:hAnsi="仿宋" w:eastAsia="仿宋" w:cs="仿宋"/>
          <w:color w:val="auto"/>
          <w:sz w:val="22"/>
          <w:szCs w:val="22"/>
          <w:u w:val="single"/>
        </w:rPr>
        <w:t xml:space="preserve">（是或否） </w:t>
      </w:r>
      <w:r>
        <w:rPr>
          <w:rFonts w:hint="eastAsia" w:ascii="仿宋" w:hAnsi="仿宋" w:eastAsia="仿宋" w:cs="仿宋"/>
          <w:bCs/>
          <w:color w:val="auto"/>
          <w:sz w:val="22"/>
          <w:szCs w:val="22"/>
        </w:rPr>
        <w:t>为采购项目提供整体设计、规范编制或者项目管理、监理、检测等服务的供应商。</w:t>
      </w:r>
    </w:p>
    <w:p w14:paraId="7AB10955">
      <w:pPr>
        <w:pageBreakBefore w:val="0"/>
        <w:kinsoku/>
        <w:wordWrap/>
        <w:overflowPunct/>
        <w:topLinePunct w:val="0"/>
        <w:autoSpaceDE w:val="0"/>
        <w:autoSpaceDN w:val="0"/>
        <w:bidi w:val="0"/>
        <w:adjustRightInd w:val="0"/>
        <w:spacing w:line="360"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、其他与本项目有关的利害关系说明</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i w:val="0"/>
          <w:iCs/>
          <w:color w:val="auto"/>
          <w:sz w:val="22"/>
          <w:szCs w:val="22"/>
          <w:u w:val="single"/>
          <w:lang w:eastAsia="zh-CN"/>
        </w:rPr>
        <w:t>（如有）</w:t>
      </w:r>
    </w:p>
    <w:p w14:paraId="36DB5079">
      <w:pPr>
        <w:pageBreakBefore w:val="0"/>
        <w:kinsoku/>
        <w:wordWrap/>
        <w:overflowPunct/>
        <w:topLinePunct w:val="0"/>
        <w:autoSpaceDE w:val="0"/>
        <w:autoSpaceDN w:val="0"/>
        <w:bidi w:val="0"/>
        <w:adjustRightInd w:val="0"/>
        <w:spacing w:line="360" w:lineRule="auto"/>
        <w:ind w:firstLine="440" w:firstLineChars="200"/>
        <w:rPr>
          <w:rFonts w:hint="eastAsia" w:ascii="仿宋" w:hAnsi="仿宋" w:eastAsia="仿宋" w:cs="仿宋"/>
          <w:color w:val="auto"/>
          <w:sz w:val="22"/>
          <w:szCs w:val="22"/>
        </w:rPr>
      </w:pPr>
    </w:p>
    <w:p w14:paraId="57B657EF">
      <w:pPr>
        <w:pageBreakBefore w:val="0"/>
        <w:kinsoku/>
        <w:wordWrap/>
        <w:overflowPunct/>
        <w:topLinePunct w:val="0"/>
        <w:autoSpaceDE w:val="0"/>
        <w:autoSpaceDN w:val="0"/>
        <w:bidi w:val="0"/>
        <w:adjustRightInd w:val="0"/>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我单位承诺以上说明真实有效，无虚假内容或隐瞒。</w:t>
      </w:r>
    </w:p>
    <w:p w14:paraId="4601B016">
      <w:pPr>
        <w:pageBreakBefore w:val="0"/>
        <w:kinsoku/>
        <w:wordWrap/>
        <w:overflowPunct/>
        <w:topLinePunct w:val="0"/>
        <w:autoSpaceDE w:val="0"/>
        <w:autoSpaceDN w:val="0"/>
        <w:bidi w:val="0"/>
        <w:adjustRightInd w:val="0"/>
        <w:spacing w:line="360" w:lineRule="auto"/>
        <w:rPr>
          <w:rFonts w:hint="eastAsia" w:ascii="仿宋" w:hAnsi="仿宋" w:eastAsia="仿宋" w:cs="仿宋"/>
          <w:color w:val="auto"/>
          <w:sz w:val="22"/>
          <w:szCs w:val="22"/>
        </w:rPr>
      </w:pPr>
    </w:p>
    <w:p w14:paraId="2DAC9235">
      <w:pPr>
        <w:pageBreakBefore w:val="0"/>
        <w:kinsoku/>
        <w:wordWrap/>
        <w:overflowPunct/>
        <w:topLinePunct w:val="0"/>
        <w:autoSpaceDE w:val="0"/>
        <w:autoSpaceDN w:val="0"/>
        <w:bidi w:val="0"/>
        <w:adjustRightInd w:val="0"/>
        <w:spacing w:line="360" w:lineRule="auto"/>
        <w:rPr>
          <w:rFonts w:hint="eastAsia" w:ascii="仿宋" w:hAnsi="仿宋" w:eastAsia="仿宋" w:cs="仿宋"/>
          <w:b/>
          <w:color w:val="auto"/>
          <w:sz w:val="22"/>
          <w:szCs w:val="22"/>
        </w:rPr>
      </w:pPr>
    </w:p>
    <w:p w14:paraId="46CC28FB">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w:t>
      </w:r>
    </w:p>
    <w:p w14:paraId="62322EE3">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79E6F643">
      <w:pPr>
        <w:pageBreakBefore w:val="0"/>
        <w:kinsoku/>
        <w:wordWrap/>
        <w:overflowPunct/>
        <w:topLinePunct w:val="0"/>
        <w:autoSpaceDE w:val="0"/>
        <w:autoSpaceDN w:val="0"/>
        <w:bidi w:val="0"/>
        <w:adjustRightInd w:val="0"/>
        <w:spacing w:line="360" w:lineRule="auto"/>
        <w:ind w:firstLine="240" w:firstLineChars="100"/>
        <w:jc w:val="right"/>
        <w:rPr>
          <w:rFonts w:hint="eastAsia" w:ascii="仿宋" w:hAnsi="仿宋" w:eastAsia="仿宋" w:cs="仿宋"/>
          <w:b/>
          <w:bCs/>
          <w:color w:val="auto"/>
          <w:sz w:val="22"/>
          <w:szCs w:val="22"/>
          <w:lang w:val="zh-CN"/>
        </w:rPr>
      </w:pPr>
      <w:r>
        <w:rPr>
          <w:rFonts w:hint="eastAsia" w:ascii="仿宋" w:hAnsi="仿宋" w:eastAsia="仿宋" w:cs="仿宋"/>
          <w:color w:val="auto"/>
          <w:kern w:val="2"/>
          <w:sz w:val="24"/>
          <w:szCs w:val="24"/>
          <w:highlight w:val="none"/>
          <w:lang w:val="en-US" w:eastAsia="zh-CN" w:bidi="ar-SA"/>
        </w:rPr>
        <w:t>日期：　　年　月　日</w:t>
      </w:r>
    </w:p>
    <w:p w14:paraId="6A491713">
      <w:pPr>
        <w:pStyle w:val="5"/>
        <w:pageBreakBefore w:val="0"/>
        <w:kinsoku/>
        <w:wordWrap/>
        <w:overflowPunct/>
        <w:topLinePunct w:val="0"/>
        <w:bidi w:val="0"/>
        <w:spacing w:before="120" w:beforeLines="50" w:line="360" w:lineRule="auto"/>
        <w:ind w:firstLine="1276" w:firstLineChars="580"/>
        <w:rPr>
          <w:rFonts w:hint="eastAsia" w:ascii="仿宋" w:hAnsi="仿宋" w:eastAsia="仿宋" w:cs="仿宋"/>
          <w:color w:val="auto"/>
          <w:sz w:val="22"/>
          <w:szCs w:val="22"/>
          <w:highlight w:val="none"/>
          <w:lang w:val="en-US" w:eastAsia="zh-CN"/>
        </w:rPr>
      </w:pPr>
    </w:p>
    <w:p w14:paraId="45D05F4A">
      <w:pPr>
        <w:pStyle w:val="42"/>
        <w:pageBreakBefore w:val="0"/>
        <w:kinsoku/>
        <w:wordWrap/>
        <w:overflowPunct/>
        <w:topLinePunct w:val="0"/>
        <w:bidi w:val="0"/>
        <w:spacing w:line="360" w:lineRule="auto"/>
        <w:rPr>
          <w:rFonts w:hint="eastAsia" w:ascii="仿宋" w:hAnsi="仿宋" w:eastAsia="仿宋" w:cs="仿宋"/>
          <w:sz w:val="22"/>
          <w:szCs w:val="22"/>
        </w:rPr>
      </w:pPr>
    </w:p>
    <w:p w14:paraId="69AC6433">
      <w:pPr>
        <w:pStyle w:val="42"/>
        <w:jc w:val="left"/>
        <w:rPr>
          <w:rFonts w:hint="eastAsia" w:ascii="仿宋" w:hAnsi="仿宋" w:eastAsia="仿宋" w:cs="仿宋"/>
          <w:b/>
          <w:kern w:val="2"/>
          <w:sz w:val="28"/>
          <w:szCs w:val="18"/>
          <w:lang w:val="en-US" w:eastAsia="zh-CN" w:bidi="ar-SA"/>
        </w:rPr>
      </w:pPr>
      <w:r>
        <w:rPr>
          <w:rFonts w:hint="eastAsia" w:ascii="仿宋" w:hAnsi="仿宋" w:eastAsia="仿宋" w:cs="仿宋"/>
          <w:b/>
          <w:bCs/>
          <w:sz w:val="22"/>
          <w:szCs w:val="22"/>
          <w:lang w:eastAsia="zh-CN"/>
        </w:rPr>
        <w:t>（如有请如实填写，无请打“</w:t>
      </w:r>
      <w:r>
        <w:rPr>
          <w:rFonts w:hint="eastAsia" w:ascii="仿宋" w:hAnsi="仿宋" w:eastAsia="仿宋" w:cs="仿宋"/>
          <w:b/>
          <w:bCs/>
          <w:sz w:val="22"/>
          <w:szCs w:val="22"/>
          <w:lang w:val="en-US" w:eastAsia="zh-CN"/>
        </w:rPr>
        <w:t>/</w:t>
      </w:r>
      <w:r>
        <w:rPr>
          <w:rFonts w:hint="eastAsia" w:ascii="仿宋" w:hAnsi="仿宋" w:eastAsia="仿宋" w:cs="仿宋"/>
          <w:b/>
          <w:bCs/>
          <w:sz w:val="22"/>
          <w:szCs w:val="22"/>
          <w:lang w:eastAsia="zh-CN"/>
        </w:rPr>
        <w:t>”或写“无”）</w:t>
      </w:r>
    </w:p>
    <w:p w14:paraId="54DF88A5">
      <w:pPr>
        <w:rPr>
          <w:rFonts w:hint="eastAsia" w:ascii="仿宋" w:hAnsi="仿宋" w:eastAsia="仿宋" w:cs="仿宋"/>
          <w:b/>
          <w:kern w:val="2"/>
          <w:sz w:val="28"/>
          <w:szCs w:val="18"/>
          <w:lang w:val="en-US" w:eastAsia="zh-CN" w:bidi="ar-SA"/>
        </w:rPr>
      </w:pPr>
      <w:r>
        <w:rPr>
          <w:rFonts w:hint="eastAsia" w:ascii="仿宋" w:hAnsi="仿宋" w:eastAsia="仿宋" w:cs="仿宋"/>
          <w:b/>
          <w:kern w:val="2"/>
          <w:sz w:val="28"/>
          <w:szCs w:val="18"/>
          <w:lang w:val="en-US" w:eastAsia="zh-CN" w:bidi="ar-SA"/>
        </w:rPr>
        <w:br w:type="page"/>
      </w:r>
    </w:p>
    <w:p w14:paraId="04830676">
      <w:pPr>
        <w:widowControl/>
        <w:spacing w:line="480" w:lineRule="exact"/>
        <w:ind w:right="-99" w:rightChars="-47"/>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陕西省政府采购供应商</w:t>
      </w:r>
    </w:p>
    <w:p w14:paraId="6FA16F89">
      <w:pPr>
        <w:widowControl/>
        <w:spacing w:line="480" w:lineRule="exact"/>
        <w:ind w:right="-99" w:rightChars="-47"/>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拒绝政府采购领域商业贿赂承诺书</w:t>
      </w:r>
    </w:p>
    <w:p w14:paraId="08308110">
      <w:pPr>
        <w:widowControl/>
        <w:spacing w:line="540" w:lineRule="exact"/>
        <w:ind w:right="-99" w:rightChars="-47" w:firstLine="660" w:firstLineChars="300"/>
        <w:rPr>
          <w:rFonts w:hint="eastAsia" w:ascii="仿宋" w:hAnsi="仿宋" w:eastAsia="仿宋" w:cs="仿宋"/>
          <w:sz w:val="22"/>
          <w:szCs w:val="22"/>
        </w:rPr>
      </w:pPr>
      <w:r>
        <w:rPr>
          <w:rFonts w:hint="eastAsia" w:ascii="仿宋" w:hAnsi="仿宋" w:eastAsia="仿宋" w:cs="仿宋"/>
          <w:sz w:val="22"/>
          <w:szCs w:val="22"/>
        </w:rPr>
        <w:t xml:space="preserve">为响应党中央、国务院关于治理政府采购领域商业贿赂行为的号召，我单位在此庄严承诺： </w:t>
      </w:r>
    </w:p>
    <w:p w14:paraId="6FB2079B">
      <w:pPr>
        <w:widowControl/>
        <w:numPr>
          <w:ilvl w:val="0"/>
          <w:numId w:val="8"/>
        </w:numPr>
        <w:spacing w:line="540" w:lineRule="exact"/>
        <w:ind w:right="-99" w:rightChars="-47" w:firstLine="440" w:firstLineChars="200"/>
        <w:rPr>
          <w:rFonts w:hint="eastAsia" w:ascii="仿宋" w:hAnsi="仿宋" w:eastAsia="仿宋" w:cs="仿宋"/>
          <w:kern w:val="0"/>
          <w:sz w:val="22"/>
          <w:szCs w:val="22"/>
        </w:rPr>
      </w:pPr>
      <w:r>
        <w:rPr>
          <w:rFonts w:hint="eastAsia" w:ascii="仿宋" w:hAnsi="仿宋" w:eastAsia="仿宋" w:cs="仿宋"/>
          <w:sz w:val="22"/>
          <w:szCs w:val="22"/>
        </w:rPr>
        <w:t xml:space="preserve">在参与政府采购活动中遵纪守法、诚信经营、公平竞标。 </w:t>
      </w:r>
    </w:p>
    <w:p w14:paraId="4E1D59D8">
      <w:pPr>
        <w:widowControl/>
        <w:numPr>
          <w:ilvl w:val="0"/>
          <w:numId w:val="8"/>
        </w:numPr>
        <w:spacing w:line="540" w:lineRule="exact"/>
        <w:ind w:right="-99" w:rightChars="-47" w:firstLine="440" w:firstLineChars="200"/>
        <w:rPr>
          <w:rFonts w:hint="eastAsia" w:ascii="仿宋" w:hAnsi="仿宋" w:eastAsia="仿宋" w:cs="仿宋"/>
          <w:kern w:val="0"/>
          <w:sz w:val="22"/>
          <w:szCs w:val="22"/>
        </w:rPr>
      </w:pPr>
      <w:r>
        <w:rPr>
          <w:rFonts w:hint="eastAsia" w:ascii="仿宋" w:hAnsi="仿宋" w:eastAsia="仿宋" w:cs="仿宋"/>
          <w:sz w:val="22"/>
          <w:szCs w:val="22"/>
        </w:rPr>
        <w:t xml:space="preserve">不向采购人、采购代理机构和政府采购磋商专家进行任何形式的商业贿赂以谋取交易机会。 </w:t>
      </w:r>
    </w:p>
    <w:p w14:paraId="240CC9D1">
      <w:pPr>
        <w:widowControl/>
        <w:spacing w:line="540" w:lineRule="exact"/>
        <w:ind w:right="-99" w:rightChars="-47"/>
        <w:rPr>
          <w:rFonts w:hint="eastAsia" w:ascii="仿宋" w:hAnsi="仿宋" w:eastAsia="仿宋" w:cs="仿宋"/>
          <w:sz w:val="22"/>
          <w:szCs w:val="22"/>
        </w:rPr>
      </w:pPr>
      <w:r>
        <w:rPr>
          <w:rFonts w:hint="eastAsia" w:ascii="仿宋" w:hAnsi="仿宋" w:eastAsia="仿宋" w:cs="仿宋"/>
          <w:sz w:val="22"/>
          <w:szCs w:val="22"/>
        </w:rPr>
        <w:t xml:space="preserve">   3、不向政府采购采购代理机构和采购人提供虚假资质文件或采用虚假应标方式参与政府采购市场竞争并谋取成交。 </w:t>
      </w:r>
    </w:p>
    <w:p w14:paraId="29B3C3E7">
      <w:pPr>
        <w:widowControl/>
        <w:spacing w:line="540" w:lineRule="exact"/>
        <w:ind w:right="-99" w:rightChars="-47"/>
        <w:rPr>
          <w:rFonts w:hint="eastAsia" w:ascii="仿宋" w:hAnsi="仿宋" w:eastAsia="仿宋" w:cs="仿宋"/>
          <w:sz w:val="22"/>
          <w:szCs w:val="22"/>
        </w:rPr>
      </w:pPr>
      <w:r>
        <w:rPr>
          <w:rFonts w:hint="eastAsia" w:ascii="仿宋" w:hAnsi="仿宋" w:eastAsia="仿宋" w:cs="仿宋"/>
          <w:sz w:val="22"/>
          <w:szCs w:val="22"/>
        </w:rPr>
        <w:t>   4、不采取“围标、陪标”等商业欺诈手段获得政府采购定单。</w:t>
      </w:r>
    </w:p>
    <w:p w14:paraId="6237B69B">
      <w:pPr>
        <w:widowControl/>
        <w:numPr>
          <w:ilvl w:val="0"/>
          <w:numId w:val="9"/>
        </w:numPr>
        <w:spacing w:line="540" w:lineRule="exact"/>
        <w:ind w:right="-99" w:rightChars="-47" w:firstLine="440" w:firstLineChars="200"/>
        <w:rPr>
          <w:rFonts w:hint="eastAsia" w:ascii="仿宋" w:hAnsi="仿宋" w:eastAsia="仿宋" w:cs="仿宋"/>
          <w:kern w:val="0"/>
          <w:sz w:val="22"/>
          <w:szCs w:val="22"/>
        </w:rPr>
      </w:pPr>
      <w:r>
        <w:rPr>
          <w:rFonts w:hint="eastAsia" w:ascii="仿宋" w:hAnsi="仿宋" w:eastAsia="仿宋" w:cs="仿宋"/>
          <w:sz w:val="22"/>
          <w:szCs w:val="22"/>
        </w:rPr>
        <w:t>不采取不正当手段诋毁、排挤其他供应商。</w:t>
      </w:r>
    </w:p>
    <w:p w14:paraId="29274C05">
      <w:pPr>
        <w:widowControl/>
        <w:spacing w:line="540" w:lineRule="exact"/>
        <w:ind w:right="-99" w:rightChars="-47"/>
        <w:rPr>
          <w:rFonts w:hint="eastAsia" w:ascii="仿宋" w:hAnsi="仿宋" w:eastAsia="仿宋" w:cs="仿宋"/>
          <w:sz w:val="22"/>
          <w:szCs w:val="22"/>
        </w:rPr>
      </w:pPr>
      <w:r>
        <w:rPr>
          <w:rFonts w:hint="eastAsia" w:ascii="仿宋" w:hAnsi="仿宋" w:eastAsia="仿宋" w:cs="仿宋"/>
          <w:sz w:val="22"/>
          <w:szCs w:val="22"/>
        </w:rPr>
        <w:t xml:space="preserve">   6、不在提供商品和服务时“偷梁换柱、以次充好”损害采购人的合法权益。     </w:t>
      </w:r>
    </w:p>
    <w:p w14:paraId="4E12505A">
      <w:pPr>
        <w:widowControl/>
        <w:numPr>
          <w:ilvl w:val="0"/>
          <w:numId w:val="10"/>
        </w:numPr>
        <w:spacing w:line="540" w:lineRule="exact"/>
        <w:ind w:right="-99" w:rightChars="-47" w:firstLine="440" w:firstLineChars="200"/>
        <w:rPr>
          <w:rFonts w:hint="eastAsia" w:ascii="仿宋" w:hAnsi="仿宋" w:eastAsia="仿宋" w:cs="仿宋"/>
          <w:kern w:val="0"/>
          <w:sz w:val="22"/>
          <w:szCs w:val="22"/>
        </w:rPr>
      </w:pPr>
      <w:r>
        <w:rPr>
          <w:rFonts w:hint="eastAsia" w:ascii="仿宋" w:hAnsi="仿宋" w:eastAsia="仿宋" w:cs="仿宋"/>
          <w:sz w:val="22"/>
          <w:szCs w:val="22"/>
        </w:rPr>
        <w:t>不与采购人、采购代理机构政府采购磋商专家或其它供应商恶意串通，进行质疑和投诉，维护政府采购市场秩序。</w:t>
      </w:r>
    </w:p>
    <w:p w14:paraId="5B141F3C">
      <w:pPr>
        <w:widowControl/>
        <w:spacing w:line="540" w:lineRule="exact"/>
        <w:ind w:right="-99" w:rightChars="-47" w:firstLine="440" w:firstLineChars="200"/>
        <w:rPr>
          <w:rFonts w:hint="eastAsia" w:ascii="仿宋" w:hAnsi="仿宋" w:eastAsia="仿宋" w:cs="仿宋"/>
          <w:sz w:val="22"/>
          <w:szCs w:val="22"/>
        </w:rPr>
      </w:pPr>
      <w:r>
        <w:rPr>
          <w:rFonts w:hint="eastAsia" w:ascii="仿宋" w:hAnsi="仿宋" w:eastAsia="仿宋" w:cs="仿宋"/>
          <w:sz w:val="22"/>
          <w:szCs w:val="22"/>
        </w:rPr>
        <w:t>8、尊重和接受政府采购监督管理部门的监督和政府采购代理机构采购要求，承担因违约行为给采购人造成的损失。</w:t>
      </w:r>
    </w:p>
    <w:p w14:paraId="3F01C154">
      <w:pPr>
        <w:widowControl/>
        <w:spacing w:line="540" w:lineRule="exact"/>
        <w:ind w:right="-99" w:rightChars="-47" w:firstLine="440" w:firstLineChars="200"/>
        <w:rPr>
          <w:rFonts w:hint="eastAsia" w:ascii="仿宋" w:hAnsi="仿宋" w:eastAsia="仿宋" w:cs="仿宋"/>
          <w:kern w:val="0"/>
          <w:sz w:val="22"/>
          <w:szCs w:val="22"/>
        </w:rPr>
      </w:pPr>
      <w:r>
        <w:rPr>
          <w:rFonts w:hint="eastAsia" w:ascii="仿宋" w:hAnsi="仿宋" w:eastAsia="仿宋" w:cs="仿宋"/>
          <w:sz w:val="22"/>
          <w:szCs w:val="22"/>
        </w:rPr>
        <w:t xml:space="preserve">9、不发生其他有悖于政府采购公开、公平、公正和诚信原则的行为。 </w:t>
      </w:r>
    </w:p>
    <w:p w14:paraId="4D11438A">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p>
    <w:p w14:paraId="10A016EB">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w:t>
      </w:r>
    </w:p>
    <w:p w14:paraId="23BE2135">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230488D2">
      <w:pPr>
        <w:jc w:val="right"/>
        <w:rPr>
          <w:rFonts w:hint="eastAsia" w:ascii="仿宋" w:hAnsi="仿宋" w:eastAsia="仿宋" w:cs="仿宋"/>
          <w:b/>
          <w:kern w:val="2"/>
          <w:sz w:val="28"/>
          <w:szCs w:val="18"/>
          <w:lang w:val="en-US" w:eastAsia="zh-CN" w:bidi="ar-SA"/>
        </w:rPr>
        <w:sectPr>
          <w:headerReference r:id="rId13" w:type="default"/>
          <w:footerReference r:id="rId14" w:type="default"/>
          <w:pgSz w:w="11906" w:h="16838"/>
          <w:pgMar w:top="1440" w:right="1803" w:bottom="1440" w:left="1803" w:header="851" w:footer="992" w:gutter="0"/>
          <w:pgNumType w:fmt="decimal"/>
          <w:cols w:space="720" w:num="1"/>
          <w:docGrid w:linePitch="312" w:charSpace="0"/>
        </w:sectPr>
      </w:pPr>
      <w:r>
        <w:rPr>
          <w:rFonts w:hint="eastAsia" w:ascii="仿宋" w:hAnsi="仿宋" w:eastAsia="仿宋" w:cs="仿宋"/>
          <w:color w:val="auto"/>
          <w:kern w:val="2"/>
          <w:sz w:val="24"/>
          <w:szCs w:val="24"/>
          <w:highlight w:val="none"/>
          <w:lang w:val="en-US" w:eastAsia="zh-CN" w:bidi="ar-SA"/>
        </w:rPr>
        <w:t>日期：　　年　月　日</w:t>
      </w:r>
    </w:p>
    <w:bookmarkEnd w:id="256"/>
    <w:bookmarkEnd w:id="257"/>
    <w:bookmarkEnd w:id="258"/>
    <w:bookmarkEnd w:id="259"/>
    <w:p w14:paraId="44DEAA8B">
      <w:pPr>
        <w:pStyle w:val="2"/>
        <w:numPr>
          <w:ilvl w:val="0"/>
          <w:numId w:val="11"/>
        </w:numPr>
        <w:spacing w:line="24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项目方案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依据评审方法，自行编制</w:t>
      </w:r>
      <w:r>
        <w:rPr>
          <w:rFonts w:hint="eastAsia" w:ascii="仿宋" w:hAnsi="仿宋" w:eastAsia="仿宋" w:cs="仿宋"/>
          <w:sz w:val="28"/>
          <w:szCs w:val="28"/>
          <w:lang w:eastAsia="zh-CN"/>
        </w:rPr>
        <w:t>）</w:t>
      </w:r>
    </w:p>
    <w:p w14:paraId="2AFCF3A0">
      <w:pPr>
        <w:rPr>
          <w:rFonts w:hint="eastAsia" w:ascii="仿宋" w:hAnsi="仿宋" w:eastAsia="仿宋" w:cs="仿宋"/>
          <w:sz w:val="28"/>
          <w:szCs w:val="28"/>
        </w:rPr>
      </w:pPr>
    </w:p>
    <w:p w14:paraId="426E92C8">
      <w:pPr>
        <w:pStyle w:val="42"/>
        <w:rPr>
          <w:rFonts w:hint="eastAsia" w:ascii="仿宋" w:hAnsi="仿宋" w:eastAsia="仿宋" w:cs="仿宋"/>
          <w:sz w:val="28"/>
          <w:szCs w:val="28"/>
        </w:rPr>
      </w:pPr>
    </w:p>
    <w:p w14:paraId="0F6D30BB">
      <w:pPr>
        <w:pStyle w:val="42"/>
        <w:rPr>
          <w:rFonts w:hint="eastAsia" w:ascii="仿宋" w:hAnsi="仿宋" w:eastAsia="仿宋" w:cs="仿宋"/>
          <w:sz w:val="28"/>
          <w:szCs w:val="28"/>
        </w:rPr>
      </w:pPr>
    </w:p>
    <w:p w14:paraId="3FA525C5">
      <w:pPr>
        <w:pStyle w:val="42"/>
        <w:rPr>
          <w:rFonts w:hint="eastAsia" w:ascii="仿宋" w:hAnsi="仿宋" w:eastAsia="仿宋" w:cs="仿宋"/>
          <w:sz w:val="28"/>
          <w:szCs w:val="28"/>
        </w:rPr>
      </w:pPr>
    </w:p>
    <w:p w14:paraId="4A9FEEC0">
      <w:pPr>
        <w:pStyle w:val="42"/>
        <w:rPr>
          <w:rFonts w:hint="eastAsia" w:ascii="仿宋" w:hAnsi="仿宋" w:eastAsia="仿宋" w:cs="仿宋"/>
          <w:sz w:val="28"/>
          <w:szCs w:val="28"/>
        </w:rPr>
      </w:pPr>
    </w:p>
    <w:p w14:paraId="35769EBD">
      <w:pPr>
        <w:pStyle w:val="42"/>
        <w:rPr>
          <w:rFonts w:hint="eastAsia" w:ascii="仿宋" w:hAnsi="仿宋" w:eastAsia="仿宋" w:cs="仿宋"/>
          <w:sz w:val="28"/>
          <w:szCs w:val="28"/>
        </w:rPr>
      </w:pPr>
    </w:p>
    <w:p w14:paraId="78E6C369">
      <w:pPr>
        <w:pStyle w:val="42"/>
        <w:rPr>
          <w:rFonts w:hint="eastAsia" w:ascii="仿宋" w:hAnsi="仿宋" w:eastAsia="仿宋" w:cs="仿宋"/>
          <w:sz w:val="28"/>
          <w:szCs w:val="28"/>
        </w:rPr>
      </w:pPr>
    </w:p>
    <w:p w14:paraId="19A6B033">
      <w:pPr>
        <w:pStyle w:val="42"/>
        <w:rPr>
          <w:rFonts w:hint="eastAsia" w:ascii="仿宋" w:hAnsi="仿宋" w:eastAsia="仿宋" w:cs="仿宋"/>
          <w:sz w:val="28"/>
          <w:szCs w:val="28"/>
        </w:rPr>
      </w:pPr>
    </w:p>
    <w:p w14:paraId="06ABC35C">
      <w:pPr>
        <w:pStyle w:val="42"/>
        <w:rPr>
          <w:rFonts w:hint="eastAsia" w:ascii="仿宋" w:hAnsi="仿宋" w:eastAsia="仿宋" w:cs="仿宋"/>
          <w:sz w:val="28"/>
          <w:szCs w:val="28"/>
        </w:rPr>
      </w:pPr>
    </w:p>
    <w:p w14:paraId="7D20DF39">
      <w:pPr>
        <w:pStyle w:val="42"/>
        <w:rPr>
          <w:rFonts w:hint="eastAsia" w:ascii="仿宋" w:hAnsi="仿宋" w:eastAsia="仿宋" w:cs="仿宋"/>
          <w:sz w:val="28"/>
          <w:szCs w:val="28"/>
        </w:rPr>
      </w:pPr>
    </w:p>
    <w:p w14:paraId="3DBE7C56">
      <w:pPr>
        <w:pStyle w:val="42"/>
        <w:rPr>
          <w:rFonts w:hint="eastAsia" w:ascii="仿宋" w:hAnsi="仿宋" w:eastAsia="仿宋" w:cs="仿宋"/>
          <w:sz w:val="28"/>
          <w:szCs w:val="28"/>
        </w:rPr>
      </w:pPr>
    </w:p>
    <w:p w14:paraId="0D0B46E8">
      <w:pPr>
        <w:pStyle w:val="42"/>
        <w:rPr>
          <w:rFonts w:hint="eastAsia" w:ascii="仿宋" w:hAnsi="仿宋" w:eastAsia="仿宋" w:cs="仿宋"/>
          <w:sz w:val="28"/>
          <w:szCs w:val="28"/>
        </w:rPr>
      </w:pPr>
    </w:p>
    <w:p w14:paraId="6676C616">
      <w:pPr>
        <w:pStyle w:val="42"/>
        <w:rPr>
          <w:rFonts w:hint="eastAsia" w:ascii="仿宋" w:hAnsi="仿宋" w:eastAsia="仿宋" w:cs="仿宋"/>
          <w:sz w:val="28"/>
          <w:szCs w:val="28"/>
        </w:rPr>
      </w:pPr>
    </w:p>
    <w:p w14:paraId="4DB72D59">
      <w:pPr>
        <w:pStyle w:val="42"/>
        <w:rPr>
          <w:rFonts w:hint="eastAsia" w:ascii="仿宋" w:hAnsi="仿宋" w:eastAsia="仿宋" w:cs="仿宋"/>
          <w:sz w:val="28"/>
          <w:szCs w:val="28"/>
        </w:rPr>
      </w:pPr>
    </w:p>
    <w:p w14:paraId="3F6774B4">
      <w:pPr>
        <w:pStyle w:val="42"/>
        <w:rPr>
          <w:rFonts w:hint="eastAsia" w:ascii="仿宋" w:hAnsi="仿宋" w:eastAsia="仿宋" w:cs="仿宋"/>
          <w:sz w:val="28"/>
          <w:szCs w:val="28"/>
        </w:rPr>
      </w:pPr>
    </w:p>
    <w:p w14:paraId="7BB583A4">
      <w:pPr>
        <w:pStyle w:val="42"/>
        <w:rPr>
          <w:rFonts w:hint="eastAsia" w:ascii="仿宋" w:hAnsi="仿宋" w:eastAsia="仿宋" w:cs="仿宋"/>
          <w:sz w:val="28"/>
          <w:szCs w:val="28"/>
        </w:rPr>
      </w:pPr>
    </w:p>
    <w:p w14:paraId="66345DD2">
      <w:pPr>
        <w:pStyle w:val="42"/>
        <w:rPr>
          <w:rFonts w:hint="eastAsia" w:ascii="仿宋" w:hAnsi="仿宋" w:eastAsia="仿宋" w:cs="仿宋"/>
          <w:sz w:val="28"/>
          <w:szCs w:val="28"/>
        </w:rPr>
      </w:pPr>
    </w:p>
    <w:p w14:paraId="2E1EBFE5">
      <w:pPr>
        <w:pStyle w:val="42"/>
        <w:rPr>
          <w:rFonts w:hint="eastAsia" w:ascii="仿宋" w:hAnsi="仿宋" w:eastAsia="仿宋" w:cs="仿宋"/>
          <w:sz w:val="28"/>
          <w:szCs w:val="28"/>
        </w:rPr>
      </w:pPr>
    </w:p>
    <w:p w14:paraId="36227FEF">
      <w:pPr>
        <w:pStyle w:val="42"/>
        <w:rPr>
          <w:rFonts w:hint="eastAsia" w:ascii="仿宋" w:hAnsi="仿宋" w:eastAsia="仿宋" w:cs="仿宋"/>
          <w:sz w:val="28"/>
          <w:szCs w:val="28"/>
        </w:rPr>
      </w:pPr>
    </w:p>
    <w:p w14:paraId="4FCDB201">
      <w:pPr>
        <w:pStyle w:val="42"/>
        <w:rPr>
          <w:rFonts w:hint="eastAsia" w:ascii="仿宋" w:hAnsi="仿宋" w:eastAsia="仿宋" w:cs="仿宋"/>
          <w:sz w:val="28"/>
          <w:szCs w:val="28"/>
        </w:rPr>
      </w:pPr>
    </w:p>
    <w:p w14:paraId="2F8CC16E">
      <w:pPr>
        <w:pStyle w:val="42"/>
        <w:rPr>
          <w:rFonts w:hint="eastAsia" w:ascii="仿宋" w:hAnsi="仿宋" w:eastAsia="仿宋" w:cs="仿宋"/>
          <w:sz w:val="28"/>
          <w:szCs w:val="28"/>
        </w:rPr>
      </w:pPr>
    </w:p>
    <w:p w14:paraId="251BCC90">
      <w:pPr>
        <w:pStyle w:val="42"/>
        <w:rPr>
          <w:rFonts w:hint="eastAsia" w:ascii="仿宋" w:hAnsi="仿宋" w:eastAsia="仿宋" w:cs="仿宋"/>
          <w:sz w:val="28"/>
          <w:szCs w:val="28"/>
        </w:rPr>
      </w:pPr>
    </w:p>
    <w:p w14:paraId="4F288447">
      <w:pPr>
        <w:pStyle w:val="42"/>
        <w:rPr>
          <w:rFonts w:hint="eastAsia" w:ascii="仿宋" w:hAnsi="仿宋" w:eastAsia="仿宋" w:cs="仿宋"/>
          <w:sz w:val="28"/>
          <w:szCs w:val="28"/>
        </w:rPr>
      </w:pPr>
    </w:p>
    <w:p w14:paraId="33A1CFC6">
      <w:pPr>
        <w:pStyle w:val="42"/>
        <w:rPr>
          <w:rFonts w:hint="eastAsia" w:ascii="仿宋" w:hAnsi="仿宋" w:eastAsia="仿宋" w:cs="仿宋"/>
          <w:sz w:val="28"/>
          <w:szCs w:val="28"/>
        </w:rPr>
      </w:pPr>
    </w:p>
    <w:p w14:paraId="2E31358D">
      <w:pPr>
        <w:pStyle w:val="42"/>
        <w:rPr>
          <w:rFonts w:hint="eastAsia" w:ascii="仿宋" w:hAnsi="仿宋" w:eastAsia="仿宋" w:cs="仿宋"/>
          <w:sz w:val="28"/>
          <w:szCs w:val="28"/>
        </w:rPr>
      </w:pPr>
    </w:p>
    <w:p w14:paraId="376F5653">
      <w:pPr>
        <w:pStyle w:val="42"/>
        <w:rPr>
          <w:rFonts w:hint="eastAsia" w:ascii="仿宋" w:hAnsi="仿宋" w:eastAsia="仿宋" w:cs="仿宋"/>
          <w:sz w:val="28"/>
          <w:szCs w:val="28"/>
        </w:rPr>
      </w:pPr>
    </w:p>
    <w:p w14:paraId="065CD054">
      <w:pPr>
        <w:pStyle w:val="42"/>
        <w:rPr>
          <w:rFonts w:hint="eastAsia" w:ascii="仿宋" w:hAnsi="仿宋" w:eastAsia="仿宋" w:cs="仿宋"/>
          <w:sz w:val="28"/>
          <w:szCs w:val="28"/>
        </w:rPr>
      </w:pPr>
    </w:p>
    <w:p w14:paraId="0040C7A1">
      <w:pPr>
        <w:pStyle w:val="42"/>
        <w:rPr>
          <w:rFonts w:hint="eastAsia" w:ascii="仿宋" w:hAnsi="仿宋" w:eastAsia="仿宋" w:cs="仿宋"/>
          <w:sz w:val="28"/>
          <w:szCs w:val="28"/>
        </w:rPr>
      </w:pPr>
    </w:p>
    <w:p w14:paraId="3A06DD02">
      <w:pPr>
        <w:pStyle w:val="42"/>
        <w:rPr>
          <w:rFonts w:hint="eastAsia" w:ascii="仿宋" w:hAnsi="仿宋" w:eastAsia="仿宋" w:cs="仿宋"/>
          <w:sz w:val="28"/>
          <w:szCs w:val="28"/>
        </w:rPr>
      </w:pPr>
    </w:p>
    <w:p w14:paraId="49D6C8F0">
      <w:pPr>
        <w:pStyle w:val="42"/>
        <w:rPr>
          <w:rFonts w:hint="eastAsia" w:ascii="仿宋" w:hAnsi="仿宋" w:eastAsia="仿宋" w:cs="仿宋"/>
          <w:sz w:val="28"/>
          <w:szCs w:val="28"/>
        </w:rPr>
      </w:pPr>
    </w:p>
    <w:p w14:paraId="15E9F07F">
      <w:pPr>
        <w:pStyle w:val="42"/>
        <w:rPr>
          <w:rFonts w:hint="eastAsia" w:ascii="仿宋" w:hAnsi="仿宋" w:eastAsia="仿宋" w:cs="仿宋"/>
          <w:sz w:val="28"/>
          <w:szCs w:val="28"/>
        </w:rPr>
      </w:pPr>
    </w:p>
    <w:p w14:paraId="2E1379B5">
      <w:pPr>
        <w:pStyle w:val="42"/>
        <w:rPr>
          <w:rFonts w:hint="eastAsia" w:ascii="仿宋" w:hAnsi="仿宋" w:eastAsia="仿宋" w:cs="仿宋"/>
          <w:sz w:val="28"/>
          <w:szCs w:val="28"/>
        </w:rPr>
      </w:pPr>
    </w:p>
    <w:p w14:paraId="7D5B93E4">
      <w:pPr>
        <w:pStyle w:val="42"/>
        <w:rPr>
          <w:rFonts w:hint="eastAsia" w:ascii="仿宋" w:hAnsi="仿宋" w:eastAsia="仿宋" w:cs="仿宋"/>
          <w:sz w:val="28"/>
          <w:szCs w:val="28"/>
        </w:rPr>
      </w:pPr>
    </w:p>
    <w:p w14:paraId="4CD356EE">
      <w:pPr>
        <w:pStyle w:val="42"/>
        <w:rPr>
          <w:rFonts w:hint="eastAsia" w:ascii="仿宋" w:hAnsi="仿宋" w:eastAsia="仿宋" w:cs="仿宋"/>
          <w:sz w:val="28"/>
          <w:szCs w:val="28"/>
        </w:rPr>
      </w:pPr>
    </w:p>
    <w:p w14:paraId="7B2F3459">
      <w:pPr>
        <w:pStyle w:val="42"/>
        <w:rPr>
          <w:rFonts w:hint="eastAsia" w:ascii="仿宋" w:hAnsi="仿宋" w:eastAsia="仿宋" w:cs="仿宋"/>
          <w:sz w:val="28"/>
          <w:szCs w:val="28"/>
        </w:rPr>
      </w:pPr>
    </w:p>
    <w:p w14:paraId="46E0839B">
      <w:pPr>
        <w:pStyle w:val="42"/>
        <w:rPr>
          <w:rFonts w:hint="eastAsia" w:ascii="仿宋" w:hAnsi="仿宋" w:eastAsia="仿宋" w:cs="仿宋"/>
          <w:sz w:val="28"/>
          <w:szCs w:val="28"/>
        </w:rPr>
      </w:pPr>
    </w:p>
    <w:p w14:paraId="7229266E">
      <w:pPr>
        <w:pStyle w:val="2"/>
        <w:numPr>
          <w:ilvl w:val="0"/>
          <w:numId w:val="11"/>
        </w:numPr>
        <w:spacing w:line="24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其它证明资料</w:t>
      </w:r>
    </w:p>
    <w:p w14:paraId="05056EB8">
      <w:pPr>
        <w:widowControl w:val="0"/>
        <w:numPr>
          <w:ilvl w:val="0"/>
          <w:numId w:val="0"/>
        </w:numPr>
        <w:jc w:val="both"/>
        <w:rPr>
          <w:rFonts w:hint="eastAsia" w:ascii="仿宋" w:hAnsi="仿宋" w:eastAsia="仿宋" w:cs="仿宋"/>
        </w:rPr>
      </w:pPr>
    </w:p>
    <w:p w14:paraId="65EAEF5F">
      <w:pPr>
        <w:pStyle w:val="42"/>
        <w:rPr>
          <w:rFonts w:hint="eastAsia" w:ascii="仿宋" w:hAnsi="仿宋" w:eastAsia="仿宋" w:cs="仿宋"/>
        </w:rPr>
      </w:pPr>
    </w:p>
    <w:p w14:paraId="07D7E643">
      <w:pPr>
        <w:autoSpaceDE w:val="0"/>
        <w:autoSpaceDN w:val="0"/>
        <w:adjustRightInd w:val="0"/>
        <w:spacing w:line="360" w:lineRule="auto"/>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业绩证明资料</w:t>
      </w:r>
    </w:p>
    <w:tbl>
      <w:tblPr>
        <w:tblStyle w:val="44"/>
        <w:tblW w:w="88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046"/>
        <w:gridCol w:w="2600"/>
        <w:gridCol w:w="1697"/>
        <w:gridCol w:w="1657"/>
      </w:tblGrid>
      <w:tr w14:paraId="68A97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5" w:type="dxa"/>
            <w:noWrap w:val="0"/>
            <w:vAlign w:val="center"/>
          </w:tcPr>
          <w:p w14:paraId="40200677">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046" w:type="dxa"/>
            <w:noWrap w:val="0"/>
            <w:vAlign w:val="center"/>
          </w:tcPr>
          <w:p w14:paraId="1C47AC70">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2600" w:type="dxa"/>
            <w:noWrap w:val="0"/>
            <w:vAlign w:val="center"/>
          </w:tcPr>
          <w:p w14:paraId="66F28CF0">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采购人</w:t>
            </w:r>
            <w:r>
              <w:rPr>
                <w:rFonts w:hint="eastAsia" w:ascii="仿宋" w:hAnsi="仿宋" w:eastAsia="仿宋" w:cs="仿宋"/>
                <w:b/>
                <w:color w:val="auto"/>
                <w:sz w:val="24"/>
                <w:szCs w:val="24"/>
              </w:rPr>
              <w:t>名称</w:t>
            </w:r>
          </w:p>
        </w:tc>
        <w:tc>
          <w:tcPr>
            <w:tcW w:w="1697" w:type="dxa"/>
            <w:noWrap w:val="0"/>
            <w:vAlign w:val="center"/>
          </w:tcPr>
          <w:p w14:paraId="7515C369">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合同金额</w:t>
            </w:r>
          </w:p>
        </w:tc>
        <w:tc>
          <w:tcPr>
            <w:tcW w:w="1657" w:type="dxa"/>
            <w:noWrap w:val="0"/>
            <w:vAlign w:val="center"/>
          </w:tcPr>
          <w:p w14:paraId="0633FEDC">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合同</w:t>
            </w:r>
          </w:p>
          <w:p w14:paraId="51E9431E">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签订时间</w:t>
            </w:r>
          </w:p>
        </w:tc>
      </w:tr>
      <w:tr w14:paraId="32059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5DC8587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5FC6CE3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691E569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206CE3E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4050054C">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44592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4B3C559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0BAA229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4E5BE675">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0C333DB6">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759D247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42594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5" w:type="dxa"/>
            <w:noWrap w:val="0"/>
            <w:vAlign w:val="top"/>
          </w:tcPr>
          <w:p w14:paraId="7486A40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32E3DB8F">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02ED970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409D0B5C">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14BCD4A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4C3AC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498DD10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227A1EEF">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6F45B22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16611F5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2021645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57F75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2E58E3F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210BC52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31F458B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331EC5B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1C92879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3D5EF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3C23F48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6EFC8A1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78DF2BE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7C8740E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709FD71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1FDEA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5" w:type="dxa"/>
            <w:noWrap w:val="0"/>
            <w:vAlign w:val="top"/>
          </w:tcPr>
          <w:p w14:paraId="03CE973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320C9A2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39344F9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66C3945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11F775A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05F74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505535B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3457170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7B2CD09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6A25B615">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313F6C8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24D50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3B4BC2E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7398CD9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0124D94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04B7109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1571FF1C">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65AC9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0544C42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707843C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4AA75A35">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2FF09E6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4BE4835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bl>
    <w:p w14:paraId="75674AA7">
      <w:pPr>
        <w:rPr>
          <w:rFonts w:hint="eastAsia" w:ascii="仿宋" w:hAnsi="仿宋" w:eastAsia="仿宋" w:cs="仿宋"/>
          <w:color w:val="auto"/>
          <w:sz w:val="28"/>
          <w:szCs w:val="28"/>
        </w:rPr>
      </w:pPr>
    </w:p>
    <w:p w14:paraId="4EA3439C">
      <w:pPr>
        <w:autoSpaceDE w:val="0"/>
        <w:autoSpaceDN w:val="0"/>
        <w:adjustRightInd w:val="0"/>
        <w:spacing w:line="560" w:lineRule="exact"/>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注：本表后附合同复印件，签订时间及金额以合同中的内容为准。</w:t>
      </w:r>
    </w:p>
    <w:p w14:paraId="12A30D9D">
      <w:pPr>
        <w:spacing w:line="540" w:lineRule="exact"/>
        <w:ind w:right="-197" w:rightChars="-94" w:firstLine="560" w:firstLineChars="200"/>
        <w:jc w:val="left"/>
        <w:rPr>
          <w:rFonts w:hint="eastAsia" w:ascii="仿宋" w:hAnsi="仿宋" w:eastAsia="仿宋" w:cs="仿宋"/>
          <w:color w:val="auto"/>
          <w:sz w:val="28"/>
          <w:szCs w:val="28"/>
        </w:rPr>
      </w:pPr>
    </w:p>
    <w:p w14:paraId="12F6050C">
      <w:pPr>
        <w:spacing w:line="540" w:lineRule="exact"/>
        <w:ind w:right="-197" w:rightChars="-94" w:firstLine="560" w:firstLineChars="200"/>
        <w:jc w:val="left"/>
        <w:rPr>
          <w:rFonts w:hint="eastAsia" w:ascii="仿宋" w:hAnsi="仿宋" w:eastAsia="仿宋" w:cs="仿宋"/>
          <w:color w:val="auto"/>
          <w:sz w:val="28"/>
          <w:szCs w:val="28"/>
        </w:rPr>
      </w:pPr>
    </w:p>
    <w:p w14:paraId="4CAEE13A">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kern w:val="2"/>
          <w:sz w:val="24"/>
          <w:szCs w:val="24"/>
          <w:highlight w:val="none"/>
          <w:lang w:val="en-US" w:eastAsia="zh-CN" w:bidi="ar-SA"/>
        </w:rPr>
        <w:t>）</w:t>
      </w:r>
    </w:p>
    <w:p w14:paraId="1B15F638">
      <w:pPr>
        <w:widowControl/>
        <w:spacing w:line="5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法定代表人或授权代表：</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（签字或盖章）</w:t>
      </w:r>
    </w:p>
    <w:p w14:paraId="5A0FB003">
      <w:pPr>
        <w:autoSpaceDE w:val="0"/>
        <w:autoSpaceDN w:val="0"/>
        <w:adjustRightInd w:val="0"/>
        <w:spacing w:line="360" w:lineRule="auto"/>
        <w:ind w:firstLine="240" w:firstLineChars="100"/>
        <w:jc w:val="right"/>
        <w:rPr>
          <w:rFonts w:hint="eastAsia" w:ascii="仿宋" w:hAnsi="仿宋" w:eastAsia="仿宋" w:cs="仿宋"/>
          <w:b/>
          <w:bCs/>
          <w:color w:val="auto"/>
          <w:sz w:val="21"/>
          <w:szCs w:val="21"/>
          <w:lang w:val="zh-CN" w:eastAsia="zh-CN"/>
        </w:rPr>
      </w:pPr>
      <w:r>
        <w:rPr>
          <w:rFonts w:hint="eastAsia" w:ascii="仿宋" w:hAnsi="仿宋" w:eastAsia="仿宋" w:cs="仿宋"/>
          <w:color w:val="auto"/>
          <w:kern w:val="2"/>
          <w:sz w:val="24"/>
          <w:szCs w:val="24"/>
          <w:highlight w:val="none"/>
          <w:lang w:val="en-US" w:eastAsia="zh-CN" w:bidi="ar-SA"/>
        </w:rPr>
        <w:t>日期：　　年　月　日</w:t>
      </w:r>
    </w:p>
    <w:p w14:paraId="5617E6A1">
      <w:pPr>
        <w:pStyle w:val="42"/>
        <w:rPr>
          <w:rFonts w:hint="eastAsia" w:ascii="仿宋" w:hAnsi="仿宋" w:eastAsia="仿宋" w:cs="仿宋"/>
        </w:rPr>
      </w:pPr>
    </w:p>
    <w:p w14:paraId="6EC4A481">
      <w:pPr>
        <w:pStyle w:val="42"/>
        <w:rPr>
          <w:rFonts w:hint="eastAsia" w:ascii="仿宋" w:hAnsi="仿宋" w:eastAsia="仿宋" w:cs="仿宋"/>
        </w:rPr>
      </w:pPr>
    </w:p>
    <w:p w14:paraId="3EA4572B">
      <w:pPr>
        <w:pStyle w:val="42"/>
        <w:rPr>
          <w:rFonts w:hint="eastAsia" w:ascii="仿宋" w:hAnsi="仿宋" w:eastAsia="仿宋" w:cs="仿宋"/>
        </w:rPr>
      </w:pPr>
    </w:p>
    <w:p w14:paraId="2FFA6C2C">
      <w:pPr>
        <w:pStyle w:val="42"/>
        <w:rPr>
          <w:rFonts w:hint="eastAsia" w:ascii="仿宋" w:hAnsi="仿宋" w:eastAsia="仿宋" w:cs="仿宋"/>
        </w:rPr>
      </w:pPr>
    </w:p>
    <w:p w14:paraId="03D69E2E">
      <w:pPr>
        <w:pStyle w:val="42"/>
        <w:rPr>
          <w:rFonts w:hint="eastAsia" w:ascii="仿宋" w:hAnsi="仿宋" w:eastAsia="仿宋" w:cs="仿宋"/>
        </w:rPr>
      </w:pPr>
    </w:p>
    <w:p w14:paraId="69F0C47F">
      <w:pPr>
        <w:spacing w:line="480" w:lineRule="auto"/>
        <w:jc w:val="left"/>
        <w:rPr>
          <w:rFonts w:hint="eastAsia" w:ascii="仿宋" w:hAnsi="仿宋" w:eastAsia="仿宋" w:cs="仿宋"/>
          <w:b/>
          <w:bCs/>
          <w:sz w:val="28"/>
          <w:szCs w:val="28"/>
          <w:lang w:eastAsia="zh-CN"/>
        </w:rPr>
      </w:pPr>
    </w:p>
    <w:p w14:paraId="6F3C440A">
      <w:pPr>
        <w:rPr>
          <w:rFonts w:hint="eastAsia" w:ascii="仿宋" w:hAnsi="仿宋" w:eastAsia="仿宋" w:cs="仿宋"/>
          <w:sz w:val="28"/>
          <w:szCs w:val="28"/>
        </w:rPr>
      </w:pPr>
    </w:p>
    <w:p w14:paraId="4E9CCE51">
      <w:pPr>
        <w:pStyle w:val="84"/>
        <w:spacing w:line="400" w:lineRule="exact"/>
        <w:rPr>
          <w:rFonts w:hint="eastAsia" w:ascii="仿宋" w:hAnsi="仿宋" w:eastAsia="仿宋" w:cs="仿宋"/>
          <w:color w:val="auto"/>
          <w:highlight w:val="none"/>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b/>
          <w:bCs/>
          <w:sz w:val="28"/>
          <w:szCs w:val="28"/>
          <w:lang w:eastAsia="zh-CN"/>
        </w:rPr>
        <w:t>其它需说明事宜</w:t>
      </w:r>
    </w:p>
    <w:sectPr>
      <w:pgSz w:w="11906" w:h="16838"/>
      <w:pgMar w:top="1440" w:right="1803" w:bottom="1440" w:left="1803"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5A5B23-C20E-409D-A89C-84E59DABDF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DBF38F2-0A70-4FF4-A948-C03366F54E0B}"/>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9C98D726-99F1-42B6-BBC6-F7FBC3E90E3E}"/>
  </w:font>
  <w:font w:name="AGYXIQ+Frutiger-Cn">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embedRegular r:id="rId4" w:fontKey="{80A9C658-15C4-4A1F-A789-31CE31C52B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9589E">
    <w:pPr>
      <w:pStyle w:val="29"/>
      <w:ind w:right="360"/>
      <w:jc w:val="center"/>
      <w:rPr>
        <w:rFonts w:hint="eastAsia"/>
      </w:rP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52000">
    <w:pPr>
      <w:pStyle w:val="29"/>
      <w:ind w:right="36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71F18">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F71F18">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r>
      <w:rPr>
        <w:rFonts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0803">
    <w:pPr>
      <w:spacing w:line="280" w:lineRule="exact"/>
      <w:jc w:val="center"/>
      <w:rPr>
        <w:rFonts w:ascii="宋体" w:hAnsi="宋体" w:cs="宋体"/>
        <w:b/>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CD2C8DD">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文本框 10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L8i4vzNAQAAowMAAA4AAAAAAAAAAQAgAAAAHwEAAGRycy9l&#10;Mm9Eb2MueG1sUEsFBgAAAAAGAAYAWQEAAF4FAAAAAA==&#10;">
              <v:fill on="f" focussize="0,0"/>
              <v:stroke on="f"/>
              <v:imagedata o:title=""/>
              <o:lock v:ext="edit" aspectratio="f"/>
              <v:textbox inset="0mm,0mm,0mm,0mm" style="mso-fit-shape-to-text:t;">
                <w:txbxContent>
                  <w:p w14:paraId="4CD2C8DD">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CB3BC">
    <w:pPr>
      <w:pStyle w:val="29"/>
      <w:tabs>
        <w:tab w:val="center" w:pos="4140"/>
        <w:tab w:val="right" w:pos="8300"/>
        <w:tab w:val="clear" w:pos="4153"/>
        <w:tab w:val="clear" w:pos="8306"/>
      </w:tabs>
      <w:rPr>
        <w:rStyle w:val="49"/>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104E4E">
                          <w:pPr>
                            <w:pStyle w:val="29"/>
                            <w:tabs>
                              <w:tab w:val="center" w:pos="4140"/>
                              <w:tab w:val="right" w:pos="8300"/>
                              <w:tab w:val="clear" w:pos="4153"/>
                              <w:tab w:val="clear" w:pos="8306"/>
                            </w:tabs>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54104E4E">
                    <w:pPr>
                      <w:pStyle w:val="29"/>
                      <w:tabs>
                        <w:tab w:val="center" w:pos="4140"/>
                        <w:tab w:val="right" w:pos="8300"/>
                        <w:tab w:val="clear" w:pos="4153"/>
                        <w:tab w:val="clear" w:pos="8306"/>
                      </w:tabs>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p>
  <w:p w14:paraId="6A0D96D3">
    <w:pPr>
      <w:spacing w:line="280" w:lineRule="exact"/>
      <w:jc w:val="center"/>
      <w:rPr>
        <w:rFonts w:ascii="黑体" w:hAnsi="黑体" w:eastAsia="黑体" w:cs="黑体"/>
        <w:b/>
        <w:sz w:val="18"/>
        <w:szCs w:val="18"/>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4BCA">
    <w:pPr>
      <w:spacing w:line="280" w:lineRule="exact"/>
      <w:jc w:val="center"/>
      <w:rPr>
        <w:rFonts w:ascii="黑体" w:hAnsi="黑体" w:eastAsia="黑体" w:cs="黑体"/>
        <w:b/>
        <w:sz w:val="18"/>
        <w:szCs w:val="18"/>
        <w:u w:val="single"/>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F872D7">
                          <w:pPr>
                            <w:pStyle w:val="29"/>
                            <w:tabs>
                              <w:tab w:val="center" w:pos="4140"/>
                              <w:tab w:val="right" w:pos="8300"/>
                              <w:tab w:val="clear" w:pos="4153"/>
                              <w:tab w:val="clear" w:pos="8306"/>
                            </w:tabs>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1CF872D7">
                    <w:pPr>
                      <w:pStyle w:val="29"/>
                      <w:tabs>
                        <w:tab w:val="center" w:pos="4140"/>
                        <w:tab w:val="right" w:pos="8300"/>
                        <w:tab w:val="clear" w:pos="4153"/>
                        <w:tab w:val="clear" w:pos="8306"/>
                      </w:tabs>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r>
      <w:rPr>
        <w:rFonts w:hint="eastAsia"/>
        <w:b/>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058E">
    <w:pPr>
      <w:spacing w:line="280" w:lineRule="exact"/>
      <w:rPr>
        <w:rFonts w:ascii="宋体" w:hAnsi="宋体" w:cs="宋体"/>
        <w:b/>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0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5C05206">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文本框 102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Dm+n1dzgEAAKMDAAAOAAAAAAAAAAEAIAAAAB8BAABkcnMv&#10;ZTJvRG9jLnhtbFBLBQYAAAAABgAGAFkBAABfBQAAAAA=&#10;">
              <v:fill on="f" focussize="0,0"/>
              <v:stroke on="f"/>
              <v:imagedata o:title=""/>
              <o:lock v:ext="edit" aspectratio="f"/>
              <v:textbox inset="0mm,0mm,0mm,0mm" style="mso-fit-shape-to-text:t;">
                <w:txbxContent>
                  <w:p w14:paraId="45C05206">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399">
    <w:pPr>
      <w:pStyle w:val="29"/>
      <w:ind w:right="360"/>
      <w:jc w:val="center"/>
      <w:rPr>
        <w:rFonts w:hint="eastAsia"/>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68DC8">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0268DC8">
                    <w:pPr>
                      <w:pStyle w:val="2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p>
  <w:p w14:paraId="469AEAD3">
    <w:pPr>
      <w:pStyle w:val="29"/>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638F">
    <w:pPr>
      <w:pStyle w:val="30"/>
      <w:pBdr>
        <w:bottom w:val="none" w:color="auto" w:sz="0" w:space="1"/>
      </w:pBdr>
      <w:jc w:val="center"/>
      <w:rPr>
        <w:rFonts w:hint="eastAsia" w:ascii="仿宋_GB2312" w:hAnsi="仿宋_GB2312" w:eastAsia="仿宋_GB2312" w:cs="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AAB37">
    <w:pPr>
      <w:spacing w:line="460" w:lineRule="exact"/>
      <w:jc w:val="center"/>
      <w:rPr>
        <w:rFonts w:ascii="宋体" w:hAnsi="宋体"/>
        <w:b/>
        <w:szCs w:val="21"/>
        <w:u w:val="single"/>
        <w:shd w:val="pct10"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BC3CC">
    <w:pPr>
      <w:spacing w:line="220" w:lineRule="atLeast"/>
      <w:rPr>
        <w:rFonts w:ascii="黑体" w:hAnsi="黑体" w:eastAsia="黑体" w:cs="黑体"/>
        <w:b/>
        <w:b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1D13">
    <w:pPr>
      <w:spacing w:line="460" w:lineRule="exact"/>
      <w:rPr>
        <w:rFonts w:ascii="宋体" w:hAnsi="宋体"/>
        <w:b/>
        <w:szCs w:val="21"/>
        <w:u w:val="single"/>
        <w:shd w:val="pct10" w:color="auto" w:fill="FFFFF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60641">
    <w:pPr>
      <w:spacing w:line="460" w:lineRule="exact"/>
      <w:rPr>
        <w:rFonts w:ascii="宋体" w:hAnsi="宋体"/>
        <w:b/>
        <w:szCs w:val="21"/>
        <w:u w:val="single"/>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4D519"/>
    <w:multiLevelType w:val="singleLevel"/>
    <w:tmpl w:val="8344D519"/>
    <w:lvl w:ilvl="0" w:tentative="0">
      <w:start w:val="5"/>
      <w:numFmt w:val="decimal"/>
      <w:suff w:val="nothing"/>
      <w:lvlText w:val="%1、"/>
      <w:lvlJc w:val="left"/>
    </w:lvl>
  </w:abstractNum>
  <w:abstractNum w:abstractNumId="1">
    <w:nsid w:val="B5B0B6FF"/>
    <w:multiLevelType w:val="singleLevel"/>
    <w:tmpl w:val="B5B0B6FF"/>
    <w:lvl w:ilvl="0" w:tentative="0">
      <w:start w:val="1"/>
      <w:numFmt w:val="decimal"/>
      <w:lvlText w:val="%1."/>
      <w:lvlJc w:val="left"/>
      <w:pPr>
        <w:tabs>
          <w:tab w:val="left" w:pos="312"/>
        </w:tabs>
      </w:pPr>
    </w:lvl>
  </w:abstractNum>
  <w:abstractNum w:abstractNumId="2">
    <w:nsid w:val="E48839A0"/>
    <w:multiLevelType w:val="singleLevel"/>
    <w:tmpl w:val="E48839A0"/>
    <w:lvl w:ilvl="0" w:tentative="0">
      <w:start w:val="6"/>
      <w:numFmt w:val="chineseCounting"/>
      <w:suff w:val="space"/>
      <w:lvlText w:val="第%1章"/>
      <w:lvlJc w:val="left"/>
      <w:rPr>
        <w:rFonts w:hint="eastAsia"/>
      </w:rPr>
    </w:lvl>
  </w:abstractNum>
  <w:abstractNum w:abstractNumId="3">
    <w:nsid w:val="00000003"/>
    <w:multiLevelType w:val="singleLevel"/>
    <w:tmpl w:val="00000003"/>
    <w:lvl w:ilvl="0" w:tentative="0">
      <w:start w:val="7"/>
      <w:numFmt w:val="decimal"/>
      <w:suff w:val="nothing"/>
      <w:lvlText w:val="%1、"/>
      <w:lvlJc w:val="left"/>
    </w:lvl>
  </w:abstractNum>
  <w:abstractNum w:abstractNumId="4">
    <w:nsid w:val="00000007"/>
    <w:multiLevelType w:val="singleLevel"/>
    <w:tmpl w:val="00000007"/>
    <w:lvl w:ilvl="0" w:tentative="0">
      <w:start w:val="1"/>
      <w:numFmt w:val="decimal"/>
      <w:suff w:val="nothing"/>
      <w:lvlText w:val="%1、"/>
      <w:lvlJc w:val="left"/>
    </w:lvl>
  </w:abstractNum>
  <w:abstractNum w:abstractNumId="5">
    <w:nsid w:val="00000009"/>
    <w:multiLevelType w:val="singleLevel"/>
    <w:tmpl w:val="00000009"/>
    <w:lvl w:ilvl="0" w:tentative="0">
      <w:start w:val="5"/>
      <w:numFmt w:val="decimal"/>
      <w:suff w:val="nothing"/>
      <w:lvlText w:val="%1、"/>
      <w:lvlJc w:val="left"/>
    </w:lvl>
  </w:abstractNum>
  <w:abstractNum w:abstractNumId="6">
    <w:nsid w:val="0E70071A"/>
    <w:multiLevelType w:val="multilevel"/>
    <w:tmpl w:val="0E70071A"/>
    <w:lvl w:ilvl="0" w:tentative="0">
      <w:start w:val="4"/>
      <w:numFmt w:val="bullet"/>
      <w:lvlText w:val="□"/>
      <w:lvlJc w:val="left"/>
      <w:pPr>
        <w:tabs>
          <w:tab w:val="left" w:pos="420"/>
        </w:tabs>
        <w:ind w:left="420" w:hanging="210"/>
      </w:pPr>
      <w:rPr>
        <w:rFonts w:hint="eastAsia" w:ascii="宋体" w:hAnsi="宋体" w:eastAsia="宋体" w:cs="宋体"/>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7">
    <w:nsid w:val="1AC38F43"/>
    <w:multiLevelType w:val="singleLevel"/>
    <w:tmpl w:val="1AC38F43"/>
    <w:lvl w:ilvl="0" w:tentative="0">
      <w:start w:val="4"/>
      <w:numFmt w:val="chineseCounting"/>
      <w:suff w:val="space"/>
      <w:lvlText w:val="第%1章"/>
      <w:lvlJc w:val="left"/>
      <w:rPr>
        <w:rFonts w:hint="eastAsia"/>
        <w:sz w:val="44"/>
        <w:szCs w:val="44"/>
      </w:rPr>
    </w:lvl>
  </w:abstractNum>
  <w:abstractNum w:abstractNumId="8">
    <w:nsid w:val="22055814"/>
    <w:multiLevelType w:val="multilevel"/>
    <w:tmpl w:val="22055814"/>
    <w:lvl w:ilvl="0" w:tentative="0">
      <w:start w:val="1"/>
      <w:numFmt w:val="decimal"/>
      <w:pStyle w:val="7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10">
    <w:nsid w:val="3E4A5899"/>
    <w:multiLevelType w:val="multilevel"/>
    <w:tmpl w:val="3E4A5899"/>
    <w:lvl w:ilvl="0" w:tentative="0">
      <w:start w:val="4"/>
      <w:numFmt w:val="bullet"/>
      <w:lvlText w:val="□"/>
      <w:lvlJc w:val="left"/>
      <w:pPr>
        <w:tabs>
          <w:tab w:val="left" w:pos="570"/>
        </w:tabs>
        <w:ind w:left="570" w:hanging="360"/>
      </w:pPr>
      <w:rPr>
        <w:rFonts w:hint="eastAsia" w:ascii="宋体" w:hAnsi="宋体" w:eastAsia="宋体" w:cs="Times New Roman"/>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0"/>
  </w:num>
  <w:num w:numId="5">
    <w:abstractNumId w:val="1"/>
  </w:num>
  <w:num w:numId="6">
    <w:abstractNumId w:val="7"/>
  </w:num>
  <w:num w:numId="7">
    <w:abstractNumId w:val="2"/>
  </w:num>
  <w:num w:numId="8">
    <w:abstractNumId w:val="4"/>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NmQ2NTMxZGE3YjNjZjI5NTA3YjZhOTMyZGJmYjAifQ=="/>
  </w:docVars>
  <w:rsids>
    <w:rsidRoot w:val="00E07E8D"/>
    <w:rsid w:val="0000069E"/>
    <w:rsid w:val="00000750"/>
    <w:rsid w:val="000007BB"/>
    <w:rsid w:val="000017F6"/>
    <w:rsid w:val="000022B9"/>
    <w:rsid w:val="00002731"/>
    <w:rsid w:val="00002972"/>
    <w:rsid w:val="00002D20"/>
    <w:rsid w:val="00002F7A"/>
    <w:rsid w:val="00003615"/>
    <w:rsid w:val="00003C7F"/>
    <w:rsid w:val="000040DC"/>
    <w:rsid w:val="00004491"/>
    <w:rsid w:val="0000477A"/>
    <w:rsid w:val="00005385"/>
    <w:rsid w:val="00005EA6"/>
    <w:rsid w:val="000065CF"/>
    <w:rsid w:val="00006F96"/>
    <w:rsid w:val="000074B7"/>
    <w:rsid w:val="00007669"/>
    <w:rsid w:val="00007D47"/>
    <w:rsid w:val="000107A6"/>
    <w:rsid w:val="00010F17"/>
    <w:rsid w:val="000112F4"/>
    <w:rsid w:val="000119A1"/>
    <w:rsid w:val="00011CB5"/>
    <w:rsid w:val="0001236F"/>
    <w:rsid w:val="00012598"/>
    <w:rsid w:val="00012C61"/>
    <w:rsid w:val="00013BA0"/>
    <w:rsid w:val="000140A6"/>
    <w:rsid w:val="0001500A"/>
    <w:rsid w:val="0001581C"/>
    <w:rsid w:val="00016B35"/>
    <w:rsid w:val="00016CC4"/>
    <w:rsid w:val="00016DF8"/>
    <w:rsid w:val="00017925"/>
    <w:rsid w:val="00017BA8"/>
    <w:rsid w:val="00017D45"/>
    <w:rsid w:val="00017E02"/>
    <w:rsid w:val="00017F51"/>
    <w:rsid w:val="000200BB"/>
    <w:rsid w:val="000203D3"/>
    <w:rsid w:val="00020477"/>
    <w:rsid w:val="000207EC"/>
    <w:rsid w:val="00020D27"/>
    <w:rsid w:val="000217DD"/>
    <w:rsid w:val="000218BE"/>
    <w:rsid w:val="00021AE9"/>
    <w:rsid w:val="00022627"/>
    <w:rsid w:val="0002333B"/>
    <w:rsid w:val="00023569"/>
    <w:rsid w:val="00023733"/>
    <w:rsid w:val="00023E59"/>
    <w:rsid w:val="0002418E"/>
    <w:rsid w:val="000249DF"/>
    <w:rsid w:val="00024DA6"/>
    <w:rsid w:val="000261A3"/>
    <w:rsid w:val="00026B21"/>
    <w:rsid w:val="00027108"/>
    <w:rsid w:val="00027190"/>
    <w:rsid w:val="000274A5"/>
    <w:rsid w:val="00027B9A"/>
    <w:rsid w:val="0003048D"/>
    <w:rsid w:val="00030BA1"/>
    <w:rsid w:val="00030D9B"/>
    <w:rsid w:val="00031163"/>
    <w:rsid w:val="0003181B"/>
    <w:rsid w:val="00031B94"/>
    <w:rsid w:val="00031C12"/>
    <w:rsid w:val="00031D3B"/>
    <w:rsid w:val="00032573"/>
    <w:rsid w:val="0003269B"/>
    <w:rsid w:val="00032A8D"/>
    <w:rsid w:val="00033A36"/>
    <w:rsid w:val="00033E77"/>
    <w:rsid w:val="000341F0"/>
    <w:rsid w:val="000342F8"/>
    <w:rsid w:val="00034485"/>
    <w:rsid w:val="000349A2"/>
    <w:rsid w:val="00035340"/>
    <w:rsid w:val="000353EF"/>
    <w:rsid w:val="000362E9"/>
    <w:rsid w:val="00036855"/>
    <w:rsid w:val="00036BD5"/>
    <w:rsid w:val="00037195"/>
    <w:rsid w:val="000371FE"/>
    <w:rsid w:val="000377D9"/>
    <w:rsid w:val="000379DA"/>
    <w:rsid w:val="00040272"/>
    <w:rsid w:val="0004115D"/>
    <w:rsid w:val="0004150C"/>
    <w:rsid w:val="00041D91"/>
    <w:rsid w:val="000420AB"/>
    <w:rsid w:val="00042979"/>
    <w:rsid w:val="000433B9"/>
    <w:rsid w:val="00043ECA"/>
    <w:rsid w:val="000443F3"/>
    <w:rsid w:val="00044997"/>
    <w:rsid w:val="0004577D"/>
    <w:rsid w:val="00045977"/>
    <w:rsid w:val="00045E36"/>
    <w:rsid w:val="00046582"/>
    <w:rsid w:val="00046A51"/>
    <w:rsid w:val="000500AF"/>
    <w:rsid w:val="000501D5"/>
    <w:rsid w:val="00051D6F"/>
    <w:rsid w:val="00051FFC"/>
    <w:rsid w:val="00052F51"/>
    <w:rsid w:val="00053172"/>
    <w:rsid w:val="0005443B"/>
    <w:rsid w:val="000544AB"/>
    <w:rsid w:val="000544BB"/>
    <w:rsid w:val="00054888"/>
    <w:rsid w:val="000551FD"/>
    <w:rsid w:val="000554F2"/>
    <w:rsid w:val="00055BF1"/>
    <w:rsid w:val="000561CD"/>
    <w:rsid w:val="00056351"/>
    <w:rsid w:val="000578D3"/>
    <w:rsid w:val="00060260"/>
    <w:rsid w:val="00060B4C"/>
    <w:rsid w:val="000612C9"/>
    <w:rsid w:val="00061B6E"/>
    <w:rsid w:val="00061C1A"/>
    <w:rsid w:val="0006207C"/>
    <w:rsid w:val="00062E4A"/>
    <w:rsid w:val="00063CD5"/>
    <w:rsid w:val="00064E95"/>
    <w:rsid w:val="00065286"/>
    <w:rsid w:val="0006604A"/>
    <w:rsid w:val="0006675E"/>
    <w:rsid w:val="000668A3"/>
    <w:rsid w:val="0006703E"/>
    <w:rsid w:val="00067B1B"/>
    <w:rsid w:val="00067B34"/>
    <w:rsid w:val="00070C3E"/>
    <w:rsid w:val="00071238"/>
    <w:rsid w:val="0007142D"/>
    <w:rsid w:val="0007190E"/>
    <w:rsid w:val="000722EA"/>
    <w:rsid w:val="00072537"/>
    <w:rsid w:val="00072590"/>
    <w:rsid w:val="000727D1"/>
    <w:rsid w:val="00072F21"/>
    <w:rsid w:val="00072FDD"/>
    <w:rsid w:val="000731E2"/>
    <w:rsid w:val="00073752"/>
    <w:rsid w:val="00074A65"/>
    <w:rsid w:val="00075104"/>
    <w:rsid w:val="00075E0B"/>
    <w:rsid w:val="00076569"/>
    <w:rsid w:val="00076ACA"/>
    <w:rsid w:val="0007760B"/>
    <w:rsid w:val="00077933"/>
    <w:rsid w:val="000779F1"/>
    <w:rsid w:val="00077EC3"/>
    <w:rsid w:val="00080359"/>
    <w:rsid w:val="00080440"/>
    <w:rsid w:val="00081035"/>
    <w:rsid w:val="0008239F"/>
    <w:rsid w:val="000825C8"/>
    <w:rsid w:val="0008287C"/>
    <w:rsid w:val="000837F0"/>
    <w:rsid w:val="00086189"/>
    <w:rsid w:val="00086728"/>
    <w:rsid w:val="000868AC"/>
    <w:rsid w:val="00086CA1"/>
    <w:rsid w:val="00086DB5"/>
    <w:rsid w:val="00087F47"/>
    <w:rsid w:val="0009005B"/>
    <w:rsid w:val="00090CA3"/>
    <w:rsid w:val="00091B7D"/>
    <w:rsid w:val="0009201E"/>
    <w:rsid w:val="000927DE"/>
    <w:rsid w:val="0009285B"/>
    <w:rsid w:val="00092AB2"/>
    <w:rsid w:val="00092F8F"/>
    <w:rsid w:val="0009371E"/>
    <w:rsid w:val="00093DE4"/>
    <w:rsid w:val="00093E47"/>
    <w:rsid w:val="000945C6"/>
    <w:rsid w:val="000946D3"/>
    <w:rsid w:val="00094760"/>
    <w:rsid w:val="000949E2"/>
    <w:rsid w:val="0009512C"/>
    <w:rsid w:val="00095192"/>
    <w:rsid w:val="000955F2"/>
    <w:rsid w:val="00095796"/>
    <w:rsid w:val="00095841"/>
    <w:rsid w:val="00095EC0"/>
    <w:rsid w:val="00096778"/>
    <w:rsid w:val="00096A79"/>
    <w:rsid w:val="00096E8E"/>
    <w:rsid w:val="0009711C"/>
    <w:rsid w:val="00097367"/>
    <w:rsid w:val="000973A0"/>
    <w:rsid w:val="0009782D"/>
    <w:rsid w:val="00097C26"/>
    <w:rsid w:val="00097E7A"/>
    <w:rsid w:val="000A1078"/>
    <w:rsid w:val="000A1612"/>
    <w:rsid w:val="000A1BD8"/>
    <w:rsid w:val="000A26FF"/>
    <w:rsid w:val="000A2DAC"/>
    <w:rsid w:val="000A34CA"/>
    <w:rsid w:val="000A3947"/>
    <w:rsid w:val="000A3CF2"/>
    <w:rsid w:val="000A3D69"/>
    <w:rsid w:val="000A403F"/>
    <w:rsid w:val="000A412E"/>
    <w:rsid w:val="000A4391"/>
    <w:rsid w:val="000A45DB"/>
    <w:rsid w:val="000A4823"/>
    <w:rsid w:val="000A494C"/>
    <w:rsid w:val="000A4BE9"/>
    <w:rsid w:val="000A50B7"/>
    <w:rsid w:val="000A646D"/>
    <w:rsid w:val="000A6827"/>
    <w:rsid w:val="000A6CAA"/>
    <w:rsid w:val="000A7111"/>
    <w:rsid w:val="000A7411"/>
    <w:rsid w:val="000A75D5"/>
    <w:rsid w:val="000A766E"/>
    <w:rsid w:val="000A776B"/>
    <w:rsid w:val="000B0B6E"/>
    <w:rsid w:val="000B0B74"/>
    <w:rsid w:val="000B0E51"/>
    <w:rsid w:val="000B0F3E"/>
    <w:rsid w:val="000B12AF"/>
    <w:rsid w:val="000B21A0"/>
    <w:rsid w:val="000B2517"/>
    <w:rsid w:val="000B26CB"/>
    <w:rsid w:val="000B3C24"/>
    <w:rsid w:val="000B4208"/>
    <w:rsid w:val="000B43A7"/>
    <w:rsid w:val="000B4E99"/>
    <w:rsid w:val="000B5F7E"/>
    <w:rsid w:val="000B7773"/>
    <w:rsid w:val="000B78DE"/>
    <w:rsid w:val="000B7D12"/>
    <w:rsid w:val="000C0130"/>
    <w:rsid w:val="000C03C2"/>
    <w:rsid w:val="000C05F5"/>
    <w:rsid w:val="000C06F1"/>
    <w:rsid w:val="000C1477"/>
    <w:rsid w:val="000C18DA"/>
    <w:rsid w:val="000C1A60"/>
    <w:rsid w:val="000C1FDA"/>
    <w:rsid w:val="000C252A"/>
    <w:rsid w:val="000C2E15"/>
    <w:rsid w:val="000C31D9"/>
    <w:rsid w:val="000C3353"/>
    <w:rsid w:val="000C45B5"/>
    <w:rsid w:val="000C57F6"/>
    <w:rsid w:val="000C5B36"/>
    <w:rsid w:val="000C6027"/>
    <w:rsid w:val="000C6149"/>
    <w:rsid w:val="000C6174"/>
    <w:rsid w:val="000C6BD2"/>
    <w:rsid w:val="000C6D58"/>
    <w:rsid w:val="000D09C2"/>
    <w:rsid w:val="000D0AC8"/>
    <w:rsid w:val="000D0DA0"/>
    <w:rsid w:val="000D11D7"/>
    <w:rsid w:val="000D14D4"/>
    <w:rsid w:val="000D1580"/>
    <w:rsid w:val="000D2034"/>
    <w:rsid w:val="000D211D"/>
    <w:rsid w:val="000D216A"/>
    <w:rsid w:val="000D3E80"/>
    <w:rsid w:val="000D40DF"/>
    <w:rsid w:val="000D435B"/>
    <w:rsid w:val="000D48DB"/>
    <w:rsid w:val="000D4E6D"/>
    <w:rsid w:val="000D505C"/>
    <w:rsid w:val="000D5130"/>
    <w:rsid w:val="000D5222"/>
    <w:rsid w:val="000D5CA1"/>
    <w:rsid w:val="000D6547"/>
    <w:rsid w:val="000D69D8"/>
    <w:rsid w:val="000D6B0A"/>
    <w:rsid w:val="000D769C"/>
    <w:rsid w:val="000D79A1"/>
    <w:rsid w:val="000D7A08"/>
    <w:rsid w:val="000E000E"/>
    <w:rsid w:val="000E04D5"/>
    <w:rsid w:val="000E12AF"/>
    <w:rsid w:val="000E3A7D"/>
    <w:rsid w:val="000E44D5"/>
    <w:rsid w:val="000E450C"/>
    <w:rsid w:val="000E45DD"/>
    <w:rsid w:val="000E4FFE"/>
    <w:rsid w:val="000E5BF4"/>
    <w:rsid w:val="000E62FD"/>
    <w:rsid w:val="000E639E"/>
    <w:rsid w:val="000E65DB"/>
    <w:rsid w:val="000E66A1"/>
    <w:rsid w:val="000E7429"/>
    <w:rsid w:val="000E75D2"/>
    <w:rsid w:val="000E7812"/>
    <w:rsid w:val="000E7856"/>
    <w:rsid w:val="000E7DDB"/>
    <w:rsid w:val="000F099F"/>
    <w:rsid w:val="000F0F52"/>
    <w:rsid w:val="000F1020"/>
    <w:rsid w:val="000F13C1"/>
    <w:rsid w:val="000F1761"/>
    <w:rsid w:val="000F193D"/>
    <w:rsid w:val="000F197B"/>
    <w:rsid w:val="000F19D2"/>
    <w:rsid w:val="000F1B02"/>
    <w:rsid w:val="000F1FD4"/>
    <w:rsid w:val="000F26F1"/>
    <w:rsid w:val="000F2C30"/>
    <w:rsid w:val="000F2FCF"/>
    <w:rsid w:val="000F3994"/>
    <w:rsid w:val="000F3AC0"/>
    <w:rsid w:val="000F3AFE"/>
    <w:rsid w:val="000F3E28"/>
    <w:rsid w:val="000F4903"/>
    <w:rsid w:val="000F4D99"/>
    <w:rsid w:val="000F575B"/>
    <w:rsid w:val="000F5874"/>
    <w:rsid w:val="000F6488"/>
    <w:rsid w:val="000F65A1"/>
    <w:rsid w:val="000F6F99"/>
    <w:rsid w:val="000F733B"/>
    <w:rsid w:val="000F7DFC"/>
    <w:rsid w:val="000F7EF6"/>
    <w:rsid w:val="001007DA"/>
    <w:rsid w:val="001010BE"/>
    <w:rsid w:val="0010261B"/>
    <w:rsid w:val="00102BC2"/>
    <w:rsid w:val="00104B6E"/>
    <w:rsid w:val="00104D09"/>
    <w:rsid w:val="00104DCA"/>
    <w:rsid w:val="00106EA2"/>
    <w:rsid w:val="00107250"/>
    <w:rsid w:val="00107F37"/>
    <w:rsid w:val="001101E6"/>
    <w:rsid w:val="001102CC"/>
    <w:rsid w:val="00110D6A"/>
    <w:rsid w:val="00111706"/>
    <w:rsid w:val="0011178F"/>
    <w:rsid w:val="00111A38"/>
    <w:rsid w:val="001122FB"/>
    <w:rsid w:val="00113423"/>
    <w:rsid w:val="00113F51"/>
    <w:rsid w:val="00114D24"/>
    <w:rsid w:val="00115838"/>
    <w:rsid w:val="00115ECB"/>
    <w:rsid w:val="0011640B"/>
    <w:rsid w:val="00116653"/>
    <w:rsid w:val="001169AC"/>
    <w:rsid w:val="00116CE8"/>
    <w:rsid w:val="001172EB"/>
    <w:rsid w:val="001173EF"/>
    <w:rsid w:val="001174C6"/>
    <w:rsid w:val="0011788F"/>
    <w:rsid w:val="00120B6A"/>
    <w:rsid w:val="00120BA6"/>
    <w:rsid w:val="00120F8B"/>
    <w:rsid w:val="001214F4"/>
    <w:rsid w:val="001215FD"/>
    <w:rsid w:val="00121EA8"/>
    <w:rsid w:val="00122275"/>
    <w:rsid w:val="0012286F"/>
    <w:rsid w:val="0012305D"/>
    <w:rsid w:val="00123132"/>
    <w:rsid w:val="001235AA"/>
    <w:rsid w:val="00123626"/>
    <w:rsid w:val="00123B12"/>
    <w:rsid w:val="00123F03"/>
    <w:rsid w:val="001242C0"/>
    <w:rsid w:val="00126512"/>
    <w:rsid w:val="0012672F"/>
    <w:rsid w:val="00126766"/>
    <w:rsid w:val="001267D4"/>
    <w:rsid w:val="001278FB"/>
    <w:rsid w:val="001279FA"/>
    <w:rsid w:val="0013002F"/>
    <w:rsid w:val="00130DD5"/>
    <w:rsid w:val="00131051"/>
    <w:rsid w:val="001317B6"/>
    <w:rsid w:val="001318EE"/>
    <w:rsid w:val="00131AD6"/>
    <w:rsid w:val="00131BAF"/>
    <w:rsid w:val="00131F73"/>
    <w:rsid w:val="00134C8A"/>
    <w:rsid w:val="0013529E"/>
    <w:rsid w:val="00135913"/>
    <w:rsid w:val="00135D48"/>
    <w:rsid w:val="001361C5"/>
    <w:rsid w:val="001369C7"/>
    <w:rsid w:val="00137115"/>
    <w:rsid w:val="001376FA"/>
    <w:rsid w:val="00137A6A"/>
    <w:rsid w:val="00137E4B"/>
    <w:rsid w:val="00140600"/>
    <w:rsid w:val="00140B7A"/>
    <w:rsid w:val="00140D50"/>
    <w:rsid w:val="00141457"/>
    <w:rsid w:val="001419B6"/>
    <w:rsid w:val="00141B50"/>
    <w:rsid w:val="00141C27"/>
    <w:rsid w:val="00141C80"/>
    <w:rsid w:val="00142FBD"/>
    <w:rsid w:val="0014329F"/>
    <w:rsid w:val="0014361E"/>
    <w:rsid w:val="001437ED"/>
    <w:rsid w:val="00143853"/>
    <w:rsid w:val="001441BB"/>
    <w:rsid w:val="0014435D"/>
    <w:rsid w:val="001444EA"/>
    <w:rsid w:val="001449BE"/>
    <w:rsid w:val="001454DC"/>
    <w:rsid w:val="00145935"/>
    <w:rsid w:val="001475B0"/>
    <w:rsid w:val="001479D9"/>
    <w:rsid w:val="0015044A"/>
    <w:rsid w:val="00150A0A"/>
    <w:rsid w:val="00150FD4"/>
    <w:rsid w:val="00151A8A"/>
    <w:rsid w:val="001520A4"/>
    <w:rsid w:val="001521FF"/>
    <w:rsid w:val="0015222A"/>
    <w:rsid w:val="00152D48"/>
    <w:rsid w:val="0015323F"/>
    <w:rsid w:val="00153607"/>
    <w:rsid w:val="001542EC"/>
    <w:rsid w:val="0015590F"/>
    <w:rsid w:val="00155A0B"/>
    <w:rsid w:val="00155FA7"/>
    <w:rsid w:val="0015718E"/>
    <w:rsid w:val="00157814"/>
    <w:rsid w:val="00160013"/>
    <w:rsid w:val="001615B7"/>
    <w:rsid w:val="001615ED"/>
    <w:rsid w:val="001623A6"/>
    <w:rsid w:val="0016247D"/>
    <w:rsid w:val="001629B0"/>
    <w:rsid w:val="00162DD3"/>
    <w:rsid w:val="00163714"/>
    <w:rsid w:val="00163B7B"/>
    <w:rsid w:val="00163DD1"/>
    <w:rsid w:val="001647AA"/>
    <w:rsid w:val="00164C1D"/>
    <w:rsid w:val="001660B9"/>
    <w:rsid w:val="00166103"/>
    <w:rsid w:val="00166502"/>
    <w:rsid w:val="001667B2"/>
    <w:rsid w:val="001669AF"/>
    <w:rsid w:val="001677A6"/>
    <w:rsid w:val="0017046B"/>
    <w:rsid w:val="001706FD"/>
    <w:rsid w:val="001707E5"/>
    <w:rsid w:val="00170EBF"/>
    <w:rsid w:val="00171298"/>
    <w:rsid w:val="0017256A"/>
    <w:rsid w:val="00172BC2"/>
    <w:rsid w:val="00172C82"/>
    <w:rsid w:val="001730A8"/>
    <w:rsid w:val="001732F3"/>
    <w:rsid w:val="0017384A"/>
    <w:rsid w:val="00173956"/>
    <w:rsid w:val="00174733"/>
    <w:rsid w:val="00174F76"/>
    <w:rsid w:val="0017522E"/>
    <w:rsid w:val="001757AA"/>
    <w:rsid w:val="001757EC"/>
    <w:rsid w:val="00175C11"/>
    <w:rsid w:val="00176668"/>
    <w:rsid w:val="00176D84"/>
    <w:rsid w:val="00181CB0"/>
    <w:rsid w:val="00182AC6"/>
    <w:rsid w:val="001831B0"/>
    <w:rsid w:val="001833FF"/>
    <w:rsid w:val="00183B68"/>
    <w:rsid w:val="00183D6B"/>
    <w:rsid w:val="001842A8"/>
    <w:rsid w:val="00184DB2"/>
    <w:rsid w:val="0018523A"/>
    <w:rsid w:val="00185D69"/>
    <w:rsid w:val="00187096"/>
    <w:rsid w:val="0018716C"/>
    <w:rsid w:val="001905BD"/>
    <w:rsid w:val="00190D3A"/>
    <w:rsid w:val="00190FA0"/>
    <w:rsid w:val="0019113C"/>
    <w:rsid w:val="001919B3"/>
    <w:rsid w:val="00192180"/>
    <w:rsid w:val="001926DC"/>
    <w:rsid w:val="00192D0E"/>
    <w:rsid w:val="001931AD"/>
    <w:rsid w:val="001937A6"/>
    <w:rsid w:val="001941A7"/>
    <w:rsid w:val="00194380"/>
    <w:rsid w:val="001947A6"/>
    <w:rsid w:val="00194B5A"/>
    <w:rsid w:val="00194CDC"/>
    <w:rsid w:val="0019573C"/>
    <w:rsid w:val="00195CDE"/>
    <w:rsid w:val="00196E1C"/>
    <w:rsid w:val="0019724F"/>
    <w:rsid w:val="00197390"/>
    <w:rsid w:val="0019768F"/>
    <w:rsid w:val="00197CA6"/>
    <w:rsid w:val="00197FF1"/>
    <w:rsid w:val="001A16BB"/>
    <w:rsid w:val="001A1A39"/>
    <w:rsid w:val="001A1BB4"/>
    <w:rsid w:val="001A200A"/>
    <w:rsid w:val="001A25B5"/>
    <w:rsid w:val="001A2859"/>
    <w:rsid w:val="001A31E7"/>
    <w:rsid w:val="001A333A"/>
    <w:rsid w:val="001A3B61"/>
    <w:rsid w:val="001A3F97"/>
    <w:rsid w:val="001A4351"/>
    <w:rsid w:val="001A48D6"/>
    <w:rsid w:val="001A4CBB"/>
    <w:rsid w:val="001A4F13"/>
    <w:rsid w:val="001A51FF"/>
    <w:rsid w:val="001A5341"/>
    <w:rsid w:val="001A5FB9"/>
    <w:rsid w:val="001A6402"/>
    <w:rsid w:val="001A6456"/>
    <w:rsid w:val="001A6914"/>
    <w:rsid w:val="001A7279"/>
    <w:rsid w:val="001A7815"/>
    <w:rsid w:val="001A7948"/>
    <w:rsid w:val="001B08B7"/>
    <w:rsid w:val="001B0D44"/>
    <w:rsid w:val="001B0F19"/>
    <w:rsid w:val="001B10A4"/>
    <w:rsid w:val="001B11EF"/>
    <w:rsid w:val="001B134C"/>
    <w:rsid w:val="001B1BCC"/>
    <w:rsid w:val="001B1F0D"/>
    <w:rsid w:val="001B276D"/>
    <w:rsid w:val="001B27D3"/>
    <w:rsid w:val="001B3B1B"/>
    <w:rsid w:val="001B3BDA"/>
    <w:rsid w:val="001B4452"/>
    <w:rsid w:val="001B4995"/>
    <w:rsid w:val="001B4C29"/>
    <w:rsid w:val="001B593D"/>
    <w:rsid w:val="001B6214"/>
    <w:rsid w:val="001B62A7"/>
    <w:rsid w:val="001B6719"/>
    <w:rsid w:val="001B67E0"/>
    <w:rsid w:val="001B710E"/>
    <w:rsid w:val="001B7DEB"/>
    <w:rsid w:val="001C049F"/>
    <w:rsid w:val="001C057A"/>
    <w:rsid w:val="001C0694"/>
    <w:rsid w:val="001C1468"/>
    <w:rsid w:val="001C177D"/>
    <w:rsid w:val="001C17D7"/>
    <w:rsid w:val="001C1B0E"/>
    <w:rsid w:val="001C1CD6"/>
    <w:rsid w:val="001C1DA7"/>
    <w:rsid w:val="001C23BC"/>
    <w:rsid w:val="001C2C6F"/>
    <w:rsid w:val="001C3129"/>
    <w:rsid w:val="001C356F"/>
    <w:rsid w:val="001C4011"/>
    <w:rsid w:val="001C455E"/>
    <w:rsid w:val="001C466D"/>
    <w:rsid w:val="001C4D56"/>
    <w:rsid w:val="001C5087"/>
    <w:rsid w:val="001C52AA"/>
    <w:rsid w:val="001C5AD8"/>
    <w:rsid w:val="001C6427"/>
    <w:rsid w:val="001C6628"/>
    <w:rsid w:val="001C7A24"/>
    <w:rsid w:val="001D0639"/>
    <w:rsid w:val="001D06A5"/>
    <w:rsid w:val="001D0A8F"/>
    <w:rsid w:val="001D15BD"/>
    <w:rsid w:val="001D19F9"/>
    <w:rsid w:val="001D25DD"/>
    <w:rsid w:val="001D2684"/>
    <w:rsid w:val="001D336D"/>
    <w:rsid w:val="001D4463"/>
    <w:rsid w:val="001D44A2"/>
    <w:rsid w:val="001D46A7"/>
    <w:rsid w:val="001D48FF"/>
    <w:rsid w:val="001D4A63"/>
    <w:rsid w:val="001D4E47"/>
    <w:rsid w:val="001D584C"/>
    <w:rsid w:val="001D5987"/>
    <w:rsid w:val="001D598B"/>
    <w:rsid w:val="001D65D9"/>
    <w:rsid w:val="001D66B4"/>
    <w:rsid w:val="001D69CE"/>
    <w:rsid w:val="001D6CB4"/>
    <w:rsid w:val="001D7177"/>
    <w:rsid w:val="001D719E"/>
    <w:rsid w:val="001D73CF"/>
    <w:rsid w:val="001D7DBF"/>
    <w:rsid w:val="001E0AF6"/>
    <w:rsid w:val="001E0BB2"/>
    <w:rsid w:val="001E0CBB"/>
    <w:rsid w:val="001E1ED0"/>
    <w:rsid w:val="001E204F"/>
    <w:rsid w:val="001E2B1A"/>
    <w:rsid w:val="001E304C"/>
    <w:rsid w:val="001E3078"/>
    <w:rsid w:val="001E3C15"/>
    <w:rsid w:val="001E3DA8"/>
    <w:rsid w:val="001E44B5"/>
    <w:rsid w:val="001E5DD0"/>
    <w:rsid w:val="001E61DA"/>
    <w:rsid w:val="001E652F"/>
    <w:rsid w:val="001E6720"/>
    <w:rsid w:val="001E682F"/>
    <w:rsid w:val="001E6B5D"/>
    <w:rsid w:val="001E74AF"/>
    <w:rsid w:val="001F0232"/>
    <w:rsid w:val="001F090D"/>
    <w:rsid w:val="001F09E3"/>
    <w:rsid w:val="001F1593"/>
    <w:rsid w:val="001F2048"/>
    <w:rsid w:val="001F2D43"/>
    <w:rsid w:val="001F33C0"/>
    <w:rsid w:val="001F3490"/>
    <w:rsid w:val="001F3A08"/>
    <w:rsid w:val="001F3ED3"/>
    <w:rsid w:val="001F46BD"/>
    <w:rsid w:val="001F4AFE"/>
    <w:rsid w:val="001F4EE5"/>
    <w:rsid w:val="001F58EA"/>
    <w:rsid w:val="001F5CC9"/>
    <w:rsid w:val="001F652E"/>
    <w:rsid w:val="001F6596"/>
    <w:rsid w:val="001F65A6"/>
    <w:rsid w:val="001F6C15"/>
    <w:rsid w:val="001F6F07"/>
    <w:rsid w:val="001F7974"/>
    <w:rsid w:val="001F7B87"/>
    <w:rsid w:val="001F7CCB"/>
    <w:rsid w:val="001F7D2E"/>
    <w:rsid w:val="00200242"/>
    <w:rsid w:val="00200C8F"/>
    <w:rsid w:val="0020112E"/>
    <w:rsid w:val="00201BA6"/>
    <w:rsid w:val="0020244B"/>
    <w:rsid w:val="0020253F"/>
    <w:rsid w:val="00203D56"/>
    <w:rsid w:val="00204469"/>
    <w:rsid w:val="002048D3"/>
    <w:rsid w:val="00204D67"/>
    <w:rsid w:val="0020517F"/>
    <w:rsid w:val="00205401"/>
    <w:rsid w:val="00205537"/>
    <w:rsid w:val="002059A6"/>
    <w:rsid w:val="00206EB2"/>
    <w:rsid w:val="00207013"/>
    <w:rsid w:val="002073EA"/>
    <w:rsid w:val="00207505"/>
    <w:rsid w:val="00210804"/>
    <w:rsid w:val="00210A7F"/>
    <w:rsid w:val="00210FD7"/>
    <w:rsid w:val="00211192"/>
    <w:rsid w:val="00211D38"/>
    <w:rsid w:val="0021293B"/>
    <w:rsid w:val="00212B2B"/>
    <w:rsid w:val="00212D70"/>
    <w:rsid w:val="00214833"/>
    <w:rsid w:val="002148F4"/>
    <w:rsid w:val="002154A7"/>
    <w:rsid w:val="0021575B"/>
    <w:rsid w:val="002157BF"/>
    <w:rsid w:val="002163A8"/>
    <w:rsid w:val="002178E9"/>
    <w:rsid w:val="00217D62"/>
    <w:rsid w:val="00220101"/>
    <w:rsid w:val="00220357"/>
    <w:rsid w:val="002203C9"/>
    <w:rsid w:val="0022061B"/>
    <w:rsid w:val="002207BF"/>
    <w:rsid w:val="0022111A"/>
    <w:rsid w:val="00221660"/>
    <w:rsid w:val="00221976"/>
    <w:rsid w:val="0022203A"/>
    <w:rsid w:val="00222318"/>
    <w:rsid w:val="0022430D"/>
    <w:rsid w:val="0022431F"/>
    <w:rsid w:val="0022472C"/>
    <w:rsid w:val="002263A9"/>
    <w:rsid w:val="00226424"/>
    <w:rsid w:val="00226925"/>
    <w:rsid w:val="00227107"/>
    <w:rsid w:val="0022722F"/>
    <w:rsid w:val="00227490"/>
    <w:rsid w:val="002274C9"/>
    <w:rsid w:val="00227D9A"/>
    <w:rsid w:val="0023047A"/>
    <w:rsid w:val="00230F38"/>
    <w:rsid w:val="0023127E"/>
    <w:rsid w:val="00232314"/>
    <w:rsid w:val="00232944"/>
    <w:rsid w:val="00232EE5"/>
    <w:rsid w:val="00233069"/>
    <w:rsid w:val="002331C6"/>
    <w:rsid w:val="002338A3"/>
    <w:rsid w:val="00233A41"/>
    <w:rsid w:val="0023507F"/>
    <w:rsid w:val="00235B94"/>
    <w:rsid w:val="00235CD7"/>
    <w:rsid w:val="00235D8A"/>
    <w:rsid w:val="00235F2F"/>
    <w:rsid w:val="00235FC7"/>
    <w:rsid w:val="0023732A"/>
    <w:rsid w:val="00237472"/>
    <w:rsid w:val="0023797A"/>
    <w:rsid w:val="002400C2"/>
    <w:rsid w:val="002404A5"/>
    <w:rsid w:val="00240926"/>
    <w:rsid w:val="0024098C"/>
    <w:rsid w:val="00240DCF"/>
    <w:rsid w:val="00240F8A"/>
    <w:rsid w:val="00241AC6"/>
    <w:rsid w:val="00242477"/>
    <w:rsid w:val="00243542"/>
    <w:rsid w:val="00243721"/>
    <w:rsid w:val="002439C7"/>
    <w:rsid w:val="00244286"/>
    <w:rsid w:val="0024440D"/>
    <w:rsid w:val="00244497"/>
    <w:rsid w:val="00245077"/>
    <w:rsid w:val="002452FC"/>
    <w:rsid w:val="00245553"/>
    <w:rsid w:val="00245799"/>
    <w:rsid w:val="002459F4"/>
    <w:rsid w:val="0024631A"/>
    <w:rsid w:val="00246336"/>
    <w:rsid w:val="00246A70"/>
    <w:rsid w:val="00247B3C"/>
    <w:rsid w:val="00250BB4"/>
    <w:rsid w:val="00251F54"/>
    <w:rsid w:val="00252085"/>
    <w:rsid w:val="0025374C"/>
    <w:rsid w:val="00253C49"/>
    <w:rsid w:val="0025431D"/>
    <w:rsid w:val="0025480E"/>
    <w:rsid w:val="00254C78"/>
    <w:rsid w:val="00255656"/>
    <w:rsid w:val="0025569A"/>
    <w:rsid w:val="00255B6A"/>
    <w:rsid w:val="00255CB8"/>
    <w:rsid w:val="0025665A"/>
    <w:rsid w:val="00256913"/>
    <w:rsid w:val="00256A01"/>
    <w:rsid w:val="00257526"/>
    <w:rsid w:val="002579DF"/>
    <w:rsid w:val="00260083"/>
    <w:rsid w:val="0026076F"/>
    <w:rsid w:val="002609B6"/>
    <w:rsid w:val="002612EF"/>
    <w:rsid w:val="00261BCF"/>
    <w:rsid w:val="002627A9"/>
    <w:rsid w:val="00262F17"/>
    <w:rsid w:val="00263316"/>
    <w:rsid w:val="00263B9C"/>
    <w:rsid w:val="002645AE"/>
    <w:rsid w:val="00265263"/>
    <w:rsid w:val="002652BE"/>
    <w:rsid w:val="002653B9"/>
    <w:rsid w:val="00265869"/>
    <w:rsid w:val="00265DB6"/>
    <w:rsid w:val="002660DA"/>
    <w:rsid w:val="00266DDB"/>
    <w:rsid w:val="00267067"/>
    <w:rsid w:val="00267B37"/>
    <w:rsid w:val="00267F6F"/>
    <w:rsid w:val="00270095"/>
    <w:rsid w:val="002702A3"/>
    <w:rsid w:val="002702D2"/>
    <w:rsid w:val="00270756"/>
    <w:rsid w:val="0027107B"/>
    <w:rsid w:val="00271AEB"/>
    <w:rsid w:val="002728E8"/>
    <w:rsid w:val="002731DD"/>
    <w:rsid w:val="002738FA"/>
    <w:rsid w:val="00273D58"/>
    <w:rsid w:val="002743F7"/>
    <w:rsid w:val="00274537"/>
    <w:rsid w:val="0027491D"/>
    <w:rsid w:val="00274E96"/>
    <w:rsid w:val="00275BB1"/>
    <w:rsid w:val="0027628E"/>
    <w:rsid w:val="00276AF5"/>
    <w:rsid w:val="002801F8"/>
    <w:rsid w:val="002802C9"/>
    <w:rsid w:val="00280B19"/>
    <w:rsid w:val="002812EC"/>
    <w:rsid w:val="00281DEE"/>
    <w:rsid w:val="002828E0"/>
    <w:rsid w:val="00282F8B"/>
    <w:rsid w:val="00283275"/>
    <w:rsid w:val="002833D5"/>
    <w:rsid w:val="00283591"/>
    <w:rsid w:val="00283654"/>
    <w:rsid w:val="00284241"/>
    <w:rsid w:val="002855FD"/>
    <w:rsid w:val="00285701"/>
    <w:rsid w:val="00286253"/>
    <w:rsid w:val="002866A2"/>
    <w:rsid w:val="00286871"/>
    <w:rsid w:val="00286F65"/>
    <w:rsid w:val="0028712E"/>
    <w:rsid w:val="00287A5A"/>
    <w:rsid w:val="00287FBE"/>
    <w:rsid w:val="0029009F"/>
    <w:rsid w:val="0029027D"/>
    <w:rsid w:val="00290DDC"/>
    <w:rsid w:val="00291026"/>
    <w:rsid w:val="00292458"/>
    <w:rsid w:val="002924FF"/>
    <w:rsid w:val="00293581"/>
    <w:rsid w:val="00293B34"/>
    <w:rsid w:val="00293C92"/>
    <w:rsid w:val="002942A8"/>
    <w:rsid w:val="002945D4"/>
    <w:rsid w:val="0029524A"/>
    <w:rsid w:val="002956F2"/>
    <w:rsid w:val="00295788"/>
    <w:rsid w:val="00295F0E"/>
    <w:rsid w:val="002960A5"/>
    <w:rsid w:val="002960C1"/>
    <w:rsid w:val="0029641A"/>
    <w:rsid w:val="002967BB"/>
    <w:rsid w:val="00296B0A"/>
    <w:rsid w:val="002A0372"/>
    <w:rsid w:val="002A1572"/>
    <w:rsid w:val="002A1738"/>
    <w:rsid w:val="002A180A"/>
    <w:rsid w:val="002A1832"/>
    <w:rsid w:val="002A1D82"/>
    <w:rsid w:val="002A2B22"/>
    <w:rsid w:val="002A31EA"/>
    <w:rsid w:val="002A3818"/>
    <w:rsid w:val="002A3C56"/>
    <w:rsid w:val="002A3DDF"/>
    <w:rsid w:val="002A4996"/>
    <w:rsid w:val="002A4A73"/>
    <w:rsid w:val="002A5275"/>
    <w:rsid w:val="002A5823"/>
    <w:rsid w:val="002A58F0"/>
    <w:rsid w:val="002A59F9"/>
    <w:rsid w:val="002A5B8C"/>
    <w:rsid w:val="002A5C37"/>
    <w:rsid w:val="002A61A2"/>
    <w:rsid w:val="002A663E"/>
    <w:rsid w:val="002A6C08"/>
    <w:rsid w:val="002A6D8D"/>
    <w:rsid w:val="002A75D1"/>
    <w:rsid w:val="002A7F13"/>
    <w:rsid w:val="002B09C0"/>
    <w:rsid w:val="002B0A7D"/>
    <w:rsid w:val="002B0DCA"/>
    <w:rsid w:val="002B1570"/>
    <w:rsid w:val="002B17B0"/>
    <w:rsid w:val="002B226D"/>
    <w:rsid w:val="002B2457"/>
    <w:rsid w:val="002B32B4"/>
    <w:rsid w:val="002B37FB"/>
    <w:rsid w:val="002B4586"/>
    <w:rsid w:val="002B4B5B"/>
    <w:rsid w:val="002B550E"/>
    <w:rsid w:val="002B5FD8"/>
    <w:rsid w:val="002B6304"/>
    <w:rsid w:val="002B6379"/>
    <w:rsid w:val="002B7483"/>
    <w:rsid w:val="002B7722"/>
    <w:rsid w:val="002B78CB"/>
    <w:rsid w:val="002B7BA4"/>
    <w:rsid w:val="002B7D3B"/>
    <w:rsid w:val="002C052E"/>
    <w:rsid w:val="002C0FA9"/>
    <w:rsid w:val="002C10AB"/>
    <w:rsid w:val="002C13CC"/>
    <w:rsid w:val="002C2BDC"/>
    <w:rsid w:val="002C40AF"/>
    <w:rsid w:val="002C41F8"/>
    <w:rsid w:val="002C4726"/>
    <w:rsid w:val="002C4EF7"/>
    <w:rsid w:val="002C50DF"/>
    <w:rsid w:val="002C5A41"/>
    <w:rsid w:val="002C6930"/>
    <w:rsid w:val="002C6C5B"/>
    <w:rsid w:val="002C6CBA"/>
    <w:rsid w:val="002C7130"/>
    <w:rsid w:val="002C7B81"/>
    <w:rsid w:val="002C7BEC"/>
    <w:rsid w:val="002C7FAB"/>
    <w:rsid w:val="002D035D"/>
    <w:rsid w:val="002D0512"/>
    <w:rsid w:val="002D15A8"/>
    <w:rsid w:val="002D1DD9"/>
    <w:rsid w:val="002D2043"/>
    <w:rsid w:val="002D2922"/>
    <w:rsid w:val="002D314D"/>
    <w:rsid w:val="002D3676"/>
    <w:rsid w:val="002D3ACE"/>
    <w:rsid w:val="002D3CC8"/>
    <w:rsid w:val="002D3D09"/>
    <w:rsid w:val="002D4863"/>
    <w:rsid w:val="002D4B56"/>
    <w:rsid w:val="002D4DE3"/>
    <w:rsid w:val="002D4EE4"/>
    <w:rsid w:val="002D5000"/>
    <w:rsid w:val="002D5011"/>
    <w:rsid w:val="002D54B0"/>
    <w:rsid w:val="002D57FE"/>
    <w:rsid w:val="002D67BD"/>
    <w:rsid w:val="002D6A87"/>
    <w:rsid w:val="002D6AA2"/>
    <w:rsid w:val="002D7ADA"/>
    <w:rsid w:val="002E0128"/>
    <w:rsid w:val="002E141C"/>
    <w:rsid w:val="002E1B66"/>
    <w:rsid w:val="002E2164"/>
    <w:rsid w:val="002E23C3"/>
    <w:rsid w:val="002E2AC3"/>
    <w:rsid w:val="002E2DDC"/>
    <w:rsid w:val="002E3396"/>
    <w:rsid w:val="002E41EE"/>
    <w:rsid w:val="002E43A6"/>
    <w:rsid w:val="002E6576"/>
    <w:rsid w:val="002E663A"/>
    <w:rsid w:val="002E670B"/>
    <w:rsid w:val="002E6A2E"/>
    <w:rsid w:val="002E74E9"/>
    <w:rsid w:val="002F08FE"/>
    <w:rsid w:val="002F19E0"/>
    <w:rsid w:val="002F1D53"/>
    <w:rsid w:val="002F2177"/>
    <w:rsid w:val="002F250E"/>
    <w:rsid w:val="002F28E1"/>
    <w:rsid w:val="002F36C6"/>
    <w:rsid w:val="002F37E9"/>
    <w:rsid w:val="002F38AF"/>
    <w:rsid w:val="002F4292"/>
    <w:rsid w:val="002F4EAA"/>
    <w:rsid w:val="002F649C"/>
    <w:rsid w:val="002F68B7"/>
    <w:rsid w:val="002F71A5"/>
    <w:rsid w:val="002F767A"/>
    <w:rsid w:val="002F773B"/>
    <w:rsid w:val="002F7C8F"/>
    <w:rsid w:val="00300B25"/>
    <w:rsid w:val="00300C60"/>
    <w:rsid w:val="00300E08"/>
    <w:rsid w:val="00301B7E"/>
    <w:rsid w:val="00301C60"/>
    <w:rsid w:val="00301C78"/>
    <w:rsid w:val="0030216B"/>
    <w:rsid w:val="00302699"/>
    <w:rsid w:val="003028C1"/>
    <w:rsid w:val="00302E62"/>
    <w:rsid w:val="00302EB7"/>
    <w:rsid w:val="003033B4"/>
    <w:rsid w:val="00304E15"/>
    <w:rsid w:val="00304FC8"/>
    <w:rsid w:val="00305140"/>
    <w:rsid w:val="0030515E"/>
    <w:rsid w:val="00306559"/>
    <w:rsid w:val="00306819"/>
    <w:rsid w:val="003106E6"/>
    <w:rsid w:val="00310D85"/>
    <w:rsid w:val="00311258"/>
    <w:rsid w:val="003112AB"/>
    <w:rsid w:val="00311E05"/>
    <w:rsid w:val="00311F59"/>
    <w:rsid w:val="00312335"/>
    <w:rsid w:val="00312C09"/>
    <w:rsid w:val="00312F5E"/>
    <w:rsid w:val="00314667"/>
    <w:rsid w:val="0031480C"/>
    <w:rsid w:val="00314828"/>
    <w:rsid w:val="00314A89"/>
    <w:rsid w:val="00314B35"/>
    <w:rsid w:val="003153E0"/>
    <w:rsid w:val="0031584E"/>
    <w:rsid w:val="00316001"/>
    <w:rsid w:val="00316476"/>
    <w:rsid w:val="00316BFC"/>
    <w:rsid w:val="0031729C"/>
    <w:rsid w:val="00317CCF"/>
    <w:rsid w:val="00317E54"/>
    <w:rsid w:val="003207E9"/>
    <w:rsid w:val="0032082E"/>
    <w:rsid w:val="00320D7B"/>
    <w:rsid w:val="0032138B"/>
    <w:rsid w:val="0032157B"/>
    <w:rsid w:val="00321764"/>
    <w:rsid w:val="0032193A"/>
    <w:rsid w:val="00321F4F"/>
    <w:rsid w:val="00321F8E"/>
    <w:rsid w:val="0032206E"/>
    <w:rsid w:val="00322446"/>
    <w:rsid w:val="003224B5"/>
    <w:rsid w:val="00322583"/>
    <w:rsid w:val="0032275F"/>
    <w:rsid w:val="00322D2F"/>
    <w:rsid w:val="0032355E"/>
    <w:rsid w:val="00323B8D"/>
    <w:rsid w:val="0032421B"/>
    <w:rsid w:val="0032443B"/>
    <w:rsid w:val="00324A6C"/>
    <w:rsid w:val="0032537F"/>
    <w:rsid w:val="00325880"/>
    <w:rsid w:val="00326524"/>
    <w:rsid w:val="003265F5"/>
    <w:rsid w:val="00327B51"/>
    <w:rsid w:val="00327E83"/>
    <w:rsid w:val="0033018B"/>
    <w:rsid w:val="00330277"/>
    <w:rsid w:val="00330458"/>
    <w:rsid w:val="003310B9"/>
    <w:rsid w:val="00331884"/>
    <w:rsid w:val="003322DA"/>
    <w:rsid w:val="003323B7"/>
    <w:rsid w:val="003329DC"/>
    <w:rsid w:val="00333541"/>
    <w:rsid w:val="00333597"/>
    <w:rsid w:val="0033375D"/>
    <w:rsid w:val="00334289"/>
    <w:rsid w:val="003348CA"/>
    <w:rsid w:val="00334B76"/>
    <w:rsid w:val="003352A6"/>
    <w:rsid w:val="0033554D"/>
    <w:rsid w:val="00335E22"/>
    <w:rsid w:val="00335F4C"/>
    <w:rsid w:val="00336E42"/>
    <w:rsid w:val="00337228"/>
    <w:rsid w:val="00337B2D"/>
    <w:rsid w:val="0034048B"/>
    <w:rsid w:val="00340864"/>
    <w:rsid w:val="0034165E"/>
    <w:rsid w:val="00341FB5"/>
    <w:rsid w:val="003422DB"/>
    <w:rsid w:val="00343129"/>
    <w:rsid w:val="003431CE"/>
    <w:rsid w:val="00343833"/>
    <w:rsid w:val="00343EDC"/>
    <w:rsid w:val="00343EF3"/>
    <w:rsid w:val="0034553C"/>
    <w:rsid w:val="00345692"/>
    <w:rsid w:val="00346240"/>
    <w:rsid w:val="0034632E"/>
    <w:rsid w:val="003464FC"/>
    <w:rsid w:val="0034671B"/>
    <w:rsid w:val="00346964"/>
    <w:rsid w:val="00346A36"/>
    <w:rsid w:val="003471A3"/>
    <w:rsid w:val="003471C3"/>
    <w:rsid w:val="00347D20"/>
    <w:rsid w:val="00350537"/>
    <w:rsid w:val="0035081B"/>
    <w:rsid w:val="00350B38"/>
    <w:rsid w:val="003511C6"/>
    <w:rsid w:val="00351283"/>
    <w:rsid w:val="00351F70"/>
    <w:rsid w:val="00353323"/>
    <w:rsid w:val="003544D6"/>
    <w:rsid w:val="00354ADD"/>
    <w:rsid w:val="00355019"/>
    <w:rsid w:val="00355346"/>
    <w:rsid w:val="00355358"/>
    <w:rsid w:val="00355956"/>
    <w:rsid w:val="00355E6B"/>
    <w:rsid w:val="003561A4"/>
    <w:rsid w:val="00356291"/>
    <w:rsid w:val="003563EB"/>
    <w:rsid w:val="00356787"/>
    <w:rsid w:val="00356AD3"/>
    <w:rsid w:val="00356B8F"/>
    <w:rsid w:val="00356F5F"/>
    <w:rsid w:val="00357322"/>
    <w:rsid w:val="003573EB"/>
    <w:rsid w:val="00361DFA"/>
    <w:rsid w:val="00363E11"/>
    <w:rsid w:val="003641D9"/>
    <w:rsid w:val="00364A60"/>
    <w:rsid w:val="00364BB2"/>
    <w:rsid w:val="00364C05"/>
    <w:rsid w:val="00364F98"/>
    <w:rsid w:val="00365355"/>
    <w:rsid w:val="0036661B"/>
    <w:rsid w:val="00366751"/>
    <w:rsid w:val="00366B35"/>
    <w:rsid w:val="0036710B"/>
    <w:rsid w:val="00367C5D"/>
    <w:rsid w:val="00370727"/>
    <w:rsid w:val="003707DA"/>
    <w:rsid w:val="00370B8D"/>
    <w:rsid w:val="00370BD8"/>
    <w:rsid w:val="00371160"/>
    <w:rsid w:val="00371637"/>
    <w:rsid w:val="00372BFC"/>
    <w:rsid w:val="003730E3"/>
    <w:rsid w:val="0037313B"/>
    <w:rsid w:val="003734F9"/>
    <w:rsid w:val="00373C40"/>
    <w:rsid w:val="00374088"/>
    <w:rsid w:val="003740B7"/>
    <w:rsid w:val="00374728"/>
    <w:rsid w:val="00374A5E"/>
    <w:rsid w:val="00374F74"/>
    <w:rsid w:val="00375414"/>
    <w:rsid w:val="003758F9"/>
    <w:rsid w:val="00375A53"/>
    <w:rsid w:val="00376346"/>
    <w:rsid w:val="00377434"/>
    <w:rsid w:val="00377D8C"/>
    <w:rsid w:val="00380116"/>
    <w:rsid w:val="003801E0"/>
    <w:rsid w:val="00381776"/>
    <w:rsid w:val="00381C6B"/>
    <w:rsid w:val="00381D55"/>
    <w:rsid w:val="00381DDA"/>
    <w:rsid w:val="00381E2D"/>
    <w:rsid w:val="003826B1"/>
    <w:rsid w:val="003828F3"/>
    <w:rsid w:val="00383063"/>
    <w:rsid w:val="00383B6C"/>
    <w:rsid w:val="00383BAA"/>
    <w:rsid w:val="00384337"/>
    <w:rsid w:val="0038483D"/>
    <w:rsid w:val="00385552"/>
    <w:rsid w:val="00385662"/>
    <w:rsid w:val="00386494"/>
    <w:rsid w:val="00386724"/>
    <w:rsid w:val="00386B30"/>
    <w:rsid w:val="00386EB5"/>
    <w:rsid w:val="00387659"/>
    <w:rsid w:val="00390059"/>
    <w:rsid w:val="00390284"/>
    <w:rsid w:val="003903A7"/>
    <w:rsid w:val="0039061B"/>
    <w:rsid w:val="00390AED"/>
    <w:rsid w:val="003914BE"/>
    <w:rsid w:val="00392E52"/>
    <w:rsid w:val="003931D3"/>
    <w:rsid w:val="00393454"/>
    <w:rsid w:val="0039357D"/>
    <w:rsid w:val="003935F3"/>
    <w:rsid w:val="003939EC"/>
    <w:rsid w:val="00393B8B"/>
    <w:rsid w:val="00393C58"/>
    <w:rsid w:val="003946A3"/>
    <w:rsid w:val="0039529B"/>
    <w:rsid w:val="003953DE"/>
    <w:rsid w:val="0039540F"/>
    <w:rsid w:val="003957B1"/>
    <w:rsid w:val="00395883"/>
    <w:rsid w:val="00395D72"/>
    <w:rsid w:val="00396215"/>
    <w:rsid w:val="003962D6"/>
    <w:rsid w:val="00396A3E"/>
    <w:rsid w:val="00396ABD"/>
    <w:rsid w:val="00396F96"/>
    <w:rsid w:val="00397274"/>
    <w:rsid w:val="00397DC1"/>
    <w:rsid w:val="003A0323"/>
    <w:rsid w:val="003A207B"/>
    <w:rsid w:val="003A337B"/>
    <w:rsid w:val="003A3BE1"/>
    <w:rsid w:val="003A3D9B"/>
    <w:rsid w:val="003A42CD"/>
    <w:rsid w:val="003A4618"/>
    <w:rsid w:val="003A4A8E"/>
    <w:rsid w:val="003A4E23"/>
    <w:rsid w:val="003A5A10"/>
    <w:rsid w:val="003A7457"/>
    <w:rsid w:val="003A77FD"/>
    <w:rsid w:val="003B015B"/>
    <w:rsid w:val="003B02CF"/>
    <w:rsid w:val="003B04D9"/>
    <w:rsid w:val="003B0C36"/>
    <w:rsid w:val="003B0C4B"/>
    <w:rsid w:val="003B0E47"/>
    <w:rsid w:val="003B0FFC"/>
    <w:rsid w:val="003B10DD"/>
    <w:rsid w:val="003B1145"/>
    <w:rsid w:val="003B18A1"/>
    <w:rsid w:val="003B1F23"/>
    <w:rsid w:val="003B2BB8"/>
    <w:rsid w:val="003B4BE3"/>
    <w:rsid w:val="003B5071"/>
    <w:rsid w:val="003B563E"/>
    <w:rsid w:val="003B657B"/>
    <w:rsid w:val="003B6889"/>
    <w:rsid w:val="003B6E50"/>
    <w:rsid w:val="003B7226"/>
    <w:rsid w:val="003C0B2F"/>
    <w:rsid w:val="003C0DB2"/>
    <w:rsid w:val="003C1534"/>
    <w:rsid w:val="003C24BD"/>
    <w:rsid w:val="003C2575"/>
    <w:rsid w:val="003C268F"/>
    <w:rsid w:val="003C35EF"/>
    <w:rsid w:val="003C365B"/>
    <w:rsid w:val="003C3870"/>
    <w:rsid w:val="003C391D"/>
    <w:rsid w:val="003C3924"/>
    <w:rsid w:val="003C4874"/>
    <w:rsid w:val="003C4B97"/>
    <w:rsid w:val="003C51BF"/>
    <w:rsid w:val="003C5620"/>
    <w:rsid w:val="003C5994"/>
    <w:rsid w:val="003C5BCD"/>
    <w:rsid w:val="003C6C4C"/>
    <w:rsid w:val="003C6FCC"/>
    <w:rsid w:val="003C728F"/>
    <w:rsid w:val="003C7453"/>
    <w:rsid w:val="003C7534"/>
    <w:rsid w:val="003C7BD0"/>
    <w:rsid w:val="003C7DC9"/>
    <w:rsid w:val="003D04AE"/>
    <w:rsid w:val="003D0AD3"/>
    <w:rsid w:val="003D1A2A"/>
    <w:rsid w:val="003D1B22"/>
    <w:rsid w:val="003D204F"/>
    <w:rsid w:val="003D2162"/>
    <w:rsid w:val="003D2439"/>
    <w:rsid w:val="003D2630"/>
    <w:rsid w:val="003D2706"/>
    <w:rsid w:val="003D3692"/>
    <w:rsid w:val="003D4062"/>
    <w:rsid w:val="003D4AE8"/>
    <w:rsid w:val="003D55C6"/>
    <w:rsid w:val="003D59F9"/>
    <w:rsid w:val="003D5B5A"/>
    <w:rsid w:val="003D6B22"/>
    <w:rsid w:val="003D6C1A"/>
    <w:rsid w:val="003D71F7"/>
    <w:rsid w:val="003E088B"/>
    <w:rsid w:val="003E1127"/>
    <w:rsid w:val="003E12F8"/>
    <w:rsid w:val="003E1A30"/>
    <w:rsid w:val="003E2861"/>
    <w:rsid w:val="003E29C5"/>
    <w:rsid w:val="003E2C08"/>
    <w:rsid w:val="003E2EF4"/>
    <w:rsid w:val="003E3662"/>
    <w:rsid w:val="003E396F"/>
    <w:rsid w:val="003E4D9A"/>
    <w:rsid w:val="003E5091"/>
    <w:rsid w:val="003E5A58"/>
    <w:rsid w:val="003E6352"/>
    <w:rsid w:val="003E648F"/>
    <w:rsid w:val="003E6A8D"/>
    <w:rsid w:val="003E6E29"/>
    <w:rsid w:val="003E747F"/>
    <w:rsid w:val="003E7F03"/>
    <w:rsid w:val="003F0748"/>
    <w:rsid w:val="003F0D12"/>
    <w:rsid w:val="003F0E11"/>
    <w:rsid w:val="003F0EF5"/>
    <w:rsid w:val="003F0F03"/>
    <w:rsid w:val="003F1542"/>
    <w:rsid w:val="003F1830"/>
    <w:rsid w:val="003F1E78"/>
    <w:rsid w:val="003F290A"/>
    <w:rsid w:val="003F2B91"/>
    <w:rsid w:val="003F2DD7"/>
    <w:rsid w:val="003F341D"/>
    <w:rsid w:val="003F3EF7"/>
    <w:rsid w:val="003F428A"/>
    <w:rsid w:val="003F43B4"/>
    <w:rsid w:val="003F4413"/>
    <w:rsid w:val="003F4CB1"/>
    <w:rsid w:val="003F583B"/>
    <w:rsid w:val="003F593E"/>
    <w:rsid w:val="003F5B25"/>
    <w:rsid w:val="003F6893"/>
    <w:rsid w:val="003F7B50"/>
    <w:rsid w:val="003F7EEF"/>
    <w:rsid w:val="004002F8"/>
    <w:rsid w:val="004008F7"/>
    <w:rsid w:val="0040176E"/>
    <w:rsid w:val="00402433"/>
    <w:rsid w:val="00402858"/>
    <w:rsid w:val="00402F62"/>
    <w:rsid w:val="00403FF7"/>
    <w:rsid w:val="00404853"/>
    <w:rsid w:val="00404B0D"/>
    <w:rsid w:val="004053F8"/>
    <w:rsid w:val="00405703"/>
    <w:rsid w:val="0040583E"/>
    <w:rsid w:val="004058AB"/>
    <w:rsid w:val="0040695F"/>
    <w:rsid w:val="004074B6"/>
    <w:rsid w:val="004076D5"/>
    <w:rsid w:val="004102B2"/>
    <w:rsid w:val="00410911"/>
    <w:rsid w:val="004109EA"/>
    <w:rsid w:val="0041154D"/>
    <w:rsid w:val="00411796"/>
    <w:rsid w:val="00412843"/>
    <w:rsid w:val="00412BF2"/>
    <w:rsid w:val="00413CCA"/>
    <w:rsid w:val="00414060"/>
    <w:rsid w:val="004141DF"/>
    <w:rsid w:val="00414326"/>
    <w:rsid w:val="004152DE"/>
    <w:rsid w:val="00415DCE"/>
    <w:rsid w:val="00416032"/>
    <w:rsid w:val="004171DD"/>
    <w:rsid w:val="00417238"/>
    <w:rsid w:val="00417F34"/>
    <w:rsid w:val="0042061D"/>
    <w:rsid w:val="004210D1"/>
    <w:rsid w:val="004216B8"/>
    <w:rsid w:val="00421C89"/>
    <w:rsid w:val="00421D23"/>
    <w:rsid w:val="00422920"/>
    <w:rsid w:val="00422EAC"/>
    <w:rsid w:val="0042350E"/>
    <w:rsid w:val="0042388B"/>
    <w:rsid w:val="004239F0"/>
    <w:rsid w:val="00423EBE"/>
    <w:rsid w:val="004246C8"/>
    <w:rsid w:val="00424792"/>
    <w:rsid w:val="00424A93"/>
    <w:rsid w:val="00424D63"/>
    <w:rsid w:val="0042593A"/>
    <w:rsid w:val="00425BD4"/>
    <w:rsid w:val="004267E6"/>
    <w:rsid w:val="00426A31"/>
    <w:rsid w:val="00426D55"/>
    <w:rsid w:val="00430E97"/>
    <w:rsid w:val="0043135E"/>
    <w:rsid w:val="004317D4"/>
    <w:rsid w:val="004318FF"/>
    <w:rsid w:val="00431D61"/>
    <w:rsid w:val="00432542"/>
    <w:rsid w:val="00432945"/>
    <w:rsid w:val="00432C83"/>
    <w:rsid w:val="004339C6"/>
    <w:rsid w:val="00433AC3"/>
    <w:rsid w:val="00433B45"/>
    <w:rsid w:val="00433E47"/>
    <w:rsid w:val="004343E1"/>
    <w:rsid w:val="00434968"/>
    <w:rsid w:val="00434A35"/>
    <w:rsid w:val="00435058"/>
    <w:rsid w:val="004350DF"/>
    <w:rsid w:val="00435679"/>
    <w:rsid w:val="004360B8"/>
    <w:rsid w:val="00436FAC"/>
    <w:rsid w:val="004374D4"/>
    <w:rsid w:val="00437FF0"/>
    <w:rsid w:val="004401D2"/>
    <w:rsid w:val="00440652"/>
    <w:rsid w:val="00440750"/>
    <w:rsid w:val="004415F7"/>
    <w:rsid w:val="00442A9D"/>
    <w:rsid w:val="00442D87"/>
    <w:rsid w:val="004432DB"/>
    <w:rsid w:val="00443432"/>
    <w:rsid w:val="00443714"/>
    <w:rsid w:val="00443AF9"/>
    <w:rsid w:val="00444619"/>
    <w:rsid w:val="004447BE"/>
    <w:rsid w:val="00444B9F"/>
    <w:rsid w:val="00444D0A"/>
    <w:rsid w:val="00444FC2"/>
    <w:rsid w:val="00445C88"/>
    <w:rsid w:val="00445D24"/>
    <w:rsid w:val="004461C3"/>
    <w:rsid w:val="004466CE"/>
    <w:rsid w:val="004467D9"/>
    <w:rsid w:val="00447637"/>
    <w:rsid w:val="004476EC"/>
    <w:rsid w:val="0045042F"/>
    <w:rsid w:val="00451FA0"/>
    <w:rsid w:val="004523CB"/>
    <w:rsid w:val="00452903"/>
    <w:rsid w:val="004533F3"/>
    <w:rsid w:val="00453B16"/>
    <w:rsid w:val="00454ACA"/>
    <w:rsid w:val="00454AE2"/>
    <w:rsid w:val="00454CBF"/>
    <w:rsid w:val="00454CFB"/>
    <w:rsid w:val="00455C75"/>
    <w:rsid w:val="00456115"/>
    <w:rsid w:val="0045662D"/>
    <w:rsid w:val="004577B1"/>
    <w:rsid w:val="0045780E"/>
    <w:rsid w:val="00457859"/>
    <w:rsid w:val="0045789C"/>
    <w:rsid w:val="00460343"/>
    <w:rsid w:val="004607AE"/>
    <w:rsid w:val="00460AA0"/>
    <w:rsid w:val="00460C45"/>
    <w:rsid w:val="00460CA0"/>
    <w:rsid w:val="0046109C"/>
    <w:rsid w:val="00461945"/>
    <w:rsid w:val="00461A5E"/>
    <w:rsid w:val="00461B58"/>
    <w:rsid w:val="00461FEB"/>
    <w:rsid w:val="00464025"/>
    <w:rsid w:val="00464308"/>
    <w:rsid w:val="00464329"/>
    <w:rsid w:val="00464643"/>
    <w:rsid w:val="00465015"/>
    <w:rsid w:val="00465044"/>
    <w:rsid w:val="00465286"/>
    <w:rsid w:val="00465376"/>
    <w:rsid w:val="00465A06"/>
    <w:rsid w:val="00465A23"/>
    <w:rsid w:val="00465D98"/>
    <w:rsid w:val="00466CEE"/>
    <w:rsid w:val="004676B2"/>
    <w:rsid w:val="00467947"/>
    <w:rsid w:val="004679F6"/>
    <w:rsid w:val="00470143"/>
    <w:rsid w:val="004703CB"/>
    <w:rsid w:val="00470D68"/>
    <w:rsid w:val="00471F93"/>
    <w:rsid w:val="00472BC3"/>
    <w:rsid w:val="00473494"/>
    <w:rsid w:val="0047378E"/>
    <w:rsid w:val="00474115"/>
    <w:rsid w:val="004742D5"/>
    <w:rsid w:val="00474FFB"/>
    <w:rsid w:val="0047515B"/>
    <w:rsid w:val="00475449"/>
    <w:rsid w:val="0047581F"/>
    <w:rsid w:val="004761BC"/>
    <w:rsid w:val="004762A2"/>
    <w:rsid w:val="0047647D"/>
    <w:rsid w:val="0047659F"/>
    <w:rsid w:val="004767C6"/>
    <w:rsid w:val="00476B42"/>
    <w:rsid w:val="00476D82"/>
    <w:rsid w:val="00476E19"/>
    <w:rsid w:val="00476EE6"/>
    <w:rsid w:val="0047769A"/>
    <w:rsid w:val="00477A5A"/>
    <w:rsid w:val="004808BF"/>
    <w:rsid w:val="00480CAF"/>
    <w:rsid w:val="0048218A"/>
    <w:rsid w:val="00482880"/>
    <w:rsid w:val="00482B9B"/>
    <w:rsid w:val="00482C88"/>
    <w:rsid w:val="00483AA6"/>
    <w:rsid w:val="00483B0E"/>
    <w:rsid w:val="00484134"/>
    <w:rsid w:val="00484170"/>
    <w:rsid w:val="00485CC8"/>
    <w:rsid w:val="00485F03"/>
    <w:rsid w:val="0048608C"/>
    <w:rsid w:val="00486603"/>
    <w:rsid w:val="00486680"/>
    <w:rsid w:val="00486953"/>
    <w:rsid w:val="00486BF3"/>
    <w:rsid w:val="00486E76"/>
    <w:rsid w:val="004876A8"/>
    <w:rsid w:val="0048777A"/>
    <w:rsid w:val="004908BA"/>
    <w:rsid w:val="00492167"/>
    <w:rsid w:val="004921AF"/>
    <w:rsid w:val="004922F8"/>
    <w:rsid w:val="0049298C"/>
    <w:rsid w:val="00492FAB"/>
    <w:rsid w:val="0049313A"/>
    <w:rsid w:val="0049316E"/>
    <w:rsid w:val="00493811"/>
    <w:rsid w:val="004940F8"/>
    <w:rsid w:val="004950C6"/>
    <w:rsid w:val="00495477"/>
    <w:rsid w:val="004958F0"/>
    <w:rsid w:val="00495AB1"/>
    <w:rsid w:val="004972CA"/>
    <w:rsid w:val="00497878"/>
    <w:rsid w:val="00497910"/>
    <w:rsid w:val="00497CFE"/>
    <w:rsid w:val="00497F7D"/>
    <w:rsid w:val="004A0571"/>
    <w:rsid w:val="004A09C9"/>
    <w:rsid w:val="004A0F19"/>
    <w:rsid w:val="004A1FCC"/>
    <w:rsid w:val="004A268E"/>
    <w:rsid w:val="004A3140"/>
    <w:rsid w:val="004A321A"/>
    <w:rsid w:val="004A3E10"/>
    <w:rsid w:val="004A457B"/>
    <w:rsid w:val="004A4AA8"/>
    <w:rsid w:val="004A4D6D"/>
    <w:rsid w:val="004A5792"/>
    <w:rsid w:val="004A5EBC"/>
    <w:rsid w:val="004A6033"/>
    <w:rsid w:val="004A6BA8"/>
    <w:rsid w:val="004A6C03"/>
    <w:rsid w:val="004A6E1D"/>
    <w:rsid w:val="004A6F89"/>
    <w:rsid w:val="004A70C2"/>
    <w:rsid w:val="004A7867"/>
    <w:rsid w:val="004A79F2"/>
    <w:rsid w:val="004A7A68"/>
    <w:rsid w:val="004A7ED9"/>
    <w:rsid w:val="004A7FAA"/>
    <w:rsid w:val="004B0033"/>
    <w:rsid w:val="004B0197"/>
    <w:rsid w:val="004B0201"/>
    <w:rsid w:val="004B05C8"/>
    <w:rsid w:val="004B1BB8"/>
    <w:rsid w:val="004B1DFD"/>
    <w:rsid w:val="004B2C17"/>
    <w:rsid w:val="004B3ED9"/>
    <w:rsid w:val="004B4595"/>
    <w:rsid w:val="004B4707"/>
    <w:rsid w:val="004B52CF"/>
    <w:rsid w:val="004B53AD"/>
    <w:rsid w:val="004B54FD"/>
    <w:rsid w:val="004B5ED1"/>
    <w:rsid w:val="004B65CF"/>
    <w:rsid w:val="004B6613"/>
    <w:rsid w:val="004B72C1"/>
    <w:rsid w:val="004B7631"/>
    <w:rsid w:val="004B7AFD"/>
    <w:rsid w:val="004B7B83"/>
    <w:rsid w:val="004B7CEF"/>
    <w:rsid w:val="004C0E2B"/>
    <w:rsid w:val="004C0E69"/>
    <w:rsid w:val="004C1CB1"/>
    <w:rsid w:val="004C29C5"/>
    <w:rsid w:val="004C2C94"/>
    <w:rsid w:val="004C31F4"/>
    <w:rsid w:val="004C3404"/>
    <w:rsid w:val="004C3468"/>
    <w:rsid w:val="004C3527"/>
    <w:rsid w:val="004C365F"/>
    <w:rsid w:val="004C4166"/>
    <w:rsid w:val="004C42FE"/>
    <w:rsid w:val="004C472B"/>
    <w:rsid w:val="004C4992"/>
    <w:rsid w:val="004C512E"/>
    <w:rsid w:val="004C51FD"/>
    <w:rsid w:val="004C5B27"/>
    <w:rsid w:val="004C5FC5"/>
    <w:rsid w:val="004C6ACC"/>
    <w:rsid w:val="004C7210"/>
    <w:rsid w:val="004C73C2"/>
    <w:rsid w:val="004C79AE"/>
    <w:rsid w:val="004C79FA"/>
    <w:rsid w:val="004C7B72"/>
    <w:rsid w:val="004C7D1F"/>
    <w:rsid w:val="004C7E85"/>
    <w:rsid w:val="004D1023"/>
    <w:rsid w:val="004D1B9D"/>
    <w:rsid w:val="004D20A2"/>
    <w:rsid w:val="004D235F"/>
    <w:rsid w:val="004D23A4"/>
    <w:rsid w:val="004D24D5"/>
    <w:rsid w:val="004D391E"/>
    <w:rsid w:val="004D4CF9"/>
    <w:rsid w:val="004D500E"/>
    <w:rsid w:val="004D5BF5"/>
    <w:rsid w:val="004D6055"/>
    <w:rsid w:val="004D6995"/>
    <w:rsid w:val="004D7200"/>
    <w:rsid w:val="004D7229"/>
    <w:rsid w:val="004D77C4"/>
    <w:rsid w:val="004E04EB"/>
    <w:rsid w:val="004E07E3"/>
    <w:rsid w:val="004E08ED"/>
    <w:rsid w:val="004E0FC9"/>
    <w:rsid w:val="004E14E2"/>
    <w:rsid w:val="004E1B5C"/>
    <w:rsid w:val="004E2802"/>
    <w:rsid w:val="004E2ADC"/>
    <w:rsid w:val="004E3351"/>
    <w:rsid w:val="004E33C6"/>
    <w:rsid w:val="004E34F0"/>
    <w:rsid w:val="004E4AB3"/>
    <w:rsid w:val="004E5121"/>
    <w:rsid w:val="004E5AF9"/>
    <w:rsid w:val="004E61C5"/>
    <w:rsid w:val="004E6AFB"/>
    <w:rsid w:val="004E6C36"/>
    <w:rsid w:val="004E74F3"/>
    <w:rsid w:val="004E7833"/>
    <w:rsid w:val="004E7D61"/>
    <w:rsid w:val="004E7F93"/>
    <w:rsid w:val="004F01C7"/>
    <w:rsid w:val="004F0905"/>
    <w:rsid w:val="004F1362"/>
    <w:rsid w:val="004F20F3"/>
    <w:rsid w:val="004F2F26"/>
    <w:rsid w:val="004F3486"/>
    <w:rsid w:val="004F3576"/>
    <w:rsid w:val="004F391D"/>
    <w:rsid w:val="004F4B9A"/>
    <w:rsid w:val="004F4EC4"/>
    <w:rsid w:val="004F4F72"/>
    <w:rsid w:val="004F57B6"/>
    <w:rsid w:val="004F5990"/>
    <w:rsid w:val="004F625E"/>
    <w:rsid w:val="004F7720"/>
    <w:rsid w:val="004F7CC9"/>
    <w:rsid w:val="00500607"/>
    <w:rsid w:val="00500A09"/>
    <w:rsid w:val="00501225"/>
    <w:rsid w:val="0050154D"/>
    <w:rsid w:val="00501EE0"/>
    <w:rsid w:val="005027CB"/>
    <w:rsid w:val="0050287A"/>
    <w:rsid w:val="00503387"/>
    <w:rsid w:val="00503C30"/>
    <w:rsid w:val="00504DFC"/>
    <w:rsid w:val="005054BB"/>
    <w:rsid w:val="00505502"/>
    <w:rsid w:val="005057E0"/>
    <w:rsid w:val="0050592D"/>
    <w:rsid w:val="00505AC2"/>
    <w:rsid w:val="00505D90"/>
    <w:rsid w:val="00505DAA"/>
    <w:rsid w:val="0050647B"/>
    <w:rsid w:val="0050666A"/>
    <w:rsid w:val="0050696D"/>
    <w:rsid w:val="00506B5E"/>
    <w:rsid w:val="00506FAD"/>
    <w:rsid w:val="0051008D"/>
    <w:rsid w:val="00510162"/>
    <w:rsid w:val="00511CCC"/>
    <w:rsid w:val="00512F1B"/>
    <w:rsid w:val="0051361C"/>
    <w:rsid w:val="00513B63"/>
    <w:rsid w:val="00514198"/>
    <w:rsid w:val="0051494F"/>
    <w:rsid w:val="00514CF6"/>
    <w:rsid w:val="00514D69"/>
    <w:rsid w:val="0051517F"/>
    <w:rsid w:val="005151E3"/>
    <w:rsid w:val="0051540E"/>
    <w:rsid w:val="00515569"/>
    <w:rsid w:val="00515CB2"/>
    <w:rsid w:val="00515EA1"/>
    <w:rsid w:val="005160AF"/>
    <w:rsid w:val="00516371"/>
    <w:rsid w:val="00516712"/>
    <w:rsid w:val="00516C7E"/>
    <w:rsid w:val="00516D0D"/>
    <w:rsid w:val="005178C9"/>
    <w:rsid w:val="00517A49"/>
    <w:rsid w:val="00517FA3"/>
    <w:rsid w:val="00520163"/>
    <w:rsid w:val="00520685"/>
    <w:rsid w:val="00520E7A"/>
    <w:rsid w:val="0052179A"/>
    <w:rsid w:val="00522113"/>
    <w:rsid w:val="00523070"/>
    <w:rsid w:val="00523929"/>
    <w:rsid w:val="00523DF3"/>
    <w:rsid w:val="0052531E"/>
    <w:rsid w:val="005259C2"/>
    <w:rsid w:val="005259D4"/>
    <w:rsid w:val="005265A9"/>
    <w:rsid w:val="00526CED"/>
    <w:rsid w:val="00527506"/>
    <w:rsid w:val="00530755"/>
    <w:rsid w:val="0053082B"/>
    <w:rsid w:val="00533017"/>
    <w:rsid w:val="0053393F"/>
    <w:rsid w:val="00534094"/>
    <w:rsid w:val="00534357"/>
    <w:rsid w:val="005355FB"/>
    <w:rsid w:val="00535D61"/>
    <w:rsid w:val="00535EBD"/>
    <w:rsid w:val="00537088"/>
    <w:rsid w:val="00537101"/>
    <w:rsid w:val="00537D00"/>
    <w:rsid w:val="0054046A"/>
    <w:rsid w:val="00540AA6"/>
    <w:rsid w:val="00541246"/>
    <w:rsid w:val="00541EB7"/>
    <w:rsid w:val="005421D0"/>
    <w:rsid w:val="00542489"/>
    <w:rsid w:val="00542713"/>
    <w:rsid w:val="00542B1C"/>
    <w:rsid w:val="00542B79"/>
    <w:rsid w:val="00543500"/>
    <w:rsid w:val="00543DF8"/>
    <w:rsid w:val="0054432D"/>
    <w:rsid w:val="00544654"/>
    <w:rsid w:val="00545664"/>
    <w:rsid w:val="00545A3F"/>
    <w:rsid w:val="00545D7C"/>
    <w:rsid w:val="00546301"/>
    <w:rsid w:val="005463D1"/>
    <w:rsid w:val="00546486"/>
    <w:rsid w:val="00546F53"/>
    <w:rsid w:val="00547274"/>
    <w:rsid w:val="00547482"/>
    <w:rsid w:val="005477F2"/>
    <w:rsid w:val="00547905"/>
    <w:rsid w:val="00547AFC"/>
    <w:rsid w:val="00547DCA"/>
    <w:rsid w:val="00550736"/>
    <w:rsid w:val="00550893"/>
    <w:rsid w:val="00550AB5"/>
    <w:rsid w:val="0055161E"/>
    <w:rsid w:val="005523D2"/>
    <w:rsid w:val="005524D6"/>
    <w:rsid w:val="00552BFC"/>
    <w:rsid w:val="00553211"/>
    <w:rsid w:val="00553DD3"/>
    <w:rsid w:val="00554690"/>
    <w:rsid w:val="0055473F"/>
    <w:rsid w:val="00554CCF"/>
    <w:rsid w:val="00554F15"/>
    <w:rsid w:val="0055602B"/>
    <w:rsid w:val="00556780"/>
    <w:rsid w:val="00556AB5"/>
    <w:rsid w:val="0055705B"/>
    <w:rsid w:val="00557611"/>
    <w:rsid w:val="00557967"/>
    <w:rsid w:val="005603FD"/>
    <w:rsid w:val="0056088C"/>
    <w:rsid w:val="005610CC"/>
    <w:rsid w:val="0056136E"/>
    <w:rsid w:val="00561C09"/>
    <w:rsid w:val="00562397"/>
    <w:rsid w:val="0056293C"/>
    <w:rsid w:val="00562AD0"/>
    <w:rsid w:val="00562B5E"/>
    <w:rsid w:val="00562CB9"/>
    <w:rsid w:val="00562F7C"/>
    <w:rsid w:val="005644C5"/>
    <w:rsid w:val="00564717"/>
    <w:rsid w:val="00565912"/>
    <w:rsid w:val="00566B4C"/>
    <w:rsid w:val="00567365"/>
    <w:rsid w:val="00570370"/>
    <w:rsid w:val="0057074D"/>
    <w:rsid w:val="005707D5"/>
    <w:rsid w:val="00570C02"/>
    <w:rsid w:val="00571153"/>
    <w:rsid w:val="00571633"/>
    <w:rsid w:val="0057163E"/>
    <w:rsid w:val="0057290B"/>
    <w:rsid w:val="00572C82"/>
    <w:rsid w:val="00573184"/>
    <w:rsid w:val="005731F8"/>
    <w:rsid w:val="005737AC"/>
    <w:rsid w:val="00573A46"/>
    <w:rsid w:val="00574037"/>
    <w:rsid w:val="00574635"/>
    <w:rsid w:val="0057483D"/>
    <w:rsid w:val="00574BAB"/>
    <w:rsid w:val="00574D13"/>
    <w:rsid w:val="005759A5"/>
    <w:rsid w:val="00575AA4"/>
    <w:rsid w:val="00576A57"/>
    <w:rsid w:val="00576E6B"/>
    <w:rsid w:val="00576F56"/>
    <w:rsid w:val="00577E9A"/>
    <w:rsid w:val="0058039F"/>
    <w:rsid w:val="00580915"/>
    <w:rsid w:val="005813B3"/>
    <w:rsid w:val="00581D82"/>
    <w:rsid w:val="00582721"/>
    <w:rsid w:val="00582729"/>
    <w:rsid w:val="0058272C"/>
    <w:rsid w:val="00582865"/>
    <w:rsid w:val="00582CFE"/>
    <w:rsid w:val="00583009"/>
    <w:rsid w:val="00583E0F"/>
    <w:rsid w:val="00584E3A"/>
    <w:rsid w:val="00585EB1"/>
    <w:rsid w:val="0058635D"/>
    <w:rsid w:val="005866A7"/>
    <w:rsid w:val="00586C08"/>
    <w:rsid w:val="00586C5C"/>
    <w:rsid w:val="00586D05"/>
    <w:rsid w:val="005871FE"/>
    <w:rsid w:val="005875D4"/>
    <w:rsid w:val="00587646"/>
    <w:rsid w:val="00587756"/>
    <w:rsid w:val="00587F57"/>
    <w:rsid w:val="0059001F"/>
    <w:rsid w:val="005904EA"/>
    <w:rsid w:val="005907B1"/>
    <w:rsid w:val="00591217"/>
    <w:rsid w:val="0059141A"/>
    <w:rsid w:val="005915B6"/>
    <w:rsid w:val="00591C17"/>
    <w:rsid w:val="0059224F"/>
    <w:rsid w:val="00592A88"/>
    <w:rsid w:val="00592DD8"/>
    <w:rsid w:val="00593393"/>
    <w:rsid w:val="00593F83"/>
    <w:rsid w:val="00594248"/>
    <w:rsid w:val="005947C5"/>
    <w:rsid w:val="00594CED"/>
    <w:rsid w:val="00594CFD"/>
    <w:rsid w:val="0059502D"/>
    <w:rsid w:val="00595032"/>
    <w:rsid w:val="005954C3"/>
    <w:rsid w:val="00595B3F"/>
    <w:rsid w:val="00595E39"/>
    <w:rsid w:val="00596F8F"/>
    <w:rsid w:val="005978C9"/>
    <w:rsid w:val="005979A7"/>
    <w:rsid w:val="00597D47"/>
    <w:rsid w:val="00597F08"/>
    <w:rsid w:val="005A0880"/>
    <w:rsid w:val="005A099C"/>
    <w:rsid w:val="005A0E04"/>
    <w:rsid w:val="005A0FEB"/>
    <w:rsid w:val="005A1257"/>
    <w:rsid w:val="005A1899"/>
    <w:rsid w:val="005A1E65"/>
    <w:rsid w:val="005A21D8"/>
    <w:rsid w:val="005A2B2D"/>
    <w:rsid w:val="005A2FB5"/>
    <w:rsid w:val="005A2FDC"/>
    <w:rsid w:val="005A3807"/>
    <w:rsid w:val="005A3B39"/>
    <w:rsid w:val="005A5A3D"/>
    <w:rsid w:val="005A5BB3"/>
    <w:rsid w:val="005A6186"/>
    <w:rsid w:val="005A6627"/>
    <w:rsid w:val="005A6AEC"/>
    <w:rsid w:val="005A6F64"/>
    <w:rsid w:val="005A7196"/>
    <w:rsid w:val="005A74F6"/>
    <w:rsid w:val="005A78CE"/>
    <w:rsid w:val="005B003D"/>
    <w:rsid w:val="005B01C8"/>
    <w:rsid w:val="005B045F"/>
    <w:rsid w:val="005B12D0"/>
    <w:rsid w:val="005B1929"/>
    <w:rsid w:val="005B28C0"/>
    <w:rsid w:val="005B316F"/>
    <w:rsid w:val="005B3C5C"/>
    <w:rsid w:val="005B406C"/>
    <w:rsid w:val="005B4570"/>
    <w:rsid w:val="005B45A1"/>
    <w:rsid w:val="005B4692"/>
    <w:rsid w:val="005B4B95"/>
    <w:rsid w:val="005B5A57"/>
    <w:rsid w:val="005B5DE4"/>
    <w:rsid w:val="005B5E6E"/>
    <w:rsid w:val="005B5F16"/>
    <w:rsid w:val="005B609A"/>
    <w:rsid w:val="005B62ED"/>
    <w:rsid w:val="005B6F18"/>
    <w:rsid w:val="005B761C"/>
    <w:rsid w:val="005C005E"/>
    <w:rsid w:val="005C00FC"/>
    <w:rsid w:val="005C0128"/>
    <w:rsid w:val="005C012E"/>
    <w:rsid w:val="005C03A5"/>
    <w:rsid w:val="005C0DDA"/>
    <w:rsid w:val="005C0F51"/>
    <w:rsid w:val="005C1371"/>
    <w:rsid w:val="005C19E7"/>
    <w:rsid w:val="005C2364"/>
    <w:rsid w:val="005C36FC"/>
    <w:rsid w:val="005C379D"/>
    <w:rsid w:val="005C3D15"/>
    <w:rsid w:val="005C5884"/>
    <w:rsid w:val="005C60A3"/>
    <w:rsid w:val="005C659C"/>
    <w:rsid w:val="005C68A8"/>
    <w:rsid w:val="005C6DFC"/>
    <w:rsid w:val="005C6F87"/>
    <w:rsid w:val="005C7BBD"/>
    <w:rsid w:val="005C7F33"/>
    <w:rsid w:val="005D1B0B"/>
    <w:rsid w:val="005D3E4C"/>
    <w:rsid w:val="005D41B2"/>
    <w:rsid w:val="005D4E46"/>
    <w:rsid w:val="005D50A7"/>
    <w:rsid w:val="005D53A0"/>
    <w:rsid w:val="005D5439"/>
    <w:rsid w:val="005D5746"/>
    <w:rsid w:val="005D58A3"/>
    <w:rsid w:val="005D5D7C"/>
    <w:rsid w:val="005D5EC0"/>
    <w:rsid w:val="005D6049"/>
    <w:rsid w:val="005D723A"/>
    <w:rsid w:val="005D74EA"/>
    <w:rsid w:val="005D761E"/>
    <w:rsid w:val="005E02C5"/>
    <w:rsid w:val="005E0342"/>
    <w:rsid w:val="005E03F1"/>
    <w:rsid w:val="005E0A69"/>
    <w:rsid w:val="005E0D01"/>
    <w:rsid w:val="005E1EA6"/>
    <w:rsid w:val="005E2117"/>
    <w:rsid w:val="005E22DE"/>
    <w:rsid w:val="005E23EE"/>
    <w:rsid w:val="005E269D"/>
    <w:rsid w:val="005E2AE3"/>
    <w:rsid w:val="005E2F5F"/>
    <w:rsid w:val="005E3EDE"/>
    <w:rsid w:val="005E461A"/>
    <w:rsid w:val="005E4DCB"/>
    <w:rsid w:val="005E52A6"/>
    <w:rsid w:val="005E53D1"/>
    <w:rsid w:val="005E6146"/>
    <w:rsid w:val="005E64F5"/>
    <w:rsid w:val="005E6C3C"/>
    <w:rsid w:val="005E6F02"/>
    <w:rsid w:val="005E7720"/>
    <w:rsid w:val="005E792C"/>
    <w:rsid w:val="005E79E3"/>
    <w:rsid w:val="005E7DDB"/>
    <w:rsid w:val="005F0384"/>
    <w:rsid w:val="005F0E94"/>
    <w:rsid w:val="005F1549"/>
    <w:rsid w:val="005F1ABF"/>
    <w:rsid w:val="005F2B29"/>
    <w:rsid w:val="005F2D9F"/>
    <w:rsid w:val="005F37D0"/>
    <w:rsid w:val="005F3A84"/>
    <w:rsid w:val="005F450B"/>
    <w:rsid w:val="005F4892"/>
    <w:rsid w:val="005F520D"/>
    <w:rsid w:val="005F56FC"/>
    <w:rsid w:val="005F5C8D"/>
    <w:rsid w:val="005F5CF8"/>
    <w:rsid w:val="005F6205"/>
    <w:rsid w:val="005F6533"/>
    <w:rsid w:val="005F6B7D"/>
    <w:rsid w:val="005F6BB8"/>
    <w:rsid w:val="0060064A"/>
    <w:rsid w:val="00600CFA"/>
    <w:rsid w:val="00601396"/>
    <w:rsid w:val="00601936"/>
    <w:rsid w:val="00601AAE"/>
    <w:rsid w:val="00601BF1"/>
    <w:rsid w:val="006025CB"/>
    <w:rsid w:val="006027F0"/>
    <w:rsid w:val="00603072"/>
    <w:rsid w:val="00603E4F"/>
    <w:rsid w:val="00604726"/>
    <w:rsid w:val="00605381"/>
    <w:rsid w:val="00605CC1"/>
    <w:rsid w:val="006061D0"/>
    <w:rsid w:val="006062F1"/>
    <w:rsid w:val="00606ED2"/>
    <w:rsid w:val="006071D3"/>
    <w:rsid w:val="006079F5"/>
    <w:rsid w:val="00607D8E"/>
    <w:rsid w:val="006106BE"/>
    <w:rsid w:val="006114EB"/>
    <w:rsid w:val="00611740"/>
    <w:rsid w:val="00612126"/>
    <w:rsid w:val="006124EC"/>
    <w:rsid w:val="006129E5"/>
    <w:rsid w:val="00612F2B"/>
    <w:rsid w:val="006134C3"/>
    <w:rsid w:val="006147A6"/>
    <w:rsid w:val="006147D2"/>
    <w:rsid w:val="00614F06"/>
    <w:rsid w:val="00614F32"/>
    <w:rsid w:val="00615077"/>
    <w:rsid w:val="006150AB"/>
    <w:rsid w:val="0061568A"/>
    <w:rsid w:val="00615FE0"/>
    <w:rsid w:val="00617011"/>
    <w:rsid w:val="0061718D"/>
    <w:rsid w:val="00617260"/>
    <w:rsid w:val="00617415"/>
    <w:rsid w:val="006218BF"/>
    <w:rsid w:val="00622026"/>
    <w:rsid w:val="00622B31"/>
    <w:rsid w:val="00623535"/>
    <w:rsid w:val="006235E6"/>
    <w:rsid w:val="0062370D"/>
    <w:rsid w:val="006243D3"/>
    <w:rsid w:val="006244E4"/>
    <w:rsid w:val="0062478F"/>
    <w:rsid w:val="00624B57"/>
    <w:rsid w:val="006253DD"/>
    <w:rsid w:val="0062563C"/>
    <w:rsid w:val="00625D41"/>
    <w:rsid w:val="006267A2"/>
    <w:rsid w:val="006277D4"/>
    <w:rsid w:val="006306EA"/>
    <w:rsid w:val="00630F29"/>
    <w:rsid w:val="006314A6"/>
    <w:rsid w:val="0063153A"/>
    <w:rsid w:val="00631769"/>
    <w:rsid w:val="00631985"/>
    <w:rsid w:val="00631F30"/>
    <w:rsid w:val="00632414"/>
    <w:rsid w:val="0063258C"/>
    <w:rsid w:val="006325F0"/>
    <w:rsid w:val="00632AE3"/>
    <w:rsid w:val="00632B13"/>
    <w:rsid w:val="00633490"/>
    <w:rsid w:val="0063384C"/>
    <w:rsid w:val="006338C8"/>
    <w:rsid w:val="00633FA1"/>
    <w:rsid w:val="00635F55"/>
    <w:rsid w:val="00636488"/>
    <w:rsid w:val="00636903"/>
    <w:rsid w:val="006373F5"/>
    <w:rsid w:val="00637D2F"/>
    <w:rsid w:val="00637D4A"/>
    <w:rsid w:val="006400D4"/>
    <w:rsid w:val="00640444"/>
    <w:rsid w:val="0064080D"/>
    <w:rsid w:val="0064089D"/>
    <w:rsid w:val="006409B1"/>
    <w:rsid w:val="00640B77"/>
    <w:rsid w:val="00640BE0"/>
    <w:rsid w:val="00640F7E"/>
    <w:rsid w:val="006414E2"/>
    <w:rsid w:val="00642453"/>
    <w:rsid w:val="0064286E"/>
    <w:rsid w:val="00642AF6"/>
    <w:rsid w:val="00643CD5"/>
    <w:rsid w:val="00644D8A"/>
    <w:rsid w:val="00644EC7"/>
    <w:rsid w:val="00645037"/>
    <w:rsid w:val="006451B9"/>
    <w:rsid w:val="0064652E"/>
    <w:rsid w:val="00647F22"/>
    <w:rsid w:val="006504C4"/>
    <w:rsid w:val="00650A73"/>
    <w:rsid w:val="00651111"/>
    <w:rsid w:val="006512C7"/>
    <w:rsid w:val="00651419"/>
    <w:rsid w:val="006514C8"/>
    <w:rsid w:val="006517BE"/>
    <w:rsid w:val="00652293"/>
    <w:rsid w:val="00652627"/>
    <w:rsid w:val="00652C42"/>
    <w:rsid w:val="00652CCA"/>
    <w:rsid w:val="0065332E"/>
    <w:rsid w:val="00653518"/>
    <w:rsid w:val="00654913"/>
    <w:rsid w:val="00654B37"/>
    <w:rsid w:val="00654DDD"/>
    <w:rsid w:val="00654E8A"/>
    <w:rsid w:val="006557CD"/>
    <w:rsid w:val="0065637F"/>
    <w:rsid w:val="006567DC"/>
    <w:rsid w:val="006572D0"/>
    <w:rsid w:val="00657EE7"/>
    <w:rsid w:val="0066067B"/>
    <w:rsid w:val="0066109A"/>
    <w:rsid w:val="00661459"/>
    <w:rsid w:val="006624F4"/>
    <w:rsid w:val="00662A44"/>
    <w:rsid w:val="006631A5"/>
    <w:rsid w:val="00663D20"/>
    <w:rsid w:val="0066507B"/>
    <w:rsid w:val="006657E1"/>
    <w:rsid w:val="006667A9"/>
    <w:rsid w:val="00666824"/>
    <w:rsid w:val="00666AF5"/>
    <w:rsid w:val="00667133"/>
    <w:rsid w:val="00667DB9"/>
    <w:rsid w:val="006702AC"/>
    <w:rsid w:val="00670913"/>
    <w:rsid w:val="006715C8"/>
    <w:rsid w:val="006719BC"/>
    <w:rsid w:val="0067210C"/>
    <w:rsid w:val="00672AAC"/>
    <w:rsid w:val="00672BD0"/>
    <w:rsid w:val="0067336C"/>
    <w:rsid w:val="00673537"/>
    <w:rsid w:val="006741F4"/>
    <w:rsid w:val="0067443A"/>
    <w:rsid w:val="0067491D"/>
    <w:rsid w:val="00674D69"/>
    <w:rsid w:val="006754F4"/>
    <w:rsid w:val="00675513"/>
    <w:rsid w:val="006759AD"/>
    <w:rsid w:val="00676078"/>
    <w:rsid w:val="00676496"/>
    <w:rsid w:val="00676904"/>
    <w:rsid w:val="00676956"/>
    <w:rsid w:val="00677F0B"/>
    <w:rsid w:val="00680551"/>
    <w:rsid w:val="00680696"/>
    <w:rsid w:val="006806DD"/>
    <w:rsid w:val="00680DA3"/>
    <w:rsid w:val="006812FE"/>
    <w:rsid w:val="006815A5"/>
    <w:rsid w:val="0068230E"/>
    <w:rsid w:val="0068258A"/>
    <w:rsid w:val="00682632"/>
    <w:rsid w:val="00682FA9"/>
    <w:rsid w:val="00683F4A"/>
    <w:rsid w:val="00684999"/>
    <w:rsid w:val="00685309"/>
    <w:rsid w:val="00685BF6"/>
    <w:rsid w:val="00685C6C"/>
    <w:rsid w:val="00685D2F"/>
    <w:rsid w:val="00686589"/>
    <w:rsid w:val="00686AA5"/>
    <w:rsid w:val="00687BE4"/>
    <w:rsid w:val="00690F4E"/>
    <w:rsid w:val="006911F0"/>
    <w:rsid w:val="006917E3"/>
    <w:rsid w:val="00691A43"/>
    <w:rsid w:val="006923D5"/>
    <w:rsid w:val="00692CFB"/>
    <w:rsid w:val="00693649"/>
    <w:rsid w:val="00693F02"/>
    <w:rsid w:val="00694107"/>
    <w:rsid w:val="0069418A"/>
    <w:rsid w:val="00695715"/>
    <w:rsid w:val="00695964"/>
    <w:rsid w:val="00695991"/>
    <w:rsid w:val="006959A6"/>
    <w:rsid w:val="00696709"/>
    <w:rsid w:val="00696A90"/>
    <w:rsid w:val="00697165"/>
    <w:rsid w:val="0069747A"/>
    <w:rsid w:val="00697B7A"/>
    <w:rsid w:val="00697F74"/>
    <w:rsid w:val="006A07D6"/>
    <w:rsid w:val="006A0F19"/>
    <w:rsid w:val="006A1A83"/>
    <w:rsid w:val="006A26CA"/>
    <w:rsid w:val="006A355B"/>
    <w:rsid w:val="006A3EEA"/>
    <w:rsid w:val="006A3F2A"/>
    <w:rsid w:val="006A4891"/>
    <w:rsid w:val="006A4C01"/>
    <w:rsid w:val="006A4EEF"/>
    <w:rsid w:val="006A54EF"/>
    <w:rsid w:val="006A5636"/>
    <w:rsid w:val="006A5F90"/>
    <w:rsid w:val="006A68A8"/>
    <w:rsid w:val="006A6903"/>
    <w:rsid w:val="006A6A04"/>
    <w:rsid w:val="006A6F33"/>
    <w:rsid w:val="006A6F69"/>
    <w:rsid w:val="006A77DF"/>
    <w:rsid w:val="006B10C6"/>
    <w:rsid w:val="006B18DF"/>
    <w:rsid w:val="006B1D66"/>
    <w:rsid w:val="006B233B"/>
    <w:rsid w:val="006B2557"/>
    <w:rsid w:val="006B2616"/>
    <w:rsid w:val="006B280B"/>
    <w:rsid w:val="006B2A5C"/>
    <w:rsid w:val="006B3FD7"/>
    <w:rsid w:val="006B4B26"/>
    <w:rsid w:val="006B5065"/>
    <w:rsid w:val="006B7557"/>
    <w:rsid w:val="006C01ED"/>
    <w:rsid w:val="006C0856"/>
    <w:rsid w:val="006C0DE8"/>
    <w:rsid w:val="006C12ED"/>
    <w:rsid w:val="006C1EAC"/>
    <w:rsid w:val="006C2950"/>
    <w:rsid w:val="006C2D0A"/>
    <w:rsid w:val="006C2DBC"/>
    <w:rsid w:val="006C3302"/>
    <w:rsid w:val="006C3433"/>
    <w:rsid w:val="006C35EF"/>
    <w:rsid w:val="006C505A"/>
    <w:rsid w:val="006C5FA6"/>
    <w:rsid w:val="006C7B7A"/>
    <w:rsid w:val="006D00EF"/>
    <w:rsid w:val="006D01FA"/>
    <w:rsid w:val="006D208A"/>
    <w:rsid w:val="006D220B"/>
    <w:rsid w:val="006D3005"/>
    <w:rsid w:val="006D3193"/>
    <w:rsid w:val="006D32B7"/>
    <w:rsid w:val="006D3964"/>
    <w:rsid w:val="006D39C1"/>
    <w:rsid w:val="006D3ADF"/>
    <w:rsid w:val="006D3F92"/>
    <w:rsid w:val="006D3FEB"/>
    <w:rsid w:val="006D420C"/>
    <w:rsid w:val="006D4581"/>
    <w:rsid w:val="006D6B94"/>
    <w:rsid w:val="006D71FE"/>
    <w:rsid w:val="006D7314"/>
    <w:rsid w:val="006D7A76"/>
    <w:rsid w:val="006D7D7D"/>
    <w:rsid w:val="006E0329"/>
    <w:rsid w:val="006E050D"/>
    <w:rsid w:val="006E1257"/>
    <w:rsid w:val="006E2109"/>
    <w:rsid w:val="006E248A"/>
    <w:rsid w:val="006E24D6"/>
    <w:rsid w:val="006E3DE4"/>
    <w:rsid w:val="006E4300"/>
    <w:rsid w:val="006E4F19"/>
    <w:rsid w:val="006E571B"/>
    <w:rsid w:val="006E583F"/>
    <w:rsid w:val="006E5A5B"/>
    <w:rsid w:val="006E5F7D"/>
    <w:rsid w:val="006E6B65"/>
    <w:rsid w:val="006E6C70"/>
    <w:rsid w:val="006E6F2E"/>
    <w:rsid w:val="006E7399"/>
    <w:rsid w:val="006E7421"/>
    <w:rsid w:val="006E7C62"/>
    <w:rsid w:val="006F04B9"/>
    <w:rsid w:val="006F054C"/>
    <w:rsid w:val="006F06D8"/>
    <w:rsid w:val="006F0795"/>
    <w:rsid w:val="006F0EFB"/>
    <w:rsid w:val="006F1E8D"/>
    <w:rsid w:val="006F26D5"/>
    <w:rsid w:val="006F2E82"/>
    <w:rsid w:val="006F406F"/>
    <w:rsid w:val="006F5419"/>
    <w:rsid w:val="006F56AA"/>
    <w:rsid w:val="006F5D25"/>
    <w:rsid w:val="006F6477"/>
    <w:rsid w:val="006F6516"/>
    <w:rsid w:val="006F68F0"/>
    <w:rsid w:val="006F79B5"/>
    <w:rsid w:val="006F79DF"/>
    <w:rsid w:val="007007E0"/>
    <w:rsid w:val="007009DC"/>
    <w:rsid w:val="00700B38"/>
    <w:rsid w:val="00700EB7"/>
    <w:rsid w:val="00700F50"/>
    <w:rsid w:val="00701000"/>
    <w:rsid w:val="0070140A"/>
    <w:rsid w:val="007015E1"/>
    <w:rsid w:val="00701A74"/>
    <w:rsid w:val="00701BD2"/>
    <w:rsid w:val="00701DAC"/>
    <w:rsid w:val="00701F39"/>
    <w:rsid w:val="00703551"/>
    <w:rsid w:val="0070370C"/>
    <w:rsid w:val="007039D0"/>
    <w:rsid w:val="00703C05"/>
    <w:rsid w:val="00703EBB"/>
    <w:rsid w:val="00704D77"/>
    <w:rsid w:val="00704FED"/>
    <w:rsid w:val="00705392"/>
    <w:rsid w:val="007055A1"/>
    <w:rsid w:val="00705B14"/>
    <w:rsid w:val="007062CD"/>
    <w:rsid w:val="007065AD"/>
    <w:rsid w:val="007066D1"/>
    <w:rsid w:val="00706A7A"/>
    <w:rsid w:val="00706D43"/>
    <w:rsid w:val="007072BC"/>
    <w:rsid w:val="007072E5"/>
    <w:rsid w:val="00710044"/>
    <w:rsid w:val="00710060"/>
    <w:rsid w:val="00710FBF"/>
    <w:rsid w:val="00711A52"/>
    <w:rsid w:val="00711DF0"/>
    <w:rsid w:val="00711E62"/>
    <w:rsid w:val="0071222F"/>
    <w:rsid w:val="00712F8B"/>
    <w:rsid w:val="00713714"/>
    <w:rsid w:val="00713AA1"/>
    <w:rsid w:val="00713BF0"/>
    <w:rsid w:val="00713F8D"/>
    <w:rsid w:val="00714F19"/>
    <w:rsid w:val="00714FB3"/>
    <w:rsid w:val="00715153"/>
    <w:rsid w:val="00715634"/>
    <w:rsid w:val="00715A73"/>
    <w:rsid w:val="00716185"/>
    <w:rsid w:val="00716334"/>
    <w:rsid w:val="007172A8"/>
    <w:rsid w:val="00717932"/>
    <w:rsid w:val="00717B5D"/>
    <w:rsid w:val="0072055F"/>
    <w:rsid w:val="00720F17"/>
    <w:rsid w:val="00720F95"/>
    <w:rsid w:val="00721D94"/>
    <w:rsid w:val="007221F4"/>
    <w:rsid w:val="007221FF"/>
    <w:rsid w:val="00722301"/>
    <w:rsid w:val="007225CB"/>
    <w:rsid w:val="00722C87"/>
    <w:rsid w:val="00722E38"/>
    <w:rsid w:val="00724D0D"/>
    <w:rsid w:val="00724D35"/>
    <w:rsid w:val="00724E07"/>
    <w:rsid w:val="007262AF"/>
    <w:rsid w:val="007263D1"/>
    <w:rsid w:val="007265B3"/>
    <w:rsid w:val="00726CCB"/>
    <w:rsid w:val="00727202"/>
    <w:rsid w:val="00727C6C"/>
    <w:rsid w:val="00727CB3"/>
    <w:rsid w:val="007302DC"/>
    <w:rsid w:val="007303CD"/>
    <w:rsid w:val="007316BA"/>
    <w:rsid w:val="007319E3"/>
    <w:rsid w:val="00731B92"/>
    <w:rsid w:val="00732044"/>
    <w:rsid w:val="00732DFF"/>
    <w:rsid w:val="0073323C"/>
    <w:rsid w:val="00733853"/>
    <w:rsid w:val="00733C4E"/>
    <w:rsid w:val="00734784"/>
    <w:rsid w:val="007358C4"/>
    <w:rsid w:val="00735919"/>
    <w:rsid w:val="00735D24"/>
    <w:rsid w:val="007364DF"/>
    <w:rsid w:val="007368C8"/>
    <w:rsid w:val="007400E1"/>
    <w:rsid w:val="0074059A"/>
    <w:rsid w:val="0074074F"/>
    <w:rsid w:val="00740908"/>
    <w:rsid w:val="00740965"/>
    <w:rsid w:val="00740AE2"/>
    <w:rsid w:val="007415FF"/>
    <w:rsid w:val="00741F54"/>
    <w:rsid w:val="00742013"/>
    <w:rsid w:val="00742645"/>
    <w:rsid w:val="007427BD"/>
    <w:rsid w:val="00742D37"/>
    <w:rsid w:val="00743296"/>
    <w:rsid w:val="00743680"/>
    <w:rsid w:val="00743A99"/>
    <w:rsid w:val="00743C34"/>
    <w:rsid w:val="00744033"/>
    <w:rsid w:val="00744745"/>
    <w:rsid w:val="007448A9"/>
    <w:rsid w:val="00744B8F"/>
    <w:rsid w:val="00745C65"/>
    <w:rsid w:val="00745D04"/>
    <w:rsid w:val="007461C0"/>
    <w:rsid w:val="00747A11"/>
    <w:rsid w:val="00747BD6"/>
    <w:rsid w:val="00747E6E"/>
    <w:rsid w:val="00747F44"/>
    <w:rsid w:val="007506D7"/>
    <w:rsid w:val="00750A2F"/>
    <w:rsid w:val="00751FA8"/>
    <w:rsid w:val="007526BD"/>
    <w:rsid w:val="007527CC"/>
    <w:rsid w:val="00752B74"/>
    <w:rsid w:val="00752CFE"/>
    <w:rsid w:val="00753164"/>
    <w:rsid w:val="00753273"/>
    <w:rsid w:val="00753AB8"/>
    <w:rsid w:val="00753BFB"/>
    <w:rsid w:val="00753EED"/>
    <w:rsid w:val="00754245"/>
    <w:rsid w:val="00754C4A"/>
    <w:rsid w:val="00754FBB"/>
    <w:rsid w:val="0075516B"/>
    <w:rsid w:val="007553AA"/>
    <w:rsid w:val="007553D8"/>
    <w:rsid w:val="00755490"/>
    <w:rsid w:val="00755803"/>
    <w:rsid w:val="00755C3E"/>
    <w:rsid w:val="007565F0"/>
    <w:rsid w:val="00756734"/>
    <w:rsid w:val="00756B96"/>
    <w:rsid w:val="00760165"/>
    <w:rsid w:val="00761969"/>
    <w:rsid w:val="00761BEF"/>
    <w:rsid w:val="007625E6"/>
    <w:rsid w:val="00762772"/>
    <w:rsid w:val="00762994"/>
    <w:rsid w:val="00762BFF"/>
    <w:rsid w:val="007633D5"/>
    <w:rsid w:val="00764066"/>
    <w:rsid w:val="0076420D"/>
    <w:rsid w:val="007643E1"/>
    <w:rsid w:val="007646F5"/>
    <w:rsid w:val="00765275"/>
    <w:rsid w:val="00765277"/>
    <w:rsid w:val="007653C0"/>
    <w:rsid w:val="00765891"/>
    <w:rsid w:val="00765A7C"/>
    <w:rsid w:val="00765CFA"/>
    <w:rsid w:val="00765E94"/>
    <w:rsid w:val="00766281"/>
    <w:rsid w:val="00766570"/>
    <w:rsid w:val="007672E6"/>
    <w:rsid w:val="007674FB"/>
    <w:rsid w:val="0076790E"/>
    <w:rsid w:val="007700D1"/>
    <w:rsid w:val="00770716"/>
    <w:rsid w:val="0077095E"/>
    <w:rsid w:val="007712AC"/>
    <w:rsid w:val="0077179A"/>
    <w:rsid w:val="00771A25"/>
    <w:rsid w:val="00771D5D"/>
    <w:rsid w:val="0077242E"/>
    <w:rsid w:val="00772EED"/>
    <w:rsid w:val="007735AC"/>
    <w:rsid w:val="00773F25"/>
    <w:rsid w:val="00775216"/>
    <w:rsid w:val="00775DB1"/>
    <w:rsid w:val="007767FF"/>
    <w:rsid w:val="00776B79"/>
    <w:rsid w:val="0077754B"/>
    <w:rsid w:val="007777C9"/>
    <w:rsid w:val="00777881"/>
    <w:rsid w:val="00777953"/>
    <w:rsid w:val="00777B68"/>
    <w:rsid w:val="0078039D"/>
    <w:rsid w:val="00781330"/>
    <w:rsid w:val="00781680"/>
    <w:rsid w:val="007816FB"/>
    <w:rsid w:val="00782309"/>
    <w:rsid w:val="00782636"/>
    <w:rsid w:val="00782639"/>
    <w:rsid w:val="00782A72"/>
    <w:rsid w:val="00783924"/>
    <w:rsid w:val="00783FFA"/>
    <w:rsid w:val="007840C9"/>
    <w:rsid w:val="0078425A"/>
    <w:rsid w:val="00784E87"/>
    <w:rsid w:val="007850A5"/>
    <w:rsid w:val="0078619C"/>
    <w:rsid w:val="0078623E"/>
    <w:rsid w:val="007876DC"/>
    <w:rsid w:val="00787844"/>
    <w:rsid w:val="00787F97"/>
    <w:rsid w:val="00790D62"/>
    <w:rsid w:val="00790EE1"/>
    <w:rsid w:val="00790F10"/>
    <w:rsid w:val="007925C4"/>
    <w:rsid w:val="00792AB3"/>
    <w:rsid w:val="007938D9"/>
    <w:rsid w:val="00794641"/>
    <w:rsid w:val="00794BF0"/>
    <w:rsid w:val="007950E9"/>
    <w:rsid w:val="00795702"/>
    <w:rsid w:val="0079572D"/>
    <w:rsid w:val="00795A66"/>
    <w:rsid w:val="00795E49"/>
    <w:rsid w:val="0079643D"/>
    <w:rsid w:val="00797BF8"/>
    <w:rsid w:val="00797E39"/>
    <w:rsid w:val="007A08DD"/>
    <w:rsid w:val="007A134C"/>
    <w:rsid w:val="007A15D2"/>
    <w:rsid w:val="007A1662"/>
    <w:rsid w:val="007A1B70"/>
    <w:rsid w:val="007A42E2"/>
    <w:rsid w:val="007A511E"/>
    <w:rsid w:val="007A5371"/>
    <w:rsid w:val="007A5B53"/>
    <w:rsid w:val="007A5F3C"/>
    <w:rsid w:val="007A60AB"/>
    <w:rsid w:val="007A64AD"/>
    <w:rsid w:val="007A67C1"/>
    <w:rsid w:val="007B01F0"/>
    <w:rsid w:val="007B0FD5"/>
    <w:rsid w:val="007B1272"/>
    <w:rsid w:val="007B17AB"/>
    <w:rsid w:val="007B1A32"/>
    <w:rsid w:val="007B1E9E"/>
    <w:rsid w:val="007B2F39"/>
    <w:rsid w:val="007B3042"/>
    <w:rsid w:val="007B3489"/>
    <w:rsid w:val="007B3D7B"/>
    <w:rsid w:val="007B45EB"/>
    <w:rsid w:val="007B4C71"/>
    <w:rsid w:val="007B4EED"/>
    <w:rsid w:val="007B52E7"/>
    <w:rsid w:val="007B5609"/>
    <w:rsid w:val="007B5A46"/>
    <w:rsid w:val="007B5F76"/>
    <w:rsid w:val="007B6BAD"/>
    <w:rsid w:val="007B79B1"/>
    <w:rsid w:val="007C0961"/>
    <w:rsid w:val="007C1E61"/>
    <w:rsid w:val="007C1F33"/>
    <w:rsid w:val="007C2608"/>
    <w:rsid w:val="007C2FBF"/>
    <w:rsid w:val="007C3130"/>
    <w:rsid w:val="007C3344"/>
    <w:rsid w:val="007C37A4"/>
    <w:rsid w:val="007C3EA7"/>
    <w:rsid w:val="007C4019"/>
    <w:rsid w:val="007C4868"/>
    <w:rsid w:val="007C4ACF"/>
    <w:rsid w:val="007C52CB"/>
    <w:rsid w:val="007C597E"/>
    <w:rsid w:val="007C6331"/>
    <w:rsid w:val="007C69DB"/>
    <w:rsid w:val="007C6F31"/>
    <w:rsid w:val="007C755D"/>
    <w:rsid w:val="007D022D"/>
    <w:rsid w:val="007D023E"/>
    <w:rsid w:val="007D0F57"/>
    <w:rsid w:val="007D177D"/>
    <w:rsid w:val="007D1FDC"/>
    <w:rsid w:val="007D25FE"/>
    <w:rsid w:val="007D2BCC"/>
    <w:rsid w:val="007D2DF7"/>
    <w:rsid w:val="007D30F6"/>
    <w:rsid w:val="007D3D53"/>
    <w:rsid w:val="007D3E27"/>
    <w:rsid w:val="007D3F9C"/>
    <w:rsid w:val="007D414D"/>
    <w:rsid w:val="007D45BB"/>
    <w:rsid w:val="007D5013"/>
    <w:rsid w:val="007D5264"/>
    <w:rsid w:val="007D5893"/>
    <w:rsid w:val="007D58EA"/>
    <w:rsid w:val="007D5B46"/>
    <w:rsid w:val="007D6636"/>
    <w:rsid w:val="007D66DD"/>
    <w:rsid w:val="007D6EF9"/>
    <w:rsid w:val="007D7907"/>
    <w:rsid w:val="007D7ADD"/>
    <w:rsid w:val="007E072F"/>
    <w:rsid w:val="007E07B3"/>
    <w:rsid w:val="007E08BC"/>
    <w:rsid w:val="007E0D0F"/>
    <w:rsid w:val="007E0F81"/>
    <w:rsid w:val="007E1093"/>
    <w:rsid w:val="007E10F5"/>
    <w:rsid w:val="007E1347"/>
    <w:rsid w:val="007E16A4"/>
    <w:rsid w:val="007E2598"/>
    <w:rsid w:val="007E2794"/>
    <w:rsid w:val="007E2D9B"/>
    <w:rsid w:val="007E2E81"/>
    <w:rsid w:val="007E4289"/>
    <w:rsid w:val="007E447F"/>
    <w:rsid w:val="007E4A8F"/>
    <w:rsid w:val="007E5288"/>
    <w:rsid w:val="007E5346"/>
    <w:rsid w:val="007E562F"/>
    <w:rsid w:val="007E5664"/>
    <w:rsid w:val="007E589A"/>
    <w:rsid w:val="007E6506"/>
    <w:rsid w:val="007E672A"/>
    <w:rsid w:val="007E6878"/>
    <w:rsid w:val="007E704E"/>
    <w:rsid w:val="007E76BE"/>
    <w:rsid w:val="007E7E71"/>
    <w:rsid w:val="007F03A8"/>
    <w:rsid w:val="007F06BB"/>
    <w:rsid w:val="007F07C5"/>
    <w:rsid w:val="007F0FB7"/>
    <w:rsid w:val="007F1872"/>
    <w:rsid w:val="007F2A37"/>
    <w:rsid w:val="007F301B"/>
    <w:rsid w:val="007F32F2"/>
    <w:rsid w:val="007F34CF"/>
    <w:rsid w:val="007F3F8E"/>
    <w:rsid w:val="007F417C"/>
    <w:rsid w:val="007F4AD2"/>
    <w:rsid w:val="007F4B95"/>
    <w:rsid w:val="007F6564"/>
    <w:rsid w:val="007F6886"/>
    <w:rsid w:val="007F69AB"/>
    <w:rsid w:val="007F6A94"/>
    <w:rsid w:val="007F6EF2"/>
    <w:rsid w:val="00800145"/>
    <w:rsid w:val="00800BC3"/>
    <w:rsid w:val="008017D1"/>
    <w:rsid w:val="00802B13"/>
    <w:rsid w:val="0080341C"/>
    <w:rsid w:val="00804615"/>
    <w:rsid w:val="00804D3F"/>
    <w:rsid w:val="00805C68"/>
    <w:rsid w:val="008061E0"/>
    <w:rsid w:val="00806351"/>
    <w:rsid w:val="00806672"/>
    <w:rsid w:val="008069D1"/>
    <w:rsid w:val="00807DD1"/>
    <w:rsid w:val="008111B2"/>
    <w:rsid w:val="00811FC6"/>
    <w:rsid w:val="00812565"/>
    <w:rsid w:val="00813A46"/>
    <w:rsid w:val="00813B39"/>
    <w:rsid w:val="00814455"/>
    <w:rsid w:val="00814AE4"/>
    <w:rsid w:val="00815032"/>
    <w:rsid w:val="00816808"/>
    <w:rsid w:val="00816C3E"/>
    <w:rsid w:val="008177BA"/>
    <w:rsid w:val="00820351"/>
    <w:rsid w:val="008208CE"/>
    <w:rsid w:val="00820A9A"/>
    <w:rsid w:val="00820CD0"/>
    <w:rsid w:val="0082116A"/>
    <w:rsid w:val="008219BF"/>
    <w:rsid w:val="00821B5C"/>
    <w:rsid w:val="00822504"/>
    <w:rsid w:val="00822706"/>
    <w:rsid w:val="00822F19"/>
    <w:rsid w:val="00824F2C"/>
    <w:rsid w:val="0082500E"/>
    <w:rsid w:val="00825597"/>
    <w:rsid w:val="008256C3"/>
    <w:rsid w:val="00826FAC"/>
    <w:rsid w:val="00827C7B"/>
    <w:rsid w:val="00830021"/>
    <w:rsid w:val="00830293"/>
    <w:rsid w:val="008313E8"/>
    <w:rsid w:val="008322C2"/>
    <w:rsid w:val="0083250E"/>
    <w:rsid w:val="0083296B"/>
    <w:rsid w:val="00832ACA"/>
    <w:rsid w:val="00832EC9"/>
    <w:rsid w:val="008335AE"/>
    <w:rsid w:val="00833779"/>
    <w:rsid w:val="0083384F"/>
    <w:rsid w:val="00833AF4"/>
    <w:rsid w:val="00834759"/>
    <w:rsid w:val="00834950"/>
    <w:rsid w:val="00834B2C"/>
    <w:rsid w:val="00834C82"/>
    <w:rsid w:val="00834D81"/>
    <w:rsid w:val="00835216"/>
    <w:rsid w:val="0083572C"/>
    <w:rsid w:val="00835783"/>
    <w:rsid w:val="00835BB1"/>
    <w:rsid w:val="00835BEE"/>
    <w:rsid w:val="0083625E"/>
    <w:rsid w:val="008368EB"/>
    <w:rsid w:val="008369AE"/>
    <w:rsid w:val="00837574"/>
    <w:rsid w:val="00837753"/>
    <w:rsid w:val="0083788F"/>
    <w:rsid w:val="00837AF4"/>
    <w:rsid w:val="0084015C"/>
    <w:rsid w:val="008402B2"/>
    <w:rsid w:val="00840C1B"/>
    <w:rsid w:val="00840C76"/>
    <w:rsid w:val="0084177B"/>
    <w:rsid w:val="00841D62"/>
    <w:rsid w:val="00841E74"/>
    <w:rsid w:val="008425D4"/>
    <w:rsid w:val="00842E80"/>
    <w:rsid w:val="00843D4D"/>
    <w:rsid w:val="00844158"/>
    <w:rsid w:val="008450A8"/>
    <w:rsid w:val="00845FA1"/>
    <w:rsid w:val="00847161"/>
    <w:rsid w:val="0084780B"/>
    <w:rsid w:val="00847ABD"/>
    <w:rsid w:val="00847C9D"/>
    <w:rsid w:val="00850A88"/>
    <w:rsid w:val="00850E8A"/>
    <w:rsid w:val="0085127D"/>
    <w:rsid w:val="008516D1"/>
    <w:rsid w:val="00851AFC"/>
    <w:rsid w:val="00851D87"/>
    <w:rsid w:val="00852A7F"/>
    <w:rsid w:val="00852A89"/>
    <w:rsid w:val="008531DE"/>
    <w:rsid w:val="008534C6"/>
    <w:rsid w:val="00853E5C"/>
    <w:rsid w:val="0085496E"/>
    <w:rsid w:val="00855072"/>
    <w:rsid w:val="008551E0"/>
    <w:rsid w:val="00855F9F"/>
    <w:rsid w:val="008561DD"/>
    <w:rsid w:val="00856241"/>
    <w:rsid w:val="00856798"/>
    <w:rsid w:val="008567BD"/>
    <w:rsid w:val="00857B87"/>
    <w:rsid w:val="00857F62"/>
    <w:rsid w:val="0086045B"/>
    <w:rsid w:val="008604E9"/>
    <w:rsid w:val="008605E4"/>
    <w:rsid w:val="00862091"/>
    <w:rsid w:val="00862CEA"/>
    <w:rsid w:val="00863106"/>
    <w:rsid w:val="008637D6"/>
    <w:rsid w:val="008639A5"/>
    <w:rsid w:val="00863F71"/>
    <w:rsid w:val="008641D8"/>
    <w:rsid w:val="00864CA8"/>
    <w:rsid w:val="008657B0"/>
    <w:rsid w:val="00865886"/>
    <w:rsid w:val="00865A22"/>
    <w:rsid w:val="008672E9"/>
    <w:rsid w:val="008677EB"/>
    <w:rsid w:val="00867E38"/>
    <w:rsid w:val="0087000B"/>
    <w:rsid w:val="00870112"/>
    <w:rsid w:val="0087044E"/>
    <w:rsid w:val="00870A48"/>
    <w:rsid w:val="008711D1"/>
    <w:rsid w:val="00871771"/>
    <w:rsid w:val="00871AE1"/>
    <w:rsid w:val="00871D75"/>
    <w:rsid w:val="00871FE8"/>
    <w:rsid w:val="00872C4C"/>
    <w:rsid w:val="00872F3E"/>
    <w:rsid w:val="008742AE"/>
    <w:rsid w:val="008743E5"/>
    <w:rsid w:val="00874D51"/>
    <w:rsid w:val="008750DF"/>
    <w:rsid w:val="00875A4F"/>
    <w:rsid w:val="00875C9C"/>
    <w:rsid w:val="00876F92"/>
    <w:rsid w:val="0087738A"/>
    <w:rsid w:val="00877402"/>
    <w:rsid w:val="0087780E"/>
    <w:rsid w:val="008778BA"/>
    <w:rsid w:val="00877AA3"/>
    <w:rsid w:val="00877E9A"/>
    <w:rsid w:val="00880412"/>
    <w:rsid w:val="00880EE6"/>
    <w:rsid w:val="008819CD"/>
    <w:rsid w:val="00881C57"/>
    <w:rsid w:val="00881E2A"/>
    <w:rsid w:val="00881E98"/>
    <w:rsid w:val="00881EE9"/>
    <w:rsid w:val="008836F9"/>
    <w:rsid w:val="008845D9"/>
    <w:rsid w:val="00884B50"/>
    <w:rsid w:val="008853C3"/>
    <w:rsid w:val="008853F2"/>
    <w:rsid w:val="0088658E"/>
    <w:rsid w:val="00886F13"/>
    <w:rsid w:val="00886F43"/>
    <w:rsid w:val="008874D7"/>
    <w:rsid w:val="00887904"/>
    <w:rsid w:val="00887D82"/>
    <w:rsid w:val="008909E2"/>
    <w:rsid w:val="00892073"/>
    <w:rsid w:val="00892772"/>
    <w:rsid w:val="00892816"/>
    <w:rsid w:val="008933D2"/>
    <w:rsid w:val="008944D0"/>
    <w:rsid w:val="00894E4E"/>
    <w:rsid w:val="00895459"/>
    <w:rsid w:val="008955AF"/>
    <w:rsid w:val="00895A1F"/>
    <w:rsid w:val="008977F5"/>
    <w:rsid w:val="008A055A"/>
    <w:rsid w:val="008A0573"/>
    <w:rsid w:val="008A06AB"/>
    <w:rsid w:val="008A07AD"/>
    <w:rsid w:val="008A0EFE"/>
    <w:rsid w:val="008A177D"/>
    <w:rsid w:val="008A1DF8"/>
    <w:rsid w:val="008A1E23"/>
    <w:rsid w:val="008A2124"/>
    <w:rsid w:val="008A2846"/>
    <w:rsid w:val="008A2B23"/>
    <w:rsid w:val="008A2EE9"/>
    <w:rsid w:val="008A2F71"/>
    <w:rsid w:val="008A3181"/>
    <w:rsid w:val="008A3DAE"/>
    <w:rsid w:val="008A40AD"/>
    <w:rsid w:val="008A4964"/>
    <w:rsid w:val="008A5303"/>
    <w:rsid w:val="008A5461"/>
    <w:rsid w:val="008A56BD"/>
    <w:rsid w:val="008A6067"/>
    <w:rsid w:val="008A688B"/>
    <w:rsid w:val="008A7A19"/>
    <w:rsid w:val="008B0720"/>
    <w:rsid w:val="008B28C2"/>
    <w:rsid w:val="008B2C04"/>
    <w:rsid w:val="008B2D66"/>
    <w:rsid w:val="008B2E3D"/>
    <w:rsid w:val="008B33BD"/>
    <w:rsid w:val="008B33F4"/>
    <w:rsid w:val="008B35D3"/>
    <w:rsid w:val="008B39F0"/>
    <w:rsid w:val="008B39F6"/>
    <w:rsid w:val="008B48F7"/>
    <w:rsid w:val="008B4A90"/>
    <w:rsid w:val="008B5189"/>
    <w:rsid w:val="008B540F"/>
    <w:rsid w:val="008B565B"/>
    <w:rsid w:val="008B59E2"/>
    <w:rsid w:val="008B5AEE"/>
    <w:rsid w:val="008B5F30"/>
    <w:rsid w:val="008B6228"/>
    <w:rsid w:val="008B6AF4"/>
    <w:rsid w:val="008B6EF1"/>
    <w:rsid w:val="008B716C"/>
    <w:rsid w:val="008C01B4"/>
    <w:rsid w:val="008C0342"/>
    <w:rsid w:val="008C0B03"/>
    <w:rsid w:val="008C1782"/>
    <w:rsid w:val="008C19E0"/>
    <w:rsid w:val="008C20A1"/>
    <w:rsid w:val="008C238B"/>
    <w:rsid w:val="008C2770"/>
    <w:rsid w:val="008C2B12"/>
    <w:rsid w:val="008C32E1"/>
    <w:rsid w:val="008C3B94"/>
    <w:rsid w:val="008C4218"/>
    <w:rsid w:val="008C4E01"/>
    <w:rsid w:val="008C4E39"/>
    <w:rsid w:val="008C54E6"/>
    <w:rsid w:val="008C566E"/>
    <w:rsid w:val="008C6307"/>
    <w:rsid w:val="008C6340"/>
    <w:rsid w:val="008C648E"/>
    <w:rsid w:val="008C6563"/>
    <w:rsid w:val="008C6628"/>
    <w:rsid w:val="008C6D50"/>
    <w:rsid w:val="008C709F"/>
    <w:rsid w:val="008C75E4"/>
    <w:rsid w:val="008C77F8"/>
    <w:rsid w:val="008C7883"/>
    <w:rsid w:val="008D0122"/>
    <w:rsid w:val="008D039B"/>
    <w:rsid w:val="008D0FC9"/>
    <w:rsid w:val="008D0FD6"/>
    <w:rsid w:val="008D13A1"/>
    <w:rsid w:val="008D1441"/>
    <w:rsid w:val="008D197B"/>
    <w:rsid w:val="008D1BBF"/>
    <w:rsid w:val="008D1C30"/>
    <w:rsid w:val="008D1CAF"/>
    <w:rsid w:val="008D25FE"/>
    <w:rsid w:val="008D286F"/>
    <w:rsid w:val="008D2C6D"/>
    <w:rsid w:val="008D2E4E"/>
    <w:rsid w:val="008D302A"/>
    <w:rsid w:val="008D327E"/>
    <w:rsid w:val="008D32C8"/>
    <w:rsid w:val="008D3572"/>
    <w:rsid w:val="008D3AC1"/>
    <w:rsid w:val="008D3BFE"/>
    <w:rsid w:val="008D3CFF"/>
    <w:rsid w:val="008D3D40"/>
    <w:rsid w:val="008D3F08"/>
    <w:rsid w:val="008D444E"/>
    <w:rsid w:val="008D53A3"/>
    <w:rsid w:val="008D56CD"/>
    <w:rsid w:val="008D5DDB"/>
    <w:rsid w:val="008D7897"/>
    <w:rsid w:val="008E11D9"/>
    <w:rsid w:val="008E1266"/>
    <w:rsid w:val="008E1522"/>
    <w:rsid w:val="008E192D"/>
    <w:rsid w:val="008E1932"/>
    <w:rsid w:val="008E1AF9"/>
    <w:rsid w:val="008E1DBF"/>
    <w:rsid w:val="008E209A"/>
    <w:rsid w:val="008E2296"/>
    <w:rsid w:val="008E2370"/>
    <w:rsid w:val="008E2558"/>
    <w:rsid w:val="008E2668"/>
    <w:rsid w:val="008E28FA"/>
    <w:rsid w:val="008E2B7A"/>
    <w:rsid w:val="008E3009"/>
    <w:rsid w:val="008E31C3"/>
    <w:rsid w:val="008E3319"/>
    <w:rsid w:val="008E3C0C"/>
    <w:rsid w:val="008E44EF"/>
    <w:rsid w:val="008E4589"/>
    <w:rsid w:val="008E4A27"/>
    <w:rsid w:val="008E4AFB"/>
    <w:rsid w:val="008E534E"/>
    <w:rsid w:val="008E63B8"/>
    <w:rsid w:val="008E66C1"/>
    <w:rsid w:val="008E7B9E"/>
    <w:rsid w:val="008F07C4"/>
    <w:rsid w:val="008F0EBF"/>
    <w:rsid w:val="008F1534"/>
    <w:rsid w:val="008F16ED"/>
    <w:rsid w:val="008F2528"/>
    <w:rsid w:val="008F3037"/>
    <w:rsid w:val="008F33AE"/>
    <w:rsid w:val="008F367C"/>
    <w:rsid w:val="008F39CE"/>
    <w:rsid w:val="008F3CE7"/>
    <w:rsid w:val="008F3ED0"/>
    <w:rsid w:val="008F787B"/>
    <w:rsid w:val="008F7ED8"/>
    <w:rsid w:val="00900141"/>
    <w:rsid w:val="009002FE"/>
    <w:rsid w:val="009015F3"/>
    <w:rsid w:val="009023C8"/>
    <w:rsid w:val="00902B65"/>
    <w:rsid w:val="00903A42"/>
    <w:rsid w:val="00903BF3"/>
    <w:rsid w:val="00904C64"/>
    <w:rsid w:val="009052A9"/>
    <w:rsid w:val="00905827"/>
    <w:rsid w:val="0090592B"/>
    <w:rsid w:val="00905C24"/>
    <w:rsid w:val="009060F4"/>
    <w:rsid w:val="00906775"/>
    <w:rsid w:val="009106CD"/>
    <w:rsid w:val="00911444"/>
    <w:rsid w:val="0091147E"/>
    <w:rsid w:val="0091161A"/>
    <w:rsid w:val="00911B18"/>
    <w:rsid w:val="00911B90"/>
    <w:rsid w:val="00912224"/>
    <w:rsid w:val="009123DB"/>
    <w:rsid w:val="00913B8B"/>
    <w:rsid w:val="00914934"/>
    <w:rsid w:val="00914EC6"/>
    <w:rsid w:val="00914FE3"/>
    <w:rsid w:val="00915046"/>
    <w:rsid w:val="0091525F"/>
    <w:rsid w:val="00915C64"/>
    <w:rsid w:val="00915F51"/>
    <w:rsid w:val="00916049"/>
    <w:rsid w:val="00916D77"/>
    <w:rsid w:val="00916E59"/>
    <w:rsid w:val="009170B1"/>
    <w:rsid w:val="00917329"/>
    <w:rsid w:val="009178E5"/>
    <w:rsid w:val="00917B55"/>
    <w:rsid w:val="00920320"/>
    <w:rsid w:val="00920493"/>
    <w:rsid w:val="009204D3"/>
    <w:rsid w:val="00920F08"/>
    <w:rsid w:val="009211ED"/>
    <w:rsid w:val="0092124C"/>
    <w:rsid w:val="009229E6"/>
    <w:rsid w:val="00922C83"/>
    <w:rsid w:val="00922DF1"/>
    <w:rsid w:val="009230F0"/>
    <w:rsid w:val="00923537"/>
    <w:rsid w:val="00924AB6"/>
    <w:rsid w:val="00924C38"/>
    <w:rsid w:val="00924F65"/>
    <w:rsid w:val="00926094"/>
    <w:rsid w:val="00926239"/>
    <w:rsid w:val="00926EFA"/>
    <w:rsid w:val="009270AD"/>
    <w:rsid w:val="00927330"/>
    <w:rsid w:val="009273ED"/>
    <w:rsid w:val="009279FF"/>
    <w:rsid w:val="0093038C"/>
    <w:rsid w:val="00930806"/>
    <w:rsid w:val="00930B50"/>
    <w:rsid w:val="00930F1F"/>
    <w:rsid w:val="00932A19"/>
    <w:rsid w:val="00932F42"/>
    <w:rsid w:val="009331BE"/>
    <w:rsid w:val="00933523"/>
    <w:rsid w:val="009335E9"/>
    <w:rsid w:val="00933A16"/>
    <w:rsid w:val="00933B76"/>
    <w:rsid w:val="00934749"/>
    <w:rsid w:val="00935061"/>
    <w:rsid w:val="0093514D"/>
    <w:rsid w:val="0093515E"/>
    <w:rsid w:val="00935840"/>
    <w:rsid w:val="009359B1"/>
    <w:rsid w:val="00935BC2"/>
    <w:rsid w:val="009366F4"/>
    <w:rsid w:val="009368D5"/>
    <w:rsid w:val="00936B94"/>
    <w:rsid w:val="00937C70"/>
    <w:rsid w:val="00941B6D"/>
    <w:rsid w:val="00941F07"/>
    <w:rsid w:val="0094213B"/>
    <w:rsid w:val="00942570"/>
    <w:rsid w:val="009428D9"/>
    <w:rsid w:val="00942E5F"/>
    <w:rsid w:val="00943365"/>
    <w:rsid w:val="0094387C"/>
    <w:rsid w:val="00943AB4"/>
    <w:rsid w:val="00943BA0"/>
    <w:rsid w:val="00943D98"/>
    <w:rsid w:val="0094454F"/>
    <w:rsid w:val="00944AFD"/>
    <w:rsid w:val="00945029"/>
    <w:rsid w:val="0094530C"/>
    <w:rsid w:val="00945BD9"/>
    <w:rsid w:val="00945E92"/>
    <w:rsid w:val="009465A9"/>
    <w:rsid w:val="0094687E"/>
    <w:rsid w:val="00946B8D"/>
    <w:rsid w:val="00946DE5"/>
    <w:rsid w:val="00947A8D"/>
    <w:rsid w:val="00950655"/>
    <w:rsid w:val="00950891"/>
    <w:rsid w:val="00950948"/>
    <w:rsid w:val="00950999"/>
    <w:rsid w:val="00950AE8"/>
    <w:rsid w:val="00950B15"/>
    <w:rsid w:val="00950D53"/>
    <w:rsid w:val="00951D1A"/>
    <w:rsid w:val="009521B5"/>
    <w:rsid w:val="00952B2E"/>
    <w:rsid w:val="00952E76"/>
    <w:rsid w:val="00953BE0"/>
    <w:rsid w:val="0095555E"/>
    <w:rsid w:val="00956DEA"/>
    <w:rsid w:val="00956E28"/>
    <w:rsid w:val="0096012B"/>
    <w:rsid w:val="00960E8F"/>
    <w:rsid w:val="00961754"/>
    <w:rsid w:val="00962633"/>
    <w:rsid w:val="009629A5"/>
    <w:rsid w:val="00962D2A"/>
    <w:rsid w:val="0096382C"/>
    <w:rsid w:val="00965923"/>
    <w:rsid w:val="00966B32"/>
    <w:rsid w:val="00966D10"/>
    <w:rsid w:val="00967164"/>
    <w:rsid w:val="00967429"/>
    <w:rsid w:val="00971489"/>
    <w:rsid w:val="009715B4"/>
    <w:rsid w:val="009716C8"/>
    <w:rsid w:val="00971B58"/>
    <w:rsid w:val="00973331"/>
    <w:rsid w:val="0097359A"/>
    <w:rsid w:val="0097412A"/>
    <w:rsid w:val="00974210"/>
    <w:rsid w:val="009750DE"/>
    <w:rsid w:val="00975D66"/>
    <w:rsid w:val="009763E1"/>
    <w:rsid w:val="009766CD"/>
    <w:rsid w:val="00976E8E"/>
    <w:rsid w:val="00976EAD"/>
    <w:rsid w:val="009773E9"/>
    <w:rsid w:val="009777AB"/>
    <w:rsid w:val="009804D0"/>
    <w:rsid w:val="00980914"/>
    <w:rsid w:val="00980EFE"/>
    <w:rsid w:val="00980F62"/>
    <w:rsid w:val="0098132F"/>
    <w:rsid w:val="00981F2C"/>
    <w:rsid w:val="00982185"/>
    <w:rsid w:val="009824F3"/>
    <w:rsid w:val="00982AFC"/>
    <w:rsid w:val="00983BB9"/>
    <w:rsid w:val="00983D2E"/>
    <w:rsid w:val="00984F89"/>
    <w:rsid w:val="00984FFE"/>
    <w:rsid w:val="009853D4"/>
    <w:rsid w:val="009856F8"/>
    <w:rsid w:val="0098684F"/>
    <w:rsid w:val="00986D6C"/>
    <w:rsid w:val="009871CE"/>
    <w:rsid w:val="00987804"/>
    <w:rsid w:val="00987EC1"/>
    <w:rsid w:val="00990333"/>
    <w:rsid w:val="00990877"/>
    <w:rsid w:val="00990EAC"/>
    <w:rsid w:val="00991A10"/>
    <w:rsid w:val="00993036"/>
    <w:rsid w:val="00993336"/>
    <w:rsid w:val="00993887"/>
    <w:rsid w:val="00993BB8"/>
    <w:rsid w:val="009943EC"/>
    <w:rsid w:val="00994C4B"/>
    <w:rsid w:val="00994C5B"/>
    <w:rsid w:val="00994DEA"/>
    <w:rsid w:val="009952FE"/>
    <w:rsid w:val="00995560"/>
    <w:rsid w:val="009956D0"/>
    <w:rsid w:val="00995AE1"/>
    <w:rsid w:val="00996508"/>
    <w:rsid w:val="00996A69"/>
    <w:rsid w:val="00996D38"/>
    <w:rsid w:val="009970AD"/>
    <w:rsid w:val="00997755"/>
    <w:rsid w:val="00997895"/>
    <w:rsid w:val="009A048C"/>
    <w:rsid w:val="009A06A2"/>
    <w:rsid w:val="009A08D8"/>
    <w:rsid w:val="009A0EC3"/>
    <w:rsid w:val="009A2D74"/>
    <w:rsid w:val="009A3B2D"/>
    <w:rsid w:val="009A3D81"/>
    <w:rsid w:val="009A3E31"/>
    <w:rsid w:val="009A5EA3"/>
    <w:rsid w:val="009A6046"/>
    <w:rsid w:val="009A7393"/>
    <w:rsid w:val="009A7EA7"/>
    <w:rsid w:val="009B04D5"/>
    <w:rsid w:val="009B05C7"/>
    <w:rsid w:val="009B0E3E"/>
    <w:rsid w:val="009B2667"/>
    <w:rsid w:val="009B2793"/>
    <w:rsid w:val="009B2FDB"/>
    <w:rsid w:val="009B36BE"/>
    <w:rsid w:val="009B38FD"/>
    <w:rsid w:val="009B3B5A"/>
    <w:rsid w:val="009B3D13"/>
    <w:rsid w:val="009B3DA5"/>
    <w:rsid w:val="009B4BC4"/>
    <w:rsid w:val="009B4F11"/>
    <w:rsid w:val="009B54B1"/>
    <w:rsid w:val="009B596F"/>
    <w:rsid w:val="009B5F10"/>
    <w:rsid w:val="009B66FC"/>
    <w:rsid w:val="009B6B21"/>
    <w:rsid w:val="009B6F36"/>
    <w:rsid w:val="009B6FD4"/>
    <w:rsid w:val="009B797F"/>
    <w:rsid w:val="009B7EF4"/>
    <w:rsid w:val="009B7F82"/>
    <w:rsid w:val="009C059E"/>
    <w:rsid w:val="009C113C"/>
    <w:rsid w:val="009C12B2"/>
    <w:rsid w:val="009C1BCA"/>
    <w:rsid w:val="009C1D20"/>
    <w:rsid w:val="009C263F"/>
    <w:rsid w:val="009C27DC"/>
    <w:rsid w:val="009C28C1"/>
    <w:rsid w:val="009C2F0A"/>
    <w:rsid w:val="009C3521"/>
    <w:rsid w:val="009C3AA3"/>
    <w:rsid w:val="009C3D4D"/>
    <w:rsid w:val="009C3F11"/>
    <w:rsid w:val="009C4022"/>
    <w:rsid w:val="009C4538"/>
    <w:rsid w:val="009C4C8B"/>
    <w:rsid w:val="009C4DC4"/>
    <w:rsid w:val="009C550B"/>
    <w:rsid w:val="009C5C34"/>
    <w:rsid w:val="009C5CE3"/>
    <w:rsid w:val="009C6173"/>
    <w:rsid w:val="009C6884"/>
    <w:rsid w:val="009C69BC"/>
    <w:rsid w:val="009C6D8D"/>
    <w:rsid w:val="009C70D7"/>
    <w:rsid w:val="009C731E"/>
    <w:rsid w:val="009C7A6A"/>
    <w:rsid w:val="009C7CD7"/>
    <w:rsid w:val="009C7DA3"/>
    <w:rsid w:val="009D009F"/>
    <w:rsid w:val="009D018D"/>
    <w:rsid w:val="009D03AE"/>
    <w:rsid w:val="009D12FE"/>
    <w:rsid w:val="009D155D"/>
    <w:rsid w:val="009D159E"/>
    <w:rsid w:val="009D22BC"/>
    <w:rsid w:val="009D2BC2"/>
    <w:rsid w:val="009D3985"/>
    <w:rsid w:val="009D42A7"/>
    <w:rsid w:val="009D43F4"/>
    <w:rsid w:val="009D49A1"/>
    <w:rsid w:val="009D5510"/>
    <w:rsid w:val="009D5611"/>
    <w:rsid w:val="009D56C2"/>
    <w:rsid w:val="009D63EA"/>
    <w:rsid w:val="009D6BFB"/>
    <w:rsid w:val="009D7364"/>
    <w:rsid w:val="009E044A"/>
    <w:rsid w:val="009E062F"/>
    <w:rsid w:val="009E0D30"/>
    <w:rsid w:val="009E1617"/>
    <w:rsid w:val="009E1794"/>
    <w:rsid w:val="009E1F5F"/>
    <w:rsid w:val="009E2280"/>
    <w:rsid w:val="009E2552"/>
    <w:rsid w:val="009E273E"/>
    <w:rsid w:val="009E2C72"/>
    <w:rsid w:val="009E337B"/>
    <w:rsid w:val="009E3661"/>
    <w:rsid w:val="009E42A6"/>
    <w:rsid w:val="009E493C"/>
    <w:rsid w:val="009E4D48"/>
    <w:rsid w:val="009E5605"/>
    <w:rsid w:val="009E683B"/>
    <w:rsid w:val="009E6AAD"/>
    <w:rsid w:val="009E6AC2"/>
    <w:rsid w:val="009E70A8"/>
    <w:rsid w:val="009E7424"/>
    <w:rsid w:val="009E7BF3"/>
    <w:rsid w:val="009E7C5B"/>
    <w:rsid w:val="009F0802"/>
    <w:rsid w:val="009F0822"/>
    <w:rsid w:val="009F0C87"/>
    <w:rsid w:val="009F0CEA"/>
    <w:rsid w:val="009F1185"/>
    <w:rsid w:val="009F18BB"/>
    <w:rsid w:val="009F23D2"/>
    <w:rsid w:val="009F3266"/>
    <w:rsid w:val="009F4D58"/>
    <w:rsid w:val="009F5626"/>
    <w:rsid w:val="009F5B90"/>
    <w:rsid w:val="009F6EF7"/>
    <w:rsid w:val="009F7D3F"/>
    <w:rsid w:val="009F7FCD"/>
    <w:rsid w:val="00A003A8"/>
    <w:rsid w:val="00A00528"/>
    <w:rsid w:val="00A00BB9"/>
    <w:rsid w:val="00A01EDF"/>
    <w:rsid w:val="00A01FCE"/>
    <w:rsid w:val="00A02006"/>
    <w:rsid w:val="00A02044"/>
    <w:rsid w:val="00A02D16"/>
    <w:rsid w:val="00A02DB0"/>
    <w:rsid w:val="00A041FF"/>
    <w:rsid w:val="00A04A2A"/>
    <w:rsid w:val="00A0546E"/>
    <w:rsid w:val="00A055A8"/>
    <w:rsid w:val="00A05736"/>
    <w:rsid w:val="00A05AB4"/>
    <w:rsid w:val="00A05C81"/>
    <w:rsid w:val="00A06603"/>
    <w:rsid w:val="00A066DA"/>
    <w:rsid w:val="00A068AC"/>
    <w:rsid w:val="00A06A50"/>
    <w:rsid w:val="00A06A69"/>
    <w:rsid w:val="00A0757F"/>
    <w:rsid w:val="00A07B0A"/>
    <w:rsid w:val="00A07D43"/>
    <w:rsid w:val="00A104E5"/>
    <w:rsid w:val="00A10645"/>
    <w:rsid w:val="00A10797"/>
    <w:rsid w:val="00A10840"/>
    <w:rsid w:val="00A110F1"/>
    <w:rsid w:val="00A114E0"/>
    <w:rsid w:val="00A118BD"/>
    <w:rsid w:val="00A11ADE"/>
    <w:rsid w:val="00A11F66"/>
    <w:rsid w:val="00A12258"/>
    <w:rsid w:val="00A12EDC"/>
    <w:rsid w:val="00A12F6A"/>
    <w:rsid w:val="00A1315B"/>
    <w:rsid w:val="00A13527"/>
    <w:rsid w:val="00A137F3"/>
    <w:rsid w:val="00A13AE1"/>
    <w:rsid w:val="00A13BE9"/>
    <w:rsid w:val="00A14033"/>
    <w:rsid w:val="00A1409D"/>
    <w:rsid w:val="00A14B97"/>
    <w:rsid w:val="00A14BC4"/>
    <w:rsid w:val="00A15522"/>
    <w:rsid w:val="00A15A1C"/>
    <w:rsid w:val="00A161A3"/>
    <w:rsid w:val="00A16C7E"/>
    <w:rsid w:val="00A170F4"/>
    <w:rsid w:val="00A17BED"/>
    <w:rsid w:val="00A17DF9"/>
    <w:rsid w:val="00A17F47"/>
    <w:rsid w:val="00A20BB1"/>
    <w:rsid w:val="00A21320"/>
    <w:rsid w:val="00A21779"/>
    <w:rsid w:val="00A21ADF"/>
    <w:rsid w:val="00A225FC"/>
    <w:rsid w:val="00A2283A"/>
    <w:rsid w:val="00A22B86"/>
    <w:rsid w:val="00A22C7A"/>
    <w:rsid w:val="00A23104"/>
    <w:rsid w:val="00A23DD1"/>
    <w:rsid w:val="00A23EAF"/>
    <w:rsid w:val="00A244CC"/>
    <w:rsid w:val="00A246C8"/>
    <w:rsid w:val="00A248B2"/>
    <w:rsid w:val="00A24AEE"/>
    <w:rsid w:val="00A24CC8"/>
    <w:rsid w:val="00A259E3"/>
    <w:rsid w:val="00A25EF6"/>
    <w:rsid w:val="00A26753"/>
    <w:rsid w:val="00A26A28"/>
    <w:rsid w:val="00A301FC"/>
    <w:rsid w:val="00A3020F"/>
    <w:rsid w:val="00A302B2"/>
    <w:rsid w:val="00A30A55"/>
    <w:rsid w:val="00A31588"/>
    <w:rsid w:val="00A32393"/>
    <w:rsid w:val="00A327A2"/>
    <w:rsid w:val="00A3325E"/>
    <w:rsid w:val="00A348DB"/>
    <w:rsid w:val="00A34B56"/>
    <w:rsid w:val="00A35129"/>
    <w:rsid w:val="00A353C8"/>
    <w:rsid w:val="00A35D7C"/>
    <w:rsid w:val="00A368A3"/>
    <w:rsid w:val="00A36BD0"/>
    <w:rsid w:val="00A37148"/>
    <w:rsid w:val="00A377C9"/>
    <w:rsid w:val="00A401D5"/>
    <w:rsid w:val="00A40DE1"/>
    <w:rsid w:val="00A41E4E"/>
    <w:rsid w:val="00A42024"/>
    <w:rsid w:val="00A42485"/>
    <w:rsid w:val="00A424CF"/>
    <w:rsid w:val="00A4335C"/>
    <w:rsid w:val="00A4363C"/>
    <w:rsid w:val="00A43959"/>
    <w:rsid w:val="00A440C1"/>
    <w:rsid w:val="00A4417E"/>
    <w:rsid w:val="00A446C9"/>
    <w:rsid w:val="00A44FB8"/>
    <w:rsid w:val="00A453E6"/>
    <w:rsid w:val="00A45D67"/>
    <w:rsid w:val="00A46050"/>
    <w:rsid w:val="00A46637"/>
    <w:rsid w:val="00A46C36"/>
    <w:rsid w:val="00A46E15"/>
    <w:rsid w:val="00A46ECE"/>
    <w:rsid w:val="00A47127"/>
    <w:rsid w:val="00A472B7"/>
    <w:rsid w:val="00A47A27"/>
    <w:rsid w:val="00A47A8C"/>
    <w:rsid w:val="00A47C44"/>
    <w:rsid w:val="00A505BC"/>
    <w:rsid w:val="00A50B3E"/>
    <w:rsid w:val="00A51190"/>
    <w:rsid w:val="00A51DF4"/>
    <w:rsid w:val="00A51F1E"/>
    <w:rsid w:val="00A52E31"/>
    <w:rsid w:val="00A53297"/>
    <w:rsid w:val="00A537E5"/>
    <w:rsid w:val="00A5417C"/>
    <w:rsid w:val="00A54517"/>
    <w:rsid w:val="00A5484C"/>
    <w:rsid w:val="00A55297"/>
    <w:rsid w:val="00A55BF6"/>
    <w:rsid w:val="00A563D2"/>
    <w:rsid w:val="00A5676B"/>
    <w:rsid w:val="00A569B7"/>
    <w:rsid w:val="00A56AC1"/>
    <w:rsid w:val="00A57011"/>
    <w:rsid w:val="00A570DB"/>
    <w:rsid w:val="00A57594"/>
    <w:rsid w:val="00A575CA"/>
    <w:rsid w:val="00A57749"/>
    <w:rsid w:val="00A57958"/>
    <w:rsid w:val="00A60289"/>
    <w:rsid w:val="00A60A3C"/>
    <w:rsid w:val="00A60A67"/>
    <w:rsid w:val="00A6179C"/>
    <w:rsid w:val="00A61B25"/>
    <w:rsid w:val="00A6202B"/>
    <w:rsid w:val="00A6213A"/>
    <w:rsid w:val="00A62464"/>
    <w:rsid w:val="00A63167"/>
    <w:rsid w:val="00A6333A"/>
    <w:rsid w:val="00A63AD6"/>
    <w:rsid w:val="00A63BA1"/>
    <w:rsid w:val="00A63BDA"/>
    <w:rsid w:val="00A646D2"/>
    <w:rsid w:val="00A65375"/>
    <w:rsid w:val="00A654D6"/>
    <w:rsid w:val="00A66515"/>
    <w:rsid w:val="00A665C7"/>
    <w:rsid w:val="00A666A6"/>
    <w:rsid w:val="00A71776"/>
    <w:rsid w:val="00A71D37"/>
    <w:rsid w:val="00A71F60"/>
    <w:rsid w:val="00A726F4"/>
    <w:rsid w:val="00A73B52"/>
    <w:rsid w:val="00A749B3"/>
    <w:rsid w:val="00A753D2"/>
    <w:rsid w:val="00A7618F"/>
    <w:rsid w:val="00A7642D"/>
    <w:rsid w:val="00A76BD6"/>
    <w:rsid w:val="00A77326"/>
    <w:rsid w:val="00A77453"/>
    <w:rsid w:val="00A77EE9"/>
    <w:rsid w:val="00A80EBE"/>
    <w:rsid w:val="00A8101A"/>
    <w:rsid w:val="00A8166A"/>
    <w:rsid w:val="00A816EE"/>
    <w:rsid w:val="00A820B9"/>
    <w:rsid w:val="00A82B11"/>
    <w:rsid w:val="00A82C50"/>
    <w:rsid w:val="00A82FCA"/>
    <w:rsid w:val="00A83D73"/>
    <w:rsid w:val="00A83ED7"/>
    <w:rsid w:val="00A8437B"/>
    <w:rsid w:val="00A84684"/>
    <w:rsid w:val="00A847AC"/>
    <w:rsid w:val="00A85164"/>
    <w:rsid w:val="00A85539"/>
    <w:rsid w:val="00A859E2"/>
    <w:rsid w:val="00A85BF3"/>
    <w:rsid w:val="00A86306"/>
    <w:rsid w:val="00A86DF9"/>
    <w:rsid w:val="00A874CC"/>
    <w:rsid w:val="00A900ED"/>
    <w:rsid w:val="00A90D8B"/>
    <w:rsid w:val="00A90D98"/>
    <w:rsid w:val="00A90F88"/>
    <w:rsid w:val="00A91723"/>
    <w:rsid w:val="00A91865"/>
    <w:rsid w:val="00A927AF"/>
    <w:rsid w:val="00A93FD9"/>
    <w:rsid w:val="00A94245"/>
    <w:rsid w:val="00A944A1"/>
    <w:rsid w:val="00A94ECD"/>
    <w:rsid w:val="00A95176"/>
    <w:rsid w:val="00A9541E"/>
    <w:rsid w:val="00A9595F"/>
    <w:rsid w:val="00A96491"/>
    <w:rsid w:val="00A971CB"/>
    <w:rsid w:val="00A9740F"/>
    <w:rsid w:val="00AA0975"/>
    <w:rsid w:val="00AA10FA"/>
    <w:rsid w:val="00AA19C7"/>
    <w:rsid w:val="00AA1C63"/>
    <w:rsid w:val="00AA3238"/>
    <w:rsid w:val="00AA3A42"/>
    <w:rsid w:val="00AA3B24"/>
    <w:rsid w:val="00AA453C"/>
    <w:rsid w:val="00AA4561"/>
    <w:rsid w:val="00AA4686"/>
    <w:rsid w:val="00AA4BE1"/>
    <w:rsid w:val="00AA51AF"/>
    <w:rsid w:val="00AA5BDB"/>
    <w:rsid w:val="00AA78C2"/>
    <w:rsid w:val="00AA7AD9"/>
    <w:rsid w:val="00AB174A"/>
    <w:rsid w:val="00AB22F2"/>
    <w:rsid w:val="00AB2D20"/>
    <w:rsid w:val="00AB2FA4"/>
    <w:rsid w:val="00AB391A"/>
    <w:rsid w:val="00AB393F"/>
    <w:rsid w:val="00AB3AE1"/>
    <w:rsid w:val="00AB4169"/>
    <w:rsid w:val="00AB4221"/>
    <w:rsid w:val="00AB4330"/>
    <w:rsid w:val="00AB4418"/>
    <w:rsid w:val="00AB4618"/>
    <w:rsid w:val="00AB49C0"/>
    <w:rsid w:val="00AB4A74"/>
    <w:rsid w:val="00AB4C1B"/>
    <w:rsid w:val="00AB5112"/>
    <w:rsid w:val="00AB5119"/>
    <w:rsid w:val="00AB5292"/>
    <w:rsid w:val="00AB5350"/>
    <w:rsid w:val="00AB5358"/>
    <w:rsid w:val="00AB53E8"/>
    <w:rsid w:val="00AB6205"/>
    <w:rsid w:val="00AB6388"/>
    <w:rsid w:val="00AB639A"/>
    <w:rsid w:val="00AB6AD1"/>
    <w:rsid w:val="00AB7B5D"/>
    <w:rsid w:val="00AC08FA"/>
    <w:rsid w:val="00AC0D41"/>
    <w:rsid w:val="00AC10D1"/>
    <w:rsid w:val="00AC146C"/>
    <w:rsid w:val="00AC17A8"/>
    <w:rsid w:val="00AC18CF"/>
    <w:rsid w:val="00AC23AE"/>
    <w:rsid w:val="00AC3546"/>
    <w:rsid w:val="00AC3F66"/>
    <w:rsid w:val="00AC40B6"/>
    <w:rsid w:val="00AC4673"/>
    <w:rsid w:val="00AC48CB"/>
    <w:rsid w:val="00AC5A0D"/>
    <w:rsid w:val="00AC6463"/>
    <w:rsid w:val="00AC6E68"/>
    <w:rsid w:val="00AD0552"/>
    <w:rsid w:val="00AD0E04"/>
    <w:rsid w:val="00AD1413"/>
    <w:rsid w:val="00AD1CE8"/>
    <w:rsid w:val="00AD1D1E"/>
    <w:rsid w:val="00AD2195"/>
    <w:rsid w:val="00AD2A71"/>
    <w:rsid w:val="00AD2AD5"/>
    <w:rsid w:val="00AD2B87"/>
    <w:rsid w:val="00AD2CF4"/>
    <w:rsid w:val="00AD3838"/>
    <w:rsid w:val="00AD4375"/>
    <w:rsid w:val="00AD456B"/>
    <w:rsid w:val="00AD5577"/>
    <w:rsid w:val="00AD5F45"/>
    <w:rsid w:val="00AD62CF"/>
    <w:rsid w:val="00AD6737"/>
    <w:rsid w:val="00AD6A09"/>
    <w:rsid w:val="00AD6AE7"/>
    <w:rsid w:val="00AD7028"/>
    <w:rsid w:val="00AD717C"/>
    <w:rsid w:val="00AD7396"/>
    <w:rsid w:val="00AD753F"/>
    <w:rsid w:val="00AD76C7"/>
    <w:rsid w:val="00AE0DE8"/>
    <w:rsid w:val="00AE13E3"/>
    <w:rsid w:val="00AE150C"/>
    <w:rsid w:val="00AE1653"/>
    <w:rsid w:val="00AE19A6"/>
    <w:rsid w:val="00AE2490"/>
    <w:rsid w:val="00AE2729"/>
    <w:rsid w:val="00AE284E"/>
    <w:rsid w:val="00AE28B0"/>
    <w:rsid w:val="00AE322C"/>
    <w:rsid w:val="00AE3E1D"/>
    <w:rsid w:val="00AE40D9"/>
    <w:rsid w:val="00AE45C0"/>
    <w:rsid w:val="00AE5019"/>
    <w:rsid w:val="00AE50BF"/>
    <w:rsid w:val="00AE558C"/>
    <w:rsid w:val="00AE58C7"/>
    <w:rsid w:val="00AE5C15"/>
    <w:rsid w:val="00AE5C8C"/>
    <w:rsid w:val="00AE6092"/>
    <w:rsid w:val="00AE626A"/>
    <w:rsid w:val="00AE63C4"/>
    <w:rsid w:val="00AE6D97"/>
    <w:rsid w:val="00AE73A3"/>
    <w:rsid w:val="00AE74AD"/>
    <w:rsid w:val="00AE74F7"/>
    <w:rsid w:val="00AF00E7"/>
    <w:rsid w:val="00AF03CD"/>
    <w:rsid w:val="00AF0C44"/>
    <w:rsid w:val="00AF2313"/>
    <w:rsid w:val="00AF2A56"/>
    <w:rsid w:val="00AF2E03"/>
    <w:rsid w:val="00AF3714"/>
    <w:rsid w:val="00AF3838"/>
    <w:rsid w:val="00AF3E77"/>
    <w:rsid w:val="00AF421B"/>
    <w:rsid w:val="00AF454C"/>
    <w:rsid w:val="00AF5058"/>
    <w:rsid w:val="00AF5679"/>
    <w:rsid w:val="00AF5A46"/>
    <w:rsid w:val="00AF609E"/>
    <w:rsid w:val="00AF60EA"/>
    <w:rsid w:val="00AF6387"/>
    <w:rsid w:val="00AF6B95"/>
    <w:rsid w:val="00AF6BEF"/>
    <w:rsid w:val="00AF71B8"/>
    <w:rsid w:val="00AF73B3"/>
    <w:rsid w:val="00B00B73"/>
    <w:rsid w:val="00B00EBA"/>
    <w:rsid w:val="00B01458"/>
    <w:rsid w:val="00B01476"/>
    <w:rsid w:val="00B01A33"/>
    <w:rsid w:val="00B01AE4"/>
    <w:rsid w:val="00B01BDC"/>
    <w:rsid w:val="00B02500"/>
    <w:rsid w:val="00B02AEB"/>
    <w:rsid w:val="00B02DFB"/>
    <w:rsid w:val="00B03307"/>
    <w:rsid w:val="00B035F7"/>
    <w:rsid w:val="00B04174"/>
    <w:rsid w:val="00B0435E"/>
    <w:rsid w:val="00B0495A"/>
    <w:rsid w:val="00B04A39"/>
    <w:rsid w:val="00B0512E"/>
    <w:rsid w:val="00B05C07"/>
    <w:rsid w:val="00B063E8"/>
    <w:rsid w:val="00B06597"/>
    <w:rsid w:val="00B06654"/>
    <w:rsid w:val="00B06BF0"/>
    <w:rsid w:val="00B06F77"/>
    <w:rsid w:val="00B0731E"/>
    <w:rsid w:val="00B07890"/>
    <w:rsid w:val="00B11975"/>
    <w:rsid w:val="00B12244"/>
    <w:rsid w:val="00B127C7"/>
    <w:rsid w:val="00B13131"/>
    <w:rsid w:val="00B131DE"/>
    <w:rsid w:val="00B134CF"/>
    <w:rsid w:val="00B150F3"/>
    <w:rsid w:val="00B174D5"/>
    <w:rsid w:val="00B178C7"/>
    <w:rsid w:val="00B20D57"/>
    <w:rsid w:val="00B20DFE"/>
    <w:rsid w:val="00B21023"/>
    <w:rsid w:val="00B21D49"/>
    <w:rsid w:val="00B22C6D"/>
    <w:rsid w:val="00B232A6"/>
    <w:rsid w:val="00B23904"/>
    <w:rsid w:val="00B24ED1"/>
    <w:rsid w:val="00B250E2"/>
    <w:rsid w:val="00B250E8"/>
    <w:rsid w:val="00B2510E"/>
    <w:rsid w:val="00B2624E"/>
    <w:rsid w:val="00B265E3"/>
    <w:rsid w:val="00B26CDE"/>
    <w:rsid w:val="00B2707F"/>
    <w:rsid w:val="00B2727B"/>
    <w:rsid w:val="00B27AC2"/>
    <w:rsid w:val="00B27C32"/>
    <w:rsid w:val="00B27FB5"/>
    <w:rsid w:val="00B30468"/>
    <w:rsid w:val="00B307C6"/>
    <w:rsid w:val="00B30E45"/>
    <w:rsid w:val="00B31ADE"/>
    <w:rsid w:val="00B3335A"/>
    <w:rsid w:val="00B33AF3"/>
    <w:rsid w:val="00B34578"/>
    <w:rsid w:val="00B3482A"/>
    <w:rsid w:val="00B3492B"/>
    <w:rsid w:val="00B34E62"/>
    <w:rsid w:val="00B359EB"/>
    <w:rsid w:val="00B361E3"/>
    <w:rsid w:val="00B366D0"/>
    <w:rsid w:val="00B36E4C"/>
    <w:rsid w:val="00B37E1B"/>
    <w:rsid w:val="00B401CE"/>
    <w:rsid w:val="00B401DF"/>
    <w:rsid w:val="00B40783"/>
    <w:rsid w:val="00B407B3"/>
    <w:rsid w:val="00B40DEC"/>
    <w:rsid w:val="00B412E2"/>
    <w:rsid w:val="00B4130C"/>
    <w:rsid w:val="00B413FD"/>
    <w:rsid w:val="00B42020"/>
    <w:rsid w:val="00B43151"/>
    <w:rsid w:val="00B431B8"/>
    <w:rsid w:val="00B4358A"/>
    <w:rsid w:val="00B440DD"/>
    <w:rsid w:val="00B45056"/>
    <w:rsid w:val="00B454F1"/>
    <w:rsid w:val="00B45DDA"/>
    <w:rsid w:val="00B4602D"/>
    <w:rsid w:val="00B46734"/>
    <w:rsid w:val="00B46792"/>
    <w:rsid w:val="00B46A04"/>
    <w:rsid w:val="00B46BFC"/>
    <w:rsid w:val="00B47552"/>
    <w:rsid w:val="00B5022D"/>
    <w:rsid w:val="00B5102C"/>
    <w:rsid w:val="00B52042"/>
    <w:rsid w:val="00B52225"/>
    <w:rsid w:val="00B52DAA"/>
    <w:rsid w:val="00B52FC1"/>
    <w:rsid w:val="00B536CC"/>
    <w:rsid w:val="00B5416A"/>
    <w:rsid w:val="00B54F5A"/>
    <w:rsid w:val="00B54FBC"/>
    <w:rsid w:val="00B5521D"/>
    <w:rsid w:val="00B5619F"/>
    <w:rsid w:val="00B56866"/>
    <w:rsid w:val="00B56AED"/>
    <w:rsid w:val="00B56DCE"/>
    <w:rsid w:val="00B5706D"/>
    <w:rsid w:val="00B57239"/>
    <w:rsid w:val="00B57334"/>
    <w:rsid w:val="00B57ABC"/>
    <w:rsid w:val="00B604F2"/>
    <w:rsid w:val="00B6071A"/>
    <w:rsid w:val="00B60EAB"/>
    <w:rsid w:val="00B61389"/>
    <w:rsid w:val="00B617C3"/>
    <w:rsid w:val="00B62605"/>
    <w:rsid w:val="00B630E0"/>
    <w:rsid w:val="00B6357F"/>
    <w:rsid w:val="00B63614"/>
    <w:rsid w:val="00B63AB7"/>
    <w:rsid w:val="00B63DC3"/>
    <w:rsid w:val="00B64248"/>
    <w:rsid w:val="00B642AB"/>
    <w:rsid w:val="00B648D1"/>
    <w:rsid w:val="00B64B31"/>
    <w:rsid w:val="00B6545F"/>
    <w:rsid w:val="00B65631"/>
    <w:rsid w:val="00B66157"/>
    <w:rsid w:val="00B66555"/>
    <w:rsid w:val="00B66651"/>
    <w:rsid w:val="00B6680B"/>
    <w:rsid w:val="00B669D0"/>
    <w:rsid w:val="00B674B3"/>
    <w:rsid w:val="00B702AB"/>
    <w:rsid w:val="00B717E9"/>
    <w:rsid w:val="00B71AF4"/>
    <w:rsid w:val="00B71C54"/>
    <w:rsid w:val="00B7259B"/>
    <w:rsid w:val="00B72897"/>
    <w:rsid w:val="00B72E63"/>
    <w:rsid w:val="00B7388E"/>
    <w:rsid w:val="00B73F60"/>
    <w:rsid w:val="00B744C2"/>
    <w:rsid w:val="00B74F35"/>
    <w:rsid w:val="00B7549C"/>
    <w:rsid w:val="00B7604B"/>
    <w:rsid w:val="00B76103"/>
    <w:rsid w:val="00B76408"/>
    <w:rsid w:val="00B77969"/>
    <w:rsid w:val="00B800B4"/>
    <w:rsid w:val="00B81472"/>
    <w:rsid w:val="00B816E0"/>
    <w:rsid w:val="00B81BD2"/>
    <w:rsid w:val="00B81D52"/>
    <w:rsid w:val="00B83901"/>
    <w:rsid w:val="00B83E3B"/>
    <w:rsid w:val="00B846F1"/>
    <w:rsid w:val="00B848A8"/>
    <w:rsid w:val="00B852A0"/>
    <w:rsid w:val="00B85F03"/>
    <w:rsid w:val="00B863A6"/>
    <w:rsid w:val="00B8707C"/>
    <w:rsid w:val="00B87244"/>
    <w:rsid w:val="00B8758A"/>
    <w:rsid w:val="00B9053F"/>
    <w:rsid w:val="00B90C53"/>
    <w:rsid w:val="00B90EA7"/>
    <w:rsid w:val="00B9123E"/>
    <w:rsid w:val="00B9194F"/>
    <w:rsid w:val="00B91E13"/>
    <w:rsid w:val="00B94649"/>
    <w:rsid w:val="00B94AB8"/>
    <w:rsid w:val="00B95546"/>
    <w:rsid w:val="00B9566C"/>
    <w:rsid w:val="00B95A7A"/>
    <w:rsid w:val="00B95B8C"/>
    <w:rsid w:val="00B96697"/>
    <w:rsid w:val="00B96B82"/>
    <w:rsid w:val="00B96FA5"/>
    <w:rsid w:val="00B97B22"/>
    <w:rsid w:val="00BA16CB"/>
    <w:rsid w:val="00BA1808"/>
    <w:rsid w:val="00BA221A"/>
    <w:rsid w:val="00BA3427"/>
    <w:rsid w:val="00BA38C7"/>
    <w:rsid w:val="00BA40AB"/>
    <w:rsid w:val="00BA48D8"/>
    <w:rsid w:val="00BA4E1A"/>
    <w:rsid w:val="00BA5269"/>
    <w:rsid w:val="00BA5485"/>
    <w:rsid w:val="00BA55EA"/>
    <w:rsid w:val="00BA5D6C"/>
    <w:rsid w:val="00BA5FD0"/>
    <w:rsid w:val="00BA652B"/>
    <w:rsid w:val="00BA6686"/>
    <w:rsid w:val="00BA6BE8"/>
    <w:rsid w:val="00BA6D41"/>
    <w:rsid w:val="00BA6F4F"/>
    <w:rsid w:val="00BA739D"/>
    <w:rsid w:val="00BB0169"/>
    <w:rsid w:val="00BB05FA"/>
    <w:rsid w:val="00BB06EC"/>
    <w:rsid w:val="00BB0DD3"/>
    <w:rsid w:val="00BB1A8A"/>
    <w:rsid w:val="00BB22F7"/>
    <w:rsid w:val="00BB2FA5"/>
    <w:rsid w:val="00BB3561"/>
    <w:rsid w:val="00BB3A11"/>
    <w:rsid w:val="00BB3A2C"/>
    <w:rsid w:val="00BB3A8F"/>
    <w:rsid w:val="00BB3D8C"/>
    <w:rsid w:val="00BB4D2E"/>
    <w:rsid w:val="00BB4D9F"/>
    <w:rsid w:val="00BB5ABD"/>
    <w:rsid w:val="00BB64EB"/>
    <w:rsid w:val="00BB660D"/>
    <w:rsid w:val="00BB6929"/>
    <w:rsid w:val="00BB767B"/>
    <w:rsid w:val="00BB7C6C"/>
    <w:rsid w:val="00BC0244"/>
    <w:rsid w:val="00BC113B"/>
    <w:rsid w:val="00BC15E7"/>
    <w:rsid w:val="00BC21D1"/>
    <w:rsid w:val="00BC2708"/>
    <w:rsid w:val="00BC3413"/>
    <w:rsid w:val="00BC3D5F"/>
    <w:rsid w:val="00BC3F35"/>
    <w:rsid w:val="00BC4768"/>
    <w:rsid w:val="00BC5323"/>
    <w:rsid w:val="00BC56F7"/>
    <w:rsid w:val="00BC59EA"/>
    <w:rsid w:val="00BC5C5A"/>
    <w:rsid w:val="00BC5DC3"/>
    <w:rsid w:val="00BC628A"/>
    <w:rsid w:val="00BC6BF6"/>
    <w:rsid w:val="00BC6BF9"/>
    <w:rsid w:val="00BC73E4"/>
    <w:rsid w:val="00BC7D97"/>
    <w:rsid w:val="00BD0584"/>
    <w:rsid w:val="00BD0C55"/>
    <w:rsid w:val="00BD106A"/>
    <w:rsid w:val="00BD13E6"/>
    <w:rsid w:val="00BD15B9"/>
    <w:rsid w:val="00BD1AA7"/>
    <w:rsid w:val="00BD1CAE"/>
    <w:rsid w:val="00BD25EE"/>
    <w:rsid w:val="00BD2962"/>
    <w:rsid w:val="00BD3355"/>
    <w:rsid w:val="00BD4662"/>
    <w:rsid w:val="00BD4858"/>
    <w:rsid w:val="00BD602D"/>
    <w:rsid w:val="00BD67BD"/>
    <w:rsid w:val="00BD6A51"/>
    <w:rsid w:val="00BD6DEF"/>
    <w:rsid w:val="00BD7186"/>
    <w:rsid w:val="00BE039E"/>
    <w:rsid w:val="00BE044C"/>
    <w:rsid w:val="00BE0461"/>
    <w:rsid w:val="00BE07A3"/>
    <w:rsid w:val="00BE153B"/>
    <w:rsid w:val="00BE19D3"/>
    <w:rsid w:val="00BE2A61"/>
    <w:rsid w:val="00BE2C19"/>
    <w:rsid w:val="00BE3077"/>
    <w:rsid w:val="00BE33F7"/>
    <w:rsid w:val="00BE3BFA"/>
    <w:rsid w:val="00BE43A5"/>
    <w:rsid w:val="00BE4DDD"/>
    <w:rsid w:val="00BE54C8"/>
    <w:rsid w:val="00BE5767"/>
    <w:rsid w:val="00BE5795"/>
    <w:rsid w:val="00BE5990"/>
    <w:rsid w:val="00BE74FA"/>
    <w:rsid w:val="00BE7AC3"/>
    <w:rsid w:val="00BE7FAD"/>
    <w:rsid w:val="00BF0B35"/>
    <w:rsid w:val="00BF145A"/>
    <w:rsid w:val="00BF188D"/>
    <w:rsid w:val="00BF301D"/>
    <w:rsid w:val="00BF3179"/>
    <w:rsid w:val="00BF334F"/>
    <w:rsid w:val="00BF39DC"/>
    <w:rsid w:val="00BF3BF4"/>
    <w:rsid w:val="00BF43D0"/>
    <w:rsid w:val="00BF444A"/>
    <w:rsid w:val="00BF49AF"/>
    <w:rsid w:val="00BF49F3"/>
    <w:rsid w:val="00BF616F"/>
    <w:rsid w:val="00BF6E7E"/>
    <w:rsid w:val="00BF7534"/>
    <w:rsid w:val="00BF7D31"/>
    <w:rsid w:val="00C00111"/>
    <w:rsid w:val="00C003CC"/>
    <w:rsid w:val="00C0134F"/>
    <w:rsid w:val="00C02877"/>
    <w:rsid w:val="00C028C8"/>
    <w:rsid w:val="00C02E81"/>
    <w:rsid w:val="00C0392C"/>
    <w:rsid w:val="00C03C74"/>
    <w:rsid w:val="00C03CD7"/>
    <w:rsid w:val="00C041D1"/>
    <w:rsid w:val="00C04460"/>
    <w:rsid w:val="00C047E8"/>
    <w:rsid w:val="00C0489F"/>
    <w:rsid w:val="00C0521B"/>
    <w:rsid w:val="00C05B9A"/>
    <w:rsid w:val="00C06BE1"/>
    <w:rsid w:val="00C06E58"/>
    <w:rsid w:val="00C06FEB"/>
    <w:rsid w:val="00C1044B"/>
    <w:rsid w:val="00C1050B"/>
    <w:rsid w:val="00C1150D"/>
    <w:rsid w:val="00C11561"/>
    <w:rsid w:val="00C11ED2"/>
    <w:rsid w:val="00C11F2B"/>
    <w:rsid w:val="00C12096"/>
    <w:rsid w:val="00C125E7"/>
    <w:rsid w:val="00C136B9"/>
    <w:rsid w:val="00C148E3"/>
    <w:rsid w:val="00C1495C"/>
    <w:rsid w:val="00C150EC"/>
    <w:rsid w:val="00C15122"/>
    <w:rsid w:val="00C15308"/>
    <w:rsid w:val="00C157B5"/>
    <w:rsid w:val="00C158A1"/>
    <w:rsid w:val="00C159D6"/>
    <w:rsid w:val="00C16B8E"/>
    <w:rsid w:val="00C16FE5"/>
    <w:rsid w:val="00C17051"/>
    <w:rsid w:val="00C17130"/>
    <w:rsid w:val="00C175C5"/>
    <w:rsid w:val="00C17886"/>
    <w:rsid w:val="00C17A14"/>
    <w:rsid w:val="00C17A3C"/>
    <w:rsid w:val="00C17FE8"/>
    <w:rsid w:val="00C200E6"/>
    <w:rsid w:val="00C2050D"/>
    <w:rsid w:val="00C20567"/>
    <w:rsid w:val="00C20578"/>
    <w:rsid w:val="00C209EB"/>
    <w:rsid w:val="00C2150B"/>
    <w:rsid w:val="00C21D00"/>
    <w:rsid w:val="00C222DF"/>
    <w:rsid w:val="00C22A28"/>
    <w:rsid w:val="00C22AE1"/>
    <w:rsid w:val="00C23D63"/>
    <w:rsid w:val="00C23DE7"/>
    <w:rsid w:val="00C24AFB"/>
    <w:rsid w:val="00C25346"/>
    <w:rsid w:val="00C25F35"/>
    <w:rsid w:val="00C2622F"/>
    <w:rsid w:val="00C26D69"/>
    <w:rsid w:val="00C271A7"/>
    <w:rsid w:val="00C300D4"/>
    <w:rsid w:val="00C30B99"/>
    <w:rsid w:val="00C30E71"/>
    <w:rsid w:val="00C31114"/>
    <w:rsid w:val="00C31B38"/>
    <w:rsid w:val="00C31BA4"/>
    <w:rsid w:val="00C3267F"/>
    <w:rsid w:val="00C326B2"/>
    <w:rsid w:val="00C32A07"/>
    <w:rsid w:val="00C32AE5"/>
    <w:rsid w:val="00C34252"/>
    <w:rsid w:val="00C34689"/>
    <w:rsid w:val="00C34B56"/>
    <w:rsid w:val="00C34FED"/>
    <w:rsid w:val="00C35710"/>
    <w:rsid w:val="00C35BB3"/>
    <w:rsid w:val="00C35EB8"/>
    <w:rsid w:val="00C36068"/>
    <w:rsid w:val="00C36585"/>
    <w:rsid w:val="00C36E8F"/>
    <w:rsid w:val="00C36EF2"/>
    <w:rsid w:val="00C376E9"/>
    <w:rsid w:val="00C377BB"/>
    <w:rsid w:val="00C3784A"/>
    <w:rsid w:val="00C37A45"/>
    <w:rsid w:val="00C37E05"/>
    <w:rsid w:val="00C4022A"/>
    <w:rsid w:val="00C40E91"/>
    <w:rsid w:val="00C413B6"/>
    <w:rsid w:val="00C41416"/>
    <w:rsid w:val="00C4155A"/>
    <w:rsid w:val="00C41DE6"/>
    <w:rsid w:val="00C41DE9"/>
    <w:rsid w:val="00C42418"/>
    <w:rsid w:val="00C425B9"/>
    <w:rsid w:val="00C43854"/>
    <w:rsid w:val="00C43A18"/>
    <w:rsid w:val="00C43E04"/>
    <w:rsid w:val="00C43E9C"/>
    <w:rsid w:val="00C447BB"/>
    <w:rsid w:val="00C44805"/>
    <w:rsid w:val="00C4492F"/>
    <w:rsid w:val="00C44E15"/>
    <w:rsid w:val="00C451A2"/>
    <w:rsid w:val="00C458C4"/>
    <w:rsid w:val="00C45C8E"/>
    <w:rsid w:val="00C46268"/>
    <w:rsid w:val="00C464C9"/>
    <w:rsid w:val="00C46C86"/>
    <w:rsid w:val="00C46DC6"/>
    <w:rsid w:val="00C4719F"/>
    <w:rsid w:val="00C47347"/>
    <w:rsid w:val="00C47A0B"/>
    <w:rsid w:val="00C47DB3"/>
    <w:rsid w:val="00C50974"/>
    <w:rsid w:val="00C51536"/>
    <w:rsid w:val="00C51BFC"/>
    <w:rsid w:val="00C52088"/>
    <w:rsid w:val="00C5268A"/>
    <w:rsid w:val="00C53742"/>
    <w:rsid w:val="00C546C9"/>
    <w:rsid w:val="00C54EB8"/>
    <w:rsid w:val="00C54F31"/>
    <w:rsid w:val="00C5571D"/>
    <w:rsid w:val="00C6000A"/>
    <w:rsid w:val="00C6060B"/>
    <w:rsid w:val="00C60E68"/>
    <w:rsid w:val="00C6132E"/>
    <w:rsid w:val="00C619F6"/>
    <w:rsid w:val="00C61CB6"/>
    <w:rsid w:val="00C6209A"/>
    <w:rsid w:val="00C621E3"/>
    <w:rsid w:val="00C62726"/>
    <w:rsid w:val="00C62F9A"/>
    <w:rsid w:val="00C63A70"/>
    <w:rsid w:val="00C63B06"/>
    <w:rsid w:val="00C63BB4"/>
    <w:rsid w:val="00C63D57"/>
    <w:rsid w:val="00C64BD3"/>
    <w:rsid w:val="00C65071"/>
    <w:rsid w:val="00C6613C"/>
    <w:rsid w:val="00C662FE"/>
    <w:rsid w:val="00C66495"/>
    <w:rsid w:val="00C665B5"/>
    <w:rsid w:val="00C66BB3"/>
    <w:rsid w:val="00C67073"/>
    <w:rsid w:val="00C67FDF"/>
    <w:rsid w:val="00C70533"/>
    <w:rsid w:val="00C70AB6"/>
    <w:rsid w:val="00C70AE5"/>
    <w:rsid w:val="00C70D06"/>
    <w:rsid w:val="00C71F8D"/>
    <w:rsid w:val="00C7209A"/>
    <w:rsid w:val="00C72A48"/>
    <w:rsid w:val="00C72A7D"/>
    <w:rsid w:val="00C732C2"/>
    <w:rsid w:val="00C73CB9"/>
    <w:rsid w:val="00C73D85"/>
    <w:rsid w:val="00C7407D"/>
    <w:rsid w:val="00C740FA"/>
    <w:rsid w:val="00C74D73"/>
    <w:rsid w:val="00C7509B"/>
    <w:rsid w:val="00C75219"/>
    <w:rsid w:val="00C75552"/>
    <w:rsid w:val="00C757C9"/>
    <w:rsid w:val="00C75901"/>
    <w:rsid w:val="00C75B23"/>
    <w:rsid w:val="00C75F37"/>
    <w:rsid w:val="00C7603D"/>
    <w:rsid w:val="00C76256"/>
    <w:rsid w:val="00C76FF7"/>
    <w:rsid w:val="00C77195"/>
    <w:rsid w:val="00C7745B"/>
    <w:rsid w:val="00C77A17"/>
    <w:rsid w:val="00C77B02"/>
    <w:rsid w:val="00C77C06"/>
    <w:rsid w:val="00C77C0F"/>
    <w:rsid w:val="00C77E33"/>
    <w:rsid w:val="00C77ED9"/>
    <w:rsid w:val="00C8022A"/>
    <w:rsid w:val="00C8109F"/>
    <w:rsid w:val="00C81B82"/>
    <w:rsid w:val="00C81C44"/>
    <w:rsid w:val="00C828B9"/>
    <w:rsid w:val="00C839D1"/>
    <w:rsid w:val="00C84375"/>
    <w:rsid w:val="00C84E38"/>
    <w:rsid w:val="00C84FA4"/>
    <w:rsid w:val="00C862D3"/>
    <w:rsid w:val="00C864C4"/>
    <w:rsid w:val="00C86756"/>
    <w:rsid w:val="00C86A86"/>
    <w:rsid w:val="00C86E25"/>
    <w:rsid w:val="00C86E69"/>
    <w:rsid w:val="00C87813"/>
    <w:rsid w:val="00C90346"/>
    <w:rsid w:val="00C918B1"/>
    <w:rsid w:val="00C936BE"/>
    <w:rsid w:val="00C93A07"/>
    <w:rsid w:val="00C94116"/>
    <w:rsid w:val="00C94D62"/>
    <w:rsid w:val="00C9553E"/>
    <w:rsid w:val="00C95718"/>
    <w:rsid w:val="00C96F15"/>
    <w:rsid w:val="00C97EA4"/>
    <w:rsid w:val="00CA01DD"/>
    <w:rsid w:val="00CA021B"/>
    <w:rsid w:val="00CA0C18"/>
    <w:rsid w:val="00CA1EB7"/>
    <w:rsid w:val="00CA22B3"/>
    <w:rsid w:val="00CA271F"/>
    <w:rsid w:val="00CA30BE"/>
    <w:rsid w:val="00CA37B6"/>
    <w:rsid w:val="00CA3867"/>
    <w:rsid w:val="00CA4153"/>
    <w:rsid w:val="00CA43FC"/>
    <w:rsid w:val="00CA4ECC"/>
    <w:rsid w:val="00CA5F07"/>
    <w:rsid w:val="00CA609B"/>
    <w:rsid w:val="00CA611B"/>
    <w:rsid w:val="00CA63BB"/>
    <w:rsid w:val="00CA7332"/>
    <w:rsid w:val="00CA78DA"/>
    <w:rsid w:val="00CA7D07"/>
    <w:rsid w:val="00CA7F3F"/>
    <w:rsid w:val="00CB01E1"/>
    <w:rsid w:val="00CB04E6"/>
    <w:rsid w:val="00CB1031"/>
    <w:rsid w:val="00CB1465"/>
    <w:rsid w:val="00CB197D"/>
    <w:rsid w:val="00CB1E28"/>
    <w:rsid w:val="00CB204E"/>
    <w:rsid w:val="00CB2325"/>
    <w:rsid w:val="00CB23D1"/>
    <w:rsid w:val="00CB2760"/>
    <w:rsid w:val="00CB2AE8"/>
    <w:rsid w:val="00CB2E7C"/>
    <w:rsid w:val="00CB2F71"/>
    <w:rsid w:val="00CB30E4"/>
    <w:rsid w:val="00CB3D4D"/>
    <w:rsid w:val="00CB407A"/>
    <w:rsid w:val="00CB49B3"/>
    <w:rsid w:val="00CB4A86"/>
    <w:rsid w:val="00CB5612"/>
    <w:rsid w:val="00CB5986"/>
    <w:rsid w:val="00CB7148"/>
    <w:rsid w:val="00CB776B"/>
    <w:rsid w:val="00CB78C7"/>
    <w:rsid w:val="00CB7E1F"/>
    <w:rsid w:val="00CC038A"/>
    <w:rsid w:val="00CC0916"/>
    <w:rsid w:val="00CC0A1E"/>
    <w:rsid w:val="00CC0BE3"/>
    <w:rsid w:val="00CC146D"/>
    <w:rsid w:val="00CC16BC"/>
    <w:rsid w:val="00CC1743"/>
    <w:rsid w:val="00CC1AD0"/>
    <w:rsid w:val="00CC2256"/>
    <w:rsid w:val="00CC245F"/>
    <w:rsid w:val="00CC2D24"/>
    <w:rsid w:val="00CC32BB"/>
    <w:rsid w:val="00CC3613"/>
    <w:rsid w:val="00CC3C62"/>
    <w:rsid w:val="00CC4232"/>
    <w:rsid w:val="00CC51B5"/>
    <w:rsid w:val="00CC5C5F"/>
    <w:rsid w:val="00CC66A6"/>
    <w:rsid w:val="00CC7593"/>
    <w:rsid w:val="00CC781A"/>
    <w:rsid w:val="00CD0466"/>
    <w:rsid w:val="00CD0483"/>
    <w:rsid w:val="00CD04BC"/>
    <w:rsid w:val="00CD0626"/>
    <w:rsid w:val="00CD064E"/>
    <w:rsid w:val="00CD0BE8"/>
    <w:rsid w:val="00CD20E8"/>
    <w:rsid w:val="00CD21BC"/>
    <w:rsid w:val="00CD2855"/>
    <w:rsid w:val="00CD2C1C"/>
    <w:rsid w:val="00CD3279"/>
    <w:rsid w:val="00CD375E"/>
    <w:rsid w:val="00CD3D2B"/>
    <w:rsid w:val="00CD43B2"/>
    <w:rsid w:val="00CD497F"/>
    <w:rsid w:val="00CD4A3E"/>
    <w:rsid w:val="00CD5377"/>
    <w:rsid w:val="00CD58A1"/>
    <w:rsid w:val="00CD5BDA"/>
    <w:rsid w:val="00CD6102"/>
    <w:rsid w:val="00CD65FE"/>
    <w:rsid w:val="00CD669D"/>
    <w:rsid w:val="00CD6B0D"/>
    <w:rsid w:val="00CE08AF"/>
    <w:rsid w:val="00CE0D85"/>
    <w:rsid w:val="00CE0F03"/>
    <w:rsid w:val="00CE1FAF"/>
    <w:rsid w:val="00CE213A"/>
    <w:rsid w:val="00CE23F0"/>
    <w:rsid w:val="00CE26FC"/>
    <w:rsid w:val="00CE2BA1"/>
    <w:rsid w:val="00CE4FBD"/>
    <w:rsid w:val="00CE5545"/>
    <w:rsid w:val="00CE6449"/>
    <w:rsid w:val="00CE7260"/>
    <w:rsid w:val="00CE76A6"/>
    <w:rsid w:val="00CE7C1C"/>
    <w:rsid w:val="00CE7E6E"/>
    <w:rsid w:val="00CF123C"/>
    <w:rsid w:val="00CF12BA"/>
    <w:rsid w:val="00CF174B"/>
    <w:rsid w:val="00CF1896"/>
    <w:rsid w:val="00CF1E2D"/>
    <w:rsid w:val="00CF2F52"/>
    <w:rsid w:val="00CF306C"/>
    <w:rsid w:val="00CF37F0"/>
    <w:rsid w:val="00CF3B0C"/>
    <w:rsid w:val="00CF454A"/>
    <w:rsid w:val="00CF5136"/>
    <w:rsid w:val="00CF5528"/>
    <w:rsid w:val="00CF5ABF"/>
    <w:rsid w:val="00CF62DA"/>
    <w:rsid w:val="00CF72BD"/>
    <w:rsid w:val="00CF7449"/>
    <w:rsid w:val="00CF76DD"/>
    <w:rsid w:val="00CF798C"/>
    <w:rsid w:val="00D00E0A"/>
    <w:rsid w:val="00D01587"/>
    <w:rsid w:val="00D0195A"/>
    <w:rsid w:val="00D02663"/>
    <w:rsid w:val="00D02C7C"/>
    <w:rsid w:val="00D032E9"/>
    <w:rsid w:val="00D0372E"/>
    <w:rsid w:val="00D04011"/>
    <w:rsid w:val="00D05C72"/>
    <w:rsid w:val="00D05D31"/>
    <w:rsid w:val="00D05F43"/>
    <w:rsid w:val="00D0660B"/>
    <w:rsid w:val="00D0689D"/>
    <w:rsid w:val="00D06EDB"/>
    <w:rsid w:val="00D06F8C"/>
    <w:rsid w:val="00D0796F"/>
    <w:rsid w:val="00D07A05"/>
    <w:rsid w:val="00D12131"/>
    <w:rsid w:val="00D125F0"/>
    <w:rsid w:val="00D126DB"/>
    <w:rsid w:val="00D130B9"/>
    <w:rsid w:val="00D13416"/>
    <w:rsid w:val="00D13779"/>
    <w:rsid w:val="00D13A27"/>
    <w:rsid w:val="00D13D3A"/>
    <w:rsid w:val="00D1488A"/>
    <w:rsid w:val="00D151EA"/>
    <w:rsid w:val="00D158CF"/>
    <w:rsid w:val="00D15ABB"/>
    <w:rsid w:val="00D16142"/>
    <w:rsid w:val="00D16897"/>
    <w:rsid w:val="00D16F63"/>
    <w:rsid w:val="00D172D1"/>
    <w:rsid w:val="00D17BB9"/>
    <w:rsid w:val="00D17BEE"/>
    <w:rsid w:val="00D2034E"/>
    <w:rsid w:val="00D2130D"/>
    <w:rsid w:val="00D2193D"/>
    <w:rsid w:val="00D222D6"/>
    <w:rsid w:val="00D22DEB"/>
    <w:rsid w:val="00D239A5"/>
    <w:rsid w:val="00D2469F"/>
    <w:rsid w:val="00D24F63"/>
    <w:rsid w:val="00D25308"/>
    <w:rsid w:val="00D25B51"/>
    <w:rsid w:val="00D25E03"/>
    <w:rsid w:val="00D26045"/>
    <w:rsid w:val="00D26E67"/>
    <w:rsid w:val="00D27A22"/>
    <w:rsid w:val="00D304BB"/>
    <w:rsid w:val="00D30E02"/>
    <w:rsid w:val="00D317FB"/>
    <w:rsid w:val="00D31A68"/>
    <w:rsid w:val="00D31E68"/>
    <w:rsid w:val="00D32B30"/>
    <w:rsid w:val="00D32D57"/>
    <w:rsid w:val="00D332F7"/>
    <w:rsid w:val="00D33355"/>
    <w:rsid w:val="00D335F5"/>
    <w:rsid w:val="00D33B10"/>
    <w:rsid w:val="00D3452E"/>
    <w:rsid w:val="00D345F9"/>
    <w:rsid w:val="00D34D6F"/>
    <w:rsid w:val="00D34D87"/>
    <w:rsid w:val="00D34F00"/>
    <w:rsid w:val="00D35222"/>
    <w:rsid w:val="00D35870"/>
    <w:rsid w:val="00D35942"/>
    <w:rsid w:val="00D35A1A"/>
    <w:rsid w:val="00D35B2D"/>
    <w:rsid w:val="00D36170"/>
    <w:rsid w:val="00D362C4"/>
    <w:rsid w:val="00D368AD"/>
    <w:rsid w:val="00D36AEE"/>
    <w:rsid w:val="00D3743F"/>
    <w:rsid w:val="00D374E3"/>
    <w:rsid w:val="00D37778"/>
    <w:rsid w:val="00D37A4C"/>
    <w:rsid w:val="00D406EA"/>
    <w:rsid w:val="00D41220"/>
    <w:rsid w:val="00D416B1"/>
    <w:rsid w:val="00D41F7A"/>
    <w:rsid w:val="00D4300D"/>
    <w:rsid w:val="00D44B63"/>
    <w:rsid w:val="00D44D16"/>
    <w:rsid w:val="00D473DC"/>
    <w:rsid w:val="00D47563"/>
    <w:rsid w:val="00D4762B"/>
    <w:rsid w:val="00D478D6"/>
    <w:rsid w:val="00D479D3"/>
    <w:rsid w:val="00D50597"/>
    <w:rsid w:val="00D51FBA"/>
    <w:rsid w:val="00D526E3"/>
    <w:rsid w:val="00D52DE4"/>
    <w:rsid w:val="00D534A7"/>
    <w:rsid w:val="00D53BB9"/>
    <w:rsid w:val="00D53F7E"/>
    <w:rsid w:val="00D53F7F"/>
    <w:rsid w:val="00D542B7"/>
    <w:rsid w:val="00D5465C"/>
    <w:rsid w:val="00D54B76"/>
    <w:rsid w:val="00D54F45"/>
    <w:rsid w:val="00D551D0"/>
    <w:rsid w:val="00D553DC"/>
    <w:rsid w:val="00D5544D"/>
    <w:rsid w:val="00D554C8"/>
    <w:rsid w:val="00D560EE"/>
    <w:rsid w:val="00D56281"/>
    <w:rsid w:val="00D56343"/>
    <w:rsid w:val="00D5674B"/>
    <w:rsid w:val="00D56861"/>
    <w:rsid w:val="00D56A53"/>
    <w:rsid w:val="00D574E2"/>
    <w:rsid w:val="00D5761C"/>
    <w:rsid w:val="00D57D60"/>
    <w:rsid w:val="00D57F7C"/>
    <w:rsid w:val="00D60973"/>
    <w:rsid w:val="00D61B47"/>
    <w:rsid w:val="00D61CB1"/>
    <w:rsid w:val="00D61D71"/>
    <w:rsid w:val="00D62477"/>
    <w:rsid w:val="00D627AA"/>
    <w:rsid w:val="00D629F4"/>
    <w:rsid w:val="00D62FF7"/>
    <w:rsid w:val="00D631FD"/>
    <w:rsid w:val="00D636E5"/>
    <w:rsid w:val="00D638D2"/>
    <w:rsid w:val="00D65291"/>
    <w:rsid w:val="00D658BB"/>
    <w:rsid w:val="00D65F79"/>
    <w:rsid w:val="00D65FB4"/>
    <w:rsid w:val="00D66CA4"/>
    <w:rsid w:val="00D66F85"/>
    <w:rsid w:val="00D66F8D"/>
    <w:rsid w:val="00D67183"/>
    <w:rsid w:val="00D676C0"/>
    <w:rsid w:val="00D70D85"/>
    <w:rsid w:val="00D70E4D"/>
    <w:rsid w:val="00D715A4"/>
    <w:rsid w:val="00D7160E"/>
    <w:rsid w:val="00D71CC0"/>
    <w:rsid w:val="00D71F0E"/>
    <w:rsid w:val="00D730D4"/>
    <w:rsid w:val="00D736C5"/>
    <w:rsid w:val="00D74347"/>
    <w:rsid w:val="00D75798"/>
    <w:rsid w:val="00D766F6"/>
    <w:rsid w:val="00D76EC5"/>
    <w:rsid w:val="00D7758E"/>
    <w:rsid w:val="00D8060B"/>
    <w:rsid w:val="00D80719"/>
    <w:rsid w:val="00D808DB"/>
    <w:rsid w:val="00D80C2B"/>
    <w:rsid w:val="00D81B45"/>
    <w:rsid w:val="00D81DCA"/>
    <w:rsid w:val="00D82034"/>
    <w:rsid w:val="00D8250B"/>
    <w:rsid w:val="00D825D2"/>
    <w:rsid w:val="00D82E8E"/>
    <w:rsid w:val="00D82F4C"/>
    <w:rsid w:val="00D82FC0"/>
    <w:rsid w:val="00D83002"/>
    <w:rsid w:val="00D836A7"/>
    <w:rsid w:val="00D8422F"/>
    <w:rsid w:val="00D845A3"/>
    <w:rsid w:val="00D845C9"/>
    <w:rsid w:val="00D84BF3"/>
    <w:rsid w:val="00D85212"/>
    <w:rsid w:val="00D858EB"/>
    <w:rsid w:val="00D8621A"/>
    <w:rsid w:val="00D86226"/>
    <w:rsid w:val="00D86896"/>
    <w:rsid w:val="00D86D7C"/>
    <w:rsid w:val="00D8734E"/>
    <w:rsid w:val="00D873AB"/>
    <w:rsid w:val="00D876A4"/>
    <w:rsid w:val="00D87A83"/>
    <w:rsid w:val="00D9017C"/>
    <w:rsid w:val="00D902FC"/>
    <w:rsid w:val="00D9041A"/>
    <w:rsid w:val="00D90F8D"/>
    <w:rsid w:val="00D9120F"/>
    <w:rsid w:val="00D913DF"/>
    <w:rsid w:val="00D914AE"/>
    <w:rsid w:val="00D9200B"/>
    <w:rsid w:val="00D92330"/>
    <w:rsid w:val="00D92588"/>
    <w:rsid w:val="00D9279F"/>
    <w:rsid w:val="00D927C1"/>
    <w:rsid w:val="00D93AFB"/>
    <w:rsid w:val="00D93CCF"/>
    <w:rsid w:val="00D93F23"/>
    <w:rsid w:val="00D93F5C"/>
    <w:rsid w:val="00D941F8"/>
    <w:rsid w:val="00D955E3"/>
    <w:rsid w:val="00D959D7"/>
    <w:rsid w:val="00D95A4C"/>
    <w:rsid w:val="00D96946"/>
    <w:rsid w:val="00D96CA5"/>
    <w:rsid w:val="00D97103"/>
    <w:rsid w:val="00D97979"/>
    <w:rsid w:val="00D97F14"/>
    <w:rsid w:val="00DA02C5"/>
    <w:rsid w:val="00DA0BD0"/>
    <w:rsid w:val="00DA0CAE"/>
    <w:rsid w:val="00DA1B8D"/>
    <w:rsid w:val="00DA285F"/>
    <w:rsid w:val="00DA2FE2"/>
    <w:rsid w:val="00DA3532"/>
    <w:rsid w:val="00DA39EE"/>
    <w:rsid w:val="00DA3CEF"/>
    <w:rsid w:val="00DA4641"/>
    <w:rsid w:val="00DA46A1"/>
    <w:rsid w:val="00DA47F4"/>
    <w:rsid w:val="00DA4B3A"/>
    <w:rsid w:val="00DA50AB"/>
    <w:rsid w:val="00DA5206"/>
    <w:rsid w:val="00DA521A"/>
    <w:rsid w:val="00DA605D"/>
    <w:rsid w:val="00DA64DD"/>
    <w:rsid w:val="00DA7826"/>
    <w:rsid w:val="00DA78E1"/>
    <w:rsid w:val="00DA7DFB"/>
    <w:rsid w:val="00DB05DE"/>
    <w:rsid w:val="00DB06D1"/>
    <w:rsid w:val="00DB0EB5"/>
    <w:rsid w:val="00DB141B"/>
    <w:rsid w:val="00DB1480"/>
    <w:rsid w:val="00DB155F"/>
    <w:rsid w:val="00DB1708"/>
    <w:rsid w:val="00DB2016"/>
    <w:rsid w:val="00DB24D1"/>
    <w:rsid w:val="00DB28D7"/>
    <w:rsid w:val="00DB2C30"/>
    <w:rsid w:val="00DB2E19"/>
    <w:rsid w:val="00DB2F15"/>
    <w:rsid w:val="00DB328C"/>
    <w:rsid w:val="00DB36E9"/>
    <w:rsid w:val="00DB3823"/>
    <w:rsid w:val="00DB3AD2"/>
    <w:rsid w:val="00DB3C70"/>
    <w:rsid w:val="00DB3CBA"/>
    <w:rsid w:val="00DB3E4B"/>
    <w:rsid w:val="00DB4596"/>
    <w:rsid w:val="00DB5329"/>
    <w:rsid w:val="00DB535C"/>
    <w:rsid w:val="00DB56F7"/>
    <w:rsid w:val="00DB5AE6"/>
    <w:rsid w:val="00DB62FC"/>
    <w:rsid w:val="00DB6D70"/>
    <w:rsid w:val="00DB7365"/>
    <w:rsid w:val="00DB7E8F"/>
    <w:rsid w:val="00DC02ED"/>
    <w:rsid w:val="00DC0981"/>
    <w:rsid w:val="00DC0C45"/>
    <w:rsid w:val="00DC0D30"/>
    <w:rsid w:val="00DC1263"/>
    <w:rsid w:val="00DC1C8F"/>
    <w:rsid w:val="00DC28AF"/>
    <w:rsid w:val="00DC29AA"/>
    <w:rsid w:val="00DC357F"/>
    <w:rsid w:val="00DC3999"/>
    <w:rsid w:val="00DC3EEE"/>
    <w:rsid w:val="00DC4E16"/>
    <w:rsid w:val="00DC503A"/>
    <w:rsid w:val="00DC5B50"/>
    <w:rsid w:val="00DC5C2C"/>
    <w:rsid w:val="00DC6423"/>
    <w:rsid w:val="00DD00A5"/>
    <w:rsid w:val="00DD0D7A"/>
    <w:rsid w:val="00DD1063"/>
    <w:rsid w:val="00DD1693"/>
    <w:rsid w:val="00DD1F24"/>
    <w:rsid w:val="00DD21C9"/>
    <w:rsid w:val="00DD28FD"/>
    <w:rsid w:val="00DD2B74"/>
    <w:rsid w:val="00DD3758"/>
    <w:rsid w:val="00DD47F1"/>
    <w:rsid w:val="00DD4827"/>
    <w:rsid w:val="00DD4AA4"/>
    <w:rsid w:val="00DD4F1C"/>
    <w:rsid w:val="00DD4F63"/>
    <w:rsid w:val="00DD522B"/>
    <w:rsid w:val="00DD54EF"/>
    <w:rsid w:val="00DD6BC7"/>
    <w:rsid w:val="00DD772C"/>
    <w:rsid w:val="00DD7897"/>
    <w:rsid w:val="00DD7CF5"/>
    <w:rsid w:val="00DD7D21"/>
    <w:rsid w:val="00DE10FC"/>
    <w:rsid w:val="00DE1466"/>
    <w:rsid w:val="00DE28C7"/>
    <w:rsid w:val="00DE2C0E"/>
    <w:rsid w:val="00DE2F20"/>
    <w:rsid w:val="00DE35DD"/>
    <w:rsid w:val="00DE393A"/>
    <w:rsid w:val="00DE393D"/>
    <w:rsid w:val="00DE3B10"/>
    <w:rsid w:val="00DE43D8"/>
    <w:rsid w:val="00DE4A2C"/>
    <w:rsid w:val="00DE563A"/>
    <w:rsid w:val="00DE5FCB"/>
    <w:rsid w:val="00DE63FE"/>
    <w:rsid w:val="00DE671F"/>
    <w:rsid w:val="00DE6A41"/>
    <w:rsid w:val="00DE6C65"/>
    <w:rsid w:val="00DE6CB3"/>
    <w:rsid w:val="00DE7045"/>
    <w:rsid w:val="00DE7653"/>
    <w:rsid w:val="00DE765D"/>
    <w:rsid w:val="00DE7CE6"/>
    <w:rsid w:val="00DF0135"/>
    <w:rsid w:val="00DF067A"/>
    <w:rsid w:val="00DF0E8D"/>
    <w:rsid w:val="00DF13B1"/>
    <w:rsid w:val="00DF1A9B"/>
    <w:rsid w:val="00DF1D70"/>
    <w:rsid w:val="00DF2624"/>
    <w:rsid w:val="00DF2A01"/>
    <w:rsid w:val="00DF32FC"/>
    <w:rsid w:val="00DF3A9A"/>
    <w:rsid w:val="00DF3E12"/>
    <w:rsid w:val="00DF4096"/>
    <w:rsid w:val="00DF42D1"/>
    <w:rsid w:val="00DF42FE"/>
    <w:rsid w:val="00DF4D3E"/>
    <w:rsid w:val="00DF6766"/>
    <w:rsid w:val="00DF6A8B"/>
    <w:rsid w:val="00DF7457"/>
    <w:rsid w:val="00DF75B0"/>
    <w:rsid w:val="00DF7883"/>
    <w:rsid w:val="00E00989"/>
    <w:rsid w:val="00E00B14"/>
    <w:rsid w:val="00E00FE9"/>
    <w:rsid w:val="00E021A8"/>
    <w:rsid w:val="00E02218"/>
    <w:rsid w:val="00E02E56"/>
    <w:rsid w:val="00E030D8"/>
    <w:rsid w:val="00E04046"/>
    <w:rsid w:val="00E04857"/>
    <w:rsid w:val="00E048FC"/>
    <w:rsid w:val="00E04AF3"/>
    <w:rsid w:val="00E060EF"/>
    <w:rsid w:val="00E062AE"/>
    <w:rsid w:val="00E06528"/>
    <w:rsid w:val="00E066BA"/>
    <w:rsid w:val="00E0679B"/>
    <w:rsid w:val="00E06ABB"/>
    <w:rsid w:val="00E07E8D"/>
    <w:rsid w:val="00E07F7C"/>
    <w:rsid w:val="00E106BA"/>
    <w:rsid w:val="00E1106F"/>
    <w:rsid w:val="00E112CE"/>
    <w:rsid w:val="00E119DE"/>
    <w:rsid w:val="00E12A9A"/>
    <w:rsid w:val="00E1413A"/>
    <w:rsid w:val="00E1460D"/>
    <w:rsid w:val="00E1478F"/>
    <w:rsid w:val="00E151B2"/>
    <w:rsid w:val="00E15405"/>
    <w:rsid w:val="00E157F9"/>
    <w:rsid w:val="00E15EEF"/>
    <w:rsid w:val="00E16130"/>
    <w:rsid w:val="00E16BD2"/>
    <w:rsid w:val="00E17057"/>
    <w:rsid w:val="00E17F6B"/>
    <w:rsid w:val="00E21313"/>
    <w:rsid w:val="00E214B9"/>
    <w:rsid w:val="00E21501"/>
    <w:rsid w:val="00E222F7"/>
    <w:rsid w:val="00E224CC"/>
    <w:rsid w:val="00E229C7"/>
    <w:rsid w:val="00E22B16"/>
    <w:rsid w:val="00E22E00"/>
    <w:rsid w:val="00E231DF"/>
    <w:rsid w:val="00E23AE1"/>
    <w:rsid w:val="00E24008"/>
    <w:rsid w:val="00E24730"/>
    <w:rsid w:val="00E247C2"/>
    <w:rsid w:val="00E24A71"/>
    <w:rsid w:val="00E25817"/>
    <w:rsid w:val="00E25A02"/>
    <w:rsid w:val="00E265DA"/>
    <w:rsid w:val="00E267D9"/>
    <w:rsid w:val="00E26E72"/>
    <w:rsid w:val="00E26FA7"/>
    <w:rsid w:val="00E271FF"/>
    <w:rsid w:val="00E2754E"/>
    <w:rsid w:val="00E2774E"/>
    <w:rsid w:val="00E27FA9"/>
    <w:rsid w:val="00E300B9"/>
    <w:rsid w:val="00E30D1E"/>
    <w:rsid w:val="00E3104D"/>
    <w:rsid w:val="00E32049"/>
    <w:rsid w:val="00E320B6"/>
    <w:rsid w:val="00E32B43"/>
    <w:rsid w:val="00E336A9"/>
    <w:rsid w:val="00E3394F"/>
    <w:rsid w:val="00E33C63"/>
    <w:rsid w:val="00E33D6D"/>
    <w:rsid w:val="00E354E7"/>
    <w:rsid w:val="00E355AE"/>
    <w:rsid w:val="00E35613"/>
    <w:rsid w:val="00E35963"/>
    <w:rsid w:val="00E35A51"/>
    <w:rsid w:val="00E35EE5"/>
    <w:rsid w:val="00E361ED"/>
    <w:rsid w:val="00E3656E"/>
    <w:rsid w:val="00E3671F"/>
    <w:rsid w:val="00E36723"/>
    <w:rsid w:val="00E36BFB"/>
    <w:rsid w:val="00E36CE6"/>
    <w:rsid w:val="00E375EA"/>
    <w:rsid w:val="00E4052D"/>
    <w:rsid w:val="00E4184A"/>
    <w:rsid w:val="00E42051"/>
    <w:rsid w:val="00E425C4"/>
    <w:rsid w:val="00E43A35"/>
    <w:rsid w:val="00E448C4"/>
    <w:rsid w:val="00E452A5"/>
    <w:rsid w:val="00E4533C"/>
    <w:rsid w:val="00E45FFB"/>
    <w:rsid w:val="00E460B3"/>
    <w:rsid w:val="00E46B2F"/>
    <w:rsid w:val="00E46D22"/>
    <w:rsid w:val="00E4749B"/>
    <w:rsid w:val="00E47C37"/>
    <w:rsid w:val="00E47D9A"/>
    <w:rsid w:val="00E50675"/>
    <w:rsid w:val="00E506B6"/>
    <w:rsid w:val="00E50A6A"/>
    <w:rsid w:val="00E50BB9"/>
    <w:rsid w:val="00E51997"/>
    <w:rsid w:val="00E51A5B"/>
    <w:rsid w:val="00E52673"/>
    <w:rsid w:val="00E526B9"/>
    <w:rsid w:val="00E528B7"/>
    <w:rsid w:val="00E53D0F"/>
    <w:rsid w:val="00E54047"/>
    <w:rsid w:val="00E5435D"/>
    <w:rsid w:val="00E55C07"/>
    <w:rsid w:val="00E55D85"/>
    <w:rsid w:val="00E56175"/>
    <w:rsid w:val="00E5703D"/>
    <w:rsid w:val="00E57E6C"/>
    <w:rsid w:val="00E6013B"/>
    <w:rsid w:val="00E603C0"/>
    <w:rsid w:val="00E60EE0"/>
    <w:rsid w:val="00E60F0D"/>
    <w:rsid w:val="00E61163"/>
    <w:rsid w:val="00E618E0"/>
    <w:rsid w:val="00E620CD"/>
    <w:rsid w:val="00E62C5A"/>
    <w:rsid w:val="00E63387"/>
    <w:rsid w:val="00E63798"/>
    <w:rsid w:val="00E64B88"/>
    <w:rsid w:val="00E65654"/>
    <w:rsid w:val="00E66016"/>
    <w:rsid w:val="00E675D7"/>
    <w:rsid w:val="00E67672"/>
    <w:rsid w:val="00E705B1"/>
    <w:rsid w:val="00E70C4C"/>
    <w:rsid w:val="00E7119E"/>
    <w:rsid w:val="00E71510"/>
    <w:rsid w:val="00E71569"/>
    <w:rsid w:val="00E71934"/>
    <w:rsid w:val="00E71A79"/>
    <w:rsid w:val="00E726CA"/>
    <w:rsid w:val="00E72C97"/>
    <w:rsid w:val="00E72D1F"/>
    <w:rsid w:val="00E73404"/>
    <w:rsid w:val="00E73532"/>
    <w:rsid w:val="00E735D2"/>
    <w:rsid w:val="00E735F6"/>
    <w:rsid w:val="00E7361E"/>
    <w:rsid w:val="00E73709"/>
    <w:rsid w:val="00E73DD3"/>
    <w:rsid w:val="00E73EC8"/>
    <w:rsid w:val="00E74A23"/>
    <w:rsid w:val="00E751DB"/>
    <w:rsid w:val="00E75425"/>
    <w:rsid w:val="00E75701"/>
    <w:rsid w:val="00E75719"/>
    <w:rsid w:val="00E75ECA"/>
    <w:rsid w:val="00E774FB"/>
    <w:rsid w:val="00E7788A"/>
    <w:rsid w:val="00E77A8B"/>
    <w:rsid w:val="00E80424"/>
    <w:rsid w:val="00E80F50"/>
    <w:rsid w:val="00E81EDC"/>
    <w:rsid w:val="00E82779"/>
    <w:rsid w:val="00E827DF"/>
    <w:rsid w:val="00E8291E"/>
    <w:rsid w:val="00E82DF1"/>
    <w:rsid w:val="00E83157"/>
    <w:rsid w:val="00E83F35"/>
    <w:rsid w:val="00E8410E"/>
    <w:rsid w:val="00E849F6"/>
    <w:rsid w:val="00E8521D"/>
    <w:rsid w:val="00E85389"/>
    <w:rsid w:val="00E854DD"/>
    <w:rsid w:val="00E85918"/>
    <w:rsid w:val="00E8604F"/>
    <w:rsid w:val="00E8615D"/>
    <w:rsid w:val="00E86A3D"/>
    <w:rsid w:val="00E86AC8"/>
    <w:rsid w:val="00E87095"/>
    <w:rsid w:val="00E8727C"/>
    <w:rsid w:val="00E87826"/>
    <w:rsid w:val="00E916D4"/>
    <w:rsid w:val="00E9195E"/>
    <w:rsid w:val="00E91983"/>
    <w:rsid w:val="00E94742"/>
    <w:rsid w:val="00E9481C"/>
    <w:rsid w:val="00E949C6"/>
    <w:rsid w:val="00E94C3E"/>
    <w:rsid w:val="00E94ECD"/>
    <w:rsid w:val="00E954E4"/>
    <w:rsid w:val="00E957CB"/>
    <w:rsid w:val="00E96FF9"/>
    <w:rsid w:val="00E97247"/>
    <w:rsid w:val="00E97C2B"/>
    <w:rsid w:val="00EA0180"/>
    <w:rsid w:val="00EA0465"/>
    <w:rsid w:val="00EA081D"/>
    <w:rsid w:val="00EA0C14"/>
    <w:rsid w:val="00EA1430"/>
    <w:rsid w:val="00EA260F"/>
    <w:rsid w:val="00EA2C4B"/>
    <w:rsid w:val="00EA3142"/>
    <w:rsid w:val="00EA43C1"/>
    <w:rsid w:val="00EA463B"/>
    <w:rsid w:val="00EA4AFF"/>
    <w:rsid w:val="00EA50A1"/>
    <w:rsid w:val="00EA60D8"/>
    <w:rsid w:val="00EA6BC9"/>
    <w:rsid w:val="00EA76BF"/>
    <w:rsid w:val="00EA7727"/>
    <w:rsid w:val="00EA7A40"/>
    <w:rsid w:val="00EB02E6"/>
    <w:rsid w:val="00EB1304"/>
    <w:rsid w:val="00EB1D5B"/>
    <w:rsid w:val="00EB2696"/>
    <w:rsid w:val="00EB2958"/>
    <w:rsid w:val="00EB33EA"/>
    <w:rsid w:val="00EB3567"/>
    <w:rsid w:val="00EB397F"/>
    <w:rsid w:val="00EB3D5E"/>
    <w:rsid w:val="00EB3FC3"/>
    <w:rsid w:val="00EB42B0"/>
    <w:rsid w:val="00EB45FA"/>
    <w:rsid w:val="00EB4AAA"/>
    <w:rsid w:val="00EB4D93"/>
    <w:rsid w:val="00EB4E08"/>
    <w:rsid w:val="00EB581E"/>
    <w:rsid w:val="00EB5862"/>
    <w:rsid w:val="00EB58FA"/>
    <w:rsid w:val="00EB5963"/>
    <w:rsid w:val="00EB59D0"/>
    <w:rsid w:val="00EB5EFB"/>
    <w:rsid w:val="00EB663E"/>
    <w:rsid w:val="00EB6DB6"/>
    <w:rsid w:val="00EB6F2C"/>
    <w:rsid w:val="00EC00BA"/>
    <w:rsid w:val="00EC0183"/>
    <w:rsid w:val="00EC0968"/>
    <w:rsid w:val="00EC1160"/>
    <w:rsid w:val="00EC15CF"/>
    <w:rsid w:val="00EC16B6"/>
    <w:rsid w:val="00EC1FA6"/>
    <w:rsid w:val="00EC2220"/>
    <w:rsid w:val="00EC23A0"/>
    <w:rsid w:val="00EC2578"/>
    <w:rsid w:val="00EC29B9"/>
    <w:rsid w:val="00EC2AEB"/>
    <w:rsid w:val="00EC339D"/>
    <w:rsid w:val="00EC3626"/>
    <w:rsid w:val="00EC46B3"/>
    <w:rsid w:val="00EC49D0"/>
    <w:rsid w:val="00EC608E"/>
    <w:rsid w:val="00EC6C11"/>
    <w:rsid w:val="00EC70FF"/>
    <w:rsid w:val="00EC77A9"/>
    <w:rsid w:val="00EC7B23"/>
    <w:rsid w:val="00ED03EF"/>
    <w:rsid w:val="00ED0ACF"/>
    <w:rsid w:val="00ED1A2D"/>
    <w:rsid w:val="00ED1A7E"/>
    <w:rsid w:val="00ED1D37"/>
    <w:rsid w:val="00ED1FD5"/>
    <w:rsid w:val="00ED2B23"/>
    <w:rsid w:val="00ED2CBC"/>
    <w:rsid w:val="00ED38A1"/>
    <w:rsid w:val="00ED3929"/>
    <w:rsid w:val="00ED499B"/>
    <w:rsid w:val="00ED5544"/>
    <w:rsid w:val="00ED5940"/>
    <w:rsid w:val="00ED5E7B"/>
    <w:rsid w:val="00ED657B"/>
    <w:rsid w:val="00ED6642"/>
    <w:rsid w:val="00ED6A36"/>
    <w:rsid w:val="00ED6D86"/>
    <w:rsid w:val="00ED6E30"/>
    <w:rsid w:val="00ED70B7"/>
    <w:rsid w:val="00ED7282"/>
    <w:rsid w:val="00ED72C6"/>
    <w:rsid w:val="00ED794E"/>
    <w:rsid w:val="00EE001B"/>
    <w:rsid w:val="00EE00D4"/>
    <w:rsid w:val="00EE0E46"/>
    <w:rsid w:val="00EE16A1"/>
    <w:rsid w:val="00EE1B92"/>
    <w:rsid w:val="00EE2165"/>
    <w:rsid w:val="00EE2968"/>
    <w:rsid w:val="00EE2E23"/>
    <w:rsid w:val="00EE3007"/>
    <w:rsid w:val="00EE3213"/>
    <w:rsid w:val="00EE39DD"/>
    <w:rsid w:val="00EE39E7"/>
    <w:rsid w:val="00EE5EEB"/>
    <w:rsid w:val="00EE5F32"/>
    <w:rsid w:val="00EE6144"/>
    <w:rsid w:val="00EE6170"/>
    <w:rsid w:val="00EE7624"/>
    <w:rsid w:val="00EF01F6"/>
    <w:rsid w:val="00EF03A0"/>
    <w:rsid w:val="00EF0BD0"/>
    <w:rsid w:val="00EF0BE0"/>
    <w:rsid w:val="00EF16FF"/>
    <w:rsid w:val="00EF1880"/>
    <w:rsid w:val="00EF1AF1"/>
    <w:rsid w:val="00EF1EC0"/>
    <w:rsid w:val="00EF28A0"/>
    <w:rsid w:val="00EF2E1F"/>
    <w:rsid w:val="00EF3376"/>
    <w:rsid w:val="00EF390C"/>
    <w:rsid w:val="00EF3F8C"/>
    <w:rsid w:val="00EF492A"/>
    <w:rsid w:val="00EF4EC0"/>
    <w:rsid w:val="00EF50F2"/>
    <w:rsid w:val="00EF5134"/>
    <w:rsid w:val="00EF579B"/>
    <w:rsid w:val="00EF5804"/>
    <w:rsid w:val="00EF58C2"/>
    <w:rsid w:val="00EF6BEA"/>
    <w:rsid w:val="00EF7490"/>
    <w:rsid w:val="00EF7B59"/>
    <w:rsid w:val="00F00548"/>
    <w:rsid w:val="00F00FAB"/>
    <w:rsid w:val="00F0104A"/>
    <w:rsid w:val="00F01065"/>
    <w:rsid w:val="00F0112D"/>
    <w:rsid w:val="00F01305"/>
    <w:rsid w:val="00F01492"/>
    <w:rsid w:val="00F01BE9"/>
    <w:rsid w:val="00F02F4F"/>
    <w:rsid w:val="00F0371F"/>
    <w:rsid w:val="00F03904"/>
    <w:rsid w:val="00F03B75"/>
    <w:rsid w:val="00F0413B"/>
    <w:rsid w:val="00F04154"/>
    <w:rsid w:val="00F042AB"/>
    <w:rsid w:val="00F06353"/>
    <w:rsid w:val="00F06696"/>
    <w:rsid w:val="00F07054"/>
    <w:rsid w:val="00F07498"/>
    <w:rsid w:val="00F07D62"/>
    <w:rsid w:val="00F109D6"/>
    <w:rsid w:val="00F109E9"/>
    <w:rsid w:val="00F11022"/>
    <w:rsid w:val="00F110E9"/>
    <w:rsid w:val="00F11130"/>
    <w:rsid w:val="00F12A7A"/>
    <w:rsid w:val="00F132E6"/>
    <w:rsid w:val="00F134C7"/>
    <w:rsid w:val="00F14060"/>
    <w:rsid w:val="00F14338"/>
    <w:rsid w:val="00F14E13"/>
    <w:rsid w:val="00F151CE"/>
    <w:rsid w:val="00F16D96"/>
    <w:rsid w:val="00F17871"/>
    <w:rsid w:val="00F17EF8"/>
    <w:rsid w:val="00F203A0"/>
    <w:rsid w:val="00F2174E"/>
    <w:rsid w:val="00F218CF"/>
    <w:rsid w:val="00F21D30"/>
    <w:rsid w:val="00F22041"/>
    <w:rsid w:val="00F22401"/>
    <w:rsid w:val="00F225EC"/>
    <w:rsid w:val="00F22F80"/>
    <w:rsid w:val="00F2326E"/>
    <w:rsid w:val="00F2337D"/>
    <w:rsid w:val="00F2372A"/>
    <w:rsid w:val="00F23B63"/>
    <w:rsid w:val="00F25E88"/>
    <w:rsid w:val="00F26293"/>
    <w:rsid w:val="00F26318"/>
    <w:rsid w:val="00F26570"/>
    <w:rsid w:val="00F26920"/>
    <w:rsid w:val="00F273DA"/>
    <w:rsid w:val="00F27796"/>
    <w:rsid w:val="00F279CF"/>
    <w:rsid w:val="00F27A50"/>
    <w:rsid w:val="00F301CB"/>
    <w:rsid w:val="00F30438"/>
    <w:rsid w:val="00F31794"/>
    <w:rsid w:val="00F31901"/>
    <w:rsid w:val="00F31AFF"/>
    <w:rsid w:val="00F31BB6"/>
    <w:rsid w:val="00F31DB6"/>
    <w:rsid w:val="00F321B0"/>
    <w:rsid w:val="00F32417"/>
    <w:rsid w:val="00F325B4"/>
    <w:rsid w:val="00F32B38"/>
    <w:rsid w:val="00F32D41"/>
    <w:rsid w:val="00F33CED"/>
    <w:rsid w:val="00F34147"/>
    <w:rsid w:val="00F34149"/>
    <w:rsid w:val="00F35386"/>
    <w:rsid w:val="00F354EC"/>
    <w:rsid w:val="00F35E25"/>
    <w:rsid w:val="00F367D4"/>
    <w:rsid w:val="00F36C54"/>
    <w:rsid w:val="00F379D2"/>
    <w:rsid w:val="00F40278"/>
    <w:rsid w:val="00F40BC6"/>
    <w:rsid w:val="00F40CBE"/>
    <w:rsid w:val="00F40FBF"/>
    <w:rsid w:val="00F41396"/>
    <w:rsid w:val="00F4175F"/>
    <w:rsid w:val="00F41A91"/>
    <w:rsid w:val="00F41AA9"/>
    <w:rsid w:val="00F41FF0"/>
    <w:rsid w:val="00F421AC"/>
    <w:rsid w:val="00F4347F"/>
    <w:rsid w:val="00F43C86"/>
    <w:rsid w:val="00F43E65"/>
    <w:rsid w:val="00F4406D"/>
    <w:rsid w:val="00F44195"/>
    <w:rsid w:val="00F44D71"/>
    <w:rsid w:val="00F451AE"/>
    <w:rsid w:val="00F46AB4"/>
    <w:rsid w:val="00F4701B"/>
    <w:rsid w:val="00F4723D"/>
    <w:rsid w:val="00F4767F"/>
    <w:rsid w:val="00F47AF8"/>
    <w:rsid w:val="00F50EDB"/>
    <w:rsid w:val="00F51089"/>
    <w:rsid w:val="00F512D6"/>
    <w:rsid w:val="00F51CAA"/>
    <w:rsid w:val="00F520EA"/>
    <w:rsid w:val="00F52962"/>
    <w:rsid w:val="00F52A3D"/>
    <w:rsid w:val="00F53560"/>
    <w:rsid w:val="00F53687"/>
    <w:rsid w:val="00F53A11"/>
    <w:rsid w:val="00F53DAA"/>
    <w:rsid w:val="00F53DCD"/>
    <w:rsid w:val="00F540CF"/>
    <w:rsid w:val="00F5486C"/>
    <w:rsid w:val="00F54E62"/>
    <w:rsid w:val="00F551E3"/>
    <w:rsid w:val="00F551ED"/>
    <w:rsid w:val="00F55694"/>
    <w:rsid w:val="00F5576F"/>
    <w:rsid w:val="00F557EA"/>
    <w:rsid w:val="00F55FD5"/>
    <w:rsid w:val="00F5640E"/>
    <w:rsid w:val="00F56D57"/>
    <w:rsid w:val="00F56DB0"/>
    <w:rsid w:val="00F56F50"/>
    <w:rsid w:val="00F57A35"/>
    <w:rsid w:val="00F6042E"/>
    <w:rsid w:val="00F60C57"/>
    <w:rsid w:val="00F61742"/>
    <w:rsid w:val="00F624D4"/>
    <w:rsid w:val="00F624EB"/>
    <w:rsid w:val="00F62AB4"/>
    <w:rsid w:val="00F631EA"/>
    <w:rsid w:val="00F63324"/>
    <w:rsid w:val="00F6465A"/>
    <w:rsid w:val="00F6549D"/>
    <w:rsid w:val="00F65561"/>
    <w:rsid w:val="00F6566E"/>
    <w:rsid w:val="00F657AE"/>
    <w:rsid w:val="00F658C2"/>
    <w:rsid w:val="00F65B68"/>
    <w:rsid w:val="00F660B3"/>
    <w:rsid w:val="00F66E7B"/>
    <w:rsid w:val="00F672AA"/>
    <w:rsid w:val="00F67CB0"/>
    <w:rsid w:val="00F7045A"/>
    <w:rsid w:val="00F707AB"/>
    <w:rsid w:val="00F711B4"/>
    <w:rsid w:val="00F711B5"/>
    <w:rsid w:val="00F714EC"/>
    <w:rsid w:val="00F718D5"/>
    <w:rsid w:val="00F71AC3"/>
    <w:rsid w:val="00F71CB0"/>
    <w:rsid w:val="00F72232"/>
    <w:rsid w:val="00F72577"/>
    <w:rsid w:val="00F72D08"/>
    <w:rsid w:val="00F736FC"/>
    <w:rsid w:val="00F7424E"/>
    <w:rsid w:val="00F7427B"/>
    <w:rsid w:val="00F7487E"/>
    <w:rsid w:val="00F74FC2"/>
    <w:rsid w:val="00F75497"/>
    <w:rsid w:val="00F75837"/>
    <w:rsid w:val="00F7659B"/>
    <w:rsid w:val="00F76669"/>
    <w:rsid w:val="00F77A49"/>
    <w:rsid w:val="00F77C73"/>
    <w:rsid w:val="00F77E6A"/>
    <w:rsid w:val="00F80507"/>
    <w:rsid w:val="00F80536"/>
    <w:rsid w:val="00F80A5D"/>
    <w:rsid w:val="00F80EF1"/>
    <w:rsid w:val="00F81031"/>
    <w:rsid w:val="00F81437"/>
    <w:rsid w:val="00F815A6"/>
    <w:rsid w:val="00F8181E"/>
    <w:rsid w:val="00F81DF0"/>
    <w:rsid w:val="00F82628"/>
    <w:rsid w:val="00F83FC5"/>
    <w:rsid w:val="00F85055"/>
    <w:rsid w:val="00F859ED"/>
    <w:rsid w:val="00F8663E"/>
    <w:rsid w:val="00F86733"/>
    <w:rsid w:val="00F86BB3"/>
    <w:rsid w:val="00F86FF9"/>
    <w:rsid w:val="00F8736C"/>
    <w:rsid w:val="00F8785A"/>
    <w:rsid w:val="00F87A9A"/>
    <w:rsid w:val="00F87AB7"/>
    <w:rsid w:val="00F90288"/>
    <w:rsid w:val="00F916A1"/>
    <w:rsid w:val="00F91B00"/>
    <w:rsid w:val="00F91D3C"/>
    <w:rsid w:val="00F934F1"/>
    <w:rsid w:val="00F935A6"/>
    <w:rsid w:val="00F94243"/>
    <w:rsid w:val="00F94593"/>
    <w:rsid w:val="00F94903"/>
    <w:rsid w:val="00F95564"/>
    <w:rsid w:val="00F95EE7"/>
    <w:rsid w:val="00F95F44"/>
    <w:rsid w:val="00F9752A"/>
    <w:rsid w:val="00F975F0"/>
    <w:rsid w:val="00F97CE7"/>
    <w:rsid w:val="00FA0467"/>
    <w:rsid w:val="00FA054E"/>
    <w:rsid w:val="00FA156E"/>
    <w:rsid w:val="00FA1A30"/>
    <w:rsid w:val="00FA2093"/>
    <w:rsid w:val="00FA27B9"/>
    <w:rsid w:val="00FA28B0"/>
    <w:rsid w:val="00FA2B69"/>
    <w:rsid w:val="00FA311D"/>
    <w:rsid w:val="00FA50B6"/>
    <w:rsid w:val="00FA618F"/>
    <w:rsid w:val="00FA689D"/>
    <w:rsid w:val="00FA6AB9"/>
    <w:rsid w:val="00FA6E16"/>
    <w:rsid w:val="00FA7265"/>
    <w:rsid w:val="00FA72BC"/>
    <w:rsid w:val="00FB0B01"/>
    <w:rsid w:val="00FB1B76"/>
    <w:rsid w:val="00FB1C45"/>
    <w:rsid w:val="00FB1EF0"/>
    <w:rsid w:val="00FB2766"/>
    <w:rsid w:val="00FB2FD5"/>
    <w:rsid w:val="00FB3098"/>
    <w:rsid w:val="00FB39A5"/>
    <w:rsid w:val="00FB3B23"/>
    <w:rsid w:val="00FB49A6"/>
    <w:rsid w:val="00FB49DF"/>
    <w:rsid w:val="00FB5886"/>
    <w:rsid w:val="00FB5FF8"/>
    <w:rsid w:val="00FB6711"/>
    <w:rsid w:val="00FB695F"/>
    <w:rsid w:val="00FB6D77"/>
    <w:rsid w:val="00FB7308"/>
    <w:rsid w:val="00FB775E"/>
    <w:rsid w:val="00FB77ED"/>
    <w:rsid w:val="00FB78CC"/>
    <w:rsid w:val="00FC0B02"/>
    <w:rsid w:val="00FC0B5C"/>
    <w:rsid w:val="00FC1551"/>
    <w:rsid w:val="00FC16C6"/>
    <w:rsid w:val="00FC1C37"/>
    <w:rsid w:val="00FC1F78"/>
    <w:rsid w:val="00FC28EA"/>
    <w:rsid w:val="00FC298B"/>
    <w:rsid w:val="00FC2CB4"/>
    <w:rsid w:val="00FC2E81"/>
    <w:rsid w:val="00FC3C0B"/>
    <w:rsid w:val="00FC44F3"/>
    <w:rsid w:val="00FC4973"/>
    <w:rsid w:val="00FC5498"/>
    <w:rsid w:val="00FC5A4F"/>
    <w:rsid w:val="00FC6013"/>
    <w:rsid w:val="00FC6BAD"/>
    <w:rsid w:val="00FC6E24"/>
    <w:rsid w:val="00FC720E"/>
    <w:rsid w:val="00FC72EB"/>
    <w:rsid w:val="00FC7644"/>
    <w:rsid w:val="00FC7BCA"/>
    <w:rsid w:val="00FC7FA0"/>
    <w:rsid w:val="00FD004B"/>
    <w:rsid w:val="00FD037C"/>
    <w:rsid w:val="00FD0C36"/>
    <w:rsid w:val="00FD1023"/>
    <w:rsid w:val="00FD1454"/>
    <w:rsid w:val="00FD19F5"/>
    <w:rsid w:val="00FD1F00"/>
    <w:rsid w:val="00FD218C"/>
    <w:rsid w:val="00FD237A"/>
    <w:rsid w:val="00FD2395"/>
    <w:rsid w:val="00FD2580"/>
    <w:rsid w:val="00FD2607"/>
    <w:rsid w:val="00FD343A"/>
    <w:rsid w:val="00FD5557"/>
    <w:rsid w:val="00FD5F94"/>
    <w:rsid w:val="00FD6174"/>
    <w:rsid w:val="00FD6398"/>
    <w:rsid w:val="00FD643D"/>
    <w:rsid w:val="00FD6B29"/>
    <w:rsid w:val="00FD6B90"/>
    <w:rsid w:val="00FD6E14"/>
    <w:rsid w:val="00FD7035"/>
    <w:rsid w:val="00FD77E2"/>
    <w:rsid w:val="00FD7CC4"/>
    <w:rsid w:val="00FE01EF"/>
    <w:rsid w:val="00FE1201"/>
    <w:rsid w:val="00FE1E04"/>
    <w:rsid w:val="00FE29A4"/>
    <w:rsid w:val="00FE2A4D"/>
    <w:rsid w:val="00FE4559"/>
    <w:rsid w:val="00FE4A89"/>
    <w:rsid w:val="00FE55D5"/>
    <w:rsid w:val="00FE58E5"/>
    <w:rsid w:val="00FE5F38"/>
    <w:rsid w:val="00FE6463"/>
    <w:rsid w:val="00FE702E"/>
    <w:rsid w:val="00FF053C"/>
    <w:rsid w:val="00FF0549"/>
    <w:rsid w:val="00FF0815"/>
    <w:rsid w:val="00FF0E06"/>
    <w:rsid w:val="00FF0F33"/>
    <w:rsid w:val="00FF12AB"/>
    <w:rsid w:val="00FF1E07"/>
    <w:rsid w:val="00FF287E"/>
    <w:rsid w:val="00FF3E36"/>
    <w:rsid w:val="00FF40D2"/>
    <w:rsid w:val="00FF4202"/>
    <w:rsid w:val="00FF5792"/>
    <w:rsid w:val="00FF5945"/>
    <w:rsid w:val="00FF61E0"/>
    <w:rsid w:val="00FF64C1"/>
    <w:rsid w:val="00FF6B4F"/>
    <w:rsid w:val="00FF7931"/>
    <w:rsid w:val="00FF7DF3"/>
    <w:rsid w:val="01087921"/>
    <w:rsid w:val="013740C7"/>
    <w:rsid w:val="013A0983"/>
    <w:rsid w:val="01657547"/>
    <w:rsid w:val="01DF0B44"/>
    <w:rsid w:val="01E50D53"/>
    <w:rsid w:val="01F01484"/>
    <w:rsid w:val="020C49A1"/>
    <w:rsid w:val="02462873"/>
    <w:rsid w:val="025979B0"/>
    <w:rsid w:val="025A2A49"/>
    <w:rsid w:val="025D250C"/>
    <w:rsid w:val="025F4F14"/>
    <w:rsid w:val="02761525"/>
    <w:rsid w:val="029313AF"/>
    <w:rsid w:val="034E4A80"/>
    <w:rsid w:val="035832E5"/>
    <w:rsid w:val="03947B1F"/>
    <w:rsid w:val="03A60CAF"/>
    <w:rsid w:val="03AC6AE9"/>
    <w:rsid w:val="03BB7FBE"/>
    <w:rsid w:val="040C2682"/>
    <w:rsid w:val="0472170A"/>
    <w:rsid w:val="04876132"/>
    <w:rsid w:val="04B026FF"/>
    <w:rsid w:val="0501275A"/>
    <w:rsid w:val="0510062E"/>
    <w:rsid w:val="05187EB4"/>
    <w:rsid w:val="05281683"/>
    <w:rsid w:val="05B71D21"/>
    <w:rsid w:val="05D51D1D"/>
    <w:rsid w:val="063B16BD"/>
    <w:rsid w:val="065664E8"/>
    <w:rsid w:val="06677F89"/>
    <w:rsid w:val="068721B0"/>
    <w:rsid w:val="06DB481E"/>
    <w:rsid w:val="06DC05C8"/>
    <w:rsid w:val="06F058E2"/>
    <w:rsid w:val="06F17BC9"/>
    <w:rsid w:val="070457D8"/>
    <w:rsid w:val="071807FD"/>
    <w:rsid w:val="072B5543"/>
    <w:rsid w:val="072C0774"/>
    <w:rsid w:val="072F3960"/>
    <w:rsid w:val="074C3154"/>
    <w:rsid w:val="07505BCD"/>
    <w:rsid w:val="076A0C82"/>
    <w:rsid w:val="077E4D7C"/>
    <w:rsid w:val="077F1C2A"/>
    <w:rsid w:val="077F291D"/>
    <w:rsid w:val="07806899"/>
    <w:rsid w:val="079F5C53"/>
    <w:rsid w:val="07AE2E73"/>
    <w:rsid w:val="07BE5F7A"/>
    <w:rsid w:val="07C338E5"/>
    <w:rsid w:val="07E21FBD"/>
    <w:rsid w:val="07F13DA6"/>
    <w:rsid w:val="081D74F8"/>
    <w:rsid w:val="083D52C7"/>
    <w:rsid w:val="084B0747"/>
    <w:rsid w:val="08564ECB"/>
    <w:rsid w:val="088713CF"/>
    <w:rsid w:val="08DD1E40"/>
    <w:rsid w:val="094B1A36"/>
    <w:rsid w:val="099F454C"/>
    <w:rsid w:val="09CA058E"/>
    <w:rsid w:val="09FA711F"/>
    <w:rsid w:val="0A2A0F76"/>
    <w:rsid w:val="0A2B172E"/>
    <w:rsid w:val="0A452E9B"/>
    <w:rsid w:val="0A874A8B"/>
    <w:rsid w:val="0B013C93"/>
    <w:rsid w:val="0B074EEB"/>
    <w:rsid w:val="0B6223F2"/>
    <w:rsid w:val="0BC542E9"/>
    <w:rsid w:val="0BD575CF"/>
    <w:rsid w:val="0BED54EA"/>
    <w:rsid w:val="0BFD1F0A"/>
    <w:rsid w:val="0C011912"/>
    <w:rsid w:val="0C070F6C"/>
    <w:rsid w:val="0C2C0215"/>
    <w:rsid w:val="0C3E4108"/>
    <w:rsid w:val="0C4C0604"/>
    <w:rsid w:val="0C8D385C"/>
    <w:rsid w:val="0C9F06C7"/>
    <w:rsid w:val="0CAB778A"/>
    <w:rsid w:val="0CCB0F69"/>
    <w:rsid w:val="0CED5EDE"/>
    <w:rsid w:val="0CF47DD7"/>
    <w:rsid w:val="0CF63E15"/>
    <w:rsid w:val="0D0259DA"/>
    <w:rsid w:val="0D177EAC"/>
    <w:rsid w:val="0D26140B"/>
    <w:rsid w:val="0D276B24"/>
    <w:rsid w:val="0D2F5B3A"/>
    <w:rsid w:val="0D756A58"/>
    <w:rsid w:val="0D9517F4"/>
    <w:rsid w:val="0DAC24A0"/>
    <w:rsid w:val="0DC57FC3"/>
    <w:rsid w:val="0DC908AF"/>
    <w:rsid w:val="0DD269B4"/>
    <w:rsid w:val="0E194BFE"/>
    <w:rsid w:val="0E2E2E20"/>
    <w:rsid w:val="0E7F6B7E"/>
    <w:rsid w:val="0EAA5CD4"/>
    <w:rsid w:val="0EE64C44"/>
    <w:rsid w:val="0EF36C51"/>
    <w:rsid w:val="0EF776D2"/>
    <w:rsid w:val="0F690F4A"/>
    <w:rsid w:val="0F9A2B59"/>
    <w:rsid w:val="0FA4736A"/>
    <w:rsid w:val="0FE72873"/>
    <w:rsid w:val="0FFB2B9B"/>
    <w:rsid w:val="102410C6"/>
    <w:rsid w:val="1034111B"/>
    <w:rsid w:val="105231B3"/>
    <w:rsid w:val="107B3450"/>
    <w:rsid w:val="10A339C2"/>
    <w:rsid w:val="10AA4456"/>
    <w:rsid w:val="10FF75DF"/>
    <w:rsid w:val="110D65DA"/>
    <w:rsid w:val="11235234"/>
    <w:rsid w:val="11300749"/>
    <w:rsid w:val="11567BA9"/>
    <w:rsid w:val="11755507"/>
    <w:rsid w:val="117A78EF"/>
    <w:rsid w:val="11C17FA8"/>
    <w:rsid w:val="11DC0469"/>
    <w:rsid w:val="11EF35C5"/>
    <w:rsid w:val="12356796"/>
    <w:rsid w:val="1295383B"/>
    <w:rsid w:val="12A54532"/>
    <w:rsid w:val="13236053"/>
    <w:rsid w:val="133C0C7E"/>
    <w:rsid w:val="13475173"/>
    <w:rsid w:val="13581E49"/>
    <w:rsid w:val="13B13A0A"/>
    <w:rsid w:val="141451BB"/>
    <w:rsid w:val="14721F7F"/>
    <w:rsid w:val="14880E34"/>
    <w:rsid w:val="148C19C8"/>
    <w:rsid w:val="14DB1649"/>
    <w:rsid w:val="14DE4121"/>
    <w:rsid w:val="14E92C0A"/>
    <w:rsid w:val="14F529CC"/>
    <w:rsid w:val="158972F3"/>
    <w:rsid w:val="159D1999"/>
    <w:rsid w:val="15D218F8"/>
    <w:rsid w:val="15F459AB"/>
    <w:rsid w:val="16134523"/>
    <w:rsid w:val="16194382"/>
    <w:rsid w:val="165813C4"/>
    <w:rsid w:val="167F30CD"/>
    <w:rsid w:val="16867B7A"/>
    <w:rsid w:val="16910B82"/>
    <w:rsid w:val="16A01B34"/>
    <w:rsid w:val="16A90140"/>
    <w:rsid w:val="16C07FEF"/>
    <w:rsid w:val="16C219E9"/>
    <w:rsid w:val="1713477B"/>
    <w:rsid w:val="1750746F"/>
    <w:rsid w:val="177F3F6A"/>
    <w:rsid w:val="17D3400A"/>
    <w:rsid w:val="17D93278"/>
    <w:rsid w:val="180F1DBD"/>
    <w:rsid w:val="181C2C32"/>
    <w:rsid w:val="18271B83"/>
    <w:rsid w:val="1827373C"/>
    <w:rsid w:val="18295280"/>
    <w:rsid w:val="185E488C"/>
    <w:rsid w:val="18A5507B"/>
    <w:rsid w:val="18CC7763"/>
    <w:rsid w:val="19094FE8"/>
    <w:rsid w:val="191215A4"/>
    <w:rsid w:val="19134B61"/>
    <w:rsid w:val="192D4EDF"/>
    <w:rsid w:val="19561A3B"/>
    <w:rsid w:val="196A298B"/>
    <w:rsid w:val="19A34EB2"/>
    <w:rsid w:val="1A146F90"/>
    <w:rsid w:val="1A8E715A"/>
    <w:rsid w:val="1A907B5F"/>
    <w:rsid w:val="1ADB550A"/>
    <w:rsid w:val="1AF128EB"/>
    <w:rsid w:val="1B2202C4"/>
    <w:rsid w:val="1B331036"/>
    <w:rsid w:val="1B392EBA"/>
    <w:rsid w:val="1B707AD4"/>
    <w:rsid w:val="1B76162A"/>
    <w:rsid w:val="1B7C4393"/>
    <w:rsid w:val="1B7F0850"/>
    <w:rsid w:val="1B8367C3"/>
    <w:rsid w:val="1B947B53"/>
    <w:rsid w:val="1BA31D0E"/>
    <w:rsid w:val="1BC620D9"/>
    <w:rsid w:val="1BF303E9"/>
    <w:rsid w:val="1C1C5DBD"/>
    <w:rsid w:val="1C4A5887"/>
    <w:rsid w:val="1C530CBA"/>
    <w:rsid w:val="1C747784"/>
    <w:rsid w:val="1CB826E0"/>
    <w:rsid w:val="1CCE5BC2"/>
    <w:rsid w:val="1CF3362F"/>
    <w:rsid w:val="1D000A34"/>
    <w:rsid w:val="1D586676"/>
    <w:rsid w:val="1D9146BD"/>
    <w:rsid w:val="1DC43031"/>
    <w:rsid w:val="1DD42501"/>
    <w:rsid w:val="1E096343"/>
    <w:rsid w:val="1E344773"/>
    <w:rsid w:val="1EA8381C"/>
    <w:rsid w:val="1EB32A5C"/>
    <w:rsid w:val="1EB34A2D"/>
    <w:rsid w:val="1EB87597"/>
    <w:rsid w:val="1EC738EA"/>
    <w:rsid w:val="1ECF44C6"/>
    <w:rsid w:val="1ED76B49"/>
    <w:rsid w:val="1ED85A70"/>
    <w:rsid w:val="1EE7108E"/>
    <w:rsid w:val="1EFB4ECA"/>
    <w:rsid w:val="1F0974EB"/>
    <w:rsid w:val="1F342A56"/>
    <w:rsid w:val="1F4E31C7"/>
    <w:rsid w:val="1F57306A"/>
    <w:rsid w:val="1FE72131"/>
    <w:rsid w:val="1FF51647"/>
    <w:rsid w:val="2025417D"/>
    <w:rsid w:val="20A22C9E"/>
    <w:rsid w:val="20B4784E"/>
    <w:rsid w:val="20EC1EDF"/>
    <w:rsid w:val="20F913FF"/>
    <w:rsid w:val="210B39A1"/>
    <w:rsid w:val="217E2785"/>
    <w:rsid w:val="2180094C"/>
    <w:rsid w:val="21921906"/>
    <w:rsid w:val="21B31372"/>
    <w:rsid w:val="21EA3D5D"/>
    <w:rsid w:val="222B0C77"/>
    <w:rsid w:val="22735240"/>
    <w:rsid w:val="22BB7CE7"/>
    <w:rsid w:val="22D7624E"/>
    <w:rsid w:val="22D8603F"/>
    <w:rsid w:val="22EB225B"/>
    <w:rsid w:val="22F92DE8"/>
    <w:rsid w:val="23047455"/>
    <w:rsid w:val="23C92C6E"/>
    <w:rsid w:val="23D3083B"/>
    <w:rsid w:val="23ED46EB"/>
    <w:rsid w:val="23FF170E"/>
    <w:rsid w:val="24025648"/>
    <w:rsid w:val="241C63FF"/>
    <w:rsid w:val="2436620B"/>
    <w:rsid w:val="24463F5D"/>
    <w:rsid w:val="247A0C94"/>
    <w:rsid w:val="247D2DB0"/>
    <w:rsid w:val="24810CCB"/>
    <w:rsid w:val="24FF139E"/>
    <w:rsid w:val="25470C94"/>
    <w:rsid w:val="254B6F9C"/>
    <w:rsid w:val="25703D14"/>
    <w:rsid w:val="26015B0F"/>
    <w:rsid w:val="26243031"/>
    <w:rsid w:val="264B47D4"/>
    <w:rsid w:val="26917171"/>
    <w:rsid w:val="26C6192F"/>
    <w:rsid w:val="270368A5"/>
    <w:rsid w:val="2709377B"/>
    <w:rsid w:val="27174C6B"/>
    <w:rsid w:val="276819BA"/>
    <w:rsid w:val="277F476C"/>
    <w:rsid w:val="278338DC"/>
    <w:rsid w:val="278970EC"/>
    <w:rsid w:val="27AF0830"/>
    <w:rsid w:val="27B16125"/>
    <w:rsid w:val="27D82559"/>
    <w:rsid w:val="27F137D5"/>
    <w:rsid w:val="280B39EC"/>
    <w:rsid w:val="280D4ECB"/>
    <w:rsid w:val="281369AE"/>
    <w:rsid w:val="282A0D99"/>
    <w:rsid w:val="285424D3"/>
    <w:rsid w:val="28542963"/>
    <w:rsid w:val="28655613"/>
    <w:rsid w:val="28910EE1"/>
    <w:rsid w:val="289F7620"/>
    <w:rsid w:val="28E440CB"/>
    <w:rsid w:val="291D5F93"/>
    <w:rsid w:val="293B49B3"/>
    <w:rsid w:val="295E7ADC"/>
    <w:rsid w:val="2972319A"/>
    <w:rsid w:val="2974494B"/>
    <w:rsid w:val="2981560F"/>
    <w:rsid w:val="298316F9"/>
    <w:rsid w:val="29876296"/>
    <w:rsid w:val="29B005FC"/>
    <w:rsid w:val="29D609B1"/>
    <w:rsid w:val="29E234CB"/>
    <w:rsid w:val="29FB0865"/>
    <w:rsid w:val="2A001052"/>
    <w:rsid w:val="2A1654C7"/>
    <w:rsid w:val="2A2F5E6F"/>
    <w:rsid w:val="2A397DBC"/>
    <w:rsid w:val="2A570D05"/>
    <w:rsid w:val="2A7678BD"/>
    <w:rsid w:val="2A8E0AB8"/>
    <w:rsid w:val="2A95491E"/>
    <w:rsid w:val="2ACC56A3"/>
    <w:rsid w:val="2AF76857"/>
    <w:rsid w:val="2B0271EB"/>
    <w:rsid w:val="2B0A3C4B"/>
    <w:rsid w:val="2B2F225E"/>
    <w:rsid w:val="2B320029"/>
    <w:rsid w:val="2B704049"/>
    <w:rsid w:val="2BB539CA"/>
    <w:rsid w:val="2BC72F4D"/>
    <w:rsid w:val="2BCB3F1D"/>
    <w:rsid w:val="2BD246FA"/>
    <w:rsid w:val="2BD31A99"/>
    <w:rsid w:val="2BF5348F"/>
    <w:rsid w:val="2C073BDC"/>
    <w:rsid w:val="2C717D0A"/>
    <w:rsid w:val="2C79084D"/>
    <w:rsid w:val="2C796DB8"/>
    <w:rsid w:val="2C9424B7"/>
    <w:rsid w:val="2CE03226"/>
    <w:rsid w:val="2D3A69CD"/>
    <w:rsid w:val="2D3E41FC"/>
    <w:rsid w:val="2D674746"/>
    <w:rsid w:val="2D8245B2"/>
    <w:rsid w:val="2DCE6B5D"/>
    <w:rsid w:val="2E027B8B"/>
    <w:rsid w:val="2E12335B"/>
    <w:rsid w:val="2E203AB2"/>
    <w:rsid w:val="2E3E070B"/>
    <w:rsid w:val="2E644C2A"/>
    <w:rsid w:val="2E9F3EB4"/>
    <w:rsid w:val="2EAD7E6C"/>
    <w:rsid w:val="2ED156DE"/>
    <w:rsid w:val="2EE746E9"/>
    <w:rsid w:val="2F1C5505"/>
    <w:rsid w:val="2F340BB0"/>
    <w:rsid w:val="2FCA4C95"/>
    <w:rsid w:val="3002621D"/>
    <w:rsid w:val="306D4FD8"/>
    <w:rsid w:val="30DF048C"/>
    <w:rsid w:val="30E03411"/>
    <w:rsid w:val="30E62243"/>
    <w:rsid w:val="312732DE"/>
    <w:rsid w:val="31355142"/>
    <w:rsid w:val="31376D40"/>
    <w:rsid w:val="31476550"/>
    <w:rsid w:val="315E31E3"/>
    <w:rsid w:val="31B04860"/>
    <w:rsid w:val="31B34852"/>
    <w:rsid w:val="31BA4390"/>
    <w:rsid w:val="31C22E2E"/>
    <w:rsid w:val="31F80E92"/>
    <w:rsid w:val="32336DA4"/>
    <w:rsid w:val="32576732"/>
    <w:rsid w:val="326E13C7"/>
    <w:rsid w:val="32F46FC2"/>
    <w:rsid w:val="330176E2"/>
    <w:rsid w:val="33092D40"/>
    <w:rsid w:val="332F53E5"/>
    <w:rsid w:val="33A900ED"/>
    <w:rsid w:val="33C400BF"/>
    <w:rsid w:val="33F813B8"/>
    <w:rsid w:val="346150DF"/>
    <w:rsid w:val="348672AD"/>
    <w:rsid w:val="34E71D2F"/>
    <w:rsid w:val="34EB792B"/>
    <w:rsid w:val="352D2D85"/>
    <w:rsid w:val="353A10F0"/>
    <w:rsid w:val="35534721"/>
    <w:rsid w:val="355447E0"/>
    <w:rsid w:val="3572431A"/>
    <w:rsid w:val="35DB624B"/>
    <w:rsid w:val="35F37A74"/>
    <w:rsid w:val="35F57CD1"/>
    <w:rsid w:val="365531D5"/>
    <w:rsid w:val="365E6621"/>
    <w:rsid w:val="36673091"/>
    <w:rsid w:val="367F5267"/>
    <w:rsid w:val="368F3D27"/>
    <w:rsid w:val="37060090"/>
    <w:rsid w:val="370A148E"/>
    <w:rsid w:val="3722005D"/>
    <w:rsid w:val="37431804"/>
    <w:rsid w:val="37530180"/>
    <w:rsid w:val="37B671B0"/>
    <w:rsid w:val="37C054C1"/>
    <w:rsid w:val="37C444C8"/>
    <w:rsid w:val="37E70595"/>
    <w:rsid w:val="37EF6EBB"/>
    <w:rsid w:val="38237A95"/>
    <w:rsid w:val="384D06A9"/>
    <w:rsid w:val="38821D04"/>
    <w:rsid w:val="38DB6696"/>
    <w:rsid w:val="38F10F0E"/>
    <w:rsid w:val="38FA68B7"/>
    <w:rsid w:val="393269F4"/>
    <w:rsid w:val="3938474D"/>
    <w:rsid w:val="396C250A"/>
    <w:rsid w:val="399E27F6"/>
    <w:rsid w:val="39C61073"/>
    <w:rsid w:val="39DA2862"/>
    <w:rsid w:val="3A325BDD"/>
    <w:rsid w:val="3A750D8C"/>
    <w:rsid w:val="3AFC4BB7"/>
    <w:rsid w:val="3B34257F"/>
    <w:rsid w:val="3B53405D"/>
    <w:rsid w:val="3B6834A4"/>
    <w:rsid w:val="3B854E3C"/>
    <w:rsid w:val="3B8D2E62"/>
    <w:rsid w:val="3B9A105F"/>
    <w:rsid w:val="3BBE0FAD"/>
    <w:rsid w:val="3BE62F7B"/>
    <w:rsid w:val="3C6549D8"/>
    <w:rsid w:val="3C7021F2"/>
    <w:rsid w:val="3C7C11BA"/>
    <w:rsid w:val="3C7D700F"/>
    <w:rsid w:val="3CC752F6"/>
    <w:rsid w:val="3CD42058"/>
    <w:rsid w:val="3D0D7F35"/>
    <w:rsid w:val="3D2E3AD0"/>
    <w:rsid w:val="3D576E4D"/>
    <w:rsid w:val="3D5C0027"/>
    <w:rsid w:val="3D6B0368"/>
    <w:rsid w:val="3D91058D"/>
    <w:rsid w:val="3DD15B01"/>
    <w:rsid w:val="3DDD495D"/>
    <w:rsid w:val="3DE94D46"/>
    <w:rsid w:val="3DF2281A"/>
    <w:rsid w:val="3E1E4746"/>
    <w:rsid w:val="3E4C7651"/>
    <w:rsid w:val="3E7C7D6E"/>
    <w:rsid w:val="3EA61B67"/>
    <w:rsid w:val="3EB04FB3"/>
    <w:rsid w:val="3EC577CE"/>
    <w:rsid w:val="3ECD44BA"/>
    <w:rsid w:val="3EDE5BE9"/>
    <w:rsid w:val="3EE80289"/>
    <w:rsid w:val="3EF22CEA"/>
    <w:rsid w:val="3F1E7DB9"/>
    <w:rsid w:val="3F250F6F"/>
    <w:rsid w:val="3F4579CC"/>
    <w:rsid w:val="3F5E3ACD"/>
    <w:rsid w:val="3F790C5F"/>
    <w:rsid w:val="3F890756"/>
    <w:rsid w:val="3F990CB6"/>
    <w:rsid w:val="3FDD11BE"/>
    <w:rsid w:val="400D443B"/>
    <w:rsid w:val="401D0C50"/>
    <w:rsid w:val="401D10DD"/>
    <w:rsid w:val="401E6996"/>
    <w:rsid w:val="404D5CDB"/>
    <w:rsid w:val="405C6914"/>
    <w:rsid w:val="406325FC"/>
    <w:rsid w:val="40842252"/>
    <w:rsid w:val="40914CE3"/>
    <w:rsid w:val="40A15CCE"/>
    <w:rsid w:val="40DD4E66"/>
    <w:rsid w:val="40F15F4B"/>
    <w:rsid w:val="410560EC"/>
    <w:rsid w:val="410632F7"/>
    <w:rsid w:val="41A24A30"/>
    <w:rsid w:val="42103B68"/>
    <w:rsid w:val="42595F52"/>
    <w:rsid w:val="426B5BC3"/>
    <w:rsid w:val="4274508B"/>
    <w:rsid w:val="42786774"/>
    <w:rsid w:val="429043C0"/>
    <w:rsid w:val="42B91124"/>
    <w:rsid w:val="42F34585"/>
    <w:rsid w:val="43165686"/>
    <w:rsid w:val="432F56FC"/>
    <w:rsid w:val="43372236"/>
    <w:rsid w:val="433930C1"/>
    <w:rsid w:val="435269FA"/>
    <w:rsid w:val="43736F3E"/>
    <w:rsid w:val="43A56361"/>
    <w:rsid w:val="43BB496C"/>
    <w:rsid w:val="43E41382"/>
    <w:rsid w:val="43E5547F"/>
    <w:rsid w:val="43EE573A"/>
    <w:rsid w:val="44195DBC"/>
    <w:rsid w:val="44C965AE"/>
    <w:rsid w:val="45022B91"/>
    <w:rsid w:val="453F2CE0"/>
    <w:rsid w:val="4585782A"/>
    <w:rsid w:val="459F5134"/>
    <w:rsid w:val="45A54E4D"/>
    <w:rsid w:val="45B626AF"/>
    <w:rsid w:val="45B85FEE"/>
    <w:rsid w:val="45BC4486"/>
    <w:rsid w:val="45CF0C65"/>
    <w:rsid w:val="45E00BE3"/>
    <w:rsid w:val="4607150E"/>
    <w:rsid w:val="46442791"/>
    <w:rsid w:val="46CA371B"/>
    <w:rsid w:val="472A5625"/>
    <w:rsid w:val="472C697F"/>
    <w:rsid w:val="477A607D"/>
    <w:rsid w:val="47A17BE1"/>
    <w:rsid w:val="47AE3F08"/>
    <w:rsid w:val="47AE53C5"/>
    <w:rsid w:val="47FC705A"/>
    <w:rsid w:val="48294017"/>
    <w:rsid w:val="482C6852"/>
    <w:rsid w:val="486A50DB"/>
    <w:rsid w:val="487C1A48"/>
    <w:rsid w:val="48900FB5"/>
    <w:rsid w:val="48DB63D6"/>
    <w:rsid w:val="49303A91"/>
    <w:rsid w:val="49482743"/>
    <w:rsid w:val="4964616A"/>
    <w:rsid w:val="497964D5"/>
    <w:rsid w:val="499423C3"/>
    <w:rsid w:val="49A8294B"/>
    <w:rsid w:val="49E3502F"/>
    <w:rsid w:val="49EA6EE4"/>
    <w:rsid w:val="4A042449"/>
    <w:rsid w:val="4A0D1FEA"/>
    <w:rsid w:val="4A0E68B9"/>
    <w:rsid w:val="4A21091C"/>
    <w:rsid w:val="4A2E473D"/>
    <w:rsid w:val="4A311C3C"/>
    <w:rsid w:val="4A365018"/>
    <w:rsid w:val="4A4023E1"/>
    <w:rsid w:val="4A8057BE"/>
    <w:rsid w:val="4A8A2770"/>
    <w:rsid w:val="4AE76F88"/>
    <w:rsid w:val="4B2636B7"/>
    <w:rsid w:val="4B280987"/>
    <w:rsid w:val="4B427D92"/>
    <w:rsid w:val="4B4C3318"/>
    <w:rsid w:val="4B5736F5"/>
    <w:rsid w:val="4B60499A"/>
    <w:rsid w:val="4B622735"/>
    <w:rsid w:val="4B7E2C6D"/>
    <w:rsid w:val="4B8C0EE4"/>
    <w:rsid w:val="4BA96CF9"/>
    <w:rsid w:val="4BC70A64"/>
    <w:rsid w:val="4BE07B8E"/>
    <w:rsid w:val="4BF91E4D"/>
    <w:rsid w:val="4C0C52EE"/>
    <w:rsid w:val="4C161718"/>
    <w:rsid w:val="4C402893"/>
    <w:rsid w:val="4C447326"/>
    <w:rsid w:val="4C6A7E48"/>
    <w:rsid w:val="4C9E3370"/>
    <w:rsid w:val="4CB2340C"/>
    <w:rsid w:val="4D1D530D"/>
    <w:rsid w:val="4D2C03E8"/>
    <w:rsid w:val="4D3F561B"/>
    <w:rsid w:val="4D4B21E3"/>
    <w:rsid w:val="4D9B4C52"/>
    <w:rsid w:val="4DC44B93"/>
    <w:rsid w:val="4DFD40C0"/>
    <w:rsid w:val="4E157C24"/>
    <w:rsid w:val="4E3976BB"/>
    <w:rsid w:val="4E877D43"/>
    <w:rsid w:val="4E972856"/>
    <w:rsid w:val="4F0016F7"/>
    <w:rsid w:val="4F2E4538"/>
    <w:rsid w:val="4F580DE7"/>
    <w:rsid w:val="4F593890"/>
    <w:rsid w:val="4F6472B1"/>
    <w:rsid w:val="4F9D52A5"/>
    <w:rsid w:val="4FA4609F"/>
    <w:rsid w:val="4FAA0B86"/>
    <w:rsid w:val="4FB938A1"/>
    <w:rsid w:val="4FED057D"/>
    <w:rsid w:val="50A542C1"/>
    <w:rsid w:val="50A852B2"/>
    <w:rsid w:val="50AF4C9D"/>
    <w:rsid w:val="50BC51F2"/>
    <w:rsid w:val="50C121C9"/>
    <w:rsid w:val="50E83041"/>
    <w:rsid w:val="50FB0FC7"/>
    <w:rsid w:val="510B4F8E"/>
    <w:rsid w:val="511B74DF"/>
    <w:rsid w:val="512D73DA"/>
    <w:rsid w:val="514A14D1"/>
    <w:rsid w:val="51561FEF"/>
    <w:rsid w:val="517F58CF"/>
    <w:rsid w:val="519431D8"/>
    <w:rsid w:val="51FE26DD"/>
    <w:rsid w:val="5217423B"/>
    <w:rsid w:val="521A1F41"/>
    <w:rsid w:val="521F7AA6"/>
    <w:rsid w:val="526473C9"/>
    <w:rsid w:val="52673D19"/>
    <w:rsid w:val="527C069C"/>
    <w:rsid w:val="528B6208"/>
    <w:rsid w:val="52B831DF"/>
    <w:rsid w:val="52DB7796"/>
    <w:rsid w:val="53056435"/>
    <w:rsid w:val="5347402E"/>
    <w:rsid w:val="5379571A"/>
    <w:rsid w:val="538D6B07"/>
    <w:rsid w:val="53BE278C"/>
    <w:rsid w:val="53C41B58"/>
    <w:rsid w:val="53C9756F"/>
    <w:rsid w:val="54010D21"/>
    <w:rsid w:val="540B32CF"/>
    <w:rsid w:val="54453E24"/>
    <w:rsid w:val="54477B04"/>
    <w:rsid w:val="548F0ECC"/>
    <w:rsid w:val="549C13A7"/>
    <w:rsid w:val="54DA2731"/>
    <w:rsid w:val="54E35FFA"/>
    <w:rsid w:val="54EA57BF"/>
    <w:rsid w:val="550B5A18"/>
    <w:rsid w:val="557C4262"/>
    <w:rsid w:val="55C10F32"/>
    <w:rsid w:val="55C4407D"/>
    <w:rsid w:val="55C83AD8"/>
    <w:rsid w:val="55D219AB"/>
    <w:rsid w:val="55D944EA"/>
    <w:rsid w:val="55EC5128"/>
    <w:rsid w:val="562B5327"/>
    <w:rsid w:val="56322BCC"/>
    <w:rsid w:val="569B19F8"/>
    <w:rsid w:val="56AD61FF"/>
    <w:rsid w:val="56D07096"/>
    <w:rsid w:val="56F86282"/>
    <w:rsid w:val="56FE4C36"/>
    <w:rsid w:val="570F2349"/>
    <w:rsid w:val="57132598"/>
    <w:rsid w:val="576120B0"/>
    <w:rsid w:val="577613A7"/>
    <w:rsid w:val="578D45DC"/>
    <w:rsid w:val="57C54141"/>
    <w:rsid w:val="587E0D6B"/>
    <w:rsid w:val="5886185F"/>
    <w:rsid w:val="58A23D20"/>
    <w:rsid w:val="58A45194"/>
    <w:rsid w:val="58B77A14"/>
    <w:rsid w:val="58BB07D5"/>
    <w:rsid w:val="58C64669"/>
    <w:rsid w:val="58CE6357"/>
    <w:rsid w:val="58D455F0"/>
    <w:rsid w:val="590116F0"/>
    <w:rsid w:val="592606B9"/>
    <w:rsid w:val="5943734F"/>
    <w:rsid w:val="5949057B"/>
    <w:rsid w:val="596B6232"/>
    <w:rsid w:val="596D4E12"/>
    <w:rsid w:val="597C0677"/>
    <w:rsid w:val="5986071D"/>
    <w:rsid w:val="598E005F"/>
    <w:rsid w:val="5A395DF9"/>
    <w:rsid w:val="5A3F31ED"/>
    <w:rsid w:val="5A7A44CD"/>
    <w:rsid w:val="5A8136AC"/>
    <w:rsid w:val="5A8167A3"/>
    <w:rsid w:val="5A842A4C"/>
    <w:rsid w:val="5AC24B0D"/>
    <w:rsid w:val="5AC92D10"/>
    <w:rsid w:val="5AD2635A"/>
    <w:rsid w:val="5AFE38A0"/>
    <w:rsid w:val="5B0B591B"/>
    <w:rsid w:val="5B244126"/>
    <w:rsid w:val="5B362690"/>
    <w:rsid w:val="5B7913E7"/>
    <w:rsid w:val="5BC94E13"/>
    <w:rsid w:val="5BE463A7"/>
    <w:rsid w:val="5C06153A"/>
    <w:rsid w:val="5C097AF8"/>
    <w:rsid w:val="5C17068B"/>
    <w:rsid w:val="5C352E9E"/>
    <w:rsid w:val="5C356CDA"/>
    <w:rsid w:val="5C60064A"/>
    <w:rsid w:val="5C73458C"/>
    <w:rsid w:val="5C993C55"/>
    <w:rsid w:val="5C9A27FC"/>
    <w:rsid w:val="5C9A3EAA"/>
    <w:rsid w:val="5CFF1E3E"/>
    <w:rsid w:val="5D1111F3"/>
    <w:rsid w:val="5D455433"/>
    <w:rsid w:val="5D5A24A5"/>
    <w:rsid w:val="5D696BFC"/>
    <w:rsid w:val="5D6E0BAE"/>
    <w:rsid w:val="5D7A01D5"/>
    <w:rsid w:val="5D895F6D"/>
    <w:rsid w:val="5DBD6477"/>
    <w:rsid w:val="5DC94036"/>
    <w:rsid w:val="5DE45BB2"/>
    <w:rsid w:val="5DF14FC0"/>
    <w:rsid w:val="5DFF67C0"/>
    <w:rsid w:val="5E05684C"/>
    <w:rsid w:val="5E0C30A2"/>
    <w:rsid w:val="5E152542"/>
    <w:rsid w:val="5E246F41"/>
    <w:rsid w:val="5E4C0F4B"/>
    <w:rsid w:val="5E6C38E5"/>
    <w:rsid w:val="5E9D68A0"/>
    <w:rsid w:val="5EBB5F52"/>
    <w:rsid w:val="5F247FCF"/>
    <w:rsid w:val="5F37043F"/>
    <w:rsid w:val="5F494852"/>
    <w:rsid w:val="5F5058FD"/>
    <w:rsid w:val="5F932737"/>
    <w:rsid w:val="5FB62FA8"/>
    <w:rsid w:val="5FBE5FB6"/>
    <w:rsid w:val="5FC670EC"/>
    <w:rsid w:val="5FCF35B6"/>
    <w:rsid w:val="5FDE51CF"/>
    <w:rsid w:val="60081EB9"/>
    <w:rsid w:val="600B7455"/>
    <w:rsid w:val="60425259"/>
    <w:rsid w:val="60482FB0"/>
    <w:rsid w:val="607466A0"/>
    <w:rsid w:val="608E4A56"/>
    <w:rsid w:val="608F79C8"/>
    <w:rsid w:val="60915982"/>
    <w:rsid w:val="60F51E55"/>
    <w:rsid w:val="611B137E"/>
    <w:rsid w:val="61312F54"/>
    <w:rsid w:val="6142168F"/>
    <w:rsid w:val="614D4842"/>
    <w:rsid w:val="61780576"/>
    <w:rsid w:val="61955691"/>
    <w:rsid w:val="61B0416E"/>
    <w:rsid w:val="61B45453"/>
    <w:rsid w:val="61CA6479"/>
    <w:rsid w:val="61D57C4E"/>
    <w:rsid w:val="61EE359C"/>
    <w:rsid w:val="61F3216C"/>
    <w:rsid w:val="622E2A9D"/>
    <w:rsid w:val="624015DB"/>
    <w:rsid w:val="62454CEC"/>
    <w:rsid w:val="625200D9"/>
    <w:rsid w:val="62571FDB"/>
    <w:rsid w:val="625B3509"/>
    <w:rsid w:val="62696CD8"/>
    <w:rsid w:val="62C30A64"/>
    <w:rsid w:val="62DA27D3"/>
    <w:rsid w:val="62E305FD"/>
    <w:rsid w:val="63055F18"/>
    <w:rsid w:val="63331267"/>
    <w:rsid w:val="634B6E79"/>
    <w:rsid w:val="634C303D"/>
    <w:rsid w:val="635251A9"/>
    <w:rsid w:val="635765A9"/>
    <w:rsid w:val="636C2A7B"/>
    <w:rsid w:val="63B149A3"/>
    <w:rsid w:val="63B81B33"/>
    <w:rsid w:val="63C01BFB"/>
    <w:rsid w:val="63D20A8A"/>
    <w:rsid w:val="64042AD6"/>
    <w:rsid w:val="64362280"/>
    <w:rsid w:val="64814219"/>
    <w:rsid w:val="649E201C"/>
    <w:rsid w:val="64CA68E0"/>
    <w:rsid w:val="64CE5F6F"/>
    <w:rsid w:val="64F96942"/>
    <w:rsid w:val="65444E42"/>
    <w:rsid w:val="65530293"/>
    <w:rsid w:val="65737188"/>
    <w:rsid w:val="659375C8"/>
    <w:rsid w:val="659B26D3"/>
    <w:rsid w:val="65C17CA2"/>
    <w:rsid w:val="65C40065"/>
    <w:rsid w:val="65C92484"/>
    <w:rsid w:val="65E9611E"/>
    <w:rsid w:val="66B345CC"/>
    <w:rsid w:val="66CF5D4E"/>
    <w:rsid w:val="66EC10D7"/>
    <w:rsid w:val="67093277"/>
    <w:rsid w:val="67192450"/>
    <w:rsid w:val="676F12EA"/>
    <w:rsid w:val="67850E31"/>
    <w:rsid w:val="679A2E90"/>
    <w:rsid w:val="679B7FEA"/>
    <w:rsid w:val="67B558F4"/>
    <w:rsid w:val="67C1181B"/>
    <w:rsid w:val="67DC35C6"/>
    <w:rsid w:val="67EE32B0"/>
    <w:rsid w:val="67FF7C0E"/>
    <w:rsid w:val="683D6804"/>
    <w:rsid w:val="68B82FDD"/>
    <w:rsid w:val="693E6BE5"/>
    <w:rsid w:val="698D7B85"/>
    <w:rsid w:val="69995B45"/>
    <w:rsid w:val="69F06D97"/>
    <w:rsid w:val="69F51C14"/>
    <w:rsid w:val="6A1B27BD"/>
    <w:rsid w:val="6A2B0AFE"/>
    <w:rsid w:val="6A4B7F53"/>
    <w:rsid w:val="6A6F6B0D"/>
    <w:rsid w:val="6A911C54"/>
    <w:rsid w:val="6A9D367C"/>
    <w:rsid w:val="6ABA1302"/>
    <w:rsid w:val="6AC57D73"/>
    <w:rsid w:val="6B8E5616"/>
    <w:rsid w:val="6B92329A"/>
    <w:rsid w:val="6BA91851"/>
    <w:rsid w:val="6BC73B27"/>
    <w:rsid w:val="6BEA20E8"/>
    <w:rsid w:val="6C1D2147"/>
    <w:rsid w:val="6C6C582F"/>
    <w:rsid w:val="6C6E10A8"/>
    <w:rsid w:val="6C700183"/>
    <w:rsid w:val="6C755679"/>
    <w:rsid w:val="6C7B37A7"/>
    <w:rsid w:val="6C7B69A5"/>
    <w:rsid w:val="6CBC23FC"/>
    <w:rsid w:val="6CF74025"/>
    <w:rsid w:val="6D237406"/>
    <w:rsid w:val="6D261363"/>
    <w:rsid w:val="6D2A73B7"/>
    <w:rsid w:val="6D630F17"/>
    <w:rsid w:val="6D657534"/>
    <w:rsid w:val="6D6B70CC"/>
    <w:rsid w:val="6D7360DF"/>
    <w:rsid w:val="6D75783F"/>
    <w:rsid w:val="6DB16CC5"/>
    <w:rsid w:val="6DC468C4"/>
    <w:rsid w:val="6DF97399"/>
    <w:rsid w:val="6DFF1EAA"/>
    <w:rsid w:val="6E1D2BC6"/>
    <w:rsid w:val="6E53273B"/>
    <w:rsid w:val="6E606402"/>
    <w:rsid w:val="6E765058"/>
    <w:rsid w:val="6EA41728"/>
    <w:rsid w:val="6EE96530"/>
    <w:rsid w:val="6EF91C79"/>
    <w:rsid w:val="6EFA1187"/>
    <w:rsid w:val="6F1D0B9E"/>
    <w:rsid w:val="6F2F2CB4"/>
    <w:rsid w:val="6F33549B"/>
    <w:rsid w:val="6F511F7B"/>
    <w:rsid w:val="6F924A50"/>
    <w:rsid w:val="6FAB62CF"/>
    <w:rsid w:val="6FF86AB2"/>
    <w:rsid w:val="703C2DD8"/>
    <w:rsid w:val="7064279B"/>
    <w:rsid w:val="7084648B"/>
    <w:rsid w:val="714D0F73"/>
    <w:rsid w:val="715F6F32"/>
    <w:rsid w:val="71766497"/>
    <w:rsid w:val="71995F2C"/>
    <w:rsid w:val="719D2C55"/>
    <w:rsid w:val="71A64ED8"/>
    <w:rsid w:val="71F32259"/>
    <w:rsid w:val="720E3106"/>
    <w:rsid w:val="72113D4E"/>
    <w:rsid w:val="726522EC"/>
    <w:rsid w:val="72796D87"/>
    <w:rsid w:val="72DD3F90"/>
    <w:rsid w:val="730507F7"/>
    <w:rsid w:val="73125FD0"/>
    <w:rsid w:val="73183A6A"/>
    <w:rsid w:val="73A75FC7"/>
    <w:rsid w:val="74035637"/>
    <w:rsid w:val="74173DD8"/>
    <w:rsid w:val="742066E6"/>
    <w:rsid w:val="7446375E"/>
    <w:rsid w:val="744D77F4"/>
    <w:rsid w:val="745444B9"/>
    <w:rsid w:val="74783292"/>
    <w:rsid w:val="74A93531"/>
    <w:rsid w:val="74E85ACF"/>
    <w:rsid w:val="74FE76C4"/>
    <w:rsid w:val="756D5575"/>
    <w:rsid w:val="75900F5E"/>
    <w:rsid w:val="7594504F"/>
    <w:rsid w:val="75A52514"/>
    <w:rsid w:val="75A609B4"/>
    <w:rsid w:val="75BA430D"/>
    <w:rsid w:val="75C877B1"/>
    <w:rsid w:val="75E40C59"/>
    <w:rsid w:val="76346562"/>
    <w:rsid w:val="76363021"/>
    <w:rsid w:val="763A57B0"/>
    <w:rsid w:val="76461967"/>
    <w:rsid w:val="76852F5D"/>
    <w:rsid w:val="76AA1309"/>
    <w:rsid w:val="76C762BE"/>
    <w:rsid w:val="76E7046E"/>
    <w:rsid w:val="76E719E2"/>
    <w:rsid w:val="77123979"/>
    <w:rsid w:val="77135045"/>
    <w:rsid w:val="774847BB"/>
    <w:rsid w:val="77713376"/>
    <w:rsid w:val="77722137"/>
    <w:rsid w:val="7774418D"/>
    <w:rsid w:val="77801AD2"/>
    <w:rsid w:val="7783277A"/>
    <w:rsid w:val="77A37C45"/>
    <w:rsid w:val="77A96E9E"/>
    <w:rsid w:val="77CB00FA"/>
    <w:rsid w:val="77EE7469"/>
    <w:rsid w:val="77FF7B09"/>
    <w:rsid w:val="788319F0"/>
    <w:rsid w:val="78C7646D"/>
    <w:rsid w:val="78ED74AB"/>
    <w:rsid w:val="790A0B48"/>
    <w:rsid w:val="790B0B92"/>
    <w:rsid w:val="79150D0E"/>
    <w:rsid w:val="7930082E"/>
    <w:rsid w:val="79317305"/>
    <w:rsid w:val="79464952"/>
    <w:rsid w:val="79AD1219"/>
    <w:rsid w:val="79FD3320"/>
    <w:rsid w:val="7A1F5229"/>
    <w:rsid w:val="7A3C4FAD"/>
    <w:rsid w:val="7A410E72"/>
    <w:rsid w:val="7A6B2AB8"/>
    <w:rsid w:val="7A6C5D7A"/>
    <w:rsid w:val="7A763C0A"/>
    <w:rsid w:val="7ABA39B2"/>
    <w:rsid w:val="7ACC7131"/>
    <w:rsid w:val="7ADF3B44"/>
    <w:rsid w:val="7AE46A56"/>
    <w:rsid w:val="7AF52D5A"/>
    <w:rsid w:val="7AFA2168"/>
    <w:rsid w:val="7B0E7F4B"/>
    <w:rsid w:val="7B157452"/>
    <w:rsid w:val="7B1A4995"/>
    <w:rsid w:val="7B714E52"/>
    <w:rsid w:val="7B9314EA"/>
    <w:rsid w:val="7BAA7163"/>
    <w:rsid w:val="7BAF5939"/>
    <w:rsid w:val="7BB05AC5"/>
    <w:rsid w:val="7BED38D0"/>
    <w:rsid w:val="7BF60006"/>
    <w:rsid w:val="7C1C0937"/>
    <w:rsid w:val="7C214CA5"/>
    <w:rsid w:val="7C3D1381"/>
    <w:rsid w:val="7C7E4854"/>
    <w:rsid w:val="7C7F1D95"/>
    <w:rsid w:val="7CB273BE"/>
    <w:rsid w:val="7CBD4814"/>
    <w:rsid w:val="7CC67DE9"/>
    <w:rsid w:val="7D2E4040"/>
    <w:rsid w:val="7D361602"/>
    <w:rsid w:val="7D486F24"/>
    <w:rsid w:val="7D6C09D3"/>
    <w:rsid w:val="7D793E25"/>
    <w:rsid w:val="7D9360A2"/>
    <w:rsid w:val="7E125107"/>
    <w:rsid w:val="7E20336E"/>
    <w:rsid w:val="7E374B3D"/>
    <w:rsid w:val="7E5B37E4"/>
    <w:rsid w:val="7E7370FF"/>
    <w:rsid w:val="7E902018"/>
    <w:rsid w:val="7EA1211B"/>
    <w:rsid w:val="7EC32F0D"/>
    <w:rsid w:val="7EC66716"/>
    <w:rsid w:val="7EDA0EBD"/>
    <w:rsid w:val="7EEC56FB"/>
    <w:rsid w:val="7F0A526A"/>
    <w:rsid w:val="7FA206DC"/>
    <w:rsid w:val="7FB824BB"/>
    <w:rsid w:val="7FC057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3"/>
    <w:qFormat/>
    <w:uiPriority w:val="0"/>
    <w:pPr>
      <w:keepNext/>
      <w:keepLines/>
      <w:spacing w:before="340" w:after="330" w:line="576" w:lineRule="auto"/>
      <w:outlineLvl w:val="0"/>
    </w:pPr>
    <w:rPr>
      <w:b/>
      <w:kern w:val="44"/>
      <w:sz w:val="32"/>
      <w:szCs w:val="20"/>
    </w:rPr>
  </w:style>
  <w:style w:type="paragraph" w:styleId="2">
    <w:name w:val="heading 2"/>
    <w:basedOn w:val="1"/>
    <w:next w:val="1"/>
    <w:link w:val="123"/>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5"/>
    <w:link w:val="142"/>
    <w:qFormat/>
    <w:uiPriority w:val="0"/>
    <w:pPr>
      <w:keepNext/>
      <w:keepLines/>
      <w:spacing w:before="260" w:after="260" w:line="412" w:lineRule="auto"/>
      <w:outlineLvl w:val="2"/>
    </w:pPr>
    <w:rPr>
      <w:b/>
      <w:sz w:val="32"/>
      <w:szCs w:val="20"/>
    </w:rPr>
  </w:style>
  <w:style w:type="paragraph" w:styleId="6">
    <w:name w:val="heading 4"/>
    <w:basedOn w:val="1"/>
    <w:next w:val="1"/>
    <w:link w:val="17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5"/>
    <w:link w:val="128"/>
    <w:qFormat/>
    <w:uiPriority w:val="0"/>
    <w:pPr>
      <w:keepNext/>
      <w:keepLines/>
      <w:numPr>
        <w:ilvl w:val="4"/>
        <w:numId w:val="1"/>
      </w:numPr>
      <w:spacing w:before="280" w:after="290" w:line="372" w:lineRule="auto"/>
      <w:outlineLvl w:val="4"/>
    </w:pPr>
    <w:rPr>
      <w:b/>
      <w:sz w:val="28"/>
    </w:rPr>
  </w:style>
  <w:style w:type="paragraph" w:styleId="8">
    <w:name w:val="heading 6"/>
    <w:basedOn w:val="1"/>
    <w:next w:val="5"/>
    <w:link w:val="132"/>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5"/>
    <w:link w:val="139"/>
    <w:qFormat/>
    <w:uiPriority w:val="0"/>
    <w:pPr>
      <w:keepNext/>
      <w:keepLines/>
      <w:numPr>
        <w:ilvl w:val="6"/>
        <w:numId w:val="1"/>
      </w:numPr>
      <w:spacing w:before="240" w:after="64" w:line="316" w:lineRule="auto"/>
      <w:outlineLvl w:val="6"/>
    </w:pPr>
    <w:rPr>
      <w:b/>
      <w:sz w:val="24"/>
    </w:rPr>
  </w:style>
  <w:style w:type="paragraph" w:styleId="10">
    <w:name w:val="heading 8"/>
    <w:basedOn w:val="1"/>
    <w:next w:val="5"/>
    <w:link w:val="154"/>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5"/>
    <w:link w:val="147"/>
    <w:qFormat/>
    <w:uiPriority w:val="0"/>
    <w:pPr>
      <w:keepNext/>
      <w:keepLines/>
      <w:numPr>
        <w:ilvl w:val="8"/>
        <w:numId w:val="1"/>
      </w:numPr>
      <w:spacing w:before="240" w:after="64" w:line="316" w:lineRule="auto"/>
      <w:outlineLvl w:val="8"/>
    </w:pPr>
    <w:rPr>
      <w:rFonts w:ascii="Arial" w:hAnsi="Arial" w:eastAsia="黑体"/>
    </w:rPr>
  </w:style>
  <w:style w:type="character" w:default="1" w:styleId="47">
    <w:name w:val="Default Paragraph Font"/>
    <w:semiHidden/>
    <w:qFormat/>
    <w:uiPriority w:val="0"/>
  </w:style>
  <w:style w:type="table" w:default="1" w:styleId="4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link w:val="157"/>
    <w:qFormat/>
    <w:uiPriority w:val="0"/>
    <w:pPr>
      <w:ind w:firstLine="420"/>
    </w:pPr>
    <w:rPr>
      <w:szCs w:val="20"/>
    </w:rPr>
  </w:style>
  <w:style w:type="paragraph" w:styleId="12">
    <w:name w:val="toc 7"/>
    <w:basedOn w:val="1"/>
    <w:next w:val="1"/>
    <w:qFormat/>
    <w:uiPriority w:val="0"/>
    <w:pPr>
      <w:ind w:left="2520" w:leftChars="1200"/>
    </w:pPr>
    <w:rPr>
      <w:rFonts w:ascii="Calibri" w:hAnsi="Calibri"/>
      <w:szCs w:val="22"/>
    </w:rPr>
  </w:style>
  <w:style w:type="paragraph" w:styleId="13">
    <w:name w:val="Note Heading"/>
    <w:basedOn w:val="1"/>
    <w:next w:val="1"/>
    <w:qFormat/>
    <w:uiPriority w:val="0"/>
    <w:pPr>
      <w:jc w:val="center"/>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19"/>
    <w:qFormat/>
    <w:uiPriority w:val="0"/>
    <w:pPr>
      <w:shd w:val="clear" w:color="auto" w:fill="000080"/>
    </w:pPr>
  </w:style>
  <w:style w:type="paragraph" w:styleId="16">
    <w:name w:val="annotation text"/>
    <w:basedOn w:val="1"/>
    <w:link w:val="126"/>
    <w:qFormat/>
    <w:uiPriority w:val="0"/>
    <w:pPr>
      <w:adjustRightInd w:val="0"/>
      <w:spacing w:line="360" w:lineRule="atLeast"/>
      <w:jc w:val="left"/>
      <w:textAlignment w:val="baseline"/>
    </w:pPr>
    <w:rPr>
      <w:kern w:val="0"/>
      <w:sz w:val="24"/>
      <w:szCs w:val="20"/>
    </w:rPr>
  </w:style>
  <w:style w:type="paragraph" w:styleId="17">
    <w:name w:val="Body Text 3"/>
    <w:basedOn w:val="1"/>
    <w:link w:val="170"/>
    <w:qFormat/>
    <w:uiPriority w:val="0"/>
    <w:pPr>
      <w:widowControl/>
      <w:spacing w:after="120"/>
      <w:jc w:val="left"/>
    </w:pPr>
    <w:rPr>
      <w:kern w:val="0"/>
      <w:sz w:val="16"/>
      <w:szCs w:val="16"/>
    </w:rPr>
  </w:style>
  <w:style w:type="paragraph" w:styleId="18">
    <w:name w:val="Body Text"/>
    <w:basedOn w:val="1"/>
    <w:next w:val="1"/>
    <w:link w:val="134"/>
    <w:qFormat/>
    <w:uiPriority w:val="0"/>
    <w:pPr>
      <w:widowControl/>
      <w:jc w:val="left"/>
    </w:pPr>
    <w:rPr>
      <w:kern w:val="0"/>
      <w:sz w:val="24"/>
      <w:szCs w:val="20"/>
    </w:rPr>
  </w:style>
  <w:style w:type="paragraph" w:styleId="19">
    <w:name w:val="Body Text Indent"/>
    <w:basedOn w:val="1"/>
    <w:link w:val="118"/>
    <w:qFormat/>
    <w:uiPriority w:val="0"/>
    <w:pPr>
      <w:ind w:firstLine="630"/>
    </w:pPr>
    <w:rPr>
      <w:sz w:val="32"/>
      <w:szCs w:val="20"/>
    </w:rPr>
  </w:style>
  <w:style w:type="paragraph" w:styleId="20">
    <w:name w:val="Block Text"/>
    <w:basedOn w:val="1"/>
    <w:qFormat/>
    <w:uiPriority w:val="0"/>
    <w:pPr>
      <w:adjustRightInd w:val="0"/>
      <w:ind w:left="420" w:right="33"/>
      <w:jc w:val="left"/>
      <w:textAlignment w:val="baseline"/>
    </w:pPr>
    <w:rPr>
      <w:kern w:val="0"/>
      <w:sz w:val="24"/>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tabs>
        <w:tab w:val="right" w:leader="dot" w:pos="8296"/>
      </w:tabs>
      <w:ind w:left="1050" w:leftChars="500"/>
    </w:pPr>
    <w:rPr>
      <w:rFonts w:ascii="Calibri" w:hAnsi="Calibri"/>
      <w:szCs w:val="22"/>
    </w:rPr>
  </w:style>
  <w:style w:type="paragraph" w:styleId="23">
    <w:name w:val="toc 3"/>
    <w:basedOn w:val="1"/>
    <w:next w:val="1"/>
    <w:qFormat/>
    <w:uiPriority w:val="0"/>
    <w:pPr>
      <w:ind w:left="840" w:leftChars="400"/>
    </w:pPr>
  </w:style>
  <w:style w:type="paragraph" w:styleId="24">
    <w:name w:val="Plain Text"/>
    <w:basedOn w:val="1"/>
    <w:link w:val="129"/>
    <w:qFormat/>
    <w:uiPriority w:val="0"/>
    <w:rPr>
      <w:rFonts w:ascii="宋体" w:hAnsi="Courier New" w:cs="Courier New"/>
      <w:szCs w:val="21"/>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152"/>
    <w:qFormat/>
    <w:uiPriority w:val="0"/>
    <w:pPr>
      <w:ind w:left="100" w:leftChars="2500"/>
    </w:pPr>
  </w:style>
  <w:style w:type="paragraph" w:styleId="27">
    <w:name w:val="Body Text Indent 2"/>
    <w:basedOn w:val="1"/>
    <w:link w:val="131"/>
    <w:qFormat/>
    <w:uiPriority w:val="0"/>
    <w:pPr>
      <w:ind w:firstLine="630"/>
    </w:pPr>
    <w:rPr>
      <w:sz w:val="32"/>
      <w:szCs w:val="20"/>
    </w:rPr>
  </w:style>
  <w:style w:type="paragraph" w:styleId="28">
    <w:name w:val="Balloon Text"/>
    <w:basedOn w:val="1"/>
    <w:link w:val="138"/>
    <w:qFormat/>
    <w:uiPriority w:val="0"/>
    <w:rPr>
      <w:sz w:val="18"/>
      <w:szCs w:val="18"/>
    </w:rPr>
  </w:style>
  <w:style w:type="paragraph" w:styleId="29">
    <w:name w:val="footer"/>
    <w:basedOn w:val="1"/>
    <w:link w:val="124"/>
    <w:qFormat/>
    <w:uiPriority w:val="0"/>
    <w:pPr>
      <w:tabs>
        <w:tab w:val="center" w:pos="4153"/>
        <w:tab w:val="right" w:pos="8306"/>
      </w:tabs>
      <w:snapToGrid w:val="0"/>
      <w:jc w:val="left"/>
    </w:pPr>
    <w:rPr>
      <w:sz w:val="18"/>
      <w:szCs w:val="20"/>
    </w:rPr>
  </w:style>
  <w:style w:type="paragraph" w:styleId="30">
    <w:name w:val="header"/>
    <w:basedOn w:val="1"/>
    <w:link w:val="136"/>
    <w:qFormat/>
    <w:uiPriority w:val="0"/>
    <w:pPr>
      <w:pBdr>
        <w:bottom w:val="single" w:color="auto" w:sz="6" w:space="1"/>
      </w:pBdr>
      <w:tabs>
        <w:tab w:val="center" w:pos="4153"/>
        <w:tab w:val="right" w:pos="8306"/>
      </w:tabs>
      <w:snapToGrid w:val="0"/>
      <w:jc w:val="center"/>
    </w:pPr>
    <w:rPr>
      <w:sz w:val="18"/>
      <w:szCs w:val="20"/>
    </w:rPr>
  </w:style>
  <w:style w:type="paragraph" w:styleId="31">
    <w:name w:val="toc 1"/>
    <w:basedOn w:val="1"/>
    <w:next w:val="1"/>
    <w:qFormat/>
    <w:uiPriority w:val="39"/>
    <w:pPr>
      <w:tabs>
        <w:tab w:val="right" w:leader="dot" w:pos="9060"/>
      </w:tabs>
      <w:spacing w:line="720" w:lineRule="auto"/>
    </w:p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41"/>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qFormat/>
    <w:uiPriority w:val="0"/>
    <w:pPr>
      <w:ind w:left="2100" w:leftChars="1000"/>
    </w:pPr>
    <w:rPr>
      <w:rFonts w:ascii="Calibri" w:hAnsi="Calibri"/>
      <w:szCs w:val="22"/>
    </w:rPr>
  </w:style>
  <w:style w:type="paragraph" w:styleId="35">
    <w:name w:val="Body Text Indent 3"/>
    <w:basedOn w:val="1"/>
    <w:link w:val="146"/>
    <w:qFormat/>
    <w:uiPriority w:val="0"/>
    <w:pPr>
      <w:adjustRightInd w:val="0"/>
      <w:snapToGrid w:val="0"/>
      <w:spacing w:line="360" w:lineRule="auto"/>
      <w:ind w:firstLine="600" w:firstLineChars="200"/>
    </w:pPr>
    <w:rPr>
      <w:rFonts w:ascii="黑体" w:eastAsia="黑体"/>
      <w:sz w:val="30"/>
      <w:szCs w:val="28"/>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3360" w:leftChars="1600"/>
    </w:pPr>
    <w:rPr>
      <w:rFonts w:ascii="Calibri" w:hAnsi="Calibri"/>
      <w:szCs w:val="22"/>
    </w:rPr>
  </w:style>
  <w:style w:type="paragraph" w:styleId="38">
    <w:name w:val="Body Text 2"/>
    <w:basedOn w:val="1"/>
    <w:link w:val="150"/>
    <w:qFormat/>
    <w:uiPriority w:val="0"/>
    <w:pPr>
      <w:widowControl/>
      <w:spacing w:after="120" w:line="480" w:lineRule="auto"/>
      <w:jc w:val="left"/>
    </w:pPr>
    <w:rPr>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40">
    <w:name w:val="Title"/>
    <w:basedOn w:val="1"/>
    <w:link w:val="125"/>
    <w:qFormat/>
    <w:uiPriority w:val="0"/>
    <w:pPr>
      <w:adjustRightInd w:val="0"/>
      <w:spacing w:before="240" w:after="60" w:line="312" w:lineRule="atLeast"/>
      <w:jc w:val="center"/>
      <w:textAlignment w:val="baseline"/>
      <w:outlineLvl w:val="0"/>
    </w:pPr>
    <w:rPr>
      <w:rFonts w:ascii="Arial" w:hAnsi="Arial" w:eastAsia="楷体_GB2312"/>
      <w:b/>
      <w:kern w:val="0"/>
      <w:sz w:val="32"/>
      <w:szCs w:val="32"/>
    </w:rPr>
  </w:style>
  <w:style w:type="paragraph" w:styleId="41">
    <w:name w:val="annotation subject"/>
    <w:basedOn w:val="16"/>
    <w:next w:val="16"/>
    <w:link w:val="135"/>
    <w:qFormat/>
    <w:uiPriority w:val="0"/>
    <w:pPr>
      <w:adjustRightInd/>
      <w:spacing w:line="240" w:lineRule="auto"/>
      <w:textAlignment w:val="auto"/>
    </w:pPr>
    <w:rPr>
      <w:b/>
      <w:bCs/>
      <w:kern w:val="2"/>
      <w:sz w:val="21"/>
      <w:szCs w:val="24"/>
    </w:rPr>
  </w:style>
  <w:style w:type="paragraph" w:styleId="42">
    <w:name w:val="Body Text First Indent"/>
    <w:basedOn w:val="18"/>
    <w:next w:val="1"/>
    <w:qFormat/>
    <w:uiPriority w:val="0"/>
    <w:pPr>
      <w:adjustRightInd w:val="0"/>
      <w:ind w:firstLine="420"/>
      <w:jc w:val="left"/>
      <w:textAlignment w:val="baseline"/>
    </w:pPr>
    <w:rPr>
      <w:kern w:val="0"/>
    </w:rPr>
  </w:style>
  <w:style w:type="paragraph" w:styleId="43">
    <w:name w:val="Body Text First Indent 2"/>
    <w:basedOn w:val="19"/>
    <w:qFormat/>
    <w:uiPriority w:val="0"/>
    <w:pPr>
      <w:ind w:firstLine="420" w:firstLine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Classic 1"/>
    <w:basedOn w:val="44"/>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qFormat/>
    <w:uiPriority w:val="99"/>
    <w:rPr>
      <w:color w:val="800080"/>
      <w:u w:val="single"/>
    </w:rPr>
  </w:style>
  <w:style w:type="character" w:styleId="51">
    <w:name w:val="Emphasis"/>
    <w:qFormat/>
    <w:uiPriority w:val="0"/>
    <w:rPr>
      <w:i/>
      <w:iCs/>
    </w:rPr>
  </w:style>
  <w:style w:type="character" w:styleId="52">
    <w:name w:val="HTML Definition"/>
    <w:basedOn w:val="47"/>
    <w:qFormat/>
    <w:uiPriority w:val="0"/>
    <w:rPr>
      <w:i/>
    </w:rPr>
  </w:style>
  <w:style w:type="character" w:styleId="53">
    <w:name w:val="Hyperlink"/>
    <w:qFormat/>
    <w:uiPriority w:val="99"/>
    <w:rPr>
      <w:color w:val="136EC2"/>
      <w:u w:val="single"/>
    </w:rPr>
  </w:style>
  <w:style w:type="character" w:styleId="54">
    <w:name w:val="HTML Code"/>
    <w:basedOn w:val="47"/>
    <w:qFormat/>
    <w:uiPriority w:val="0"/>
    <w:rPr>
      <w:rFonts w:ascii="Consolas" w:hAnsi="Consolas" w:eastAsia="Consolas" w:cs="Consolas"/>
      <w:color w:val="C7254E"/>
      <w:sz w:val="21"/>
      <w:szCs w:val="21"/>
      <w:shd w:val="clear" w:fill="F9F2F4"/>
    </w:rPr>
  </w:style>
  <w:style w:type="character" w:styleId="55">
    <w:name w:val="annotation reference"/>
    <w:qFormat/>
    <w:uiPriority w:val="0"/>
    <w:rPr>
      <w:sz w:val="21"/>
      <w:szCs w:val="21"/>
    </w:rPr>
  </w:style>
  <w:style w:type="character" w:styleId="56">
    <w:name w:val="HTML Keyboard"/>
    <w:basedOn w:val="47"/>
    <w:qFormat/>
    <w:uiPriority w:val="0"/>
    <w:rPr>
      <w:rFonts w:hint="default" w:ascii="Consolas" w:hAnsi="Consolas" w:eastAsia="Consolas" w:cs="Consolas"/>
      <w:color w:val="FFFFFF"/>
      <w:sz w:val="21"/>
      <w:szCs w:val="21"/>
      <w:shd w:val="clear" w:fill="333333"/>
    </w:rPr>
  </w:style>
  <w:style w:type="character" w:styleId="57">
    <w:name w:val="HTML Sample"/>
    <w:basedOn w:val="47"/>
    <w:qFormat/>
    <w:uiPriority w:val="0"/>
    <w:rPr>
      <w:rFonts w:hint="default" w:ascii="Consolas" w:hAnsi="Consolas" w:eastAsia="Consolas" w:cs="Consolas"/>
      <w:sz w:val="21"/>
      <w:szCs w:val="21"/>
    </w:rPr>
  </w:style>
  <w:style w:type="paragraph" w:customStyle="1" w:styleId="58">
    <w:name w:val="列出段落1"/>
    <w:basedOn w:val="1"/>
    <w:qFormat/>
    <w:uiPriority w:val="99"/>
    <w:pPr>
      <w:ind w:firstLine="420" w:firstLineChars="200"/>
    </w:pPr>
    <w:rPr>
      <w:szCs w:val="20"/>
    </w:rPr>
  </w:style>
  <w:style w:type="paragraph" w:customStyle="1" w:styleId="59">
    <w:name w:val=" 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1">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6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3">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4">
    <w:name w:val="_Style 56"/>
    <w:basedOn w:val="3"/>
    <w:next w:val="1"/>
    <w:qFormat/>
    <w:uiPriority w:val="0"/>
    <w:pPr>
      <w:outlineLvl w:val="9"/>
    </w:pPr>
    <w:rPr>
      <w:rFonts w:ascii="Calibri" w:hAnsi="Calibri"/>
      <w:bCs/>
      <w:sz w:val="44"/>
      <w:szCs w:val="44"/>
    </w:rPr>
  </w:style>
  <w:style w:type="paragraph" w:styleId="65">
    <w:name w:val="Quote"/>
    <w:basedOn w:val="1"/>
    <w:next w:val="1"/>
    <w:link w:val="137"/>
    <w:qFormat/>
    <w:uiPriority w:val="0"/>
    <w:rPr>
      <w:i/>
      <w:iCs/>
      <w:color w:val="000000"/>
      <w:szCs w:val="22"/>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
    <w:name w:val="表格文字"/>
    <w:basedOn w:val="1"/>
    <w:qFormat/>
    <w:uiPriority w:val="0"/>
    <w:pPr>
      <w:adjustRightInd w:val="0"/>
      <w:spacing w:line="420" w:lineRule="atLeast"/>
      <w:jc w:val="left"/>
      <w:textAlignment w:val="baseline"/>
    </w:pPr>
    <w:rPr>
      <w:kern w:val="0"/>
      <w:szCs w:val="20"/>
    </w:rPr>
  </w:style>
  <w:style w:type="paragraph" w:customStyle="1" w:styleId="69">
    <w:name w:val="Char Char Char Char Char Char Char"/>
    <w:basedOn w:val="1"/>
    <w:qFormat/>
    <w:uiPriority w:val="0"/>
    <w:rPr>
      <w:rFonts w:ascii="Tahoma" w:hAnsi="Tahoma"/>
      <w:sz w:val="24"/>
      <w:szCs w:val="20"/>
    </w:rPr>
  </w:style>
  <w:style w:type="paragraph" w:customStyle="1" w:styleId="7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1">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72">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73">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7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 Char Char Char Char Char Char Char"/>
    <w:basedOn w:val="1"/>
    <w:qFormat/>
    <w:uiPriority w:val="0"/>
    <w:rPr>
      <w:rFonts w:ascii="Tahoma" w:hAnsi="Tahoma"/>
      <w:sz w:val="24"/>
    </w:rPr>
  </w:style>
  <w:style w:type="paragraph" w:customStyle="1" w:styleId="76">
    <w:name w:val="样式1"/>
    <w:basedOn w:val="1"/>
    <w:qFormat/>
    <w:uiPriority w:val="0"/>
    <w:pPr>
      <w:numPr>
        <w:ilvl w:val="0"/>
        <w:numId w:val="2"/>
      </w:numPr>
      <w:tabs>
        <w:tab w:val="left" w:pos="709"/>
      </w:tabs>
      <w:adjustRightInd w:val="0"/>
      <w:textAlignment w:val="baseline"/>
    </w:pPr>
    <w:rPr>
      <w:rFonts w:ascii="宋体" w:hAnsi="宋体"/>
      <w:kern w:val="0"/>
      <w:szCs w:val="21"/>
    </w:rPr>
  </w:style>
  <w:style w:type="paragraph" w:customStyle="1" w:styleId="77">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78">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kern w:val="0"/>
    </w:rPr>
  </w:style>
  <w:style w:type="paragraph" w:styleId="79">
    <w:name w:val="List Paragraph"/>
    <w:basedOn w:val="1"/>
    <w:qFormat/>
    <w:uiPriority w:val="34"/>
    <w:pPr>
      <w:ind w:firstLine="420" w:firstLineChars="200"/>
    </w:pPr>
    <w:rPr>
      <w:sz w:val="18"/>
      <w:szCs w:val="18"/>
    </w:rPr>
  </w:style>
  <w:style w:type="paragraph" w:customStyle="1" w:styleId="80">
    <w:name w:val="正文首行缩进两字符"/>
    <w:basedOn w:val="1"/>
    <w:qFormat/>
    <w:uiPriority w:val="0"/>
    <w:pPr>
      <w:spacing w:line="360" w:lineRule="auto"/>
      <w:ind w:firstLine="200" w:firstLineChars="200"/>
    </w:pPr>
  </w:style>
  <w:style w:type="paragraph" w:customStyle="1" w:styleId="81">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Char Char Char Char Char Char Char1"/>
    <w:basedOn w:val="1"/>
    <w:qFormat/>
    <w:uiPriority w:val="0"/>
    <w:rPr>
      <w:rFonts w:ascii="Tahoma" w:hAnsi="Tahoma"/>
      <w:sz w:val="24"/>
    </w:rPr>
  </w:style>
  <w:style w:type="paragraph" w:customStyle="1" w:styleId="84">
    <w:name w:val="Char1"/>
    <w:basedOn w:val="1"/>
    <w:qFormat/>
    <w:uiPriority w:val="0"/>
    <w:rPr>
      <w:szCs w:val="21"/>
    </w:rPr>
  </w:style>
  <w:style w:type="paragraph" w:styleId="85">
    <w:name w:val="Intense Quote"/>
    <w:basedOn w:val="1"/>
    <w:next w:val="1"/>
    <w:link w:val="148"/>
    <w:qFormat/>
    <w:uiPriority w:val="0"/>
    <w:pPr>
      <w:pBdr>
        <w:bottom w:val="single" w:color="4F81BD" w:sz="4" w:space="4"/>
      </w:pBdr>
      <w:spacing w:before="200" w:after="280"/>
      <w:ind w:left="936" w:right="936"/>
    </w:pPr>
    <w:rPr>
      <w:b/>
      <w:bCs/>
      <w:i/>
      <w:iCs/>
      <w:color w:val="4F81BD"/>
      <w:szCs w:val="22"/>
    </w:rPr>
  </w:style>
  <w:style w:type="paragraph" w:customStyle="1" w:styleId="86">
    <w:name w:val="Char Char Char Char"/>
    <w:basedOn w:val="1"/>
    <w:qFormat/>
    <w:uiPriority w:val="0"/>
    <w:pPr>
      <w:adjustRightInd w:val="0"/>
      <w:spacing w:line="440" w:lineRule="exact"/>
    </w:pPr>
    <w:rPr>
      <w:rFonts w:ascii="宋体"/>
      <w:kern w:val="0"/>
      <w:sz w:val="28"/>
      <w:szCs w:val="27"/>
    </w:rPr>
  </w:style>
  <w:style w:type="paragraph" w:customStyle="1" w:styleId="87">
    <w:name w:val="Char Char1"/>
    <w:basedOn w:val="1"/>
    <w:qFormat/>
    <w:uiPriority w:val="0"/>
    <w:pPr>
      <w:adjustRightInd w:val="0"/>
      <w:spacing w:line="440" w:lineRule="exact"/>
    </w:pPr>
    <w:rPr>
      <w:rFonts w:ascii="宋体"/>
      <w:kern w:val="0"/>
      <w:sz w:val="28"/>
      <w:szCs w:val="27"/>
    </w:rPr>
  </w:style>
  <w:style w:type="paragraph" w:customStyle="1" w:styleId="88">
    <w:name w:val="Blockquote"/>
    <w:basedOn w:val="1"/>
    <w:link w:val="167"/>
    <w:qFormat/>
    <w:uiPriority w:val="0"/>
    <w:pPr>
      <w:autoSpaceDE w:val="0"/>
      <w:autoSpaceDN w:val="0"/>
      <w:adjustRightInd w:val="0"/>
      <w:spacing w:before="100" w:after="100"/>
      <w:ind w:left="360" w:right="360"/>
      <w:jc w:val="left"/>
    </w:pPr>
    <w:rPr>
      <w:kern w:val="0"/>
      <w:sz w:val="24"/>
      <w:szCs w:val="20"/>
    </w:rPr>
  </w:style>
  <w:style w:type="paragraph" w:customStyle="1" w:styleId="89">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90">
    <w:name w:val="默认段落字体 Para Char Char Char Char Char Char Char"/>
    <w:basedOn w:val="1"/>
    <w:qFormat/>
    <w:uiPriority w:val="0"/>
    <w:rPr>
      <w:rFonts w:ascii="Tahoma" w:hAnsi="Tahoma"/>
      <w:sz w:val="24"/>
      <w:szCs w:val="20"/>
    </w:rPr>
  </w:style>
  <w:style w:type="paragraph" w:customStyle="1" w:styleId="91">
    <w:name w:val="目录"/>
    <w:basedOn w:val="1"/>
    <w:qFormat/>
    <w:uiPriority w:val="0"/>
    <w:pPr>
      <w:widowControl/>
      <w:jc w:val="center"/>
    </w:pPr>
    <w:rPr>
      <w:rFonts w:ascii="宋体"/>
      <w:b/>
      <w:kern w:val="0"/>
      <w:sz w:val="36"/>
      <w:szCs w:val="20"/>
    </w:rPr>
  </w:style>
  <w:style w:type="paragraph" w:customStyle="1" w:styleId="92">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93">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94">
    <w:name w:val="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97">
    <w:name w:val="Char Char Char"/>
    <w:basedOn w:val="1"/>
    <w:qFormat/>
    <w:uiPriority w:val="0"/>
    <w:pPr>
      <w:spacing w:line="360" w:lineRule="auto"/>
      <w:jc w:val="center"/>
    </w:pPr>
    <w:rPr>
      <w:rFonts w:ascii="Tahoma" w:hAnsi="Tahoma"/>
      <w:sz w:val="24"/>
      <w:szCs w:val="20"/>
    </w:rPr>
  </w:style>
  <w:style w:type="paragraph" w:customStyle="1" w:styleId="98">
    <w:name w:val="p0"/>
    <w:basedOn w:val="1"/>
    <w:link w:val="140"/>
    <w:qFormat/>
    <w:uiPriority w:val="0"/>
    <w:pPr>
      <w:widowControl/>
    </w:pPr>
    <w:rPr>
      <w:kern w:val="0"/>
      <w:szCs w:val="21"/>
    </w:rPr>
  </w:style>
  <w:style w:type="paragraph" w:customStyle="1" w:styleId="99">
    <w:name w:val=" Char Char Char Char Char Char"/>
    <w:basedOn w:val="1"/>
    <w:qFormat/>
    <w:uiPriority w:val="0"/>
    <w:pPr>
      <w:widowControl/>
      <w:spacing w:after="160" w:line="240" w:lineRule="exact"/>
      <w:jc w:val="left"/>
    </w:pPr>
    <w:rPr>
      <w:szCs w:val="20"/>
    </w:rPr>
  </w:style>
  <w:style w:type="paragraph" w:customStyle="1" w:styleId="100">
    <w:name w:val="表格"/>
    <w:basedOn w:val="1"/>
    <w:qFormat/>
    <w:uiPriority w:val="0"/>
    <w:pPr>
      <w:spacing w:line="400" w:lineRule="exact"/>
    </w:pPr>
    <w:rPr>
      <w:sz w:val="24"/>
    </w:rPr>
  </w:style>
  <w:style w:type="paragraph" w:customStyle="1" w:styleId="101">
    <w:name w:val="样式 标题 3 + (中文) 黑体 小四 非加粗 段前: 7.8 磅 段后: 0 磅 行距: 固定值 20 磅"/>
    <w:basedOn w:val="4"/>
    <w:qFormat/>
    <w:uiPriority w:val="0"/>
    <w:pPr>
      <w:spacing w:before="0" w:after="0" w:line="400" w:lineRule="exact"/>
    </w:pPr>
    <w:rPr>
      <w:rFonts w:eastAsia="黑体" w:cs="宋体"/>
      <w:b w:val="0"/>
      <w:sz w:val="24"/>
    </w:rPr>
  </w:style>
  <w:style w:type="paragraph" w:customStyle="1" w:styleId="102">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Char Char Char1"/>
    <w:basedOn w:val="1"/>
    <w:qFormat/>
    <w:uiPriority w:val="0"/>
    <w:pPr>
      <w:widowControl/>
      <w:spacing w:after="160" w:line="240" w:lineRule="exact"/>
      <w:jc w:val="left"/>
    </w:pPr>
  </w:style>
  <w:style w:type="paragraph" w:customStyle="1" w:styleId="104">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05">
    <w:name w:val="_Style 97"/>
    <w:qFormat/>
    <w:uiPriority w:val="0"/>
    <w:rPr>
      <w:rFonts w:ascii="Times New Roman" w:hAnsi="Times New Roman" w:eastAsia="宋体" w:cs="Times New Roman"/>
      <w:kern w:val="2"/>
      <w:sz w:val="21"/>
      <w:szCs w:val="24"/>
      <w:lang w:val="en-US" w:eastAsia="zh-CN" w:bidi="ar-SA"/>
    </w:rPr>
  </w:style>
  <w:style w:type="paragraph" w:customStyle="1" w:styleId="106">
    <w:name w:val="Char Char1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 Char Char Char Char"/>
    <w:basedOn w:val="1"/>
    <w:qFormat/>
    <w:uiPriority w:val="0"/>
    <w:rPr>
      <w:rFonts w:ascii="Tahoma" w:hAnsi="Tahoma"/>
      <w:sz w:val="24"/>
      <w:szCs w:val="20"/>
    </w:rPr>
  </w:style>
  <w:style w:type="paragraph" w:customStyle="1" w:styleId="108">
    <w:name w:val="Char Char Char Char Char Char"/>
    <w:basedOn w:val="1"/>
    <w:qFormat/>
    <w:uiPriority w:val="0"/>
    <w:pPr>
      <w:widowControl/>
      <w:spacing w:after="160" w:line="240" w:lineRule="exact"/>
      <w:jc w:val="left"/>
    </w:pPr>
    <w:rPr>
      <w:szCs w:val="20"/>
    </w:rPr>
  </w:style>
  <w:style w:type="paragraph" w:customStyle="1" w:styleId="109">
    <w:name w:val="标题5"/>
    <w:basedOn w:val="4"/>
    <w:link w:val="161"/>
    <w:qFormat/>
    <w:uiPriority w:val="0"/>
    <w:pPr>
      <w:spacing w:line="413" w:lineRule="auto"/>
    </w:pPr>
    <w:rPr>
      <w:rFonts w:ascii="Arial" w:hAnsi="Arial"/>
      <w:bCs/>
      <w:kern w:val="0"/>
      <w:sz w:val="24"/>
      <w:szCs w:val="32"/>
    </w:rPr>
  </w:style>
  <w:style w:type="paragraph" w:customStyle="1" w:styleId="110">
    <w:name w:val="样式 首行缩进:  2 字符"/>
    <w:basedOn w:val="1"/>
    <w:qFormat/>
    <w:uiPriority w:val="0"/>
    <w:pPr>
      <w:spacing w:line="400" w:lineRule="exact"/>
      <w:ind w:firstLine="200" w:firstLineChars="200"/>
    </w:pPr>
    <w:rPr>
      <w:rFonts w:cs="宋体"/>
      <w:sz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图标题"/>
    <w:basedOn w:val="1"/>
    <w:qFormat/>
    <w:uiPriority w:val="0"/>
    <w:pPr>
      <w:adjustRightInd w:val="0"/>
      <w:spacing w:line="360" w:lineRule="atLeast"/>
      <w:jc w:val="left"/>
      <w:textAlignment w:val="baseline"/>
    </w:pPr>
    <w:rPr>
      <w:kern w:val="0"/>
      <w:sz w:val="24"/>
      <w:szCs w:val="20"/>
    </w:rPr>
  </w:style>
  <w:style w:type="paragraph" w:customStyle="1" w:styleId="11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1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17">
    <w:name w:val=" Char Char Char"/>
    <w:basedOn w:val="1"/>
    <w:qFormat/>
    <w:uiPriority w:val="0"/>
    <w:pPr>
      <w:widowControl/>
      <w:spacing w:after="160" w:line="240" w:lineRule="exact"/>
      <w:jc w:val="left"/>
    </w:pPr>
  </w:style>
  <w:style w:type="character" w:customStyle="1" w:styleId="118">
    <w:name w:val="正文文本缩进 字符1"/>
    <w:link w:val="19"/>
    <w:qFormat/>
    <w:uiPriority w:val="0"/>
    <w:rPr>
      <w:kern w:val="2"/>
      <w:sz w:val="21"/>
      <w:szCs w:val="24"/>
    </w:rPr>
  </w:style>
  <w:style w:type="character" w:customStyle="1" w:styleId="119">
    <w:name w:val="文档结构图 字符"/>
    <w:link w:val="15"/>
    <w:qFormat/>
    <w:uiPriority w:val="0"/>
    <w:rPr>
      <w:kern w:val="2"/>
      <w:sz w:val="21"/>
      <w:szCs w:val="24"/>
      <w:shd w:val="clear" w:color="auto" w:fill="000080"/>
    </w:rPr>
  </w:style>
  <w:style w:type="character" w:customStyle="1" w:styleId="120">
    <w:name w:val="普通文字1 Char"/>
    <w:qFormat/>
    <w:uiPriority w:val="0"/>
    <w:rPr>
      <w:rFonts w:ascii="宋体" w:hAnsi="Courier New" w:eastAsia="宋体"/>
      <w:kern w:val="2"/>
      <w:sz w:val="21"/>
      <w:lang w:val="en-US" w:eastAsia="zh-CN" w:bidi="ar-SA"/>
    </w:rPr>
  </w:style>
  <w:style w:type="character" w:customStyle="1" w:styleId="121">
    <w:name w:val="明显引用 Char1"/>
    <w:qFormat/>
    <w:uiPriority w:val="99"/>
    <w:rPr>
      <w:b/>
      <w:bCs/>
      <w:i/>
      <w:iCs/>
      <w:color w:val="4F81BD"/>
      <w:kern w:val="2"/>
      <w:sz w:val="21"/>
      <w:szCs w:val="24"/>
    </w:rPr>
  </w:style>
  <w:style w:type="character" w:customStyle="1" w:styleId="122">
    <w:name w:val="批注文字 Char Char"/>
    <w:qFormat/>
    <w:uiPriority w:val="0"/>
    <w:rPr>
      <w:rFonts w:ascii="宋体" w:hAnsi="Times New Roman" w:eastAsia="宋体" w:cs="Times New Roman"/>
      <w:sz w:val="28"/>
      <w:szCs w:val="20"/>
    </w:rPr>
  </w:style>
  <w:style w:type="character" w:customStyle="1" w:styleId="123">
    <w:name w:val="标题 2 字符"/>
    <w:link w:val="2"/>
    <w:qFormat/>
    <w:uiPriority w:val="0"/>
    <w:rPr>
      <w:rFonts w:ascii="Arial" w:hAnsi="Arial" w:eastAsia="黑体"/>
      <w:b/>
      <w:kern w:val="2"/>
      <w:sz w:val="28"/>
    </w:rPr>
  </w:style>
  <w:style w:type="character" w:customStyle="1" w:styleId="124">
    <w:name w:val="页脚 字符"/>
    <w:link w:val="29"/>
    <w:qFormat/>
    <w:uiPriority w:val="0"/>
    <w:rPr>
      <w:rFonts w:eastAsia="宋体"/>
      <w:kern w:val="2"/>
      <w:sz w:val="18"/>
      <w:lang w:val="en-US" w:eastAsia="zh-CN" w:bidi="ar-SA"/>
    </w:rPr>
  </w:style>
  <w:style w:type="character" w:customStyle="1" w:styleId="125">
    <w:name w:val="标题 字符"/>
    <w:link w:val="40"/>
    <w:qFormat/>
    <w:uiPriority w:val="0"/>
    <w:rPr>
      <w:rFonts w:ascii="Arial" w:hAnsi="Arial" w:eastAsia="楷体_GB2312" w:cs="Arial"/>
      <w:b/>
      <w:sz w:val="32"/>
      <w:szCs w:val="32"/>
    </w:rPr>
  </w:style>
  <w:style w:type="character" w:customStyle="1" w:styleId="126">
    <w:name w:val="批注文字 字符"/>
    <w:link w:val="16"/>
    <w:qFormat/>
    <w:uiPriority w:val="0"/>
    <w:rPr>
      <w:rFonts w:eastAsia="宋体"/>
      <w:sz w:val="24"/>
      <w:lang w:val="en-US" w:eastAsia="zh-CN" w:bidi="ar-SA"/>
    </w:rPr>
  </w:style>
  <w:style w:type="character" w:customStyle="1" w:styleId="127">
    <w:name w:val="Char Char"/>
    <w:qFormat/>
    <w:uiPriority w:val="0"/>
    <w:rPr>
      <w:sz w:val="18"/>
      <w:szCs w:val="18"/>
    </w:rPr>
  </w:style>
  <w:style w:type="character" w:customStyle="1" w:styleId="128">
    <w:name w:val="标题 5 字符"/>
    <w:link w:val="7"/>
    <w:qFormat/>
    <w:uiPriority w:val="0"/>
    <w:rPr>
      <w:b/>
      <w:kern w:val="2"/>
      <w:sz w:val="28"/>
      <w:szCs w:val="24"/>
    </w:rPr>
  </w:style>
  <w:style w:type="character" w:customStyle="1" w:styleId="129">
    <w:name w:val="纯文本 字符"/>
    <w:link w:val="24"/>
    <w:qFormat/>
    <w:locked/>
    <w:uiPriority w:val="0"/>
    <w:rPr>
      <w:rFonts w:ascii="宋体" w:hAnsi="Courier New" w:eastAsia="宋体" w:cs="Courier New"/>
      <w:kern w:val="2"/>
      <w:sz w:val="21"/>
      <w:szCs w:val="21"/>
      <w:lang w:val="en-US" w:eastAsia="zh-CN" w:bidi="ar-SA"/>
    </w:rPr>
  </w:style>
  <w:style w:type="character" w:customStyle="1" w:styleId="130">
    <w:name w:val="textcontents"/>
    <w:qFormat/>
    <w:uiPriority w:val="0"/>
    <w:rPr>
      <w:rFonts w:cs="Times New Roman"/>
    </w:rPr>
  </w:style>
  <w:style w:type="character" w:customStyle="1" w:styleId="131">
    <w:name w:val="正文文本缩进 2 字符"/>
    <w:link w:val="27"/>
    <w:qFormat/>
    <w:uiPriority w:val="0"/>
    <w:rPr>
      <w:kern w:val="2"/>
      <w:sz w:val="32"/>
    </w:rPr>
  </w:style>
  <w:style w:type="character" w:customStyle="1" w:styleId="132">
    <w:name w:val="标题 6 字符"/>
    <w:link w:val="8"/>
    <w:qFormat/>
    <w:uiPriority w:val="0"/>
    <w:rPr>
      <w:rFonts w:ascii="Arial" w:hAnsi="Arial" w:eastAsia="黑体"/>
      <w:b/>
      <w:kern w:val="2"/>
      <w:sz w:val="24"/>
      <w:szCs w:val="24"/>
    </w:rPr>
  </w:style>
  <w:style w:type="character" w:customStyle="1" w:styleId="133">
    <w:name w:val="正文文本缩进 字符"/>
    <w:qFormat/>
    <w:uiPriority w:val="0"/>
    <w:rPr>
      <w:kern w:val="2"/>
      <w:sz w:val="32"/>
    </w:rPr>
  </w:style>
  <w:style w:type="character" w:customStyle="1" w:styleId="134">
    <w:name w:val="正文文本 字符"/>
    <w:link w:val="18"/>
    <w:qFormat/>
    <w:uiPriority w:val="0"/>
    <w:rPr>
      <w:sz w:val="24"/>
    </w:rPr>
  </w:style>
  <w:style w:type="character" w:customStyle="1" w:styleId="135">
    <w:name w:val="批注主题 字符"/>
    <w:link w:val="41"/>
    <w:qFormat/>
    <w:uiPriority w:val="0"/>
    <w:rPr>
      <w:rFonts w:eastAsia="宋体"/>
      <w:b/>
      <w:bCs/>
      <w:kern w:val="2"/>
      <w:sz w:val="21"/>
      <w:szCs w:val="24"/>
      <w:lang w:val="en-US" w:eastAsia="zh-CN" w:bidi="ar-SA"/>
    </w:rPr>
  </w:style>
  <w:style w:type="character" w:customStyle="1" w:styleId="136">
    <w:name w:val="页眉 字符"/>
    <w:link w:val="30"/>
    <w:qFormat/>
    <w:uiPriority w:val="0"/>
    <w:rPr>
      <w:rFonts w:eastAsia="宋体"/>
      <w:kern w:val="2"/>
      <w:sz w:val="18"/>
      <w:lang w:val="en-US" w:eastAsia="zh-CN" w:bidi="ar-SA"/>
    </w:rPr>
  </w:style>
  <w:style w:type="character" w:customStyle="1" w:styleId="137">
    <w:name w:val="引用 字符"/>
    <w:link w:val="65"/>
    <w:qFormat/>
    <w:uiPriority w:val="0"/>
    <w:rPr>
      <w:i/>
      <w:iCs/>
      <w:color w:val="000000"/>
      <w:kern w:val="2"/>
      <w:sz w:val="21"/>
      <w:szCs w:val="22"/>
    </w:rPr>
  </w:style>
  <w:style w:type="character" w:customStyle="1" w:styleId="138">
    <w:name w:val="批注框文本 字符"/>
    <w:link w:val="28"/>
    <w:qFormat/>
    <w:uiPriority w:val="0"/>
    <w:rPr>
      <w:kern w:val="2"/>
      <w:sz w:val="18"/>
      <w:szCs w:val="18"/>
    </w:rPr>
  </w:style>
  <w:style w:type="character" w:customStyle="1" w:styleId="139">
    <w:name w:val="标题 7 字符"/>
    <w:link w:val="9"/>
    <w:qFormat/>
    <w:uiPriority w:val="0"/>
    <w:rPr>
      <w:b/>
      <w:kern w:val="2"/>
      <w:sz w:val="24"/>
      <w:szCs w:val="24"/>
    </w:rPr>
  </w:style>
  <w:style w:type="character" w:customStyle="1" w:styleId="140">
    <w:name w:val="p0 Char"/>
    <w:link w:val="98"/>
    <w:qFormat/>
    <w:uiPriority w:val="0"/>
    <w:rPr>
      <w:rFonts w:eastAsia="宋体"/>
      <w:sz w:val="21"/>
      <w:szCs w:val="21"/>
      <w:lang w:val="en-US" w:eastAsia="zh-CN" w:bidi="ar-SA"/>
    </w:rPr>
  </w:style>
  <w:style w:type="character" w:customStyle="1" w:styleId="141">
    <w:name w:val="副标题 字符"/>
    <w:link w:val="33"/>
    <w:qFormat/>
    <w:uiPriority w:val="0"/>
    <w:rPr>
      <w:rFonts w:ascii="Cambria" w:hAnsi="Cambria"/>
      <w:b/>
      <w:bCs/>
      <w:kern w:val="28"/>
      <w:sz w:val="32"/>
      <w:szCs w:val="32"/>
    </w:rPr>
  </w:style>
  <w:style w:type="character" w:customStyle="1" w:styleId="142">
    <w:name w:val="标题 3 字符"/>
    <w:link w:val="4"/>
    <w:qFormat/>
    <w:uiPriority w:val="0"/>
    <w:rPr>
      <w:b/>
      <w:kern w:val="2"/>
      <w:sz w:val="32"/>
    </w:rPr>
  </w:style>
  <w:style w:type="character" w:customStyle="1" w:styleId="143">
    <w:name w:val="_Style 135"/>
    <w:qFormat/>
    <w:uiPriority w:val="0"/>
    <w:rPr>
      <w:smallCaps/>
      <w:color w:val="C0504D"/>
      <w:u w:val="single"/>
    </w:rPr>
  </w:style>
  <w:style w:type="character" w:customStyle="1" w:styleId="144">
    <w:name w:val="rili11"/>
    <w:qFormat/>
    <w:uiPriority w:val="0"/>
    <w:rPr>
      <w:sz w:val="21"/>
      <w:szCs w:val="21"/>
    </w:rPr>
  </w:style>
  <w:style w:type="character" w:customStyle="1" w:styleId="145">
    <w:name w:val="批注文字 Char1"/>
    <w:qFormat/>
    <w:uiPriority w:val="0"/>
    <w:rPr>
      <w:kern w:val="2"/>
      <w:sz w:val="21"/>
      <w:szCs w:val="24"/>
    </w:rPr>
  </w:style>
  <w:style w:type="character" w:customStyle="1" w:styleId="146">
    <w:name w:val="正文文本缩进 3 字符"/>
    <w:link w:val="35"/>
    <w:qFormat/>
    <w:uiPriority w:val="0"/>
    <w:rPr>
      <w:rFonts w:ascii="黑体" w:eastAsia="黑体"/>
      <w:kern w:val="2"/>
      <w:sz w:val="30"/>
      <w:szCs w:val="28"/>
    </w:rPr>
  </w:style>
  <w:style w:type="character" w:customStyle="1" w:styleId="147">
    <w:name w:val="标题 9 字符"/>
    <w:link w:val="11"/>
    <w:qFormat/>
    <w:uiPriority w:val="0"/>
    <w:rPr>
      <w:rFonts w:ascii="Arial" w:hAnsi="Arial" w:eastAsia="黑体"/>
      <w:kern w:val="2"/>
      <w:sz w:val="21"/>
      <w:szCs w:val="24"/>
    </w:rPr>
  </w:style>
  <w:style w:type="character" w:customStyle="1" w:styleId="148">
    <w:name w:val="明显引用 字符"/>
    <w:link w:val="85"/>
    <w:qFormat/>
    <w:uiPriority w:val="0"/>
    <w:rPr>
      <w:b/>
      <w:bCs/>
      <w:i/>
      <w:iCs/>
      <w:color w:val="4F81BD"/>
      <w:kern w:val="2"/>
      <w:sz w:val="21"/>
      <w:szCs w:val="22"/>
    </w:rPr>
  </w:style>
  <w:style w:type="character" w:customStyle="1" w:styleId="149">
    <w:name w:val="bds_nopic2"/>
    <w:qFormat/>
    <w:uiPriority w:val="0"/>
    <w:rPr>
      <w:rFonts w:ascii="Times New Roman" w:hAnsi="Times New Roman" w:eastAsia="宋体"/>
    </w:rPr>
  </w:style>
  <w:style w:type="character" w:customStyle="1" w:styleId="150">
    <w:name w:val="正文文本 2 字符"/>
    <w:basedOn w:val="47"/>
    <w:link w:val="38"/>
    <w:qFormat/>
    <w:uiPriority w:val="0"/>
  </w:style>
  <w:style w:type="character" w:customStyle="1" w:styleId="151">
    <w:name w:val="副标题 Char1"/>
    <w:qFormat/>
    <w:uiPriority w:val="0"/>
    <w:rPr>
      <w:rFonts w:ascii="Cambria" w:hAnsi="Cambria" w:cs="Times New Roman"/>
      <w:b/>
      <w:bCs/>
      <w:kern w:val="28"/>
      <w:sz w:val="32"/>
      <w:szCs w:val="32"/>
    </w:rPr>
  </w:style>
  <w:style w:type="character" w:customStyle="1" w:styleId="152">
    <w:name w:val="日期 字符"/>
    <w:link w:val="26"/>
    <w:qFormat/>
    <w:uiPriority w:val="0"/>
    <w:rPr>
      <w:rFonts w:eastAsia="宋体"/>
      <w:kern w:val="2"/>
      <w:sz w:val="21"/>
      <w:szCs w:val="24"/>
      <w:lang w:val="en-US" w:eastAsia="zh-CN" w:bidi="ar-SA"/>
    </w:rPr>
  </w:style>
  <w:style w:type="character" w:customStyle="1" w:styleId="153">
    <w:name w:val="纯文本 Char1"/>
    <w:semiHidden/>
    <w:qFormat/>
    <w:locked/>
    <w:uiPriority w:val="0"/>
    <w:rPr>
      <w:rFonts w:ascii="宋体" w:hAnsi="Courier New" w:eastAsia="宋体" w:cs="Courier New"/>
      <w:szCs w:val="21"/>
    </w:rPr>
  </w:style>
  <w:style w:type="character" w:customStyle="1" w:styleId="154">
    <w:name w:val="标题 8 字符"/>
    <w:link w:val="10"/>
    <w:qFormat/>
    <w:uiPriority w:val="0"/>
    <w:rPr>
      <w:rFonts w:ascii="Arial" w:hAnsi="Arial" w:eastAsia="黑体"/>
      <w:kern w:val="2"/>
      <w:sz w:val="24"/>
      <w:szCs w:val="24"/>
    </w:rPr>
  </w:style>
  <w:style w:type="character" w:customStyle="1" w:styleId="155">
    <w:name w:val="_Style 147"/>
    <w:qFormat/>
    <w:uiPriority w:val="0"/>
    <w:rPr>
      <w:i/>
      <w:iCs/>
      <w:color w:val="808080"/>
    </w:rPr>
  </w:style>
  <w:style w:type="character" w:customStyle="1" w:styleId="156">
    <w:name w:val="_Style 148"/>
    <w:qFormat/>
    <w:uiPriority w:val="0"/>
    <w:rPr>
      <w:b/>
      <w:bCs/>
      <w:smallCaps/>
      <w:spacing w:val="5"/>
    </w:rPr>
  </w:style>
  <w:style w:type="character" w:customStyle="1" w:styleId="157">
    <w:name w:val="正文缩进 字符"/>
    <w:link w:val="5"/>
    <w:qFormat/>
    <w:uiPriority w:val="0"/>
    <w:rPr>
      <w:rFonts w:eastAsia="宋体"/>
      <w:kern w:val="2"/>
      <w:sz w:val="21"/>
      <w:lang w:val="en-US" w:eastAsia="zh-CN" w:bidi="ar-SA"/>
    </w:rPr>
  </w:style>
  <w:style w:type="character" w:customStyle="1" w:styleId="158">
    <w:name w:val="日期 Char1"/>
    <w:qFormat/>
    <w:uiPriority w:val="0"/>
    <w:rPr>
      <w:kern w:val="2"/>
      <w:sz w:val="21"/>
      <w:szCs w:val="22"/>
    </w:rPr>
  </w:style>
  <w:style w:type="character" w:customStyle="1" w:styleId="159">
    <w:name w:val="标题4 Char Char"/>
    <w:qFormat/>
    <w:uiPriority w:val="0"/>
    <w:rPr>
      <w:rFonts w:ascii="Arial" w:hAnsi="Arial"/>
      <w:b/>
      <w:bCs/>
      <w:sz w:val="24"/>
      <w:szCs w:val="32"/>
    </w:rPr>
  </w:style>
  <w:style w:type="character" w:customStyle="1" w:styleId="160">
    <w:name w:val="文档结构图 Char1"/>
    <w:qFormat/>
    <w:uiPriority w:val="0"/>
    <w:rPr>
      <w:rFonts w:ascii="宋体"/>
      <w:kern w:val="2"/>
      <w:sz w:val="18"/>
      <w:szCs w:val="18"/>
    </w:rPr>
  </w:style>
  <w:style w:type="character" w:customStyle="1" w:styleId="161">
    <w:name w:val="标题5 Char Char"/>
    <w:link w:val="109"/>
    <w:qFormat/>
    <w:uiPriority w:val="0"/>
    <w:rPr>
      <w:rFonts w:ascii="Arial" w:hAnsi="Arial"/>
      <w:b/>
      <w:bCs/>
      <w:sz w:val="24"/>
      <w:szCs w:val="32"/>
    </w:rPr>
  </w:style>
  <w:style w:type="character" w:customStyle="1" w:styleId="162">
    <w:name w:val="_Style 154"/>
    <w:qFormat/>
    <w:uiPriority w:val="0"/>
    <w:rPr>
      <w:b/>
      <w:bCs/>
      <w:smallCaps/>
      <w:color w:val="C0504D"/>
      <w:spacing w:val="5"/>
      <w:u w:val="single"/>
    </w:rPr>
  </w:style>
  <w:style w:type="character" w:customStyle="1" w:styleId="163">
    <w:name w:val="Char Char Char Char Char Char Char Char Char"/>
    <w:qFormat/>
    <w:uiPriority w:val="0"/>
    <w:rPr>
      <w:sz w:val="18"/>
      <w:szCs w:val="18"/>
    </w:rPr>
  </w:style>
  <w:style w:type="character" w:customStyle="1" w:styleId="164">
    <w:name w:val="正文文本 Char1"/>
    <w:qFormat/>
    <w:uiPriority w:val="0"/>
    <w:rPr>
      <w:kern w:val="2"/>
      <w:sz w:val="21"/>
      <w:szCs w:val="22"/>
    </w:rPr>
  </w:style>
  <w:style w:type="character" w:customStyle="1" w:styleId="165">
    <w:name w:val="批注框文本 Char1"/>
    <w:qFormat/>
    <w:uiPriority w:val="0"/>
    <w:rPr>
      <w:kern w:val="2"/>
      <w:sz w:val="18"/>
      <w:szCs w:val="18"/>
    </w:rPr>
  </w:style>
  <w:style w:type="character" w:customStyle="1" w:styleId="166">
    <w:name w:val="_Style 158"/>
    <w:qFormat/>
    <w:uiPriority w:val="0"/>
    <w:rPr>
      <w:b/>
      <w:bCs/>
      <w:i/>
      <w:iCs/>
      <w:color w:val="4F81BD"/>
    </w:rPr>
  </w:style>
  <w:style w:type="character" w:customStyle="1" w:styleId="167">
    <w:name w:val="Blockquote Char"/>
    <w:link w:val="88"/>
    <w:qFormat/>
    <w:uiPriority w:val="0"/>
    <w:rPr>
      <w:sz w:val="24"/>
    </w:rPr>
  </w:style>
  <w:style w:type="character" w:customStyle="1" w:styleId="168">
    <w:name w:val="批注主题 Char1"/>
    <w:qFormat/>
    <w:uiPriority w:val="0"/>
    <w:rPr>
      <w:b/>
      <w:bCs/>
      <w:kern w:val="2"/>
      <w:sz w:val="21"/>
      <w:szCs w:val="22"/>
    </w:rPr>
  </w:style>
  <w:style w:type="character" w:customStyle="1" w:styleId="169">
    <w:name w:val="Blockquote Char Char"/>
    <w:qFormat/>
    <w:locked/>
    <w:uiPriority w:val="0"/>
    <w:rPr>
      <w:sz w:val="24"/>
    </w:rPr>
  </w:style>
  <w:style w:type="character" w:customStyle="1" w:styleId="170">
    <w:name w:val="正文文本 3 字符"/>
    <w:link w:val="17"/>
    <w:qFormat/>
    <w:uiPriority w:val="0"/>
    <w:rPr>
      <w:sz w:val="16"/>
      <w:szCs w:val="16"/>
    </w:rPr>
  </w:style>
  <w:style w:type="character" w:customStyle="1" w:styleId="171">
    <w:name w:val="引用 Char1"/>
    <w:qFormat/>
    <w:uiPriority w:val="99"/>
    <w:rPr>
      <w:i/>
      <w:iCs/>
      <w:color w:val="000000"/>
      <w:kern w:val="2"/>
      <w:sz w:val="21"/>
      <w:szCs w:val="24"/>
    </w:rPr>
  </w:style>
  <w:style w:type="character" w:customStyle="1" w:styleId="172">
    <w:name w:val="标题 4 字符"/>
    <w:link w:val="6"/>
    <w:qFormat/>
    <w:uiPriority w:val="0"/>
    <w:rPr>
      <w:rFonts w:ascii="Arial" w:hAnsi="Arial" w:eastAsia="黑体"/>
      <w:b/>
      <w:bCs/>
      <w:kern w:val="2"/>
      <w:sz w:val="28"/>
      <w:szCs w:val="28"/>
      <w:lang w:val="en-US" w:eastAsia="zh-CN" w:bidi="ar-SA"/>
    </w:rPr>
  </w:style>
  <w:style w:type="character" w:customStyle="1" w:styleId="173">
    <w:name w:val="标题 1 字符"/>
    <w:link w:val="3"/>
    <w:qFormat/>
    <w:uiPriority w:val="0"/>
    <w:rPr>
      <w:b/>
      <w:kern w:val="44"/>
      <w:sz w:val="32"/>
    </w:rPr>
  </w:style>
  <w:style w:type="character" w:customStyle="1" w:styleId="174">
    <w:name w:val="正文文本缩进 Char"/>
    <w:qFormat/>
    <w:uiPriority w:val="0"/>
    <w:rPr>
      <w:kern w:val="2"/>
      <w:sz w:val="32"/>
    </w:rPr>
  </w:style>
  <w:style w:type="character" w:customStyle="1" w:styleId="175">
    <w:name w:val="font51"/>
    <w:basedOn w:val="47"/>
    <w:qFormat/>
    <w:uiPriority w:val="0"/>
    <w:rPr>
      <w:rFonts w:hint="eastAsia" w:ascii="仿宋" w:hAnsi="仿宋" w:eastAsia="仿宋" w:cs="仿宋"/>
      <w:color w:val="000000"/>
      <w:sz w:val="24"/>
      <w:szCs w:val="24"/>
      <w:u w:val="none"/>
    </w:rPr>
  </w:style>
  <w:style w:type="character" w:customStyle="1" w:styleId="176">
    <w:name w:val="font01"/>
    <w:basedOn w:val="47"/>
    <w:qFormat/>
    <w:uiPriority w:val="0"/>
    <w:rPr>
      <w:rFonts w:hint="eastAsia" w:ascii="仿宋" w:hAnsi="仿宋" w:eastAsia="仿宋" w:cs="仿宋"/>
      <w:color w:val="000000"/>
      <w:sz w:val="24"/>
      <w:szCs w:val="24"/>
      <w:u w:val="none"/>
      <w:vertAlign w:val="superscript"/>
    </w:rPr>
  </w:style>
  <w:style w:type="character" w:customStyle="1" w:styleId="177">
    <w:name w:val="old"/>
    <w:basedOn w:val="47"/>
    <w:qFormat/>
    <w:uiPriority w:val="0"/>
    <w:rPr>
      <w:color w:val="999999"/>
    </w:rPr>
  </w:style>
  <w:style w:type="character" w:customStyle="1" w:styleId="178">
    <w:name w:val="indent"/>
    <w:basedOn w:val="47"/>
    <w:qFormat/>
    <w:uiPriority w:val="0"/>
  </w:style>
  <w:style w:type="character" w:customStyle="1" w:styleId="179">
    <w:name w:val="hover3"/>
    <w:basedOn w:val="47"/>
    <w:qFormat/>
    <w:uiPriority w:val="0"/>
    <w:rPr>
      <w:shd w:val="clear" w:fill="EEEEEE"/>
    </w:rPr>
  </w:style>
  <w:style w:type="character" w:customStyle="1" w:styleId="180">
    <w:name w:val="hour_am"/>
    <w:basedOn w:val="47"/>
    <w:qFormat/>
    <w:uiPriority w:val="0"/>
  </w:style>
  <w:style w:type="character" w:customStyle="1" w:styleId="181">
    <w:name w:val="hour_pm"/>
    <w:basedOn w:val="47"/>
    <w:qFormat/>
    <w:uiPriority w:val="0"/>
  </w:style>
  <w:style w:type="character" w:customStyle="1" w:styleId="182">
    <w:name w:val="glyphicon4"/>
    <w:basedOn w:val="47"/>
    <w:qFormat/>
    <w:uiPriority w:val="0"/>
  </w:style>
  <w:style w:type="character" w:customStyle="1" w:styleId="183">
    <w:name w:val="button"/>
    <w:basedOn w:val="47"/>
    <w:qFormat/>
    <w:uiPriority w:val="0"/>
  </w:style>
  <w:style w:type="character" w:customStyle="1" w:styleId="184">
    <w:name w:val="tmpztreemove_arrow"/>
    <w:basedOn w:val="47"/>
    <w:qFormat/>
    <w:uiPriority w:val="0"/>
    <w:rPr>
      <w:shd w:val="clear" w:fill="FFFFFF"/>
    </w:rPr>
  </w:style>
  <w:style w:type="paragraph" w:customStyle="1" w:styleId="18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88">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89">
    <w:name w:val="Heading 0"/>
    <w:basedOn w:val="1"/>
    <w:qFormat/>
    <w:uiPriority w:val="0"/>
    <w:pPr>
      <w:spacing w:before="480" w:after="360"/>
      <w:ind w:firstLine="0" w:firstLineChars="0"/>
      <w:jc w:val="center"/>
    </w:pPr>
    <w:rPr>
      <w:rFonts w:eastAsia="黑体"/>
      <w:b/>
      <w:sz w:val="44"/>
    </w:rPr>
  </w:style>
  <w:style w:type="paragraph" w:customStyle="1" w:styleId="190">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191">
    <w:name w:val="Other|1"/>
    <w:basedOn w:val="1"/>
    <w:qFormat/>
    <w:uiPriority w:val="0"/>
    <w:pPr>
      <w:widowControl w:val="0"/>
      <w:shd w:val="clear" w:color="auto" w:fill="auto"/>
      <w:spacing w:after="100" w:line="446" w:lineRule="auto"/>
      <w:ind w:firstLine="400"/>
    </w:pPr>
    <w:rPr>
      <w:rFonts w:ascii="宋体" w:hAnsi="宋体" w:eastAsia="宋体" w:cs="宋体"/>
      <w:sz w:val="22"/>
      <w:szCs w:val="22"/>
      <w:u w:val="none"/>
      <w:shd w:val="clear" w:color="auto" w:fill="auto"/>
      <w:lang w:val="zh-TW" w:eastAsia="zh-TW" w:bidi="zh-TW"/>
    </w:rPr>
  </w:style>
  <w:style w:type="paragraph" w:customStyle="1" w:styleId="192">
    <w:name w:val="Normal Indent1"/>
    <w:basedOn w:val="1"/>
    <w:qFormat/>
    <w:uiPriority w:val="0"/>
    <w:pPr>
      <w:ind w:firstLine="200" w:firstLineChars="200"/>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26195</Words>
  <Characters>28000</Characters>
  <Lines>430</Lines>
  <Paragraphs>121</Paragraphs>
  <TotalTime>1</TotalTime>
  <ScaleCrop>false</ScaleCrop>
  <LinksUpToDate>false</LinksUpToDate>
  <CharactersWithSpaces>28445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2016-09-14T08:14:00Z</dcterms:created>
  <dc:creator>GZB</dc:creator>
  <cp:lastModifiedBy>C。</cp:lastModifiedBy>
  <cp:lastPrinted>2019-12-05T02:09:00Z</cp:lastPrinted>
  <dcterms:modified xsi:type="dcterms:W3CDTF">2025-01-16T00:51:05Z</dcterms:modified>
  <dc:title>招标编号：xxx政采招[20xxx] xxx号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907C6DDF08A34397B254F29ED8C96405</vt:lpwstr>
  </property>
  <property fmtid="{D5CDD505-2E9C-101B-9397-08002B2CF9AE}" pid="4" name="KSOTemplateDocerSaveRecord">
    <vt:lpwstr>eyJoZGlkIjoiMWE2NmQ2NTMxZGE3YjNjZjI5NTA3YjZhOTMyZGJmYjAiLCJ1c2VySWQiOiIyODY3ODk5OTYifQ==</vt:lpwstr>
  </property>
</Properties>
</file>