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3BA77">
      <w:pPr>
        <w:widowControl/>
        <w:jc w:val="center"/>
        <w:rPr>
          <w:rFonts w:ascii="仿宋" w:hAnsi="仿宋" w:eastAsia="仿宋"/>
          <w:b/>
          <w:sz w:val="32"/>
          <w:szCs w:val="32"/>
        </w:rPr>
      </w:pPr>
      <w:r>
        <w:rPr>
          <w:rFonts w:hint="eastAsia" w:ascii="仿宋" w:hAnsi="仿宋" w:eastAsia="仿宋"/>
          <w:b/>
          <w:sz w:val="32"/>
          <w:szCs w:val="32"/>
        </w:rPr>
        <w:t>鄠邑区涝河9#溢流坝水毁修复工程采购需求</w:t>
      </w:r>
    </w:p>
    <w:p w14:paraId="758A8F0F">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0925FB51">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项目主要建设内容如下：</w:t>
      </w:r>
    </w:p>
    <w:p w14:paraId="4EBF77FC">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1）海漫修复：对涝河9号溢流坝后海漫进行修复，在现状格宾石笼防护后修建格宾石笼海漫，沿水流方向长度23m，宽度约82m，坡比为1:10，海漫末端设置9.07m长抛石防冲槽；（2）左岸浆砌石扭面修复：左岸新建M10浆砌石扭面长度15m，基础埋深为1.5m；（3）右岸浆砌石护坡修复：右岸新建浆砌石护坡长度为23m，右岸护坡基础采用C25砼基础，基础埋深1.5m。</w:t>
      </w:r>
    </w:p>
    <w:p w14:paraId="2035B153">
      <w:pPr>
        <w:pBdr>
          <w:bottom w:val="single" w:color="auto" w:sz="4" w:space="1"/>
        </w:pBdr>
        <w:spacing w:beforeLines="100"/>
        <w:ind w:left="420" w:hanging="420"/>
        <w:rPr>
          <w:rFonts w:ascii="仿宋" w:hAnsi="仿宋" w:eastAsia="仿宋"/>
          <w:color w:val="FF0000"/>
          <w:sz w:val="28"/>
          <w:szCs w:val="28"/>
        </w:rPr>
      </w:pPr>
      <w:r>
        <w:rPr>
          <w:rFonts w:hint="eastAsia" w:ascii="仿宋" w:hAnsi="仿宋" w:eastAsia="仿宋"/>
          <w:b/>
          <w:sz w:val="28"/>
          <w:szCs w:val="28"/>
        </w:rPr>
        <w:t>二、工程内容和施工地点、计划工期、缺陷责任期、质量保修期</w:t>
      </w:r>
    </w:p>
    <w:p w14:paraId="27984185">
      <w:pPr>
        <w:pStyle w:val="8"/>
        <w:widowControl/>
        <w:spacing w:beforeAutospacing="0" w:afterAutospacing="0" w:line="360" w:lineRule="auto"/>
        <w:ind w:firstLine="480" w:firstLineChars="200"/>
        <w:jc w:val="both"/>
        <w:rPr>
          <w:rFonts w:ascii="楷体" w:hAnsi="楷体" w:eastAsia="楷体" w:cstheme="minorBidi"/>
          <w:kern w:val="2"/>
          <w:szCs w:val="24"/>
        </w:rPr>
      </w:pPr>
      <w:r>
        <w:rPr>
          <w:rFonts w:hint="eastAsia" w:ascii="楷体" w:hAnsi="楷体" w:eastAsia="楷体" w:cstheme="minorBidi"/>
          <w:kern w:val="2"/>
          <w:szCs w:val="24"/>
        </w:rPr>
        <w:t>（一）工程内容：主要建设内容为:</w:t>
      </w:r>
      <w:r>
        <w:rPr>
          <w:rFonts w:hint="eastAsia" w:ascii="楷体" w:hAnsi="楷体" w:eastAsia="楷体" w:cstheme="minorBidi"/>
          <w:kern w:val="2"/>
          <w:szCs w:val="24"/>
          <w:lang w:val="en-US" w:eastAsia="zh-CN"/>
        </w:rPr>
        <w:t>（1）海漫修复：对涝河9号溢流坝后海漫进行修复，在现状格宾石笼防护后修建格宾石笼海漫，沿水流方向长度23m，宽度约82m，坡比为1:10，海漫末端设置9.07m长抛石防冲槽；（2）左岸浆砌石扭面修复：左岸新建M10浆砌石扭面长度15m，基础埋深为1.5m；（3）右岸浆砌石护坡修复：右岸新建浆砌石护坡长度为23m，右岸护坡基础采用C25砼基础，基础埋深1.5m。</w:t>
      </w:r>
    </w:p>
    <w:p w14:paraId="3952C7D9">
      <w:pPr>
        <w:pStyle w:val="8"/>
        <w:widowControl/>
        <w:spacing w:beforeAutospacing="0" w:afterAutospacing="0" w:line="360" w:lineRule="auto"/>
        <w:ind w:firstLine="480" w:firstLineChars="200"/>
        <w:jc w:val="both"/>
        <w:rPr>
          <w:rFonts w:ascii="楷体" w:hAnsi="楷体" w:eastAsia="楷体" w:cstheme="minorBidi"/>
          <w:kern w:val="2"/>
          <w:szCs w:val="24"/>
        </w:rPr>
      </w:pPr>
      <w:r>
        <w:rPr>
          <w:rFonts w:hint="eastAsia" w:ascii="楷体" w:hAnsi="楷体" w:eastAsia="楷体" w:cstheme="minorBidi"/>
          <w:kern w:val="2"/>
          <w:szCs w:val="24"/>
        </w:rPr>
        <w:t>（二）工程地点：</w:t>
      </w:r>
      <w:r>
        <w:rPr>
          <w:rFonts w:hint="eastAsia" w:ascii="楷体" w:hAnsi="楷体" w:eastAsia="楷体" w:cstheme="minorBidi"/>
          <w:kern w:val="2"/>
          <w:szCs w:val="24"/>
          <w:lang w:val="en-US" w:eastAsia="zh-CN"/>
        </w:rPr>
        <w:t>项目区位于陕西省西安市鄠邑区</w:t>
      </w:r>
      <w:r>
        <w:rPr>
          <w:rFonts w:hint="eastAsia" w:ascii="楷体" w:hAnsi="楷体" w:eastAsia="楷体" w:cstheme="minorBidi"/>
          <w:kern w:val="2"/>
          <w:szCs w:val="24"/>
        </w:rPr>
        <w:t>。</w:t>
      </w:r>
    </w:p>
    <w:p w14:paraId="2B440DEB">
      <w:pPr>
        <w:pStyle w:val="8"/>
        <w:widowControl/>
        <w:spacing w:beforeAutospacing="0" w:afterAutospacing="0" w:line="360" w:lineRule="auto"/>
        <w:ind w:firstLine="480" w:firstLineChars="200"/>
        <w:jc w:val="both"/>
        <w:rPr>
          <w:rFonts w:ascii="楷体" w:hAnsi="楷体" w:eastAsia="楷体"/>
          <w:color w:val="FF0000"/>
          <w:szCs w:val="24"/>
        </w:rPr>
      </w:pPr>
      <w:r>
        <w:rPr>
          <w:rFonts w:hint="eastAsia" w:ascii="楷体" w:hAnsi="楷体" w:eastAsia="楷体" w:cstheme="minorBidi"/>
          <w:kern w:val="2"/>
          <w:szCs w:val="24"/>
        </w:rPr>
        <w:t>（三）计划工期：</w:t>
      </w:r>
      <w:r>
        <w:rPr>
          <w:rFonts w:hint="eastAsia" w:ascii="楷体" w:hAnsi="楷体" w:eastAsia="楷体" w:cstheme="minorBidi"/>
          <w:kern w:val="2"/>
          <w:szCs w:val="24"/>
          <w:highlight w:val="none"/>
        </w:rPr>
        <w:t>自进场之日起</w:t>
      </w:r>
      <w:r>
        <w:rPr>
          <w:rFonts w:hint="eastAsia" w:ascii="楷体" w:hAnsi="楷体" w:eastAsia="楷体" w:cstheme="minorBidi"/>
          <w:kern w:val="2"/>
          <w:szCs w:val="24"/>
          <w:highlight w:val="none"/>
          <w:lang w:val="en-US" w:eastAsia="zh-CN"/>
        </w:rPr>
        <w:t>90</w:t>
      </w:r>
      <w:r>
        <w:rPr>
          <w:rFonts w:hint="eastAsia" w:ascii="楷体" w:hAnsi="楷体" w:eastAsia="楷体" w:cstheme="minorBidi"/>
          <w:kern w:val="2"/>
          <w:szCs w:val="24"/>
          <w:highlight w:val="none"/>
        </w:rPr>
        <w:t>个日历日内竣工</w:t>
      </w:r>
      <w:r>
        <w:rPr>
          <w:rFonts w:hint="eastAsia" w:ascii="楷体" w:hAnsi="楷体" w:eastAsia="楷体" w:cstheme="minorBidi"/>
          <w:kern w:val="2"/>
          <w:szCs w:val="24"/>
        </w:rPr>
        <w:t>。</w:t>
      </w:r>
    </w:p>
    <w:p w14:paraId="252E15C5">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22597A0D">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1.本项目设计图纸、初步设计报告、工程概算书等；</w:t>
      </w:r>
    </w:p>
    <w:p w14:paraId="4DA4C35A">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 xml:space="preserve">2.陕西省[2019]水利水电预算定额； </w:t>
      </w:r>
    </w:p>
    <w:p w14:paraId="1D1258C7">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 xml:space="preserve">3.水利部办公厅关于调整水利工程计价依据增值税计算标准的通知办财务函〔2019〕448号；  </w:t>
      </w:r>
    </w:p>
    <w:p w14:paraId="41429396">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4.陕西省水利厅〔2019〕66号文件；</w:t>
      </w:r>
    </w:p>
    <w:p w14:paraId="2BBF2E53">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5.陕西省水利工程设计概（估）算编制规定（2017编规）；</w:t>
      </w:r>
    </w:p>
    <w:p w14:paraId="00B771EA">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6.人工预算单价，执行调整后的价格标准：技工 75 元/工日，普工 50 元/工日。</w:t>
      </w:r>
    </w:p>
    <w:p w14:paraId="313D270E">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7.编制软件为天宇e算西安市水利水电工程造价软件，软件版本号：V1.2.2(202401-02)；</w:t>
      </w:r>
    </w:p>
    <w:p w14:paraId="46A6A8B9">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8.本项目工程保险费按清单合计的0.45%；</w:t>
      </w:r>
    </w:p>
    <w:p w14:paraId="07B0B602">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9.本项目暂列金额暂按[清单合计]+[工程保险费]合计的5%计取；</w:t>
      </w:r>
    </w:p>
    <w:p w14:paraId="7AE8E7E3">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10.本招标最高限价中不包含招标代理费；</w:t>
      </w:r>
    </w:p>
    <w:p w14:paraId="63E1DB4D">
      <w:pPr>
        <w:pStyle w:val="40"/>
        <w:spacing w:line="400" w:lineRule="exact"/>
        <w:ind w:firstLine="480"/>
        <w:rPr>
          <w:rFonts w:hint="eastAsia" w:ascii="楷体" w:hAnsi="楷体" w:eastAsia="楷体" w:cstheme="minorBidi"/>
          <w:kern w:val="2"/>
          <w:sz w:val="24"/>
          <w:szCs w:val="24"/>
          <w:lang w:val="en-US" w:eastAsia="zh-CN" w:bidi="ar-SA"/>
        </w:rPr>
      </w:pPr>
      <w:r>
        <w:rPr>
          <w:rFonts w:hint="eastAsia" w:ascii="楷体" w:hAnsi="楷体" w:eastAsia="楷体" w:cstheme="minorBidi"/>
          <w:kern w:val="2"/>
          <w:sz w:val="24"/>
          <w:szCs w:val="24"/>
          <w:lang w:val="en-US" w:eastAsia="zh-CN" w:bidi="ar-SA"/>
        </w:rPr>
        <w:t>11.其他说明：混凝土按商品混凝土考虑。</w:t>
      </w:r>
    </w:p>
    <w:p w14:paraId="4FDFF7B3">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21790002">
      <w:pPr>
        <w:pStyle w:val="40"/>
        <w:spacing w:line="400" w:lineRule="exact"/>
        <w:ind w:firstLine="480"/>
        <w:rPr>
          <w:rFonts w:ascii="楷体" w:hAnsi="楷体" w:eastAsia="楷体"/>
          <w:color w:val="FF0000"/>
          <w:sz w:val="24"/>
          <w:szCs w:val="24"/>
        </w:rPr>
      </w:pPr>
      <w:r>
        <w:rPr>
          <w:rFonts w:hint="eastAsia" w:ascii="楷体" w:hAnsi="楷体" w:eastAsia="楷体"/>
          <w:sz w:val="24"/>
          <w:szCs w:val="24"/>
        </w:rPr>
        <w:t>在施工期间，中标供应商必须注意人员安全，加强安全措施，并对施工人员进行安全教育。施工人员必须持证上岗。</w:t>
      </w:r>
    </w:p>
    <w:p w14:paraId="565B4890">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68AEB215">
      <w:pPr>
        <w:pStyle w:val="40"/>
        <w:spacing w:line="400" w:lineRule="exact"/>
        <w:ind w:firstLine="480"/>
        <w:rPr>
          <w:rFonts w:ascii="楷体" w:hAnsi="楷体" w:eastAsia="楷体"/>
          <w:sz w:val="24"/>
          <w:szCs w:val="24"/>
        </w:rPr>
      </w:pPr>
      <w:r>
        <w:rPr>
          <w:rFonts w:hint="eastAsia" w:ascii="楷体" w:hAnsi="楷体" w:eastAsia="楷体"/>
          <w:sz w:val="24"/>
          <w:szCs w:val="24"/>
        </w:rPr>
        <w:t>1、款项结算方式：</w:t>
      </w:r>
    </w:p>
    <w:p w14:paraId="7BA5BC2D">
      <w:pPr>
        <w:pStyle w:val="40"/>
        <w:spacing w:line="400" w:lineRule="exact"/>
        <w:ind w:firstLine="480"/>
        <w:rPr>
          <w:rFonts w:ascii="楷体" w:hAnsi="楷体" w:eastAsia="楷体"/>
          <w:sz w:val="24"/>
          <w:szCs w:val="24"/>
        </w:rPr>
      </w:pPr>
      <w:r>
        <w:rPr>
          <w:rFonts w:hint="eastAsia" w:ascii="楷体" w:hAnsi="楷体" w:eastAsia="楷体"/>
          <w:sz w:val="24"/>
          <w:szCs w:val="24"/>
        </w:rPr>
        <w:t>①合同签订后</w:t>
      </w:r>
      <w:r>
        <w:rPr>
          <w:rFonts w:hint="eastAsia" w:ascii="楷体" w:hAnsi="楷体" w:eastAsia="楷体"/>
          <w:sz w:val="24"/>
          <w:szCs w:val="24"/>
          <w:lang w:val="en-US" w:eastAsia="zh-CN"/>
        </w:rPr>
        <w:t>施工单位进场7</w:t>
      </w:r>
      <w:r>
        <w:rPr>
          <w:rFonts w:hint="eastAsia" w:ascii="楷体" w:hAnsi="楷体" w:eastAsia="楷体"/>
          <w:sz w:val="24"/>
          <w:szCs w:val="24"/>
        </w:rPr>
        <w:t>个日</w:t>
      </w:r>
      <w:r>
        <w:rPr>
          <w:rFonts w:hint="eastAsia" w:ascii="楷体" w:hAnsi="楷体" w:eastAsia="楷体"/>
          <w:sz w:val="24"/>
          <w:szCs w:val="24"/>
          <w:lang w:val="en-US" w:eastAsia="zh-CN"/>
        </w:rPr>
        <w:t>历天</w:t>
      </w:r>
      <w:r>
        <w:rPr>
          <w:rFonts w:hint="eastAsia" w:ascii="楷体" w:hAnsi="楷体" w:eastAsia="楷体"/>
          <w:sz w:val="24"/>
          <w:szCs w:val="24"/>
        </w:rPr>
        <w:t>内支付合同总价款30%作为预付款；</w:t>
      </w:r>
    </w:p>
    <w:p w14:paraId="26E154EB">
      <w:pPr>
        <w:pStyle w:val="40"/>
        <w:spacing w:line="400" w:lineRule="exact"/>
        <w:ind w:firstLine="480"/>
        <w:rPr>
          <w:rFonts w:ascii="楷体" w:hAnsi="楷体" w:eastAsia="楷体"/>
          <w:sz w:val="24"/>
          <w:szCs w:val="24"/>
        </w:rPr>
      </w:pPr>
      <w:r>
        <w:rPr>
          <w:rFonts w:hint="eastAsia" w:ascii="楷体" w:hAnsi="楷体" w:eastAsia="楷体"/>
          <w:sz w:val="24"/>
          <w:szCs w:val="24"/>
        </w:rPr>
        <w:t>②施工进度款按月支付，付至合同总价款的80%暂停支付；</w:t>
      </w:r>
    </w:p>
    <w:p w14:paraId="6AA75822">
      <w:pPr>
        <w:pStyle w:val="40"/>
        <w:spacing w:line="400" w:lineRule="exact"/>
        <w:ind w:firstLine="480"/>
        <w:rPr>
          <w:rFonts w:ascii="楷体" w:hAnsi="楷体" w:eastAsia="楷体"/>
          <w:sz w:val="24"/>
          <w:szCs w:val="24"/>
        </w:rPr>
      </w:pPr>
      <w:r>
        <w:rPr>
          <w:rFonts w:hint="eastAsia" w:ascii="楷体" w:hAnsi="楷体" w:eastAsia="楷体"/>
          <w:sz w:val="24"/>
          <w:szCs w:val="24"/>
        </w:rPr>
        <w:t>③竣工验收合格后15个工作日内一次性付清。</w:t>
      </w:r>
    </w:p>
    <w:p w14:paraId="5A9E590B">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787A6FBB">
      <w:pPr>
        <w:rPr>
          <w:rFonts w:ascii="仿宋" w:hAnsi="仿宋" w:eastAsia="仿宋"/>
          <w:sz w:val="28"/>
          <w:szCs w:val="28"/>
        </w:rPr>
      </w:pPr>
      <w:r>
        <w:rPr>
          <w:rFonts w:hint="eastAsia" w:ascii="仿宋" w:hAnsi="仿宋" w:eastAsia="仿宋"/>
          <w:sz w:val="28"/>
          <w:szCs w:val="28"/>
        </w:rPr>
        <w:t>（一）对供应商的业绩要求。</w:t>
      </w:r>
    </w:p>
    <w:p w14:paraId="5D74EC5D">
      <w:pPr>
        <w:ind w:firstLine="480" w:firstLineChars="200"/>
        <w:rPr>
          <w:rFonts w:ascii="楷体" w:hAnsi="楷体" w:eastAsia="楷体" w:cstheme="minorBidi"/>
          <w:sz w:val="24"/>
          <w:szCs w:val="24"/>
        </w:rPr>
      </w:pPr>
      <w:r>
        <w:rPr>
          <w:rFonts w:hint="eastAsia" w:ascii="楷体" w:hAnsi="楷体" w:eastAsia="楷体" w:cstheme="minorBidi"/>
          <w:sz w:val="24"/>
          <w:szCs w:val="24"/>
        </w:rPr>
        <w:t>供应商及拟派本项目经理需提供近三年类似项目业绩。</w:t>
      </w:r>
    </w:p>
    <w:p w14:paraId="0DA9F838">
      <w:pPr>
        <w:rPr>
          <w:rFonts w:ascii="仿宋" w:hAnsi="仿宋" w:eastAsia="仿宋"/>
          <w:sz w:val="28"/>
          <w:szCs w:val="28"/>
        </w:rPr>
      </w:pPr>
      <w:r>
        <w:rPr>
          <w:rFonts w:hint="eastAsia" w:ascii="仿宋" w:hAnsi="仿宋" w:eastAsia="仿宋"/>
          <w:sz w:val="28"/>
          <w:szCs w:val="28"/>
        </w:rPr>
        <w:t>（二）质量验收标准或规范</w:t>
      </w:r>
    </w:p>
    <w:p w14:paraId="08E4D4F5">
      <w:pPr>
        <w:ind w:left="709" w:hanging="229"/>
        <w:rPr>
          <w:rFonts w:ascii="楷体" w:hAnsi="楷体" w:eastAsia="楷体"/>
          <w:color w:val="FF0000"/>
          <w:sz w:val="24"/>
          <w:szCs w:val="28"/>
        </w:rPr>
      </w:pPr>
      <w:r>
        <w:rPr>
          <w:rFonts w:hint="eastAsia" w:ascii="楷体" w:hAnsi="楷体" w:eastAsia="楷体" w:cstheme="minorBidi"/>
          <w:sz w:val="24"/>
          <w:szCs w:val="24"/>
        </w:rPr>
        <w:t>符合国家及地方现行有关施工质量验收规范“合格”要求。</w:t>
      </w:r>
    </w:p>
    <w:p w14:paraId="7C10B11C">
      <w:pPr>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）违约责任</w:t>
      </w:r>
    </w:p>
    <w:p w14:paraId="42B0CAF1">
      <w:pPr>
        <w:spacing w:line="400" w:lineRule="exact"/>
        <w:ind w:left="728" w:leftChars="185" w:hanging="340" w:hangingChars="142"/>
        <w:rPr>
          <w:rFonts w:hint="default" w:ascii="仿宋" w:hAnsi="仿宋" w:eastAsia="仿宋"/>
          <w:sz w:val="28"/>
          <w:szCs w:val="28"/>
          <w:lang w:val="en-US" w:eastAsia="zh-CN"/>
        </w:rPr>
      </w:pPr>
      <w:r>
        <w:rPr>
          <w:rFonts w:hint="eastAsia" w:ascii="楷体" w:hAnsi="楷体" w:eastAsia="楷体" w:cstheme="minorBidi"/>
          <w:sz w:val="24"/>
          <w:szCs w:val="24"/>
          <w:lang w:val="en-US" w:eastAsia="zh-CN"/>
        </w:rPr>
        <w:t>具体详见合同约定内容。</w:t>
      </w:r>
    </w:p>
    <w:p w14:paraId="381E54FB">
      <w:pPr>
        <w:spacing w:line="400" w:lineRule="exact"/>
        <w:ind w:left="720" w:hanging="720"/>
        <w:rPr>
          <w:rFonts w:ascii="仿宋" w:hAnsi="仿宋" w:eastAsia="仿宋"/>
          <w:sz w:val="28"/>
          <w:szCs w:val="28"/>
        </w:rPr>
      </w:pPr>
      <w:r>
        <w:rPr>
          <w:rFonts w:hint="eastAsia" w:ascii="仿宋" w:hAnsi="仿宋" w:eastAsia="仿宋"/>
          <w:sz w:val="28"/>
          <w:szCs w:val="28"/>
        </w:rPr>
        <w:t>（四）与本工程相关的特别说明：</w:t>
      </w:r>
    </w:p>
    <w:p w14:paraId="4ABA215D">
      <w:pPr>
        <w:spacing w:line="400" w:lineRule="exact"/>
        <w:ind w:firstLine="480" w:firstLineChars="200"/>
        <w:rPr>
          <w:rFonts w:ascii="楷体" w:hAnsi="楷体" w:eastAsia="楷体" w:cstheme="minorBidi"/>
          <w:sz w:val="24"/>
          <w:szCs w:val="24"/>
        </w:rPr>
      </w:pPr>
      <w:r>
        <w:rPr>
          <w:rFonts w:hint="eastAsia" w:ascii="楷体" w:hAnsi="楷体" w:eastAsia="楷体" w:cstheme="minorBidi"/>
          <w:sz w:val="24"/>
          <w:szCs w:val="24"/>
        </w:rPr>
        <w:t>无</w:t>
      </w:r>
      <w:bookmarkStart w:id="0" w:name="_GoBack"/>
      <w:bookmarkEnd w:id="0"/>
    </w:p>
    <w:p w14:paraId="59EFAA0C">
      <w:pPr>
        <w:spacing w:line="400" w:lineRule="exact"/>
        <w:ind w:firstLine="420" w:firstLineChars="200"/>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6094">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hYWViNmNlOTQ0MjdlOTU1MmJiOThkYTliNDViYj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46A1"/>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436E"/>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0D61"/>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5723B"/>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0918"/>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478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53C6"/>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59836CA"/>
    <w:rsid w:val="0B8338A1"/>
    <w:rsid w:val="0C3F440F"/>
    <w:rsid w:val="13A627F1"/>
    <w:rsid w:val="18D0732E"/>
    <w:rsid w:val="1AB27B2C"/>
    <w:rsid w:val="25A34238"/>
    <w:rsid w:val="27DA1836"/>
    <w:rsid w:val="2CFA1945"/>
    <w:rsid w:val="37307495"/>
    <w:rsid w:val="433C7A3B"/>
    <w:rsid w:val="445D79A2"/>
    <w:rsid w:val="488E5FD4"/>
    <w:rsid w:val="48FE65BB"/>
    <w:rsid w:val="51A26B56"/>
    <w:rsid w:val="65EA0D19"/>
    <w:rsid w:val="6FB07461"/>
    <w:rsid w:val="77357B2F"/>
    <w:rsid w:val="7C654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spacing w:line="360" w:lineRule="auto"/>
      <w:ind w:firstLine="0" w:firstLineChars="0"/>
      <w:outlineLvl w:val="3"/>
    </w:pPr>
    <w:rPr>
      <w:rFonts w:ascii="Times New Roman" w:hAnsi="Times New Roman" w:eastAsia="宋体" w:cs="Times New Roman"/>
      <w:b/>
      <w:sz w:val="24"/>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7"/>
    <w:autoRedefine/>
    <w:unhideWhenUsed/>
    <w:qFormat/>
    <w:uiPriority w:val="99"/>
    <w:pPr>
      <w:jc w:val="left"/>
    </w:pPr>
  </w:style>
  <w:style w:type="paragraph" w:styleId="4">
    <w:name w:val="Body Text"/>
    <w:basedOn w:val="1"/>
    <w:autoRedefine/>
    <w:qFormat/>
    <w:uiPriority w:val="0"/>
    <w:pPr>
      <w:spacing w:after="120"/>
    </w:pPr>
  </w:style>
  <w:style w:type="paragraph" w:styleId="5">
    <w:name w:val="Balloon Text"/>
    <w:basedOn w:val="1"/>
    <w:link w:val="39"/>
    <w:autoRedefine/>
    <w:unhideWhenUsed/>
    <w:qFormat/>
    <w:uiPriority w:val="99"/>
    <w:rPr>
      <w:sz w:val="18"/>
      <w:szCs w:val="18"/>
    </w:rPr>
  </w:style>
  <w:style w:type="paragraph" w:styleId="6">
    <w:name w:val="footer"/>
    <w:basedOn w:val="1"/>
    <w:link w:val="36"/>
    <w:autoRedefine/>
    <w:unhideWhenUsed/>
    <w:qFormat/>
    <w:uiPriority w:val="99"/>
    <w:pPr>
      <w:tabs>
        <w:tab w:val="center" w:pos="4153"/>
        <w:tab w:val="right" w:pos="8306"/>
      </w:tabs>
      <w:snapToGrid w:val="0"/>
      <w:jc w:val="left"/>
    </w:pPr>
    <w:rPr>
      <w:sz w:val="18"/>
      <w:szCs w:val="18"/>
    </w:rPr>
  </w:style>
  <w:style w:type="paragraph" w:styleId="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spacing w:beforeAutospacing="1" w:afterAutospacing="1"/>
      <w:jc w:val="left"/>
    </w:pPr>
    <w:rPr>
      <w:kern w:val="0"/>
      <w:sz w:val="24"/>
    </w:rPr>
  </w:style>
  <w:style w:type="paragraph" w:styleId="9">
    <w:name w:val="annotation subject"/>
    <w:basedOn w:val="3"/>
    <w:next w:val="3"/>
    <w:link w:val="38"/>
    <w:autoRedefine/>
    <w:unhideWhenUsed/>
    <w:qFormat/>
    <w:uiPriority w:val="99"/>
    <w:rPr>
      <w:b/>
      <w:bCs/>
    </w:rPr>
  </w:style>
  <w:style w:type="character" w:styleId="12">
    <w:name w:val="annotation reference"/>
    <w:basedOn w:val="11"/>
    <w:autoRedefine/>
    <w:unhideWhenUsed/>
    <w:qFormat/>
    <w:uiPriority w:val="99"/>
    <w:rPr>
      <w:sz w:val="21"/>
      <w:szCs w:val="21"/>
    </w:rPr>
  </w:style>
  <w:style w:type="paragraph" w:customStyle="1" w:styleId="13">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4">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15">
    <w:name w:val="※封面题眉"/>
    <w:basedOn w:val="1"/>
    <w:next w:val="13"/>
    <w:autoRedefine/>
    <w:qFormat/>
    <w:uiPriority w:val="0"/>
    <w:pPr>
      <w:widowControl/>
      <w:jc w:val="center"/>
    </w:pPr>
    <w:rPr>
      <w:rFonts w:ascii="华文仿宋" w:hAnsi="华文仿宋" w:eastAsia="华文仿宋"/>
      <w:sz w:val="52"/>
      <w:szCs w:val="28"/>
    </w:rPr>
  </w:style>
  <w:style w:type="paragraph" w:customStyle="1" w:styleId="16">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7">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8">
    <w:name w:val="※目录（主）"/>
    <w:basedOn w:val="1"/>
    <w:autoRedefine/>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9">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0">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1">
    <w:name w:val="※小标题 一"/>
    <w:basedOn w:val="20"/>
    <w:next w:val="20"/>
    <w:autoRedefine/>
    <w:qFormat/>
    <w:uiPriority w:val="0"/>
    <w:pPr>
      <w:spacing w:before="120" w:line="240" w:lineRule="auto"/>
      <w:outlineLvl w:val="2"/>
    </w:pPr>
    <w:rPr>
      <w:b/>
      <w:color w:val="1F3864" w:themeColor="accent5" w:themeShade="80"/>
      <w:sz w:val="32"/>
    </w:rPr>
  </w:style>
  <w:style w:type="paragraph" w:customStyle="1" w:styleId="22">
    <w:name w:val="※小标题（1）"/>
    <w:basedOn w:val="1"/>
    <w:next w:val="20"/>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3">
    <w:name w:val="※小标题（一）"/>
    <w:basedOn w:val="1"/>
    <w:next w:val="20"/>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4">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25">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26">
    <w:name w:val="※页眉"/>
    <w:basedOn w:val="20"/>
    <w:autoRedefine/>
    <w:qFormat/>
    <w:uiPriority w:val="0"/>
    <w:pPr>
      <w:pBdr>
        <w:bottom w:val="single" w:color="auto" w:sz="4" w:space="1"/>
      </w:pBdr>
      <w:spacing w:line="240" w:lineRule="atLeast"/>
      <w:jc w:val="right"/>
    </w:pPr>
    <w:rPr>
      <w:rFonts w:ascii="宋体" w:hAnsi="宋体" w:eastAsia="宋体"/>
      <w:sz w:val="18"/>
    </w:rPr>
  </w:style>
  <w:style w:type="paragraph" w:customStyle="1" w:styleId="27">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28">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9">
    <w:name w:val="※章节标题（第Z部分分项）"/>
    <w:basedOn w:val="28"/>
    <w:autoRedefine/>
    <w:qFormat/>
    <w:uiPriority w:val="0"/>
    <w:pPr>
      <w:outlineLvl w:val="2"/>
    </w:pPr>
  </w:style>
  <w:style w:type="paragraph" w:customStyle="1" w:styleId="30">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1">
    <w:name w:val="※正文（缩进2）"/>
    <w:basedOn w:val="20"/>
    <w:autoRedefine/>
    <w:qFormat/>
    <w:uiPriority w:val="0"/>
    <w:pPr>
      <w:ind w:firstLine="200" w:firstLineChars="200"/>
    </w:pPr>
  </w:style>
  <w:style w:type="paragraph" w:customStyle="1" w:styleId="32">
    <w:name w:val="※正文（缩进4）"/>
    <w:basedOn w:val="20"/>
    <w:autoRedefine/>
    <w:qFormat/>
    <w:uiPriority w:val="0"/>
    <w:pPr>
      <w:ind w:firstLine="400" w:firstLineChars="400"/>
    </w:pPr>
  </w:style>
  <w:style w:type="paragraph" w:customStyle="1" w:styleId="33">
    <w:name w:val="样式"/>
    <w:link w:val="34"/>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
    <w:name w:val="样式 Char Char"/>
    <w:link w:val="33"/>
    <w:autoRedefine/>
    <w:qFormat/>
    <w:locked/>
    <w:uiPriority w:val="0"/>
    <w:rPr>
      <w:rFonts w:ascii="宋体" w:hAnsi="宋体" w:eastAsia="宋体" w:cs="宋体"/>
      <w:kern w:val="0"/>
      <w:sz w:val="24"/>
      <w:szCs w:val="24"/>
    </w:rPr>
  </w:style>
  <w:style w:type="character" w:customStyle="1" w:styleId="35">
    <w:name w:val="页眉 Char"/>
    <w:basedOn w:val="11"/>
    <w:link w:val="7"/>
    <w:autoRedefine/>
    <w:qFormat/>
    <w:uiPriority w:val="99"/>
    <w:rPr>
      <w:rFonts w:ascii="Calibri" w:hAnsi="Calibri" w:eastAsia="宋体" w:cs="Times New Roman"/>
      <w:sz w:val="18"/>
      <w:szCs w:val="18"/>
    </w:rPr>
  </w:style>
  <w:style w:type="character" w:customStyle="1" w:styleId="36">
    <w:name w:val="页脚 Char"/>
    <w:basedOn w:val="11"/>
    <w:link w:val="6"/>
    <w:autoRedefine/>
    <w:qFormat/>
    <w:uiPriority w:val="99"/>
    <w:rPr>
      <w:rFonts w:ascii="Calibri" w:hAnsi="Calibri" w:eastAsia="宋体" w:cs="Times New Roman"/>
      <w:sz w:val="18"/>
      <w:szCs w:val="18"/>
    </w:rPr>
  </w:style>
  <w:style w:type="character" w:customStyle="1" w:styleId="37">
    <w:name w:val="批注文字 Char"/>
    <w:basedOn w:val="11"/>
    <w:link w:val="3"/>
    <w:autoRedefine/>
    <w:semiHidden/>
    <w:qFormat/>
    <w:uiPriority w:val="99"/>
    <w:rPr>
      <w:rFonts w:ascii="Calibri" w:hAnsi="Calibri" w:eastAsia="宋体" w:cs="Times New Roman"/>
    </w:rPr>
  </w:style>
  <w:style w:type="character" w:customStyle="1" w:styleId="38">
    <w:name w:val="批注主题 Char"/>
    <w:basedOn w:val="37"/>
    <w:link w:val="9"/>
    <w:autoRedefine/>
    <w:semiHidden/>
    <w:qFormat/>
    <w:uiPriority w:val="99"/>
    <w:rPr>
      <w:rFonts w:ascii="Calibri" w:hAnsi="Calibri" w:eastAsia="宋体" w:cs="Times New Roman"/>
      <w:b/>
      <w:bCs/>
    </w:rPr>
  </w:style>
  <w:style w:type="character" w:customStyle="1" w:styleId="39">
    <w:name w:val="批注框文本 Char"/>
    <w:basedOn w:val="11"/>
    <w:link w:val="5"/>
    <w:autoRedefine/>
    <w:semiHidden/>
    <w:qFormat/>
    <w:uiPriority w:val="99"/>
    <w:rPr>
      <w:rFonts w:ascii="Calibri" w:hAnsi="Calibri" w:eastAsia="宋体" w:cs="Times New Roman"/>
      <w:sz w:val="18"/>
      <w:szCs w:val="18"/>
    </w:rPr>
  </w:style>
  <w:style w:type="paragraph" w:customStyle="1" w:styleId="40">
    <w:name w:val="列出段落1"/>
    <w:basedOn w:val="1"/>
    <w:autoRedefine/>
    <w:qFormat/>
    <w:uiPriority w:val="34"/>
    <w:pPr>
      <w:ind w:firstLine="420" w:firstLineChars="200"/>
    </w:pPr>
    <w:rPr>
      <w:rFonts w:asciiTheme="minorHAnsi" w:hAnsiTheme="minorHAnsi" w:eastAsiaTheme="minorEastAsia" w:cstheme="minorBidi"/>
    </w:rPr>
  </w:style>
  <w:style w:type="paragraph" w:customStyle="1" w:styleId="41">
    <w:name w:val="p0"/>
    <w:basedOn w:val="1"/>
    <w:autoRedefine/>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B39C-85B0-4E37-8CC6-F856C7B682A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1421</Words>
  <Characters>1533</Characters>
  <Lines>72</Lines>
  <Paragraphs>20</Paragraphs>
  <TotalTime>25</TotalTime>
  <ScaleCrop>false</ScaleCrop>
  <LinksUpToDate>false</LinksUpToDate>
  <CharactersWithSpaces>1540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一~^尾^~鱼</cp:lastModifiedBy>
  <cp:lastPrinted>2024-05-16T01:38:00Z</cp:lastPrinted>
  <dcterms:modified xsi:type="dcterms:W3CDTF">2025-01-15T10:17:00Z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C841D63C4D5C4619BCA4728EFA406D18_13</vt:lpwstr>
  </property>
  <property fmtid="{D5CDD505-2E9C-101B-9397-08002B2CF9AE}" pid="4" name="KSOTemplateDocerSaveRecord">
    <vt:lpwstr>eyJoZGlkIjoiZjJhZGE4NWJkNGRiMWU4YzlhYmMwMjUyNTQzY2YyNWQiLCJ1c2VySWQiOiI0MzU4ODYzMjIifQ==</vt:lpwstr>
  </property>
</Properties>
</file>