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0E562">
      <w:pPr>
        <w:rPr>
          <w:rFonts w:hint="eastAsia" w:asciiTheme="minorEastAsia" w:hAnsiTheme="minorEastAsia" w:eastAsiaTheme="minorEastAsia" w:cstheme="minorEastAsia"/>
          <w:color w:val="auto"/>
          <w:highlight w:val="none"/>
        </w:rPr>
      </w:pPr>
    </w:p>
    <w:p w14:paraId="0F501B0D">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府谷能源投资集团五一矿业有限公司采购主井口量子能供热器</w:t>
      </w:r>
      <w:r>
        <w:rPr>
          <w:rFonts w:hint="eastAsia" w:asciiTheme="minorEastAsia" w:hAnsiTheme="minorEastAsia" w:eastAsiaTheme="minorEastAsia" w:cstheme="minorEastAsia"/>
          <w:b/>
          <w:bCs/>
          <w:color w:val="auto"/>
          <w:sz w:val="44"/>
          <w:szCs w:val="44"/>
          <w:highlight w:val="none"/>
        </w:rPr>
        <w:t>需求文件</w:t>
      </w:r>
    </w:p>
    <w:p w14:paraId="5F935940">
      <w:pPr>
        <w:jc w:val="center"/>
        <w:rPr>
          <w:rFonts w:hint="eastAsia" w:asciiTheme="minorEastAsia" w:hAnsiTheme="minorEastAsia" w:eastAsiaTheme="minorEastAsia" w:cstheme="minorEastAsia"/>
          <w:b/>
          <w:bCs/>
          <w:color w:val="auto"/>
          <w:sz w:val="44"/>
          <w:szCs w:val="44"/>
          <w:highlight w:val="none"/>
        </w:rPr>
      </w:pPr>
    </w:p>
    <w:p w14:paraId="62559D56">
      <w:pPr>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一、采购项目名称：</w:t>
      </w:r>
      <w:r>
        <w:rPr>
          <w:rFonts w:hint="eastAsia" w:asciiTheme="minorEastAsia" w:hAnsiTheme="minorEastAsia" w:eastAsiaTheme="minorEastAsia" w:cstheme="minorEastAsia"/>
          <w:b/>
          <w:bCs/>
          <w:color w:val="auto"/>
          <w:sz w:val="24"/>
          <w:szCs w:val="24"/>
          <w:highlight w:val="none"/>
          <w:lang w:val="en-US" w:eastAsia="zh-CN"/>
        </w:rPr>
        <w:t>府谷能源投资集团五一矿业有限公司采购主井口量子能供热器</w:t>
      </w:r>
    </w:p>
    <w:p w14:paraId="52A3EE71">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二、采购项目预算、资金构成和采购方式：</w:t>
      </w:r>
    </w:p>
    <w:p w14:paraId="078AFC19">
      <w:p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1、采购项目预算</w:t>
      </w:r>
      <w:r>
        <w:rPr>
          <w:rFonts w:hint="eastAsia" w:asciiTheme="minorEastAsia" w:hAnsiTheme="minorEastAsia" w:eastAsiaTheme="minorEastAsia" w:cstheme="minorEastAsia"/>
          <w:color w:val="auto"/>
          <w:kern w:val="2"/>
          <w:sz w:val="24"/>
          <w:szCs w:val="24"/>
          <w:highlight w:val="none"/>
          <w:lang w:val="en-US" w:eastAsia="zh-CN" w:bidi="ar-SA"/>
        </w:rPr>
        <w:t>：1981824.00元</w:t>
      </w:r>
    </w:p>
    <w:p w14:paraId="2432A103">
      <w:pPr>
        <w:pStyle w:val="14"/>
        <w:spacing w:line="360" w:lineRule="auto"/>
        <w:ind w:firstLine="64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2、最高限价：1981824.00元</w:t>
      </w:r>
    </w:p>
    <w:p w14:paraId="3F6336F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3、资金来源：</w:t>
      </w:r>
      <w:r>
        <w:rPr>
          <w:rFonts w:hint="eastAsia" w:asciiTheme="minorEastAsia" w:hAnsiTheme="minorEastAsia" w:eastAsiaTheme="minorEastAsia" w:cstheme="minorEastAsia"/>
          <w:color w:val="auto"/>
          <w:sz w:val="24"/>
          <w:szCs w:val="24"/>
          <w:highlight w:val="none"/>
          <w:lang w:val="en-US" w:eastAsia="zh-CN"/>
        </w:rPr>
        <w:t>自筹资金</w:t>
      </w:r>
    </w:p>
    <w:p w14:paraId="75E9051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4、价格信息来源：县投资评审中心初审</w:t>
      </w:r>
    </w:p>
    <w:p w14:paraId="122A8F34">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5、采购方式：</w:t>
      </w:r>
      <w:r>
        <w:rPr>
          <w:rFonts w:hint="eastAsia" w:asciiTheme="minorEastAsia" w:hAnsiTheme="minorEastAsia" w:eastAsiaTheme="minorEastAsia" w:cstheme="minorEastAsia"/>
          <w:color w:val="auto"/>
          <w:sz w:val="24"/>
          <w:szCs w:val="24"/>
          <w:highlight w:val="none"/>
          <w:lang w:val="en-US" w:eastAsia="zh-CN"/>
        </w:rPr>
        <w:t>竞争性谈判</w:t>
      </w:r>
    </w:p>
    <w:p w14:paraId="0C7B4A1B">
      <w:pPr>
        <w:pStyle w:val="14"/>
        <w:spacing w:line="360" w:lineRule="auto"/>
        <w:ind w:firstLine="64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三、采购需求</w:t>
      </w:r>
    </w:p>
    <w:p w14:paraId="674CD8AC">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1、府谷能源投资集团五一矿业有限公司采购主井口量子能供热器项目主要采购内容为：采购量子能供热机组、循环水泵、供暖水箱以及反渗透水处理设备等。本项目共设一个标包。</w:t>
      </w:r>
    </w:p>
    <w:p w14:paraId="281B113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2、商务要求</w:t>
      </w:r>
    </w:p>
    <w:p w14:paraId="6E8010E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1）交货完工期：</w:t>
      </w:r>
      <w:r>
        <w:rPr>
          <w:rFonts w:hint="eastAsia" w:asciiTheme="minorEastAsia" w:hAnsiTheme="minorEastAsia" w:eastAsiaTheme="minorEastAsia" w:cstheme="minorEastAsia"/>
          <w:color w:val="auto"/>
          <w:sz w:val="24"/>
          <w:szCs w:val="24"/>
        </w:rPr>
        <w:t>合同签订，建设单位通知后90日历天内</w:t>
      </w:r>
      <w:r>
        <w:rPr>
          <w:rFonts w:hint="eastAsia" w:asciiTheme="minorEastAsia" w:hAnsiTheme="minorEastAsia" w:eastAsiaTheme="minorEastAsia" w:cstheme="minorEastAsia"/>
          <w:color w:val="auto"/>
          <w:sz w:val="24"/>
          <w:szCs w:val="24"/>
          <w:highlight w:val="none"/>
        </w:rPr>
        <w:t>。</w:t>
      </w:r>
    </w:p>
    <w:p w14:paraId="13473819">
      <w:pPr>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2）项目实施地点：</w:t>
      </w:r>
      <w:r>
        <w:rPr>
          <w:rFonts w:hint="eastAsia" w:asciiTheme="minorEastAsia" w:hAnsiTheme="minorEastAsia" w:eastAsiaTheme="minorEastAsia" w:cstheme="minorEastAsia"/>
          <w:color w:val="auto"/>
          <w:sz w:val="24"/>
          <w:szCs w:val="24"/>
          <w:highlight w:val="none"/>
          <w:lang w:val="en-US" w:eastAsia="zh-CN"/>
        </w:rPr>
        <w:t>府谷能源投资集团五一矿业有限公司指定地点</w:t>
      </w:r>
      <w:r>
        <w:rPr>
          <w:rFonts w:hint="eastAsia" w:asciiTheme="minorEastAsia" w:hAnsiTheme="minorEastAsia" w:eastAsiaTheme="minorEastAsia" w:cstheme="minorEastAsia"/>
          <w:color w:val="auto"/>
          <w:sz w:val="24"/>
          <w:szCs w:val="24"/>
          <w:highlight w:val="none"/>
        </w:rPr>
        <w:t>。</w:t>
      </w:r>
    </w:p>
    <w:p w14:paraId="3E9EAD88">
      <w:pPr>
        <w:pStyle w:val="14"/>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3）质保期</w:t>
      </w:r>
      <w:r>
        <w:rPr>
          <w:rFonts w:hint="eastAsia" w:asciiTheme="minorEastAsia" w:hAnsiTheme="minorEastAsia" w:eastAsiaTheme="minorEastAsia" w:cstheme="minorEastAsia"/>
          <w:color w:val="auto"/>
          <w:sz w:val="24"/>
          <w:szCs w:val="24"/>
          <w:highlight w:val="none"/>
          <w:lang w:val="en-US" w:eastAsia="zh-CN"/>
        </w:rPr>
        <w:t>：设备安装验收合格后正常使用12个月</w:t>
      </w:r>
      <w:r>
        <w:rPr>
          <w:rFonts w:hint="eastAsia" w:asciiTheme="minorEastAsia" w:hAnsiTheme="minorEastAsia" w:cstheme="minorEastAsia"/>
          <w:color w:val="auto"/>
          <w:sz w:val="24"/>
          <w:szCs w:val="24"/>
          <w:highlight w:val="none"/>
          <w:lang w:val="en-US" w:eastAsia="zh-CN"/>
        </w:rPr>
        <w:t>。</w:t>
      </w:r>
    </w:p>
    <w:p w14:paraId="6555E63F">
      <w:pPr>
        <w:pStyle w:val="14"/>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4）符合性要求：</w:t>
      </w:r>
      <w:r>
        <w:rPr>
          <w:rFonts w:hint="eastAsia" w:asciiTheme="minorEastAsia" w:hAnsiTheme="minorEastAsia" w:eastAsiaTheme="minorEastAsia" w:cstheme="minorEastAsia"/>
          <w:b w:val="0"/>
          <w:bCs w:val="0"/>
          <w:color w:val="auto"/>
          <w:kern w:val="2"/>
          <w:sz w:val="24"/>
          <w:szCs w:val="24"/>
          <w:highlight w:val="none"/>
          <w:lang w:val="en-US" w:eastAsia="zh-CN" w:bidi="ar-SA"/>
        </w:rPr>
        <w:t>本标设备</w:t>
      </w:r>
      <w:r>
        <w:rPr>
          <w:rFonts w:hint="eastAsia" w:asciiTheme="minorEastAsia" w:hAnsiTheme="minorEastAsia" w:eastAsiaTheme="minorEastAsia" w:cstheme="minorEastAsia"/>
          <w:color w:val="auto"/>
          <w:sz w:val="24"/>
          <w:szCs w:val="24"/>
          <w:highlight w:val="none"/>
          <w:lang w:val="en-US" w:eastAsia="zh-CN"/>
        </w:rPr>
        <w:t>为供热设备，为保证设备质量：</w:t>
      </w:r>
      <w:r>
        <w:rPr>
          <w:rFonts w:hint="eastAsia" w:asciiTheme="minorEastAsia" w:hAnsiTheme="minorEastAsia" w:cstheme="minorEastAsia"/>
          <w:color w:val="auto"/>
          <w:sz w:val="24"/>
          <w:szCs w:val="24"/>
          <w:highlight w:val="none"/>
          <w:lang w:val="en-US" w:eastAsia="zh-CN"/>
        </w:rPr>
        <w:t>（1）供应商提供的</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lang w:val="en-US" w:eastAsia="zh-CN"/>
        </w:rPr>
        <w:t>符合国家及行业相关标准，</w:t>
      </w:r>
      <w:r>
        <w:rPr>
          <w:rFonts w:hint="eastAsia" w:asciiTheme="minorEastAsia" w:hAnsiTheme="minorEastAsia" w:cstheme="minorEastAsia"/>
          <w:color w:val="auto"/>
          <w:sz w:val="24"/>
          <w:szCs w:val="24"/>
          <w:highlight w:val="none"/>
          <w:lang w:val="en-US" w:eastAsia="zh-CN"/>
        </w:rPr>
        <w:t>并且</w:t>
      </w:r>
      <w:r>
        <w:rPr>
          <w:rFonts w:hint="eastAsia" w:asciiTheme="minorEastAsia" w:hAnsiTheme="minorEastAsia" w:eastAsiaTheme="minorEastAsia" w:cstheme="minorEastAsia"/>
          <w:color w:val="auto"/>
          <w:sz w:val="24"/>
          <w:szCs w:val="24"/>
          <w:highlight w:val="none"/>
          <w:lang w:val="en-US" w:eastAsia="zh-CN"/>
        </w:rPr>
        <w:t>提供质量检测报告。</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质保期12个月，质保期内免费维修更换零部件</w:t>
      </w:r>
      <w:r>
        <w:rPr>
          <w:rFonts w:hint="eastAsia" w:asciiTheme="minorEastAsia" w:hAnsiTheme="minorEastAsia" w:cstheme="minorEastAsia"/>
          <w:color w:val="auto"/>
          <w:sz w:val="24"/>
          <w:szCs w:val="24"/>
          <w:highlight w:val="none"/>
          <w:lang w:val="en-US" w:eastAsia="zh-CN"/>
        </w:rPr>
        <w:t>。</w:t>
      </w:r>
    </w:p>
    <w:p w14:paraId="69E0F29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四、合同模板：</w:t>
      </w:r>
    </w:p>
    <w:p w14:paraId="6F334799">
      <w:pPr>
        <w:pStyle w:val="14"/>
        <w:spacing w:line="360" w:lineRule="auto"/>
        <w:ind w:firstLine="640"/>
        <w:rPr>
          <w:rFonts w:hint="eastAsia" w:asciiTheme="minorEastAsia" w:hAnsiTheme="minorEastAsia" w:eastAsiaTheme="minorEastAsia" w:cstheme="minorEastAsia"/>
          <w:color w:val="auto"/>
          <w:sz w:val="24"/>
          <w:szCs w:val="24"/>
          <w:highlight w:val="none"/>
        </w:rPr>
      </w:pPr>
    </w:p>
    <w:p w14:paraId="5F90F65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10D41C74">
      <w:pPr>
        <w:shd w:val="clear" w:color="auto" w:fill="auto"/>
        <w:jc w:val="center"/>
        <w:rPr>
          <w:rFonts w:hint="eastAsia" w:asciiTheme="minorEastAsia" w:hAnsiTheme="minorEastAsia" w:eastAsiaTheme="minorEastAsia" w:cstheme="minorEastAsia"/>
          <w:b/>
          <w:bCs/>
          <w:color w:val="auto"/>
          <w:sz w:val="40"/>
          <w:szCs w:val="40"/>
          <w:highlight w:val="none"/>
          <w:u w:val="single"/>
          <w:lang w:eastAsia="zh-CN"/>
        </w:rPr>
      </w:pPr>
      <w:r>
        <w:rPr>
          <w:rFonts w:hint="eastAsia" w:asciiTheme="minorEastAsia" w:hAnsiTheme="minorEastAsia" w:eastAsiaTheme="minorEastAsia" w:cstheme="minorEastAsia"/>
          <w:b/>
          <w:bCs/>
          <w:color w:val="auto"/>
          <w:sz w:val="40"/>
          <w:szCs w:val="40"/>
          <w:highlight w:val="none"/>
          <w:lang w:val="en-US" w:eastAsia="zh-CN"/>
        </w:rPr>
        <w:t>府谷能源投资集团五一矿业有限公司采购主井口量子能供热器</w:t>
      </w:r>
      <w:r>
        <w:rPr>
          <w:rFonts w:hint="eastAsia" w:asciiTheme="minorEastAsia" w:hAnsiTheme="minorEastAsia" w:eastAsiaTheme="minorEastAsia" w:cstheme="minorEastAsia"/>
          <w:b/>
          <w:bCs/>
          <w:color w:val="auto"/>
          <w:sz w:val="40"/>
          <w:szCs w:val="40"/>
          <w:highlight w:val="none"/>
          <w:lang w:eastAsia="zh-CN"/>
        </w:rPr>
        <w:t>项目</w:t>
      </w:r>
    </w:p>
    <w:p w14:paraId="134D38C1">
      <w:pPr>
        <w:shd w:val="clear" w:color="auto" w:fill="auto"/>
        <w:jc w:val="center"/>
        <w:rPr>
          <w:rFonts w:hint="eastAsia" w:asciiTheme="minorEastAsia" w:hAnsiTheme="minorEastAsia" w:eastAsiaTheme="minorEastAsia" w:cstheme="minorEastAsia"/>
          <w:b/>
          <w:bCs/>
          <w:color w:val="auto"/>
          <w:sz w:val="44"/>
          <w:szCs w:val="44"/>
          <w:highlight w:val="none"/>
        </w:rPr>
      </w:pPr>
    </w:p>
    <w:p w14:paraId="6205CB28">
      <w:pPr>
        <w:shd w:val="clear" w:color="auto" w:fill="auto"/>
        <w:jc w:val="center"/>
        <w:rPr>
          <w:rFonts w:hint="eastAsia" w:asciiTheme="minorEastAsia" w:hAnsiTheme="minorEastAsia" w:eastAsiaTheme="minorEastAsia" w:cstheme="minorEastAsia"/>
          <w:b/>
          <w:bCs/>
          <w:color w:val="auto"/>
          <w:sz w:val="44"/>
          <w:szCs w:val="44"/>
          <w:highlight w:val="none"/>
        </w:rPr>
      </w:pPr>
    </w:p>
    <w:p w14:paraId="6DB9C2B5">
      <w:pPr>
        <w:shd w:val="clear" w:color="auto" w:fill="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4"/>
          <w:szCs w:val="44"/>
          <w:highlight w:val="none"/>
        </w:rPr>
        <w:t>采购合同</w:t>
      </w:r>
    </w:p>
    <w:p w14:paraId="6A7C4949">
      <w:pPr>
        <w:shd w:val="clear" w:color="auto" w:fill="auto"/>
        <w:rPr>
          <w:rFonts w:hint="eastAsia" w:asciiTheme="minorEastAsia" w:hAnsiTheme="minorEastAsia" w:eastAsiaTheme="minorEastAsia" w:cstheme="minorEastAsia"/>
          <w:color w:val="auto"/>
          <w:highlight w:val="none"/>
        </w:rPr>
      </w:pPr>
    </w:p>
    <w:p w14:paraId="1842860C">
      <w:pPr>
        <w:shd w:val="clear" w:color="auto" w:fill="auto"/>
        <w:rPr>
          <w:rFonts w:hint="eastAsia" w:asciiTheme="minorEastAsia" w:hAnsiTheme="minorEastAsia" w:eastAsiaTheme="minorEastAsia" w:cstheme="minorEastAsia"/>
          <w:color w:val="auto"/>
          <w:highlight w:val="none"/>
        </w:rPr>
      </w:pPr>
    </w:p>
    <w:p w14:paraId="61E766CB">
      <w:pPr>
        <w:shd w:val="clear" w:color="auto" w:fill="auto"/>
        <w:rPr>
          <w:rFonts w:hint="eastAsia" w:asciiTheme="minorEastAsia" w:hAnsiTheme="minorEastAsia" w:eastAsiaTheme="minorEastAsia" w:cstheme="minorEastAsia"/>
          <w:color w:val="auto"/>
          <w:highlight w:val="none"/>
        </w:rPr>
      </w:pPr>
    </w:p>
    <w:p w14:paraId="67DD7D8B">
      <w:pPr>
        <w:shd w:val="clear" w:color="auto" w:fill="auto"/>
        <w:spacing w:line="72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（仅供参考，最终以甲乙双方签订为准）</w:t>
      </w:r>
    </w:p>
    <w:p w14:paraId="1129CBB4">
      <w:pPr>
        <w:shd w:val="clear" w:color="auto" w:fill="auto"/>
        <w:rPr>
          <w:rFonts w:hint="eastAsia" w:asciiTheme="minorEastAsia" w:hAnsiTheme="minorEastAsia" w:eastAsiaTheme="minorEastAsia" w:cstheme="minorEastAsia"/>
          <w:color w:val="auto"/>
          <w:highlight w:val="none"/>
        </w:rPr>
      </w:pPr>
    </w:p>
    <w:p w14:paraId="19C95612">
      <w:pPr>
        <w:shd w:val="clear" w:color="auto" w:fill="auto"/>
        <w:rPr>
          <w:rFonts w:hint="eastAsia" w:asciiTheme="minorEastAsia" w:hAnsiTheme="minorEastAsia" w:eastAsiaTheme="minorEastAsia" w:cstheme="minorEastAsia"/>
          <w:color w:val="auto"/>
          <w:highlight w:val="none"/>
        </w:rPr>
      </w:pPr>
    </w:p>
    <w:p w14:paraId="7CF8D701">
      <w:pPr>
        <w:pStyle w:val="14"/>
        <w:shd w:val="clear" w:color="auto" w:fill="auto"/>
        <w:rPr>
          <w:rFonts w:hint="eastAsia" w:asciiTheme="minorEastAsia" w:hAnsiTheme="minorEastAsia" w:eastAsiaTheme="minorEastAsia" w:cstheme="minorEastAsia"/>
          <w:color w:val="auto"/>
          <w:highlight w:val="none"/>
        </w:rPr>
      </w:pPr>
    </w:p>
    <w:p w14:paraId="6E492257">
      <w:pPr>
        <w:shd w:val="clear" w:color="auto" w:fill="auto"/>
        <w:rPr>
          <w:rFonts w:hint="eastAsia" w:asciiTheme="minorEastAsia" w:hAnsiTheme="minorEastAsia" w:eastAsiaTheme="minorEastAsia" w:cstheme="minorEastAsia"/>
          <w:b/>
          <w:color w:val="auto"/>
          <w:sz w:val="36"/>
          <w:szCs w:val="36"/>
          <w:highlight w:val="none"/>
        </w:rPr>
      </w:pPr>
    </w:p>
    <w:p w14:paraId="0BF18E45">
      <w:pPr>
        <w:shd w:val="clear" w:color="auto" w:fill="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（示范文本）</w:t>
      </w:r>
    </w:p>
    <w:p w14:paraId="4A1114CB">
      <w:pPr>
        <w:shd w:val="clear" w:color="auto" w:fill="auto"/>
        <w:rPr>
          <w:rFonts w:hint="eastAsia" w:asciiTheme="minorEastAsia" w:hAnsiTheme="minorEastAsia" w:eastAsiaTheme="minorEastAsia" w:cstheme="minorEastAsia"/>
          <w:color w:val="auto"/>
          <w:highlight w:val="none"/>
        </w:rPr>
      </w:pPr>
    </w:p>
    <w:p w14:paraId="2A4034AB">
      <w:pPr>
        <w:shd w:val="clear" w:color="auto" w:fill="auto"/>
        <w:jc w:val="center"/>
        <w:rPr>
          <w:rFonts w:hint="eastAsia" w:asciiTheme="minorEastAsia" w:hAnsiTheme="minorEastAsia" w:eastAsiaTheme="minorEastAsia" w:cstheme="minorEastAsia"/>
          <w:b/>
          <w:color w:val="auto"/>
          <w:sz w:val="36"/>
          <w:szCs w:val="36"/>
          <w:highlight w:val="none"/>
        </w:rPr>
      </w:pPr>
    </w:p>
    <w:p w14:paraId="47D06A17">
      <w:pPr>
        <w:shd w:val="clear" w:color="auto" w:fill="auto"/>
        <w:jc w:val="center"/>
        <w:rPr>
          <w:rFonts w:hint="eastAsia" w:asciiTheme="minorEastAsia" w:hAnsiTheme="minorEastAsia" w:eastAsiaTheme="minorEastAsia" w:cstheme="minorEastAsia"/>
          <w:b/>
          <w:color w:val="auto"/>
          <w:sz w:val="36"/>
          <w:szCs w:val="36"/>
          <w:highlight w:val="none"/>
        </w:rPr>
      </w:pPr>
    </w:p>
    <w:p w14:paraId="4CFE7CAA">
      <w:pPr>
        <w:shd w:val="clear" w:color="auto" w:fill="auto"/>
        <w:rPr>
          <w:rFonts w:hint="eastAsia" w:asciiTheme="minorEastAsia" w:hAnsiTheme="minorEastAsia" w:eastAsiaTheme="minorEastAsia" w:cstheme="minorEastAsia"/>
          <w:b/>
          <w:color w:val="auto"/>
          <w:sz w:val="36"/>
          <w:szCs w:val="36"/>
          <w:highlight w:val="none"/>
        </w:rPr>
      </w:pPr>
    </w:p>
    <w:p w14:paraId="728A97EF">
      <w:pPr>
        <w:shd w:val="clear" w:color="auto" w:fill="auto"/>
        <w:jc w:val="center"/>
        <w:rPr>
          <w:rFonts w:hint="eastAsia" w:asciiTheme="minorEastAsia" w:hAnsiTheme="minorEastAsia" w:eastAsiaTheme="minorEastAsia" w:cstheme="minorEastAsia"/>
          <w:b/>
          <w:color w:val="auto"/>
          <w:sz w:val="36"/>
          <w:szCs w:val="36"/>
          <w:highlight w:val="none"/>
        </w:rPr>
      </w:pPr>
    </w:p>
    <w:p w14:paraId="6E8EAF59">
      <w:pPr>
        <w:shd w:val="clear" w:color="auto" w:fill="auto"/>
        <w:adjustRightInd w:val="0"/>
        <w:snapToGrid w:val="0"/>
        <w:spacing w:line="580" w:lineRule="exact"/>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rPr>
        <w:t>采购人（全称）：</w:t>
      </w:r>
      <w:r>
        <w:rPr>
          <w:rFonts w:hint="eastAsia" w:asciiTheme="minorEastAsia" w:hAnsiTheme="minorEastAsia" w:eastAsiaTheme="minorEastAsia" w:cstheme="minorEastAsia"/>
          <w:b/>
          <w:color w:val="auto"/>
          <w:highlight w:val="none"/>
          <w:u w:val="single"/>
        </w:rPr>
        <w:t xml:space="preserve">                                      </w:t>
      </w:r>
    </w:p>
    <w:p w14:paraId="413EB043">
      <w:pPr>
        <w:shd w:val="clear" w:color="auto" w:fill="auto"/>
        <w:adjustRightInd w:val="0"/>
        <w:snapToGrid w:val="0"/>
        <w:spacing w:line="580" w:lineRule="exact"/>
        <w:rPr>
          <w:rFonts w:hint="eastAsia" w:asciiTheme="minorEastAsia" w:hAnsiTheme="minorEastAsia" w:eastAsiaTheme="minorEastAsia" w:cstheme="minorEastAsia"/>
          <w:b/>
          <w:color w:val="auto"/>
          <w:highlight w:val="none"/>
          <w:u w:val="single"/>
        </w:rPr>
      </w:pPr>
    </w:p>
    <w:p w14:paraId="0D85F480">
      <w:pPr>
        <w:shd w:val="clear" w:color="auto" w:fill="auto"/>
        <w:spacing w:before="158" w:beforeLines="50"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b/>
          <w:color w:val="auto"/>
          <w:highlight w:val="none"/>
        </w:rPr>
        <w:t>供应商（全称）：</w:t>
      </w:r>
      <w:r>
        <w:rPr>
          <w:rFonts w:hint="eastAsia" w:asciiTheme="minorEastAsia" w:hAnsiTheme="minorEastAsia" w:eastAsiaTheme="minorEastAsia" w:cstheme="minorEastAsia"/>
          <w:b/>
          <w:color w:val="auto"/>
          <w:highlight w:val="none"/>
          <w:u w:val="single"/>
        </w:rPr>
        <w:t xml:space="preserve">                                   </w:t>
      </w:r>
      <w:r>
        <w:rPr>
          <w:rFonts w:hint="eastAsia" w:asciiTheme="minorEastAsia" w:hAnsiTheme="minorEastAsia" w:eastAsiaTheme="minorEastAsia" w:cstheme="minorEastAsia"/>
          <w:color w:val="auto"/>
          <w:highlight w:val="none"/>
          <w:u w:val="single"/>
        </w:rPr>
        <w:t xml:space="preserve">   </w:t>
      </w:r>
    </w:p>
    <w:p w14:paraId="159D2194">
      <w:pPr>
        <w:shd w:val="clear" w:color="auto" w:fill="auto"/>
        <w:spacing w:before="158" w:beforeLines="50" w:line="360" w:lineRule="auto"/>
        <w:rPr>
          <w:rFonts w:hint="eastAsia" w:asciiTheme="minorEastAsia" w:hAnsiTheme="minorEastAsia" w:eastAsiaTheme="minorEastAsia" w:cstheme="minorEastAsia"/>
          <w:color w:val="auto"/>
          <w:highlight w:val="none"/>
          <w:u w:val="single"/>
        </w:rPr>
      </w:pPr>
    </w:p>
    <w:p w14:paraId="7B137802">
      <w:pPr>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highlight w:val="none"/>
          <w:u w:val="single"/>
        </w:rPr>
        <w:t>年   月   日</w:t>
      </w:r>
      <w:r>
        <w:rPr>
          <w:rFonts w:hint="eastAsia" w:asciiTheme="minorEastAsia" w:hAnsiTheme="minorEastAsia" w:eastAsiaTheme="minorEastAsia" w:cstheme="minorEastAsia"/>
          <w:bCs/>
          <w:color w:val="auto"/>
          <w:sz w:val="48"/>
          <w:szCs w:val="48"/>
          <w:highlight w:val="none"/>
        </w:rPr>
        <w:br w:type="page"/>
      </w:r>
      <w:r>
        <w:rPr>
          <w:rFonts w:hint="eastAsia" w:asciiTheme="minorEastAsia" w:hAnsiTheme="minorEastAsia" w:eastAsiaTheme="minorEastAsia" w:cstheme="minorEastAsia"/>
          <w:b/>
          <w:bCs/>
          <w:color w:val="auto"/>
          <w:sz w:val="32"/>
          <w:szCs w:val="32"/>
        </w:rPr>
        <w:t>设 备 采 购 合 同</w:t>
      </w:r>
    </w:p>
    <w:p w14:paraId="7FABDD29">
      <w:pPr>
        <w:spacing w:line="32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 xml:space="preserve">                                                    合同编号：</w:t>
      </w:r>
      <w:r>
        <w:rPr>
          <w:rFonts w:hint="eastAsia" w:asciiTheme="minorEastAsia" w:hAnsiTheme="minorEastAsia" w:eastAsiaTheme="minorEastAsia" w:cstheme="minorEastAsia"/>
          <w:color w:val="auto"/>
          <w:lang w:eastAsia="zh-CN"/>
        </w:rPr>
        <w:t>　</w:t>
      </w:r>
    </w:p>
    <w:p w14:paraId="4C7463EA">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采购人（甲方）：</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 xml:space="preserve">  签订时间：   年   月  日</w:t>
      </w:r>
    </w:p>
    <w:p w14:paraId="076F2D8F">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供应商（乙方）：                                    签订地点：陕西省府谷县</w:t>
      </w:r>
    </w:p>
    <w:p w14:paraId="18D16774">
      <w:pPr>
        <w:shd w:val="clea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rPr>
        <w:t>根据《中华人民共和国民法典》、《中华人民共和国产品质量法》及国家有关法律法规。双方经过友好协商，本着诚实信用、平等互利的原则，</w:t>
      </w:r>
      <w:r>
        <w:rPr>
          <w:rFonts w:hint="eastAsia" w:asciiTheme="minorEastAsia" w:hAnsiTheme="minorEastAsia" w:eastAsiaTheme="minorEastAsia" w:cstheme="minorEastAsia"/>
          <w:color w:val="auto"/>
          <w:highlight w:val="none"/>
        </w:rPr>
        <w:t>就</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项目，达成如下协议：</w:t>
      </w:r>
    </w:p>
    <w:p w14:paraId="1B5A5DF9">
      <w:pPr>
        <w:pStyle w:val="16"/>
        <w:numPr>
          <w:ilvl w:val="0"/>
          <w:numId w:val="1"/>
        </w:numPr>
        <w:shd w:val="clear"/>
        <w:spacing w:line="360" w:lineRule="auto"/>
        <w:ind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标的、数量、价款及交提货时间 </w:t>
      </w:r>
    </w:p>
    <w:tbl>
      <w:tblPr>
        <w:tblStyle w:val="10"/>
        <w:tblW w:w="9918" w:type="dxa"/>
        <w:jc w:val="center"/>
        <w:tblLayout w:type="fixed"/>
        <w:tblCellMar>
          <w:top w:w="0" w:type="dxa"/>
          <w:left w:w="108" w:type="dxa"/>
          <w:bottom w:w="0" w:type="dxa"/>
          <w:right w:w="108" w:type="dxa"/>
        </w:tblCellMar>
      </w:tblPr>
      <w:tblGrid>
        <w:gridCol w:w="710"/>
        <w:gridCol w:w="2120"/>
        <w:gridCol w:w="1707"/>
        <w:gridCol w:w="709"/>
        <w:gridCol w:w="730"/>
        <w:gridCol w:w="982"/>
        <w:gridCol w:w="1000"/>
        <w:gridCol w:w="1960"/>
      </w:tblGrid>
      <w:tr w14:paraId="0B5541C6">
        <w:tblPrEx>
          <w:tblCellMar>
            <w:top w:w="0" w:type="dxa"/>
            <w:left w:w="108" w:type="dxa"/>
            <w:bottom w:w="0" w:type="dxa"/>
            <w:right w:w="108" w:type="dxa"/>
          </w:tblCellMar>
        </w:tblPrEx>
        <w:trPr>
          <w:trHeight w:val="108"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3A3EBDCA">
            <w:pPr>
              <w:widowControl/>
              <w:shd w:val="clear"/>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序号</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14:paraId="6BDE2B6F">
            <w:pPr>
              <w:widowControl/>
              <w:shd w:val="clear"/>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设备名称</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511A905">
            <w:pPr>
              <w:widowControl/>
              <w:shd w:val="clear"/>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规格型号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38FFF6">
            <w:pPr>
              <w:widowControl/>
              <w:shd w:val="clear"/>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单位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57207C0">
            <w:pPr>
              <w:widowControl/>
              <w:shd w:val="clear"/>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数量</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EF42D16">
            <w:pPr>
              <w:widowControl/>
              <w:shd w:val="clear"/>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单价（元）</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4B342F7">
            <w:pPr>
              <w:widowControl/>
              <w:shd w:val="clear"/>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总价（元）</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14:paraId="41D70F88">
            <w:pPr>
              <w:widowControl/>
              <w:shd w:val="clear"/>
              <w:spacing w:line="360" w:lineRule="auto"/>
              <w:jc w:val="center"/>
              <w:textAlignment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bidi="ar"/>
              </w:rPr>
              <w:t>备注</w:t>
            </w:r>
          </w:p>
        </w:tc>
      </w:tr>
      <w:tr w14:paraId="3021CE9D">
        <w:tblPrEx>
          <w:tblCellMar>
            <w:top w:w="0" w:type="dxa"/>
            <w:left w:w="108" w:type="dxa"/>
            <w:bottom w:w="0" w:type="dxa"/>
            <w:right w:w="108" w:type="dxa"/>
          </w:tblCellMar>
        </w:tblPrEx>
        <w:trPr>
          <w:trHeight w:val="261"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5B85927">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14:paraId="6BB770DF">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C7B548B">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98079B">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DFA9985">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A3E524F">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EB9E582">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960" w:type="dxa"/>
            <w:vMerge w:val="restart"/>
            <w:tcBorders>
              <w:top w:val="single" w:color="000000" w:sz="4" w:space="0"/>
              <w:left w:val="single" w:color="000000" w:sz="4" w:space="0"/>
              <w:right w:val="single" w:color="000000" w:sz="4" w:space="0"/>
            </w:tcBorders>
            <w:noWrap w:val="0"/>
            <w:vAlign w:val="center"/>
          </w:tcPr>
          <w:p w14:paraId="1E0BB625">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交货期：采购人电话、邮件或传真通知起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日历日内</w:t>
            </w:r>
          </w:p>
        </w:tc>
      </w:tr>
      <w:tr w14:paraId="3B46C66B">
        <w:tblPrEx>
          <w:tblCellMar>
            <w:top w:w="0" w:type="dxa"/>
            <w:left w:w="108" w:type="dxa"/>
            <w:bottom w:w="0" w:type="dxa"/>
            <w:right w:w="108" w:type="dxa"/>
          </w:tblCellMar>
        </w:tblPrEx>
        <w:trPr>
          <w:trHeight w:val="142"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0039070">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14:paraId="5074243A">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F7D6FE3">
            <w:pPr>
              <w:shd w:val="clear"/>
              <w:spacing w:line="360" w:lineRule="auto"/>
              <w:jc w:val="center"/>
              <w:rPr>
                <w:rFonts w:hint="eastAsia" w:asciiTheme="minorEastAsia" w:hAnsiTheme="minorEastAsia" w:eastAsiaTheme="minorEastAsia" w:cstheme="minorEastAsia"/>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6FC09E3">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B6CF717">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584244E">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74F1E10">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960" w:type="dxa"/>
            <w:vMerge w:val="continue"/>
            <w:tcBorders>
              <w:left w:val="single" w:color="000000" w:sz="4" w:space="0"/>
              <w:right w:val="single" w:color="000000" w:sz="4" w:space="0"/>
            </w:tcBorders>
            <w:noWrap w:val="0"/>
            <w:vAlign w:val="center"/>
          </w:tcPr>
          <w:p w14:paraId="180F51BE">
            <w:pPr>
              <w:shd w:val="clear"/>
              <w:spacing w:line="360" w:lineRule="auto"/>
              <w:jc w:val="center"/>
              <w:rPr>
                <w:rFonts w:hint="eastAsia" w:asciiTheme="minorEastAsia" w:hAnsiTheme="minorEastAsia" w:eastAsiaTheme="minorEastAsia" w:cstheme="minorEastAsia"/>
                <w:color w:val="auto"/>
                <w:szCs w:val="21"/>
                <w:highlight w:val="none"/>
              </w:rPr>
            </w:pPr>
          </w:p>
        </w:tc>
      </w:tr>
      <w:tr w14:paraId="67CAC0D5">
        <w:tblPrEx>
          <w:tblCellMar>
            <w:top w:w="0" w:type="dxa"/>
            <w:left w:w="108" w:type="dxa"/>
            <w:bottom w:w="0" w:type="dxa"/>
            <w:right w:w="108" w:type="dxa"/>
          </w:tblCellMar>
        </w:tblPrEx>
        <w:trPr>
          <w:trHeight w:val="18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12F4B89">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14:paraId="7D692E0A">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87EDC38">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06FACE">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3E5AD7B">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4BF1B80">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D272241">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960" w:type="dxa"/>
            <w:vMerge w:val="continue"/>
            <w:tcBorders>
              <w:left w:val="single" w:color="000000" w:sz="4" w:space="0"/>
              <w:right w:val="single" w:color="000000" w:sz="4" w:space="0"/>
            </w:tcBorders>
            <w:noWrap w:val="0"/>
            <w:vAlign w:val="center"/>
          </w:tcPr>
          <w:p w14:paraId="36E673B4">
            <w:pPr>
              <w:shd w:val="clear"/>
              <w:spacing w:line="360" w:lineRule="auto"/>
              <w:jc w:val="center"/>
              <w:rPr>
                <w:rFonts w:hint="eastAsia" w:asciiTheme="minorEastAsia" w:hAnsiTheme="minorEastAsia" w:eastAsiaTheme="minorEastAsia" w:cstheme="minorEastAsia"/>
                <w:color w:val="auto"/>
                <w:szCs w:val="21"/>
                <w:highlight w:val="none"/>
              </w:rPr>
            </w:pPr>
          </w:p>
        </w:tc>
      </w:tr>
      <w:tr w14:paraId="27691BB7">
        <w:tblPrEx>
          <w:tblCellMar>
            <w:top w:w="0" w:type="dxa"/>
            <w:left w:w="108" w:type="dxa"/>
            <w:bottom w:w="0" w:type="dxa"/>
            <w:right w:w="108" w:type="dxa"/>
          </w:tblCellMar>
        </w:tblPrEx>
        <w:trPr>
          <w:trHeight w:val="261"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5CA023D8">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14:paraId="635914E2">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1392419">
            <w:pPr>
              <w:shd w:val="clear"/>
              <w:spacing w:line="360" w:lineRule="auto"/>
              <w:jc w:val="center"/>
              <w:rPr>
                <w:rFonts w:hint="eastAsia" w:asciiTheme="minorEastAsia" w:hAnsiTheme="minorEastAsia" w:eastAsiaTheme="minorEastAsia" w:cstheme="minorEastAsia"/>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4C1728">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599DBDD">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5E17E44">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9984366">
            <w:pPr>
              <w:widowControl/>
              <w:shd w:val="clear"/>
              <w:spacing w:line="360" w:lineRule="auto"/>
              <w:jc w:val="center"/>
              <w:textAlignment w:val="center"/>
              <w:rPr>
                <w:rFonts w:hint="eastAsia" w:asciiTheme="minorEastAsia" w:hAnsiTheme="minorEastAsia" w:eastAsiaTheme="minorEastAsia" w:cstheme="minorEastAsia"/>
                <w:color w:val="auto"/>
                <w:szCs w:val="21"/>
                <w:highlight w:val="none"/>
              </w:rPr>
            </w:pPr>
          </w:p>
        </w:tc>
        <w:tc>
          <w:tcPr>
            <w:tcW w:w="1960" w:type="dxa"/>
            <w:vMerge w:val="continue"/>
            <w:tcBorders>
              <w:left w:val="single" w:color="000000" w:sz="4" w:space="0"/>
              <w:bottom w:val="single" w:color="000000" w:sz="4" w:space="0"/>
              <w:right w:val="single" w:color="000000" w:sz="4" w:space="0"/>
            </w:tcBorders>
            <w:noWrap w:val="0"/>
            <w:vAlign w:val="center"/>
          </w:tcPr>
          <w:p w14:paraId="23B13982">
            <w:pPr>
              <w:shd w:val="clear"/>
              <w:spacing w:line="360" w:lineRule="auto"/>
              <w:jc w:val="center"/>
              <w:rPr>
                <w:rFonts w:hint="eastAsia" w:asciiTheme="minorEastAsia" w:hAnsiTheme="minorEastAsia" w:eastAsiaTheme="minorEastAsia" w:cstheme="minorEastAsia"/>
                <w:color w:val="auto"/>
                <w:szCs w:val="21"/>
                <w:highlight w:val="none"/>
              </w:rPr>
            </w:pPr>
          </w:p>
        </w:tc>
      </w:tr>
      <w:tr w14:paraId="7389FB48">
        <w:tblPrEx>
          <w:tblCellMar>
            <w:top w:w="0" w:type="dxa"/>
            <w:left w:w="108" w:type="dxa"/>
            <w:bottom w:w="0" w:type="dxa"/>
            <w:right w:w="108" w:type="dxa"/>
          </w:tblCellMar>
        </w:tblPrEx>
        <w:trPr>
          <w:trHeight w:val="220" w:hRule="atLeast"/>
          <w:jc w:val="center"/>
        </w:trPr>
        <w:tc>
          <w:tcPr>
            <w:tcW w:w="9918" w:type="dxa"/>
            <w:gridSpan w:val="8"/>
            <w:tcBorders>
              <w:top w:val="single" w:color="000000" w:sz="4" w:space="0"/>
              <w:left w:val="single" w:color="000000" w:sz="4" w:space="0"/>
              <w:bottom w:val="single" w:color="000000" w:sz="4" w:space="0"/>
              <w:right w:val="single" w:color="000000" w:sz="4" w:space="0"/>
            </w:tcBorders>
            <w:noWrap w:val="0"/>
            <w:vAlign w:val="top"/>
          </w:tcPr>
          <w:p w14:paraId="407E8DFD">
            <w:pPr>
              <w:widowControl/>
              <w:shd w:val="clear"/>
              <w:spacing w:line="360" w:lineRule="auto"/>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小计：    人民币大写：     整    小写：       元</w:t>
            </w:r>
          </w:p>
        </w:tc>
      </w:tr>
      <w:tr w14:paraId="7B5CCF40">
        <w:tblPrEx>
          <w:tblCellMar>
            <w:top w:w="0" w:type="dxa"/>
            <w:left w:w="108" w:type="dxa"/>
            <w:bottom w:w="0" w:type="dxa"/>
            <w:right w:w="108" w:type="dxa"/>
          </w:tblCellMar>
        </w:tblPrEx>
        <w:trPr>
          <w:trHeight w:val="188" w:hRule="atLeast"/>
          <w:jc w:val="center"/>
        </w:trPr>
        <w:tc>
          <w:tcPr>
            <w:tcW w:w="9918" w:type="dxa"/>
            <w:gridSpan w:val="8"/>
            <w:tcBorders>
              <w:top w:val="single" w:color="000000" w:sz="4" w:space="0"/>
              <w:left w:val="single" w:color="000000" w:sz="4" w:space="0"/>
              <w:bottom w:val="single" w:color="000000" w:sz="4" w:space="0"/>
              <w:right w:val="single" w:color="000000" w:sz="4" w:space="0"/>
            </w:tcBorders>
            <w:noWrap w:val="0"/>
            <w:vAlign w:val="top"/>
          </w:tcPr>
          <w:p w14:paraId="15FA45F4">
            <w:pPr>
              <w:widowControl/>
              <w:shd w:val="clear"/>
              <w:spacing w:line="360" w:lineRule="auto"/>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总计：人民币大写</w:t>
            </w:r>
            <w:r>
              <w:rPr>
                <w:rFonts w:hint="eastAsia" w:asciiTheme="minorEastAsia" w:hAnsiTheme="minorEastAsia" w:eastAsiaTheme="minorEastAsia" w:cstheme="minorEastAsia"/>
                <w:color w:val="auto"/>
                <w:kern w:val="0"/>
                <w:szCs w:val="21"/>
                <w:highlight w:val="none"/>
                <w:u w:val="single"/>
                <w:lang w:bidi="ar"/>
              </w:rPr>
              <w:t xml:space="preserve">          整</w:t>
            </w:r>
            <w:r>
              <w:rPr>
                <w:rFonts w:hint="eastAsia" w:asciiTheme="minorEastAsia" w:hAnsiTheme="minorEastAsia" w:eastAsiaTheme="minorEastAsia" w:cstheme="minorEastAsia"/>
                <w:color w:val="auto"/>
                <w:kern w:val="0"/>
                <w:szCs w:val="21"/>
                <w:highlight w:val="none"/>
                <w:lang w:bidi="ar"/>
              </w:rPr>
              <w:t xml:space="preserve">   小写：</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kern w:val="0"/>
                <w:szCs w:val="21"/>
                <w:highlight w:val="none"/>
                <w:lang w:bidi="ar"/>
              </w:rPr>
              <w:t>元，该价款由不含税价和税款组成。其中不含税价不随国家政策调整，税款暂按现行税率执行，如有国家政策调整，按调整后的税率执行。</w:t>
            </w:r>
          </w:p>
        </w:tc>
      </w:tr>
    </w:tbl>
    <w:p w14:paraId="657E9211">
      <w:pPr>
        <w:shd w:val="clea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第二条  质量标准：</w:t>
      </w:r>
      <w:r>
        <w:rPr>
          <w:rFonts w:hint="eastAsia" w:asciiTheme="minorEastAsia" w:hAnsiTheme="minorEastAsia" w:eastAsiaTheme="minorEastAsia" w:cstheme="minorEastAsia"/>
          <w:color w:val="auto"/>
          <w:highlight w:val="none"/>
          <w:u w:val="single"/>
        </w:rPr>
        <w:t>按双方签订的技术协议、配套协议及国家、行业等最新相关标准执行。</w:t>
      </w:r>
    </w:p>
    <w:p w14:paraId="54DE07AF">
      <w:pPr>
        <w:shd w:val="clea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第三条  质保期：</w:t>
      </w:r>
      <w:r>
        <w:rPr>
          <w:rFonts w:hint="eastAsia" w:asciiTheme="minorEastAsia" w:hAnsiTheme="minorEastAsia" w:eastAsiaTheme="minorEastAsia" w:cstheme="minorEastAsia"/>
          <w:color w:val="auto"/>
          <w:highlight w:val="none"/>
          <w:u w:val="single"/>
        </w:rPr>
        <w:t>安装调试正常使用12个月。质保期满后由乙方出具质保期运行质量报告，甲方同意后作为尾款支付依据，若存在质量问题，应按相应规定处罚或扣除。</w:t>
      </w:r>
    </w:p>
    <w:p w14:paraId="677FF7B7">
      <w:pPr>
        <w:shd w:val="clea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第四条  包装标准、包装物的供应与回收：</w:t>
      </w:r>
      <w:r>
        <w:rPr>
          <w:rFonts w:hint="eastAsia" w:asciiTheme="minorEastAsia" w:hAnsiTheme="minorEastAsia" w:eastAsiaTheme="minorEastAsia" w:cstheme="minorEastAsia"/>
          <w:color w:val="auto"/>
          <w:highlight w:val="none"/>
          <w:u w:val="single"/>
          <w:lang w:val="en-US" w:eastAsia="zh-CN"/>
        </w:rPr>
        <w:t>按国家包装标准包装，</w:t>
      </w:r>
      <w:r>
        <w:rPr>
          <w:rFonts w:hint="eastAsia" w:asciiTheme="minorEastAsia" w:hAnsiTheme="minorEastAsia" w:eastAsiaTheme="minorEastAsia" w:cstheme="minorEastAsia"/>
          <w:color w:val="auto"/>
          <w:highlight w:val="none"/>
          <w:u w:val="single"/>
        </w:rPr>
        <w:t>包装物不回收。</w:t>
      </w:r>
    </w:p>
    <w:p w14:paraId="34B8547E">
      <w:pPr>
        <w:shd w:val="clea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第五条  随机备件数量及发运方式：</w:t>
      </w:r>
      <w:r>
        <w:rPr>
          <w:rFonts w:hint="eastAsia" w:asciiTheme="minorEastAsia" w:hAnsiTheme="minorEastAsia" w:eastAsiaTheme="minorEastAsia" w:cstheme="minorEastAsia"/>
          <w:color w:val="auto"/>
          <w:highlight w:val="none"/>
          <w:u w:val="single"/>
        </w:rPr>
        <w:t>备件明细待设计图纸完成后由采购人确定数量，备件随主机发运到矿（单独归类）。</w:t>
      </w:r>
    </w:p>
    <w:p w14:paraId="076A0430">
      <w:pPr>
        <w:shd w:val="clea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第六条  付款及结算方式：</w:t>
      </w:r>
      <w:r>
        <w:rPr>
          <w:rFonts w:hint="eastAsia" w:asciiTheme="minorEastAsia" w:hAnsiTheme="minorEastAsia" w:eastAsiaTheme="minorEastAsia" w:cstheme="minorEastAsia"/>
          <w:color w:val="auto"/>
          <w:highlight w:val="none"/>
          <w:u w:val="single"/>
        </w:rPr>
        <w:t>签订合同30日历日内付合同价款的30%，货到验收合格后付合同价款的</w:t>
      </w: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u w:val="single"/>
        </w:rPr>
        <w:t>0%，安装调试正常1个月后经采购人组织验收合格付合同价款20%，验收合格12个月后无遗留问题</w:t>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highlight w:val="none"/>
          <w:u w:val="single"/>
          <w:lang w:val="en-US" w:eastAsia="zh-CN"/>
        </w:rPr>
        <w:t>待审计部门审计后按照最终审计决算价格支付</w:t>
      </w:r>
      <w:r>
        <w:rPr>
          <w:rFonts w:hint="eastAsia" w:asciiTheme="minorEastAsia" w:hAnsiTheme="minorEastAsia" w:eastAsiaTheme="minorEastAsia" w:cstheme="minorEastAsia"/>
          <w:color w:val="auto"/>
          <w:highlight w:val="none"/>
          <w:u w:val="single"/>
        </w:rPr>
        <w:t>付剩余</w:t>
      </w:r>
      <w:r>
        <w:rPr>
          <w:rFonts w:hint="eastAsia" w:asciiTheme="minorEastAsia" w:hAnsiTheme="minorEastAsia" w:eastAsiaTheme="minorEastAsia" w:cstheme="minorEastAsia"/>
          <w:color w:val="auto"/>
          <w:highlight w:val="none"/>
          <w:u w:val="single"/>
          <w:lang w:val="en-US" w:eastAsia="zh-CN"/>
        </w:rPr>
        <w:t>部分</w:t>
      </w:r>
      <w:r>
        <w:rPr>
          <w:rFonts w:hint="eastAsia" w:asciiTheme="minorEastAsia" w:hAnsiTheme="minorEastAsia" w:eastAsiaTheme="minorEastAsia" w:cstheme="minorEastAsia"/>
          <w:color w:val="auto"/>
          <w:highlight w:val="none"/>
          <w:u w:val="single"/>
        </w:rPr>
        <w:t>。</w:t>
      </w:r>
    </w:p>
    <w:p w14:paraId="44F9A34E">
      <w:pPr>
        <w:shd w:val="clea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第七条  标的物风险及所有权转移：</w:t>
      </w:r>
      <w:r>
        <w:rPr>
          <w:rFonts w:hint="eastAsia" w:asciiTheme="minorEastAsia" w:hAnsiTheme="minorEastAsia" w:eastAsiaTheme="minorEastAsia" w:cstheme="minorEastAsia"/>
          <w:color w:val="auto"/>
          <w:highlight w:val="none"/>
          <w:u w:val="single"/>
        </w:rPr>
        <w:t>到达</w:t>
      </w:r>
      <w:r>
        <w:rPr>
          <w:rFonts w:hint="eastAsia" w:asciiTheme="minorEastAsia" w:hAnsiTheme="minorEastAsia" w:eastAsiaTheme="minorEastAsia" w:cstheme="minorEastAsia"/>
          <w:color w:val="auto"/>
          <w:highlight w:val="none"/>
          <w:u w:val="single"/>
          <w:lang w:val="en-US" w:eastAsia="zh-CN"/>
        </w:rPr>
        <w:t>府谷能源投资集团五一矿业有限公司</w:t>
      </w:r>
      <w:r>
        <w:rPr>
          <w:rFonts w:hint="eastAsia" w:asciiTheme="minorEastAsia" w:hAnsiTheme="minorEastAsia" w:eastAsiaTheme="minorEastAsia" w:cstheme="minorEastAsia"/>
          <w:color w:val="auto"/>
          <w:highlight w:val="none"/>
          <w:u w:val="single"/>
        </w:rPr>
        <w:t>并完成卸</w:t>
      </w:r>
      <w:bookmarkStart w:id="0" w:name="_GoBack"/>
      <w:bookmarkEnd w:id="0"/>
      <w:r>
        <w:rPr>
          <w:rFonts w:hint="eastAsia" w:asciiTheme="minorEastAsia" w:hAnsiTheme="minorEastAsia" w:eastAsiaTheme="minorEastAsia" w:cstheme="minorEastAsia"/>
          <w:color w:val="auto"/>
          <w:highlight w:val="none"/>
          <w:u w:val="single"/>
        </w:rPr>
        <w:t>货前，标的物毁损灭失的风险由乙方承担。乙方完成卸货并到货验收后，所有权由乙方转移到甲方。</w:t>
      </w:r>
    </w:p>
    <w:p w14:paraId="4B59E0ED">
      <w:pPr>
        <w:shd w:val="clea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第八条  交（提）货方式、地点：</w:t>
      </w:r>
      <w:r>
        <w:rPr>
          <w:rFonts w:hint="eastAsia" w:asciiTheme="minorEastAsia" w:hAnsiTheme="minorEastAsia" w:eastAsiaTheme="minorEastAsia" w:cstheme="minorEastAsia"/>
          <w:color w:val="auto"/>
          <w:highlight w:val="none"/>
          <w:u w:val="single"/>
          <w:lang w:val="en-US" w:eastAsia="zh-CN"/>
        </w:rPr>
        <w:t>府谷能源投资集团五一矿业有限公司指定地点</w:t>
      </w:r>
      <w:r>
        <w:rPr>
          <w:rFonts w:hint="eastAsia" w:asciiTheme="minorEastAsia" w:hAnsiTheme="minorEastAsia" w:eastAsiaTheme="minorEastAsia" w:cstheme="minorEastAsia"/>
          <w:color w:val="auto"/>
          <w:highlight w:val="none"/>
          <w:u w:val="single"/>
        </w:rPr>
        <w:t>。</w:t>
      </w:r>
    </w:p>
    <w:p w14:paraId="7536D727">
      <w:pPr>
        <w:shd w:val="clea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第九条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"http://yunshuhetong.unjs.com/"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u w:val="single"/>
        </w:rPr>
        <w:t>运输</w:t>
      </w:r>
      <w:r>
        <w:rPr>
          <w:rFonts w:hint="eastAsia" w:asciiTheme="minorEastAsia" w:hAnsiTheme="minorEastAsia" w:eastAsiaTheme="minorEastAsia" w:cstheme="minorEastAsia"/>
          <w:color w:val="auto"/>
          <w:highlight w:val="none"/>
          <w:u w:val="single"/>
        </w:rPr>
        <w:fldChar w:fldCharType="end"/>
      </w:r>
      <w:r>
        <w:rPr>
          <w:rFonts w:hint="eastAsia" w:asciiTheme="minorEastAsia" w:hAnsiTheme="minorEastAsia" w:eastAsiaTheme="minorEastAsia" w:cstheme="minorEastAsia"/>
          <w:color w:val="auto"/>
          <w:highlight w:val="none"/>
        </w:rPr>
        <w:t>方式和费用承担：</w:t>
      </w:r>
      <w:r>
        <w:rPr>
          <w:rFonts w:hint="eastAsia" w:asciiTheme="minorEastAsia" w:hAnsiTheme="minorEastAsia" w:eastAsiaTheme="minorEastAsia" w:cstheme="minorEastAsia"/>
          <w:color w:val="auto"/>
          <w:highlight w:val="none"/>
          <w:u w:val="single"/>
        </w:rPr>
        <w:t>汽车整机运输，运费及卸车费由供应商承担。</w:t>
      </w:r>
    </w:p>
    <w:p w14:paraId="68AA5DC7">
      <w:pPr>
        <w:shd w:val="clea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第十条  检验标准、方法、地点及期限：</w:t>
      </w:r>
      <w:r>
        <w:rPr>
          <w:rFonts w:hint="eastAsia" w:asciiTheme="minorEastAsia" w:hAnsiTheme="minorEastAsia" w:eastAsiaTheme="minorEastAsia" w:cstheme="minorEastAsia"/>
          <w:color w:val="auto"/>
          <w:highlight w:val="none"/>
          <w:u w:val="single"/>
        </w:rPr>
        <w:t>验收分为以下步骤，1、设备中检；2、出厂验收：在接到供应商工厂验收通知后7天内，采购人安排人员到乙方工厂进行出厂前验收，供应商根据国家及行业标准的工厂验收程序执行；3、到货验收：设备到货后，由甲、乙双方共同进行设备的完好性及部件品牌、规格、数量及产地与技术协议要求的一致性验收；4、设备安装调试验收（最终验收）：设备安装调试合格并安全可靠运行一个月后，乙方向甲方提出验收申请，甲方接到乙方验收申请后组织验收（必要时可聘请相应专家或委托相应部门验收），验收合格后方可作为付款依据，同时乙方提供书面报告及相关的的所有资料，以便甲方日后管理和维护；5、验收依据：合同文本、技术协议、招标文件、投标文件、国家、行业等最新的标准、规范。</w:t>
      </w:r>
    </w:p>
    <w:p w14:paraId="51AB93F1">
      <w:pPr>
        <w:shd w:val="clear"/>
        <w:spacing w:line="360" w:lineRule="auto"/>
        <w:ind w:firstLine="420"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highlight w:val="none"/>
        </w:rPr>
        <w:t>第十一条  售后服务：</w:t>
      </w:r>
      <w:r>
        <w:rPr>
          <w:rFonts w:hint="eastAsia" w:asciiTheme="minorEastAsia" w:hAnsiTheme="minorEastAsia" w:eastAsiaTheme="minorEastAsia" w:cstheme="minorEastAsia"/>
          <w:color w:val="auto"/>
          <w:highlight w:val="none"/>
          <w:u w:val="single"/>
        </w:rPr>
        <w:t xml:space="preserve"> 质保期内1、乙方在接到甲方保修电话故障通知后在12小时内派出合格的维修人员到达现场进行维修服务，若需将产品返厂，乙方应承担维修设备所需的往返费用；2、如果乙方在收到通知后2天内没有弥补缺陷，甲方可采取必要的补救措施，但其风险和费用将由乙方承担，甲方根据合同规定对乙方行使的其它权力不受影响。甲方亦可从尾款中扣回索赔金额；3、出现三次以上问题的，</w:t>
      </w:r>
      <w:r>
        <w:rPr>
          <w:rFonts w:hint="eastAsia" w:asciiTheme="minorEastAsia" w:hAnsiTheme="minorEastAsia" w:eastAsiaTheme="minorEastAsia" w:cstheme="minorEastAsia"/>
          <w:color w:val="auto"/>
          <w:u w:val="single"/>
        </w:rPr>
        <w:t>按照第十三条违约责任第一条执行。</w:t>
      </w:r>
    </w:p>
    <w:p w14:paraId="64FE84B4">
      <w:pPr>
        <w:spacing w:line="360" w:lineRule="auto"/>
        <w:ind w:firstLine="420"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第十二条  成套设备的安装、调试：</w:t>
      </w:r>
      <w:r>
        <w:rPr>
          <w:rFonts w:hint="eastAsia" w:asciiTheme="minorEastAsia" w:hAnsiTheme="minorEastAsia" w:eastAsiaTheme="minorEastAsia" w:cstheme="minorEastAsia"/>
          <w:color w:val="auto"/>
          <w:u w:val="single"/>
        </w:rPr>
        <w:t>供应商负责设备全程安装调试的技术指导。</w:t>
      </w:r>
    </w:p>
    <w:p w14:paraId="3D165F53">
      <w:pPr>
        <w:spacing w:line="360" w:lineRule="auto"/>
        <w:ind w:firstLine="420"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第十三条  违约责任：</w:t>
      </w:r>
      <w:r>
        <w:rPr>
          <w:rFonts w:hint="eastAsia" w:asciiTheme="minorEastAsia" w:hAnsiTheme="minorEastAsia" w:eastAsiaTheme="minorEastAsia" w:cstheme="minorEastAsia"/>
          <w:color w:val="auto"/>
          <w:u w:val="single"/>
        </w:rPr>
        <w:t>1.设备未达到国家、行业质量标准及技术协议中约定的技术指标，或者验收不合格，甲方提出改正乙方拒绝执行的，应当认定为乙方违约。乙方应当无条件免费退换货，承担由此产生的一切费用。同时，乙方向甲方支付合同总价款20%的违约金，同时赔偿甲方的所有损失；2.乙方每推迟7天到货需承担合同总价款3‰违约金，但延迟到货时间达到20天时，甲方有权单方面解除合同。合同解除后，乙方按合同总价款的10%承担违约金；3.乙方必须按照国家税务局相关法律法规及规定开具增值税专用发票，否则，甲方有权解除合同，不支付合同总价款，由此造成的所有后果均由乙方承担；如果发票认证后，又出现各种原因的发票异常，导致甲方产生一系列行政、经济责任，责任由乙方全部承担；4.</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u w:val="single"/>
        </w:rPr>
        <w:t>无论原材料市场、政府政策、人工费成本等各种因素变化，该合同设备单价不做调整；5.乙方按照不高于投标文件备品备件价格清单所列的价格供应备品备件。</w:t>
      </w:r>
    </w:p>
    <w:p w14:paraId="5B7560FB">
      <w:pPr>
        <w:spacing w:line="360" w:lineRule="auto"/>
        <w:ind w:firstLine="420"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第十四条  合同争议的解决方式：</w:t>
      </w:r>
      <w:r>
        <w:rPr>
          <w:rFonts w:hint="eastAsia" w:asciiTheme="minorEastAsia" w:hAnsiTheme="minorEastAsia" w:eastAsiaTheme="minorEastAsia" w:cstheme="minorEastAsia"/>
          <w:color w:val="auto"/>
          <w:u w:val="single"/>
        </w:rPr>
        <w:t>因履行合同产生的争议，应由双方协商解决，协商不成可向采购人所在地（府谷县）人民法院提起诉讼。</w:t>
      </w:r>
    </w:p>
    <w:p w14:paraId="47A89BF2">
      <w:pPr>
        <w:spacing w:line="360" w:lineRule="auto"/>
        <w:ind w:firstLine="420"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第十五条  合同生效：</w:t>
      </w:r>
      <w:r>
        <w:rPr>
          <w:rFonts w:hint="eastAsia" w:asciiTheme="minorEastAsia" w:hAnsiTheme="minorEastAsia" w:eastAsiaTheme="minorEastAsia" w:cstheme="minorEastAsia"/>
          <w:color w:val="auto"/>
          <w:u w:val="single"/>
        </w:rPr>
        <w:t>本合同一式陆份，双方各执叁份；合同经双方签字盖章后生效。</w:t>
      </w:r>
    </w:p>
    <w:p w14:paraId="2CE21BD4">
      <w:pPr>
        <w:spacing w:line="360" w:lineRule="auto"/>
        <w:ind w:firstLine="420"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第十六条  其它约定事项：</w:t>
      </w:r>
      <w:r>
        <w:rPr>
          <w:rFonts w:hint="eastAsia" w:asciiTheme="minorEastAsia" w:hAnsiTheme="minorEastAsia" w:eastAsiaTheme="minorEastAsia" w:cstheme="minorEastAsia"/>
          <w:color w:val="auto"/>
          <w:u w:val="single"/>
        </w:rPr>
        <w:t>技术协议与本合同具有同等法律效力，技术协议签署及执行过程中发现乙方要求单方面减配、不符合甲方技术要求的，甲方有权单方面解除本合同且不承担本项目过程中可能给乙方带来的一切经济损失。</w:t>
      </w:r>
    </w:p>
    <w:tbl>
      <w:tblPr>
        <w:tblStyle w:val="10"/>
        <w:tblW w:w="9899" w:type="dxa"/>
        <w:jc w:val="center"/>
        <w:tblLayout w:type="autofit"/>
        <w:tblCellMar>
          <w:top w:w="0" w:type="dxa"/>
          <w:left w:w="108" w:type="dxa"/>
          <w:bottom w:w="0" w:type="dxa"/>
          <w:right w:w="108" w:type="dxa"/>
        </w:tblCellMar>
      </w:tblPr>
      <w:tblGrid>
        <w:gridCol w:w="4747"/>
        <w:gridCol w:w="5152"/>
      </w:tblGrid>
      <w:tr w14:paraId="2DA80A4E">
        <w:tblPrEx>
          <w:tblCellMar>
            <w:top w:w="0" w:type="dxa"/>
            <w:left w:w="108" w:type="dxa"/>
            <w:bottom w:w="0" w:type="dxa"/>
            <w:right w:w="108" w:type="dxa"/>
          </w:tblCellMar>
        </w:tblPrEx>
        <w:trPr>
          <w:trHeight w:val="458" w:hRule="atLeast"/>
          <w:jc w:val="center"/>
        </w:trPr>
        <w:tc>
          <w:tcPr>
            <w:tcW w:w="4747" w:type="dxa"/>
            <w:tcBorders>
              <w:top w:val="single" w:color="auto" w:sz="4" w:space="0"/>
              <w:left w:val="single" w:color="auto" w:sz="4" w:space="0"/>
              <w:bottom w:val="single" w:color="auto" w:sz="4" w:space="0"/>
              <w:right w:val="single" w:color="auto" w:sz="4" w:space="0"/>
            </w:tcBorders>
            <w:noWrap/>
            <w:vAlign w:val="center"/>
          </w:tcPr>
          <w:p w14:paraId="44B82484">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甲     方</w:t>
            </w:r>
          </w:p>
        </w:tc>
        <w:tc>
          <w:tcPr>
            <w:tcW w:w="5152" w:type="dxa"/>
            <w:tcBorders>
              <w:top w:val="single" w:color="auto" w:sz="4" w:space="0"/>
              <w:left w:val="nil"/>
              <w:bottom w:val="single" w:color="auto" w:sz="4" w:space="0"/>
              <w:right w:val="single" w:color="000000" w:sz="4" w:space="0"/>
            </w:tcBorders>
            <w:noWrap w:val="0"/>
            <w:vAlign w:val="center"/>
          </w:tcPr>
          <w:p w14:paraId="0A8A2898">
            <w:pPr>
              <w:widowControl/>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乙方</w:t>
            </w:r>
          </w:p>
        </w:tc>
      </w:tr>
      <w:tr w14:paraId="3BD801EA">
        <w:tblPrEx>
          <w:tblCellMar>
            <w:top w:w="0" w:type="dxa"/>
            <w:left w:w="108" w:type="dxa"/>
            <w:bottom w:w="0" w:type="dxa"/>
            <w:right w:w="108" w:type="dxa"/>
          </w:tblCellMar>
        </w:tblPrEx>
        <w:trPr>
          <w:trHeight w:val="458" w:hRule="atLeast"/>
          <w:jc w:val="center"/>
        </w:trPr>
        <w:tc>
          <w:tcPr>
            <w:tcW w:w="4747" w:type="dxa"/>
            <w:tcBorders>
              <w:top w:val="single" w:color="auto" w:sz="4" w:space="0"/>
              <w:left w:val="single" w:color="auto" w:sz="4" w:space="0"/>
              <w:bottom w:val="single" w:color="auto" w:sz="4" w:space="0"/>
              <w:right w:val="single" w:color="auto" w:sz="4" w:space="0"/>
            </w:tcBorders>
            <w:noWrap w:val="0"/>
            <w:vAlign w:val="center"/>
          </w:tcPr>
          <w:p w14:paraId="09C18F8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单位名称（章):</w:t>
            </w:r>
            <w:r>
              <w:rPr>
                <w:rFonts w:hint="eastAsia" w:asciiTheme="minorEastAsia" w:hAnsiTheme="minorEastAsia" w:eastAsiaTheme="minorEastAsia" w:cstheme="minorEastAsia"/>
                <w:color w:val="auto"/>
              </w:rPr>
              <w:t xml:space="preserve"> </w:t>
            </w:r>
          </w:p>
        </w:tc>
        <w:tc>
          <w:tcPr>
            <w:tcW w:w="5152" w:type="dxa"/>
            <w:tcBorders>
              <w:top w:val="single" w:color="auto" w:sz="4" w:space="0"/>
              <w:left w:val="nil"/>
              <w:bottom w:val="single" w:color="auto" w:sz="4" w:space="0"/>
              <w:right w:val="single" w:color="auto" w:sz="4" w:space="0"/>
            </w:tcBorders>
            <w:noWrap w:val="0"/>
            <w:vAlign w:val="center"/>
          </w:tcPr>
          <w:p w14:paraId="6A82324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xml:space="preserve">单位名称（章）： </w:t>
            </w:r>
          </w:p>
        </w:tc>
      </w:tr>
      <w:tr w14:paraId="40290BDD">
        <w:tblPrEx>
          <w:tblCellMar>
            <w:top w:w="0" w:type="dxa"/>
            <w:left w:w="108" w:type="dxa"/>
            <w:bottom w:w="0" w:type="dxa"/>
            <w:right w:w="108" w:type="dxa"/>
          </w:tblCellMar>
        </w:tblPrEx>
        <w:trPr>
          <w:trHeight w:val="383" w:hRule="atLeast"/>
          <w:jc w:val="center"/>
        </w:trPr>
        <w:tc>
          <w:tcPr>
            <w:tcW w:w="4747" w:type="dxa"/>
            <w:tcBorders>
              <w:top w:val="single" w:color="auto" w:sz="4" w:space="0"/>
              <w:left w:val="single" w:color="auto" w:sz="4" w:space="0"/>
              <w:bottom w:val="single" w:color="auto" w:sz="4" w:space="0"/>
              <w:right w:val="single" w:color="auto" w:sz="4" w:space="0"/>
            </w:tcBorders>
            <w:noWrap/>
            <w:vAlign w:val="center"/>
          </w:tcPr>
          <w:p w14:paraId="360D97D3">
            <w:pPr>
              <w:widowControl/>
              <w:jc w:val="left"/>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单位地址：</w:t>
            </w:r>
            <w:r>
              <w:rPr>
                <w:rFonts w:hint="eastAsia" w:asciiTheme="minorEastAsia" w:hAnsiTheme="minorEastAsia" w:eastAsiaTheme="minorEastAsia" w:cstheme="minorEastAsia"/>
                <w:color w:val="auto"/>
                <w:kern w:val="0"/>
                <w:sz w:val="20"/>
                <w:szCs w:val="20"/>
                <w:lang w:eastAsia="zh-CN"/>
              </w:rPr>
              <w:t>　</w:t>
            </w:r>
          </w:p>
        </w:tc>
        <w:tc>
          <w:tcPr>
            <w:tcW w:w="5152" w:type="dxa"/>
            <w:tcBorders>
              <w:top w:val="single" w:color="auto" w:sz="4" w:space="0"/>
              <w:left w:val="nil"/>
              <w:bottom w:val="single" w:color="auto" w:sz="4" w:space="0"/>
              <w:right w:val="single" w:color="auto" w:sz="4" w:space="0"/>
            </w:tcBorders>
            <w:noWrap/>
            <w:vAlign w:val="center"/>
          </w:tcPr>
          <w:p w14:paraId="2E65A413">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xml:space="preserve">单位地址： </w:t>
            </w:r>
          </w:p>
        </w:tc>
      </w:tr>
      <w:tr w14:paraId="40A9CC63">
        <w:tblPrEx>
          <w:tblCellMar>
            <w:top w:w="0" w:type="dxa"/>
            <w:left w:w="108" w:type="dxa"/>
            <w:bottom w:w="0" w:type="dxa"/>
            <w:right w:w="108" w:type="dxa"/>
          </w:tblCellMar>
        </w:tblPrEx>
        <w:trPr>
          <w:trHeight w:val="458" w:hRule="atLeast"/>
          <w:jc w:val="center"/>
        </w:trPr>
        <w:tc>
          <w:tcPr>
            <w:tcW w:w="4747" w:type="dxa"/>
            <w:tcBorders>
              <w:top w:val="single" w:color="auto" w:sz="4" w:space="0"/>
              <w:left w:val="single" w:color="auto" w:sz="4" w:space="0"/>
              <w:bottom w:val="single" w:color="auto" w:sz="4" w:space="0"/>
              <w:right w:val="single" w:color="auto" w:sz="4" w:space="0"/>
            </w:tcBorders>
            <w:noWrap/>
            <w:vAlign w:val="center"/>
          </w:tcPr>
          <w:p w14:paraId="75FAFE33">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法定代表人：</w:t>
            </w:r>
          </w:p>
        </w:tc>
        <w:tc>
          <w:tcPr>
            <w:tcW w:w="5152" w:type="dxa"/>
            <w:tcBorders>
              <w:top w:val="single" w:color="auto" w:sz="4" w:space="0"/>
              <w:left w:val="nil"/>
              <w:bottom w:val="single" w:color="auto" w:sz="4" w:space="0"/>
              <w:right w:val="single" w:color="auto" w:sz="4" w:space="0"/>
            </w:tcBorders>
            <w:noWrap/>
            <w:vAlign w:val="center"/>
          </w:tcPr>
          <w:p w14:paraId="391F529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xml:space="preserve">法定代表人： </w:t>
            </w:r>
          </w:p>
        </w:tc>
      </w:tr>
      <w:tr w14:paraId="31605A47">
        <w:tblPrEx>
          <w:tblCellMar>
            <w:top w:w="0" w:type="dxa"/>
            <w:left w:w="108" w:type="dxa"/>
            <w:bottom w:w="0" w:type="dxa"/>
            <w:right w:w="108" w:type="dxa"/>
          </w:tblCellMar>
        </w:tblPrEx>
        <w:trPr>
          <w:trHeight w:val="763" w:hRule="atLeast"/>
          <w:jc w:val="center"/>
        </w:trPr>
        <w:tc>
          <w:tcPr>
            <w:tcW w:w="4747" w:type="dxa"/>
            <w:tcBorders>
              <w:top w:val="single" w:color="auto" w:sz="4" w:space="0"/>
              <w:left w:val="single" w:color="auto" w:sz="4" w:space="0"/>
              <w:bottom w:val="single" w:color="auto" w:sz="4" w:space="0"/>
              <w:right w:val="single" w:color="auto" w:sz="4" w:space="0"/>
            </w:tcBorders>
            <w:noWrap/>
            <w:vAlign w:val="center"/>
          </w:tcPr>
          <w:p w14:paraId="3D6B32C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法人或委托代理人签字：</w:t>
            </w:r>
          </w:p>
        </w:tc>
        <w:tc>
          <w:tcPr>
            <w:tcW w:w="5152" w:type="dxa"/>
            <w:tcBorders>
              <w:top w:val="single" w:color="auto" w:sz="4" w:space="0"/>
              <w:left w:val="nil"/>
              <w:bottom w:val="single" w:color="auto" w:sz="4" w:space="0"/>
              <w:right w:val="single" w:color="auto" w:sz="4" w:space="0"/>
            </w:tcBorders>
            <w:noWrap/>
            <w:vAlign w:val="center"/>
          </w:tcPr>
          <w:p w14:paraId="390A9BB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法人或委托代理人签字：</w:t>
            </w:r>
          </w:p>
        </w:tc>
      </w:tr>
      <w:tr w14:paraId="350D14ED">
        <w:tblPrEx>
          <w:tblCellMar>
            <w:top w:w="0" w:type="dxa"/>
            <w:left w:w="108" w:type="dxa"/>
            <w:bottom w:w="0" w:type="dxa"/>
            <w:right w:w="108" w:type="dxa"/>
          </w:tblCellMar>
        </w:tblPrEx>
        <w:trPr>
          <w:trHeight w:val="458" w:hRule="atLeast"/>
          <w:jc w:val="center"/>
        </w:trPr>
        <w:tc>
          <w:tcPr>
            <w:tcW w:w="4747" w:type="dxa"/>
            <w:tcBorders>
              <w:top w:val="single" w:color="auto" w:sz="4" w:space="0"/>
              <w:left w:val="single" w:color="auto" w:sz="4" w:space="0"/>
              <w:bottom w:val="single" w:color="auto" w:sz="4" w:space="0"/>
              <w:right w:val="single" w:color="auto" w:sz="4" w:space="0"/>
            </w:tcBorders>
            <w:noWrap w:val="0"/>
            <w:vAlign w:val="center"/>
          </w:tcPr>
          <w:p w14:paraId="7AADF9B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开户银行：</w:t>
            </w:r>
          </w:p>
        </w:tc>
        <w:tc>
          <w:tcPr>
            <w:tcW w:w="5152" w:type="dxa"/>
            <w:tcBorders>
              <w:top w:val="single" w:color="auto" w:sz="4" w:space="0"/>
              <w:left w:val="nil"/>
              <w:bottom w:val="single" w:color="auto" w:sz="4" w:space="0"/>
              <w:right w:val="single" w:color="auto" w:sz="4" w:space="0"/>
            </w:tcBorders>
            <w:noWrap/>
            <w:vAlign w:val="center"/>
          </w:tcPr>
          <w:p w14:paraId="040F10F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xml:space="preserve">开户银行： </w:t>
            </w:r>
          </w:p>
        </w:tc>
      </w:tr>
      <w:tr w14:paraId="141AEC2A">
        <w:tblPrEx>
          <w:tblCellMar>
            <w:top w:w="0" w:type="dxa"/>
            <w:left w:w="108" w:type="dxa"/>
            <w:bottom w:w="0" w:type="dxa"/>
            <w:right w:w="108" w:type="dxa"/>
          </w:tblCellMar>
        </w:tblPrEx>
        <w:trPr>
          <w:trHeight w:val="458" w:hRule="atLeast"/>
          <w:jc w:val="center"/>
        </w:trPr>
        <w:tc>
          <w:tcPr>
            <w:tcW w:w="4747" w:type="dxa"/>
            <w:tcBorders>
              <w:top w:val="single" w:color="auto" w:sz="4" w:space="0"/>
              <w:left w:val="single" w:color="auto" w:sz="4" w:space="0"/>
              <w:bottom w:val="single" w:color="auto" w:sz="4" w:space="0"/>
              <w:right w:val="single" w:color="auto" w:sz="4" w:space="0"/>
            </w:tcBorders>
            <w:noWrap/>
            <w:vAlign w:val="center"/>
          </w:tcPr>
          <w:p w14:paraId="5472E87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帐   号：</w:t>
            </w:r>
          </w:p>
        </w:tc>
        <w:tc>
          <w:tcPr>
            <w:tcW w:w="5152" w:type="dxa"/>
            <w:tcBorders>
              <w:top w:val="single" w:color="auto" w:sz="4" w:space="0"/>
              <w:left w:val="nil"/>
              <w:bottom w:val="single" w:color="auto" w:sz="4" w:space="0"/>
              <w:right w:val="single" w:color="auto" w:sz="4" w:space="0"/>
            </w:tcBorders>
            <w:noWrap/>
            <w:vAlign w:val="center"/>
          </w:tcPr>
          <w:p w14:paraId="5D9C2F9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帐    号：</w:t>
            </w:r>
          </w:p>
        </w:tc>
      </w:tr>
      <w:tr w14:paraId="0AACD6E0">
        <w:tblPrEx>
          <w:tblCellMar>
            <w:top w:w="0" w:type="dxa"/>
            <w:left w:w="108" w:type="dxa"/>
            <w:bottom w:w="0" w:type="dxa"/>
            <w:right w:w="108" w:type="dxa"/>
          </w:tblCellMar>
        </w:tblPrEx>
        <w:trPr>
          <w:trHeight w:val="458" w:hRule="atLeast"/>
          <w:jc w:val="center"/>
        </w:trPr>
        <w:tc>
          <w:tcPr>
            <w:tcW w:w="4747" w:type="dxa"/>
            <w:tcBorders>
              <w:top w:val="single" w:color="auto" w:sz="4" w:space="0"/>
              <w:left w:val="single" w:color="auto" w:sz="4" w:space="0"/>
              <w:bottom w:val="single" w:color="auto" w:sz="4" w:space="0"/>
              <w:right w:val="single" w:color="auto" w:sz="4" w:space="0"/>
            </w:tcBorders>
            <w:noWrap/>
            <w:vAlign w:val="center"/>
          </w:tcPr>
          <w:p w14:paraId="052901C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行   号：</w:t>
            </w:r>
          </w:p>
        </w:tc>
        <w:tc>
          <w:tcPr>
            <w:tcW w:w="5152" w:type="dxa"/>
            <w:tcBorders>
              <w:top w:val="single" w:color="auto" w:sz="4" w:space="0"/>
              <w:left w:val="nil"/>
              <w:bottom w:val="single" w:color="auto" w:sz="4" w:space="0"/>
              <w:right w:val="single" w:color="auto" w:sz="4" w:space="0"/>
            </w:tcBorders>
            <w:noWrap/>
            <w:vAlign w:val="center"/>
          </w:tcPr>
          <w:p w14:paraId="39FC231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行    号：</w:t>
            </w:r>
          </w:p>
        </w:tc>
      </w:tr>
      <w:tr w14:paraId="10737057">
        <w:tblPrEx>
          <w:tblCellMar>
            <w:top w:w="0" w:type="dxa"/>
            <w:left w:w="108" w:type="dxa"/>
            <w:bottom w:w="0" w:type="dxa"/>
            <w:right w:w="108" w:type="dxa"/>
          </w:tblCellMar>
        </w:tblPrEx>
        <w:trPr>
          <w:trHeight w:val="470" w:hRule="atLeast"/>
          <w:jc w:val="center"/>
        </w:trPr>
        <w:tc>
          <w:tcPr>
            <w:tcW w:w="4747" w:type="dxa"/>
            <w:tcBorders>
              <w:top w:val="single" w:color="auto" w:sz="4" w:space="0"/>
              <w:left w:val="single" w:color="auto" w:sz="4" w:space="0"/>
              <w:bottom w:val="single" w:color="auto" w:sz="4" w:space="0"/>
              <w:right w:val="single" w:color="auto" w:sz="4" w:space="0"/>
            </w:tcBorders>
            <w:noWrap/>
            <w:vAlign w:val="center"/>
          </w:tcPr>
          <w:p w14:paraId="5E7778D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税   号：</w:t>
            </w:r>
          </w:p>
        </w:tc>
        <w:tc>
          <w:tcPr>
            <w:tcW w:w="5152" w:type="dxa"/>
            <w:tcBorders>
              <w:top w:val="single" w:color="auto" w:sz="4" w:space="0"/>
              <w:left w:val="nil"/>
              <w:bottom w:val="single" w:color="auto" w:sz="4" w:space="0"/>
              <w:right w:val="single" w:color="auto" w:sz="4" w:space="0"/>
            </w:tcBorders>
            <w:noWrap/>
            <w:vAlign w:val="center"/>
          </w:tcPr>
          <w:p w14:paraId="0320D08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税    号：</w:t>
            </w:r>
          </w:p>
        </w:tc>
      </w:tr>
    </w:tbl>
    <w:p w14:paraId="77E6CE5F">
      <w:pPr>
        <w:adjustRightInd w:val="0"/>
        <w:snapToGrid w:val="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72659073">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五、履约验收标准和方法</w:t>
      </w:r>
    </w:p>
    <w:p w14:paraId="024D8FD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1、履约验收时间：</w:t>
      </w:r>
      <w:r>
        <w:rPr>
          <w:rFonts w:hint="eastAsia" w:asciiTheme="minorEastAsia" w:hAnsiTheme="minorEastAsia" w:eastAsiaTheme="minorEastAsia" w:cstheme="minorEastAsia"/>
          <w:color w:val="auto"/>
          <w:sz w:val="24"/>
          <w:szCs w:val="24"/>
        </w:rPr>
        <w:t>设备在稳定运行一个月后双方进行验收</w:t>
      </w:r>
    </w:p>
    <w:p w14:paraId="6A1B516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2、履约验收主体</w:t>
      </w:r>
      <w:r>
        <w:rPr>
          <w:rFonts w:hint="eastAsia" w:asciiTheme="minorEastAsia" w:hAnsiTheme="minorEastAsia" w:eastAsiaTheme="minorEastAsia" w:cstheme="minorEastAsia"/>
          <w:color w:val="auto"/>
          <w:sz w:val="24"/>
          <w:szCs w:val="24"/>
          <w:highlight w:val="none"/>
          <w:lang w:val="en-US" w:eastAsia="zh-CN"/>
        </w:rPr>
        <w:t>及内容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主体为府谷能源投资集团五一矿业有限公司，货物设备是否完好，是否能满足采购需求、正常运行（设备清单详见附件）</w:t>
      </w:r>
      <w:r>
        <w:rPr>
          <w:rFonts w:hint="eastAsia" w:asciiTheme="minorEastAsia" w:hAnsiTheme="minorEastAsia" w:eastAsiaTheme="minorEastAsia" w:cstheme="minorEastAsia"/>
          <w:color w:val="auto"/>
          <w:sz w:val="24"/>
          <w:szCs w:val="24"/>
          <w:highlight w:val="none"/>
        </w:rPr>
        <w:t>。</w:t>
      </w:r>
    </w:p>
    <w:p w14:paraId="5DC6661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验收程序：乙方应当严格按合同约定的内容提供货物或服务。对供应商所提供的货物或服务相关资料进行认真整理，做好验收准备。验收开始之前，由成交供应商项目负责人介绍项目实施进度、工作重点、完成情况等。在供应商履约结束后，验收工作小组按照职责分工对照</w:t>
      </w:r>
      <w:r>
        <w:rPr>
          <w:rFonts w:hint="eastAsia" w:asciiTheme="minorEastAsia" w:hAnsiTheme="minorEastAsia" w:eastAsiaTheme="minorEastAsia" w:cstheme="minorEastAsia"/>
          <w:color w:val="auto"/>
          <w:sz w:val="24"/>
          <w:szCs w:val="24"/>
          <w:highlight w:val="none"/>
          <w:lang w:val="en-US" w:eastAsia="zh-CN"/>
        </w:rPr>
        <w:t>采购内容的</w:t>
      </w:r>
      <w:r>
        <w:rPr>
          <w:rFonts w:hint="eastAsia" w:asciiTheme="minorEastAsia" w:hAnsiTheme="minorEastAsia" w:eastAsiaTheme="minorEastAsia" w:cstheme="minorEastAsia"/>
          <w:color w:val="auto"/>
          <w:sz w:val="24"/>
          <w:szCs w:val="24"/>
          <w:highlight w:val="none"/>
        </w:rPr>
        <w:t>有关事项和标准核对每项验收事项，并按照验收方案应及时组织验收。</w:t>
      </w:r>
    </w:p>
    <w:p w14:paraId="56B97563">
      <w:pPr>
        <w:spacing w:line="360" w:lineRule="auto"/>
        <w:ind w:firstLine="5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4、履约验收标准：按</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相关的国家标准、质量标准，确保质量符合标准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货物验收标准：</w:t>
      </w:r>
      <w:r>
        <w:rPr>
          <w:rFonts w:hint="eastAsia" w:asciiTheme="minorEastAsia" w:hAnsiTheme="minorEastAsia" w:eastAsiaTheme="minorEastAsia" w:cstheme="minorEastAsia"/>
          <w:color w:val="auto"/>
          <w:sz w:val="24"/>
          <w:szCs w:val="24"/>
          <w:highlight w:val="none"/>
        </w:rPr>
        <w:t>最新最高的中国国家标准、中国煤炭行业标准、国际标准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各标准之间存在差异时，按较高标准执行。</w:t>
      </w:r>
    </w:p>
    <w:p w14:paraId="65C50520">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初验：货物到达交货地点后，由使用单位根据合同对货物（设备）的名称、品牌、规格、型号、产地、数量进行检查。初验合格填写项目移交单，双方签字盖章。</w:t>
      </w:r>
    </w:p>
    <w:p w14:paraId="6951D44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终验：所有货物(设备)安装、调试完毕，由中标人向采购人提出终验书面申请，采购人确认后，组织中标人、有关专家及相关部门进行系统验收，并出具终验报告，验收及专家费用由中标人承担。</w:t>
      </w:r>
    </w:p>
    <w:p w14:paraId="2F9851A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5、验收方式：由采购单位组织有关专业人员按相关的国家标准、质量标准和采购文件所列的各项要求进行验收。</w:t>
      </w:r>
    </w:p>
    <w:p w14:paraId="7215C616">
      <w:pPr>
        <w:spacing w:line="360" w:lineRule="auto"/>
        <w:ind w:firstLine="482" w:firstLineChars="200"/>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六、对供应商的要求</w:t>
      </w:r>
    </w:p>
    <w:p w14:paraId="6DEBAA12">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1、在中华人民共和国境内注册的，具有独立法人资格的供应商；</w:t>
      </w:r>
    </w:p>
    <w:p w14:paraId="3DDBFF39">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2、具有良好的商业信誉和健全的财务会计制度；</w:t>
      </w:r>
    </w:p>
    <w:p w14:paraId="4D171689">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3、具有履行合同所必须的设备和专业技术能力；</w:t>
      </w:r>
    </w:p>
    <w:p w14:paraId="7CE3AA73">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4、有依法缴纳税收和社会保障资金的良好记录；</w:t>
      </w:r>
    </w:p>
    <w:p w14:paraId="4B6F0775">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5、参加本项政府采购活动前三年内，在经营活动中没有重大违法记录。</w:t>
      </w:r>
    </w:p>
    <w:p w14:paraId="0598C3F1">
      <w:pPr>
        <w:spacing w:line="360" w:lineRule="auto"/>
        <w:ind w:firstLine="482" w:firstLineChars="200"/>
        <w:rPr>
          <w:rFonts w:hint="eastAsia" w:asciiTheme="minorEastAsia" w:hAnsiTheme="minorEastAsia" w:eastAsiaTheme="minorEastAsia" w:cstheme="minorEastAsia"/>
          <w:color w:val="7030A0"/>
          <w:sz w:val="24"/>
          <w:szCs w:val="32"/>
          <w:highlight w:val="none"/>
        </w:rPr>
      </w:pPr>
      <w:r>
        <w:rPr>
          <w:rFonts w:hint="eastAsia" w:asciiTheme="minorEastAsia" w:hAnsiTheme="minorEastAsia" w:eastAsiaTheme="minorEastAsia" w:cstheme="minorEastAsia"/>
          <w:b/>
          <w:bCs/>
          <w:color w:val="7030A0"/>
          <w:sz w:val="24"/>
          <w:szCs w:val="32"/>
          <w:highlight w:val="none"/>
        </w:rPr>
        <w:t>七、付款方式：</w:t>
      </w:r>
      <w:r>
        <w:rPr>
          <w:rFonts w:hint="eastAsia" w:asciiTheme="minorEastAsia" w:hAnsiTheme="minorEastAsia" w:eastAsiaTheme="minorEastAsia" w:cstheme="minorEastAsia"/>
          <w:color w:val="7030A0"/>
          <w:sz w:val="24"/>
          <w:szCs w:val="32"/>
          <w:highlight w:val="none"/>
        </w:rPr>
        <w:t>签订合同30日历日内付合同价款的30%，货到验收合格后付合同价款的</w:t>
      </w:r>
      <w:r>
        <w:rPr>
          <w:rFonts w:hint="eastAsia" w:asciiTheme="minorEastAsia" w:hAnsiTheme="minorEastAsia" w:eastAsiaTheme="minorEastAsia" w:cstheme="minorEastAsia"/>
          <w:color w:val="7030A0"/>
          <w:sz w:val="24"/>
          <w:szCs w:val="32"/>
          <w:highlight w:val="none"/>
          <w:lang w:val="en-US" w:eastAsia="zh-CN"/>
        </w:rPr>
        <w:t>3</w:t>
      </w:r>
      <w:r>
        <w:rPr>
          <w:rFonts w:hint="eastAsia" w:asciiTheme="minorEastAsia" w:hAnsiTheme="minorEastAsia" w:eastAsiaTheme="minorEastAsia" w:cstheme="minorEastAsia"/>
          <w:color w:val="7030A0"/>
          <w:sz w:val="24"/>
          <w:szCs w:val="32"/>
          <w:highlight w:val="none"/>
        </w:rPr>
        <w:t>0%，安装调试正常1个月后经采购人组织验收合格付合同价款20%，验收合格12个月后无遗留问题</w:t>
      </w:r>
      <w:r>
        <w:rPr>
          <w:rFonts w:hint="eastAsia" w:asciiTheme="minorEastAsia" w:hAnsiTheme="minorEastAsia" w:eastAsiaTheme="minorEastAsia" w:cstheme="minorEastAsia"/>
          <w:color w:val="7030A0"/>
          <w:sz w:val="24"/>
          <w:szCs w:val="32"/>
          <w:highlight w:val="none"/>
          <w:lang w:eastAsia="zh-CN"/>
        </w:rPr>
        <w:t>，</w:t>
      </w:r>
      <w:r>
        <w:rPr>
          <w:rFonts w:hint="eastAsia" w:asciiTheme="minorEastAsia" w:hAnsiTheme="minorEastAsia" w:eastAsiaTheme="minorEastAsia" w:cstheme="minorEastAsia"/>
          <w:color w:val="7030A0"/>
          <w:sz w:val="24"/>
          <w:szCs w:val="32"/>
          <w:highlight w:val="none"/>
          <w:lang w:val="en-US" w:eastAsia="zh-CN"/>
        </w:rPr>
        <w:t>待审计部门审计后按照最终审计决算价格支付</w:t>
      </w:r>
      <w:r>
        <w:rPr>
          <w:rFonts w:hint="eastAsia" w:asciiTheme="minorEastAsia" w:hAnsiTheme="minorEastAsia" w:eastAsiaTheme="minorEastAsia" w:cstheme="minorEastAsia"/>
          <w:color w:val="7030A0"/>
          <w:sz w:val="24"/>
          <w:szCs w:val="32"/>
          <w:highlight w:val="none"/>
        </w:rPr>
        <w:t>付剩余</w:t>
      </w:r>
      <w:r>
        <w:rPr>
          <w:rFonts w:hint="eastAsia" w:asciiTheme="minorEastAsia" w:hAnsiTheme="minorEastAsia" w:eastAsiaTheme="minorEastAsia" w:cstheme="minorEastAsia"/>
          <w:color w:val="7030A0"/>
          <w:sz w:val="24"/>
          <w:szCs w:val="32"/>
          <w:highlight w:val="none"/>
          <w:lang w:val="en-US" w:eastAsia="zh-CN"/>
        </w:rPr>
        <w:t>部分</w:t>
      </w:r>
      <w:r>
        <w:rPr>
          <w:rFonts w:hint="eastAsia" w:asciiTheme="minorEastAsia" w:hAnsiTheme="minorEastAsia" w:eastAsiaTheme="minorEastAsia" w:cstheme="minorEastAsia"/>
          <w:color w:val="7030A0"/>
          <w:sz w:val="24"/>
          <w:szCs w:val="32"/>
          <w:highlight w:val="none"/>
        </w:rPr>
        <w:t>。</w:t>
      </w:r>
    </w:p>
    <w:p w14:paraId="0563DB77">
      <w:pPr>
        <w:spacing w:line="360" w:lineRule="auto"/>
        <w:ind w:firstLine="480" w:firstLineChars="200"/>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color w:val="auto"/>
          <w:sz w:val="24"/>
          <w:szCs w:val="32"/>
          <w:highlight w:val="none"/>
        </w:rPr>
        <w:t>八</w:t>
      </w:r>
      <w:r>
        <w:rPr>
          <w:rFonts w:hint="eastAsia" w:asciiTheme="minorEastAsia" w:hAnsiTheme="minorEastAsia" w:eastAsiaTheme="minorEastAsia" w:cstheme="minorEastAsia"/>
          <w:b/>
          <w:bCs/>
          <w:color w:val="auto"/>
          <w:sz w:val="24"/>
          <w:szCs w:val="32"/>
          <w:highlight w:val="none"/>
        </w:rPr>
        <w:t>、采购单位、采购单位地址、项目联系人及联系电话</w:t>
      </w:r>
    </w:p>
    <w:p w14:paraId="65B11DE3">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1、采购单位：</w:t>
      </w:r>
      <w:r>
        <w:rPr>
          <w:rFonts w:hint="eastAsia" w:asciiTheme="minorEastAsia" w:hAnsiTheme="minorEastAsia" w:eastAsiaTheme="minorEastAsia" w:cstheme="minorEastAsia"/>
          <w:color w:val="auto"/>
          <w:sz w:val="24"/>
          <w:szCs w:val="32"/>
          <w:highlight w:val="none"/>
          <w:lang w:val="en-US" w:eastAsia="zh-CN"/>
        </w:rPr>
        <w:t>府谷能源投资集团有限公司</w:t>
      </w:r>
    </w:p>
    <w:p w14:paraId="4655FCA8">
      <w:pPr>
        <w:spacing w:line="360" w:lineRule="auto"/>
        <w:ind w:firstLine="480" w:firstLineChars="200"/>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rPr>
        <w:t>2、采购单位地址：</w:t>
      </w:r>
      <w:r>
        <w:rPr>
          <w:rFonts w:hint="eastAsia" w:asciiTheme="minorEastAsia" w:hAnsiTheme="minorEastAsia" w:eastAsiaTheme="minorEastAsia" w:cstheme="minorEastAsia"/>
          <w:color w:val="auto"/>
          <w:sz w:val="24"/>
          <w:szCs w:val="32"/>
          <w:highlight w:val="none"/>
          <w:lang w:val="en-US" w:eastAsia="zh-CN"/>
        </w:rPr>
        <w:t>陕西省榆林市府谷县新区</w:t>
      </w:r>
    </w:p>
    <w:p w14:paraId="2D087485">
      <w:pPr>
        <w:spacing w:line="360" w:lineRule="auto"/>
        <w:ind w:firstLine="480" w:firstLineChars="200"/>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rPr>
        <w:t>3、项目联系人：</w:t>
      </w:r>
      <w:r>
        <w:rPr>
          <w:rFonts w:hint="eastAsia" w:asciiTheme="minorEastAsia" w:hAnsiTheme="minorEastAsia" w:eastAsiaTheme="minorEastAsia" w:cstheme="minorEastAsia"/>
          <w:color w:val="auto"/>
          <w:sz w:val="24"/>
          <w:szCs w:val="32"/>
          <w:highlight w:val="none"/>
          <w:lang w:val="en-US" w:eastAsia="zh-CN"/>
        </w:rPr>
        <w:t xml:space="preserve">李先生     </w:t>
      </w:r>
      <w:r>
        <w:rPr>
          <w:rFonts w:hint="eastAsia" w:asciiTheme="minorEastAsia" w:hAnsiTheme="minorEastAsia" w:eastAsiaTheme="minorEastAsia" w:cstheme="minorEastAsia"/>
          <w:color w:val="auto"/>
          <w:sz w:val="24"/>
          <w:szCs w:val="32"/>
          <w:highlight w:val="none"/>
        </w:rPr>
        <w:t xml:space="preserve"> </w:t>
      </w:r>
      <w:r>
        <w:rPr>
          <w:rFonts w:hint="eastAsia" w:asciiTheme="minorEastAsia" w:hAnsiTheme="minorEastAsia" w:eastAsiaTheme="minorEastAsia" w:cstheme="minorEastAsia"/>
          <w:color w:val="auto"/>
          <w:sz w:val="24"/>
          <w:szCs w:val="32"/>
          <w:highlight w:val="none"/>
          <w:lang w:val="en-US" w:eastAsia="zh-CN"/>
        </w:rPr>
        <w:t xml:space="preserve"> </w:t>
      </w:r>
      <w:r>
        <w:rPr>
          <w:rFonts w:hint="eastAsia" w:asciiTheme="minorEastAsia" w:hAnsiTheme="minorEastAsia" w:eastAsiaTheme="minorEastAsia" w:cstheme="minorEastAsia"/>
          <w:color w:val="auto"/>
          <w:sz w:val="24"/>
          <w:szCs w:val="32"/>
          <w:highlight w:val="none"/>
        </w:rPr>
        <w:t>联系电话：</w:t>
      </w:r>
      <w:r>
        <w:rPr>
          <w:rFonts w:hint="eastAsia" w:asciiTheme="minorEastAsia" w:hAnsiTheme="minorEastAsia" w:eastAsiaTheme="minorEastAsia" w:cstheme="minorEastAsia"/>
          <w:color w:val="auto"/>
          <w:sz w:val="24"/>
          <w:szCs w:val="32"/>
          <w:highlight w:val="none"/>
          <w:lang w:val="en-US" w:eastAsia="zh-CN"/>
        </w:rPr>
        <w:t>0912-3708109</w:t>
      </w:r>
    </w:p>
    <w:p w14:paraId="638A4822">
      <w:pPr>
        <w:ind w:firstLine="3520" w:firstLineChars="1100"/>
        <w:rPr>
          <w:rFonts w:hint="eastAsia" w:asciiTheme="minorEastAsia" w:hAnsiTheme="minorEastAsia" w:eastAsiaTheme="minorEastAsia" w:cstheme="minorEastAsia"/>
          <w:color w:val="auto"/>
          <w:sz w:val="32"/>
          <w:szCs w:val="32"/>
          <w:highlight w:val="none"/>
        </w:rPr>
      </w:pPr>
    </w:p>
    <w:p w14:paraId="20FE849B">
      <w:pPr>
        <w:pStyle w:val="14"/>
        <w:rPr>
          <w:rFonts w:hint="eastAsia" w:asciiTheme="minorEastAsia" w:hAnsiTheme="minorEastAsia" w:eastAsiaTheme="minorEastAsia" w:cstheme="minorEastAsia"/>
          <w:color w:val="auto"/>
          <w:highlight w:val="none"/>
        </w:rPr>
      </w:pPr>
    </w:p>
    <w:p w14:paraId="56A7E3D1">
      <w:pPr>
        <w:jc w:val="righ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府谷能源投资集团有限公司</w:t>
      </w:r>
    </w:p>
    <w:p w14:paraId="001E0A2E">
      <w:pPr>
        <w:tabs>
          <w:tab w:val="left" w:pos="756"/>
        </w:tabs>
        <w:jc w:val="righ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202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27</w:t>
      </w:r>
      <w:r>
        <w:rPr>
          <w:rFonts w:hint="eastAsia" w:asciiTheme="minorEastAsia" w:hAnsiTheme="minorEastAsia" w:eastAsiaTheme="minorEastAsia" w:cstheme="minorEastAsia"/>
          <w:color w:val="auto"/>
          <w:sz w:val="28"/>
          <w:szCs w:val="28"/>
          <w:highlight w:val="none"/>
        </w:rPr>
        <w:t>日</w:t>
      </w:r>
    </w:p>
    <w:p w14:paraId="2D17B7A8">
      <w:pPr>
        <w:tabs>
          <w:tab w:val="left" w:pos="756"/>
        </w:tabs>
        <w:jc w:val="both"/>
        <w:rPr>
          <w:rFonts w:hint="eastAsia" w:asciiTheme="minorEastAsia" w:hAnsiTheme="minorEastAsia" w:eastAsiaTheme="minorEastAsia" w:cstheme="minorEastAsia"/>
          <w:color w:val="auto"/>
          <w:sz w:val="24"/>
          <w:szCs w:val="24"/>
          <w:highlight w:val="none"/>
          <w:lang w:val="en-US" w:eastAsia="zh-CN"/>
        </w:rPr>
      </w:pPr>
    </w:p>
    <w:p w14:paraId="499D799D">
      <w:pPr>
        <w:tabs>
          <w:tab w:val="left" w:pos="756"/>
        </w:tabs>
        <w:jc w:val="both"/>
        <w:rPr>
          <w:rFonts w:hint="eastAsia" w:asciiTheme="minorEastAsia" w:hAnsiTheme="minorEastAsia" w:eastAsiaTheme="minorEastAsia" w:cstheme="minorEastAsia"/>
          <w:color w:val="auto"/>
          <w:sz w:val="24"/>
          <w:szCs w:val="24"/>
          <w:highlight w:val="none"/>
          <w:lang w:val="en-US" w:eastAsia="zh-CN"/>
        </w:rPr>
      </w:pPr>
    </w:p>
    <w:p w14:paraId="00C505BF">
      <w:pPr>
        <w:tabs>
          <w:tab w:val="left" w:pos="756"/>
        </w:tabs>
        <w:jc w:val="both"/>
        <w:rPr>
          <w:rFonts w:hint="eastAsia" w:asciiTheme="minorEastAsia" w:hAnsiTheme="minorEastAsia" w:eastAsiaTheme="minorEastAsia" w:cstheme="minorEastAsia"/>
          <w:color w:val="auto"/>
          <w:sz w:val="24"/>
          <w:szCs w:val="24"/>
          <w:highlight w:val="none"/>
          <w:lang w:val="en-US" w:eastAsia="zh-CN"/>
        </w:rPr>
      </w:pPr>
    </w:p>
    <w:p w14:paraId="2B91BC77">
      <w:pPr>
        <w:tabs>
          <w:tab w:val="left" w:pos="756"/>
        </w:tabs>
        <w:jc w:val="both"/>
        <w:rPr>
          <w:rFonts w:hint="eastAsia" w:asciiTheme="minorEastAsia" w:hAnsiTheme="minorEastAsia" w:eastAsiaTheme="minorEastAsia" w:cstheme="minorEastAsia"/>
          <w:color w:val="auto"/>
          <w:sz w:val="24"/>
          <w:szCs w:val="24"/>
          <w:highlight w:val="none"/>
          <w:lang w:val="en-US" w:eastAsia="zh-CN"/>
        </w:rPr>
      </w:pPr>
    </w:p>
    <w:p w14:paraId="646327A4">
      <w:pPr>
        <w:tabs>
          <w:tab w:val="left" w:pos="756"/>
        </w:tabs>
        <w:jc w:val="both"/>
        <w:rPr>
          <w:rFonts w:hint="eastAsia" w:asciiTheme="minorEastAsia" w:hAnsiTheme="minorEastAsia" w:eastAsiaTheme="minorEastAsia" w:cstheme="minorEastAsia"/>
          <w:color w:val="auto"/>
          <w:sz w:val="24"/>
          <w:szCs w:val="24"/>
          <w:highlight w:val="none"/>
          <w:lang w:val="en-US" w:eastAsia="zh-CN"/>
        </w:rPr>
      </w:pPr>
    </w:p>
    <w:p w14:paraId="30FF7A0D">
      <w:pPr>
        <w:tabs>
          <w:tab w:val="left" w:pos="756"/>
        </w:tabs>
        <w:jc w:val="both"/>
        <w:rPr>
          <w:rFonts w:hint="eastAsia" w:asciiTheme="minorEastAsia" w:hAnsiTheme="minorEastAsia" w:eastAsiaTheme="minorEastAsia" w:cstheme="minorEastAsia"/>
          <w:color w:val="FF0000"/>
          <w:sz w:val="28"/>
          <w:szCs w:val="28"/>
          <w:highlight w:val="none"/>
          <w:lang w:val="en-US" w:eastAsia="zh-CN"/>
        </w:rPr>
      </w:pPr>
    </w:p>
    <w:p w14:paraId="06A9FE2A">
      <w:pPr>
        <w:tabs>
          <w:tab w:val="left" w:pos="756"/>
        </w:tabs>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附件：预算清单及技术规范</w:t>
      </w:r>
    </w:p>
    <w:p w14:paraId="307A4619">
      <w:pPr>
        <w:ind w:firstLine="3780" w:firstLineChars="18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预算清单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497"/>
        <w:gridCol w:w="2131"/>
        <w:gridCol w:w="2131"/>
      </w:tblGrid>
      <w:tr w14:paraId="4D1E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18681D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3497" w:type="dxa"/>
            <w:vAlign w:val="top"/>
          </w:tcPr>
          <w:p w14:paraId="257832D2">
            <w:pPr>
              <w:keepNext w:val="0"/>
              <w:keepLines w:val="0"/>
              <w:pageBreakBefore w:val="0"/>
              <w:widowControl w:val="0"/>
              <w:tabs>
                <w:tab w:val="left" w:pos="756"/>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产品名称</w:t>
            </w:r>
          </w:p>
        </w:tc>
        <w:tc>
          <w:tcPr>
            <w:tcW w:w="2131" w:type="dxa"/>
            <w:vAlign w:val="top"/>
          </w:tcPr>
          <w:p w14:paraId="37821A73">
            <w:pPr>
              <w:keepNext w:val="0"/>
              <w:keepLines w:val="0"/>
              <w:pageBreakBefore w:val="0"/>
              <w:widowControl w:val="0"/>
              <w:tabs>
                <w:tab w:val="left" w:pos="756"/>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型号</w:t>
            </w:r>
          </w:p>
        </w:tc>
        <w:tc>
          <w:tcPr>
            <w:tcW w:w="2131" w:type="dxa"/>
            <w:vAlign w:val="top"/>
          </w:tcPr>
          <w:p w14:paraId="08A2DF16">
            <w:pPr>
              <w:keepNext w:val="0"/>
              <w:keepLines w:val="0"/>
              <w:pageBreakBefore w:val="0"/>
              <w:widowControl w:val="0"/>
              <w:tabs>
                <w:tab w:val="left" w:pos="756"/>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数量</w:t>
            </w:r>
          </w:p>
        </w:tc>
      </w:tr>
      <w:tr w14:paraId="4ED1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15422C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3497" w:type="dxa"/>
            <w:vAlign w:val="top"/>
          </w:tcPr>
          <w:p w14:paraId="733650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量子能供热机组</w:t>
            </w:r>
          </w:p>
        </w:tc>
        <w:tc>
          <w:tcPr>
            <w:tcW w:w="2131" w:type="dxa"/>
            <w:vAlign w:val="top"/>
          </w:tcPr>
          <w:p w14:paraId="331A18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NWS-Y120</w:t>
            </w:r>
          </w:p>
        </w:tc>
        <w:tc>
          <w:tcPr>
            <w:tcW w:w="2131" w:type="dxa"/>
            <w:vAlign w:val="top"/>
          </w:tcPr>
          <w:p w14:paraId="494917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6/台</w:t>
            </w:r>
          </w:p>
        </w:tc>
      </w:tr>
      <w:tr w14:paraId="2346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5DC383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3497" w:type="dxa"/>
          </w:tcPr>
          <w:p w14:paraId="2B52E9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循环水泵</w:t>
            </w:r>
          </w:p>
        </w:tc>
        <w:tc>
          <w:tcPr>
            <w:tcW w:w="2131" w:type="dxa"/>
          </w:tcPr>
          <w:p w14:paraId="1051E3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TD80/32</w:t>
            </w:r>
          </w:p>
        </w:tc>
        <w:tc>
          <w:tcPr>
            <w:tcW w:w="2131" w:type="dxa"/>
          </w:tcPr>
          <w:p w14:paraId="71D372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4/台</w:t>
            </w:r>
          </w:p>
        </w:tc>
      </w:tr>
      <w:tr w14:paraId="18BC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7A993E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3497" w:type="dxa"/>
            <w:vAlign w:val="top"/>
          </w:tcPr>
          <w:p w14:paraId="2E6001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供暖水箱</w:t>
            </w:r>
          </w:p>
        </w:tc>
        <w:tc>
          <w:tcPr>
            <w:tcW w:w="2131" w:type="dxa"/>
            <w:vAlign w:val="top"/>
          </w:tcPr>
          <w:p w14:paraId="658604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20吨</w:t>
            </w:r>
          </w:p>
        </w:tc>
        <w:tc>
          <w:tcPr>
            <w:tcW w:w="2131" w:type="dxa"/>
            <w:vAlign w:val="top"/>
          </w:tcPr>
          <w:p w14:paraId="4D72F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1/个</w:t>
            </w:r>
          </w:p>
        </w:tc>
      </w:tr>
      <w:tr w14:paraId="1BFC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63" w:type="dxa"/>
          </w:tcPr>
          <w:p w14:paraId="016E4D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3497" w:type="dxa"/>
            <w:vAlign w:val="top"/>
          </w:tcPr>
          <w:p w14:paraId="712387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反渗透水处理</w:t>
            </w:r>
          </w:p>
        </w:tc>
        <w:tc>
          <w:tcPr>
            <w:tcW w:w="2131" w:type="dxa"/>
            <w:vAlign w:val="top"/>
          </w:tcPr>
          <w:p w14:paraId="4AA5C6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5m²/h</w:t>
            </w:r>
          </w:p>
        </w:tc>
        <w:tc>
          <w:tcPr>
            <w:tcW w:w="2131" w:type="dxa"/>
            <w:vAlign w:val="top"/>
          </w:tcPr>
          <w:p w14:paraId="3629C5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1/套</w:t>
            </w:r>
          </w:p>
        </w:tc>
      </w:tr>
      <w:tr w14:paraId="3B5F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5815CC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3497" w:type="dxa"/>
            <w:vAlign w:val="top"/>
          </w:tcPr>
          <w:p w14:paraId="02CB33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配电柜</w:t>
            </w:r>
          </w:p>
        </w:tc>
        <w:tc>
          <w:tcPr>
            <w:tcW w:w="2131" w:type="dxa"/>
            <w:vAlign w:val="top"/>
          </w:tcPr>
          <w:p w14:paraId="547CC5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380V</w:t>
            </w:r>
          </w:p>
        </w:tc>
        <w:tc>
          <w:tcPr>
            <w:tcW w:w="2131" w:type="dxa"/>
            <w:vAlign w:val="top"/>
          </w:tcPr>
          <w:p w14:paraId="4FCB5F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1/项</w:t>
            </w:r>
          </w:p>
        </w:tc>
      </w:tr>
      <w:tr w14:paraId="1ABA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2A6B50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w:t>
            </w:r>
          </w:p>
        </w:tc>
        <w:tc>
          <w:tcPr>
            <w:tcW w:w="3497" w:type="dxa"/>
            <w:vAlign w:val="top"/>
          </w:tcPr>
          <w:p w14:paraId="00D917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焊接钢管</w:t>
            </w:r>
          </w:p>
        </w:tc>
        <w:tc>
          <w:tcPr>
            <w:tcW w:w="2131" w:type="dxa"/>
            <w:vAlign w:val="top"/>
          </w:tcPr>
          <w:p w14:paraId="449B03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DN80</w:t>
            </w:r>
          </w:p>
        </w:tc>
        <w:tc>
          <w:tcPr>
            <w:tcW w:w="2131" w:type="dxa"/>
            <w:vAlign w:val="top"/>
          </w:tcPr>
          <w:p w14:paraId="2CBCB0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120米</w:t>
            </w:r>
          </w:p>
        </w:tc>
      </w:tr>
      <w:tr w14:paraId="308E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63" w:type="dxa"/>
          </w:tcPr>
          <w:p w14:paraId="66C7A8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w:t>
            </w:r>
          </w:p>
        </w:tc>
        <w:tc>
          <w:tcPr>
            <w:tcW w:w="3497" w:type="dxa"/>
            <w:vAlign w:val="top"/>
          </w:tcPr>
          <w:p w14:paraId="7341B8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槽钢</w:t>
            </w:r>
          </w:p>
        </w:tc>
        <w:tc>
          <w:tcPr>
            <w:tcW w:w="2131" w:type="dxa"/>
            <w:vAlign w:val="top"/>
          </w:tcPr>
          <w:p w14:paraId="395B46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2131" w:type="dxa"/>
            <w:vAlign w:val="top"/>
          </w:tcPr>
          <w:p w14:paraId="6D71CF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36米</w:t>
            </w:r>
          </w:p>
        </w:tc>
      </w:tr>
      <w:tr w14:paraId="185E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12C2A4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w:t>
            </w:r>
          </w:p>
        </w:tc>
        <w:tc>
          <w:tcPr>
            <w:tcW w:w="3497" w:type="dxa"/>
            <w:vAlign w:val="top"/>
          </w:tcPr>
          <w:p w14:paraId="758123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角铁</w:t>
            </w:r>
          </w:p>
        </w:tc>
        <w:tc>
          <w:tcPr>
            <w:tcW w:w="2131" w:type="dxa"/>
            <w:vAlign w:val="top"/>
          </w:tcPr>
          <w:p w14:paraId="2973D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w:t>
            </w:r>
          </w:p>
        </w:tc>
        <w:tc>
          <w:tcPr>
            <w:tcW w:w="2131" w:type="dxa"/>
            <w:vAlign w:val="top"/>
          </w:tcPr>
          <w:p w14:paraId="414D0E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80个</w:t>
            </w:r>
          </w:p>
        </w:tc>
      </w:tr>
      <w:tr w14:paraId="5578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68BB5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w:t>
            </w:r>
          </w:p>
        </w:tc>
        <w:tc>
          <w:tcPr>
            <w:tcW w:w="3497" w:type="dxa"/>
            <w:vAlign w:val="top"/>
          </w:tcPr>
          <w:p w14:paraId="158AFC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软连接</w:t>
            </w:r>
          </w:p>
        </w:tc>
        <w:tc>
          <w:tcPr>
            <w:tcW w:w="2131" w:type="dxa"/>
            <w:vAlign w:val="top"/>
          </w:tcPr>
          <w:p w14:paraId="632784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DN80</w:t>
            </w:r>
          </w:p>
        </w:tc>
        <w:tc>
          <w:tcPr>
            <w:tcW w:w="2131" w:type="dxa"/>
            <w:vAlign w:val="top"/>
          </w:tcPr>
          <w:p w14:paraId="40F862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16个</w:t>
            </w:r>
          </w:p>
        </w:tc>
      </w:tr>
      <w:tr w14:paraId="615C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56DDD2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11</w:t>
            </w:r>
          </w:p>
        </w:tc>
        <w:tc>
          <w:tcPr>
            <w:tcW w:w="3497" w:type="dxa"/>
            <w:vAlign w:val="top"/>
          </w:tcPr>
          <w:p w14:paraId="0C222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除污器</w:t>
            </w:r>
          </w:p>
        </w:tc>
        <w:tc>
          <w:tcPr>
            <w:tcW w:w="2131" w:type="dxa"/>
            <w:vAlign w:val="top"/>
          </w:tcPr>
          <w:p w14:paraId="3322C4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DN80</w:t>
            </w:r>
          </w:p>
        </w:tc>
        <w:tc>
          <w:tcPr>
            <w:tcW w:w="2131" w:type="dxa"/>
            <w:vAlign w:val="top"/>
          </w:tcPr>
          <w:p w14:paraId="59FEF5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个</w:t>
            </w:r>
          </w:p>
        </w:tc>
      </w:tr>
      <w:tr w14:paraId="45CD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2819A9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12</w:t>
            </w:r>
          </w:p>
        </w:tc>
        <w:tc>
          <w:tcPr>
            <w:tcW w:w="3497" w:type="dxa"/>
            <w:vAlign w:val="top"/>
          </w:tcPr>
          <w:p w14:paraId="1EED45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Y型过滤器</w:t>
            </w:r>
          </w:p>
        </w:tc>
        <w:tc>
          <w:tcPr>
            <w:tcW w:w="2131" w:type="dxa"/>
            <w:vAlign w:val="top"/>
          </w:tcPr>
          <w:p w14:paraId="791EE4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DN80</w:t>
            </w:r>
          </w:p>
        </w:tc>
        <w:tc>
          <w:tcPr>
            <w:tcW w:w="2131" w:type="dxa"/>
            <w:vAlign w:val="top"/>
          </w:tcPr>
          <w:p w14:paraId="4CCFA3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2个</w:t>
            </w:r>
          </w:p>
        </w:tc>
      </w:tr>
      <w:tr w14:paraId="5A7D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3CE539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13</w:t>
            </w:r>
          </w:p>
        </w:tc>
        <w:tc>
          <w:tcPr>
            <w:tcW w:w="3497" w:type="dxa"/>
          </w:tcPr>
          <w:p w14:paraId="4277AE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单向阀</w:t>
            </w:r>
          </w:p>
        </w:tc>
        <w:tc>
          <w:tcPr>
            <w:tcW w:w="2131" w:type="dxa"/>
          </w:tcPr>
          <w:p w14:paraId="60554F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DN80</w:t>
            </w:r>
          </w:p>
        </w:tc>
        <w:tc>
          <w:tcPr>
            <w:tcW w:w="2131" w:type="dxa"/>
          </w:tcPr>
          <w:p w14:paraId="0EA76B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4个</w:t>
            </w:r>
          </w:p>
        </w:tc>
      </w:tr>
      <w:tr w14:paraId="40EE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34E1F0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14</w:t>
            </w:r>
          </w:p>
        </w:tc>
        <w:tc>
          <w:tcPr>
            <w:tcW w:w="3497" w:type="dxa"/>
          </w:tcPr>
          <w:p w14:paraId="7A972B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涡轮法兰蝶阀</w:t>
            </w:r>
          </w:p>
        </w:tc>
        <w:tc>
          <w:tcPr>
            <w:tcW w:w="2131" w:type="dxa"/>
          </w:tcPr>
          <w:p w14:paraId="695F32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DN80</w:t>
            </w:r>
          </w:p>
        </w:tc>
        <w:tc>
          <w:tcPr>
            <w:tcW w:w="2131" w:type="dxa"/>
          </w:tcPr>
          <w:p w14:paraId="40B2A9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20个</w:t>
            </w:r>
          </w:p>
        </w:tc>
      </w:tr>
      <w:tr w14:paraId="6FE8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00E6A6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15</w:t>
            </w:r>
          </w:p>
        </w:tc>
        <w:tc>
          <w:tcPr>
            <w:tcW w:w="3497" w:type="dxa"/>
          </w:tcPr>
          <w:p w14:paraId="4ED35B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涡轮法兰蝶阀</w:t>
            </w:r>
          </w:p>
        </w:tc>
        <w:tc>
          <w:tcPr>
            <w:tcW w:w="2131" w:type="dxa"/>
          </w:tcPr>
          <w:p w14:paraId="77CF96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DN50</w:t>
            </w:r>
          </w:p>
        </w:tc>
        <w:tc>
          <w:tcPr>
            <w:tcW w:w="2131" w:type="dxa"/>
          </w:tcPr>
          <w:p w14:paraId="3BDF5C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12个</w:t>
            </w:r>
          </w:p>
        </w:tc>
      </w:tr>
      <w:tr w14:paraId="3D19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66549B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16</w:t>
            </w:r>
          </w:p>
        </w:tc>
        <w:tc>
          <w:tcPr>
            <w:tcW w:w="3497" w:type="dxa"/>
          </w:tcPr>
          <w:p w14:paraId="2A4505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弯头</w:t>
            </w:r>
          </w:p>
        </w:tc>
        <w:tc>
          <w:tcPr>
            <w:tcW w:w="2131" w:type="dxa"/>
          </w:tcPr>
          <w:p w14:paraId="4879DB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DN80</w:t>
            </w:r>
          </w:p>
        </w:tc>
        <w:tc>
          <w:tcPr>
            <w:tcW w:w="2131" w:type="dxa"/>
          </w:tcPr>
          <w:p w14:paraId="5C5856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40个</w:t>
            </w:r>
          </w:p>
        </w:tc>
      </w:tr>
      <w:tr w14:paraId="320D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6B8C96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17</w:t>
            </w:r>
          </w:p>
        </w:tc>
        <w:tc>
          <w:tcPr>
            <w:tcW w:w="3497" w:type="dxa"/>
          </w:tcPr>
          <w:p w14:paraId="2A141A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三通</w:t>
            </w:r>
          </w:p>
        </w:tc>
        <w:tc>
          <w:tcPr>
            <w:tcW w:w="2131" w:type="dxa"/>
          </w:tcPr>
          <w:p w14:paraId="192DBA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DN80</w:t>
            </w:r>
          </w:p>
        </w:tc>
        <w:tc>
          <w:tcPr>
            <w:tcW w:w="2131" w:type="dxa"/>
          </w:tcPr>
          <w:p w14:paraId="0CF708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2个</w:t>
            </w:r>
          </w:p>
        </w:tc>
      </w:tr>
      <w:tr w14:paraId="65B6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09A77F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18</w:t>
            </w:r>
          </w:p>
        </w:tc>
        <w:tc>
          <w:tcPr>
            <w:tcW w:w="3497" w:type="dxa"/>
          </w:tcPr>
          <w:p w14:paraId="0B597E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桥架</w:t>
            </w:r>
          </w:p>
        </w:tc>
        <w:tc>
          <w:tcPr>
            <w:tcW w:w="2131" w:type="dxa"/>
          </w:tcPr>
          <w:p w14:paraId="6D82AF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200*150</w:t>
            </w:r>
          </w:p>
        </w:tc>
        <w:tc>
          <w:tcPr>
            <w:tcW w:w="2131" w:type="dxa"/>
          </w:tcPr>
          <w:p w14:paraId="59E645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30米</w:t>
            </w:r>
          </w:p>
        </w:tc>
      </w:tr>
      <w:tr w14:paraId="3854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1B1038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19</w:t>
            </w:r>
          </w:p>
        </w:tc>
        <w:tc>
          <w:tcPr>
            <w:tcW w:w="3497" w:type="dxa"/>
          </w:tcPr>
          <w:p w14:paraId="646063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电缆</w:t>
            </w:r>
          </w:p>
        </w:tc>
        <w:tc>
          <w:tcPr>
            <w:tcW w:w="2131" w:type="dxa"/>
          </w:tcPr>
          <w:p w14:paraId="7CA4D8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YJV3*95+1</w:t>
            </w:r>
          </w:p>
        </w:tc>
        <w:tc>
          <w:tcPr>
            <w:tcW w:w="2131" w:type="dxa"/>
          </w:tcPr>
          <w:p w14:paraId="021950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80米</w:t>
            </w:r>
          </w:p>
        </w:tc>
      </w:tr>
      <w:tr w14:paraId="3E96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7507C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20</w:t>
            </w:r>
          </w:p>
        </w:tc>
        <w:tc>
          <w:tcPr>
            <w:tcW w:w="3497" w:type="dxa"/>
          </w:tcPr>
          <w:p w14:paraId="595F97A4">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电缆</w:t>
            </w:r>
          </w:p>
        </w:tc>
        <w:tc>
          <w:tcPr>
            <w:tcW w:w="2131" w:type="dxa"/>
          </w:tcPr>
          <w:p w14:paraId="21156CBB">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BV3*10</w:t>
            </w:r>
          </w:p>
        </w:tc>
        <w:tc>
          <w:tcPr>
            <w:tcW w:w="2131" w:type="dxa"/>
          </w:tcPr>
          <w:p w14:paraId="50F0D4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60米</w:t>
            </w:r>
          </w:p>
        </w:tc>
      </w:tr>
      <w:tr w14:paraId="3ACD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603CD9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21</w:t>
            </w:r>
          </w:p>
        </w:tc>
        <w:tc>
          <w:tcPr>
            <w:tcW w:w="3497" w:type="dxa"/>
          </w:tcPr>
          <w:p w14:paraId="68C2F7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保温管道</w:t>
            </w:r>
          </w:p>
        </w:tc>
        <w:tc>
          <w:tcPr>
            <w:tcW w:w="2131" w:type="dxa"/>
          </w:tcPr>
          <w:p w14:paraId="509557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DN80</w:t>
            </w:r>
          </w:p>
        </w:tc>
        <w:tc>
          <w:tcPr>
            <w:tcW w:w="2131" w:type="dxa"/>
          </w:tcPr>
          <w:p w14:paraId="5E0760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120米</w:t>
            </w:r>
          </w:p>
        </w:tc>
      </w:tr>
      <w:tr w14:paraId="0349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092AC3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22</w:t>
            </w:r>
          </w:p>
        </w:tc>
        <w:tc>
          <w:tcPr>
            <w:tcW w:w="3497" w:type="dxa"/>
          </w:tcPr>
          <w:p w14:paraId="315F6C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机械及辅材</w:t>
            </w:r>
          </w:p>
        </w:tc>
        <w:tc>
          <w:tcPr>
            <w:tcW w:w="2131" w:type="dxa"/>
          </w:tcPr>
          <w:p w14:paraId="5E8C17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c>
          <w:tcPr>
            <w:tcW w:w="2131" w:type="dxa"/>
          </w:tcPr>
          <w:p w14:paraId="631288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1/项</w:t>
            </w:r>
          </w:p>
        </w:tc>
      </w:tr>
      <w:tr w14:paraId="1182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35380D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23</w:t>
            </w:r>
          </w:p>
        </w:tc>
        <w:tc>
          <w:tcPr>
            <w:tcW w:w="3497" w:type="dxa"/>
          </w:tcPr>
          <w:p w14:paraId="3F6D17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人工</w:t>
            </w:r>
          </w:p>
        </w:tc>
        <w:tc>
          <w:tcPr>
            <w:tcW w:w="2131" w:type="dxa"/>
          </w:tcPr>
          <w:p w14:paraId="119614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c>
          <w:tcPr>
            <w:tcW w:w="2131" w:type="dxa"/>
          </w:tcPr>
          <w:p w14:paraId="6DB50A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1/项</w:t>
            </w:r>
          </w:p>
        </w:tc>
      </w:tr>
      <w:tr w14:paraId="3F2C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140A21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24</w:t>
            </w:r>
          </w:p>
        </w:tc>
        <w:tc>
          <w:tcPr>
            <w:tcW w:w="3497" w:type="dxa"/>
          </w:tcPr>
          <w:p w14:paraId="41A57B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运费</w:t>
            </w:r>
          </w:p>
        </w:tc>
        <w:tc>
          <w:tcPr>
            <w:tcW w:w="2131" w:type="dxa"/>
          </w:tcPr>
          <w:p w14:paraId="627870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c>
          <w:tcPr>
            <w:tcW w:w="2131" w:type="dxa"/>
          </w:tcPr>
          <w:p w14:paraId="73B8B0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1项</w:t>
            </w:r>
          </w:p>
        </w:tc>
      </w:tr>
      <w:tr w14:paraId="5B58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3F692E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25</w:t>
            </w:r>
          </w:p>
        </w:tc>
        <w:tc>
          <w:tcPr>
            <w:tcW w:w="3497" w:type="dxa"/>
          </w:tcPr>
          <w:p w14:paraId="4E8BF1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小计</w:t>
            </w:r>
          </w:p>
        </w:tc>
        <w:tc>
          <w:tcPr>
            <w:tcW w:w="2131" w:type="dxa"/>
          </w:tcPr>
          <w:p w14:paraId="10BF8E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c>
          <w:tcPr>
            <w:tcW w:w="2131" w:type="dxa"/>
          </w:tcPr>
          <w:p w14:paraId="55C39B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r>
      <w:tr w14:paraId="2D31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51D6F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26</w:t>
            </w:r>
          </w:p>
        </w:tc>
        <w:tc>
          <w:tcPr>
            <w:tcW w:w="3497" w:type="dxa"/>
          </w:tcPr>
          <w:p w14:paraId="25481C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税点</w:t>
            </w:r>
          </w:p>
        </w:tc>
        <w:tc>
          <w:tcPr>
            <w:tcW w:w="2131" w:type="dxa"/>
          </w:tcPr>
          <w:p w14:paraId="31F57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c>
          <w:tcPr>
            <w:tcW w:w="2131" w:type="dxa"/>
          </w:tcPr>
          <w:p w14:paraId="6C31A9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r>
      <w:tr w14:paraId="75D2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2402E9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27</w:t>
            </w:r>
          </w:p>
        </w:tc>
        <w:tc>
          <w:tcPr>
            <w:tcW w:w="3497" w:type="dxa"/>
          </w:tcPr>
          <w:p w14:paraId="60708D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总计</w:t>
            </w:r>
          </w:p>
        </w:tc>
        <w:tc>
          <w:tcPr>
            <w:tcW w:w="2131" w:type="dxa"/>
          </w:tcPr>
          <w:p w14:paraId="2D575B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c>
          <w:tcPr>
            <w:tcW w:w="2131" w:type="dxa"/>
          </w:tcPr>
          <w:p w14:paraId="493E83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vertAlign w:val="baseline"/>
              </w:rPr>
            </w:pPr>
          </w:p>
        </w:tc>
      </w:tr>
    </w:tbl>
    <w:p w14:paraId="51BAD5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p>
    <w:p w14:paraId="740FCE26">
      <w:pPr>
        <w:keepNext w:val="0"/>
        <w:keepLines w:val="0"/>
        <w:pageBreakBefore w:val="0"/>
        <w:widowControl w:val="0"/>
        <w:tabs>
          <w:tab w:val="left" w:pos="756"/>
        </w:tabs>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FF0000"/>
          <w:sz w:val="28"/>
          <w:szCs w:val="28"/>
          <w:highlight w:val="none"/>
          <w:lang w:val="en-US" w:eastAsia="zh-CN"/>
        </w:rPr>
      </w:pPr>
    </w:p>
    <w:p w14:paraId="20A83D80">
      <w:pPr>
        <w:tabs>
          <w:tab w:val="left" w:pos="756"/>
        </w:tabs>
        <w:jc w:val="both"/>
        <w:rPr>
          <w:rFonts w:hint="eastAsia" w:asciiTheme="minorEastAsia" w:hAnsiTheme="minorEastAsia" w:eastAsiaTheme="minorEastAsia" w:cstheme="minorEastAsia"/>
          <w:color w:val="FF0000"/>
          <w:sz w:val="28"/>
          <w:szCs w:val="28"/>
          <w:highlight w:val="none"/>
          <w:lang w:val="en-US" w:eastAsia="zh-CN"/>
        </w:rPr>
      </w:pPr>
    </w:p>
    <w:p w14:paraId="46A4D39C">
      <w:pPr>
        <w:tabs>
          <w:tab w:val="left" w:pos="756"/>
        </w:tabs>
        <w:jc w:val="both"/>
        <w:rPr>
          <w:rFonts w:hint="eastAsia" w:asciiTheme="minorEastAsia" w:hAnsiTheme="minorEastAsia" w:eastAsiaTheme="minorEastAsia" w:cstheme="minorEastAsia"/>
          <w:color w:val="FF0000"/>
          <w:sz w:val="28"/>
          <w:szCs w:val="28"/>
          <w:highlight w:val="none"/>
          <w:lang w:val="en-US" w:eastAsia="zh-CN"/>
        </w:rPr>
      </w:pPr>
    </w:p>
    <w:p w14:paraId="4630C2B5">
      <w:pPr>
        <w:tabs>
          <w:tab w:val="left" w:pos="756"/>
        </w:tabs>
        <w:jc w:val="both"/>
        <w:rPr>
          <w:rFonts w:hint="eastAsia" w:asciiTheme="minorEastAsia" w:hAnsiTheme="minorEastAsia" w:eastAsiaTheme="minorEastAsia" w:cstheme="minorEastAsia"/>
          <w:color w:val="FF0000"/>
          <w:sz w:val="28"/>
          <w:szCs w:val="28"/>
          <w:highlight w:val="none"/>
          <w:lang w:val="en-US" w:eastAsia="zh-CN"/>
        </w:rPr>
      </w:pPr>
    </w:p>
    <w:p w14:paraId="4AEEF8CF">
      <w:pPr>
        <w:tabs>
          <w:tab w:val="left" w:pos="756"/>
        </w:tabs>
        <w:jc w:val="both"/>
        <w:rPr>
          <w:rFonts w:hint="eastAsia" w:asciiTheme="minorEastAsia" w:hAnsiTheme="minorEastAsia" w:eastAsiaTheme="minorEastAsia" w:cstheme="minorEastAsia"/>
          <w:color w:val="FF0000"/>
          <w:sz w:val="28"/>
          <w:szCs w:val="28"/>
          <w:highlight w:val="none"/>
          <w:lang w:val="en-US" w:eastAsia="zh-CN"/>
        </w:rPr>
      </w:pPr>
    </w:p>
    <w:p w14:paraId="1AF3A1C0">
      <w:pPr>
        <w:tabs>
          <w:tab w:val="left" w:pos="756"/>
        </w:tabs>
        <w:jc w:val="both"/>
        <w:rPr>
          <w:rFonts w:hint="eastAsia" w:asciiTheme="minorEastAsia" w:hAnsiTheme="minorEastAsia" w:eastAsiaTheme="minorEastAsia" w:cstheme="minorEastAsia"/>
          <w:color w:val="FF0000"/>
          <w:sz w:val="28"/>
          <w:szCs w:val="28"/>
          <w:highlight w:val="none"/>
          <w:lang w:val="en-US" w:eastAsia="zh-CN"/>
        </w:rPr>
      </w:pPr>
    </w:p>
    <w:p w14:paraId="6DE1BF68">
      <w:pPr>
        <w:pStyle w:val="8"/>
        <w:ind w:firstLine="0" w:firstLineChars="0"/>
        <w:rPr>
          <w:rFonts w:hint="eastAsia" w:asciiTheme="minorEastAsia" w:hAnsiTheme="minorEastAsia" w:eastAsiaTheme="minorEastAsia" w:cstheme="minorEastAsia"/>
          <w:b/>
          <w:bCs w:val="0"/>
          <w:sz w:val="21"/>
          <w:lang w:val="en-US" w:eastAsia="zh-CN"/>
        </w:rPr>
      </w:pPr>
      <w:r>
        <w:rPr>
          <w:rFonts w:hint="eastAsia" w:asciiTheme="minorEastAsia" w:hAnsiTheme="minorEastAsia" w:eastAsiaTheme="minorEastAsia" w:cstheme="minorEastAsia"/>
          <w:b/>
          <w:bCs w:val="0"/>
          <w:sz w:val="21"/>
          <w:lang w:val="en-US" w:eastAsia="zh-CN"/>
        </w:rPr>
        <w:t>技术规范</w:t>
      </w:r>
    </w:p>
    <w:p w14:paraId="5D62920E">
      <w:pPr>
        <w:pStyle w:val="8"/>
        <w:ind w:firstLine="0" w:firstLineChars="0"/>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一、项目介绍</w:t>
      </w:r>
    </w:p>
    <w:p w14:paraId="483C5393">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shd w:val="clear" w:color="auto" w:fill="FFFFFF"/>
          <w:lang w:val="en-US" w:eastAsia="zh-CN"/>
        </w:rPr>
        <w:t>五一煤矿主井井筒，冬季为了防止进风井筒结冰，保证生产和行人安全，</w:t>
      </w:r>
      <w:r>
        <w:rPr>
          <w:rFonts w:hint="eastAsia" w:asciiTheme="minorEastAsia" w:hAnsiTheme="minorEastAsia" w:eastAsiaTheme="minorEastAsia" w:cstheme="minorEastAsia"/>
          <w:szCs w:val="21"/>
          <w:shd w:val="clear" w:color="auto" w:fill="FFFFFF"/>
        </w:rPr>
        <w:t>煤矿积极响应国家环保政策，提高煤矿环保要求，改善大气污染，</w:t>
      </w:r>
      <w:r>
        <w:rPr>
          <w:rFonts w:hint="eastAsia" w:asciiTheme="minorEastAsia" w:hAnsiTheme="minorEastAsia" w:eastAsiaTheme="minorEastAsia" w:cstheme="minorEastAsia"/>
          <w:szCs w:val="21"/>
          <w:shd w:val="clear" w:color="auto" w:fill="FFFFFF"/>
          <w:lang w:val="en-US" w:eastAsia="zh-CN"/>
        </w:rPr>
        <w:t>使用</w:t>
      </w:r>
      <w:r>
        <w:rPr>
          <w:rFonts w:hint="eastAsia" w:asciiTheme="minorEastAsia" w:hAnsiTheme="minorEastAsia" w:eastAsiaTheme="minorEastAsia" w:cstheme="minorEastAsia"/>
          <w:szCs w:val="21"/>
          <w:shd w:val="clear" w:color="auto" w:fill="FFFFFF"/>
        </w:rPr>
        <w:t>新型环保NWS量子能供热机组设备，零污染、零排放、零噪音。</w:t>
      </w:r>
    </w:p>
    <w:p w14:paraId="5F0B0F73">
      <w:pPr>
        <w:pStyle w:val="7"/>
        <w:shd w:val="clear" w:color="auto" w:fill="FFFFFF"/>
        <w:spacing w:before="0" w:beforeAutospacing="0" w:after="0" w:afterAutospacing="0" w:line="360" w:lineRule="auto"/>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b/>
          <w:bCs/>
          <w:color w:val="000000"/>
          <w:sz w:val="21"/>
          <w:szCs w:val="21"/>
          <w:shd w:val="clear" w:color="auto" w:fill="FFFFFF"/>
          <w:lang w:eastAsia="zh-CN"/>
        </w:rPr>
        <w:t>（</w:t>
      </w:r>
      <w:r>
        <w:rPr>
          <w:rFonts w:hint="eastAsia" w:asciiTheme="minorEastAsia" w:hAnsiTheme="minorEastAsia" w:eastAsiaTheme="minorEastAsia" w:cstheme="minorEastAsia"/>
          <w:b/>
          <w:bCs/>
          <w:color w:val="000000"/>
          <w:sz w:val="21"/>
          <w:szCs w:val="21"/>
          <w:shd w:val="clear" w:color="auto" w:fill="FFFFFF"/>
          <w:lang w:val="en-US" w:eastAsia="zh-CN"/>
        </w:rPr>
        <w:t>一</w:t>
      </w:r>
      <w:r>
        <w:rPr>
          <w:rFonts w:hint="eastAsia" w:asciiTheme="minorEastAsia" w:hAnsiTheme="minorEastAsia" w:eastAsiaTheme="minorEastAsia" w:cstheme="minorEastAsia"/>
          <w:b/>
          <w:bCs/>
          <w:color w:val="000000"/>
          <w:sz w:val="21"/>
          <w:szCs w:val="21"/>
          <w:shd w:val="clear" w:color="auto" w:fill="FFFFFF"/>
          <w:lang w:eastAsia="zh-CN"/>
        </w:rPr>
        <w:t>）</w:t>
      </w:r>
      <w:r>
        <w:rPr>
          <w:rFonts w:hint="eastAsia" w:asciiTheme="minorEastAsia" w:hAnsiTheme="minorEastAsia" w:eastAsiaTheme="minorEastAsia" w:cstheme="minorEastAsia"/>
          <w:b/>
          <w:bCs/>
          <w:color w:val="000000"/>
          <w:sz w:val="21"/>
          <w:szCs w:val="21"/>
          <w:shd w:val="clear" w:color="auto" w:fill="FFFFFF"/>
          <w:lang w:val="en-US" w:eastAsia="zh-CN"/>
        </w:rPr>
        <w:t>设计条件</w:t>
      </w:r>
      <w:r>
        <w:rPr>
          <w:rFonts w:hint="eastAsia" w:asciiTheme="minorEastAsia" w:hAnsiTheme="minorEastAsia" w:eastAsiaTheme="minorEastAsia" w:cstheme="minorEastAsia"/>
          <w:b/>
          <w:bCs/>
          <w:color w:val="000000"/>
          <w:sz w:val="21"/>
          <w:szCs w:val="21"/>
          <w:shd w:val="clear" w:color="auto" w:fill="FFFFFF"/>
        </w:rPr>
        <w:t>：</w:t>
      </w:r>
      <w:r>
        <w:rPr>
          <w:rFonts w:hint="eastAsia" w:asciiTheme="minorEastAsia" w:hAnsiTheme="minorEastAsia" w:eastAsiaTheme="minorEastAsia" w:cstheme="minorEastAsia"/>
          <w:b/>
          <w:bCs/>
          <w:color w:val="000000"/>
          <w:sz w:val="21"/>
          <w:szCs w:val="21"/>
          <w:shd w:val="clear" w:color="auto" w:fill="FFFFFF"/>
          <w:lang w:val="en-US" w:eastAsia="zh-CN"/>
        </w:rPr>
        <w:t>主井井口、井筒为满足冬季供热需满足以下条件的井口热风机组</w:t>
      </w:r>
    </w:p>
    <w:p w14:paraId="7DD3FCA4">
      <w:pPr>
        <w:pStyle w:val="7"/>
        <w:shd w:val="clear" w:color="auto" w:fill="FFFFFF"/>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制热量：1575KW</w:t>
      </w:r>
    </w:p>
    <w:p w14:paraId="5BF687BA">
      <w:pPr>
        <w:pStyle w:val="7"/>
        <w:shd w:val="clear" w:color="auto" w:fill="FFFFFF"/>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供热热媒：0.3Mpa饱和热水，温度75℃以上，出水温度40℃</w:t>
      </w:r>
    </w:p>
    <w:p w14:paraId="0D1F2106">
      <w:pPr>
        <w:pStyle w:val="7"/>
        <w:shd w:val="clear" w:color="auto" w:fill="FFFFFF"/>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极寒温度：-25℃</w:t>
      </w:r>
    </w:p>
    <w:p w14:paraId="4115ADAD">
      <w:pPr>
        <w:pStyle w:val="7"/>
        <w:shd w:val="clear" w:color="auto" w:fill="FFFFFF"/>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管束：不锈钢管轧制铝管，25*4.0（壁厚）</w:t>
      </w:r>
    </w:p>
    <w:p w14:paraId="0175DFA7">
      <w:pPr>
        <w:pStyle w:val="7"/>
        <w:shd w:val="clear" w:color="auto" w:fill="FFFFFF"/>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防爆风机型号：风量：60000m³/h，电机功率：15KW</w:t>
      </w:r>
    </w:p>
    <w:p w14:paraId="09D216A6">
      <w:pPr>
        <w:pStyle w:val="7"/>
        <w:shd w:val="clear" w:color="auto" w:fill="FFFFFF"/>
        <w:spacing w:before="0" w:beforeAutospacing="0" w:after="0" w:afterAutospacing="0" w:line="360" w:lineRule="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color w:val="000000"/>
          <w:sz w:val="21"/>
          <w:szCs w:val="21"/>
          <w:shd w:val="clear" w:color="auto" w:fill="FFFFFF"/>
          <w:lang w:val="en-US" w:eastAsia="zh-CN"/>
        </w:rPr>
        <w:t>（二）设计方案：</w:t>
      </w:r>
      <w:r>
        <w:rPr>
          <w:rFonts w:hint="eastAsia" w:asciiTheme="minorEastAsia" w:hAnsiTheme="minorEastAsia" w:eastAsiaTheme="minorEastAsia" w:cstheme="minorEastAsia"/>
          <w:sz w:val="21"/>
        </w:rPr>
        <w:t>进口保温要求热水温度不低于75℃，冷热风混合后送入井筒，保证井筒温度不低于2度。设计理念，本着节约、减少投资为原则，</w:t>
      </w:r>
      <w:r>
        <w:rPr>
          <w:rFonts w:hint="eastAsia" w:asciiTheme="minorEastAsia" w:hAnsiTheme="minorEastAsia" w:eastAsiaTheme="minorEastAsia" w:cstheme="minorEastAsia"/>
          <w:sz w:val="21"/>
          <w:lang w:eastAsia="zh-CN"/>
        </w:rPr>
        <w:t>由</w:t>
      </w:r>
      <w:r>
        <w:rPr>
          <w:rFonts w:hint="eastAsia" w:asciiTheme="minorEastAsia" w:hAnsiTheme="minorEastAsia" w:eastAsiaTheme="minorEastAsia" w:cstheme="minorEastAsia"/>
          <w:sz w:val="21"/>
        </w:rPr>
        <w:t>量子能供热机组提供加热，把热水温度提升到75-85℃，输送热风机组，送入井筒。</w:t>
      </w:r>
    </w:p>
    <w:p w14:paraId="5F1E0F6D">
      <w:pPr>
        <w:numPr>
          <w:ilvl w:val="0"/>
          <w:numId w:val="2"/>
        </w:numPr>
        <w:spacing w:line="360" w:lineRule="auto"/>
        <w:jc w:val="left"/>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b/>
          <w:szCs w:val="21"/>
        </w:rPr>
        <w:t>气候条件</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sz w:val="21"/>
          <w:lang w:eastAsia="zh-CN"/>
        </w:rPr>
        <w:t>府谷县属中温带半干旱大陆性季风气候，冷暖干温四季分明；年平均气温9.1℃；最热7月，月平均气温23.9℃；最冷1月，月平均气温零下8.4℃；气温年较差32.3℃。</w:t>
      </w:r>
    </w:p>
    <w:p w14:paraId="46606793">
      <w:pPr>
        <w:spacing w:line="360" w:lineRule="auto"/>
        <w:jc w:val="left"/>
        <w:rPr>
          <w:rFonts w:hint="eastAsia" w:asciiTheme="minorEastAsia" w:hAnsiTheme="minorEastAsia" w:eastAsiaTheme="minorEastAsia" w:cstheme="minorEastAsia"/>
          <w:b/>
          <w:bCs/>
          <w:color w:val="333333"/>
          <w:szCs w:val="21"/>
          <w:shd w:val="clear" w:color="auto" w:fill="FFFFFF"/>
        </w:rPr>
      </w:pPr>
      <w:r>
        <w:rPr>
          <w:rFonts w:hint="eastAsia" w:asciiTheme="minorEastAsia" w:hAnsiTheme="minorEastAsia" w:eastAsiaTheme="minorEastAsia" w:cstheme="minorEastAsia"/>
          <w:b/>
          <w:bCs/>
          <w:color w:val="333333"/>
          <w:szCs w:val="21"/>
          <w:shd w:val="clear" w:color="auto" w:fill="FFFFFF"/>
        </w:rPr>
        <w:t>2、设计理念</w:t>
      </w:r>
    </w:p>
    <w:p w14:paraId="36DD08D8">
      <w:pPr>
        <w:spacing w:after="78" w:afterLines="25" w:line="440" w:lineRule="exact"/>
        <w:ind w:left="210" w:left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用整合设计原则，从项目立项到施工设计的整个过程，综合考虑用户的建筑物、使用工况、量子能机组规格及性能参数、系统配置及运行方式、使用和维护、节能与安全、经济效益等因素，均应符合工程系统的设计原则。</w:t>
      </w:r>
    </w:p>
    <w:p w14:paraId="3CDE033B">
      <w:pPr>
        <w:spacing w:after="78" w:afterLines="25" w:line="440" w:lineRule="exact"/>
        <w:ind w:left="210" w:left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2）力求使量子能机组使用效果最佳，最大限度降低电能消耗，从而达到节约费用开支的目的。</w:t>
      </w:r>
    </w:p>
    <w:p w14:paraId="7CA473E4">
      <w:pPr>
        <w:spacing w:after="78" w:afterLines="25" w:line="44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3）系统设计的先进性、安全性、可靠性、耐久性等综合考虑。</w:t>
      </w:r>
    </w:p>
    <w:p w14:paraId="5DDF0AE7">
      <w:pPr>
        <w:spacing w:after="78" w:afterLines="25" w:line="44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4）较好的经济效益和社会效益，为客户在环保、节能、文明用水等方面提供一套可靠的硬件设施。</w:t>
      </w:r>
    </w:p>
    <w:p w14:paraId="1F1C4A44">
      <w:pPr>
        <w:spacing w:after="78" w:afterLines="25" w:line="360" w:lineRule="auto"/>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3</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
          <w:bCs/>
          <w:szCs w:val="21"/>
          <w:lang w:val="en-US" w:eastAsia="zh-CN"/>
        </w:rPr>
        <w:t>解决</w:t>
      </w:r>
      <w:r>
        <w:rPr>
          <w:rFonts w:hint="eastAsia" w:asciiTheme="minorEastAsia" w:hAnsiTheme="minorEastAsia" w:eastAsiaTheme="minorEastAsia" w:cstheme="minorEastAsia"/>
          <w:b/>
          <w:bCs/>
          <w:szCs w:val="21"/>
        </w:rPr>
        <w:t>方案</w:t>
      </w:r>
    </w:p>
    <w:p w14:paraId="132B21BE">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设计量子能供热机组作为热源设备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把温度提升到75-85℃，设计一个储热水箱，储热水箱先有水源热泵机组加热，再通过量子能供热机组加热，把温度提升到75-85℃，有储热水箱循环系统送入热风机组。（井巷热风消耗不了的，储存在储热水箱，起到储热作用），机组与储热水箱组成一个加热系统。主井进风口加装水暖热风机组，由热风机组向巷道吹热风，与冷风混合，送入井筒，保持井筒不结冰，温度达到≥2℃以上。</w:t>
      </w:r>
    </w:p>
    <w:p w14:paraId="54AD0139">
      <w:pPr>
        <w:pStyle w:val="8"/>
        <w:spacing w:line="440" w:lineRule="exact"/>
        <w:ind w:firstLine="0" w:firstLineChars="0"/>
        <w:jc w:val="both"/>
        <w:rPr>
          <w:rFonts w:hint="eastAsia" w:asciiTheme="minorEastAsia" w:hAnsiTheme="minorEastAsia" w:eastAsiaTheme="minorEastAsia" w:cstheme="minorEastAsia"/>
          <w:b/>
          <w:bCs w:val="0"/>
          <w:sz w:val="28"/>
          <w:szCs w:val="28"/>
          <w:shd w:val="clear" w:color="auto" w:fill="FFFFFF"/>
          <w:lang w:val="en-US" w:eastAsia="zh-CN"/>
        </w:rPr>
      </w:pPr>
    </w:p>
    <w:p w14:paraId="10A23DEF">
      <w:pPr>
        <w:pStyle w:val="8"/>
        <w:spacing w:line="440" w:lineRule="exact"/>
        <w:ind w:firstLine="0" w:firstLineChars="0"/>
        <w:jc w:val="both"/>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4、井口防冻系统设计说明：</w:t>
      </w:r>
    </w:p>
    <w:p w14:paraId="300F49AC">
      <w:pPr>
        <w:spacing w:line="440" w:lineRule="exact"/>
        <w:jc w:val="left"/>
        <w:rPr>
          <w:rFonts w:hint="eastAsia" w:asciiTheme="minorEastAsia" w:hAnsiTheme="minorEastAsia" w:eastAsiaTheme="minorEastAsia" w:cstheme="minorEastAsia"/>
          <w:b w:val="0"/>
          <w:bCs/>
          <w:color w:val="000000"/>
          <w:szCs w:val="21"/>
        </w:rPr>
      </w:pPr>
      <w:r>
        <w:rPr>
          <w:rFonts w:hint="eastAsia" w:asciiTheme="minorEastAsia" w:hAnsiTheme="minorEastAsia" w:eastAsiaTheme="minorEastAsia" w:cstheme="minorEastAsia"/>
          <w:b w:val="0"/>
          <w:bCs/>
          <w:color w:val="000000"/>
          <w:szCs w:val="21"/>
          <w:lang w:val="en-US" w:eastAsia="zh-CN"/>
        </w:rPr>
        <w:t>井口制热量：1575KW，</w:t>
      </w:r>
      <w:r>
        <w:rPr>
          <w:rFonts w:hint="eastAsia" w:asciiTheme="minorEastAsia" w:hAnsiTheme="minorEastAsia" w:eastAsiaTheme="minorEastAsia" w:cstheme="minorEastAsia"/>
          <w:b w:val="0"/>
          <w:bCs/>
          <w:color w:val="000000"/>
          <w:szCs w:val="21"/>
        </w:rPr>
        <w:t>最低计算温度-25℃，混合温度2℃、</w:t>
      </w:r>
    </w:p>
    <w:p w14:paraId="43B66A21">
      <w:pPr>
        <w:spacing w:line="440" w:lineRule="exact"/>
        <w:jc w:val="left"/>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矿井井口筒防冻</w:t>
      </w:r>
    </w:p>
    <w:p w14:paraId="43A6D69F">
      <w:pPr>
        <w:spacing w:line="440" w:lineRule="exact"/>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lang w:val="en-US" w:eastAsia="zh-CN"/>
        </w:rPr>
        <w:t>1</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rPr>
        <w:t>井筒防冻设计依据</w:t>
      </w:r>
    </w:p>
    <w:p w14:paraId="77809DD1">
      <w:pPr>
        <w:spacing w:line="4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1.极端最低温度平均值：-25℃；</w:t>
      </w:r>
    </w:p>
    <w:p w14:paraId="04861D33">
      <w:pPr>
        <w:spacing w:line="4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2.采暖室外通风计算温度：-</w:t>
      </w:r>
      <w:r>
        <w:rPr>
          <w:rFonts w:hint="eastAsia" w:asciiTheme="minorEastAsia" w:hAnsiTheme="minorEastAsia" w:eastAsiaTheme="minorEastAsia" w:cstheme="minorEastAsia"/>
          <w:bCs/>
          <w:szCs w:val="21"/>
          <w:lang w:val="en-US" w:eastAsia="zh-CN"/>
        </w:rPr>
        <w:t>5.5</w:t>
      </w:r>
      <w:r>
        <w:rPr>
          <w:rFonts w:hint="eastAsia" w:asciiTheme="minorEastAsia" w:hAnsiTheme="minorEastAsia" w:eastAsiaTheme="minorEastAsia" w:cstheme="minorEastAsia"/>
          <w:bCs/>
          <w:szCs w:val="21"/>
        </w:rPr>
        <w:t>℃；</w:t>
      </w:r>
    </w:p>
    <w:p w14:paraId="1C5A1FAA">
      <w:pPr>
        <w:spacing w:line="4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3.热媒采用工作压力为75℃以上热水；</w:t>
      </w:r>
    </w:p>
    <w:p w14:paraId="4FB848F4">
      <w:pPr>
        <w:spacing w:line="440" w:lineRule="exact"/>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en-US" w:eastAsia="zh-CN"/>
        </w:rPr>
        <w:t>井口制热量：1575KW；</w:t>
      </w:r>
    </w:p>
    <w:p w14:paraId="202FCB7D">
      <w:pPr>
        <w:spacing w:line="4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5.井筒内混合温度均为2℃以上。</w:t>
      </w:r>
    </w:p>
    <w:p w14:paraId="04704F30">
      <w:pPr>
        <w:spacing w:line="440" w:lineRule="exact"/>
        <w:jc w:val="left"/>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（2）井口设备机组选型</w:t>
      </w:r>
    </w:p>
    <w:p w14:paraId="51F3A6F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1"/>
          <w:szCs w:val="21"/>
        </w:rPr>
        <w:t>根据热负荷计算，制热量总负荷：</w:t>
      </w:r>
      <w:r>
        <w:rPr>
          <w:rFonts w:hint="eastAsia" w:asciiTheme="minorEastAsia" w:hAnsiTheme="minorEastAsia" w:eastAsiaTheme="minorEastAsia" w:cstheme="minorEastAsia"/>
          <w:sz w:val="21"/>
          <w:szCs w:val="21"/>
          <w:lang w:val="en-US" w:eastAsia="zh-CN"/>
        </w:rPr>
        <w:t>1575</w:t>
      </w:r>
      <w:r>
        <w:rPr>
          <w:rFonts w:hint="eastAsia" w:asciiTheme="minorEastAsia" w:hAnsiTheme="minorEastAsia" w:eastAsiaTheme="minorEastAsia" w:cstheme="minorEastAsia"/>
          <w:sz w:val="21"/>
          <w:szCs w:val="21"/>
        </w:rPr>
        <w:t>KW。热风机组热水循环量：</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0m³/h，需求温度：75℃以上，每小时降温量：15-20℃。设计一个容积</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m³的储热水箱，由量子能机组与储热水箱循环加热，把热量储存起来，供应热风机组。采用量子能机组：NWS-Y</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0机组</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台，单台制热量</w:t>
      </w:r>
      <w:r>
        <w:rPr>
          <w:rFonts w:hint="eastAsia" w:asciiTheme="minorEastAsia" w:hAnsiTheme="minorEastAsia" w:eastAsiaTheme="minorEastAsia" w:cstheme="minorEastAsia"/>
          <w:sz w:val="21"/>
          <w:szCs w:val="21"/>
          <w:lang w:val="en-US" w:eastAsia="zh-CN"/>
        </w:rPr>
        <w:t>264</w:t>
      </w:r>
      <w:r>
        <w:rPr>
          <w:rFonts w:hint="eastAsia" w:asciiTheme="minorEastAsia" w:hAnsiTheme="minorEastAsia" w:eastAsiaTheme="minorEastAsia" w:cstheme="minorEastAsia"/>
          <w:sz w:val="21"/>
          <w:szCs w:val="21"/>
        </w:rPr>
        <w:t>KW，</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台机组总制热量：</w:t>
      </w:r>
      <w:r>
        <w:rPr>
          <w:rFonts w:hint="eastAsia" w:asciiTheme="minorEastAsia" w:hAnsiTheme="minorEastAsia" w:eastAsiaTheme="minorEastAsia" w:cstheme="minorEastAsia"/>
          <w:sz w:val="21"/>
          <w:szCs w:val="21"/>
          <w:lang w:val="en-US" w:eastAsia="zh-CN"/>
        </w:rPr>
        <w:t>1584</w:t>
      </w:r>
      <w:r>
        <w:rPr>
          <w:rFonts w:hint="eastAsia" w:asciiTheme="minorEastAsia" w:hAnsiTheme="minorEastAsia" w:eastAsiaTheme="minorEastAsia" w:cstheme="minorEastAsia"/>
          <w:sz w:val="21"/>
          <w:szCs w:val="21"/>
        </w:rPr>
        <w:t>KW，由于量子能机组能.效大于200%以上，选用</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台机组即可满足热量需求</w:t>
      </w:r>
      <w:r>
        <w:rPr>
          <w:rFonts w:hint="eastAsia" w:asciiTheme="minorEastAsia" w:hAnsiTheme="minorEastAsia" w:eastAsiaTheme="minorEastAsia" w:cstheme="minorEastAsia"/>
          <w:kern w:val="0"/>
          <w:sz w:val="21"/>
          <w:szCs w:val="21"/>
        </w:rPr>
        <w:t>，符合设计要求。 NWS-Y</w:t>
      </w:r>
      <w:r>
        <w:rPr>
          <w:rFonts w:hint="eastAsia" w:asciiTheme="minorEastAsia" w:hAnsiTheme="minorEastAsia" w:eastAsiaTheme="minorEastAsia" w:cstheme="minorEastAsia"/>
          <w:kern w:val="0"/>
          <w:sz w:val="21"/>
          <w:szCs w:val="21"/>
          <w:lang w:val="en-US" w:eastAsia="zh-CN"/>
        </w:rPr>
        <w:t>120</w:t>
      </w:r>
      <w:r>
        <w:rPr>
          <w:rFonts w:hint="eastAsia" w:asciiTheme="minorEastAsia" w:hAnsiTheme="minorEastAsia" w:eastAsiaTheme="minorEastAsia" w:cstheme="minorEastAsia"/>
          <w:kern w:val="0"/>
          <w:sz w:val="21"/>
          <w:szCs w:val="21"/>
        </w:rPr>
        <w:t>机组输入功率</w:t>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0KW，总输入功率：</w:t>
      </w:r>
      <w:r>
        <w:rPr>
          <w:rFonts w:hint="eastAsia" w:asciiTheme="minorEastAsia" w:hAnsiTheme="minorEastAsia" w:eastAsiaTheme="minorEastAsia" w:cstheme="minorEastAsia"/>
          <w:kern w:val="0"/>
          <w:sz w:val="21"/>
          <w:szCs w:val="21"/>
          <w:lang w:val="en-US" w:eastAsia="zh-CN"/>
        </w:rPr>
        <w:t>720</w:t>
      </w:r>
      <w:r>
        <w:rPr>
          <w:rFonts w:hint="eastAsia" w:asciiTheme="minorEastAsia" w:hAnsiTheme="minorEastAsia" w:eastAsiaTheme="minorEastAsia" w:cstheme="minorEastAsia"/>
          <w:kern w:val="0"/>
          <w:sz w:val="21"/>
          <w:szCs w:val="21"/>
        </w:rPr>
        <w:t>KW。</w:t>
      </w:r>
    </w:p>
    <w:p w14:paraId="394B251B">
      <w:pPr>
        <w:pStyle w:val="8"/>
        <w:keepNext w:val="0"/>
        <w:keepLines w:val="0"/>
        <w:pageBreakBefore w:val="0"/>
        <w:widowControl w:val="0"/>
        <w:kinsoku/>
        <w:wordWrap/>
        <w:overflowPunct/>
        <w:topLinePunct w:val="0"/>
        <w:autoSpaceDE/>
        <w:autoSpaceDN/>
        <w:bidi w:val="0"/>
        <w:adjustRightInd/>
        <w:snapToGrid/>
        <w:spacing w:line="480" w:lineRule="exact"/>
        <w:ind w:firstLine="2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机组输入功率：</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0KW，电压等级：380V，出水管口径：DN</w:t>
      </w:r>
      <w:r>
        <w:rPr>
          <w:rFonts w:hint="eastAsia" w:asciiTheme="minorEastAsia" w:hAnsiTheme="minorEastAsia" w:eastAsiaTheme="minorEastAsia" w:cstheme="minorEastAsia"/>
          <w:sz w:val="21"/>
          <w:szCs w:val="21"/>
          <w:lang w:val="en-US" w:eastAsia="zh-CN"/>
        </w:rPr>
        <w:t>65</w:t>
      </w:r>
      <w:r>
        <w:rPr>
          <w:rFonts w:hint="eastAsia" w:asciiTheme="minorEastAsia" w:hAnsiTheme="minorEastAsia" w:eastAsiaTheme="minorEastAsia" w:cstheme="minorEastAsia"/>
          <w:sz w:val="21"/>
          <w:szCs w:val="21"/>
        </w:rPr>
        <w:t>，机组尺寸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1650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1380</w:t>
      </w:r>
      <w:r>
        <w:rPr>
          <w:rFonts w:hint="eastAsia" w:asciiTheme="minorEastAsia" w:hAnsiTheme="minorEastAsia" w:eastAsiaTheme="minorEastAsia" w:cstheme="minorEastAsia"/>
          <w:sz w:val="21"/>
          <w:szCs w:val="21"/>
        </w:rPr>
        <w:t>*1900，出水温度：65-85℃。</w:t>
      </w:r>
    </w:p>
    <w:p w14:paraId="5D4C3BF1">
      <w:pPr>
        <w:pStyle w:val="8"/>
        <w:ind w:firstLine="0" w:firstLineChars="0"/>
        <w:rPr>
          <w:rFonts w:hint="eastAsia" w:asciiTheme="minorEastAsia" w:hAnsiTheme="minorEastAsia" w:eastAsiaTheme="minorEastAsia" w:cstheme="minorEastAsia"/>
          <w:b/>
          <w:sz w:val="21"/>
          <w:lang w:eastAsia="zh-CN"/>
        </w:rPr>
      </w:pPr>
      <w:r>
        <w:rPr>
          <w:rFonts w:hint="eastAsia" w:asciiTheme="minorEastAsia" w:hAnsiTheme="minorEastAsia" w:eastAsiaTheme="minorEastAsia" w:cstheme="minorEastAsia"/>
          <w:b/>
          <w:sz w:val="21"/>
        </w:rPr>
        <w:t>系统产品配置</w:t>
      </w:r>
      <w:r>
        <w:rPr>
          <w:rFonts w:hint="eastAsia" w:asciiTheme="minorEastAsia" w:hAnsiTheme="minorEastAsia" w:eastAsiaTheme="minorEastAsia" w:cstheme="minorEastAsia"/>
          <w:b/>
          <w:sz w:val="21"/>
          <w:lang w:eastAsia="zh-CN"/>
        </w:rPr>
        <w:t>：</w:t>
      </w:r>
    </w:p>
    <w:p w14:paraId="730C81B4">
      <w:pPr>
        <w:spacing w:line="360" w:lineRule="auto"/>
        <w:rPr>
          <w:rFonts w:hint="eastAsia" w:asciiTheme="minorEastAsia" w:hAnsiTheme="minorEastAsia" w:eastAsiaTheme="minorEastAsia" w:cstheme="minorEastAsia"/>
          <w:bCs/>
          <w:kern w:val="0"/>
          <w:sz w:val="22"/>
          <w:szCs w:val="22"/>
        </w:rPr>
      </w:pPr>
      <w:r>
        <w:rPr>
          <w:rFonts w:hint="eastAsia" w:asciiTheme="minorEastAsia" w:hAnsiTheme="minorEastAsia" w:eastAsiaTheme="minorEastAsia" w:cstheme="minorEastAsia"/>
          <w:b/>
          <w:bCs/>
          <w:kern w:val="0"/>
          <w:szCs w:val="21"/>
        </w:rPr>
        <w:t>储热水箱：</w:t>
      </w:r>
      <w:r>
        <w:rPr>
          <w:rFonts w:hint="eastAsia" w:asciiTheme="minorEastAsia" w:hAnsiTheme="minorEastAsia" w:eastAsiaTheme="minorEastAsia" w:cstheme="minorEastAsia"/>
          <w:bCs/>
          <w:kern w:val="0"/>
          <w:sz w:val="22"/>
          <w:szCs w:val="22"/>
        </w:rPr>
        <w:t>设计一个容积</w:t>
      </w:r>
      <w:r>
        <w:rPr>
          <w:rFonts w:hint="eastAsia" w:asciiTheme="minorEastAsia" w:hAnsiTheme="minorEastAsia" w:eastAsiaTheme="minorEastAsia" w:cstheme="minorEastAsia"/>
          <w:bCs/>
          <w:kern w:val="0"/>
          <w:sz w:val="22"/>
          <w:szCs w:val="22"/>
          <w:lang w:val="en-US" w:eastAsia="zh-CN"/>
        </w:rPr>
        <w:t>20</w:t>
      </w:r>
      <w:r>
        <w:rPr>
          <w:rFonts w:hint="eastAsia" w:asciiTheme="minorEastAsia" w:hAnsiTheme="minorEastAsia" w:eastAsiaTheme="minorEastAsia" w:cstheme="minorEastAsia"/>
          <w:bCs/>
          <w:kern w:val="0"/>
          <w:sz w:val="22"/>
          <w:szCs w:val="22"/>
        </w:rPr>
        <w:t>m³的储热水箱，储热水箱起到缓解管道压力对机组的冲击，系统在运行的时候，水量产生消耗，给系统补水作用。缓冲水箱采用USB不锈钢材质，为双层保温水箱。</w:t>
      </w:r>
    </w:p>
    <w:p w14:paraId="1435B699">
      <w:pPr>
        <w:pStyle w:val="3"/>
        <w:spacing w:line="360" w:lineRule="auto"/>
        <w:ind w:right="222"/>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b/>
          <w:bCs/>
          <w:kern w:val="0"/>
          <w:sz w:val="21"/>
          <w:szCs w:val="21"/>
        </w:rPr>
        <w:t>套控制系统：</w:t>
      </w:r>
      <w:r>
        <w:rPr>
          <w:rFonts w:hint="eastAsia" w:asciiTheme="minorEastAsia" w:hAnsiTheme="minorEastAsia" w:eastAsiaTheme="minorEastAsia" w:cstheme="minorEastAsia"/>
          <w:bCs/>
          <w:kern w:val="0"/>
          <w:sz w:val="21"/>
          <w:szCs w:val="21"/>
        </w:rPr>
        <w:t>量子能供热机组</w:t>
      </w:r>
      <w:r>
        <w:rPr>
          <w:rFonts w:hint="eastAsia" w:asciiTheme="minorEastAsia" w:hAnsiTheme="minorEastAsia" w:eastAsiaTheme="minorEastAsia" w:cstheme="minorEastAsia"/>
          <w:kern w:val="0"/>
          <w:sz w:val="21"/>
          <w:szCs w:val="21"/>
        </w:rPr>
        <w:t>控制系统为：机组自带触摸控制面板，自动运行，任意设定出水温度，远程APP控制。</w:t>
      </w:r>
    </w:p>
    <w:p w14:paraId="1822C409">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循环水泵：</w:t>
      </w:r>
      <w:r>
        <w:rPr>
          <w:rFonts w:hint="eastAsia" w:asciiTheme="minorEastAsia" w:hAnsiTheme="minorEastAsia" w:eastAsiaTheme="minorEastAsia" w:cstheme="minorEastAsia"/>
          <w:kern w:val="0"/>
          <w:szCs w:val="21"/>
          <w:lang w:val="en-US" w:eastAsia="zh-CN"/>
        </w:rPr>
        <w:t>机组与</w:t>
      </w:r>
      <w:r>
        <w:rPr>
          <w:rFonts w:hint="eastAsia" w:asciiTheme="minorEastAsia" w:hAnsiTheme="minorEastAsia" w:eastAsiaTheme="minorEastAsia" w:cstheme="minorEastAsia"/>
          <w:kern w:val="0"/>
          <w:szCs w:val="21"/>
        </w:rPr>
        <w:t>储热水箱为一个循环系统，配置2台循环水泵，流量</w:t>
      </w:r>
      <w:r>
        <w:rPr>
          <w:rFonts w:hint="eastAsia" w:asciiTheme="minorEastAsia" w:hAnsiTheme="minorEastAsia" w:eastAsiaTheme="minorEastAsia" w:cstheme="minorEastAsia"/>
          <w:kern w:val="0"/>
          <w:szCs w:val="21"/>
          <w:lang w:val="en-US" w:eastAsia="zh-CN"/>
        </w:rPr>
        <w:t>80</w:t>
      </w:r>
      <w:r>
        <w:rPr>
          <w:rFonts w:hint="eastAsia" w:asciiTheme="minorEastAsia" w:hAnsiTheme="minorEastAsia" w:eastAsiaTheme="minorEastAsia" w:cstheme="minorEastAsia"/>
          <w:kern w:val="0"/>
          <w:szCs w:val="21"/>
        </w:rPr>
        <w:t>m³/h，扬程30米。</w:t>
      </w:r>
    </w:p>
    <w:p w14:paraId="2556E18E">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热风</w:t>
      </w:r>
      <w:r>
        <w:rPr>
          <w:rFonts w:hint="eastAsia" w:asciiTheme="minorEastAsia" w:hAnsiTheme="minorEastAsia" w:eastAsiaTheme="minorEastAsia" w:cstheme="minorEastAsia"/>
          <w:kern w:val="0"/>
          <w:szCs w:val="21"/>
        </w:rPr>
        <w:t>机组与储热水箱为一个循环系统，配置2台循环水泵，流量</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rPr>
        <w:t>0m³/h，扬程30米。</w:t>
      </w:r>
    </w:p>
    <w:p w14:paraId="65D4AD21">
      <w:pPr>
        <w:pStyle w:val="8"/>
        <w:ind w:firstLine="0" w:firstLineChars="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rPr>
        <w:t>水处理：</w:t>
      </w:r>
      <w:r>
        <w:rPr>
          <w:rFonts w:hint="eastAsia" w:asciiTheme="minorEastAsia" w:hAnsiTheme="minorEastAsia" w:eastAsiaTheme="minorEastAsia" w:cstheme="minorEastAsia"/>
          <w:sz w:val="21"/>
        </w:rPr>
        <w:t>参照以前该地区的水质情况，当地水质硬度比较高，机组主体对水质有严格要求，配置反渗透水处理设备，阻止水中的钙镁离子形成，减少通过高温水垢的形成。</w:t>
      </w:r>
    </w:p>
    <w:p w14:paraId="15C4A2CF">
      <w:pPr>
        <w:spacing w:line="360" w:lineRule="auto"/>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b/>
          <w:kern w:val="0"/>
          <w:szCs w:val="21"/>
        </w:rPr>
        <w:t>电线电缆：</w:t>
      </w:r>
      <w:r>
        <w:rPr>
          <w:rFonts w:hint="eastAsia" w:asciiTheme="minorEastAsia" w:hAnsiTheme="minorEastAsia" w:eastAsiaTheme="minorEastAsia" w:cstheme="minorEastAsia"/>
          <w:kern w:val="0"/>
          <w:szCs w:val="21"/>
        </w:rPr>
        <w:t>单台机组电缆选用3*150+2*95，满足机组用电要求。</w:t>
      </w:r>
    </w:p>
    <w:p w14:paraId="33E2A29B">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系统管道：</w:t>
      </w:r>
      <w:r>
        <w:rPr>
          <w:rFonts w:hint="eastAsia" w:asciiTheme="minorEastAsia" w:hAnsiTheme="minorEastAsia" w:eastAsiaTheme="minorEastAsia" w:cstheme="minorEastAsia"/>
          <w:kern w:val="0"/>
          <w:szCs w:val="21"/>
        </w:rPr>
        <w:t>水源取自自来水。机组的供、回水管道与供暖建筑物的循环管道对接上，管道加装启闭器、Y型过滤器、除污器、压力表、温度计、阀门等附件，控制使用循环系统。</w:t>
      </w:r>
    </w:p>
    <w:p w14:paraId="03C56640">
      <w:pPr>
        <w:tabs>
          <w:tab w:val="left" w:pos="756"/>
        </w:tabs>
        <w:jc w:val="both"/>
        <w:rPr>
          <w:rFonts w:hint="eastAsia" w:asciiTheme="minorEastAsia" w:hAnsiTheme="minorEastAsia" w:eastAsiaTheme="minorEastAsia" w:cstheme="minorEastAsia"/>
          <w:color w:val="FF000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85B3F"/>
    <w:multiLevelType w:val="multilevel"/>
    <w:tmpl w:val="1EE85B3F"/>
    <w:lvl w:ilvl="0" w:tentative="0">
      <w:start w:val="1"/>
      <w:numFmt w:val="japaneseCounting"/>
      <w:lvlText w:val="第%1条"/>
      <w:lvlJc w:val="left"/>
      <w:pPr>
        <w:ind w:left="1260" w:hanging="8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76F92468"/>
    <w:multiLevelType w:val="singleLevel"/>
    <w:tmpl w:val="76F924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WJhMTk5ZTU0YmU4ZjE1OWNmZjYzMTRmMmEyOWMifQ=="/>
  </w:docVars>
  <w:rsids>
    <w:rsidRoot w:val="6D293A61"/>
    <w:rsid w:val="00005A83"/>
    <w:rsid w:val="000B2823"/>
    <w:rsid w:val="001702B5"/>
    <w:rsid w:val="00194518"/>
    <w:rsid w:val="001B7486"/>
    <w:rsid w:val="00237F29"/>
    <w:rsid w:val="0028314E"/>
    <w:rsid w:val="002A55FE"/>
    <w:rsid w:val="00354FF3"/>
    <w:rsid w:val="00403B53"/>
    <w:rsid w:val="004144E5"/>
    <w:rsid w:val="0043036B"/>
    <w:rsid w:val="005B0B70"/>
    <w:rsid w:val="00634973"/>
    <w:rsid w:val="006B5C9E"/>
    <w:rsid w:val="00714447"/>
    <w:rsid w:val="00863287"/>
    <w:rsid w:val="00911A7C"/>
    <w:rsid w:val="00C74E2C"/>
    <w:rsid w:val="00D453C7"/>
    <w:rsid w:val="00E00444"/>
    <w:rsid w:val="00ED537E"/>
    <w:rsid w:val="00ED7B66"/>
    <w:rsid w:val="00F95994"/>
    <w:rsid w:val="00FF32CC"/>
    <w:rsid w:val="03EE5241"/>
    <w:rsid w:val="04357D70"/>
    <w:rsid w:val="065D170B"/>
    <w:rsid w:val="087846CF"/>
    <w:rsid w:val="08927C15"/>
    <w:rsid w:val="08F73139"/>
    <w:rsid w:val="09EF79D3"/>
    <w:rsid w:val="0A02402A"/>
    <w:rsid w:val="0A0C1573"/>
    <w:rsid w:val="0AC4030D"/>
    <w:rsid w:val="0CC80827"/>
    <w:rsid w:val="0E7323D0"/>
    <w:rsid w:val="11FF5970"/>
    <w:rsid w:val="12593966"/>
    <w:rsid w:val="12DE0F5A"/>
    <w:rsid w:val="160C2CF4"/>
    <w:rsid w:val="1C0B5FB8"/>
    <w:rsid w:val="1C104568"/>
    <w:rsid w:val="1E0D3D41"/>
    <w:rsid w:val="1EEF4561"/>
    <w:rsid w:val="217727C0"/>
    <w:rsid w:val="22C850E1"/>
    <w:rsid w:val="25554409"/>
    <w:rsid w:val="27CE607F"/>
    <w:rsid w:val="2BCA6AE2"/>
    <w:rsid w:val="2F257C81"/>
    <w:rsid w:val="316518D0"/>
    <w:rsid w:val="330A7B90"/>
    <w:rsid w:val="330B626E"/>
    <w:rsid w:val="331D7FB2"/>
    <w:rsid w:val="346D1CC9"/>
    <w:rsid w:val="389B7572"/>
    <w:rsid w:val="39225214"/>
    <w:rsid w:val="397D7D9B"/>
    <w:rsid w:val="3BF45868"/>
    <w:rsid w:val="3E3C20F0"/>
    <w:rsid w:val="3F6037A0"/>
    <w:rsid w:val="41C643F5"/>
    <w:rsid w:val="422C5BCB"/>
    <w:rsid w:val="43D97563"/>
    <w:rsid w:val="444041B2"/>
    <w:rsid w:val="457C3315"/>
    <w:rsid w:val="476B4CA6"/>
    <w:rsid w:val="479E1554"/>
    <w:rsid w:val="4C4B1119"/>
    <w:rsid w:val="4C505092"/>
    <w:rsid w:val="4D4F5569"/>
    <w:rsid w:val="4DC54057"/>
    <w:rsid w:val="529E6D2B"/>
    <w:rsid w:val="52B42938"/>
    <w:rsid w:val="5331160D"/>
    <w:rsid w:val="58D759A6"/>
    <w:rsid w:val="59686844"/>
    <w:rsid w:val="5E653F23"/>
    <w:rsid w:val="5EA51A7C"/>
    <w:rsid w:val="5EC34089"/>
    <w:rsid w:val="5F6C1F8A"/>
    <w:rsid w:val="622703F0"/>
    <w:rsid w:val="66A23715"/>
    <w:rsid w:val="6A86713D"/>
    <w:rsid w:val="6ACD70D8"/>
    <w:rsid w:val="6AF11692"/>
    <w:rsid w:val="6D293A61"/>
    <w:rsid w:val="6FBA0E68"/>
    <w:rsid w:val="71CB426E"/>
    <w:rsid w:val="71DE2B53"/>
    <w:rsid w:val="75C274EC"/>
    <w:rsid w:val="79695AB8"/>
    <w:rsid w:val="7B1A2855"/>
    <w:rsid w:val="7B9D3582"/>
    <w:rsid w:val="7C785305"/>
    <w:rsid w:val="7D8A4CBC"/>
    <w:rsid w:val="7FAC6D37"/>
    <w:rsid w:val="7FB4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b/>
      <w:kern w:val="2"/>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after="120"/>
    </w:pPr>
    <w:rPr>
      <w:rFonts w:ascii="Times New Roman"/>
      <w:kern w:val="2"/>
      <w:sz w:val="21"/>
    </w:rPr>
  </w:style>
  <w:style w:type="paragraph" w:styleId="4">
    <w:name w:val="Body Text Indent"/>
    <w:basedOn w:val="1"/>
    <w:autoRedefine/>
    <w:qFormat/>
    <w:uiPriority w:val="0"/>
    <w:pPr>
      <w:ind w:firstLine="480"/>
    </w:pPr>
    <w:rPr>
      <w:rFonts w:ascii="宋体" w:hAnsi="宋体"/>
    </w:rPr>
  </w:style>
  <w:style w:type="paragraph" w:styleId="5">
    <w:name w:val="Body Text Indent 2"/>
    <w:basedOn w:val="1"/>
    <w:autoRedefine/>
    <w:qFormat/>
    <w:uiPriority w:val="0"/>
    <w:pPr>
      <w:spacing w:after="120" w:line="480" w:lineRule="auto"/>
      <w:ind w:left="420" w:leftChars="200"/>
    </w:pPr>
  </w:style>
  <w:style w:type="paragraph" w:styleId="6">
    <w:name w:val="Balloon Text"/>
    <w:basedOn w:val="1"/>
    <w:link w:val="17"/>
    <w:autoRedefine/>
    <w:qFormat/>
    <w:uiPriority w:val="0"/>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autoRedefine/>
    <w:qFormat/>
    <w:uiPriority w:val="0"/>
    <w:pPr>
      <w:adjustRightInd w:val="0"/>
      <w:ind w:firstLine="420"/>
      <w:jc w:val="left"/>
      <w:textAlignment w:val="baseline"/>
    </w:pPr>
    <w:rPr>
      <w:kern w:val="0"/>
      <w:sz w:val="21"/>
    </w:rPr>
  </w:style>
  <w:style w:type="paragraph" w:styleId="9">
    <w:name w:val="Body Text First Indent 2"/>
    <w:basedOn w:val="4"/>
    <w:next w:val="8"/>
    <w:autoRedefine/>
    <w:unhideWhenUsed/>
    <w:qFormat/>
    <w:uiPriority w:val="99"/>
    <w:pPr>
      <w:spacing w:after="120"/>
      <w:ind w:left="420" w:leftChars="200" w:firstLine="420"/>
    </w:pPr>
    <w:rPr>
      <w:rFonts w:ascii="Times New Roman" w:hAnsi="Times New Roman"/>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OC 标题1"/>
    <w:basedOn w:val="2"/>
    <w:next w:val="1"/>
    <w:autoRedefine/>
    <w:qFormat/>
    <w:uiPriority w:val="9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4">
    <w:name w:val="正文缩进1"/>
    <w:basedOn w:val="1"/>
    <w:autoRedefine/>
    <w:qFormat/>
    <w:uiPriority w:val="0"/>
    <w:pPr>
      <w:ind w:firstLine="420" w:firstLineChars="200"/>
    </w:pPr>
  </w:style>
  <w:style w:type="character" w:styleId="15">
    <w:name w:val="Placeholder Text"/>
    <w:basedOn w:val="12"/>
    <w:autoRedefine/>
    <w:semiHidden/>
    <w:qFormat/>
    <w:uiPriority w:val="99"/>
    <w:rPr>
      <w:color w:val="808080"/>
    </w:rPr>
  </w:style>
  <w:style w:type="paragraph" w:styleId="16">
    <w:name w:val="List Paragraph"/>
    <w:basedOn w:val="1"/>
    <w:autoRedefine/>
    <w:qFormat/>
    <w:uiPriority w:val="34"/>
    <w:pPr>
      <w:ind w:firstLine="420" w:firstLineChars="200"/>
    </w:pPr>
    <w:rPr>
      <w:rFonts w:ascii="Times New Roman" w:hAnsi="Times New Roman" w:eastAsia="宋体" w:cs="Times New Roman"/>
    </w:rPr>
  </w:style>
  <w:style w:type="character" w:customStyle="1" w:styleId="17">
    <w:name w:val="批注框文本 Char"/>
    <w:basedOn w:val="12"/>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5086</Words>
  <Characters>5449</Characters>
  <Lines>23</Lines>
  <Paragraphs>6</Paragraphs>
  <TotalTime>16</TotalTime>
  <ScaleCrop>false</ScaleCrop>
  <LinksUpToDate>false</LinksUpToDate>
  <CharactersWithSpaces>5807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2021-07-28T01:59:00Z</dcterms:created>
  <dc:creator>温柔一刀</dc:creator>
  <cp:lastModifiedBy>浅醉</cp:lastModifiedBy>
  <cp:lastPrinted>2024-12-30T10:20:00Z</cp:lastPrinted>
  <dcterms:modified xsi:type="dcterms:W3CDTF">2025-01-13T09:26:42Z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5FC6BFD2E1D142C7B9B3CC9419F67C06_13</vt:lpwstr>
  </property>
  <property fmtid="{D5CDD505-2E9C-101B-9397-08002B2CF9AE}" pid="4" name="KSOTemplateDocerSaveRecord">
    <vt:lpwstr>eyJoZGlkIjoiZTg0YzRkNzU4OWE2YzYxY2MyODg1ZWEwMzA5YTY5Y2MiLCJ1c2VySWQiOiI0MDk2MDc0OTEifQ==</vt:lpwstr>
  </property>
</Properties>
</file>