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589BF">
      <w:pPr>
        <w:spacing w:line="360" w:lineRule="auto"/>
        <w:rPr>
          <w:rFonts w:ascii="宋体" w:hAnsi="宋体" w:eastAsia="宋体" w:cs="宋体"/>
          <w:color w:val="auto"/>
        </w:rPr>
      </w:pPr>
    </w:p>
    <w:p w14:paraId="786E74FC">
      <w:pPr>
        <w:spacing w:line="360" w:lineRule="auto"/>
        <w:jc w:val="center"/>
        <w:rPr>
          <w:rFonts w:ascii="微软雅黑" w:hAnsi="微软雅黑" w:eastAsia="微软雅黑" w:cs="宋体"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宋体"/>
          <w:color w:val="auto"/>
          <w:sz w:val="32"/>
          <w:szCs w:val="32"/>
          <w:lang w:eastAsia="zh-CN"/>
        </w:rPr>
        <w:t>采购需求</w:t>
      </w:r>
    </w:p>
    <w:p w14:paraId="115BC905">
      <w:pPr>
        <w:rPr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一、项目名称</w:t>
      </w:r>
    </w:p>
    <w:p w14:paraId="0F857FE6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移动污染源尾气检测服务项目</w:t>
      </w:r>
      <w:r>
        <w:rPr>
          <w:rFonts w:hint="eastAsia" w:ascii="宋体" w:hAnsi="宋体" w:cs="宋体"/>
          <w:color w:val="auto"/>
          <w:lang w:eastAsia="zh-CN"/>
        </w:rPr>
        <w:t>。</w:t>
      </w:r>
    </w:p>
    <w:p w14:paraId="5E207BDC">
      <w:pPr>
        <w:rPr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二、项目概况</w:t>
      </w:r>
      <w:bookmarkStart w:id="0" w:name="_GoBack"/>
      <w:bookmarkEnd w:id="0"/>
    </w:p>
    <w:p w14:paraId="4B69A00A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机动车和非道路移动机械等移动污染源尾气检测工作，机动车尾气排放检测二个点位各 192 次,非道路移动机械尾气检测1200台。</w:t>
      </w:r>
    </w:p>
    <w:p w14:paraId="66A96239">
      <w:pPr>
        <w:rPr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三、服务内容</w:t>
      </w:r>
    </w:p>
    <w:p w14:paraId="34D9BDBF">
      <w:pPr>
        <w:spacing w:line="480" w:lineRule="exact"/>
        <w:ind w:firstLine="525" w:firstLineChars="250"/>
        <w:rPr>
          <w:rFonts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1 、配合开展机动车排气检测工作，工作时间为合同期内周一到周五 7:30- 18:00 ，重度污染应急事件需紧急出勤以采购人通知为准（该时间包含周末节假日）。机动车排气检测工作，每月检测16次，每天2个检测点位各开展检测工作，4小时检测为1次，每个点位各工作192次，全年合计384次。</w:t>
      </w:r>
    </w:p>
    <w:p w14:paraId="456DFABA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2 、项目保障组3人，含项目负责人1名、数据统计检测台账整理办公文职1名、技术负责人1名，实施并同时配合采购人完成宣传工作、信息录入及整理、报表完成、非道路移动机械/机动车污染防治的协助调查、配合专项检查工作、疫情防控（如出现）等工作，以满足采购人相关需求。</w:t>
      </w:r>
    </w:p>
    <w:p w14:paraId="745BC2D8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技术保障组2名，含授权签字人1名、设备维护人员1名。项目检测组3组每组3人，负责日常道路配合甲方完成机动车监督抽测任务。检测应急备1组人员3名，应对重度污染、特殊检查任务及人员调整轮换。</w:t>
      </w:r>
    </w:p>
    <w:p w14:paraId="0168F629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备注：项目所有人员由供应商自行保证通勤，以满足采购人工作时间要求。</w:t>
      </w:r>
    </w:p>
    <w:p w14:paraId="1A1AAB30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3、提供检定合格、手续完备并能满足 GB3847-2018 、 GB18285-2018、GB36886-2018 标准的尾气分析仪2台、不透光度计3台、0BD故障诊断仪2台、移动电源3台及其他设备耗材配件，保证检测仪器能够按照检测标准正常使用。</w:t>
      </w:r>
    </w:p>
    <w:p w14:paraId="78403639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4 、检测人员严格按照GB36886-2018、GB3847-2018、GB18285-2018以及（GB17691-2005）要求甄别柴油货车排放标准；检测标准进行尾气检测。</w:t>
      </w:r>
    </w:p>
    <w:p w14:paraId="0622F574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5 、按照国家现行标准进行检测并实时出具法定检测报告，送达时限不超过1小时（特殊情况跟甲方及时沟通）。</w:t>
      </w:r>
    </w:p>
    <w:p w14:paraId="662A0188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6 、按要求印制机动车排气污染保护相关宣传资料、展板。</w:t>
      </w:r>
    </w:p>
    <w:p w14:paraId="5A5E9D28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7 、提供满足路检工作的办公物资，以及疫情防护（如出现）、雾霾、高温、雨、雪等需要的物资设备。</w:t>
      </w:r>
    </w:p>
    <w:p w14:paraId="723B6912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8 、乙方自行解决现场检测所需统一服装、交通、餐费等相关费用。</w:t>
      </w:r>
    </w:p>
    <w:p w14:paraId="038AE177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9 、因检测过程中造成的人员伤害及被检车辆设施损毁的，由乙方负责承担赔偿责任。</w:t>
      </w:r>
    </w:p>
    <w:p w14:paraId="2616B4AC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10 、遵守采购人提出的其他合理合法要求和相关规定。</w:t>
      </w:r>
    </w:p>
    <w:p w14:paraId="6F5EC8CE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11、乙方检测人员，对其检测行为及检测结果承担法律责任。</w:t>
      </w:r>
    </w:p>
    <w:p w14:paraId="76FCD1A6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12 、涉及机动车排气污染防治的其他相关工作。</w:t>
      </w:r>
    </w:p>
    <w:p w14:paraId="419933DF">
      <w:pPr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四、检测依据</w:t>
      </w:r>
    </w:p>
    <w:tbl>
      <w:tblPr>
        <w:tblStyle w:val="5"/>
        <w:tblW w:w="971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261"/>
        <w:gridCol w:w="1674"/>
        <w:gridCol w:w="4191"/>
        <w:gridCol w:w="1234"/>
        <w:gridCol w:w="691"/>
      </w:tblGrid>
      <w:tr w14:paraId="1AB81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2FDB76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类别</w:t>
            </w:r>
          </w:p>
        </w:tc>
        <w:tc>
          <w:tcPr>
            <w:tcW w:w="2935" w:type="dxa"/>
            <w:gridSpan w:val="2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75DBB31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产品/项目/参数</w:t>
            </w:r>
          </w:p>
        </w:tc>
        <w:tc>
          <w:tcPr>
            <w:tcW w:w="4191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A06F31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依据的标准（方法）名称及编号（含 年号）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530262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限制范围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4DEFBD2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说明</w:t>
            </w:r>
          </w:p>
        </w:tc>
      </w:tr>
      <w:tr w14:paraId="6B468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81A1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140F2D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序号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3B0999F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名称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A4D2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E991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203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3A9CB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shd w:val="clear" w:color="auto" w:fill="F2F2F2"/>
            <w:textDirection w:val="tbRlV"/>
            <w:vAlign w:val="center"/>
          </w:tcPr>
          <w:p w14:paraId="7FCDB43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  <w:p w14:paraId="2D91CE4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机动车排气污染物检验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D7DB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84E10">
            <w:pPr>
              <w:spacing w:line="360" w:lineRule="auto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外观检验(含对 污染控制装置的 检查和环保信息 随车清单核查)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0595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汽油车污染物排放限值及测量方法（双怠速法及简易工况法）GB 18285-2018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5414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2C63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445B6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16ED75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2DEB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1587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AB0D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柴油车污染物排放限值及测量方法 （自由加速法及加载减速法） GB 3847-2018</w:t>
            </w: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CE6D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9D11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52C51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774DB7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73AA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9C3C5">
            <w:pPr>
              <w:spacing w:line="360" w:lineRule="auto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车载诊断系统 （OBD）检查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A6B5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汽油车污染物排放限值及测量方法 （双怠速法及简易工况法）  GB 18285-2018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9884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5FB7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4848A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4C45CCB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711A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8216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430F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柴油车污染物排放限值及测量方法 （自由加速法及加载减速法） GB 3847-2018</w:t>
            </w: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6703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D90F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4B73F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84CF4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DCC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</w:t>
            </w: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3091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排气污染物检测</w:t>
            </w:r>
          </w:p>
        </w:tc>
        <w:tc>
          <w:tcPr>
            <w:tcW w:w="4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616E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汽油车污染物排放限值及测量方法 （双怠速法及简易工况法）  GB 18285-2018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08AC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7456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63087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9E863F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5F50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76D46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4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F8FF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柴油车污染物排放限值及测量方法 （自由加速法及加载减速法） GB 3847-2018</w:t>
            </w: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6346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637E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</w:tr>
      <w:tr w14:paraId="6A86D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1A9518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F114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73B6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汽油车排气污染 物</w:t>
            </w:r>
          </w:p>
        </w:tc>
        <w:tc>
          <w:tcPr>
            <w:tcW w:w="41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29A3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汽油车污染物排放限值及测量方法 （双怠速法及简易工况法）GB</w:t>
            </w:r>
          </w:p>
          <w:p w14:paraId="3E66248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18285-2018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A9FA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  <w:p w14:paraId="177B132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双怠速法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87FC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43B4A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442897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9377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4.1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7D5F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一氧化碳 CO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C110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25C7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C2C7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5D395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42E59E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96F7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4.2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BA2F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碳氢化合物 HC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A93F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CCB0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8693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245FB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483BF2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A314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4.3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2259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过量空气系数λ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C639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986A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77A6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6EF39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95B5DB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0C7D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4AC0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柴油车排气污染 物</w:t>
            </w:r>
          </w:p>
        </w:tc>
        <w:tc>
          <w:tcPr>
            <w:tcW w:w="41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51D2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柴油车污染物排放限值及测量方法 （自由加速法及加载减速法） GB 3847-2018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EE61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自由加速法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DE3E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39061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9768C6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60EB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5.1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4F50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光吸收系数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C96C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8C4A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0C22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52FA7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B9457C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B8EF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376F7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林格曼黑度法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F0EE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E790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80FF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4C9C6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88E334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非道路移动机</w:t>
            </w:r>
          </w:p>
          <w:p w14:paraId="08509E4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械排气污染检</w:t>
            </w:r>
          </w:p>
          <w:p w14:paraId="7BDBFAB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验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3DC4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69D3E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柴油车排气污染 物</w:t>
            </w:r>
          </w:p>
        </w:tc>
        <w:tc>
          <w:tcPr>
            <w:tcW w:w="41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22FD4">
            <w:pPr>
              <w:spacing w:line="360" w:lineRule="auto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非道路移动机械污染物排放限值及</w:t>
            </w:r>
          </w:p>
          <w:p w14:paraId="18C1988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eastAsia="zh-CN"/>
              </w:rPr>
              <w:t>测量方法（自由加速法及加载减速</w:t>
            </w:r>
          </w:p>
          <w:p w14:paraId="417A784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法）GB 36886-2018</w:t>
            </w:r>
          </w:p>
        </w:tc>
        <w:tc>
          <w:tcPr>
            <w:tcW w:w="12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B315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自由加速法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F635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0B81D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188C7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29A0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6.1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12EF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光吸收系数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543F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5C9F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4F9C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  <w:tr w14:paraId="4ABC0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A761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AF51D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6.2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D883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林格曼黑度</w:t>
            </w:r>
          </w:p>
        </w:tc>
        <w:tc>
          <w:tcPr>
            <w:tcW w:w="41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400F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3F31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21F4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</w:rPr>
            </w:pPr>
          </w:p>
        </w:tc>
      </w:tr>
    </w:tbl>
    <w:p w14:paraId="6ED97975">
      <w:pPr>
        <w:pStyle w:val="2"/>
        <w:rPr>
          <w:rFonts w:hint="eastAsia" w:eastAsia="等线"/>
          <w:color w:val="auto"/>
          <w:lang w:eastAsia="zh-CN"/>
        </w:rPr>
      </w:pPr>
    </w:p>
    <w:p w14:paraId="0CA2DA18">
      <w:pPr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五、检测成果</w:t>
      </w:r>
    </w:p>
    <w:p w14:paraId="2775C66F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根据实际监测状况出具的相应检测报告；</w:t>
      </w:r>
    </w:p>
    <w:p w14:paraId="27F90440">
      <w:pPr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六、检测内容</w:t>
      </w:r>
    </w:p>
    <w:p w14:paraId="2A8A8F7A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1 、非道路移动机械尾气污染物排放检测；</w:t>
      </w:r>
    </w:p>
    <w:p w14:paraId="4A046BA2">
      <w:pPr>
        <w:spacing w:line="480" w:lineRule="exact"/>
        <w:ind w:firstLine="525" w:firstLineChars="250"/>
        <w:rPr>
          <w:rFonts w:hint="eastAsia"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lang w:eastAsia="zh-CN"/>
        </w:rPr>
        <w:t>2 、机动车尾气污染物排放路查路检；</w:t>
      </w:r>
    </w:p>
    <w:p w14:paraId="70F01755">
      <w:pPr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eastAsia="zh-CN"/>
        </w:rPr>
        <w:t>七、安全承诺保障</w:t>
      </w:r>
    </w:p>
    <w:p w14:paraId="6C45B904">
      <w:pPr>
        <w:spacing w:line="480" w:lineRule="exact"/>
        <w:ind w:firstLine="525" w:firstLineChars="250"/>
        <w:rPr>
          <w:rFonts w:hint="eastAsia" w:ascii="宋体" w:hAnsi="宋体" w:cs="宋体"/>
          <w:b/>
          <w:color w:val="auto"/>
          <w:lang w:eastAsia="zh-CN"/>
        </w:rPr>
      </w:pPr>
      <w:r>
        <w:rPr>
          <w:rFonts w:hint="eastAsia" w:ascii="宋体" w:hAnsi="宋体" w:cs="宋体"/>
          <w:b/>
          <w:color w:val="auto"/>
          <w:lang w:eastAsia="zh-CN"/>
        </w:rPr>
        <w:t>因检测过程中造成的被检车辆及附属设施损毁的,由检测机构负责承担相应赔偿责任（提供承诺 函并加盖投标单位公章）。</w:t>
      </w:r>
    </w:p>
    <w:p w14:paraId="459A9B26">
      <w:pPr>
        <w:spacing w:line="360" w:lineRule="auto"/>
        <w:rPr>
          <w:rFonts w:ascii="宋体" w:hAnsi="宋体" w:eastAsia="宋体" w:cs="宋体"/>
          <w:color w:val="auto"/>
          <w:lang w:eastAsia="zh-CN"/>
        </w:rPr>
        <w:sectPr>
          <w:headerReference r:id="rId3" w:type="default"/>
          <w:footerReference r:id="rId4" w:type="default"/>
          <w:pgSz w:w="11906" w:h="16839"/>
          <w:pgMar w:top="1118" w:right="786" w:bottom="1221" w:left="1401" w:header="878" w:footer="1059" w:gutter="0"/>
          <w:cols w:space="720" w:num="1"/>
        </w:sectPr>
      </w:pPr>
    </w:p>
    <w:p w14:paraId="702E36CE">
      <w:pPr>
        <w:spacing w:line="360" w:lineRule="auto"/>
        <w:rPr>
          <w:rFonts w:ascii="宋体" w:hAnsi="宋体" w:eastAsia="宋体" w:cs="宋体"/>
          <w:color w:val="auto"/>
          <w:lang w:eastAsia="zh-CN"/>
        </w:rPr>
      </w:pPr>
    </w:p>
    <w:sectPr>
      <w:headerReference r:id="rId5" w:type="default"/>
      <w:footerReference r:id="rId6" w:type="default"/>
      <w:type w:val="continuous"/>
      <w:pgSz w:w="11906" w:h="16839"/>
      <w:pgMar w:top="1118" w:right="1417" w:bottom="1347" w:left="1418" w:header="878" w:footer="1059" w:gutter="0"/>
      <w:cols w:equalWidth="0" w:num="1">
        <w:col w:w="9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42ABA">
    <w:pPr>
      <w:spacing w:line="176" w:lineRule="auto"/>
      <w:ind w:left="446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1F22A">
    <w:pPr>
      <w:spacing w:before="125" w:line="177" w:lineRule="auto"/>
      <w:ind w:left="4452"/>
      <w:rPr>
        <w:rFonts w:ascii="Times New Roman" w:hAnsi="Times New Roman" w:eastAsia="Times New Roman" w:cs="Times New Roman"/>
        <w:sz w:val="18"/>
        <w:szCs w:val="18"/>
      </w:rPr>
    </w:pPr>
    <w:r>
      <w:rPr>
        <w:lang w:eastAsia="zh-CN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900430</wp:posOffset>
          </wp:positionH>
          <wp:positionV relativeFrom="page">
            <wp:posOffset>9836150</wp:posOffset>
          </wp:positionV>
          <wp:extent cx="5734050" cy="952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pacing w:val="-4"/>
        <w:sz w:val="18"/>
        <w:szCs w:val="18"/>
      </w:rPr>
      <w:t>32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20C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68171">
    <w:pPr>
      <w:spacing w:line="218" w:lineRule="auto"/>
      <w:ind w:left="188"/>
      <w:rPr>
        <w:rFonts w:ascii="宋体" w:hAnsi="宋体" w:eastAsia="宋体" w:cs="宋体"/>
        <w:sz w:val="18"/>
        <w:szCs w:val="18"/>
        <w:lang w:eastAsia="zh-CN"/>
      </w:rPr>
    </w:pPr>
    <w:r>
      <w:pict>
        <v:shape id="_x0000_s4097" o:spid="_x0000_s4097" style="position:absolute;left:0pt;margin-left:70.9pt;margin-top:55.2pt;height:0.75pt;width:453.55pt;mso-position-horizontal-relative:page;mso-position-vertical-relative:page;z-index:251661312;mso-width-relative:page;mso-height-relative:page;" fillcolor="#000000" filled="t" stroked="f" coordsize="9070,15" o:allowincell="f" path="m0,0l9070,0,9070,14,0,14,0,0xe">
          <v:path/>
          <v:fill on="t" focussize="0,0"/>
          <v:stroke on="f"/>
          <v:imagedata o:title=""/>
          <o:lock v:ext="edit"/>
        </v:shape>
      </w:pict>
    </w:r>
    <w:r>
      <w:pict>
        <v:shape id="_x0000_s4098" o:spid="_x0000_s4098" o:spt="202" type="#_x0000_t202" style="position:absolute;left:0pt;margin-left:341.5pt;margin-top:-0.95pt;height:12.7pt;width:91.6pt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1F09B893">
                <w:pPr>
                  <w:spacing w:before="20" w:line="219" w:lineRule="auto"/>
                  <w:ind w:left="2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ascii="宋体" w:hAnsi="宋体" w:eastAsia="宋体" w:cs="宋体"/>
                    <w:spacing w:val="-1"/>
                    <w:sz w:val="18"/>
                    <w:szCs w:val="18"/>
                  </w:rPr>
                  <w:t>项目编号：ZC-CS23005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1"/>
        <w:sz w:val="18"/>
        <w:szCs w:val="18"/>
        <w:lang w:eastAsia="zh-CN"/>
      </w:rPr>
      <w:t>移动污染源尾气检测采购项目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c1YTk1ZmVjNDM1NWZiNGYyNWFhYjk3MmI3OTAyZTcifQ=="/>
  </w:docVars>
  <w:rsids>
    <w:rsidRoot w:val="001F0180"/>
    <w:rsid w:val="001F0180"/>
    <w:rsid w:val="00295EE1"/>
    <w:rsid w:val="004005FA"/>
    <w:rsid w:val="0BC710ED"/>
    <w:rsid w:val="3E3136BB"/>
    <w:rsid w:val="4BC84042"/>
    <w:rsid w:val="7B1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9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1533</Characters>
  <Lines>17</Lines>
  <Paragraphs>4</Paragraphs>
  <TotalTime>14</TotalTime>
  <ScaleCrop>false</ScaleCrop>
  <LinksUpToDate>false</LinksUpToDate>
  <CharactersWithSpaces>1585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2024-04-01T12:14:00Z</dcterms:created>
  <dc:creator>44472</dc:creator>
  <cp:lastModifiedBy>张涛</cp:lastModifiedBy>
  <dcterms:modified xsi:type="dcterms:W3CDTF">2025-04-08T08:56:06Z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2024-04-01T12:14:32Z</vt:filetime>
  </property>
  <property fmtid="{D5CDD505-2E9C-101B-9397-08002B2CF9AE}" pid="4" name="UsrData">
    <vt:lpwstr>660a34a63e5cca001f7687d5wl</vt:lpwstr>
  </property>
  <property fmtid="{D5CDD505-2E9C-101B-9397-08002B2CF9AE}" pid="5" name="KSOProductBuildVer">
    <vt:lpwstr>2052-12.1.0.20305</vt:lpwstr>
  </property>
  <property fmtid="{D5CDD505-2E9C-101B-9397-08002B2CF9AE}" pid="6" name="ICV">
    <vt:lpwstr>671ADCFE9DF4421588BACC5DD4CAF1F6_13</vt:lpwstr>
  </property>
  <property fmtid="{D5CDD505-2E9C-101B-9397-08002B2CF9AE}" pid="7" name="KSOTemplateDocerSaveRecord">
    <vt:lpwstr>eyJoZGlkIjoiMjAxZTIwZjhlZmEwOWJmMDgxMmQzYjBmMDcwODJkZDciLCJ1c2VySWQiOiIyNTg1NjUzNzIifQ==</vt:lpwstr>
  </property>
</Properties>
</file>